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31F65" w14:textId="55E19742" w:rsidR="001B0B69" w:rsidRPr="001B0B69" w:rsidRDefault="004163CA" w:rsidP="001B0B69">
      <w:pPr>
        <w:shd w:val="clear" w:color="auto" w:fill="FFFFFF"/>
        <w:spacing w:after="0" w:line="240" w:lineRule="auto"/>
        <w:jc w:val="center"/>
        <w:rPr>
          <w:rFonts w:ascii="Times New Roman" w:eastAsia="Times New Roman" w:hAnsi="Times New Roman"/>
          <w:b/>
          <w:bCs/>
          <w:sz w:val="24"/>
          <w:szCs w:val="24"/>
          <w:lang w:eastAsia="lv-LV"/>
        </w:rPr>
      </w:pPr>
      <w:r w:rsidRPr="001B0B69">
        <w:rPr>
          <w:rFonts w:ascii="Times New Roman" w:eastAsia="Times New Roman" w:hAnsi="Times New Roman"/>
          <w:b/>
          <w:bCs/>
          <w:sz w:val="24"/>
          <w:szCs w:val="24"/>
          <w:lang w:eastAsia="lv-LV"/>
        </w:rPr>
        <w:t xml:space="preserve">Ministru kabineta </w:t>
      </w:r>
      <w:r w:rsidR="00C93FFD">
        <w:rPr>
          <w:rFonts w:ascii="Times New Roman" w:eastAsia="Times New Roman" w:hAnsi="Times New Roman"/>
          <w:b/>
          <w:bCs/>
          <w:sz w:val="24"/>
          <w:szCs w:val="24"/>
          <w:lang w:eastAsia="lv-LV"/>
        </w:rPr>
        <w:t>noteikumu</w:t>
      </w:r>
      <w:r w:rsidRPr="001B0B69">
        <w:rPr>
          <w:rFonts w:ascii="Times New Roman" w:eastAsia="Times New Roman" w:hAnsi="Times New Roman"/>
          <w:b/>
          <w:bCs/>
          <w:sz w:val="24"/>
          <w:szCs w:val="24"/>
          <w:lang w:eastAsia="lv-LV"/>
        </w:rPr>
        <w:t xml:space="preserve"> projekta</w:t>
      </w:r>
      <w:r w:rsidR="00C93FFD" w:rsidRPr="00C93FFD">
        <w:t xml:space="preserve"> </w:t>
      </w:r>
      <w:r w:rsidR="00C93FFD" w:rsidRPr="001B0B69">
        <w:rPr>
          <w:rFonts w:ascii="Times New Roman" w:eastAsia="Times New Roman" w:hAnsi="Times New Roman"/>
          <w:b/>
          <w:bCs/>
          <w:sz w:val="24"/>
          <w:szCs w:val="24"/>
          <w:lang w:eastAsia="lv-LV"/>
        </w:rPr>
        <w:t>“</w:t>
      </w:r>
      <w:r w:rsidR="009E6685">
        <w:rPr>
          <w:rFonts w:ascii="Times New Roman" w:eastAsia="Times New Roman" w:hAnsi="Times New Roman"/>
          <w:b/>
          <w:bCs/>
          <w:sz w:val="24"/>
          <w:szCs w:val="24"/>
          <w:lang w:eastAsia="lv-LV"/>
        </w:rPr>
        <w:t>Grozījums</w:t>
      </w:r>
      <w:r w:rsidR="00C93FFD" w:rsidRPr="00C93FFD">
        <w:rPr>
          <w:rFonts w:ascii="Times New Roman" w:eastAsia="Times New Roman" w:hAnsi="Times New Roman"/>
          <w:b/>
          <w:bCs/>
          <w:sz w:val="24"/>
          <w:szCs w:val="24"/>
          <w:lang w:eastAsia="lv-LV"/>
        </w:rPr>
        <w:t xml:space="preserve"> Ministru kabineta </w:t>
      </w:r>
      <w:r w:rsidR="00C93FFD">
        <w:rPr>
          <w:rFonts w:ascii="Times New Roman" w:eastAsia="Times New Roman" w:hAnsi="Times New Roman"/>
          <w:b/>
          <w:bCs/>
          <w:sz w:val="24"/>
          <w:szCs w:val="24"/>
          <w:lang w:eastAsia="lv-LV"/>
        </w:rPr>
        <w:t>2018. gada 2. oktobra noteikumos Nr. 619</w:t>
      </w:r>
      <w:r w:rsidR="00C93FFD" w:rsidRPr="00C93FFD">
        <w:rPr>
          <w:rFonts w:ascii="Times New Roman" w:eastAsia="Times New Roman" w:hAnsi="Times New Roman"/>
          <w:b/>
          <w:bCs/>
          <w:sz w:val="24"/>
          <w:szCs w:val="24"/>
          <w:lang w:eastAsia="lv-LV"/>
        </w:rPr>
        <w:t xml:space="preserve"> </w:t>
      </w:r>
      <w:r w:rsidR="004D13A8" w:rsidRPr="001B0B69">
        <w:rPr>
          <w:rFonts w:ascii="Times New Roman" w:eastAsia="Times New Roman" w:hAnsi="Times New Roman"/>
          <w:b/>
          <w:bCs/>
          <w:sz w:val="24"/>
          <w:szCs w:val="24"/>
          <w:lang w:eastAsia="lv-LV"/>
        </w:rPr>
        <w:t xml:space="preserve"> “</w:t>
      </w:r>
      <w:r w:rsidR="00C93FFD" w:rsidRPr="00C93FFD">
        <w:rPr>
          <w:rFonts w:ascii="Times New Roman" w:eastAsia="Times New Roman" w:hAnsi="Times New Roman"/>
          <w:b/>
          <w:bCs/>
          <w:sz w:val="24"/>
          <w:szCs w:val="24"/>
          <w:lang w:eastAsia="lv-LV"/>
        </w:rPr>
        <w:t>Zinātnisko institūciju darbības starptautiskā novērtējuma organizēšanas kārtība</w:t>
      </w:r>
      <w:r w:rsidR="00543E78">
        <w:rPr>
          <w:rFonts w:ascii="Times New Roman" w:eastAsia="Times New Roman" w:hAnsi="Times New Roman"/>
          <w:b/>
          <w:bCs/>
          <w:sz w:val="24"/>
          <w:szCs w:val="24"/>
          <w:lang w:eastAsia="lv-LV"/>
        </w:rPr>
        <w:t>”</w:t>
      </w:r>
      <w:r w:rsidRPr="001B0B69">
        <w:rPr>
          <w:rFonts w:ascii="Times New Roman" w:eastAsia="Times New Roman" w:hAnsi="Times New Roman"/>
          <w:b/>
          <w:bCs/>
          <w:sz w:val="24"/>
          <w:szCs w:val="24"/>
          <w:lang w:eastAsia="lv-LV"/>
        </w:rPr>
        <w:t xml:space="preserve">” projekta sākotnējās ietekmes </w:t>
      </w:r>
    </w:p>
    <w:p w14:paraId="7AC8338A" w14:textId="77777777" w:rsidR="004163CA" w:rsidRPr="001B0B69" w:rsidRDefault="004163CA" w:rsidP="001B0B69">
      <w:pPr>
        <w:shd w:val="clear" w:color="auto" w:fill="FFFFFF"/>
        <w:spacing w:after="0" w:line="240" w:lineRule="auto"/>
        <w:jc w:val="center"/>
        <w:rPr>
          <w:rFonts w:ascii="Times New Roman" w:eastAsia="Times New Roman" w:hAnsi="Times New Roman"/>
          <w:b/>
          <w:bCs/>
          <w:sz w:val="24"/>
          <w:szCs w:val="24"/>
          <w:lang w:eastAsia="lv-LV"/>
        </w:rPr>
      </w:pPr>
      <w:r w:rsidRPr="001B0B69">
        <w:rPr>
          <w:rFonts w:ascii="Times New Roman" w:eastAsia="Times New Roman" w:hAnsi="Times New Roman"/>
          <w:b/>
          <w:bCs/>
          <w:sz w:val="24"/>
          <w:szCs w:val="24"/>
          <w:lang w:eastAsia="lv-LV"/>
        </w:rPr>
        <w:t>novērtējuma ziņojums (anotācija)</w:t>
      </w:r>
    </w:p>
    <w:p w14:paraId="6D6E2AC5" w14:textId="77777777" w:rsidR="00E5323B" w:rsidRPr="001B0B69" w:rsidRDefault="00E5323B" w:rsidP="001B0B69">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2"/>
        <w:gridCol w:w="6683"/>
      </w:tblGrid>
      <w:tr w:rsidR="00580969" w:rsidRPr="001B0B69" w14:paraId="5B2458A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BA84D" w14:textId="77777777" w:rsidR="00655F2C" w:rsidRPr="001B0B69" w:rsidRDefault="00E5323B" w:rsidP="00572E7E">
            <w:pPr>
              <w:spacing w:after="0" w:line="240" w:lineRule="auto"/>
              <w:jc w:val="center"/>
              <w:rPr>
                <w:rFonts w:ascii="Times New Roman" w:eastAsia="Times New Roman" w:hAnsi="Times New Roman"/>
                <w:b/>
                <w:bCs/>
                <w:iCs/>
                <w:sz w:val="24"/>
                <w:szCs w:val="24"/>
                <w:lang w:val="sv-SE" w:eastAsia="lv-LV"/>
              </w:rPr>
            </w:pPr>
            <w:proofErr w:type="spellStart"/>
            <w:r w:rsidRPr="001B0B69">
              <w:rPr>
                <w:rFonts w:ascii="Times New Roman" w:eastAsia="Times New Roman" w:hAnsi="Times New Roman"/>
                <w:b/>
                <w:bCs/>
                <w:iCs/>
                <w:sz w:val="24"/>
                <w:szCs w:val="24"/>
                <w:lang w:val="sv-SE" w:eastAsia="lv-LV"/>
              </w:rPr>
              <w:t>Tiesību</w:t>
            </w:r>
            <w:proofErr w:type="spellEnd"/>
            <w:r w:rsidRPr="001B0B69">
              <w:rPr>
                <w:rFonts w:ascii="Times New Roman" w:eastAsia="Times New Roman" w:hAnsi="Times New Roman"/>
                <w:b/>
                <w:bCs/>
                <w:iCs/>
                <w:sz w:val="24"/>
                <w:szCs w:val="24"/>
                <w:lang w:val="sv-SE" w:eastAsia="lv-LV"/>
              </w:rPr>
              <w:t xml:space="preserve"> akta </w:t>
            </w:r>
            <w:proofErr w:type="spellStart"/>
            <w:r w:rsidRPr="001B0B69">
              <w:rPr>
                <w:rFonts w:ascii="Times New Roman" w:eastAsia="Times New Roman" w:hAnsi="Times New Roman"/>
                <w:b/>
                <w:bCs/>
                <w:iCs/>
                <w:sz w:val="24"/>
                <w:szCs w:val="24"/>
                <w:lang w:val="sv-SE" w:eastAsia="lv-LV"/>
              </w:rPr>
              <w:t>projekta</w:t>
            </w:r>
            <w:proofErr w:type="spellEnd"/>
            <w:r w:rsidRPr="001B0B69">
              <w:rPr>
                <w:rFonts w:ascii="Times New Roman" w:eastAsia="Times New Roman" w:hAnsi="Times New Roman"/>
                <w:b/>
                <w:bCs/>
                <w:iCs/>
                <w:sz w:val="24"/>
                <w:szCs w:val="24"/>
                <w:lang w:val="sv-SE" w:eastAsia="lv-LV"/>
              </w:rPr>
              <w:t xml:space="preserve"> </w:t>
            </w:r>
            <w:proofErr w:type="spellStart"/>
            <w:r w:rsidRPr="001B0B69">
              <w:rPr>
                <w:rFonts w:ascii="Times New Roman" w:eastAsia="Times New Roman" w:hAnsi="Times New Roman"/>
                <w:b/>
                <w:bCs/>
                <w:iCs/>
                <w:sz w:val="24"/>
                <w:szCs w:val="24"/>
                <w:lang w:val="sv-SE" w:eastAsia="lv-LV"/>
              </w:rPr>
              <w:t>anotācijas</w:t>
            </w:r>
            <w:proofErr w:type="spellEnd"/>
            <w:r w:rsidRPr="001B0B69">
              <w:rPr>
                <w:rFonts w:ascii="Times New Roman" w:eastAsia="Times New Roman" w:hAnsi="Times New Roman"/>
                <w:b/>
                <w:bCs/>
                <w:iCs/>
                <w:sz w:val="24"/>
                <w:szCs w:val="24"/>
                <w:lang w:val="sv-SE" w:eastAsia="lv-LV"/>
              </w:rPr>
              <w:t xml:space="preserve"> </w:t>
            </w:r>
            <w:proofErr w:type="spellStart"/>
            <w:r w:rsidRPr="001B0B69">
              <w:rPr>
                <w:rFonts w:ascii="Times New Roman" w:eastAsia="Times New Roman" w:hAnsi="Times New Roman"/>
                <w:b/>
                <w:bCs/>
                <w:iCs/>
                <w:sz w:val="24"/>
                <w:szCs w:val="24"/>
                <w:lang w:val="sv-SE" w:eastAsia="lv-LV"/>
              </w:rPr>
              <w:t>kopsavilkums</w:t>
            </w:r>
            <w:proofErr w:type="spellEnd"/>
          </w:p>
        </w:tc>
      </w:tr>
      <w:tr w:rsidR="00580969" w:rsidRPr="001B0B69" w14:paraId="2E5DB386" w14:textId="77777777" w:rsidTr="00411598">
        <w:trPr>
          <w:tblCellSpacing w:w="15" w:type="dxa"/>
        </w:trPr>
        <w:tc>
          <w:tcPr>
            <w:tcW w:w="1285" w:type="pct"/>
            <w:tcBorders>
              <w:top w:val="outset" w:sz="6" w:space="0" w:color="auto"/>
              <w:left w:val="outset" w:sz="6" w:space="0" w:color="auto"/>
              <w:bottom w:val="outset" w:sz="6" w:space="0" w:color="auto"/>
              <w:right w:val="outset" w:sz="6" w:space="0" w:color="auto"/>
            </w:tcBorders>
            <w:hideMark/>
          </w:tcPr>
          <w:p w14:paraId="1C68FD58" w14:textId="77777777" w:rsidR="00E5323B" w:rsidRPr="001B0B69" w:rsidRDefault="00E5323B" w:rsidP="001B0B69">
            <w:pPr>
              <w:spacing w:after="0" w:line="240" w:lineRule="auto"/>
              <w:rPr>
                <w:rFonts w:ascii="Times New Roman" w:eastAsia="Times New Roman" w:hAnsi="Times New Roman"/>
                <w:iCs/>
                <w:sz w:val="24"/>
                <w:szCs w:val="24"/>
                <w:lang w:val="sv-SE" w:eastAsia="lv-LV"/>
              </w:rPr>
            </w:pPr>
            <w:proofErr w:type="spellStart"/>
            <w:r w:rsidRPr="001B0B69">
              <w:rPr>
                <w:rFonts w:ascii="Times New Roman" w:eastAsia="Times New Roman" w:hAnsi="Times New Roman"/>
                <w:iCs/>
                <w:sz w:val="24"/>
                <w:szCs w:val="24"/>
                <w:lang w:val="sv-SE" w:eastAsia="lv-LV"/>
              </w:rPr>
              <w:t>Mērķis</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risinājums</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un</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projekta</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spēkā</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stāšanās</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laiks</w:t>
            </w:r>
            <w:proofErr w:type="spellEnd"/>
            <w:r w:rsidRPr="001B0B69">
              <w:rPr>
                <w:rFonts w:ascii="Times New Roman" w:eastAsia="Times New Roman" w:hAnsi="Times New Roman"/>
                <w:iCs/>
                <w:sz w:val="24"/>
                <w:szCs w:val="24"/>
                <w:lang w:val="sv-SE" w:eastAsia="lv-LV"/>
              </w:rPr>
              <w:t xml:space="preserve"> (500 </w:t>
            </w:r>
            <w:proofErr w:type="spellStart"/>
            <w:r w:rsidRPr="001B0B69">
              <w:rPr>
                <w:rFonts w:ascii="Times New Roman" w:eastAsia="Times New Roman" w:hAnsi="Times New Roman"/>
                <w:iCs/>
                <w:sz w:val="24"/>
                <w:szCs w:val="24"/>
                <w:lang w:val="sv-SE" w:eastAsia="lv-LV"/>
              </w:rPr>
              <w:t>zīmes</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bez</w:t>
            </w:r>
            <w:proofErr w:type="spellEnd"/>
            <w:r w:rsidRPr="001B0B69">
              <w:rPr>
                <w:rFonts w:ascii="Times New Roman" w:eastAsia="Times New Roman" w:hAnsi="Times New Roman"/>
                <w:iCs/>
                <w:sz w:val="24"/>
                <w:szCs w:val="24"/>
                <w:lang w:val="sv-SE" w:eastAsia="lv-LV"/>
              </w:rPr>
              <w:t xml:space="preserve"> </w:t>
            </w:r>
            <w:proofErr w:type="spellStart"/>
            <w:r w:rsidRPr="001B0B69">
              <w:rPr>
                <w:rFonts w:ascii="Times New Roman" w:eastAsia="Times New Roman" w:hAnsi="Times New Roman"/>
                <w:iCs/>
                <w:sz w:val="24"/>
                <w:szCs w:val="24"/>
                <w:lang w:val="sv-SE" w:eastAsia="lv-LV"/>
              </w:rPr>
              <w:t>atstarpēm</w:t>
            </w:r>
            <w:proofErr w:type="spellEnd"/>
            <w:r w:rsidRPr="001B0B69">
              <w:rPr>
                <w:rFonts w:ascii="Times New Roman" w:eastAsia="Times New Roman" w:hAnsi="Times New Roman"/>
                <w:iCs/>
                <w:sz w:val="24"/>
                <w:szCs w:val="24"/>
                <w:lang w:val="sv-SE" w:eastAsia="lv-LV"/>
              </w:rPr>
              <w:t>)</w:t>
            </w:r>
          </w:p>
        </w:tc>
        <w:tc>
          <w:tcPr>
            <w:tcW w:w="3666" w:type="pct"/>
            <w:tcBorders>
              <w:top w:val="outset" w:sz="6" w:space="0" w:color="auto"/>
              <w:left w:val="outset" w:sz="6" w:space="0" w:color="auto"/>
              <w:bottom w:val="outset" w:sz="6" w:space="0" w:color="auto"/>
              <w:right w:val="outset" w:sz="6" w:space="0" w:color="auto"/>
            </w:tcBorders>
            <w:hideMark/>
          </w:tcPr>
          <w:p w14:paraId="02CBDF2E" w14:textId="00CF2D8B" w:rsidR="00870BF2" w:rsidRPr="001B0B69" w:rsidRDefault="009E6685" w:rsidP="001B0B6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Mērķis: </w:t>
            </w:r>
            <w:r w:rsidR="00C93FFD">
              <w:rPr>
                <w:rFonts w:ascii="Times New Roman" w:eastAsia="Times New Roman" w:hAnsi="Times New Roman"/>
                <w:iCs/>
                <w:sz w:val="24"/>
                <w:szCs w:val="24"/>
                <w:lang w:eastAsia="lv-LV"/>
              </w:rPr>
              <w:t>nodrošināt 2019. gada zinātnisko institūciju starptautiskā novērtējuma (turpmāk – novērtējums) īstenošanu</w:t>
            </w:r>
            <w:r w:rsidR="00D855F3">
              <w:rPr>
                <w:rFonts w:ascii="Times New Roman" w:eastAsia="Times New Roman" w:hAnsi="Times New Roman"/>
                <w:iCs/>
                <w:sz w:val="24"/>
                <w:szCs w:val="24"/>
                <w:lang w:eastAsia="lv-LV"/>
              </w:rPr>
              <w:t xml:space="preserve"> </w:t>
            </w:r>
            <w:r w:rsidR="00D855F3" w:rsidRPr="00D855F3">
              <w:rPr>
                <w:rFonts w:ascii="Times New Roman" w:eastAsia="Times New Roman" w:hAnsi="Times New Roman"/>
                <w:iCs/>
                <w:sz w:val="24"/>
                <w:szCs w:val="24"/>
                <w:lang w:eastAsia="lv-LV"/>
              </w:rPr>
              <w:t>2020. gada ietvaros</w:t>
            </w:r>
            <w:r w:rsidR="00C93FFD">
              <w:rPr>
                <w:rFonts w:ascii="Times New Roman" w:eastAsia="Times New Roman" w:hAnsi="Times New Roman"/>
                <w:iCs/>
                <w:sz w:val="24"/>
                <w:szCs w:val="24"/>
                <w:lang w:eastAsia="lv-LV"/>
              </w:rPr>
              <w:t xml:space="preserve">, ņemot vērā Covid-19 infekcijas izraisītos </w:t>
            </w:r>
            <w:r w:rsidR="00251B3C">
              <w:rPr>
                <w:rFonts w:ascii="Times New Roman" w:eastAsia="Times New Roman" w:hAnsi="Times New Roman"/>
                <w:iCs/>
                <w:sz w:val="24"/>
                <w:szCs w:val="24"/>
                <w:lang w:eastAsia="lv-LV"/>
              </w:rPr>
              <w:t xml:space="preserve">ceļošanas </w:t>
            </w:r>
            <w:r w:rsidR="00C93FFD">
              <w:rPr>
                <w:rFonts w:ascii="Times New Roman" w:eastAsia="Times New Roman" w:hAnsi="Times New Roman"/>
                <w:iCs/>
                <w:sz w:val="24"/>
                <w:szCs w:val="24"/>
                <w:lang w:eastAsia="lv-LV"/>
              </w:rPr>
              <w:t xml:space="preserve">ierobežojumus un </w:t>
            </w:r>
            <w:r w:rsidR="00251B3C">
              <w:rPr>
                <w:rFonts w:ascii="Times New Roman" w:eastAsia="Times New Roman" w:hAnsi="Times New Roman"/>
                <w:iCs/>
                <w:sz w:val="24"/>
                <w:szCs w:val="24"/>
                <w:lang w:eastAsia="lv-LV"/>
              </w:rPr>
              <w:t xml:space="preserve">veselības </w:t>
            </w:r>
            <w:r w:rsidR="00C93FFD">
              <w:rPr>
                <w:rFonts w:ascii="Times New Roman" w:eastAsia="Times New Roman" w:hAnsi="Times New Roman"/>
                <w:iCs/>
                <w:sz w:val="24"/>
                <w:szCs w:val="24"/>
                <w:lang w:eastAsia="lv-LV"/>
              </w:rPr>
              <w:t>riskus</w:t>
            </w:r>
            <w:r>
              <w:rPr>
                <w:rFonts w:ascii="Times New Roman" w:eastAsia="Times New Roman" w:hAnsi="Times New Roman"/>
                <w:iCs/>
                <w:sz w:val="24"/>
                <w:szCs w:val="24"/>
                <w:lang w:eastAsia="lv-LV"/>
              </w:rPr>
              <w:t>, nodrošinot iespēju novērtējumu veikt</w:t>
            </w:r>
            <w:r w:rsidR="009B2378">
              <w:rPr>
                <w:rFonts w:ascii="Times New Roman" w:eastAsia="Times New Roman" w:hAnsi="Times New Roman"/>
                <w:iCs/>
                <w:sz w:val="24"/>
                <w:szCs w:val="24"/>
                <w:lang w:eastAsia="lv-LV"/>
              </w:rPr>
              <w:t xml:space="preserve"> ne tikai</w:t>
            </w:r>
            <w:r>
              <w:rPr>
                <w:rFonts w:ascii="Times New Roman" w:eastAsia="Times New Roman" w:hAnsi="Times New Roman"/>
                <w:iCs/>
                <w:sz w:val="24"/>
                <w:szCs w:val="24"/>
                <w:lang w:eastAsia="lv-LV"/>
              </w:rPr>
              <w:t xml:space="preserve"> klātienē, </w:t>
            </w:r>
            <w:r w:rsidR="009B2378">
              <w:rPr>
                <w:rFonts w:ascii="Times New Roman" w:eastAsia="Times New Roman" w:hAnsi="Times New Roman"/>
                <w:iCs/>
                <w:sz w:val="24"/>
                <w:szCs w:val="24"/>
                <w:lang w:eastAsia="lv-LV"/>
              </w:rPr>
              <w:t xml:space="preserve">bet arī </w:t>
            </w:r>
            <w:r>
              <w:rPr>
                <w:rFonts w:ascii="Times New Roman" w:eastAsia="Times New Roman" w:hAnsi="Times New Roman"/>
                <w:iCs/>
                <w:sz w:val="24"/>
                <w:szCs w:val="24"/>
                <w:lang w:eastAsia="lv-LV"/>
              </w:rPr>
              <w:t>attālināti vai daļēji attālināti</w:t>
            </w:r>
            <w:r w:rsidR="00C93FFD">
              <w:rPr>
                <w:rFonts w:ascii="Times New Roman" w:eastAsia="Times New Roman" w:hAnsi="Times New Roman"/>
                <w:iCs/>
                <w:sz w:val="24"/>
                <w:szCs w:val="24"/>
                <w:lang w:eastAsia="lv-LV"/>
              </w:rPr>
              <w:t>.</w:t>
            </w:r>
          </w:p>
          <w:p w14:paraId="72AEF3D1" w14:textId="1086A829" w:rsidR="009E6685" w:rsidRDefault="009E6685" w:rsidP="001B0B6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Risinājums: </w:t>
            </w:r>
            <w:r w:rsidR="009B2378">
              <w:rPr>
                <w:rFonts w:ascii="Times New Roman" w:eastAsia="Times New Roman" w:hAnsi="Times New Roman"/>
                <w:iCs/>
                <w:sz w:val="24"/>
                <w:szCs w:val="24"/>
                <w:lang w:eastAsia="lv-LV"/>
              </w:rPr>
              <w:t>ārvalstu ekspertu grupas varēs veikt</w:t>
            </w:r>
            <w:r w:rsidR="0057683D">
              <w:rPr>
                <w:rFonts w:ascii="Times New Roman" w:eastAsia="Times New Roman" w:hAnsi="Times New Roman"/>
                <w:iCs/>
                <w:sz w:val="24"/>
                <w:szCs w:val="24"/>
                <w:lang w:eastAsia="lv-LV"/>
              </w:rPr>
              <w:t xml:space="preserve"> arī</w:t>
            </w:r>
            <w:r>
              <w:rPr>
                <w:rFonts w:ascii="Times New Roman" w:eastAsia="Times New Roman" w:hAnsi="Times New Roman"/>
                <w:iCs/>
                <w:sz w:val="24"/>
                <w:szCs w:val="24"/>
                <w:lang w:eastAsia="lv-LV"/>
              </w:rPr>
              <w:t xml:space="preserve"> </w:t>
            </w:r>
            <w:r w:rsidR="0057683D">
              <w:rPr>
                <w:rFonts w:ascii="Times New Roman" w:eastAsia="Times New Roman" w:hAnsi="Times New Roman"/>
                <w:iCs/>
                <w:sz w:val="24"/>
                <w:szCs w:val="24"/>
                <w:lang w:eastAsia="lv-LV"/>
              </w:rPr>
              <w:t>no</w:t>
            </w:r>
            <w:r w:rsidR="009B2378">
              <w:rPr>
                <w:rFonts w:ascii="Times New Roman" w:eastAsia="Times New Roman" w:hAnsi="Times New Roman"/>
                <w:iCs/>
                <w:sz w:val="24"/>
                <w:szCs w:val="24"/>
                <w:lang w:eastAsia="lv-LV"/>
              </w:rPr>
              <w:t>vērtējumu</w:t>
            </w:r>
            <w:r>
              <w:rPr>
                <w:rFonts w:ascii="Times New Roman" w:eastAsia="Times New Roman" w:hAnsi="Times New Roman"/>
                <w:iCs/>
                <w:sz w:val="24"/>
                <w:szCs w:val="24"/>
                <w:lang w:eastAsia="lv-LV"/>
              </w:rPr>
              <w:t xml:space="preserve"> </w:t>
            </w:r>
            <w:r w:rsidR="00C93FFD">
              <w:rPr>
                <w:rFonts w:ascii="Times New Roman" w:eastAsia="Times New Roman" w:hAnsi="Times New Roman"/>
                <w:iCs/>
                <w:sz w:val="24"/>
                <w:szCs w:val="24"/>
                <w:lang w:eastAsia="lv-LV"/>
              </w:rPr>
              <w:t xml:space="preserve">attālināti vai daļēji attālināti, </w:t>
            </w:r>
            <w:r w:rsidR="009B2378">
              <w:rPr>
                <w:rFonts w:ascii="Times New Roman" w:eastAsia="Times New Roman" w:hAnsi="Times New Roman"/>
                <w:iCs/>
                <w:sz w:val="24"/>
                <w:szCs w:val="24"/>
                <w:lang w:eastAsia="lv-LV"/>
              </w:rPr>
              <w:t>pabeidzot</w:t>
            </w:r>
            <w:r w:rsidR="00C93FFD">
              <w:rPr>
                <w:rFonts w:ascii="Times New Roman" w:eastAsia="Times New Roman" w:hAnsi="Times New Roman"/>
                <w:iCs/>
                <w:sz w:val="24"/>
                <w:szCs w:val="24"/>
                <w:lang w:eastAsia="lv-LV"/>
              </w:rPr>
              <w:t xml:space="preserve"> no</w:t>
            </w:r>
            <w:r>
              <w:rPr>
                <w:rFonts w:ascii="Times New Roman" w:eastAsia="Times New Roman" w:hAnsi="Times New Roman"/>
                <w:iCs/>
                <w:sz w:val="24"/>
                <w:szCs w:val="24"/>
                <w:lang w:eastAsia="lv-LV"/>
              </w:rPr>
              <w:t>vērtējum</w:t>
            </w:r>
            <w:r w:rsidR="009B2378">
              <w:rPr>
                <w:rFonts w:ascii="Times New Roman" w:eastAsia="Times New Roman" w:hAnsi="Times New Roman"/>
                <w:iCs/>
                <w:sz w:val="24"/>
                <w:szCs w:val="24"/>
                <w:lang w:eastAsia="lv-LV"/>
              </w:rPr>
              <w:t>u</w:t>
            </w:r>
            <w:r w:rsidR="0057683D">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2020. </w:t>
            </w:r>
            <w:r w:rsidR="009B2378">
              <w:rPr>
                <w:rFonts w:ascii="Times New Roman" w:eastAsia="Times New Roman" w:hAnsi="Times New Roman"/>
                <w:iCs/>
                <w:sz w:val="24"/>
                <w:szCs w:val="24"/>
                <w:lang w:eastAsia="lv-LV"/>
              </w:rPr>
              <w:t>gada ietvaros.</w:t>
            </w:r>
          </w:p>
          <w:p w14:paraId="7199A50C" w14:textId="101B58BD" w:rsidR="000A7209" w:rsidRPr="009E6685" w:rsidRDefault="009E6685" w:rsidP="001B0B6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000A7209" w:rsidRPr="001B0B69">
              <w:rPr>
                <w:rFonts w:ascii="Times New Roman" w:eastAsia="Times New Roman" w:hAnsi="Times New Roman"/>
                <w:iCs/>
                <w:sz w:val="24"/>
                <w:szCs w:val="24"/>
                <w:lang w:eastAsia="lv-LV"/>
              </w:rPr>
              <w:t xml:space="preserve">rojekts </w:t>
            </w:r>
            <w:r w:rsidR="00FC47F6" w:rsidRPr="001B0B69">
              <w:rPr>
                <w:rFonts w:ascii="Times New Roman" w:hAnsi="Times New Roman"/>
                <w:sz w:val="24"/>
                <w:szCs w:val="24"/>
              </w:rPr>
              <w:t>stāsies spēkā Oficiālo publikāciju un tiesiskās informācijas likumā noteiktajā kārtībā.</w:t>
            </w:r>
          </w:p>
        </w:tc>
      </w:tr>
    </w:tbl>
    <w:p w14:paraId="5BBCE063" w14:textId="3CCC9921" w:rsidR="00E5323B" w:rsidRPr="001B0B69" w:rsidRDefault="004807BE" w:rsidP="001B0B69">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
        <w:gridCol w:w="2048"/>
        <w:gridCol w:w="6668"/>
      </w:tblGrid>
      <w:tr w:rsidR="00580969" w:rsidRPr="001B0B69" w14:paraId="2C1EDE22" w14:textId="77777777" w:rsidTr="001207B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F92574" w14:textId="77777777" w:rsidR="00655F2C" w:rsidRPr="001B0B69" w:rsidRDefault="00E5323B" w:rsidP="00116E9E">
            <w:pPr>
              <w:spacing w:after="0" w:line="240" w:lineRule="auto"/>
              <w:jc w:val="center"/>
              <w:rPr>
                <w:rFonts w:ascii="Times New Roman" w:eastAsia="Times New Roman" w:hAnsi="Times New Roman"/>
                <w:b/>
                <w:bCs/>
                <w:iCs/>
                <w:sz w:val="24"/>
                <w:szCs w:val="24"/>
                <w:lang w:val="sv-SE" w:eastAsia="lv-LV"/>
              </w:rPr>
            </w:pPr>
            <w:r w:rsidRPr="001B0B69">
              <w:rPr>
                <w:rFonts w:ascii="Times New Roman" w:eastAsia="Times New Roman" w:hAnsi="Times New Roman"/>
                <w:b/>
                <w:bCs/>
                <w:iCs/>
                <w:sz w:val="24"/>
                <w:szCs w:val="24"/>
                <w:lang w:val="sv-SE" w:eastAsia="lv-LV"/>
              </w:rPr>
              <w:t xml:space="preserve">I. </w:t>
            </w:r>
            <w:proofErr w:type="spellStart"/>
            <w:r w:rsidRPr="001B0B69">
              <w:rPr>
                <w:rFonts w:ascii="Times New Roman" w:eastAsia="Times New Roman" w:hAnsi="Times New Roman"/>
                <w:b/>
                <w:bCs/>
                <w:iCs/>
                <w:sz w:val="24"/>
                <w:szCs w:val="24"/>
                <w:lang w:val="sv-SE" w:eastAsia="lv-LV"/>
              </w:rPr>
              <w:t>Tiesību</w:t>
            </w:r>
            <w:proofErr w:type="spellEnd"/>
            <w:r w:rsidRPr="001B0B69">
              <w:rPr>
                <w:rFonts w:ascii="Times New Roman" w:eastAsia="Times New Roman" w:hAnsi="Times New Roman"/>
                <w:b/>
                <w:bCs/>
                <w:iCs/>
                <w:sz w:val="24"/>
                <w:szCs w:val="24"/>
                <w:lang w:val="sv-SE" w:eastAsia="lv-LV"/>
              </w:rPr>
              <w:t xml:space="preserve"> akta </w:t>
            </w:r>
            <w:proofErr w:type="spellStart"/>
            <w:r w:rsidRPr="001B0B69">
              <w:rPr>
                <w:rFonts w:ascii="Times New Roman" w:eastAsia="Times New Roman" w:hAnsi="Times New Roman"/>
                <w:b/>
                <w:bCs/>
                <w:iCs/>
                <w:sz w:val="24"/>
                <w:szCs w:val="24"/>
                <w:lang w:val="sv-SE" w:eastAsia="lv-LV"/>
              </w:rPr>
              <w:t>projekta</w:t>
            </w:r>
            <w:proofErr w:type="spellEnd"/>
            <w:r w:rsidRPr="001B0B69">
              <w:rPr>
                <w:rFonts w:ascii="Times New Roman" w:eastAsia="Times New Roman" w:hAnsi="Times New Roman"/>
                <w:b/>
                <w:bCs/>
                <w:iCs/>
                <w:sz w:val="24"/>
                <w:szCs w:val="24"/>
                <w:lang w:val="sv-SE" w:eastAsia="lv-LV"/>
              </w:rPr>
              <w:t xml:space="preserve"> </w:t>
            </w:r>
            <w:proofErr w:type="spellStart"/>
            <w:r w:rsidRPr="001B0B69">
              <w:rPr>
                <w:rFonts w:ascii="Times New Roman" w:eastAsia="Times New Roman" w:hAnsi="Times New Roman"/>
                <w:b/>
                <w:bCs/>
                <w:iCs/>
                <w:sz w:val="24"/>
                <w:szCs w:val="24"/>
                <w:lang w:val="sv-SE" w:eastAsia="lv-LV"/>
              </w:rPr>
              <w:t>izstrādes</w:t>
            </w:r>
            <w:proofErr w:type="spellEnd"/>
            <w:r w:rsidRPr="001B0B69">
              <w:rPr>
                <w:rFonts w:ascii="Times New Roman" w:eastAsia="Times New Roman" w:hAnsi="Times New Roman"/>
                <w:b/>
                <w:bCs/>
                <w:iCs/>
                <w:sz w:val="24"/>
                <w:szCs w:val="24"/>
                <w:lang w:val="sv-SE" w:eastAsia="lv-LV"/>
              </w:rPr>
              <w:t xml:space="preserve"> </w:t>
            </w:r>
            <w:proofErr w:type="spellStart"/>
            <w:r w:rsidRPr="001B0B69">
              <w:rPr>
                <w:rFonts w:ascii="Times New Roman" w:eastAsia="Times New Roman" w:hAnsi="Times New Roman"/>
                <w:b/>
                <w:bCs/>
                <w:iCs/>
                <w:sz w:val="24"/>
                <w:szCs w:val="24"/>
                <w:lang w:val="sv-SE" w:eastAsia="lv-LV"/>
              </w:rPr>
              <w:t>nepieciešamība</w:t>
            </w:r>
            <w:proofErr w:type="spellEnd"/>
          </w:p>
        </w:tc>
      </w:tr>
      <w:tr w:rsidR="00580969" w:rsidRPr="001B0B69" w14:paraId="467F5C91"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73C9618" w14:textId="77777777" w:rsidR="001207BA"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p w14:paraId="2A56E51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629FA36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214CB6E2"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1710B75F"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2EE685C1" w14:textId="77777777" w:rsidR="001D29D5" w:rsidRPr="001B0B69" w:rsidRDefault="001D29D5" w:rsidP="001B0B69">
            <w:pPr>
              <w:spacing w:after="0" w:line="240" w:lineRule="auto"/>
              <w:rPr>
                <w:rFonts w:ascii="Times New Roman" w:eastAsia="Times New Roman" w:hAnsi="Times New Roman"/>
                <w:sz w:val="24"/>
                <w:szCs w:val="24"/>
                <w:lang w:eastAsia="lv-LV"/>
              </w:rPr>
            </w:pPr>
          </w:p>
        </w:tc>
        <w:tc>
          <w:tcPr>
            <w:tcW w:w="1114" w:type="pct"/>
            <w:tcBorders>
              <w:top w:val="outset" w:sz="6" w:space="0" w:color="auto"/>
              <w:left w:val="outset" w:sz="6" w:space="0" w:color="auto"/>
              <w:bottom w:val="outset" w:sz="6" w:space="0" w:color="auto"/>
              <w:right w:val="outset" w:sz="6" w:space="0" w:color="auto"/>
            </w:tcBorders>
            <w:hideMark/>
          </w:tcPr>
          <w:p w14:paraId="711A4320" w14:textId="1B84F277" w:rsidR="001D29D5" w:rsidRPr="00595016" w:rsidRDefault="001D29D5" w:rsidP="00595016">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Pamatojums</w:t>
            </w:r>
          </w:p>
        </w:tc>
        <w:tc>
          <w:tcPr>
            <w:tcW w:w="3658" w:type="pct"/>
            <w:tcBorders>
              <w:top w:val="outset" w:sz="6" w:space="0" w:color="auto"/>
              <w:left w:val="outset" w:sz="6" w:space="0" w:color="auto"/>
              <w:bottom w:val="outset" w:sz="6" w:space="0" w:color="auto"/>
              <w:right w:val="outset" w:sz="6" w:space="0" w:color="auto"/>
            </w:tcBorders>
            <w:hideMark/>
          </w:tcPr>
          <w:p w14:paraId="65281317" w14:textId="21FB7A61" w:rsidR="009B2378" w:rsidRDefault="009B2378" w:rsidP="009B2378">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Izglītības un zinātnes ministrija (turpmāk – ministrija) ir sagatavojusi pēc savas iniciatīvas </w:t>
            </w:r>
            <w:r w:rsidR="009E6685" w:rsidRPr="001B0B69">
              <w:rPr>
                <w:rFonts w:ascii="Times New Roman" w:eastAsia="Times New Roman" w:hAnsi="Times New Roman"/>
                <w:iCs/>
                <w:sz w:val="24"/>
                <w:szCs w:val="24"/>
                <w:lang w:eastAsia="lv-LV"/>
              </w:rPr>
              <w:t xml:space="preserve">Ministru kabineta </w:t>
            </w:r>
            <w:r w:rsidR="009E6685">
              <w:rPr>
                <w:rFonts w:ascii="Times New Roman" w:eastAsia="Times New Roman" w:hAnsi="Times New Roman"/>
                <w:iCs/>
                <w:sz w:val="24"/>
                <w:szCs w:val="24"/>
                <w:lang w:eastAsia="lv-LV"/>
              </w:rPr>
              <w:t>noteikumu</w:t>
            </w:r>
            <w:r w:rsidR="009E6685" w:rsidRPr="001B0B69">
              <w:rPr>
                <w:rFonts w:ascii="Times New Roman" w:eastAsia="Times New Roman" w:hAnsi="Times New Roman"/>
                <w:iCs/>
                <w:sz w:val="24"/>
                <w:szCs w:val="24"/>
                <w:lang w:eastAsia="lv-LV"/>
              </w:rPr>
              <w:t xml:space="preserve"> projekt</w:t>
            </w:r>
            <w:r>
              <w:rPr>
                <w:rFonts w:ascii="Times New Roman" w:eastAsia="Times New Roman" w:hAnsi="Times New Roman"/>
                <w:iCs/>
                <w:sz w:val="24"/>
                <w:szCs w:val="24"/>
                <w:lang w:eastAsia="lv-LV"/>
              </w:rPr>
              <w:t>u</w:t>
            </w:r>
            <w:r w:rsidR="009E6685" w:rsidRPr="001B0B6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“Grozījums </w:t>
            </w:r>
            <w:r w:rsidR="009E6685" w:rsidRPr="00C93FFD">
              <w:rPr>
                <w:rFonts w:ascii="Times New Roman" w:eastAsia="Times New Roman" w:hAnsi="Times New Roman"/>
                <w:iCs/>
                <w:sz w:val="24"/>
                <w:szCs w:val="24"/>
                <w:lang w:eastAsia="lv-LV"/>
              </w:rPr>
              <w:t>Ministru kabineta 2018. gada 2. oktobra noteikumos Nr. 619  “Zinātnisko institūciju darbības starptautiskā novērtējuma organizēšanas kārtība””</w:t>
            </w:r>
            <w:r w:rsidR="009E6685">
              <w:rPr>
                <w:rFonts w:ascii="Times New Roman" w:eastAsia="Times New Roman" w:hAnsi="Times New Roman"/>
                <w:iCs/>
                <w:sz w:val="24"/>
                <w:szCs w:val="24"/>
                <w:lang w:eastAsia="lv-LV"/>
              </w:rPr>
              <w:t xml:space="preserve"> (turpmāk –</w:t>
            </w:r>
            <w:r>
              <w:rPr>
                <w:rFonts w:ascii="Times New Roman" w:eastAsia="Times New Roman" w:hAnsi="Times New Roman"/>
                <w:iCs/>
                <w:sz w:val="24"/>
                <w:szCs w:val="24"/>
                <w:lang w:eastAsia="lv-LV"/>
              </w:rPr>
              <w:t xml:space="preserve"> </w:t>
            </w:r>
            <w:r w:rsidR="009E6685" w:rsidRPr="001B0B69">
              <w:rPr>
                <w:rFonts w:ascii="Times New Roman" w:eastAsia="Times New Roman" w:hAnsi="Times New Roman"/>
                <w:iCs/>
                <w:sz w:val="24"/>
                <w:szCs w:val="24"/>
                <w:lang w:eastAsia="lv-LV"/>
              </w:rPr>
              <w:t xml:space="preserve">projekts) </w:t>
            </w:r>
            <w:r w:rsidR="00595016" w:rsidRPr="00595016">
              <w:rPr>
                <w:rFonts w:ascii="Times New Roman" w:eastAsia="Times New Roman" w:hAnsi="Times New Roman"/>
                <w:iCs/>
                <w:sz w:val="24"/>
                <w:szCs w:val="24"/>
                <w:lang w:eastAsia="lv-LV"/>
              </w:rPr>
              <w:t>saskaņā ar Zinātniskās darbības likuma</w:t>
            </w:r>
            <w:r>
              <w:rPr>
                <w:rFonts w:ascii="Times New Roman" w:eastAsia="Times New Roman" w:hAnsi="Times New Roman"/>
                <w:iCs/>
                <w:sz w:val="24"/>
                <w:szCs w:val="24"/>
                <w:lang w:eastAsia="lv-LV"/>
              </w:rPr>
              <w:t>:</w:t>
            </w:r>
          </w:p>
          <w:p w14:paraId="687763F2" w14:textId="18EDD92E" w:rsidR="009B2378" w:rsidRPr="009B2378" w:rsidRDefault="00595016" w:rsidP="009B2378">
            <w:pPr>
              <w:pStyle w:val="ListParagraph"/>
              <w:numPr>
                <w:ilvl w:val="0"/>
                <w:numId w:val="16"/>
              </w:numPr>
              <w:spacing w:after="0" w:line="240" w:lineRule="auto"/>
              <w:ind w:left="-45" w:firstLine="405"/>
              <w:jc w:val="both"/>
              <w:rPr>
                <w:rFonts w:ascii="Times New Roman" w:eastAsia="Times New Roman" w:hAnsi="Times New Roman"/>
                <w:iCs/>
                <w:sz w:val="24"/>
                <w:szCs w:val="24"/>
                <w:lang w:eastAsia="lv-LV"/>
              </w:rPr>
            </w:pPr>
            <w:r w:rsidRPr="009B2378">
              <w:rPr>
                <w:rFonts w:ascii="Times New Roman" w:eastAsia="Times New Roman" w:hAnsi="Times New Roman"/>
                <w:iCs/>
                <w:sz w:val="24"/>
                <w:szCs w:val="24"/>
                <w:lang w:eastAsia="lv-LV"/>
              </w:rPr>
              <w:t>41. panta trešo daļu, ka kārtību, kādā ministrija reizi sešos gados organizē zinātnisko institūciju darbības starptautisko novērt</w:t>
            </w:r>
            <w:r w:rsidR="009B2378" w:rsidRPr="009B2378">
              <w:rPr>
                <w:rFonts w:ascii="Times New Roman" w:eastAsia="Times New Roman" w:hAnsi="Times New Roman"/>
                <w:iCs/>
                <w:sz w:val="24"/>
                <w:szCs w:val="24"/>
                <w:lang w:eastAsia="lv-LV"/>
              </w:rPr>
              <w:t>ējumu, nosaka Ministru kabinets;</w:t>
            </w:r>
          </w:p>
          <w:p w14:paraId="6614C967" w14:textId="16D99F2E" w:rsidR="001D29D5" w:rsidRPr="009B2378" w:rsidRDefault="0057683D" w:rsidP="00D00A64">
            <w:pPr>
              <w:pStyle w:val="ListParagraph"/>
              <w:numPr>
                <w:ilvl w:val="0"/>
                <w:numId w:val="16"/>
              </w:numPr>
              <w:spacing w:after="0" w:line="240" w:lineRule="auto"/>
              <w:ind w:left="-45" w:firstLine="405"/>
              <w:jc w:val="both"/>
              <w:rPr>
                <w:rFonts w:ascii="Times New Roman" w:hAnsi="Times New Roman"/>
                <w:sz w:val="24"/>
                <w:szCs w:val="24"/>
              </w:rPr>
            </w:pPr>
            <w:r>
              <w:rPr>
                <w:rFonts w:ascii="Times New Roman" w:eastAsia="Times New Roman" w:hAnsi="Times New Roman"/>
                <w:iCs/>
                <w:sz w:val="24"/>
                <w:szCs w:val="24"/>
                <w:lang w:eastAsia="lv-LV"/>
              </w:rPr>
              <w:t xml:space="preserve"> pārejas noteikumu 22. punktu</w:t>
            </w:r>
            <w:r w:rsidR="00595016" w:rsidRPr="009B2378">
              <w:rPr>
                <w:rFonts w:ascii="Times New Roman" w:eastAsia="Times New Roman" w:hAnsi="Times New Roman"/>
                <w:iCs/>
                <w:sz w:val="24"/>
                <w:szCs w:val="24"/>
                <w:lang w:eastAsia="lv-LV"/>
              </w:rPr>
              <w:t xml:space="preserve">, ka </w:t>
            </w:r>
            <w:r w:rsidR="00595016" w:rsidRPr="009B2378">
              <w:rPr>
                <w:rFonts w:ascii="Times New Roman" w:eastAsia="Times New Roman" w:hAnsi="Times New Roman"/>
                <w:iCs/>
                <w:sz w:val="24"/>
                <w:szCs w:val="24"/>
                <w:u w:val="single"/>
                <w:lang w:eastAsia="lv-LV"/>
              </w:rPr>
              <w:t>novērtējumu pirmo reizi organizē 2019. gadā.</w:t>
            </w:r>
          </w:p>
        </w:tc>
      </w:tr>
      <w:tr w:rsidR="00580969" w:rsidRPr="001B0B69" w14:paraId="2C88833D"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1F0F12F3" w14:textId="47421919"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114" w:type="pct"/>
            <w:tcBorders>
              <w:top w:val="outset" w:sz="6" w:space="0" w:color="auto"/>
              <w:left w:val="outset" w:sz="6" w:space="0" w:color="auto"/>
              <w:bottom w:val="outset" w:sz="6" w:space="0" w:color="auto"/>
              <w:right w:val="outset" w:sz="6" w:space="0" w:color="auto"/>
            </w:tcBorders>
            <w:hideMark/>
          </w:tcPr>
          <w:p w14:paraId="2056B9D0"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658" w:type="pct"/>
            <w:tcBorders>
              <w:top w:val="outset" w:sz="6" w:space="0" w:color="auto"/>
              <w:left w:val="outset" w:sz="6" w:space="0" w:color="auto"/>
              <w:bottom w:val="outset" w:sz="6" w:space="0" w:color="auto"/>
              <w:right w:val="outset" w:sz="6" w:space="0" w:color="auto"/>
            </w:tcBorders>
          </w:tcPr>
          <w:p w14:paraId="19DAC157" w14:textId="787CA195" w:rsidR="00B62A51" w:rsidRDefault="009B2378" w:rsidP="00B62A51">
            <w:pPr>
              <w:spacing w:after="0" w:line="240" w:lineRule="auto"/>
              <w:jc w:val="both"/>
              <w:rPr>
                <w:rFonts w:ascii="Times New Roman" w:eastAsia="Times New Roman" w:hAnsi="Times New Roman"/>
                <w:iCs/>
                <w:sz w:val="24"/>
                <w:szCs w:val="24"/>
                <w:lang w:eastAsia="lv-LV"/>
              </w:rPr>
            </w:pPr>
            <w:r w:rsidRPr="00B62A51">
              <w:rPr>
                <w:rFonts w:ascii="Times New Roman" w:eastAsia="Times New Roman" w:hAnsi="Times New Roman"/>
                <w:iCs/>
                <w:sz w:val="24"/>
                <w:szCs w:val="24"/>
                <w:lang w:eastAsia="lv-LV"/>
              </w:rPr>
              <w:t xml:space="preserve">Zinātniskās darbības likuma </w:t>
            </w:r>
            <w:r w:rsidR="00B62A51" w:rsidRPr="00B62A51">
              <w:rPr>
                <w:rFonts w:ascii="Times New Roman" w:eastAsia="Times New Roman" w:hAnsi="Times New Roman"/>
                <w:iCs/>
                <w:sz w:val="24"/>
                <w:szCs w:val="24"/>
                <w:lang w:eastAsia="lv-LV"/>
              </w:rPr>
              <w:t>41.pants</w:t>
            </w:r>
            <w:r w:rsidRPr="00B62A51">
              <w:rPr>
                <w:rFonts w:ascii="Times New Roman" w:eastAsia="Times New Roman" w:hAnsi="Times New Roman"/>
                <w:iCs/>
                <w:sz w:val="24"/>
                <w:szCs w:val="24"/>
                <w:lang w:eastAsia="lv-LV"/>
              </w:rPr>
              <w:t xml:space="preserve"> nosaka, ka </w:t>
            </w:r>
            <w:r w:rsidRPr="00B62A51">
              <w:rPr>
                <w:rFonts w:ascii="Times New Roman" w:hAnsi="Times New Roman"/>
                <w:sz w:val="24"/>
                <w:szCs w:val="24"/>
              </w:rPr>
              <w:t>zinātnisko institūciju darbības starptautiskais novērtējums ir ārvalstu ekspertu sagatavots ziņojums, kas ietver ziņas par zinātniskās institūcijas:1) zinātniskās darbības kvalitāti; 2) zinātniskās darbības ietekmi uz attiecīgo zinātnes nozari; 3) zinātniskās darbības ekonomisko un sociālo ietekmi;</w:t>
            </w:r>
            <w:r w:rsidR="00B62A51" w:rsidRPr="00B62A51">
              <w:rPr>
                <w:rFonts w:ascii="Times New Roman" w:hAnsi="Times New Roman"/>
                <w:sz w:val="24"/>
                <w:szCs w:val="24"/>
              </w:rPr>
              <w:t xml:space="preserve"> </w:t>
            </w:r>
            <w:r w:rsidRPr="00B62A51">
              <w:rPr>
                <w:rFonts w:ascii="Times New Roman" w:hAnsi="Times New Roman"/>
                <w:sz w:val="24"/>
                <w:szCs w:val="24"/>
              </w:rPr>
              <w:t>4) infrastruktūru un tās atbilstību zinātniskās institūcijas darbībai;</w:t>
            </w:r>
            <w:r w:rsidR="00B62A51" w:rsidRPr="00B62A51">
              <w:rPr>
                <w:rFonts w:ascii="Times New Roman" w:hAnsi="Times New Roman"/>
                <w:sz w:val="24"/>
                <w:szCs w:val="24"/>
              </w:rPr>
              <w:t xml:space="preserve"> </w:t>
            </w:r>
            <w:r w:rsidRPr="00B62A51">
              <w:rPr>
                <w:rFonts w:ascii="Times New Roman" w:hAnsi="Times New Roman"/>
                <w:sz w:val="24"/>
                <w:szCs w:val="24"/>
              </w:rPr>
              <w:t>5) attīstības potenciālu.</w:t>
            </w:r>
            <w:r w:rsidR="00B62A51" w:rsidRPr="00B62A51">
              <w:rPr>
                <w:rFonts w:ascii="Times New Roman" w:hAnsi="Times New Roman"/>
                <w:sz w:val="24"/>
                <w:szCs w:val="24"/>
              </w:rPr>
              <w:t xml:space="preserve"> </w:t>
            </w:r>
            <w:r w:rsidRPr="00B62A51">
              <w:rPr>
                <w:rFonts w:ascii="Times New Roman" w:hAnsi="Times New Roman"/>
                <w:sz w:val="24"/>
                <w:szCs w:val="24"/>
              </w:rPr>
              <w:t>Ārvalstu ekspertu darbu organizē, veidojot koleģiālas zinātnes nozaru ekspertu grupas</w:t>
            </w:r>
            <w:r w:rsidR="00B62A51">
              <w:rPr>
                <w:rFonts w:ascii="Times New Roman" w:hAnsi="Times New Roman"/>
                <w:sz w:val="24"/>
                <w:szCs w:val="24"/>
              </w:rPr>
              <w:t xml:space="preserve"> (turpmāk –</w:t>
            </w:r>
            <w:r w:rsidR="00B62A51" w:rsidRPr="00B62A51">
              <w:rPr>
                <w:rFonts w:ascii="Times New Roman" w:hAnsi="Times New Roman"/>
                <w:sz w:val="24"/>
                <w:szCs w:val="24"/>
              </w:rPr>
              <w:t xml:space="preserve"> </w:t>
            </w:r>
            <w:r w:rsidR="00B62A51">
              <w:rPr>
                <w:rFonts w:ascii="Times New Roman" w:hAnsi="Times New Roman"/>
                <w:sz w:val="24"/>
                <w:szCs w:val="24"/>
              </w:rPr>
              <w:t xml:space="preserve">ārvalstu </w:t>
            </w:r>
            <w:r w:rsidR="00B62A51" w:rsidRPr="00B62A51">
              <w:rPr>
                <w:rFonts w:ascii="Times New Roman" w:hAnsi="Times New Roman"/>
                <w:sz w:val="24"/>
                <w:szCs w:val="24"/>
              </w:rPr>
              <w:t>ekspertu grupas</w:t>
            </w:r>
            <w:r w:rsidR="00B62A51">
              <w:rPr>
                <w:rFonts w:ascii="Times New Roman" w:hAnsi="Times New Roman"/>
                <w:sz w:val="24"/>
                <w:szCs w:val="24"/>
              </w:rPr>
              <w:t>)</w:t>
            </w:r>
            <w:r w:rsidRPr="00B62A51">
              <w:rPr>
                <w:rFonts w:ascii="Times New Roman" w:hAnsi="Times New Roman"/>
                <w:sz w:val="24"/>
                <w:szCs w:val="24"/>
              </w:rPr>
              <w:t>.</w:t>
            </w:r>
            <w:r w:rsidR="00B62A51" w:rsidRPr="00374731">
              <w:rPr>
                <w:rFonts w:ascii="Times New Roman" w:eastAsia="Times New Roman" w:hAnsi="Times New Roman"/>
                <w:iCs/>
                <w:sz w:val="24"/>
                <w:szCs w:val="24"/>
                <w:lang w:eastAsia="lv-LV"/>
              </w:rPr>
              <w:t xml:space="preserve"> </w:t>
            </w:r>
          </w:p>
          <w:p w14:paraId="44C377E1" w14:textId="1E898E0D" w:rsidR="00B62A51" w:rsidRPr="00374731" w:rsidRDefault="00B62A51" w:rsidP="00B62A51">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Novērtējums </w:t>
            </w:r>
            <w:r w:rsidRPr="00374731">
              <w:rPr>
                <w:rFonts w:ascii="Times New Roman" w:eastAsia="Times New Roman" w:hAnsi="Times New Roman"/>
                <w:iCs/>
                <w:sz w:val="24"/>
                <w:szCs w:val="24"/>
                <w:lang w:eastAsia="lv-LV"/>
              </w:rPr>
              <w:t>ir zinātnisko institūciju darbības kvalitātes uzlabošana, starptautiskās konkurētspējas palielināšana, sekmīgāka iekļaušanās Eiropas pētniecības telpā un valsts konkurētspējas palielināšana, kā arī efektīvas un pierādījumos balstītas valsts zinātnes, tehnoloģiju attīstības un inovāciju politikas īstenošana.</w:t>
            </w:r>
          </w:p>
          <w:p w14:paraId="2A0B16AA" w14:textId="3E6B358B" w:rsidR="00374731" w:rsidRDefault="00374731" w:rsidP="00B62A51">
            <w:pPr>
              <w:spacing w:after="0" w:line="240" w:lineRule="auto"/>
              <w:jc w:val="both"/>
              <w:rPr>
                <w:rFonts w:ascii="Times New Roman" w:eastAsia="Times New Roman" w:hAnsi="Times New Roman"/>
                <w:iCs/>
                <w:sz w:val="24"/>
                <w:szCs w:val="24"/>
                <w:lang w:eastAsia="lv-LV"/>
              </w:rPr>
            </w:pPr>
            <w:r w:rsidRPr="00374731">
              <w:rPr>
                <w:rFonts w:ascii="Times New Roman" w:eastAsia="Times New Roman" w:hAnsi="Times New Roman"/>
                <w:iCs/>
                <w:sz w:val="24"/>
                <w:szCs w:val="24"/>
                <w:lang w:eastAsia="lv-LV"/>
              </w:rPr>
              <w:lastRenderedPageBreak/>
              <w:t>Ar Ministru kabineta 2018. gada 2. oktobra sēdes protokollēmumu Nr. 45 23.§ ministrijai ir uzdots, ņemot vērā 2019. gadā veikto starptautisko novērtējumu, sešu mēnešu laikā no starptautiskā novērtējuma pabeigšanas dienas sagatavot un izglītības un zinātnes ministram iesniegt izskatīšanai Ministru kabinetā informatīvo ziņojumu par turpmāko publiskā finansējuma sasaisti ar starptautiskā novērtējuma rezultātiem, tajā skaitā, aprēķinot un piešķirot bāzes finansējumu zinātnisko institūciju reģistrā reģistrētajiem valsts zinātniskajiem institūtiem, valsts augstskolām, valsts augstskolu zinātniskajiem institūtiem, tai skaitā valsts dibināto universitāšu zinātniskajiem institūtiem – atvasinātām publiskām personām, tostarp ievērojot, ka starptautiskais novērtējums ir veikts valsts augstskolu vērtē</w:t>
            </w:r>
            <w:bookmarkStart w:id="0" w:name="_GoBack"/>
            <w:bookmarkEnd w:id="0"/>
            <w:r w:rsidRPr="00374731">
              <w:rPr>
                <w:rFonts w:ascii="Times New Roman" w:eastAsia="Times New Roman" w:hAnsi="Times New Roman"/>
                <w:iCs/>
                <w:sz w:val="24"/>
                <w:szCs w:val="24"/>
                <w:lang w:eastAsia="lv-LV"/>
              </w:rPr>
              <w:t>jamām vienībām</w:t>
            </w:r>
            <w:r w:rsidR="00B62A51">
              <w:rPr>
                <w:rFonts w:ascii="Times New Roman" w:eastAsia="Times New Roman" w:hAnsi="Times New Roman"/>
                <w:iCs/>
                <w:sz w:val="24"/>
                <w:szCs w:val="24"/>
                <w:lang w:eastAsia="lv-LV"/>
              </w:rPr>
              <w:t>.</w:t>
            </w:r>
          </w:p>
          <w:p w14:paraId="2587F15A" w14:textId="40E8680B" w:rsidR="00B62A51" w:rsidRDefault="00B62A51" w:rsidP="00B62A51">
            <w:pPr>
              <w:spacing w:after="0" w:line="240" w:lineRule="auto"/>
              <w:jc w:val="both"/>
              <w:rPr>
                <w:rFonts w:ascii="Times New Roman" w:hAnsi="Times New Roman"/>
                <w:sz w:val="24"/>
                <w:szCs w:val="24"/>
                <w:shd w:val="clear" w:color="auto" w:fill="FFFFFF"/>
              </w:rPr>
            </w:pPr>
            <w:r>
              <w:rPr>
                <w:rFonts w:ascii="Times New Roman" w:eastAsia="Times New Roman" w:hAnsi="Times New Roman"/>
                <w:iCs/>
                <w:sz w:val="24"/>
                <w:szCs w:val="24"/>
                <w:lang w:eastAsia="lv-LV"/>
              </w:rPr>
              <w:t xml:space="preserve">Pamatojoties uz </w:t>
            </w:r>
            <w:r w:rsidRPr="00C93FFD">
              <w:rPr>
                <w:rFonts w:ascii="Times New Roman" w:eastAsia="Times New Roman" w:hAnsi="Times New Roman"/>
                <w:iCs/>
                <w:sz w:val="24"/>
                <w:szCs w:val="24"/>
                <w:lang w:eastAsia="lv-LV"/>
              </w:rPr>
              <w:t>Ministru kabineta 2018. gada 2. oktobra noteikumos Nr. 619  “Zinātnisko institūciju darbības starptautiskā novērtējuma organizēšanas kārtība”</w:t>
            </w:r>
            <w:r>
              <w:rPr>
                <w:rFonts w:ascii="Times New Roman" w:eastAsia="Times New Roman" w:hAnsi="Times New Roman"/>
                <w:iCs/>
                <w:sz w:val="24"/>
                <w:szCs w:val="24"/>
                <w:lang w:eastAsia="lv-LV"/>
              </w:rPr>
              <w:t xml:space="preserve"> (turpmāk – MK noteikumi) 9.4.apakšpunktu</w:t>
            </w:r>
            <w:r w:rsidRPr="00B62A51">
              <w:rPr>
                <w:rFonts w:ascii="Times New Roman" w:eastAsia="Times New Roman" w:hAnsi="Times New Roman"/>
                <w:iCs/>
                <w:sz w:val="24"/>
                <w:szCs w:val="24"/>
                <w:lang w:eastAsia="lv-LV"/>
              </w:rPr>
              <w:t xml:space="preserve">, </w:t>
            </w:r>
            <w:r w:rsidRPr="00B62A51">
              <w:rPr>
                <w:rFonts w:ascii="Times New Roman" w:hAnsi="Times New Roman"/>
                <w:sz w:val="24"/>
                <w:szCs w:val="24"/>
              </w:rPr>
              <w:t xml:space="preserve"> zinātnisko ekspertu grupas uzdevumos ir arī</w:t>
            </w:r>
            <w:r w:rsidRPr="00B62A51">
              <w:rPr>
                <w:rFonts w:ascii="Times New Roman" w:hAnsi="Times New Roman"/>
                <w:sz w:val="24"/>
                <w:szCs w:val="24"/>
                <w:shd w:val="clear" w:color="auto" w:fill="FFFFFF"/>
              </w:rPr>
              <w:t xml:space="preserve"> klātienes vizītes zinātniskajā institūcijā veikšana, kas ietver intervijas ar zinātniskās institūcijas darbiniekiem un pētniecības infrastruktūras apskati. Vizīšu laikā zinātniskā institūcija var papildus organizēt ekspertu grupas intervijas ar nozares ministriju, kuras padotībā ir zinātniskā institūcija, un saistīto industriju pārstāvjiem, ņemot vērā zinātniskās institūcijas darbības specifiku</w:t>
            </w:r>
            <w:r>
              <w:rPr>
                <w:rFonts w:ascii="Times New Roman" w:hAnsi="Times New Roman"/>
                <w:sz w:val="24"/>
                <w:szCs w:val="24"/>
                <w:shd w:val="clear" w:color="auto" w:fill="FFFFFF"/>
              </w:rPr>
              <w:t>.</w:t>
            </w:r>
          </w:p>
          <w:p w14:paraId="2F1AFAD5" w14:textId="5939104F" w:rsidR="0057683D" w:rsidRPr="0057683D" w:rsidRDefault="0057683D" w:rsidP="00B62A51">
            <w:pPr>
              <w:spacing w:after="0" w:line="240" w:lineRule="auto"/>
              <w:jc w:val="both"/>
              <w:rPr>
                <w:rFonts w:ascii="Times New Roman" w:hAnsi="Times New Roman"/>
                <w:sz w:val="24"/>
                <w:szCs w:val="24"/>
                <w:shd w:val="clear" w:color="auto" w:fill="FFFFFF"/>
              </w:rPr>
            </w:pPr>
            <w:r w:rsidRPr="0057683D">
              <w:rPr>
                <w:rFonts w:ascii="Times New Roman" w:hAnsi="Times New Roman"/>
                <w:sz w:val="24"/>
                <w:szCs w:val="24"/>
                <w:shd w:val="clear" w:color="auto" w:fill="FFFFFF"/>
              </w:rPr>
              <w:t>Ievērojot MK noteikumu 6.punktu, novērtējuma darbu organizē, izveidojot ārvalstu ekspertu grupas šādās zinātnes nozarēs, ievērojot normatīvo regulējumu par Latvijas zinātnes nozarēm un apakšnozarēm:</w:t>
            </w:r>
            <w:r w:rsidRPr="0057683D">
              <w:rPr>
                <w:rFonts w:ascii="Times New Roman" w:hAnsi="Times New Roman"/>
                <w:sz w:val="24"/>
                <w:szCs w:val="24"/>
              </w:rPr>
              <w:t xml:space="preserve"> inženierzinātņu un tehnoloģiju</w:t>
            </w:r>
            <w:r w:rsidRPr="0057683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zinātņu</w:t>
            </w:r>
            <w:r w:rsidRPr="0057683D">
              <w:rPr>
                <w:rFonts w:ascii="Times New Roman" w:hAnsi="Times New Roman"/>
                <w:sz w:val="24"/>
                <w:szCs w:val="24"/>
                <w:shd w:val="clear" w:color="auto" w:fill="FFFFFF"/>
              </w:rPr>
              <w:t xml:space="preserve"> nozarēs</w:t>
            </w:r>
            <w:r w:rsidRPr="0057683D">
              <w:rPr>
                <w:rFonts w:ascii="Times New Roman" w:hAnsi="Times New Roman"/>
                <w:sz w:val="24"/>
                <w:szCs w:val="24"/>
              </w:rPr>
              <w:t>; medicīnas un veselības</w:t>
            </w:r>
            <w:r>
              <w:rPr>
                <w:rFonts w:ascii="Times New Roman" w:hAnsi="Times New Roman"/>
                <w:sz w:val="24"/>
                <w:szCs w:val="24"/>
              </w:rPr>
              <w:t xml:space="preserve"> </w:t>
            </w:r>
            <w:r>
              <w:rPr>
                <w:rFonts w:ascii="Times New Roman" w:hAnsi="Times New Roman"/>
                <w:sz w:val="24"/>
                <w:szCs w:val="24"/>
                <w:shd w:val="clear" w:color="auto" w:fill="FFFFFF"/>
              </w:rPr>
              <w:t xml:space="preserve"> zinātņu</w:t>
            </w:r>
            <w:r w:rsidRPr="0057683D">
              <w:rPr>
                <w:rFonts w:ascii="Times New Roman" w:hAnsi="Times New Roman"/>
                <w:sz w:val="24"/>
                <w:szCs w:val="24"/>
                <w:shd w:val="clear" w:color="auto" w:fill="FFFFFF"/>
              </w:rPr>
              <w:t xml:space="preserve"> nozarēs</w:t>
            </w:r>
            <w:r w:rsidRPr="0057683D">
              <w:rPr>
                <w:rFonts w:ascii="Times New Roman" w:hAnsi="Times New Roman"/>
                <w:sz w:val="24"/>
                <w:szCs w:val="24"/>
              </w:rPr>
              <w:t>; lauk</w:t>
            </w:r>
            <w:r>
              <w:rPr>
                <w:rFonts w:ascii="Times New Roman" w:hAnsi="Times New Roman"/>
                <w:sz w:val="24"/>
                <w:szCs w:val="24"/>
              </w:rPr>
              <w:t xml:space="preserve">saimniecības, meža un veterināro </w:t>
            </w:r>
            <w:r>
              <w:rPr>
                <w:rFonts w:ascii="Times New Roman" w:hAnsi="Times New Roman"/>
                <w:sz w:val="24"/>
                <w:szCs w:val="24"/>
                <w:shd w:val="clear" w:color="auto" w:fill="FFFFFF"/>
              </w:rPr>
              <w:t xml:space="preserve"> zinātņu</w:t>
            </w:r>
            <w:r w:rsidRPr="0057683D">
              <w:rPr>
                <w:rFonts w:ascii="Times New Roman" w:hAnsi="Times New Roman"/>
                <w:sz w:val="24"/>
                <w:szCs w:val="24"/>
                <w:shd w:val="clear" w:color="auto" w:fill="FFFFFF"/>
              </w:rPr>
              <w:t xml:space="preserve"> nozarēs</w:t>
            </w:r>
            <w:r w:rsidRPr="0057683D">
              <w:rPr>
                <w:rFonts w:ascii="Times New Roman" w:hAnsi="Times New Roman"/>
                <w:sz w:val="24"/>
                <w:szCs w:val="24"/>
              </w:rPr>
              <w:t>; sociālo</w:t>
            </w:r>
            <w:r>
              <w:rPr>
                <w:rFonts w:ascii="Times New Roman" w:hAnsi="Times New Roman"/>
                <w:sz w:val="24"/>
                <w:szCs w:val="24"/>
                <w:shd w:val="clear" w:color="auto" w:fill="FFFFFF"/>
              </w:rPr>
              <w:t xml:space="preserve"> zinātņu</w:t>
            </w:r>
            <w:r w:rsidRPr="0057683D">
              <w:rPr>
                <w:rFonts w:ascii="Times New Roman" w:hAnsi="Times New Roman"/>
                <w:sz w:val="24"/>
                <w:szCs w:val="24"/>
                <w:shd w:val="clear" w:color="auto" w:fill="FFFFFF"/>
              </w:rPr>
              <w:t xml:space="preserve"> nozarēs</w:t>
            </w:r>
            <w:r w:rsidRPr="0057683D">
              <w:rPr>
                <w:rFonts w:ascii="Times New Roman" w:hAnsi="Times New Roman"/>
                <w:sz w:val="24"/>
                <w:szCs w:val="24"/>
              </w:rPr>
              <w:t>; humanitāro un mākslas</w:t>
            </w:r>
            <w:r>
              <w:rPr>
                <w:rFonts w:ascii="Times New Roman" w:hAnsi="Times New Roman"/>
                <w:sz w:val="24"/>
                <w:szCs w:val="24"/>
                <w:shd w:val="clear" w:color="auto" w:fill="FFFFFF"/>
              </w:rPr>
              <w:t xml:space="preserve"> zinātņu</w:t>
            </w:r>
            <w:r w:rsidRPr="0057683D">
              <w:rPr>
                <w:rFonts w:ascii="Times New Roman" w:hAnsi="Times New Roman"/>
                <w:sz w:val="24"/>
                <w:szCs w:val="24"/>
                <w:shd w:val="clear" w:color="auto" w:fill="FFFFFF"/>
              </w:rPr>
              <w:t xml:space="preserve"> nozarēs</w:t>
            </w:r>
            <w:r w:rsidRPr="0057683D">
              <w:rPr>
                <w:rFonts w:ascii="Times New Roman" w:hAnsi="Times New Roman"/>
                <w:sz w:val="24"/>
                <w:szCs w:val="24"/>
              </w:rPr>
              <w:t>.</w:t>
            </w:r>
          </w:p>
          <w:p w14:paraId="2DE668D2" w14:textId="2CF70337" w:rsidR="00020EE0" w:rsidRDefault="00374731" w:rsidP="00B62A51">
            <w:pPr>
              <w:spacing w:after="0" w:line="240" w:lineRule="auto"/>
              <w:jc w:val="both"/>
              <w:rPr>
                <w:rFonts w:ascii="Times New Roman" w:eastAsia="Times New Roman" w:hAnsi="Times New Roman"/>
                <w:iCs/>
                <w:sz w:val="24"/>
                <w:szCs w:val="24"/>
                <w:lang w:eastAsia="lv-LV"/>
              </w:rPr>
            </w:pPr>
            <w:r w:rsidRPr="0057683D">
              <w:rPr>
                <w:rFonts w:ascii="Times New Roman" w:eastAsia="Times New Roman" w:hAnsi="Times New Roman"/>
                <w:iCs/>
                <w:sz w:val="24"/>
                <w:szCs w:val="24"/>
                <w:lang w:eastAsia="lv-LV"/>
              </w:rPr>
              <w:t>Atklātā konkursa rezultātā 2019. gada 4. oktobrī starp ministriju</w:t>
            </w:r>
            <w:r w:rsidRPr="0057683D">
              <w:rPr>
                <w:rFonts w:ascii="Times New Roman" w:eastAsia="Times New Roman" w:hAnsi="Times New Roman"/>
                <w:iCs/>
                <w:sz w:val="28"/>
                <w:szCs w:val="24"/>
                <w:lang w:eastAsia="lv-LV"/>
              </w:rPr>
              <w:t xml:space="preserve"> </w:t>
            </w:r>
            <w:r w:rsidRPr="00374731">
              <w:rPr>
                <w:rFonts w:ascii="Times New Roman" w:eastAsia="Times New Roman" w:hAnsi="Times New Roman"/>
                <w:iCs/>
                <w:sz w:val="24"/>
                <w:szCs w:val="24"/>
                <w:lang w:eastAsia="lv-LV"/>
              </w:rPr>
              <w:t>un</w:t>
            </w:r>
            <w:r w:rsidRPr="00374731">
              <w:rPr>
                <w:rFonts w:ascii="Times New Roman" w:eastAsia="Times New Roman" w:hAnsi="Times New Roman"/>
                <w:i/>
                <w:iCs/>
                <w:sz w:val="24"/>
                <w:szCs w:val="24"/>
                <w:lang w:eastAsia="lv-LV"/>
              </w:rPr>
              <w:t xml:space="preserve"> Technopolis Group Eesti OÜ</w:t>
            </w:r>
            <w:r w:rsidR="00020EE0">
              <w:rPr>
                <w:rFonts w:ascii="Times New Roman" w:eastAsia="Times New Roman" w:hAnsi="Times New Roman"/>
                <w:i/>
                <w:iCs/>
                <w:sz w:val="24"/>
                <w:szCs w:val="24"/>
                <w:lang w:eastAsia="lv-LV"/>
              </w:rPr>
              <w:t xml:space="preserve"> </w:t>
            </w:r>
            <w:r w:rsidR="00020EE0" w:rsidRPr="00374731">
              <w:rPr>
                <w:rFonts w:ascii="Times New Roman" w:eastAsia="Times New Roman" w:hAnsi="Times New Roman"/>
                <w:iCs/>
                <w:sz w:val="24"/>
                <w:szCs w:val="24"/>
                <w:lang w:eastAsia="lv-LV"/>
              </w:rPr>
              <w:t>(turpmāk – Izpildītājs)</w:t>
            </w:r>
            <w:r w:rsidRPr="00374731">
              <w:rPr>
                <w:rFonts w:ascii="Times New Roman" w:eastAsia="Times New Roman" w:hAnsi="Times New Roman"/>
                <w:iCs/>
                <w:sz w:val="24"/>
                <w:szCs w:val="24"/>
                <w:lang w:eastAsia="lv-LV"/>
              </w:rPr>
              <w:t xml:space="preserve"> tika noslēgts līgums Nr. 2-6.1e/19/90 “Zinātnisko institūciju darbības starptautiskā novērtējuma organizēšana”</w:t>
            </w:r>
            <w:r w:rsidR="003C2542">
              <w:rPr>
                <w:rStyle w:val="FootnoteReference"/>
                <w:rFonts w:ascii="Times New Roman" w:eastAsia="Times New Roman" w:hAnsi="Times New Roman"/>
                <w:iCs/>
                <w:sz w:val="24"/>
                <w:szCs w:val="24"/>
                <w:lang w:eastAsia="lv-LV"/>
              </w:rPr>
              <w:footnoteReference w:id="2"/>
            </w:r>
            <w:r w:rsidRPr="00374731">
              <w:rPr>
                <w:rFonts w:ascii="Times New Roman" w:eastAsia="Times New Roman" w:hAnsi="Times New Roman"/>
                <w:iCs/>
                <w:sz w:val="24"/>
                <w:szCs w:val="24"/>
                <w:lang w:eastAsia="lv-LV"/>
              </w:rPr>
              <w:t xml:space="preserve"> </w:t>
            </w:r>
            <w:r w:rsidR="00020EE0">
              <w:rPr>
                <w:rFonts w:ascii="Times New Roman" w:eastAsia="Times New Roman" w:hAnsi="Times New Roman"/>
                <w:iCs/>
                <w:sz w:val="24"/>
                <w:szCs w:val="24"/>
                <w:lang w:eastAsia="lv-LV"/>
              </w:rPr>
              <w:t xml:space="preserve"> </w:t>
            </w:r>
            <w:r w:rsidR="00020EE0" w:rsidRPr="00374731">
              <w:rPr>
                <w:rFonts w:ascii="Times New Roman" w:eastAsia="Times New Roman" w:hAnsi="Times New Roman"/>
                <w:iCs/>
                <w:sz w:val="24"/>
                <w:szCs w:val="24"/>
                <w:lang w:eastAsia="lv-LV"/>
              </w:rPr>
              <w:t>(turpmāk – līgums)</w:t>
            </w:r>
            <w:r w:rsidRPr="00374731">
              <w:rPr>
                <w:rFonts w:ascii="Times New Roman" w:eastAsia="Times New Roman" w:hAnsi="Times New Roman"/>
                <w:iCs/>
                <w:sz w:val="24"/>
                <w:szCs w:val="24"/>
                <w:lang w:eastAsia="lv-LV"/>
              </w:rPr>
              <w:t xml:space="preserve">, kas paredz saskaņā ar </w:t>
            </w:r>
            <w:r w:rsidR="00B62A51">
              <w:rPr>
                <w:rFonts w:ascii="Times New Roman" w:eastAsia="Times New Roman" w:hAnsi="Times New Roman"/>
                <w:iCs/>
                <w:sz w:val="24"/>
                <w:szCs w:val="24"/>
                <w:lang w:eastAsia="lv-LV"/>
              </w:rPr>
              <w:t>MK</w:t>
            </w:r>
            <w:r w:rsidRPr="00374731">
              <w:rPr>
                <w:rFonts w:ascii="Times New Roman" w:eastAsia="Times New Roman" w:hAnsi="Times New Roman"/>
                <w:iCs/>
                <w:sz w:val="24"/>
                <w:szCs w:val="24"/>
                <w:lang w:eastAsia="lv-LV"/>
              </w:rPr>
              <w:t xml:space="preserve"> noteikumiem nodrošināt 2019. gad</w:t>
            </w:r>
            <w:r w:rsidR="00B62A51">
              <w:rPr>
                <w:rFonts w:ascii="Times New Roman" w:eastAsia="Times New Roman" w:hAnsi="Times New Roman"/>
                <w:iCs/>
                <w:sz w:val="24"/>
                <w:szCs w:val="24"/>
                <w:lang w:eastAsia="lv-LV"/>
              </w:rPr>
              <w:t>ā</w:t>
            </w:r>
            <w:r w:rsidRPr="00374731">
              <w:rPr>
                <w:rFonts w:ascii="Times New Roman" w:eastAsia="Times New Roman" w:hAnsi="Times New Roman"/>
                <w:iCs/>
                <w:sz w:val="24"/>
                <w:szCs w:val="24"/>
                <w:lang w:eastAsia="lv-LV"/>
              </w:rPr>
              <w:t xml:space="preserve"> </w:t>
            </w:r>
            <w:r w:rsidR="00B62A51">
              <w:rPr>
                <w:rFonts w:ascii="Times New Roman" w:eastAsia="Times New Roman" w:hAnsi="Times New Roman"/>
                <w:iCs/>
                <w:sz w:val="24"/>
                <w:szCs w:val="24"/>
                <w:lang w:eastAsia="lv-LV"/>
              </w:rPr>
              <w:t xml:space="preserve">Latvijas </w:t>
            </w:r>
            <w:r w:rsidRPr="00374731">
              <w:rPr>
                <w:rFonts w:ascii="Times New Roman" w:eastAsia="Times New Roman" w:hAnsi="Times New Roman"/>
                <w:iCs/>
                <w:sz w:val="24"/>
                <w:szCs w:val="24"/>
                <w:lang w:eastAsia="lv-LV"/>
              </w:rPr>
              <w:t>zinātnisko institūciju darbības starptautiskā novērtējuma īstenošanu, tajā skaitā novērtējuma metodoloģijas izstrādi, ārvalstu ekspertu piesaisti un novērtējuma darba organizāciju, kā arī ārvalstu ekspertu ziņojuma par zinātnisko institūciju novērtējumu sagatavošanu.</w:t>
            </w:r>
          </w:p>
          <w:p w14:paraId="31495995" w14:textId="3B7B03B8" w:rsidR="00B76BF0" w:rsidRPr="00B76BF0" w:rsidRDefault="00374731" w:rsidP="00B76BF0">
            <w:pPr>
              <w:spacing w:after="0" w:line="240" w:lineRule="auto"/>
              <w:jc w:val="both"/>
              <w:rPr>
                <w:rFonts w:ascii="Times New Roman" w:eastAsia="Times New Roman" w:hAnsi="Times New Roman"/>
                <w:iCs/>
                <w:sz w:val="24"/>
                <w:szCs w:val="24"/>
                <w:lang w:eastAsia="lv-LV"/>
              </w:rPr>
            </w:pPr>
            <w:r w:rsidRPr="00374731">
              <w:rPr>
                <w:rFonts w:ascii="Times New Roman" w:eastAsia="Times New Roman" w:hAnsi="Times New Roman"/>
                <w:iCs/>
                <w:sz w:val="24"/>
                <w:szCs w:val="24"/>
                <w:lang w:eastAsia="lv-LV"/>
              </w:rPr>
              <w:t>Novērtējuma ietvaros tiek vērtētas 38 zinātniskās institūcijas, k</w:t>
            </w:r>
            <w:r w:rsidR="00B62A51">
              <w:rPr>
                <w:rFonts w:ascii="Times New Roman" w:eastAsia="Times New Roman" w:hAnsi="Times New Roman"/>
                <w:iCs/>
                <w:sz w:val="24"/>
                <w:szCs w:val="24"/>
                <w:lang w:eastAsia="lv-LV"/>
              </w:rPr>
              <w:t>opsummā 64</w:t>
            </w:r>
            <w:r>
              <w:rPr>
                <w:rFonts w:ascii="Times New Roman" w:eastAsia="Times New Roman" w:hAnsi="Times New Roman"/>
                <w:iCs/>
                <w:sz w:val="24"/>
                <w:szCs w:val="24"/>
                <w:lang w:eastAsia="lv-LV"/>
              </w:rPr>
              <w:t xml:space="preserve"> vērtējamās vienības, no tām 8 vērtējamās vienības ir </w:t>
            </w:r>
            <w:r>
              <w:t xml:space="preserve"> </w:t>
            </w:r>
            <w:r>
              <w:rPr>
                <w:rFonts w:ascii="Times New Roman" w:eastAsia="Times New Roman" w:hAnsi="Times New Roman"/>
                <w:iCs/>
                <w:sz w:val="24"/>
                <w:szCs w:val="24"/>
                <w:lang w:eastAsia="lv-LV"/>
              </w:rPr>
              <w:t>m</w:t>
            </w:r>
            <w:r w:rsidRPr="00374731">
              <w:rPr>
                <w:rFonts w:ascii="Times New Roman" w:eastAsia="Times New Roman" w:hAnsi="Times New Roman"/>
                <w:iCs/>
                <w:sz w:val="24"/>
                <w:szCs w:val="24"/>
                <w:lang w:eastAsia="lv-LV"/>
              </w:rPr>
              <w:t>edicīnas un veselības zināt</w:t>
            </w:r>
            <w:r>
              <w:rPr>
                <w:rFonts w:ascii="Times New Roman" w:eastAsia="Times New Roman" w:hAnsi="Times New Roman"/>
                <w:iCs/>
                <w:sz w:val="24"/>
                <w:szCs w:val="24"/>
                <w:lang w:eastAsia="lv-LV"/>
              </w:rPr>
              <w:t>ņu nozarē.</w:t>
            </w:r>
            <w:r w:rsidR="003C2542">
              <w:rPr>
                <w:rFonts w:ascii="Times New Roman" w:eastAsia="Times New Roman" w:hAnsi="Times New Roman"/>
                <w:iCs/>
                <w:sz w:val="24"/>
                <w:szCs w:val="24"/>
                <w:lang w:eastAsia="lv-LV"/>
              </w:rPr>
              <w:t xml:space="preserve"> </w:t>
            </w:r>
            <w:r w:rsidR="003F353A">
              <w:rPr>
                <w:rFonts w:ascii="Times New Roman" w:eastAsia="Times New Roman" w:hAnsi="Times New Roman"/>
                <w:iCs/>
                <w:sz w:val="24"/>
                <w:szCs w:val="24"/>
                <w:lang w:eastAsia="lv-LV"/>
              </w:rPr>
              <w:t xml:space="preserve">Novērtējuma ietvaros </w:t>
            </w:r>
            <w:r w:rsidR="003F353A" w:rsidRPr="003F353A">
              <w:rPr>
                <w:rFonts w:ascii="Times New Roman" w:eastAsia="Times New Roman" w:hAnsi="Times New Roman"/>
                <w:iCs/>
                <w:sz w:val="24"/>
                <w:szCs w:val="24"/>
                <w:lang w:eastAsia="lv-LV"/>
              </w:rPr>
              <w:t>2020. gada m</w:t>
            </w:r>
            <w:r w:rsidR="003C2542">
              <w:rPr>
                <w:rFonts w:ascii="Times New Roman" w:eastAsia="Times New Roman" w:hAnsi="Times New Roman"/>
                <w:iCs/>
                <w:sz w:val="24"/>
                <w:szCs w:val="24"/>
                <w:lang w:eastAsia="lv-LV"/>
              </w:rPr>
              <w:t>arta sākumā</w:t>
            </w:r>
            <w:r w:rsidR="003F353A" w:rsidRPr="003F353A">
              <w:rPr>
                <w:rFonts w:ascii="Times New Roman" w:eastAsia="Times New Roman" w:hAnsi="Times New Roman"/>
                <w:iCs/>
                <w:sz w:val="24"/>
                <w:szCs w:val="24"/>
                <w:lang w:eastAsia="lv-LV"/>
              </w:rPr>
              <w:t xml:space="preserve"> ir notikušas </w:t>
            </w:r>
            <w:r w:rsidR="00573B8D">
              <w:rPr>
                <w:rFonts w:ascii="Times New Roman" w:eastAsia="Times New Roman" w:hAnsi="Times New Roman"/>
                <w:iCs/>
                <w:sz w:val="24"/>
                <w:szCs w:val="24"/>
                <w:lang w:eastAsia="lv-LV"/>
              </w:rPr>
              <w:t xml:space="preserve"> ārvalstu ekspertu grupu</w:t>
            </w:r>
            <w:r w:rsidR="00573B8D" w:rsidRPr="003F353A">
              <w:rPr>
                <w:rFonts w:ascii="Times New Roman" w:eastAsia="Times New Roman" w:hAnsi="Times New Roman"/>
                <w:iCs/>
                <w:sz w:val="24"/>
                <w:szCs w:val="24"/>
                <w:lang w:eastAsia="lv-LV"/>
              </w:rPr>
              <w:t xml:space="preserve"> klātienes vizītes </w:t>
            </w:r>
            <w:r w:rsidR="00573B8D">
              <w:rPr>
                <w:rFonts w:ascii="Times New Roman" w:eastAsia="Times New Roman" w:hAnsi="Times New Roman"/>
                <w:iCs/>
                <w:sz w:val="24"/>
                <w:szCs w:val="24"/>
                <w:lang w:eastAsia="lv-LV"/>
              </w:rPr>
              <w:t xml:space="preserve">darbam ar zinātniskajām institūcijām, kuras darbojas </w:t>
            </w:r>
            <w:r w:rsidR="003F353A" w:rsidRPr="003F353A">
              <w:rPr>
                <w:rFonts w:ascii="Times New Roman" w:eastAsia="Times New Roman" w:hAnsi="Times New Roman"/>
                <w:iCs/>
                <w:sz w:val="24"/>
                <w:szCs w:val="24"/>
                <w:lang w:eastAsia="lv-LV"/>
              </w:rPr>
              <w:t>medicīnas</w:t>
            </w:r>
            <w:r w:rsidR="00573B8D">
              <w:rPr>
                <w:rFonts w:ascii="Times New Roman" w:eastAsia="Times New Roman" w:hAnsi="Times New Roman"/>
                <w:iCs/>
                <w:sz w:val="24"/>
                <w:szCs w:val="24"/>
                <w:lang w:eastAsia="lv-LV"/>
              </w:rPr>
              <w:t xml:space="preserve"> un veselības zinātņu nozarē</w:t>
            </w:r>
            <w:r w:rsidR="003F353A">
              <w:rPr>
                <w:rFonts w:ascii="Times New Roman" w:eastAsia="Times New Roman" w:hAnsi="Times New Roman"/>
                <w:iCs/>
                <w:sz w:val="24"/>
                <w:szCs w:val="24"/>
                <w:lang w:eastAsia="lv-LV"/>
              </w:rPr>
              <w:t>s</w:t>
            </w:r>
            <w:r w:rsidR="003F353A" w:rsidRPr="003F353A">
              <w:rPr>
                <w:rFonts w:ascii="Times New Roman" w:eastAsia="Times New Roman" w:hAnsi="Times New Roman"/>
                <w:iCs/>
                <w:sz w:val="24"/>
                <w:szCs w:val="24"/>
                <w:lang w:eastAsia="lv-LV"/>
              </w:rPr>
              <w:t xml:space="preserve">. </w:t>
            </w:r>
            <w:r w:rsidR="003C2542">
              <w:rPr>
                <w:rFonts w:ascii="Times New Roman" w:eastAsia="Times New Roman" w:hAnsi="Times New Roman"/>
                <w:iCs/>
                <w:sz w:val="24"/>
                <w:szCs w:val="24"/>
                <w:lang w:eastAsia="lv-LV"/>
              </w:rPr>
              <w:t xml:space="preserve">Savukārt, dēļ </w:t>
            </w:r>
            <w:r w:rsidR="00314F18">
              <w:rPr>
                <w:rFonts w:ascii="Times New Roman" w:eastAsia="Times New Roman" w:hAnsi="Times New Roman"/>
                <w:iCs/>
                <w:sz w:val="24"/>
                <w:szCs w:val="24"/>
                <w:lang w:eastAsia="lv-LV"/>
              </w:rPr>
              <w:t>Covid-19 infekcijas izraisītās ā</w:t>
            </w:r>
            <w:r w:rsidR="003F353A" w:rsidRPr="003F353A">
              <w:rPr>
                <w:rFonts w:ascii="Times New Roman" w:eastAsia="Times New Roman" w:hAnsi="Times New Roman"/>
                <w:iCs/>
                <w:sz w:val="24"/>
                <w:szCs w:val="24"/>
                <w:lang w:eastAsia="lv-LV"/>
              </w:rPr>
              <w:t xml:space="preserve">rkārtas situācijas </w:t>
            </w:r>
            <w:r w:rsidR="003F353A">
              <w:rPr>
                <w:rFonts w:ascii="Times New Roman" w:eastAsia="Times New Roman" w:hAnsi="Times New Roman"/>
                <w:iCs/>
                <w:sz w:val="24"/>
                <w:szCs w:val="24"/>
                <w:lang w:eastAsia="lv-LV"/>
              </w:rPr>
              <w:t xml:space="preserve">Latvijā </w:t>
            </w:r>
            <w:r w:rsidR="00B62A51">
              <w:rPr>
                <w:rFonts w:ascii="Times New Roman" w:eastAsia="Times New Roman" w:hAnsi="Times New Roman"/>
                <w:iCs/>
                <w:sz w:val="24"/>
                <w:szCs w:val="24"/>
                <w:lang w:eastAsia="lv-LV"/>
              </w:rPr>
              <w:t>un daudzās citās Eiropas valstīs,</w:t>
            </w:r>
            <w:r w:rsidR="003F353A">
              <w:rPr>
                <w:rFonts w:ascii="Times New Roman" w:eastAsia="Times New Roman" w:hAnsi="Times New Roman"/>
                <w:iCs/>
                <w:sz w:val="24"/>
                <w:szCs w:val="24"/>
                <w:lang w:eastAsia="lv-LV"/>
              </w:rPr>
              <w:t xml:space="preserve"> tika </w:t>
            </w:r>
            <w:r w:rsidR="003F353A" w:rsidRPr="003F353A">
              <w:rPr>
                <w:rFonts w:ascii="Times New Roman" w:eastAsia="Times New Roman" w:hAnsi="Times New Roman"/>
                <w:iCs/>
                <w:sz w:val="24"/>
                <w:szCs w:val="24"/>
                <w:lang w:eastAsia="lv-LV"/>
              </w:rPr>
              <w:t>atceltas</w:t>
            </w:r>
            <w:r w:rsidR="003F353A">
              <w:rPr>
                <w:rFonts w:ascii="Times New Roman" w:eastAsia="Times New Roman" w:hAnsi="Times New Roman"/>
                <w:iCs/>
                <w:sz w:val="24"/>
                <w:szCs w:val="24"/>
                <w:lang w:eastAsia="lv-LV"/>
              </w:rPr>
              <w:t xml:space="preserve"> </w:t>
            </w:r>
            <w:r w:rsidR="00314F18">
              <w:rPr>
                <w:rFonts w:ascii="Times New Roman" w:eastAsia="Times New Roman" w:hAnsi="Times New Roman"/>
                <w:iCs/>
                <w:sz w:val="24"/>
                <w:szCs w:val="24"/>
                <w:lang w:eastAsia="lv-LV"/>
              </w:rPr>
              <w:t>ārvalstu ekspertu grupu</w:t>
            </w:r>
            <w:r w:rsidR="00314F18" w:rsidRPr="003F353A">
              <w:rPr>
                <w:rFonts w:ascii="Times New Roman" w:eastAsia="Times New Roman" w:hAnsi="Times New Roman"/>
                <w:iCs/>
                <w:sz w:val="24"/>
                <w:szCs w:val="24"/>
                <w:lang w:eastAsia="lv-LV"/>
              </w:rPr>
              <w:t xml:space="preserve"> </w:t>
            </w:r>
            <w:r w:rsidR="003F353A" w:rsidRPr="003F353A">
              <w:rPr>
                <w:rFonts w:ascii="Times New Roman" w:eastAsia="Times New Roman" w:hAnsi="Times New Roman"/>
                <w:iCs/>
                <w:sz w:val="24"/>
                <w:szCs w:val="24"/>
                <w:lang w:eastAsia="lv-LV"/>
              </w:rPr>
              <w:t>klātienes vizītes</w:t>
            </w:r>
            <w:r w:rsidR="00573B8D">
              <w:rPr>
                <w:rFonts w:ascii="Times New Roman" w:eastAsia="Times New Roman" w:hAnsi="Times New Roman"/>
                <w:iCs/>
                <w:sz w:val="24"/>
                <w:szCs w:val="24"/>
                <w:lang w:eastAsia="lv-LV"/>
              </w:rPr>
              <w:t xml:space="preserve"> </w:t>
            </w:r>
            <w:r w:rsidR="00573B8D">
              <w:rPr>
                <w:rFonts w:ascii="Times New Roman" w:eastAsia="Times New Roman" w:hAnsi="Times New Roman"/>
                <w:iCs/>
                <w:sz w:val="24"/>
                <w:szCs w:val="24"/>
                <w:lang w:eastAsia="lv-LV"/>
              </w:rPr>
              <w:lastRenderedPageBreak/>
              <w:t>pārējās piecās zinātņu nozaru grupās</w:t>
            </w:r>
            <w:r w:rsidR="00314F18">
              <w:rPr>
                <w:rFonts w:ascii="Times New Roman" w:eastAsia="Times New Roman" w:hAnsi="Times New Roman"/>
                <w:iCs/>
                <w:sz w:val="24"/>
                <w:szCs w:val="24"/>
                <w:lang w:eastAsia="lv-LV"/>
              </w:rPr>
              <w:t xml:space="preserve">, </w:t>
            </w:r>
            <w:r w:rsidR="00573B8D">
              <w:rPr>
                <w:rFonts w:ascii="Times New Roman" w:eastAsia="Times New Roman" w:hAnsi="Times New Roman"/>
                <w:iCs/>
                <w:sz w:val="24"/>
                <w:szCs w:val="24"/>
                <w:lang w:eastAsia="lv-LV"/>
              </w:rPr>
              <w:t>kurās ir vērtējamas zinātniskās institūcijas, kas kopumā veido</w:t>
            </w:r>
            <w:r w:rsidR="00314F18">
              <w:rPr>
                <w:rFonts w:ascii="Times New Roman" w:eastAsia="Times New Roman" w:hAnsi="Times New Roman"/>
                <w:iCs/>
                <w:sz w:val="24"/>
                <w:szCs w:val="24"/>
                <w:lang w:eastAsia="lv-LV"/>
              </w:rPr>
              <w:t xml:space="preserve"> 56 vērtējamās vienības</w:t>
            </w:r>
            <w:r w:rsidR="00B76BF0">
              <w:rPr>
                <w:rFonts w:ascii="Times New Roman" w:eastAsia="Times New Roman" w:hAnsi="Times New Roman"/>
                <w:iCs/>
                <w:sz w:val="24"/>
                <w:szCs w:val="24"/>
                <w:lang w:eastAsia="lv-LV"/>
              </w:rPr>
              <w:t>. Lai īstenotu klā</w:t>
            </w:r>
            <w:r w:rsidR="00314F18">
              <w:rPr>
                <w:rFonts w:ascii="Times New Roman" w:eastAsia="Times New Roman" w:hAnsi="Times New Roman"/>
                <w:iCs/>
                <w:sz w:val="24"/>
                <w:szCs w:val="24"/>
                <w:lang w:eastAsia="lv-LV"/>
              </w:rPr>
              <w:t>tienes vizītes</w:t>
            </w:r>
            <w:r w:rsidR="00B76BF0">
              <w:rPr>
                <w:rFonts w:ascii="Times New Roman" w:eastAsia="Times New Roman" w:hAnsi="Times New Roman"/>
                <w:iCs/>
                <w:sz w:val="24"/>
                <w:szCs w:val="24"/>
                <w:lang w:eastAsia="lv-LV"/>
              </w:rPr>
              <w:t xml:space="preserve"> līgumā</w:t>
            </w:r>
            <w:r w:rsidR="00314F18">
              <w:rPr>
                <w:rFonts w:ascii="Times New Roman" w:eastAsia="Times New Roman" w:hAnsi="Times New Roman"/>
                <w:iCs/>
                <w:sz w:val="24"/>
                <w:szCs w:val="24"/>
                <w:lang w:eastAsia="lv-LV"/>
              </w:rPr>
              <w:t xml:space="preserve"> paredzētajos termiņos, kā arī neradītu papildu risku</w:t>
            </w:r>
            <w:r w:rsidR="00B76BF0">
              <w:rPr>
                <w:rFonts w:ascii="Times New Roman" w:eastAsia="Times New Roman" w:hAnsi="Times New Roman"/>
                <w:iCs/>
                <w:sz w:val="24"/>
                <w:szCs w:val="24"/>
                <w:lang w:eastAsia="lv-LV"/>
              </w:rPr>
              <w:t xml:space="preserve"> Covid-19</w:t>
            </w:r>
            <w:r w:rsidR="00314F18">
              <w:rPr>
                <w:rFonts w:ascii="Times New Roman" w:eastAsia="Times New Roman" w:hAnsi="Times New Roman"/>
                <w:iCs/>
                <w:sz w:val="24"/>
                <w:szCs w:val="24"/>
                <w:lang w:eastAsia="lv-LV"/>
              </w:rPr>
              <w:t xml:space="preserve"> infekcijas izplatībai organizējot </w:t>
            </w:r>
            <w:r w:rsidR="00B76BF0">
              <w:rPr>
                <w:rFonts w:ascii="Times New Roman" w:eastAsia="Times New Roman" w:hAnsi="Times New Roman"/>
                <w:iCs/>
                <w:sz w:val="24"/>
                <w:szCs w:val="24"/>
                <w:lang w:eastAsia="lv-LV"/>
              </w:rPr>
              <w:t xml:space="preserve">ārvalstu ekspertu grupas locekļu </w:t>
            </w:r>
            <w:r w:rsidR="00314F18">
              <w:rPr>
                <w:rFonts w:ascii="Times New Roman" w:eastAsia="Times New Roman" w:hAnsi="Times New Roman"/>
                <w:iCs/>
                <w:sz w:val="24"/>
                <w:szCs w:val="24"/>
                <w:lang w:eastAsia="lv-LV"/>
              </w:rPr>
              <w:t>klātienes tikšanās zinātniskajās institūcijās, ir nepieciešams paredzēt iespēju īst</w:t>
            </w:r>
            <w:r w:rsidR="003C2542">
              <w:rPr>
                <w:rFonts w:ascii="Times New Roman" w:eastAsia="Times New Roman" w:hAnsi="Times New Roman"/>
                <w:iCs/>
                <w:sz w:val="24"/>
                <w:szCs w:val="24"/>
                <w:lang w:eastAsia="lv-LV"/>
              </w:rPr>
              <w:t>e</w:t>
            </w:r>
            <w:r w:rsidR="00314F18">
              <w:rPr>
                <w:rFonts w:ascii="Times New Roman" w:eastAsia="Times New Roman" w:hAnsi="Times New Roman"/>
                <w:iCs/>
                <w:sz w:val="24"/>
                <w:szCs w:val="24"/>
                <w:lang w:eastAsia="lv-LV"/>
              </w:rPr>
              <w:t xml:space="preserve">not </w:t>
            </w:r>
            <w:r w:rsidR="00B76BF0">
              <w:rPr>
                <w:rFonts w:ascii="Times New Roman" w:eastAsia="Times New Roman" w:hAnsi="Times New Roman"/>
                <w:iCs/>
                <w:sz w:val="24"/>
                <w:szCs w:val="24"/>
                <w:lang w:eastAsia="lv-LV"/>
              </w:rPr>
              <w:t xml:space="preserve">klātienes </w:t>
            </w:r>
            <w:r w:rsidR="00314F18">
              <w:rPr>
                <w:rFonts w:ascii="Times New Roman" w:eastAsia="Times New Roman" w:hAnsi="Times New Roman"/>
                <w:iCs/>
                <w:sz w:val="24"/>
                <w:szCs w:val="24"/>
                <w:lang w:eastAsia="lv-LV"/>
              </w:rPr>
              <w:t>vizītes</w:t>
            </w:r>
            <w:r w:rsidR="00B76BF0">
              <w:rPr>
                <w:rFonts w:ascii="Times New Roman" w:eastAsia="Times New Roman" w:hAnsi="Times New Roman"/>
                <w:iCs/>
                <w:sz w:val="24"/>
                <w:szCs w:val="24"/>
                <w:lang w:eastAsia="lv-LV"/>
              </w:rPr>
              <w:t xml:space="preserve"> attālināti vai da</w:t>
            </w:r>
            <w:r w:rsidR="00314F18">
              <w:rPr>
                <w:rFonts w:ascii="Times New Roman" w:eastAsia="Times New Roman" w:hAnsi="Times New Roman"/>
                <w:iCs/>
                <w:sz w:val="24"/>
                <w:szCs w:val="24"/>
                <w:lang w:eastAsia="lv-LV"/>
              </w:rPr>
              <w:t xml:space="preserve">ļēji attālināti, jo situācija </w:t>
            </w:r>
            <w:r w:rsidR="003C2542">
              <w:rPr>
                <w:rFonts w:ascii="Times New Roman" w:eastAsia="Times New Roman" w:hAnsi="Times New Roman"/>
                <w:iCs/>
                <w:sz w:val="24"/>
                <w:szCs w:val="24"/>
                <w:lang w:eastAsia="lv-LV"/>
              </w:rPr>
              <w:t xml:space="preserve">ar </w:t>
            </w:r>
            <w:r w:rsidR="00B76BF0">
              <w:rPr>
                <w:rFonts w:ascii="Times New Roman" w:eastAsia="Times New Roman" w:hAnsi="Times New Roman"/>
                <w:iCs/>
                <w:sz w:val="24"/>
                <w:szCs w:val="24"/>
                <w:lang w:eastAsia="lv-LV"/>
              </w:rPr>
              <w:t xml:space="preserve"> Covid-19 </w:t>
            </w:r>
            <w:r w:rsidR="003C2542">
              <w:rPr>
                <w:rFonts w:ascii="Times New Roman" w:eastAsia="Times New Roman" w:hAnsi="Times New Roman"/>
                <w:iCs/>
                <w:sz w:val="24"/>
                <w:szCs w:val="24"/>
                <w:lang w:eastAsia="lv-LV"/>
              </w:rPr>
              <w:t xml:space="preserve">infekcijas ierobežošanu un ar to saslimušo skaitu Eiropas valstīs (no kurām pamatā ir Izpildītāja atlasītie ārvalstu eksperti) </w:t>
            </w:r>
            <w:r w:rsidR="00314F18">
              <w:rPr>
                <w:rFonts w:ascii="Times New Roman" w:eastAsia="Times New Roman" w:hAnsi="Times New Roman"/>
                <w:iCs/>
                <w:sz w:val="24"/>
                <w:szCs w:val="24"/>
                <w:lang w:eastAsia="lv-LV"/>
              </w:rPr>
              <w:t>ir ļoti mainīga un nav iespējams ga</w:t>
            </w:r>
            <w:r w:rsidR="003C2542">
              <w:rPr>
                <w:rFonts w:ascii="Times New Roman" w:eastAsia="Times New Roman" w:hAnsi="Times New Roman"/>
                <w:iCs/>
                <w:sz w:val="24"/>
                <w:szCs w:val="24"/>
                <w:lang w:eastAsia="lv-LV"/>
              </w:rPr>
              <w:t>r</w:t>
            </w:r>
            <w:r w:rsidR="00314F18">
              <w:rPr>
                <w:rFonts w:ascii="Times New Roman" w:eastAsia="Times New Roman" w:hAnsi="Times New Roman"/>
                <w:iCs/>
                <w:sz w:val="24"/>
                <w:szCs w:val="24"/>
                <w:lang w:eastAsia="lv-LV"/>
              </w:rPr>
              <w:t>antēt klātienes vizītes</w:t>
            </w:r>
            <w:r w:rsidR="003C2542">
              <w:rPr>
                <w:rFonts w:ascii="Times New Roman" w:eastAsia="Times New Roman" w:hAnsi="Times New Roman"/>
                <w:iCs/>
                <w:sz w:val="24"/>
                <w:szCs w:val="24"/>
                <w:lang w:eastAsia="lv-LV"/>
              </w:rPr>
              <w:t xml:space="preserve"> saskaņā ar </w:t>
            </w:r>
            <w:r w:rsidR="003C2542" w:rsidRPr="00B76BF0">
              <w:rPr>
                <w:rFonts w:ascii="Times New Roman" w:eastAsia="Times New Roman" w:hAnsi="Times New Roman"/>
                <w:iCs/>
                <w:sz w:val="24"/>
                <w:szCs w:val="24"/>
                <w:lang w:eastAsia="lv-LV"/>
              </w:rPr>
              <w:t>MK noteikumos definētajiem kritērijiem</w:t>
            </w:r>
            <w:r w:rsidR="00314F18" w:rsidRPr="00B76BF0">
              <w:rPr>
                <w:rFonts w:ascii="Times New Roman" w:eastAsia="Times New Roman" w:hAnsi="Times New Roman"/>
                <w:iCs/>
                <w:sz w:val="24"/>
                <w:szCs w:val="24"/>
                <w:lang w:eastAsia="lv-LV"/>
              </w:rPr>
              <w:t xml:space="preserve"> novērtējumam paredzētajos termiņos.</w:t>
            </w:r>
            <w:r w:rsidR="003C2542" w:rsidRPr="00B76BF0">
              <w:rPr>
                <w:rFonts w:ascii="Times New Roman" w:eastAsia="Times New Roman" w:hAnsi="Times New Roman"/>
                <w:iCs/>
                <w:sz w:val="24"/>
                <w:szCs w:val="24"/>
                <w:lang w:eastAsia="lv-LV"/>
              </w:rPr>
              <w:t xml:space="preserve"> </w:t>
            </w:r>
          </w:p>
          <w:p w14:paraId="1FBC63AC" w14:textId="77777777" w:rsidR="00D855F3" w:rsidRDefault="00B76BF0" w:rsidP="00B76BF0">
            <w:pPr>
              <w:spacing w:after="0" w:line="240" w:lineRule="auto"/>
              <w:jc w:val="both"/>
              <w:rPr>
                <w:rFonts w:ascii="Times New Roman" w:eastAsia="Times New Roman" w:hAnsi="Times New Roman"/>
                <w:sz w:val="24"/>
                <w:szCs w:val="24"/>
              </w:rPr>
            </w:pPr>
            <w:r w:rsidRPr="00B76BF0">
              <w:rPr>
                <w:rFonts w:ascii="Times New Roman" w:eastAsia="Times New Roman" w:hAnsi="Times New Roman"/>
                <w:iCs/>
                <w:sz w:val="24"/>
                <w:szCs w:val="24"/>
                <w:lang w:eastAsia="lv-LV"/>
              </w:rPr>
              <w:t>Projekts paredz papildināt MK noteikumu ar</w:t>
            </w:r>
            <w:r w:rsidR="00573B8D">
              <w:rPr>
                <w:rFonts w:ascii="Times New Roman" w:eastAsia="Times New Roman" w:hAnsi="Times New Roman"/>
                <w:iCs/>
                <w:sz w:val="24"/>
                <w:szCs w:val="24"/>
                <w:lang w:eastAsia="lv-LV"/>
              </w:rPr>
              <w:t xml:space="preserve"> jaunu</w:t>
            </w:r>
            <w:r w:rsidRPr="00B76BF0">
              <w:rPr>
                <w:rFonts w:ascii="Times New Roman" w:eastAsia="Times New Roman" w:hAnsi="Times New Roman"/>
                <w:iCs/>
                <w:sz w:val="24"/>
                <w:szCs w:val="24"/>
                <w:lang w:eastAsia="lv-LV"/>
              </w:rPr>
              <w:t xml:space="preserve"> </w:t>
            </w:r>
            <w:r w:rsidRPr="00B76BF0">
              <w:rPr>
                <w:rFonts w:ascii="Times New Roman" w:eastAsia="Times New Roman" w:hAnsi="Times New Roman"/>
                <w:sz w:val="24"/>
                <w:szCs w:val="24"/>
              </w:rPr>
              <w:t>9.4.</w:t>
            </w:r>
            <w:r w:rsidRPr="00B76BF0">
              <w:rPr>
                <w:rFonts w:ascii="Times New Roman" w:eastAsia="Times New Roman" w:hAnsi="Times New Roman"/>
                <w:sz w:val="24"/>
                <w:szCs w:val="24"/>
                <w:vertAlign w:val="superscript"/>
              </w:rPr>
              <w:t>1</w:t>
            </w:r>
            <w:r w:rsidRPr="00B76BF0">
              <w:rPr>
                <w:rStyle w:val="highlight"/>
                <w:rFonts w:ascii="Times New Roman" w:hAnsi="Times New Roman"/>
                <w:sz w:val="24"/>
                <w:szCs w:val="24"/>
              </w:rPr>
              <w:t xml:space="preserve"> punktu, kurā ir noteikts, ka </w:t>
            </w:r>
            <w:r w:rsidRPr="00B76BF0">
              <w:rPr>
                <w:rFonts w:ascii="Times New Roman" w:eastAsia="Times New Roman" w:hAnsi="Times New Roman"/>
                <w:sz w:val="24"/>
                <w:szCs w:val="24"/>
              </w:rPr>
              <w:t xml:space="preserve">novērtējuma īstenošanai </w:t>
            </w:r>
            <w:r w:rsidR="00D855F3" w:rsidRPr="00D855F3">
              <w:rPr>
                <w:rFonts w:ascii="Times New Roman" w:eastAsia="Times New Roman" w:hAnsi="Times New Roman"/>
                <w:sz w:val="24"/>
                <w:szCs w:val="24"/>
              </w:rPr>
              <w:t>2020. gada ietvaros</w:t>
            </w:r>
            <w:r w:rsidRPr="00B76BF0">
              <w:rPr>
                <w:rFonts w:ascii="Times New Roman" w:eastAsia="Times New Roman" w:hAnsi="Times New Roman"/>
                <w:sz w:val="24"/>
                <w:szCs w:val="24"/>
              </w:rPr>
              <w:t xml:space="preserve">, </w:t>
            </w:r>
            <w:r w:rsidR="00D855F3">
              <w:t xml:space="preserve"> </w:t>
            </w:r>
            <w:r w:rsidR="00D855F3" w:rsidRPr="00D855F3">
              <w:rPr>
                <w:rFonts w:ascii="Times New Roman" w:eastAsia="Times New Roman" w:hAnsi="Times New Roman"/>
                <w:sz w:val="24"/>
                <w:szCs w:val="24"/>
              </w:rPr>
              <w:t>ievērojot Covid-19 izplatības izraisīto ceļošanas ierobežojumus un veselības risku dēļ, šo noteikumu 9.4. apakšpunktā minētās klātienes vizītes var īstenot attālināti vai daļēji attālināti, izmantojot tiešsaistes videokonferenci (attēla un skaņas pārraide reālajā laikā), ja visi vai kāds no ekspertu grupas locekļ</w:t>
            </w:r>
            <w:r w:rsidR="00D855F3">
              <w:rPr>
                <w:rFonts w:ascii="Times New Roman" w:eastAsia="Times New Roman" w:hAnsi="Times New Roman"/>
                <w:sz w:val="24"/>
                <w:szCs w:val="24"/>
              </w:rPr>
              <w:t>iem nevar piedalīties klātienē.</w:t>
            </w:r>
          </w:p>
          <w:p w14:paraId="3D1367F9" w14:textId="0B0025F2" w:rsidR="00573B8D" w:rsidRPr="001B0B69" w:rsidRDefault="00B76BF0" w:rsidP="00B76BF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Pēc</w:t>
            </w:r>
            <w:r w:rsidR="003C2542" w:rsidRPr="003C254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projekta spēkā stāšanās</w:t>
            </w:r>
            <w:r w:rsidR="003C2542" w:rsidRPr="003C2542">
              <w:rPr>
                <w:rFonts w:ascii="Times New Roman" w:eastAsia="Times New Roman" w:hAnsi="Times New Roman"/>
                <w:iCs/>
                <w:sz w:val="24"/>
                <w:szCs w:val="24"/>
                <w:lang w:eastAsia="lv-LV"/>
              </w:rPr>
              <w:t>, ministrija varēs</w:t>
            </w:r>
            <w:r w:rsidR="003C2542">
              <w:rPr>
                <w:rFonts w:ascii="Times New Roman" w:eastAsia="Times New Roman" w:hAnsi="Times New Roman"/>
                <w:iCs/>
                <w:sz w:val="24"/>
                <w:szCs w:val="24"/>
                <w:lang w:eastAsia="lv-LV"/>
              </w:rPr>
              <w:t xml:space="preserve"> veikt </w:t>
            </w:r>
            <w:r>
              <w:rPr>
                <w:rFonts w:ascii="Times New Roman" w:eastAsia="Times New Roman" w:hAnsi="Times New Roman"/>
                <w:iCs/>
                <w:sz w:val="24"/>
                <w:szCs w:val="24"/>
                <w:lang w:eastAsia="lv-LV"/>
              </w:rPr>
              <w:t xml:space="preserve">attiecīgus </w:t>
            </w:r>
            <w:r w:rsidR="003C2542">
              <w:rPr>
                <w:rFonts w:ascii="Times New Roman" w:eastAsia="Times New Roman" w:hAnsi="Times New Roman"/>
                <w:iCs/>
                <w:sz w:val="24"/>
                <w:szCs w:val="24"/>
                <w:lang w:eastAsia="lv-LV"/>
              </w:rPr>
              <w:t>grozījumus līgumā ar Izpildītāju, lai nodrošinātu novērtējuma organiz</w:t>
            </w:r>
            <w:r w:rsidR="009501FC">
              <w:rPr>
                <w:rFonts w:ascii="Times New Roman" w:eastAsia="Times New Roman" w:hAnsi="Times New Roman"/>
                <w:iCs/>
                <w:sz w:val="24"/>
                <w:szCs w:val="24"/>
                <w:lang w:eastAsia="lv-LV"/>
              </w:rPr>
              <w:t xml:space="preserve">āciju un pabeigšanu 2020. gadā atbilstoši MK noteikumos </w:t>
            </w:r>
            <w:r>
              <w:rPr>
                <w:rFonts w:ascii="Times New Roman" w:eastAsia="Times New Roman" w:hAnsi="Times New Roman"/>
                <w:iCs/>
                <w:sz w:val="24"/>
                <w:szCs w:val="24"/>
                <w:lang w:eastAsia="lv-LV"/>
              </w:rPr>
              <w:t>noteiktajai</w:t>
            </w:r>
            <w:r w:rsidR="009501FC">
              <w:rPr>
                <w:rFonts w:ascii="Times New Roman" w:eastAsia="Times New Roman" w:hAnsi="Times New Roman"/>
                <w:iCs/>
                <w:sz w:val="24"/>
                <w:szCs w:val="24"/>
                <w:lang w:eastAsia="lv-LV"/>
              </w:rPr>
              <w:t xml:space="preserve"> procedūrai.</w:t>
            </w:r>
          </w:p>
        </w:tc>
      </w:tr>
      <w:tr w:rsidR="00580969" w:rsidRPr="001B0B69" w14:paraId="21FD05D2"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C1F9574" w14:textId="19487E26" w:rsidR="001D29D5" w:rsidRPr="001B0B69" w:rsidRDefault="00374731"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 </w:t>
            </w:r>
          </w:p>
        </w:tc>
        <w:tc>
          <w:tcPr>
            <w:tcW w:w="1114" w:type="pct"/>
            <w:tcBorders>
              <w:top w:val="outset" w:sz="6" w:space="0" w:color="auto"/>
              <w:left w:val="outset" w:sz="6" w:space="0" w:color="auto"/>
              <w:bottom w:val="outset" w:sz="6" w:space="0" w:color="auto"/>
              <w:right w:val="outset" w:sz="6" w:space="0" w:color="auto"/>
            </w:tcBorders>
            <w:hideMark/>
          </w:tcPr>
          <w:p w14:paraId="32B531E6"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izstrādē iesaistītās institūcijas un publiskas personas kapitālsabiedrības</w:t>
            </w:r>
          </w:p>
        </w:tc>
        <w:tc>
          <w:tcPr>
            <w:tcW w:w="3658" w:type="pct"/>
            <w:tcBorders>
              <w:top w:val="outset" w:sz="6" w:space="0" w:color="auto"/>
              <w:left w:val="outset" w:sz="6" w:space="0" w:color="auto"/>
              <w:bottom w:val="outset" w:sz="6" w:space="0" w:color="auto"/>
              <w:right w:val="outset" w:sz="6" w:space="0" w:color="auto"/>
            </w:tcBorders>
            <w:hideMark/>
          </w:tcPr>
          <w:p w14:paraId="6C480537" w14:textId="1BF2D882" w:rsidR="001D29D5" w:rsidRPr="001B0B69" w:rsidRDefault="00A109A6" w:rsidP="001B0B69">
            <w:pPr>
              <w:spacing w:after="0" w:line="240" w:lineRule="auto"/>
              <w:jc w:val="both"/>
              <w:rPr>
                <w:rFonts w:ascii="Times New Roman" w:eastAsia="Times New Roman" w:hAnsi="Times New Roman"/>
                <w:iCs/>
                <w:sz w:val="24"/>
                <w:szCs w:val="24"/>
                <w:lang w:eastAsia="lv-LV"/>
              </w:rPr>
            </w:pPr>
            <w:r w:rsidRPr="001D6A58">
              <w:rPr>
                <w:rFonts w:ascii="Times New Roman" w:eastAsia="Times New Roman" w:hAnsi="Times New Roman"/>
                <w:sz w:val="24"/>
                <w:szCs w:val="24"/>
              </w:rPr>
              <w:t>Ministrija</w:t>
            </w:r>
            <w:r>
              <w:rPr>
                <w:rFonts w:ascii="Times New Roman" w:eastAsia="Times New Roman" w:hAnsi="Times New Roman"/>
                <w:sz w:val="24"/>
                <w:szCs w:val="24"/>
              </w:rPr>
              <w:t>.</w:t>
            </w:r>
          </w:p>
        </w:tc>
      </w:tr>
      <w:tr w:rsidR="00580969" w:rsidRPr="001B0B69" w14:paraId="60792B5A"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2D50011"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14" w:type="pct"/>
            <w:tcBorders>
              <w:top w:val="outset" w:sz="6" w:space="0" w:color="auto"/>
              <w:left w:val="outset" w:sz="6" w:space="0" w:color="auto"/>
              <w:bottom w:val="outset" w:sz="6" w:space="0" w:color="auto"/>
              <w:right w:val="outset" w:sz="6" w:space="0" w:color="auto"/>
            </w:tcBorders>
            <w:hideMark/>
          </w:tcPr>
          <w:p w14:paraId="4070372F"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3658" w:type="pct"/>
            <w:tcBorders>
              <w:top w:val="outset" w:sz="6" w:space="0" w:color="auto"/>
              <w:left w:val="outset" w:sz="6" w:space="0" w:color="auto"/>
              <w:bottom w:val="outset" w:sz="6" w:space="0" w:color="auto"/>
              <w:right w:val="outset" w:sz="6" w:space="0" w:color="auto"/>
            </w:tcBorders>
            <w:hideMark/>
          </w:tcPr>
          <w:p w14:paraId="3F736A37" w14:textId="047D6F15" w:rsidR="00573B8D" w:rsidRPr="00A50063" w:rsidRDefault="00573B8D" w:rsidP="00573B8D">
            <w:pPr>
              <w:pStyle w:val="BodyText2"/>
              <w:rPr>
                <w:sz w:val="24"/>
              </w:rPr>
            </w:pPr>
            <w:r w:rsidRPr="00A50063">
              <w:rPr>
                <w:sz w:val="24"/>
              </w:rPr>
              <w:t>Ministru kabineta protokollēmuma projekta 2.punkts paredz uzdevumu, ka Izglītības un zinātnes ministrija nodrošina, ka 2019. gada zinātnisko institūciju darbības starptautiskā novērtējuma ietvaros ārvalstu eksperti klātienes vizīti, tostarp arī attālinātā vai daļēji attālinātā veidā, zinātniskajās institūcijās, kuru zinātniskā darbība ir saistīta ar lauka izmēģinājumiem, veic 2020.gada oktobrī.</w:t>
            </w:r>
          </w:p>
          <w:p w14:paraId="58FFD702" w14:textId="77777777" w:rsidR="001D29D5" w:rsidRDefault="00573B8D" w:rsidP="00A50063">
            <w:pPr>
              <w:pStyle w:val="BodyText2"/>
              <w:rPr>
                <w:color w:val="2A2A2A"/>
                <w:sz w:val="24"/>
                <w:shd w:val="clear" w:color="auto" w:fill="FFFFFF"/>
              </w:rPr>
            </w:pPr>
            <w:r w:rsidRPr="00A50063">
              <w:rPr>
                <w:sz w:val="24"/>
              </w:rPr>
              <w:t xml:space="preserve">Minētais </w:t>
            </w:r>
            <w:r w:rsidRPr="00D855F3">
              <w:rPr>
                <w:sz w:val="24"/>
              </w:rPr>
              <w:t xml:space="preserve">ir saistīts ar Ministru kabineta 2018.gada 2.oktobra (prot.Nr.45 </w:t>
            </w:r>
            <w:r w:rsidRPr="00D855F3">
              <w:rPr>
                <w:bCs/>
                <w:sz w:val="24"/>
                <w:lang w:eastAsia="lv-LV"/>
              </w:rPr>
              <w:t>23.§)</w:t>
            </w:r>
            <w:r w:rsidRPr="00D855F3">
              <w:rPr>
                <w:sz w:val="24"/>
              </w:rPr>
              <w:t xml:space="preserve">  protokollēmuma</w:t>
            </w:r>
            <w:r w:rsidRPr="00D855F3">
              <w:rPr>
                <w:sz w:val="24"/>
                <w:lang w:eastAsia="lv-LV"/>
              </w:rPr>
              <w:t xml:space="preserve"> </w:t>
            </w:r>
            <w:r w:rsidRPr="00A50063">
              <w:rPr>
                <w:color w:val="2A2A2A"/>
                <w:sz w:val="24"/>
                <w:lang w:eastAsia="lv-LV"/>
              </w:rPr>
              <w:t>“</w:t>
            </w:r>
            <w:r w:rsidRPr="00573B8D">
              <w:rPr>
                <w:color w:val="2A2A2A"/>
                <w:sz w:val="24"/>
                <w:lang w:eastAsia="lv-LV"/>
              </w:rPr>
              <w:t>Noteikumu projekts "Zinātnisko institūciju darbības starptautiskā no</w:t>
            </w:r>
            <w:r w:rsidRPr="00A50063">
              <w:rPr>
                <w:color w:val="2A2A2A"/>
                <w:sz w:val="24"/>
                <w:lang w:eastAsia="lv-LV"/>
              </w:rPr>
              <w:t xml:space="preserve">vērtējuma organizēšanas kārtība”” </w:t>
            </w:r>
            <w:r w:rsidR="00A50063" w:rsidRPr="00A50063">
              <w:rPr>
                <w:color w:val="2A2A2A"/>
                <w:sz w:val="24"/>
                <w:lang w:eastAsia="lv-LV"/>
              </w:rPr>
              <w:t>2</w:t>
            </w:r>
            <w:r w:rsidRPr="00A50063">
              <w:rPr>
                <w:color w:val="2A2A2A"/>
                <w:sz w:val="24"/>
                <w:lang w:eastAsia="lv-LV"/>
              </w:rPr>
              <w:t xml:space="preserve">.punktu, ka </w:t>
            </w:r>
            <w:r w:rsidR="00A50063" w:rsidRPr="00A50063">
              <w:rPr>
                <w:color w:val="2A2A2A"/>
                <w:sz w:val="24"/>
                <w:shd w:val="clear" w:color="auto" w:fill="FFFFFF"/>
              </w:rPr>
              <w:t>Izglītības un zinātnes ministrijai nodrošināt, ka 2019.gada zinātnisko institūciju darbības starptautiskā novērtējuma (turpmāk – starptautiskais novērtējums) ietvaros ārvalstu eksperti klātienes vizīti zinātniskajās institūcijās, kuru zinātniskā darbība ir saistīta ar lauka izmēģinājumiem, veic periodā no maija beigām līdz jūlija beigām.</w:t>
            </w:r>
          </w:p>
          <w:p w14:paraId="2C01E9F5" w14:textId="6A51B584" w:rsidR="00A50063" w:rsidRPr="00A50063" w:rsidRDefault="00A50063" w:rsidP="00A50063">
            <w:pPr>
              <w:pStyle w:val="BodyText2"/>
              <w:rPr>
                <w:color w:val="2A2A2A"/>
                <w:sz w:val="24"/>
                <w:lang w:eastAsia="lv-LV"/>
              </w:rPr>
            </w:pPr>
            <w:r>
              <w:rPr>
                <w:color w:val="2A2A2A"/>
                <w:sz w:val="24"/>
                <w:shd w:val="clear" w:color="auto" w:fill="FFFFFF"/>
              </w:rPr>
              <w:t>Ir panākta vienošanās gan ar ārvalstu ekspertiem, gan ar attiecīgajām zinātniskajām institūcijām par vizīšu veikšanu š.g. oktobrī.</w:t>
            </w:r>
          </w:p>
        </w:tc>
      </w:tr>
    </w:tbl>
    <w:p w14:paraId="23810340"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2033"/>
        <w:gridCol w:w="6682"/>
      </w:tblGrid>
      <w:tr w:rsidR="00580969" w:rsidRPr="001B0B69" w14:paraId="1DE82C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6662C7" w14:textId="77777777" w:rsidR="00655F2C" w:rsidRPr="001B0B69" w:rsidRDefault="00E5323B" w:rsidP="00465AE2">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lastRenderedPageBreak/>
              <w:t>II. Tiesību akta projekta ietekme uz sabiedrību, tautsaimniecības attīstību un administratīvo slogu</w:t>
            </w:r>
          </w:p>
        </w:tc>
      </w:tr>
      <w:tr w:rsidR="00580969" w:rsidRPr="001B0B69" w14:paraId="22F26EA2"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EFD6461"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1.</w:t>
            </w:r>
          </w:p>
        </w:tc>
        <w:tc>
          <w:tcPr>
            <w:tcW w:w="1107" w:type="pct"/>
            <w:tcBorders>
              <w:top w:val="outset" w:sz="6" w:space="0" w:color="auto"/>
              <w:left w:val="outset" w:sz="6" w:space="0" w:color="auto"/>
              <w:bottom w:val="outset" w:sz="6" w:space="0" w:color="auto"/>
              <w:right w:val="outset" w:sz="6" w:space="0" w:color="auto"/>
            </w:tcBorders>
            <w:hideMark/>
          </w:tcPr>
          <w:p w14:paraId="0A00D713"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mērķgrupas, kuras tiesiskais regulējums ietekmē</w:t>
            </w:r>
            <w:r w:rsidR="004957E5" w:rsidRPr="001B0B69">
              <w:rPr>
                <w:rFonts w:ascii="Times New Roman" w:eastAsia="Times New Roman" w:hAnsi="Times New Roman"/>
                <w:iCs/>
                <w:sz w:val="24"/>
                <w:szCs w:val="24"/>
                <w:lang w:eastAsia="lv-LV"/>
              </w:rPr>
              <w:t>, vai varētu ietekmēt</w:t>
            </w:r>
          </w:p>
        </w:tc>
        <w:tc>
          <w:tcPr>
            <w:tcW w:w="3666" w:type="pct"/>
            <w:tcBorders>
              <w:top w:val="outset" w:sz="6" w:space="0" w:color="auto"/>
              <w:left w:val="outset" w:sz="6" w:space="0" w:color="auto"/>
              <w:bottom w:val="outset" w:sz="6" w:space="0" w:color="auto"/>
              <w:right w:val="outset" w:sz="6" w:space="0" w:color="auto"/>
            </w:tcBorders>
          </w:tcPr>
          <w:p w14:paraId="0A40C431" w14:textId="2CDC9563" w:rsidR="00A109A6" w:rsidRPr="001D6A58" w:rsidRDefault="00A109A6" w:rsidP="00A109A6">
            <w:pPr>
              <w:spacing w:after="0" w:line="240" w:lineRule="auto"/>
              <w:jc w:val="both"/>
              <w:rPr>
                <w:rFonts w:ascii="Times New Roman" w:eastAsia="Times New Roman" w:hAnsi="Times New Roman"/>
                <w:sz w:val="24"/>
                <w:szCs w:val="24"/>
              </w:rPr>
            </w:pPr>
            <w:r w:rsidRPr="001D6A58">
              <w:rPr>
                <w:rFonts w:ascii="Times New Roman" w:eastAsia="Times New Roman" w:hAnsi="Times New Roman"/>
                <w:sz w:val="24"/>
                <w:szCs w:val="24"/>
              </w:rPr>
              <w:t xml:space="preserve">Projekta tiesiskais regulējums ietekmē </w:t>
            </w:r>
            <w:r w:rsidR="00B76BF0">
              <w:rPr>
                <w:rFonts w:ascii="Times New Roman" w:eastAsia="Times New Roman" w:hAnsi="Times New Roman"/>
                <w:sz w:val="24"/>
                <w:szCs w:val="24"/>
              </w:rPr>
              <w:t xml:space="preserve">Zinātnisko institūciju reģistrā reģistrētās </w:t>
            </w:r>
            <w:r w:rsidRPr="001D6A58">
              <w:rPr>
                <w:rFonts w:ascii="Times New Roman" w:eastAsia="Times New Roman" w:hAnsi="Times New Roman"/>
                <w:sz w:val="24"/>
                <w:szCs w:val="24"/>
              </w:rPr>
              <w:t xml:space="preserve">zinātniskās institūcijas, </w:t>
            </w:r>
            <w:r w:rsidR="00B76BF0">
              <w:rPr>
                <w:rFonts w:ascii="Times New Roman" w:eastAsia="Times New Roman" w:hAnsi="Times New Roman"/>
                <w:sz w:val="24"/>
                <w:szCs w:val="24"/>
              </w:rPr>
              <w:t xml:space="preserve">tajā skaitā </w:t>
            </w:r>
            <w:r w:rsidRPr="001D6A58">
              <w:rPr>
                <w:rFonts w:ascii="Times New Roman" w:eastAsia="Times New Roman" w:hAnsi="Times New Roman"/>
                <w:sz w:val="24"/>
                <w:szCs w:val="24"/>
              </w:rPr>
              <w:t>augstskolas.</w:t>
            </w:r>
          </w:p>
          <w:p w14:paraId="5D47B4DD" w14:textId="49D79821" w:rsidR="00A109A6" w:rsidRPr="001B0B69" w:rsidRDefault="00A109A6" w:rsidP="00B76BF0">
            <w:pPr>
              <w:spacing w:after="0" w:line="240" w:lineRule="auto"/>
              <w:jc w:val="both"/>
              <w:rPr>
                <w:rFonts w:ascii="Times New Roman" w:eastAsia="Times New Roman" w:hAnsi="Times New Roman"/>
                <w:iCs/>
                <w:sz w:val="24"/>
                <w:szCs w:val="24"/>
                <w:lang w:eastAsia="lv-LV"/>
              </w:rPr>
            </w:pPr>
            <w:r w:rsidRPr="001D6A58">
              <w:rPr>
                <w:rFonts w:ascii="Times New Roman" w:eastAsia="Times New Roman" w:hAnsi="Times New Roman"/>
                <w:sz w:val="24"/>
                <w:szCs w:val="24"/>
              </w:rPr>
              <w:t xml:space="preserve">Projekta tiesiskais regulējums </w:t>
            </w:r>
            <w:r w:rsidR="00B76BF0">
              <w:rPr>
                <w:rFonts w:ascii="Times New Roman" w:eastAsia="Times New Roman" w:hAnsi="Times New Roman"/>
                <w:sz w:val="24"/>
                <w:szCs w:val="24"/>
              </w:rPr>
              <w:t>ietekmē</w:t>
            </w:r>
            <w:r w:rsidRPr="001D6A58">
              <w:rPr>
                <w:rFonts w:ascii="Times New Roman" w:eastAsia="Times New Roman" w:hAnsi="Times New Roman"/>
                <w:sz w:val="24"/>
                <w:szCs w:val="24"/>
              </w:rPr>
              <w:t xml:space="preserve"> zinātniekus, zinātniskajā darbā iesaistītās personas, akadēmisko personālu, tautsaimniecības nozaru organizācijas, nozaru ministrijas, kuru pārraudzībā ir zinātniskie institūti un augstskolas.</w:t>
            </w:r>
          </w:p>
        </w:tc>
      </w:tr>
      <w:tr w:rsidR="00580969" w:rsidRPr="001B0B69" w14:paraId="2472310B"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98B095A"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107" w:type="pct"/>
            <w:tcBorders>
              <w:top w:val="outset" w:sz="6" w:space="0" w:color="auto"/>
              <w:left w:val="outset" w:sz="6" w:space="0" w:color="auto"/>
              <w:bottom w:val="outset" w:sz="6" w:space="0" w:color="auto"/>
              <w:right w:val="outset" w:sz="6" w:space="0" w:color="auto"/>
            </w:tcBorders>
            <w:hideMark/>
          </w:tcPr>
          <w:p w14:paraId="75F2ACFD"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Tiesiskā regulējuma ietekme uz tautsaimniecību un administratīvo slogu</w:t>
            </w:r>
          </w:p>
        </w:tc>
        <w:tc>
          <w:tcPr>
            <w:tcW w:w="3666" w:type="pct"/>
            <w:tcBorders>
              <w:top w:val="outset" w:sz="6" w:space="0" w:color="auto"/>
              <w:left w:val="outset" w:sz="6" w:space="0" w:color="auto"/>
              <w:bottom w:val="outset" w:sz="6" w:space="0" w:color="auto"/>
              <w:right w:val="outset" w:sz="6" w:space="0" w:color="auto"/>
            </w:tcBorders>
            <w:hideMark/>
          </w:tcPr>
          <w:p w14:paraId="79E36A4E" w14:textId="266C02AC" w:rsidR="00E5323B" w:rsidRPr="00F2288D" w:rsidRDefault="00A109A6" w:rsidP="00F2288D">
            <w:pPr>
              <w:spacing w:after="0" w:line="240" w:lineRule="auto"/>
              <w:jc w:val="both"/>
              <w:rPr>
                <w:rFonts w:ascii="Times New Roman" w:eastAsia="Times New Roman" w:hAnsi="Times New Roman"/>
                <w:sz w:val="24"/>
                <w:szCs w:val="24"/>
              </w:rPr>
            </w:pPr>
            <w:r w:rsidRPr="001D6A58">
              <w:rPr>
                <w:rFonts w:ascii="Times New Roman" w:eastAsia="Times New Roman" w:hAnsi="Times New Roman"/>
                <w:sz w:val="24"/>
                <w:szCs w:val="24"/>
              </w:rPr>
              <w:t>Projektam ir pozitīva ietekme uz Latvijas tautsaimniecību, jo novērtējuma rezultātā iegūtais vērtējums sniegs objektīvu un kvalitatīvu analīzi, vienlaikus nodrošinot uz pierādījumiem balstītu lēmumu pieņemšanu plānojot efektīvu ierobežotā zinātnes finansējuma pārdali zinātniskajām institūcijām ar augstāko vērtējumu, tādējādi, veicinot zinātnes izcilību un mazinot resursu sadrumstalotību. Fokusējot zinātnes finansējumu tikai uz labākajām zinātniskajām institūcijām, novērtējuma rezultātā tiks nodrošināts, ka valsts finansējums ir mērķtiecīgi ieguldīts tieši spēcīgākajās zinātniskajās institūcijās ar lielāko ekonomisko un sociālo atdeves potenciālu, kā arī atbilstību kopējiem valsts tautsaimniecības attīstības politikas mērķiem un prioritātēm.</w:t>
            </w:r>
          </w:p>
        </w:tc>
      </w:tr>
      <w:tr w:rsidR="00580969" w:rsidRPr="001B0B69" w14:paraId="58E0942F"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BD02C7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107" w:type="pct"/>
            <w:tcBorders>
              <w:top w:val="outset" w:sz="6" w:space="0" w:color="auto"/>
              <w:left w:val="outset" w:sz="6" w:space="0" w:color="auto"/>
              <w:bottom w:val="outset" w:sz="6" w:space="0" w:color="auto"/>
              <w:right w:val="outset" w:sz="6" w:space="0" w:color="auto"/>
            </w:tcBorders>
            <w:hideMark/>
          </w:tcPr>
          <w:p w14:paraId="0C46B749"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Administratīvo izmaksu monetārs novērtējums</w:t>
            </w:r>
          </w:p>
        </w:tc>
        <w:tc>
          <w:tcPr>
            <w:tcW w:w="3666" w:type="pct"/>
            <w:tcBorders>
              <w:top w:val="outset" w:sz="6" w:space="0" w:color="auto"/>
              <w:left w:val="outset" w:sz="6" w:space="0" w:color="auto"/>
              <w:bottom w:val="outset" w:sz="6" w:space="0" w:color="auto"/>
              <w:right w:val="outset" w:sz="6" w:space="0" w:color="auto"/>
            </w:tcBorders>
            <w:hideMark/>
          </w:tcPr>
          <w:p w14:paraId="0FF22E22" w14:textId="3A7AFF1C" w:rsidR="00E5323B" w:rsidRPr="001B0B69" w:rsidRDefault="00F2288D" w:rsidP="00B76BF0">
            <w:pPr>
              <w:spacing w:after="0" w:line="240" w:lineRule="auto"/>
              <w:jc w:val="both"/>
              <w:rPr>
                <w:rFonts w:ascii="Times New Roman" w:eastAsia="Times New Roman" w:hAnsi="Times New Roman"/>
                <w:iCs/>
                <w:sz w:val="24"/>
                <w:szCs w:val="24"/>
                <w:lang w:eastAsia="lv-LV"/>
              </w:rPr>
            </w:pPr>
            <w:r w:rsidRPr="001D6A58">
              <w:rPr>
                <w:rFonts w:ascii="Times New Roman" w:eastAsia="Times New Roman" w:hAnsi="Times New Roman"/>
                <w:sz w:val="24"/>
                <w:szCs w:val="24"/>
                <w:lang w:eastAsia="lv-LV"/>
              </w:rPr>
              <w:t>Administratīvās izmaksas naudas izteiksmē gada laikā mērķgrupām, ko veido fiziskas personas (</w:t>
            </w:r>
            <w:r w:rsidRPr="001D6A58">
              <w:rPr>
                <w:rFonts w:ascii="Times New Roman" w:eastAsia="Times New Roman" w:hAnsi="Times New Roman"/>
                <w:sz w:val="24"/>
                <w:szCs w:val="24"/>
              </w:rPr>
              <w:t>zinātnieki, zinātniskajā darbā iesaistītās personas, akadēmiskais personāls)</w:t>
            </w:r>
            <w:r w:rsidRPr="001D6A58">
              <w:rPr>
                <w:rFonts w:ascii="Times New Roman" w:eastAsia="Times New Roman" w:hAnsi="Times New Roman"/>
                <w:sz w:val="24"/>
                <w:szCs w:val="24"/>
                <w:lang w:eastAsia="lv-LV"/>
              </w:rPr>
              <w:t>, nepārsniedz 200 </w:t>
            </w:r>
            <w:r w:rsidRPr="001D6A58">
              <w:rPr>
                <w:rFonts w:ascii="Times New Roman" w:eastAsia="Times New Roman" w:hAnsi="Times New Roman"/>
                <w:i/>
                <w:sz w:val="24"/>
                <w:szCs w:val="24"/>
                <w:lang w:eastAsia="lv-LV"/>
              </w:rPr>
              <w:t>euro</w:t>
            </w:r>
            <w:r w:rsidRPr="001D6A58">
              <w:rPr>
                <w:rFonts w:ascii="Times New Roman" w:eastAsia="Times New Roman" w:hAnsi="Times New Roman"/>
                <w:sz w:val="24"/>
                <w:szCs w:val="24"/>
                <w:lang w:eastAsia="lv-LV"/>
              </w:rPr>
              <w:t>, bet juridiskajām personām (</w:t>
            </w:r>
            <w:r w:rsidRPr="001D6A58">
              <w:rPr>
                <w:rFonts w:ascii="Times New Roman" w:eastAsia="Times New Roman" w:hAnsi="Times New Roman"/>
                <w:sz w:val="24"/>
                <w:szCs w:val="24"/>
              </w:rPr>
              <w:t>zinātniskājām institūcijām, augstskolām, tautsaimniecības nozaru organizācijām, un nozaru ministrijām, kuru pārraudzībā ir zinātniskie institūti)</w:t>
            </w:r>
            <w:r w:rsidRPr="001D6A58">
              <w:rPr>
                <w:rFonts w:ascii="Times New Roman" w:eastAsia="Times New Roman" w:hAnsi="Times New Roman"/>
                <w:sz w:val="24"/>
                <w:szCs w:val="24"/>
                <w:lang w:eastAsia="lv-LV"/>
              </w:rPr>
              <w:t> – 2000 </w:t>
            </w:r>
            <w:r w:rsidRPr="001D6A58">
              <w:rPr>
                <w:rFonts w:ascii="Times New Roman" w:eastAsia="Times New Roman" w:hAnsi="Times New Roman"/>
                <w:i/>
                <w:sz w:val="24"/>
                <w:szCs w:val="24"/>
                <w:lang w:eastAsia="lv-LV"/>
              </w:rPr>
              <w:t>euro</w:t>
            </w:r>
            <w:r w:rsidRPr="001D6A58">
              <w:rPr>
                <w:rFonts w:ascii="Times New Roman" w:eastAsia="Times New Roman" w:hAnsi="Times New Roman"/>
                <w:sz w:val="24"/>
                <w:szCs w:val="24"/>
                <w:lang w:eastAsia="lv-LV"/>
              </w:rPr>
              <w:t>.</w:t>
            </w:r>
          </w:p>
        </w:tc>
      </w:tr>
      <w:tr w:rsidR="00580969" w:rsidRPr="001B0B69" w14:paraId="6048B62E"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AA1B401"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07" w:type="pct"/>
            <w:tcBorders>
              <w:top w:val="outset" w:sz="6" w:space="0" w:color="auto"/>
              <w:left w:val="outset" w:sz="6" w:space="0" w:color="auto"/>
              <w:bottom w:val="outset" w:sz="6" w:space="0" w:color="auto"/>
              <w:right w:val="outset" w:sz="6" w:space="0" w:color="auto"/>
            </w:tcBorders>
            <w:hideMark/>
          </w:tcPr>
          <w:p w14:paraId="6883578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Atbilstības izmaksu monetārs novērtējums</w:t>
            </w:r>
          </w:p>
        </w:tc>
        <w:tc>
          <w:tcPr>
            <w:tcW w:w="3666" w:type="pct"/>
            <w:tcBorders>
              <w:top w:val="outset" w:sz="6" w:space="0" w:color="auto"/>
              <w:left w:val="outset" w:sz="6" w:space="0" w:color="auto"/>
              <w:bottom w:val="outset" w:sz="6" w:space="0" w:color="auto"/>
              <w:right w:val="outset" w:sz="6" w:space="0" w:color="auto"/>
            </w:tcBorders>
            <w:hideMark/>
          </w:tcPr>
          <w:p w14:paraId="11C2266C" w14:textId="7FF6CEDA" w:rsidR="00E5323B" w:rsidRPr="001B0B69" w:rsidRDefault="00B76BF0"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00F2288D" w:rsidRPr="001B0B69">
              <w:rPr>
                <w:rFonts w:ascii="Times New Roman" w:eastAsia="Times New Roman" w:hAnsi="Times New Roman"/>
                <w:iCs/>
                <w:sz w:val="24"/>
                <w:szCs w:val="24"/>
                <w:lang w:eastAsia="lv-LV"/>
              </w:rPr>
              <w:t>rojekts</w:t>
            </w:r>
            <w:r w:rsidR="00F2288D" w:rsidRPr="001D6A58">
              <w:rPr>
                <w:rFonts w:ascii="Times New Roman" w:eastAsia="Times New Roman" w:hAnsi="Times New Roman"/>
                <w:sz w:val="24"/>
                <w:szCs w:val="24"/>
                <w:lang w:eastAsia="lv-LV"/>
              </w:rPr>
              <w:t xml:space="preserve"> neparedz atbilstības izmaksas.</w:t>
            </w:r>
          </w:p>
        </w:tc>
      </w:tr>
      <w:tr w:rsidR="00580969" w:rsidRPr="001B0B69" w14:paraId="6063374B"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081DE59"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w:t>
            </w:r>
          </w:p>
        </w:tc>
        <w:tc>
          <w:tcPr>
            <w:tcW w:w="1107" w:type="pct"/>
            <w:tcBorders>
              <w:top w:val="outset" w:sz="6" w:space="0" w:color="auto"/>
              <w:left w:val="outset" w:sz="6" w:space="0" w:color="auto"/>
              <w:bottom w:val="outset" w:sz="6" w:space="0" w:color="auto"/>
              <w:right w:val="outset" w:sz="6" w:space="0" w:color="auto"/>
            </w:tcBorders>
            <w:hideMark/>
          </w:tcPr>
          <w:p w14:paraId="713BDBC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3666" w:type="pct"/>
            <w:tcBorders>
              <w:top w:val="outset" w:sz="6" w:space="0" w:color="auto"/>
              <w:left w:val="outset" w:sz="6" w:space="0" w:color="auto"/>
              <w:bottom w:val="outset" w:sz="6" w:space="0" w:color="auto"/>
              <w:right w:val="outset" w:sz="6" w:space="0" w:color="auto"/>
            </w:tcBorders>
            <w:hideMark/>
          </w:tcPr>
          <w:p w14:paraId="206BBDF6" w14:textId="77777777" w:rsidR="00E5323B" w:rsidRPr="001B0B69" w:rsidRDefault="00893FAC"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594D2989"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8"/>
        <w:gridCol w:w="933"/>
        <w:gridCol w:w="1053"/>
        <w:gridCol w:w="35"/>
        <w:gridCol w:w="1063"/>
        <w:gridCol w:w="1170"/>
        <w:gridCol w:w="900"/>
        <w:gridCol w:w="1080"/>
        <w:gridCol w:w="1233"/>
      </w:tblGrid>
      <w:tr w:rsidR="00580969" w:rsidRPr="001B0B69" w14:paraId="1A3375ED" w14:textId="77777777" w:rsidTr="00A109A6">
        <w:trPr>
          <w:tblCellSpacing w:w="15" w:type="dxa"/>
        </w:trPr>
        <w:tc>
          <w:tcPr>
            <w:tcW w:w="8995" w:type="dxa"/>
            <w:gridSpan w:val="9"/>
            <w:tcBorders>
              <w:top w:val="outset" w:sz="6" w:space="0" w:color="auto"/>
              <w:left w:val="outset" w:sz="6" w:space="0" w:color="auto"/>
              <w:bottom w:val="outset" w:sz="6" w:space="0" w:color="auto"/>
              <w:right w:val="outset" w:sz="6" w:space="0" w:color="auto"/>
            </w:tcBorders>
            <w:vAlign w:val="center"/>
            <w:hideMark/>
          </w:tcPr>
          <w:p w14:paraId="003F5F30" w14:textId="77777777" w:rsidR="00655F2C" w:rsidRPr="001B0B69" w:rsidRDefault="00E5323B" w:rsidP="00465AE2">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III. Tiesību akta projekta ietekme uz valsts budžetu un pašvaldību budžetiem</w:t>
            </w:r>
          </w:p>
        </w:tc>
      </w:tr>
      <w:tr w:rsidR="00580969" w:rsidRPr="001B0B69" w14:paraId="0617253F" w14:textId="77777777" w:rsidTr="00A109A6">
        <w:trPr>
          <w:tblCellSpacing w:w="15" w:type="dxa"/>
        </w:trPr>
        <w:tc>
          <w:tcPr>
            <w:tcW w:w="1543" w:type="dxa"/>
            <w:vMerge w:val="restart"/>
            <w:tcBorders>
              <w:top w:val="outset" w:sz="6" w:space="0" w:color="auto"/>
              <w:left w:val="outset" w:sz="6" w:space="0" w:color="auto"/>
              <w:bottom w:val="outset" w:sz="6" w:space="0" w:color="auto"/>
              <w:right w:val="outset" w:sz="6" w:space="0" w:color="auto"/>
            </w:tcBorders>
            <w:vAlign w:val="center"/>
            <w:hideMark/>
          </w:tcPr>
          <w:p w14:paraId="433FD57F"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Rādītāji</w:t>
            </w:r>
          </w:p>
        </w:tc>
        <w:tc>
          <w:tcPr>
            <w:tcW w:w="195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2EE4D87"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2020.</w:t>
            </w:r>
            <w:r w:rsidR="00465AE2">
              <w:rPr>
                <w:rFonts w:ascii="Times New Roman" w:eastAsia="Times New Roman" w:hAnsi="Times New Roman"/>
                <w:iCs/>
                <w:sz w:val="24"/>
                <w:szCs w:val="24"/>
                <w:lang w:eastAsia="lv-LV"/>
              </w:rPr>
              <w:t xml:space="preserve"> </w:t>
            </w:r>
            <w:r w:rsidR="00E5323B" w:rsidRPr="001B0B69">
              <w:rPr>
                <w:rFonts w:ascii="Times New Roman" w:eastAsia="Times New Roman" w:hAnsi="Times New Roman"/>
                <w:iCs/>
                <w:sz w:val="24"/>
                <w:szCs w:val="24"/>
                <w:lang w:eastAsia="lv-LV"/>
              </w:rPr>
              <w:t>gads</w:t>
            </w:r>
          </w:p>
        </w:tc>
        <w:tc>
          <w:tcPr>
            <w:tcW w:w="5436" w:type="dxa"/>
            <w:gridSpan w:val="6"/>
            <w:tcBorders>
              <w:top w:val="outset" w:sz="6" w:space="0" w:color="auto"/>
              <w:left w:val="outset" w:sz="6" w:space="0" w:color="auto"/>
              <w:bottom w:val="outset" w:sz="6" w:space="0" w:color="auto"/>
              <w:right w:val="outset" w:sz="6" w:space="0" w:color="auto"/>
            </w:tcBorders>
            <w:vAlign w:val="center"/>
            <w:hideMark/>
          </w:tcPr>
          <w:p w14:paraId="0B20D850"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Turpmākie trīs gadi (</w:t>
            </w:r>
            <w:r w:rsidRPr="001B0B69">
              <w:rPr>
                <w:rFonts w:ascii="Times New Roman" w:eastAsia="Times New Roman" w:hAnsi="Times New Roman"/>
                <w:i/>
                <w:iCs/>
                <w:sz w:val="24"/>
                <w:szCs w:val="24"/>
                <w:lang w:eastAsia="lv-LV"/>
              </w:rPr>
              <w:t>euro</w:t>
            </w:r>
            <w:r w:rsidRPr="001B0B69">
              <w:rPr>
                <w:rFonts w:ascii="Times New Roman" w:eastAsia="Times New Roman" w:hAnsi="Times New Roman"/>
                <w:iCs/>
                <w:sz w:val="24"/>
                <w:szCs w:val="24"/>
                <w:lang w:eastAsia="lv-LV"/>
              </w:rPr>
              <w:t>)</w:t>
            </w:r>
          </w:p>
        </w:tc>
      </w:tr>
      <w:tr w:rsidR="00580969" w:rsidRPr="001B0B69" w14:paraId="6F2614DD" w14:textId="77777777" w:rsidTr="00A109A6">
        <w:trPr>
          <w:tblCellSpacing w:w="15" w:type="dxa"/>
        </w:trPr>
        <w:tc>
          <w:tcPr>
            <w:tcW w:w="1543" w:type="dxa"/>
            <w:vMerge/>
            <w:tcBorders>
              <w:top w:val="outset" w:sz="6" w:space="0" w:color="auto"/>
              <w:left w:val="outset" w:sz="6" w:space="0" w:color="auto"/>
              <w:bottom w:val="outset" w:sz="6" w:space="0" w:color="auto"/>
              <w:right w:val="outset" w:sz="6" w:space="0" w:color="auto"/>
            </w:tcBorders>
            <w:vAlign w:val="center"/>
            <w:hideMark/>
          </w:tcPr>
          <w:p w14:paraId="40FCA47D"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1956" w:type="dxa"/>
            <w:gridSpan w:val="2"/>
            <w:vMerge/>
            <w:tcBorders>
              <w:top w:val="outset" w:sz="6" w:space="0" w:color="auto"/>
              <w:left w:val="outset" w:sz="6" w:space="0" w:color="auto"/>
              <w:bottom w:val="outset" w:sz="6" w:space="0" w:color="auto"/>
              <w:right w:val="outset" w:sz="6" w:space="0" w:color="auto"/>
            </w:tcBorders>
            <w:vAlign w:val="center"/>
            <w:hideMark/>
          </w:tcPr>
          <w:p w14:paraId="373F2C5A"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2238" w:type="dxa"/>
            <w:gridSpan w:val="3"/>
            <w:tcBorders>
              <w:top w:val="outset" w:sz="6" w:space="0" w:color="auto"/>
              <w:left w:val="outset" w:sz="6" w:space="0" w:color="auto"/>
              <w:bottom w:val="outset" w:sz="6" w:space="0" w:color="auto"/>
              <w:right w:val="outset" w:sz="6" w:space="0" w:color="auto"/>
            </w:tcBorders>
            <w:vAlign w:val="center"/>
            <w:hideMark/>
          </w:tcPr>
          <w:p w14:paraId="0D953C95"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2021.</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c>
          <w:tcPr>
            <w:tcW w:w="1950" w:type="dxa"/>
            <w:gridSpan w:val="2"/>
            <w:tcBorders>
              <w:top w:val="outset" w:sz="6" w:space="0" w:color="auto"/>
              <w:left w:val="outset" w:sz="6" w:space="0" w:color="auto"/>
              <w:bottom w:val="outset" w:sz="6" w:space="0" w:color="auto"/>
              <w:right w:val="outset" w:sz="6" w:space="0" w:color="auto"/>
            </w:tcBorders>
            <w:vAlign w:val="center"/>
            <w:hideMark/>
          </w:tcPr>
          <w:p w14:paraId="3141E956"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2022.</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8A14D7A"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2023.</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r>
      <w:tr w:rsidR="00295956" w:rsidRPr="001B0B69" w14:paraId="01C83D6C" w14:textId="77777777" w:rsidTr="00A109A6">
        <w:trPr>
          <w:tblCellSpacing w:w="15" w:type="dxa"/>
        </w:trPr>
        <w:tc>
          <w:tcPr>
            <w:tcW w:w="1543" w:type="dxa"/>
            <w:vMerge/>
            <w:tcBorders>
              <w:top w:val="outset" w:sz="6" w:space="0" w:color="auto"/>
              <w:left w:val="outset" w:sz="6" w:space="0" w:color="auto"/>
              <w:bottom w:val="outset" w:sz="6" w:space="0" w:color="auto"/>
              <w:right w:val="outset" w:sz="6" w:space="0" w:color="auto"/>
            </w:tcBorders>
            <w:vAlign w:val="center"/>
            <w:hideMark/>
          </w:tcPr>
          <w:p w14:paraId="22FB506F"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1E49666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valsts budžetu kārtējam gadam</w:t>
            </w:r>
          </w:p>
        </w:tc>
        <w:tc>
          <w:tcPr>
            <w:tcW w:w="1058" w:type="dxa"/>
            <w:gridSpan w:val="2"/>
            <w:tcBorders>
              <w:top w:val="outset" w:sz="6" w:space="0" w:color="auto"/>
              <w:left w:val="outset" w:sz="6" w:space="0" w:color="auto"/>
              <w:bottom w:val="outset" w:sz="6" w:space="0" w:color="auto"/>
              <w:right w:val="outset" w:sz="6" w:space="0" w:color="auto"/>
            </w:tcBorders>
            <w:vAlign w:val="center"/>
            <w:hideMark/>
          </w:tcPr>
          <w:p w14:paraId="00EA3A1D"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izmaiņas kārtējā gadā, salīdzinot ar valsts budžetu kārtējam gadam</w:t>
            </w:r>
          </w:p>
        </w:tc>
        <w:tc>
          <w:tcPr>
            <w:tcW w:w="1033" w:type="dxa"/>
            <w:tcBorders>
              <w:top w:val="outset" w:sz="6" w:space="0" w:color="auto"/>
              <w:left w:val="outset" w:sz="6" w:space="0" w:color="auto"/>
              <w:bottom w:val="outset" w:sz="6" w:space="0" w:color="auto"/>
              <w:right w:val="outset" w:sz="6" w:space="0" w:color="auto"/>
            </w:tcBorders>
            <w:vAlign w:val="center"/>
            <w:hideMark/>
          </w:tcPr>
          <w:p w14:paraId="34C422F5"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vidēja termiņa budžeta ietvaru</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37DE23A"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2021.</w:t>
            </w:r>
            <w:r w:rsidRPr="001B0B69">
              <w:rPr>
                <w:rFonts w:ascii="Times New Roman" w:eastAsia="Times New Roman" w:hAnsi="Times New Roman"/>
                <w:iCs/>
                <w:sz w:val="24"/>
                <w:szCs w:val="24"/>
                <w:lang w:eastAsia="lv-LV"/>
              </w:rPr>
              <w:t xml:space="preserve"> gadam</w:t>
            </w:r>
          </w:p>
        </w:tc>
        <w:tc>
          <w:tcPr>
            <w:tcW w:w="870" w:type="dxa"/>
            <w:tcBorders>
              <w:top w:val="outset" w:sz="6" w:space="0" w:color="auto"/>
              <w:left w:val="outset" w:sz="6" w:space="0" w:color="auto"/>
              <w:bottom w:val="outset" w:sz="6" w:space="0" w:color="auto"/>
              <w:right w:val="outset" w:sz="6" w:space="0" w:color="auto"/>
            </w:tcBorders>
            <w:vAlign w:val="center"/>
            <w:hideMark/>
          </w:tcPr>
          <w:p w14:paraId="6F5CAC83"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vidēja termiņa budžeta ietvaru</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153133A"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2022.</w:t>
            </w:r>
            <w:r w:rsidRPr="001B0B69">
              <w:rPr>
                <w:rFonts w:ascii="Times New Roman" w:eastAsia="Times New Roman" w:hAnsi="Times New Roman"/>
                <w:iCs/>
                <w:sz w:val="24"/>
                <w:szCs w:val="24"/>
                <w:lang w:eastAsia="lv-LV"/>
              </w:rPr>
              <w:t xml:space="preserve"> gadam</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B1578CD"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2022.</w:t>
            </w:r>
            <w:r w:rsidRPr="001B0B69">
              <w:rPr>
                <w:rFonts w:ascii="Times New Roman" w:eastAsia="Times New Roman" w:hAnsi="Times New Roman"/>
                <w:iCs/>
                <w:sz w:val="24"/>
                <w:szCs w:val="24"/>
                <w:lang w:eastAsia="lv-LV"/>
              </w:rPr>
              <w:t xml:space="preserve"> gadam</w:t>
            </w:r>
          </w:p>
        </w:tc>
      </w:tr>
      <w:tr w:rsidR="00295956" w:rsidRPr="001B0B69" w14:paraId="77B8D315"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vAlign w:val="center"/>
            <w:hideMark/>
          </w:tcPr>
          <w:p w14:paraId="79E90FE7"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7D140F8C"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5A55DBB"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340989C1"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CF67B24"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w:t>
            </w:r>
          </w:p>
        </w:tc>
        <w:tc>
          <w:tcPr>
            <w:tcW w:w="870" w:type="dxa"/>
            <w:tcBorders>
              <w:top w:val="outset" w:sz="6" w:space="0" w:color="auto"/>
              <w:left w:val="outset" w:sz="6" w:space="0" w:color="auto"/>
              <w:bottom w:val="outset" w:sz="6" w:space="0" w:color="auto"/>
              <w:right w:val="outset" w:sz="6" w:space="0" w:color="auto"/>
            </w:tcBorders>
            <w:vAlign w:val="center"/>
            <w:hideMark/>
          </w:tcPr>
          <w:p w14:paraId="46DEFF9A"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4008398"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7</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2C55774"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8</w:t>
            </w:r>
          </w:p>
        </w:tc>
      </w:tr>
      <w:tr w:rsidR="00A73D4A" w:rsidRPr="001B0B69" w14:paraId="0C87265D"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886B396"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hideMark/>
          </w:tcPr>
          <w:p w14:paraId="32A424C9" w14:textId="71713861" w:rsidR="00A73D4A" w:rsidRPr="001B0B69" w:rsidRDefault="00A73D4A" w:rsidP="00A73D4A">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150 244</w:t>
            </w:r>
          </w:p>
        </w:tc>
        <w:tc>
          <w:tcPr>
            <w:tcW w:w="1023" w:type="dxa"/>
            <w:tcBorders>
              <w:top w:val="outset" w:sz="6" w:space="0" w:color="auto"/>
              <w:left w:val="outset" w:sz="6" w:space="0" w:color="auto"/>
              <w:bottom w:val="outset" w:sz="6" w:space="0" w:color="auto"/>
              <w:right w:val="outset" w:sz="6" w:space="0" w:color="auto"/>
            </w:tcBorders>
            <w:hideMark/>
          </w:tcPr>
          <w:p w14:paraId="5E23FBB3" w14:textId="79A06A01" w:rsidR="00A73D4A" w:rsidRPr="003F0DCA" w:rsidRDefault="00A73D4A" w:rsidP="00A73D4A">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57BE336" w14:textId="66DF27B1"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1CC858A6" w14:textId="72BFA649"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4CFD9D77" w14:textId="6E010DB7"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388EAACF" w14:textId="50F7202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43B931A" w14:textId="131B6DEC" w:rsidR="00A73D4A" w:rsidRPr="00E0469D"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4B962ACC"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tcPr>
          <w:p w14:paraId="37D77010"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tcPr>
          <w:p w14:paraId="5EF2EB14" w14:textId="32E17678" w:rsidR="00A73D4A" w:rsidRPr="003F0DCA" w:rsidRDefault="00A73D4A" w:rsidP="00A73D4A">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150 244</w:t>
            </w:r>
          </w:p>
        </w:tc>
        <w:tc>
          <w:tcPr>
            <w:tcW w:w="1023" w:type="dxa"/>
            <w:tcBorders>
              <w:top w:val="outset" w:sz="6" w:space="0" w:color="auto"/>
              <w:left w:val="outset" w:sz="6" w:space="0" w:color="auto"/>
              <w:bottom w:val="outset" w:sz="6" w:space="0" w:color="auto"/>
              <w:right w:val="outset" w:sz="6" w:space="0" w:color="auto"/>
            </w:tcBorders>
          </w:tcPr>
          <w:p w14:paraId="2831533B" w14:textId="784F2F4C" w:rsidR="00A73D4A" w:rsidRPr="003F0DCA" w:rsidRDefault="00A73D4A" w:rsidP="00A73D4A">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tcPr>
          <w:p w14:paraId="0752C6AB" w14:textId="0DC144F0"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tcPr>
          <w:p w14:paraId="0D9C457F" w14:textId="6D448E74"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tcPr>
          <w:p w14:paraId="3F22D588" w14:textId="4E93199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tcPr>
          <w:p w14:paraId="36668551" w14:textId="249D531C"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tcPr>
          <w:p w14:paraId="16155623" w14:textId="463F0087" w:rsidR="00A73D4A" w:rsidRPr="00E0469D"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3B60DC43"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AF4A2C8"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hideMark/>
          </w:tcPr>
          <w:p w14:paraId="7615C837" w14:textId="0893BFEF"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3CAEE5F5" w14:textId="00D2C0F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1CB8CB23" w14:textId="5088B107"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7855BD1A" w14:textId="33AF5F5C"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0C4481EA" w14:textId="5668EE68"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3B389E0A" w14:textId="12BAAC0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0613A9AC" w14:textId="462FB237" w:rsidR="00A73D4A" w:rsidRPr="00E0469D" w:rsidRDefault="00A73D4A" w:rsidP="00A73D4A">
            <w:pPr>
              <w:pStyle w:val="ListParagraph"/>
              <w:spacing w:after="0" w:line="240" w:lineRule="auto"/>
              <w:ind w:left="0" w:right="-1"/>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r>
      <w:tr w:rsidR="00A73D4A" w:rsidRPr="001B0B69" w14:paraId="2D7AB014"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DEED9B3"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hideMark/>
          </w:tcPr>
          <w:p w14:paraId="1F2255F6" w14:textId="305F0685" w:rsidR="00A73D4A" w:rsidRPr="001B0B69" w:rsidRDefault="00A73D4A" w:rsidP="00A73D4A">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03487F1C" w14:textId="6B1AA339" w:rsidR="00A73D4A" w:rsidRPr="003F0DCA" w:rsidRDefault="00A73D4A" w:rsidP="00A73D4A">
            <w:pPr>
              <w:jc w:val="center"/>
              <w:rPr>
                <w:rFonts w:ascii="Times New Roman" w:eastAsia="Times New Roman" w:hAnsi="Times New Roman"/>
                <w:iCs/>
                <w:sz w:val="24"/>
                <w:szCs w:val="24"/>
                <w:lang w:eastAsia="lv-LV"/>
              </w:rPr>
            </w:pPr>
            <w:r w:rsidRPr="00AD6610">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0F410641" w14:textId="03EDD753"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4C999E1E" w14:textId="478C5A28"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3C53BFB6" w14:textId="2F09EBCA"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73EE88A6" w14:textId="72D0CE59"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20FD38D9" w14:textId="59AFB5D9"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12555CD4"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6C1C189"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hideMark/>
          </w:tcPr>
          <w:p w14:paraId="622A8F8A" w14:textId="65513979" w:rsidR="00A73D4A" w:rsidRPr="001B0B69" w:rsidRDefault="00A73D4A" w:rsidP="00A73D4A">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150 244</w:t>
            </w:r>
          </w:p>
        </w:tc>
        <w:tc>
          <w:tcPr>
            <w:tcW w:w="1023" w:type="dxa"/>
            <w:tcBorders>
              <w:top w:val="outset" w:sz="6" w:space="0" w:color="auto"/>
              <w:left w:val="outset" w:sz="6" w:space="0" w:color="auto"/>
              <w:bottom w:val="outset" w:sz="6" w:space="0" w:color="auto"/>
              <w:right w:val="outset" w:sz="6" w:space="0" w:color="auto"/>
            </w:tcBorders>
            <w:hideMark/>
          </w:tcPr>
          <w:p w14:paraId="15D19B1E" w14:textId="1CF04C99" w:rsidR="00A73D4A" w:rsidRPr="003F0DCA" w:rsidRDefault="00A73D4A" w:rsidP="00A73D4A">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5389CA6" w14:textId="1837DCE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07DE627A" w14:textId="5F30F2B7"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79749172" w14:textId="664F90BF"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07FCCC49" w14:textId="24267942"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0835C864" w14:textId="62C79071" w:rsidR="00A73D4A" w:rsidRPr="00E0469D"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2ECD081E"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6FD6E2D7"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hideMark/>
          </w:tcPr>
          <w:p w14:paraId="21C94A4B" w14:textId="36B61D39" w:rsidR="00A73D4A" w:rsidRPr="001B0B69" w:rsidRDefault="00A73D4A" w:rsidP="00A73D4A">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150 244</w:t>
            </w:r>
          </w:p>
        </w:tc>
        <w:tc>
          <w:tcPr>
            <w:tcW w:w="1023" w:type="dxa"/>
            <w:tcBorders>
              <w:top w:val="outset" w:sz="6" w:space="0" w:color="auto"/>
              <w:left w:val="outset" w:sz="6" w:space="0" w:color="auto"/>
              <w:bottom w:val="outset" w:sz="6" w:space="0" w:color="auto"/>
              <w:right w:val="outset" w:sz="6" w:space="0" w:color="auto"/>
            </w:tcBorders>
            <w:hideMark/>
          </w:tcPr>
          <w:p w14:paraId="4233E036" w14:textId="28253C8E" w:rsidR="00A73D4A" w:rsidRPr="003F0DCA" w:rsidRDefault="00A73D4A" w:rsidP="00A73D4A">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5B2D3D99" w14:textId="48D27B3E"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71A10972" w14:textId="12672A4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49F445B6" w14:textId="53D2A194"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3B233527" w14:textId="19AC456A"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50BAF16F" w14:textId="07C5C21D" w:rsidR="00A73D4A" w:rsidRPr="00E0469D"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6DF58F87"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ABD23BE"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hideMark/>
          </w:tcPr>
          <w:p w14:paraId="1510F662" w14:textId="53549DEE"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46C8D695" w14:textId="3A9C92A2" w:rsidR="00A73D4A" w:rsidRPr="003F0DCA" w:rsidRDefault="00A73D4A" w:rsidP="00A73D4A">
            <w:pPr>
              <w:jc w:val="center"/>
              <w:rPr>
                <w:rFonts w:ascii="Times New Roman" w:eastAsia="Times New Roman" w:hAnsi="Times New Roman"/>
                <w:iCs/>
                <w:sz w:val="24"/>
                <w:szCs w:val="24"/>
                <w:lang w:eastAsia="lv-LV"/>
              </w:rPr>
            </w:pPr>
            <w:r w:rsidRPr="002240AE">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1DCE8D3" w14:textId="039B6B4E"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32DCA033" w14:textId="7BF35DE2"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54FA8B2F" w14:textId="50743138"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2ABA6EEE" w14:textId="1EE4D387"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4D3E66AB" w14:textId="7B319A93" w:rsidR="00A73D4A" w:rsidRPr="00E0469D"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564016C5"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0900CFB"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hideMark/>
          </w:tcPr>
          <w:p w14:paraId="314EB20E" w14:textId="69071B91" w:rsidR="00A73D4A" w:rsidRPr="003F0DCA" w:rsidRDefault="00A73D4A" w:rsidP="00A73D4A">
            <w:pPr>
              <w:spacing w:after="0" w:line="240" w:lineRule="auto"/>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331197C2" w14:textId="77618020" w:rsidR="00A73D4A" w:rsidRPr="003F0DCA" w:rsidRDefault="00A73D4A" w:rsidP="00A73D4A">
            <w:pPr>
              <w:jc w:val="center"/>
              <w:rPr>
                <w:rFonts w:ascii="Times New Roman" w:eastAsia="Times New Roman" w:hAnsi="Times New Roman"/>
                <w:iCs/>
                <w:sz w:val="24"/>
                <w:szCs w:val="24"/>
                <w:lang w:eastAsia="lv-LV"/>
              </w:rPr>
            </w:pPr>
            <w:r w:rsidRPr="002240AE">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44F7B632" w14:textId="4A20C937"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6E156DA5" w14:textId="7398E7FE"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471C546B" w14:textId="0C1DB1AE" w:rsidR="00A73D4A" w:rsidRPr="003F0DCA" w:rsidRDefault="00A73D4A" w:rsidP="00A73D4A">
            <w:pPr>
              <w:spacing w:after="0" w:line="240" w:lineRule="auto"/>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24DF61EB" w14:textId="370B7F35"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28BC2E11" w14:textId="7A7923B1" w:rsidR="00A73D4A" w:rsidRPr="00E0469D" w:rsidDel="00E179A7"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r>
      <w:tr w:rsidR="00A73D4A" w:rsidRPr="001B0B69" w14:paraId="0E03BC07"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73B6602D"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hideMark/>
          </w:tcPr>
          <w:p w14:paraId="36948BAB" w14:textId="0D221AB8"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BBEF98E" w14:textId="5453A7C4" w:rsidR="00A73D4A" w:rsidRPr="003F0DCA" w:rsidRDefault="00A73D4A" w:rsidP="00A73D4A">
            <w:pPr>
              <w:jc w:val="center"/>
              <w:rPr>
                <w:rFonts w:ascii="Times New Roman" w:eastAsia="Times New Roman" w:hAnsi="Times New Roman"/>
                <w:iCs/>
                <w:sz w:val="24"/>
                <w:szCs w:val="24"/>
                <w:lang w:eastAsia="lv-LV"/>
              </w:rPr>
            </w:pPr>
            <w:r w:rsidRPr="002240AE">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6878C601" w14:textId="4DFF953D"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7C50F34B" w14:textId="4F0F18CF"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489289C5" w14:textId="1F1CD01D"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38BC186B" w14:textId="5E7D4AFF"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23019026" w14:textId="7A9F1ADD"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270FAA51"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40511130"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hideMark/>
          </w:tcPr>
          <w:p w14:paraId="010D4492" w14:textId="7574E889"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50C3841" w14:textId="0E518E3E" w:rsidR="00A73D4A" w:rsidRPr="003F0DCA" w:rsidRDefault="00A73D4A" w:rsidP="00A73D4A">
            <w:pPr>
              <w:jc w:val="center"/>
              <w:rPr>
                <w:rFonts w:ascii="Times New Roman" w:eastAsia="Times New Roman" w:hAnsi="Times New Roman"/>
                <w:iCs/>
                <w:sz w:val="24"/>
                <w:szCs w:val="24"/>
                <w:lang w:eastAsia="lv-LV"/>
              </w:rPr>
            </w:pPr>
            <w:r w:rsidRPr="002240AE">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70D6FDB0" w14:textId="1C18301D"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02CF39DC" w14:textId="34939852"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62EB5635" w14:textId="53C435FB"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79570C50" w14:textId="26DC5D1A"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1B8060D6" w14:textId="7FD3F11D"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134668B8"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1F059E39"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hideMark/>
          </w:tcPr>
          <w:p w14:paraId="3593BE69" w14:textId="2AB87FF1"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FFC837A" w14:textId="3E5FD758"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154CEE83" w14:textId="73B73FFF"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4366CF90" w14:textId="38E204E0"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5A359516" w14:textId="5FD00313"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54A55BA9" w14:textId="5172C5EC"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66BA4719" w14:textId="4F0ACDCE"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288C1494"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F2C1E22"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hideMark/>
          </w:tcPr>
          <w:p w14:paraId="2A8CB62D" w14:textId="7312ACAE"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3359C2F" w14:textId="3B866A1A"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6AB5ADFC" w14:textId="78A35E19"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56E08093" w14:textId="6140A9B7"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7DB1740C" w14:textId="22495EBB"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1BBDD8BD" w14:textId="3F6F4D83"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5D307F2F" w14:textId="337A07E1"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2BD91E48" w14:textId="77777777" w:rsidTr="00DB2C20">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20FE37D3"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53B06D1F" w14:textId="1C7A8EE0"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X</w:t>
            </w:r>
          </w:p>
        </w:tc>
        <w:tc>
          <w:tcPr>
            <w:tcW w:w="1023" w:type="dxa"/>
            <w:tcBorders>
              <w:top w:val="outset" w:sz="6" w:space="0" w:color="auto"/>
              <w:left w:val="outset" w:sz="6" w:space="0" w:color="auto"/>
              <w:bottom w:val="outset" w:sz="6" w:space="0" w:color="auto"/>
              <w:right w:val="outset" w:sz="6" w:space="0" w:color="auto"/>
            </w:tcBorders>
            <w:hideMark/>
          </w:tcPr>
          <w:p w14:paraId="32572570" w14:textId="249092EF"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A65C84">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54441819" w14:textId="13207DA9"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535D4BD3" w14:textId="5F8E1C9D"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3D32C833" w14:textId="37184EAE"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6037319B" w14:textId="23F827D0"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076E26C" w14:textId="0A749F64"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A73D4A" w:rsidRPr="001B0B69" w14:paraId="0CE2A28A" w14:textId="77777777" w:rsidTr="00DB2C20">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436B69DA"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371383E4"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02B79405"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57B631F9"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03A7F31B"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5D260E86"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180821F8"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0B0BE12B"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61C9D954"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17A359E3"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X</w:t>
            </w:r>
          </w:p>
          <w:p w14:paraId="70BC224B"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7C7C865D"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503B8602"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1690EE0B"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5108E460"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2BADFF43"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hideMark/>
          </w:tcPr>
          <w:p w14:paraId="4D268A7A" w14:textId="4DF02F5F"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A65C84">
              <w:rPr>
                <w:rFonts w:ascii="Times New Roman" w:eastAsia="Times New Roman" w:hAnsi="Times New Roman"/>
                <w:iCs/>
                <w:sz w:val="24"/>
                <w:szCs w:val="24"/>
                <w:lang w:eastAsia="lv-LV"/>
              </w:rPr>
              <w:t>0</w:t>
            </w:r>
          </w:p>
        </w:tc>
        <w:tc>
          <w:tcPr>
            <w:tcW w:w="1068" w:type="dxa"/>
            <w:gridSpan w:val="2"/>
            <w:vMerge w:val="restart"/>
            <w:tcBorders>
              <w:top w:val="outset" w:sz="6" w:space="0" w:color="auto"/>
              <w:left w:val="outset" w:sz="6" w:space="0" w:color="auto"/>
              <w:bottom w:val="outset" w:sz="6" w:space="0" w:color="auto"/>
              <w:right w:val="outset" w:sz="6" w:space="0" w:color="auto"/>
            </w:tcBorders>
            <w:hideMark/>
          </w:tcPr>
          <w:p w14:paraId="5A9B3BB1" w14:textId="10EA1770"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104DD92F" w14:textId="17BC0629"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vMerge w:val="restart"/>
            <w:tcBorders>
              <w:top w:val="outset" w:sz="6" w:space="0" w:color="auto"/>
              <w:left w:val="outset" w:sz="6" w:space="0" w:color="auto"/>
              <w:bottom w:val="outset" w:sz="6" w:space="0" w:color="auto"/>
              <w:right w:val="outset" w:sz="6" w:space="0" w:color="auto"/>
            </w:tcBorders>
            <w:hideMark/>
          </w:tcPr>
          <w:p w14:paraId="1591986C" w14:textId="28F2C91E"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0D91317E" w14:textId="5DFE3F2D"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624627A" w14:textId="60907C4F"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A73D4A" w:rsidRPr="001B0B69" w14:paraId="04CD7277"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6D822ECB"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364A1776"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5372CB21" w14:textId="1FF737A2"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75E792D7"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4FF94AD9" w14:textId="1BAC99EE"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hideMark/>
          </w:tcPr>
          <w:p w14:paraId="29B953B4"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45CCF74F" w14:textId="79D59E2A"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3386026" w14:textId="0D7C9ACF"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A73D4A" w:rsidRPr="001B0B69" w14:paraId="0CFB384E"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8ACFED8"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7FB98679"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0B68C047" w14:textId="729A581C"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4CA5220F"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7618711D" w14:textId="13F6248C"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hideMark/>
          </w:tcPr>
          <w:p w14:paraId="22B8534F"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1460B539" w14:textId="3A1C6B17"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D151609" w14:textId="4CECFF72"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A73D4A" w:rsidRPr="001B0B69" w14:paraId="37D506E1"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1CABC46E"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049B7D5E"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5C25249C" w14:textId="06F84B95"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17FA6DFC"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7D5A12F1" w14:textId="64EF145C"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hideMark/>
          </w:tcPr>
          <w:p w14:paraId="0395A2D0"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1E93B166" w14:textId="1AA68B02"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309537F" w14:textId="740475FD"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A73D4A" w:rsidRPr="001B0B69" w14:paraId="1E0EF2CF"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275B41E"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7422"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788B9639" w14:textId="38669DA0" w:rsidR="00A73D4A" w:rsidRPr="005B1202" w:rsidRDefault="00A73D4A" w:rsidP="00A73D4A">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 xml:space="preserve">Finansējums prioritāram pasākumam </w:t>
            </w:r>
            <w:r w:rsidRPr="00625DA6">
              <w:rPr>
                <w:rFonts w:ascii="Times New Roman" w:hAnsi="Times New Roman"/>
                <w:sz w:val="24"/>
                <w:szCs w:val="24"/>
              </w:rPr>
              <w:t>Zinātnisko institūciju darbības starptautiskais novērtējums</w:t>
            </w:r>
            <w:r>
              <w:rPr>
                <w:rFonts w:ascii="Times New Roman" w:hAnsi="Times New Roman"/>
                <w:sz w:val="24"/>
                <w:szCs w:val="24"/>
              </w:rPr>
              <w:t xml:space="preserve"> 2020.gadam paredzēts </w:t>
            </w:r>
            <w:r w:rsidRPr="00E02993">
              <w:rPr>
                <w:rFonts w:ascii="Times New Roman" w:eastAsia="Times New Roman" w:hAnsi="Times New Roman"/>
                <w:iCs/>
                <w:sz w:val="24"/>
                <w:szCs w:val="24"/>
                <w:lang w:eastAsia="lv-LV"/>
              </w:rPr>
              <w:t>ministrijas budžeta apakšprogrammā 05.02.00 “Zinātnes bāzes finansējums”</w:t>
            </w:r>
            <w:r>
              <w:rPr>
                <w:rFonts w:ascii="Times New Roman" w:eastAsia="Times New Roman" w:hAnsi="Times New Roman"/>
                <w:iCs/>
                <w:sz w:val="24"/>
                <w:szCs w:val="24"/>
                <w:lang w:eastAsia="lv-LV"/>
              </w:rPr>
              <w:t xml:space="preserve"> 150 244 euro apmērā.</w:t>
            </w:r>
          </w:p>
        </w:tc>
      </w:tr>
      <w:tr w:rsidR="00A73D4A" w:rsidRPr="001B0B69" w14:paraId="4F406AA9"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3E85C18C"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6.1. detalizēts ieņēmumu aprēķins</w:t>
            </w:r>
          </w:p>
        </w:tc>
        <w:tc>
          <w:tcPr>
            <w:tcW w:w="7422" w:type="dxa"/>
            <w:gridSpan w:val="8"/>
            <w:vMerge/>
            <w:tcBorders>
              <w:top w:val="outset" w:sz="6" w:space="0" w:color="auto"/>
              <w:left w:val="outset" w:sz="6" w:space="0" w:color="auto"/>
              <w:bottom w:val="outset" w:sz="6" w:space="0" w:color="auto"/>
              <w:right w:val="outset" w:sz="6" w:space="0" w:color="auto"/>
            </w:tcBorders>
            <w:vAlign w:val="center"/>
            <w:hideMark/>
          </w:tcPr>
          <w:p w14:paraId="2C5EE33D" w14:textId="77777777" w:rsidR="00A73D4A" w:rsidRPr="001B0B69" w:rsidRDefault="00A73D4A" w:rsidP="00A73D4A">
            <w:pPr>
              <w:spacing w:after="0" w:line="240" w:lineRule="auto"/>
              <w:rPr>
                <w:rFonts w:ascii="Times New Roman" w:eastAsia="Times New Roman" w:hAnsi="Times New Roman"/>
                <w:iCs/>
                <w:sz w:val="24"/>
                <w:szCs w:val="24"/>
                <w:lang w:eastAsia="lv-LV"/>
              </w:rPr>
            </w:pPr>
          </w:p>
        </w:tc>
      </w:tr>
      <w:tr w:rsidR="00A73D4A" w:rsidRPr="001B0B69" w14:paraId="65B448B1"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7548A484"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6.2. detalizēts izdevumu aprēķins</w:t>
            </w:r>
          </w:p>
        </w:tc>
        <w:tc>
          <w:tcPr>
            <w:tcW w:w="7422" w:type="dxa"/>
            <w:gridSpan w:val="8"/>
            <w:vMerge/>
            <w:tcBorders>
              <w:top w:val="outset" w:sz="6" w:space="0" w:color="auto"/>
              <w:left w:val="outset" w:sz="6" w:space="0" w:color="auto"/>
              <w:bottom w:val="outset" w:sz="6" w:space="0" w:color="auto"/>
              <w:right w:val="outset" w:sz="6" w:space="0" w:color="auto"/>
            </w:tcBorders>
            <w:vAlign w:val="center"/>
            <w:hideMark/>
          </w:tcPr>
          <w:p w14:paraId="7EDC54F5" w14:textId="77777777" w:rsidR="00A73D4A" w:rsidRPr="001B0B69" w:rsidRDefault="00A73D4A" w:rsidP="00A73D4A">
            <w:pPr>
              <w:spacing w:after="0" w:line="240" w:lineRule="auto"/>
              <w:rPr>
                <w:rFonts w:ascii="Times New Roman" w:eastAsia="Times New Roman" w:hAnsi="Times New Roman"/>
                <w:iCs/>
                <w:sz w:val="24"/>
                <w:szCs w:val="24"/>
                <w:lang w:eastAsia="lv-LV"/>
              </w:rPr>
            </w:pPr>
          </w:p>
        </w:tc>
      </w:tr>
      <w:tr w:rsidR="00A73D4A" w:rsidRPr="001B0B69" w14:paraId="29919A07"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0559AB9"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7. Amata vietu skaita izmaiņas</w:t>
            </w:r>
          </w:p>
        </w:tc>
        <w:tc>
          <w:tcPr>
            <w:tcW w:w="7422" w:type="dxa"/>
            <w:gridSpan w:val="8"/>
            <w:tcBorders>
              <w:top w:val="outset" w:sz="6" w:space="0" w:color="auto"/>
              <w:left w:val="outset" w:sz="6" w:space="0" w:color="auto"/>
              <w:bottom w:val="outset" w:sz="6" w:space="0" w:color="auto"/>
              <w:right w:val="outset" w:sz="6" w:space="0" w:color="auto"/>
            </w:tcBorders>
            <w:hideMark/>
          </w:tcPr>
          <w:p w14:paraId="7F1D7EAC" w14:textId="1A173BA8"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 paredzētas.</w:t>
            </w:r>
          </w:p>
        </w:tc>
      </w:tr>
      <w:tr w:rsidR="00A73D4A" w:rsidRPr="001B0B69" w14:paraId="69C7E7A9"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1CEB6AA"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8. Cita informācija</w:t>
            </w:r>
          </w:p>
        </w:tc>
        <w:tc>
          <w:tcPr>
            <w:tcW w:w="7422" w:type="dxa"/>
            <w:gridSpan w:val="8"/>
            <w:tcBorders>
              <w:top w:val="outset" w:sz="6" w:space="0" w:color="auto"/>
              <w:left w:val="outset" w:sz="6" w:space="0" w:color="auto"/>
              <w:bottom w:val="outset" w:sz="6" w:space="0" w:color="auto"/>
              <w:right w:val="outset" w:sz="6" w:space="0" w:color="auto"/>
            </w:tcBorders>
            <w:hideMark/>
          </w:tcPr>
          <w:p w14:paraId="2CE50A46" w14:textId="4380EB43" w:rsidR="00A73D4A" w:rsidRPr="002543F9" w:rsidRDefault="00A73D4A" w:rsidP="00A73D4A">
            <w:pPr>
              <w:spacing w:after="0" w:line="240" w:lineRule="auto"/>
              <w:jc w:val="both"/>
              <w:rPr>
                <w:rFonts w:ascii="Times New Roman" w:hAnsi="Times New Roman"/>
                <w:sz w:val="24"/>
                <w:szCs w:val="24"/>
              </w:rPr>
            </w:pPr>
            <w:r>
              <w:rPr>
                <w:rFonts w:ascii="Times New Roman" w:hAnsi="Times New Roman"/>
                <w:iCs/>
                <w:sz w:val="24"/>
                <w:szCs w:val="24"/>
              </w:rPr>
              <w:t>Nav.</w:t>
            </w:r>
          </w:p>
        </w:tc>
      </w:tr>
    </w:tbl>
    <w:p w14:paraId="350F1C21" w14:textId="6C3C5750"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1B0B69" w14:paraId="4AA46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700BF"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IV. Tiesību akta projekta ietekme uz spēkā esošo tiesību normu sistēmu</w:t>
            </w:r>
          </w:p>
        </w:tc>
      </w:tr>
      <w:tr w:rsidR="00580969" w:rsidRPr="001B0B69" w14:paraId="2292FAD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5BDF51" w14:textId="27088D50" w:rsidR="0015625F" w:rsidRPr="001B0B69" w:rsidRDefault="00B76BF0" w:rsidP="00872F09">
            <w:pPr>
              <w:spacing w:after="0" w:line="240" w:lineRule="auto"/>
              <w:jc w:val="center"/>
              <w:rPr>
                <w:rFonts w:ascii="Times New Roman" w:eastAsia="Times New Roman" w:hAnsi="Times New Roman"/>
                <w:bCs/>
                <w:iCs/>
                <w:sz w:val="24"/>
                <w:szCs w:val="24"/>
                <w:lang w:eastAsia="lv-LV"/>
              </w:rPr>
            </w:pPr>
            <w:r>
              <w:rPr>
                <w:rFonts w:ascii="Times New Roman" w:eastAsia="Times New Roman" w:hAnsi="Times New Roman"/>
                <w:iCs/>
                <w:sz w:val="24"/>
                <w:szCs w:val="24"/>
                <w:lang w:eastAsia="lv-LV"/>
              </w:rPr>
              <w:t>P</w:t>
            </w:r>
            <w:r w:rsidR="00872F09" w:rsidRPr="001B0B69">
              <w:rPr>
                <w:rFonts w:ascii="Times New Roman" w:eastAsia="Times New Roman" w:hAnsi="Times New Roman"/>
                <w:iCs/>
                <w:sz w:val="24"/>
                <w:szCs w:val="24"/>
                <w:lang w:eastAsia="lv-LV"/>
              </w:rPr>
              <w:t>rojekts</w:t>
            </w:r>
            <w:r w:rsidR="0015625F" w:rsidRPr="001B0B69">
              <w:rPr>
                <w:rFonts w:ascii="Times New Roman" w:eastAsia="Times New Roman" w:hAnsi="Times New Roman"/>
                <w:bCs/>
                <w:iCs/>
                <w:sz w:val="24"/>
                <w:szCs w:val="24"/>
                <w:lang w:eastAsia="lv-LV"/>
              </w:rPr>
              <w:t xml:space="preserve"> šo jomu neskar.</w:t>
            </w:r>
          </w:p>
        </w:tc>
      </w:tr>
    </w:tbl>
    <w:p w14:paraId="7BAF0BAF"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1B0B69" w14:paraId="55D6CE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02E24"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 Tiesību akta projekta atbilstība Latvijas Republikas starptautiskajām saistībām</w:t>
            </w:r>
          </w:p>
        </w:tc>
      </w:tr>
      <w:tr w:rsidR="00580969" w:rsidRPr="001B0B69" w14:paraId="5760BC95" w14:textId="77777777" w:rsidTr="009D516B">
        <w:trPr>
          <w:trHeight w:val="18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B92F85" w14:textId="3A63B743" w:rsidR="0015625F" w:rsidRPr="001B0B69" w:rsidRDefault="00B76BF0" w:rsidP="001B0B69">
            <w:pPr>
              <w:spacing w:after="0" w:line="240" w:lineRule="auto"/>
              <w:jc w:val="center"/>
              <w:rPr>
                <w:rFonts w:ascii="Times New Roman" w:eastAsia="Times New Roman" w:hAnsi="Times New Roman"/>
                <w:b/>
                <w:bCs/>
                <w:iCs/>
                <w:sz w:val="24"/>
                <w:szCs w:val="24"/>
                <w:lang w:eastAsia="lv-LV"/>
              </w:rPr>
            </w:pPr>
            <w:r>
              <w:rPr>
                <w:rFonts w:ascii="Times New Roman" w:eastAsia="Times New Roman" w:hAnsi="Times New Roman"/>
                <w:iCs/>
                <w:sz w:val="24"/>
                <w:szCs w:val="24"/>
                <w:lang w:eastAsia="lv-LV"/>
              </w:rPr>
              <w:t>P</w:t>
            </w:r>
            <w:r w:rsidR="00872F09" w:rsidRPr="001B0B69">
              <w:rPr>
                <w:rFonts w:ascii="Times New Roman" w:eastAsia="Times New Roman" w:hAnsi="Times New Roman"/>
                <w:iCs/>
                <w:sz w:val="24"/>
                <w:szCs w:val="24"/>
                <w:lang w:eastAsia="lv-LV"/>
              </w:rPr>
              <w:t>rojekts</w:t>
            </w:r>
            <w:r w:rsidR="00872F09" w:rsidRPr="001D6A58">
              <w:rPr>
                <w:rFonts w:ascii="Times New Roman" w:eastAsia="Times New Roman" w:hAnsi="Times New Roman"/>
                <w:sz w:val="24"/>
                <w:szCs w:val="24"/>
                <w:lang w:eastAsia="lv-LV"/>
              </w:rPr>
              <w:t xml:space="preserve"> </w:t>
            </w:r>
            <w:r w:rsidR="0015625F" w:rsidRPr="001B0B69">
              <w:rPr>
                <w:rFonts w:ascii="Times New Roman" w:eastAsia="Times New Roman" w:hAnsi="Times New Roman"/>
                <w:bCs/>
                <w:iCs/>
                <w:sz w:val="24"/>
                <w:szCs w:val="24"/>
                <w:lang w:eastAsia="lv-LV"/>
              </w:rPr>
              <w:t>šo jomu neskar.</w:t>
            </w:r>
          </w:p>
        </w:tc>
      </w:tr>
    </w:tbl>
    <w:p w14:paraId="352F93F8"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2"/>
        <w:gridCol w:w="1945"/>
        <w:gridCol w:w="6768"/>
      </w:tblGrid>
      <w:tr w:rsidR="00580969" w:rsidRPr="001B0B69" w14:paraId="76A0F0A6" w14:textId="77777777" w:rsidTr="00872F0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D4C63E3"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VI. Sabiedrības līdzdalība un komunikācijas aktivitātes</w:t>
            </w:r>
          </w:p>
        </w:tc>
      </w:tr>
      <w:tr w:rsidR="00872F09" w:rsidRPr="001B0B69" w14:paraId="31CE50F4" w14:textId="77777777" w:rsidTr="00872F09">
        <w:trPr>
          <w:tblCellSpacing w:w="15" w:type="dxa"/>
        </w:trPr>
        <w:tc>
          <w:tcPr>
            <w:tcW w:w="297" w:type="dxa"/>
            <w:tcBorders>
              <w:top w:val="outset" w:sz="6" w:space="0" w:color="auto"/>
              <w:left w:val="outset" w:sz="6" w:space="0" w:color="auto"/>
              <w:bottom w:val="outset" w:sz="6" w:space="0" w:color="auto"/>
              <w:right w:val="outset" w:sz="6" w:space="0" w:color="auto"/>
            </w:tcBorders>
            <w:hideMark/>
          </w:tcPr>
          <w:p w14:paraId="173D13CF"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1915" w:type="dxa"/>
            <w:tcBorders>
              <w:top w:val="outset" w:sz="6" w:space="0" w:color="auto"/>
              <w:left w:val="outset" w:sz="6" w:space="0" w:color="auto"/>
              <w:bottom w:val="outset" w:sz="6" w:space="0" w:color="auto"/>
              <w:right w:val="outset" w:sz="6" w:space="0" w:color="auto"/>
            </w:tcBorders>
            <w:hideMark/>
          </w:tcPr>
          <w:p w14:paraId="1D2D9749"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Plānotās sabiedrības līdzdalības un komunikācijas aktivitātes saistībā ar projektu</w:t>
            </w:r>
          </w:p>
        </w:tc>
        <w:tc>
          <w:tcPr>
            <w:tcW w:w="6723" w:type="dxa"/>
            <w:tcBorders>
              <w:top w:val="outset" w:sz="6" w:space="0" w:color="auto"/>
              <w:left w:val="outset" w:sz="6" w:space="0" w:color="auto"/>
              <w:bottom w:val="outset" w:sz="6" w:space="0" w:color="auto"/>
              <w:right w:val="outset" w:sz="6" w:space="0" w:color="auto"/>
            </w:tcBorders>
            <w:shd w:val="clear" w:color="auto" w:fill="auto"/>
          </w:tcPr>
          <w:p w14:paraId="79119000" w14:textId="6F8CB9E7" w:rsidR="00872F09" w:rsidRPr="00872F09" w:rsidRDefault="00B76BF0" w:rsidP="00691BDD">
            <w:pPr>
              <w:spacing w:after="0" w:line="240" w:lineRule="auto"/>
              <w:jc w:val="both"/>
              <w:rPr>
                <w:rFonts w:ascii="Times New Roman" w:eastAsia="Times New Roman" w:hAnsi="Times New Roman"/>
                <w:bCs/>
                <w:iCs/>
                <w:sz w:val="24"/>
                <w:szCs w:val="24"/>
                <w:lang w:eastAsia="lv-LV"/>
              </w:rPr>
            </w:pPr>
            <w:r>
              <w:rPr>
                <w:rFonts w:ascii="Times New Roman" w:eastAsia="Times New Roman" w:hAnsi="Times New Roman"/>
                <w:iCs/>
                <w:sz w:val="24"/>
                <w:szCs w:val="24"/>
                <w:lang w:eastAsia="lv-LV"/>
              </w:rPr>
              <w:t>P</w:t>
            </w:r>
            <w:r w:rsidR="00872F09" w:rsidRPr="001B0B69">
              <w:rPr>
                <w:rFonts w:ascii="Times New Roman" w:eastAsia="Times New Roman" w:hAnsi="Times New Roman"/>
                <w:iCs/>
                <w:sz w:val="24"/>
                <w:szCs w:val="24"/>
                <w:lang w:eastAsia="lv-LV"/>
              </w:rPr>
              <w:t>rojekts</w:t>
            </w:r>
            <w:r w:rsidR="00872F09" w:rsidRPr="00872F09">
              <w:rPr>
                <w:rFonts w:ascii="Times New Roman" w:eastAsia="Times New Roman" w:hAnsi="Times New Roman"/>
                <w:bCs/>
                <w:iCs/>
                <w:sz w:val="24"/>
                <w:szCs w:val="24"/>
                <w:lang w:eastAsia="lv-LV"/>
              </w:rPr>
              <w:t xml:space="preserve"> ir pieejams</w:t>
            </w:r>
            <w:r w:rsidR="00872F09" w:rsidRPr="00D855F3">
              <w:rPr>
                <w:rFonts w:ascii="Times New Roman" w:eastAsia="Times New Roman" w:hAnsi="Times New Roman"/>
                <w:bCs/>
                <w:iCs/>
                <w:sz w:val="24"/>
                <w:szCs w:val="24"/>
                <w:lang w:eastAsia="lv-LV"/>
              </w:rPr>
              <w:t xml:space="preserve"> sabiedrības izskatīšanai un komunikācijai ministrijas mājas lapā</w:t>
            </w:r>
            <w:r w:rsidR="00D855F3">
              <w:rPr>
                <w:rFonts w:ascii="Times New Roman" w:eastAsia="Times New Roman" w:hAnsi="Times New Roman"/>
                <w:bCs/>
                <w:iCs/>
                <w:sz w:val="24"/>
                <w:szCs w:val="24"/>
                <w:lang w:eastAsia="lv-LV"/>
              </w:rPr>
              <w:t>:</w:t>
            </w:r>
            <w:r w:rsidR="00872F09" w:rsidRPr="00D855F3">
              <w:rPr>
                <w:rFonts w:ascii="Times New Roman" w:eastAsia="Times New Roman" w:hAnsi="Times New Roman"/>
                <w:bCs/>
                <w:iCs/>
                <w:sz w:val="24"/>
                <w:szCs w:val="24"/>
                <w:lang w:eastAsia="lv-LV"/>
              </w:rPr>
              <w:t xml:space="preserve"> </w:t>
            </w:r>
            <w:hyperlink r:id="rId8" w:history="1">
              <w:r w:rsidR="00D855F3" w:rsidRPr="00D855F3">
                <w:rPr>
                  <w:rStyle w:val="Hyperlink"/>
                  <w:rFonts w:ascii="Times New Roman" w:eastAsia="Times New Roman" w:hAnsi="Times New Roman"/>
                  <w:bCs/>
                  <w:iCs/>
                  <w:color w:val="auto"/>
                  <w:sz w:val="24"/>
                  <w:szCs w:val="24"/>
                  <w:lang w:eastAsia="lv-LV"/>
                </w:rPr>
                <w:t>https://izm.gov.lv/lv/sabiedribas-lidzdaliba/sabiedriskajai-apspriesanai-nodotie-normativo-aktu-projekti/4230-grozijums-ministru-kabineta-2018-gada-2-oktobra-noteikumos-nr-619</w:t>
              </w:r>
            </w:hyperlink>
            <w:r w:rsidR="00D855F3" w:rsidRPr="00D855F3">
              <w:rPr>
                <w:rFonts w:ascii="Times New Roman" w:eastAsia="Times New Roman" w:hAnsi="Times New Roman"/>
                <w:bCs/>
                <w:iCs/>
                <w:sz w:val="24"/>
                <w:szCs w:val="24"/>
                <w:lang w:eastAsia="lv-LV"/>
              </w:rPr>
              <w:t xml:space="preserve"> .</w:t>
            </w:r>
          </w:p>
        </w:tc>
      </w:tr>
      <w:tr w:rsidR="00872F09" w:rsidRPr="001B0B69" w14:paraId="121D6F1F" w14:textId="77777777" w:rsidTr="00872F09">
        <w:trPr>
          <w:tblCellSpacing w:w="15" w:type="dxa"/>
        </w:trPr>
        <w:tc>
          <w:tcPr>
            <w:tcW w:w="297" w:type="dxa"/>
            <w:tcBorders>
              <w:top w:val="outset" w:sz="6" w:space="0" w:color="auto"/>
              <w:left w:val="outset" w:sz="6" w:space="0" w:color="auto"/>
              <w:bottom w:val="outset" w:sz="6" w:space="0" w:color="auto"/>
              <w:right w:val="outset" w:sz="6" w:space="0" w:color="auto"/>
            </w:tcBorders>
            <w:hideMark/>
          </w:tcPr>
          <w:p w14:paraId="53046B58"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915" w:type="dxa"/>
            <w:tcBorders>
              <w:top w:val="outset" w:sz="6" w:space="0" w:color="auto"/>
              <w:left w:val="outset" w:sz="6" w:space="0" w:color="auto"/>
              <w:bottom w:val="outset" w:sz="6" w:space="0" w:color="auto"/>
              <w:right w:val="outset" w:sz="6" w:space="0" w:color="auto"/>
            </w:tcBorders>
            <w:hideMark/>
          </w:tcPr>
          <w:p w14:paraId="6B96EC7A"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līdzdalība projekta izstrādē</w:t>
            </w:r>
          </w:p>
        </w:tc>
        <w:tc>
          <w:tcPr>
            <w:tcW w:w="6723" w:type="dxa"/>
            <w:tcBorders>
              <w:top w:val="outset" w:sz="6" w:space="0" w:color="auto"/>
              <w:left w:val="outset" w:sz="6" w:space="0" w:color="auto"/>
              <w:bottom w:val="outset" w:sz="6" w:space="0" w:color="auto"/>
              <w:right w:val="outset" w:sz="6" w:space="0" w:color="auto"/>
            </w:tcBorders>
            <w:shd w:val="clear" w:color="auto" w:fill="auto"/>
          </w:tcPr>
          <w:p w14:paraId="17FAF889" w14:textId="3A5C88E3" w:rsidR="00872F09" w:rsidRPr="00872F09" w:rsidRDefault="00872F09" w:rsidP="00691BDD">
            <w:pPr>
              <w:spacing w:after="0" w:line="240" w:lineRule="auto"/>
              <w:jc w:val="both"/>
              <w:rPr>
                <w:rFonts w:ascii="Times New Roman" w:eastAsia="Times New Roman" w:hAnsi="Times New Roman"/>
                <w:bCs/>
                <w:iCs/>
                <w:sz w:val="24"/>
                <w:szCs w:val="24"/>
                <w:lang w:eastAsia="lv-LV"/>
              </w:rPr>
            </w:pPr>
            <w:r w:rsidRPr="00872F09">
              <w:rPr>
                <w:rFonts w:ascii="Times New Roman" w:eastAsia="Times New Roman" w:hAnsi="Times New Roman"/>
                <w:bCs/>
                <w:iCs/>
                <w:sz w:val="24"/>
                <w:szCs w:val="24"/>
                <w:lang w:eastAsia="lv-LV"/>
              </w:rPr>
              <w:t xml:space="preserve">Netika iekļauta, jo </w:t>
            </w:r>
            <w:r w:rsidRPr="001B0B69">
              <w:rPr>
                <w:rFonts w:ascii="Times New Roman" w:eastAsia="Times New Roman" w:hAnsi="Times New Roman"/>
                <w:iCs/>
                <w:sz w:val="24"/>
                <w:szCs w:val="24"/>
                <w:lang w:eastAsia="lv-LV"/>
              </w:rPr>
              <w:t>projekts</w:t>
            </w:r>
            <w:r w:rsidRPr="001D6A58">
              <w:rPr>
                <w:rFonts w:ascii="Times New Roman" w:eastAsia="Times New Roman" w:hAnsi="Times New Roman"/>
                <w:sz w:val="24"/>
                <w:szCs w:val="24"/>
                <w:lang w:eastAsia="lv-LV"/>
              </w:rPr>
              <w:t xml:space="preserve"> </w:t>
            </w:r>
            <w:r w:rsidRPr="00872F09">
              <w:rPr>
                <w:rFonts w:ascii="Times New Roman" w:eastAsia="Times New Roman" w:hAnsi="Times New Roman"/>
                <w:bCs/>
                <w:iCs/>
                <w:sz w:val="24"/>
                <w:szCs w:val="24"/>
                <w:lang w:eastAsia="lv-LV"/>
              </w:rPr>
              <w:t>paredz</w:t>
            </w:r>
            <w:r w:rsidR="00A50063">
              <w:rPr>
                <w:rFonts w:ascii="Times New Roman" w:eastAsia="Times New Roman" w:hAnsi="Times New Roman"/>
                <w:bCs/>
                <w:iCs/>
                <w:sz w:val="24"/>
                <w:szCs w:val="24"/>
                <w:lang w:eastAsia="lv-LV"/>
              </w:rPr>
              <w:t xml:space="preserve"> grozījumu</w:t>
            </w:r>
            <w:r w:rsidR="005F1666">
              <w:rPr>
                <w:rFonts w:ascii="Times New Roman" w:eastAsia="Times New Roman" w:hAnsi="Times New Roman"/>
                <w:bCs/>
                <w:iCs/>
                <w:sz w:val="24"/>
                <w:szCs w:val="24"/>
                <w:lang w:eastAsia="lv-LV"/>
              </w:rPr>
              <w:t>, lai nodrošinātu novērtējuma pabeigšanu, ņemot vērā mainīgo situāciju Eiropas valstīs saistībā ar</w:t>
            </w:r>
            <w:r w:rsidR="005F1666">
              <w:t xml:space="preserve"> </w:t>
            </w:r>
            <w:r w:rsidR="005F1666">
              <w:rPr>
                <w:rFonts w:ascii="Times New Roman" w:eastAsia="Times New Roman" w:hAnsi="Times New Roman"/>
                <w:bCs/>
                <w:iCs/>
                <w:sz w:val="24"/>
                <w:szCs w:val="24"/>
                <w:lang w:eastAsia="lv-LV"/>
              </w:rPr>
              <w:t>Covid-19 izplatības izraisītajiem ceļošanas ierobežojumiem</w:t>
            </w:r>
            <w:r w:rsidR="005F1666" w:rsidRPr="005F1666">
              <w:rPr>
                <w:rFonts w:ascii="Times New Roman" w:eastAsia="Times New Roman" w:hAnsi="Times New Roman"/>
                <w:bCs/>
                <w:iCs/>
                <w:sz w:val="24"/>
                <w:szCs w:val="24"/>
                <w:lang w:eastAsia="lv-LV"/>
              </w:rPr>
              <w:t xml:space="preserve"> un veselības risk</w:t>
            </w:r>
            <w:r w:rsidR="005F1666">
              <w:rPr>
                <w:rFonts w:ascii="Times New Roman" w:eastAsia="Times New Roman" w:hAnsi="Times New Roman"/>
                <w:bCs/>
                <w:iCs/>
                <w:sz w:val="24"/>
                <w:szCs w:val="24"/>
                <w:lang w:eastAsia="lv-LV"/>
              </w:rPr>
              <w:t>iem.</w:t>
            </w:r>
          </w:p>
        </w:tc>
      </w:tr>
      <w:tr w:rsidR="00872F09" w:rsidRPr="001B0B69" w14:paraId="47DC9366" w14:textId="77777777" w:rsidTr="00872F09">
        <w:trPr>
          <w:tblCellSpacing w:w="15" w:type="dxa"/>
        </w:trPr>
        <w:tc>
          <w:tcPr>
            <w:tcW w:w="297" w:type="dxa"/>
            <w:tcBorders>
              <w:top w:val="outset" w:sz="6" w:space="0" w:color="auto"/>
              <w:left w:val="outset" w:sz="6" w:space="0" w:color="auto"/>
              <w:bottom w:val="outset" w:sz="6" w:space="0" w:color="auto"/>
              <w:right w:val="outset" w:sz="6" w:space="0" w:color="auto"/>
            </w:tcBorders>
            <w:hideMark/>
          </w:tcPr>
          <w:p w14:paraId="0E3CB974"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915" w:type="dxa"/>
            <w:tcBorders>
              <w:top w:val="outset" w:sz="6" w:space="0" w:color="auto"/>
              <w:left w:val="outset" w:sz="6" w:space="0" w:color="auto"/>
              <w:bottom w:val="outset" w:sz="6" w:space="0" w:color="auto"/>
              <w:right w:val="outset" w:sz="6" w:space="0" w:color="auto"/>
            </w:tcBorders>
            <w:hideMark/>
          </w:tcPr>
          <w:p w14:paraId="4AA34BAA"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līdzdalības rezultāti</w:t>
            </w:r>
          </w:p>
        </w:tc>
        <w:tc>
          <w:tcPr>
            <w:tcW w:w="6723" w:type="dxa"/>
            <w:tcBorders>
              <w:top w:val="outset" w:sz="6" w:space="0" w:color="auto"/>
              <w:left w:val="outset" w:sz="6" w:space="0" w:color="auto"/>
              <w:bottom w:val="outset" w:sz="6" w:space="0" w:color="auto"/>
              <w:right w:val="outset" w:sz="6" w:space="0" w:color="auto"/>
            </w:tcBorders>
            <w:hideMark/>
          </w:tcPr>
          <w:p w14:paraId="759A9F42" w14:textId="5BE71B68" w:rsidR="00872F09" w:rsidRPr="00872F09" w:rsidRDefault="00872F09" w:rsidP="00872F09">
            <w:pPr>
              <w:spacing w:after="0" w:line="240" w:lineRule="auto"/>
              <w:rPr>
                <w:rFonts w:ascii="Times New Roman" w:eastAsia="Times New Roman" w:hAnsi="Times New Roman"/>
                <w:bCs/>
                <w:iCs/>
                <w:sz w:val="24"/>
                <w:szCs w:val="24"/>
                <w:lang w:eastAsia="lv-LV"/>
              </w:rPr>
            </w:pPr>
            <w:r w:rsidRPr="00872F09">
              <w:rPr>
                <w:rFonts w:ascii="Times New Roman" w:eastAsia="Times New Roman" w:hAnsi="Times New Roman"/>
                <w:bCs/>
                <w:iCs/>
                <w:sz w:val="24"/>
                <w:szCs w:val="24"/>
                <w:lang w:eastAsia="lv-LV"/>
              </w:rPr>
              <w:t>Par projektu nav saņemti iebildumi vai priekšlikumi no sabiedrības pārstāvjiem.</w:t>
            </w:r>
          </w:p>
        </w:tc>
      </w:tr>
      <w:tr w:rsidR="00872F09" w:rsidRPr="001B0B69" w14:paraId="0CF043C9" w14:textId="77777777" w:rsidTr="00872F09">
        <w:trPr>
          <w:tblCellSpacing w:w="15" w:type="dxa"/>
        </w:trPr>
        <w:tc>
          <w:tcPr>
            <w:tcW w:w="297" w:type="dxa"/>
            <w:tcBorders>
              <w:top w:val="outset" w:sz="6" w:space="0" w:color="auto"/>
              <w:left w:val="outset" w:sz="6" w:space="0" w:color="auto"/>
              <w:bottom w:val="outset" w:sz="6" w:space="0" w:color="auto"/>
              <w:right w:val="outset" w:sz="6" w:space="0" w:color="auto"/>
            </w:tcBorders>
            <w:hideMark/>
          </w:tcPr>
          <w:p w14:paraId="740F8399"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915" w:type="dxa"/>
            <w:tcBorders>
              <w:top w:val="outset" w:sz="6" w:space="0" w:color="auto"/>
              <w:left w:val="outset" w:sz="6" w:space="0" w:color="auto"/>
              <w:bottom w:val="outset" w:sz="6" w:space="0" w:color="auto"/>
              <w:right w:val="outset" w:sz="6" w:space="0" w:color="auto"/>
            </w:tcBorders>
            <w:hideMark/>
          </w:tcPr>
          <w:p w14:paraId="123872BB"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6723" w:type="dxa"/>
            <w:tcBorders>
              <w:top w:val="outset" w:sz="6" w:space="0" w:color="auto"/>
              <w:left w:val="outset" w:sz="6" w:space="0" w:color="auto"/>
              <w:bottom w:val="outset" w:sz="6" w:space="0" w:color="auto"/>
              <w:right w:val="outset" w:sz="6" w:space="0" w:color="auto"/>
            </w:tcBorders>
            <w:hideMark/>
          </w:tcPr>
          <w:p w14:paraId="1A962403" w14:textId="187E9523" w:rsidR="00872F09" w:rsidRPr="00872F09" w:rsidRDefault="00872F09" w:rsidP="00872F09">
            <w:pPr>
              <w:spacing w:after="0" w:line="240" w:lineRule="auto"/>
              <w:rPr>
                <w:rFonts w:ascii="Times New Roman" w:eastAsia="Times New Roman" w:hAnsi="Times New Roman"/>
                <w:bCs/>
                <w:iCs/>
                <w:sz w:val="24"/>
                <w:szCs w:val="24"/>
                <w:lang w:eastAsia="lv-LV"/>
              </w:rPr>
            </w:pPr>
            <w:r w:rsidRPr="00872F09">
              <w:rPr>
                <w:rFonts w:ascii="Times New Roman" w:eastAsia="Times New Roman" w:hAnsi="Times New Roman"/>
                <w:bCs/>
                <w:iCs/>
                <w:sz w:val="24"/>
                <w:szCs w:val="24"/>
                <w:lang w:eastAsia="lv-LV"/>
              </w:rPr>
              <w:t>Nav</w:t>
            </w:r>
          </w:p>
        </w:tc>
      </w:tr>
    </w:tbl>
    <w:p w14:paraId="78652E70"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3799"/>
        <w:gridCol w:w="4916"/>
      </w:tblGrid>
      <w:tr w:rsidR="00580969" w:rsidRPr="001B0B69" w14:paraId="6BCD31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37646"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VII. Tiesību akta projekta izpildes nodrošināšana un tās ietekme uz institūcijām</w:t>
            </w:r>
          </w:p>
        </w:tc>
      </w:tr>
      <w:tr w:rsidR="00E02993" w:rsidRPr="001B0B69" w14:paraId="7A4CA39F" w14:textId="77777777" w:rsidTr="00E02993">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9EBF077"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2081" w:type="pct"/>
            <w:tcBorders>
              <w:top w:val="outset" w:sz="6" w:space="0" w:color="auto"/>
              <w:left w:val="outset" w:sz="6" w:space="0" w:color="auto"/>
              <w:bottom w:val="outset" w:sz="6" w:space="0" w:color="auto"/>
              <w:right w:val="outset" w:sz="6" w:space="0" w:color="auto"/>
            </w:tcBorders>
            <w:hideMark/>
          </w:tcPr>
          <w:p w14:paraId="2B74CEE3"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izpildē iesaistītās institūcijas</w:t>
            </w:r>
          </w:p>
        </w:tc>
        <w:tc>
          <w:tcPr>
            <w:tcW w:w="2689" w:type="pct"/>
            <w:tcBorders>
              <w:top w:val="outset" w:sz="6" w:space="0" w:color="auto"/>
              <w:left w:val="outset" w:sz="6" w:space="0" w:color="auto"/>
              <w:bottom w:val="outset" w:sz="6" w:space="0" w:color="auto"/>
              <w:right w:val="outset" w:sz="6" w:space="0" w:color="auto"/>
            </w:tcBorders>
            <w:hideMark/>
          </w:tcPr>
          <w:p w14:paraId="3B31A325" w14:textId="2FFD4CA4" w:rsidR="00E02993" w:rsidRPr="001B0B69" w:rsidRDefault="00E02993" w:rsidP="00E02993">
            <w:pPr>
              <w:spacing w:after="0" w:line="240" w:lineRule="auto"/>
              <w:jc w:val="both"/>
              <w:rPr>
                <w:rFonts w:ascii="Times New Roman" w:eastAsia="Times New Roman" w:hAnsi="Times New Roman"/>
                <w:iCs/>
                <w:sz w:val="24"/>
                <w:szCs w:val="24"/>
                <w:lang w:eastAsia="lv-LV"/>
              </w:rPr>
            </w:pPr>
            <w:r w:rsidRPr="001D6A58">
              <w:rPr>
                <w:rFonts w:ascii="Times New Roman" w:eastAsia="Times New Roman" w:hAnsi="Times New Roman"/>
                <w:sz w:val="24"/>
                <w:szCs w:val="24"/>
              </w:rPr>
              <w:t>Ministrija, zinātniskās institūcijas, augstskolas.</w:t>
            </w:r>
          </w:p>
        </w:tc>
      </w:tr>
      <w:tr w:rsidR="00E02993" w:rsidRPr="001B0B69" w14:paraId="1123207F" w14:textId="77777777" w:rsidTr="00E02993">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92DFB27"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2081" w:type="pct"/>
            <w:tcBorders>
              <w:top w:val="outset" w:sz="6" w:space="0" w:color="auto"/>
              <w:left w:val="outset" w:sz="6" w:space="0" w:color="auto"/>
              <w:bottom w:val="outset" w:sz="6" w:space="0" w:color="auto"/>
              <w:right w:val="outset" w:sz="6" w:space="0" w:color="auto"/>
            </w:tcBorders>
            <w:hideMark/>
          </w:tcPr>
          <w:p w14:paraId="2408F2B1"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izpildes ietekme uz pārvaldes funkcijām un institucionālo struktūru.</w:t>
            </w:r>
            <w:r w:rsidRPr="001B0B69">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689" w:type="pct"/>
            <w:tcBorders>
              <w:top w:val="outset" w:sz="6" w:space="0" w:color="auto"/>
              <w:left w:val="outset" w:sz="6" w:space="0" w:color="auto"/>
              <w:bottom w:val="outset" w:sz="6" w:space="0" w:color="auto"/>
              <w:right w:val="outset" w:sz="6" w:space="0" w:color="auto"/>
            </w:tcBorders>
            <w:hideMark/>
          </w:tcPr>
          <w:p w14:paraId="42534FA4" w14:textId="69B7B5D7" w:rsidR="00E02993" w:rsidRPr="001B0B69" w:rsidRDefault="00E02993" w:rsidP="00E02993">
            <w:pPr>
              <w:spacing w:after="0" w:line="240" w:lineRule="auto"/>
              <w:jc w:val="both"/>
              <w:rPr>
                <w:rFonts w:ascii="Times New Roman" w:eastAsia="Times New Roman" w:hAnsi="Times New Roman"/>
                <w:iCs/>
                <w:sz w:val="24"/>
                <w:szCs w:val="24"/>
                <w:lang w:eastAsia="lv-LV"/>
              </w:rPr>
            </w:pPr>
            <w:r w:rsidRPr="001D6A58">
              <w:rPr>
                <w:rFonts w:ascii="Times New Roman" w:eastAsia="Times New Roman" w:hAnsi="Times New Roman"/>
                <w:sz w:val="24"/>
                <w:szCs w:val="24"/>
              </w:rPr>
              <w:t>Projektam nav ietekmes uz pārvaldes funkcijām un institucionālo struktūru. Saistībā ar projekta izpildi jaunu institūciju izveide, institūciju likvidācija vai reorganizācija nav nepieciešama.</w:t>
            </w:r>
          </w:p>
        </w:tc>
      </w:tr>
      <w:tr w:rsidR="00E02993" w:rsidRPr="001B0B69" w14:paraId="118DAA80" w14:textId="77777777" w:rsidTr="00E02993">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BA25A6B"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2081" w:type="pct"/>
            <w:tcBorders>
              <w:top w:val="outset" w:sz="6" w:space="0" w:color="auto"/>
              <w:left w:val="outset" w:sz="6" w:space="0" w:color="auto"/>
              <w:bottom w:val="outset" w:sz="6" w:space="0" w:color="auto"/>
              <w:right w:val="outset" w:sz="6" w:space="0" w:color="auto"/>
            </w:tcBorders>
            <w:hideMark/>
          </w:tcPr>
          <w:p w14:paraId="6E7369C6"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2689" w:type="pct"/>
            <w:tcBorders>
              <w:top w:val="outset" w:sz="6" w:space="0" w:color="auto"/>
              <w:left w:val="outset" w:sz="6" w:space="0" w:color="auto"/>
              <w:bottom w:val="outset" w:sz="6" w:space="0" w:color="auto"/>
              <w:right w:val="outset" w:sz="6" w:space="0" w:color="auto"/>
            </w:tcBorders>
            <w:hideMark/>
          </w:tcPr>
          <w:p w14:paraId="5CADC5E4" w14:textId="5D4F81E5" w:rsidR="00E02993" w:rsidRPr="001B0B69" w:rsidRDefault="00E02993" w:rsidP="00E02993">
            <w:pPr>
              <w:spacing w:after="0" w:line="240" w:lineRule="auto"/>
              <w:rPr>
                <w:rFonts w:ascii="Times New Roman" w:eastAsia="Times New Roman" w:hAnsi="Times New Roman"/>
                <w:iCs/>
                <w:sz w:val="24"/>
                <w:szCs w:val="24"/>
                <w:lang w:eastAsia="lv-LV"/>
              </w:rPr>
            </w:pPr>
            <w:r w:rsidRPr="001D6A58">
              <w:rPr>
                <w:rFonts w:ascii="Times New Roman" w:eastAsia="Times New Roman" w:hAnsi="Times New Roman"/>
                <w:sz w:val="24"/>
                <w:szCs w:val="24"/>
              </w:rPr>
              <w:t>Nav.</w:t>
            </w:r>
          </w:p>
        </w:tc>
      </w:tr>
    </w:tbl>
    <w:p w14:paraId="02D2AED8" w14:textId="77777777" w:rsidR="00282C65" w:rsidRDefault="00282C65" w:rsidP="001B0B69">
      <w:pPr>
        <w:pStyle w:val="Body"/>
        <w:tabs>
          <w:tab w:val="left" w:pos="6237"/>
        </w:tabs>
        <w:spacing w:after="0" w:line="240" w:lineRule="auto"/>
        <w:jc w:val="both"/>
        <w:rPr>
          <w:rFonts w:ascii="Times New Roman" w:eastAsia="Calibri" w:hAnsi="Times New Roman" w:cs="Times New Roman"/>
          <w:color w:val="auto"/>
          <w:sz w:val="24"/>
          <w:szCs w:val="24"/>
          <w:bdr w:val="none" w:sz="0" w:space="0" w:color="auto"/>
          <w:lang w:eastAsia="en-US"/>
        </w:rPr>
      </w:pPr>
    </w:p>
    <w:p w14:paraId="678A4CBD" w14:textId="77777777" w:rsidR="00282C65" w:rsidRDefault="00282C65" w:rsidP="001B0B69">
      <w:pPr>
        <w:pStyle w:val="Body"/>
        <w:tabs>
          <w:tab w:val="left" w:pos="6237"/>
        </w:tabs>
        <w:spacing w:after="0" w:line="240" w:lineRule="auto"/>
        <w:jc w:val="both"/>
        <w:rPr>
          <w:rFonts w:ascii="Times New Roman" w:eastAsia="Calibri" w:hAnsi="Times New Roman" w:cs="Times New Roman"/>
          <w:color w:val="auto"/>
          <w:sz w:val="24"/>
          <w:szCs w:val="24"/>
          <w:bdr w:val="none" w:sz="0" w:space="0" w:color="auto"/>
          <w:lang w:eastAsia="en-US"/>
        </w:rPr>
      </w:pPr>
    </w:p>
    <w:p w14:paraId="4914DFC6" w14:textId="0BA01D8C" w:rsidR="001D510E" w:rsidRPr="00691BDD" w:rsidRDefault="001D510E" w:rsidP="00286C6E">
      <w:pPr>
        <w:tabs>
          <w:tab w:val="left" w:pos="5812"/>
          <w:tab w:val="left" w:pos="5954"/>
          <w:tab w:val="left" w:pos="6237"/>
          <w:tab w:val="left" w:pos="6663"/>
          <w:tab w:val="left" w:pos="6946"/>
          <w:tab w:val="left" w:pos="7088"/>
        </w:tabs>
        <w:spacing w:after="0" w:line="240" w:lineRule="auto"/>
        <w:rPr>
          <w:rFonts w:ascii="Times New Roman" w:eastAsia="Arial Unicode MS" w:hAnsi="Times New Roman" w:cs="Arial Unicode MS"/>
          <w:sz w:val="24"/>
          <w:szCs w:val="24"/>
          <w:u w:color="000000"/>
          <w:bdr w:val="nil"/>
          <w:lang w:val="de-DE" w:eastAsia="lv-LV"/>
        </w:rPr>
      </w:pPr>
      <w:proofErr w:type="spellStart"/>
      <w:r w:rsidRPr="00691BDD">
        <w:rPr>
          <w:rFonts w:ascii="Times New Roman" w:eastAsia="Arial Unicode MS" w:hAnsi="Times New Roman" w:cs="Arial Unicode MS"/>
          <w:sz w:val="24"/>
          <w:szCs w:val="24"/>
          <w:u w:color="000000"/>
          <w:bdr w:val="nil"/>
          <w:lang w:val="de-DE" w:eastAsia="lv-LV"/>
        </w:rPr>
        <w:t>Izglītības</w:t>
      </w:r>
      <w:proofErr w:type="spellEnd"/>
      <w:r w:rsidRPr="00691BDD">
        <w:rPr>
          <w:rFonts w:ascii="Times New Roman" w:eastAsia="Arial Unicode MS" w:hAnsi="Times New Roman" w:cs="Arial Unicode MS"/>
          <w:sz w:val="24"/>
          <w:szCs w:val="24"/>
          <w:u w:color="000000"/>
          <w:bdr w:val="nil"/>
          <w:lang w:val="de-DE" w:eastAsia="lv-LV"/>
        </w:rPr>
        <w:t xml:space="preserve"> </w:t>
      </w:r>
      <w:proofErr w:type="spellStart"/>
      <w:r w:rsidRPr="00691BDD">
        <w:rPr>
          <w:rFonts w:ascii="Times New Roman" w:eastAsia="Arial Unicode MS" w:hAnsi="Times New Roman" w:cs="Arial Unicode MS"/>
          <w:sz w:val="24"/>
          <w:szCs w:val="24"/>
          <w:u w:color="000000"/>
          <w:bdr w:val="nil"/>
          <w:lang w:val="de-DE" w:eastAsia="lv-LV"/>
        </w:rPr>
        <w:t>un</w:t>
      </w:r>
      <w:proofErr w:type="spellEnd"/>
      <w:r w:rsidRPr="00691BDD">
        <w:rPr>
          <w:rFonts w:ascii="Times New Roman" w:eastAsia="Arial Unicode MS" w:hAnsi="Times New Roman" w:cs="Arial Unicode MS"/>
          <w:sz w:val="24"/>
          <w:szCs w:val="24"/>
          <w:u w:color="000000"/>
          <w:bdr w:val="nil"/>
          <w:lang w:val="de-DE" w:eastAsia="lv-LV"/>
        </w:rPr>
        <w:t xml:space="preserve"> </w:t>
      </w:r>
      <w:proofErr w:type="spellStart"/>
      <w:r w:rsidRPr="00691BDD">
        <w:rPr>
          <w:rFonts w:ascii="Times New Roman" w:eastAsia="Arial Unicode MS" w:hAnsi="Times New Roman" w:cs="Arial Unicode MS"/>
          <w:sz w:val="24"/>
          <w:szCs w:val="24"/>
          <w:u w:color="000000"/>
          <w:bdr w:val="nil"/>
          <w:lang w:val="de-DE" w:eastAsia="lv-LV"/>
        </w:rPr>
        <w:t>zinātnes</w:t>
      </w:r>
      <w:proofErr w:type="spellEnd"/>
      <w:r w:rsidRPr="00691BDD">
        <w:rPr>
          <w:rFonts w:ascii="Times New Roman" w:eastAsia="Arial Unicode MS" w:hAnsi="Times New Roman" w:cs="Arial Unicode MS"/>
          <w:sz w:val="24"/>
          <w:szCs w:val="24"/>
          <w:u w:color="000000"/>
          <w:bdr w:val="nil"/>
          <w:lang w:val="de-DE" w:eastAsia="lv-LV"/>
        </w:rPr>
        <w:t xml:space="preserve"> </w:t>
      </w:r>
      <w:proofErr w:type="spellStart"/>
      <w:r w:rsidRPr="00691BDD">
        <w:rPr>
          <w:rFonts w:ascii="Times New Roman" w:eastAsia="Arial Unicode MS" w:hAnsi="Times New Roman" w:cs="Arial Unicode MS"/>
          <w:sz w:val="24"/>
          <w:szCs w:val="24"/>
          <w:u w:color="000000"/>
          <w:bdr w:val="nil"/>
          <w:lang w:val="de-DE" w:eastAsia="lv-LV"/>
        </w:rPr>
        <w:t>ministre</w:t>
      </w:r>
      <w:proofErr w:type="spellEnd"/>
      <w:r w:rsidRPr="00691BDD">
        <w:rPr>
          <w:rFonts w:ascii="Times New Roman" w:eastAsia="Arial Unicode MS" w:hAnsi="Times New Roman" w:cs="Arial Unicode MS"/>
          <w:sz w:val="24"/>
          <w:szCs w:val="24"/>
          <w:u w:color="000000"/>
          <w:bdr w:val="nil"/>
          <w:lang w:val="de-DE" w:eastAsia="lv-LV"/>
        </w:rPr>
        <w:t xml:space="preserve">                   </w:t>
      </w:r>
      <w:r w:rsidR="00286C6E">
        <w:rPr>
          <w:rFonts w:ascii="Times New Roman" w:eastAsia="Arial Unicode MS" w:hAnsi="Times New Roman" w:cs="Arial Unicode MS"/>
          <w:sz w:val="24"/>
          <w:szCs w:val="24"/>
          <w:u w:color="000000"/>
          <w:bdr w:val="nil"/>
          <w:lang w:val="de-DE" w:eastAsia="lv-LV"/>
        </w:rPr>
        <w:t xml:space="preserve">                                  </w:t>
      </w:r>
      <w:r w:rsidRPr="00691BDD">
        <w:rPr>
          <w:rFonts w:ascii="Times New Roman" w:eastAsia="Arial Unicode MS" w:hAnsi="Times New Roman" w:cs="Arial Unicode MS"/>
          <w:sz w:val="24"/>
          <w:szCs w:val="24"/>
          <w:u w:color="000000"/>
          <w:bdr w:val="nil"/>
          <w:lang w:val="de-DE" w:eastAsia="lv-LV"/>
        </w:rPr>
        <w:t>I. Šuplinska</w:t>
      </w:r>
    </w:p>
    <w:p w14:paraId="40D98E04" w14:textId="77777777" w:rsidR="001D510E" w:rsidRPr="00691BDD" w:rsidRDefault="001D510E" w:rsidP="001D510E">
      <w:pPr>
        <w:tabs>
          <w:tab w:val="left" w:pos="6237"/>
        </w:tabs>
        <w:spacing w:after="0" w:line="240" w:lineRule="auto"/>
        <w:rPr>
          <w:rFonts w:ascii="Times New Roman" w:eastAsia="Arial Unicode MS" w:hAnsi="Times New Roman" w:cs="Arial Unicode MS"/>
          <w:sz w:val="24"/>
          <w:szCs w:val="24"/>
          <w:u w:color="000000"/>
          <w:bdr w:val="nil"/>
          <w:lang w:val="de-DE" w:eastAsia="lv-LV"/>
        </w:rPr>
      </w:pPr>
    </w:p>
    <w:p w14:paraId="7529F62F" w14:textId="77777777" w:rsidR="001D510E" w:rsidRPr="00691BDD" w:rsidRDefault="001D510E" w:rsidP="001D510E">
      <w:pPr>
        <w:tabs>
          <w:tab w:val="left" w:pos="6237"/>
        </w:tabs>
        <w:spacing w:after="0" w:line="240" w:lineRule="auto"/>
        <w:rPr>
          <w:rFonts w:ascii="Times New Roman" w:eastAsia="Arial Unicode MS" w:hAnsi="Times New Roman" w:cs="Arial Unicode MS"/>
          <w:sz w:val="24"/>
          <w:szCs w:val="24"/>
          <w:u w:color="000000"/>
          <w:bdr w:val="nil"/>
          <w:lang w:val="de-DE" w:eastAsia="lv-LV"/>
        </w:rPr>
      </w:pPr>
      <w:proofErr w:type="spellStart"/>
      <w:r w:rsidRPr="00691BDD">
        <w:rPr>
          <w:rFonts w:ascii="Times New Roman" w:eastAsia="Arial Unicode MS" w:hAnsi="Times New Roman" w:cs="Arial Unicode MS"/>
          <w:sz w:val="24"/>
          <w:szCs w:val="24"/>
          <w:u w:color="000000"/>
          <w:bdr w:val="nil"/>
          <w:lang w:val="de-DE" w:eastAsia="lv-LV"/>
        </w:rPr>
        <w:t>Vīza</w:t>
      </w:r>
      <w:proofErr w:type="spellEnd"/>
      <w:r w:rsidRPr="00691BDD">
        <w:rPr>
          <w:rFonts w:ascii="Times New Roman" w:eastAsia="Arial Unicode MS" w:hAnsi="Times New Roman" w:cs="Arial Unicode MS"/>
          <w:sz w:val="24"/>
          <w:szCs w:val="24"/>
          <w:u w:color="000000"/>
          <w:bdr w:val="nil"/>
          <w:lang w:val="de-DE" w:eastAsia="lv-LV"/>
        </w:rPr>
        <w:t xml:space="preserve">: </w:t>
      </w:r>
    </w:p>
    <w:p w14:paraId="65D654E5" w14:textId="49A8BD51" w:rsidR="001D510E" w:rsidRPr="00691BDD" w:rsidRDefault="00286C6E" w:rsidP="00286C6E">
      <w:pPr>
        <w:tabs>
          <w:tab w:val="left" w:pos="6096"/>
          <w:tab w:val="left" w:pos="6946"/>
          <w:tab w:val="left" w:pos="7088"/>
        </w:tabs>
        <w:spacing w:after="0" w:line="240" w:lineRule="auto"/>
        <w:rPr>
          <w:rFonts w:ascii="Times New Roman" w:eastAsia="Arial Unicode MS" w:hAnsi="Times New Roman" w:cs="Arial Unicode MS"/>
          <w:sz w:val="24"/>
          <w:szCs w:val="24"/>
          <w:u w:color="000000"/>
          <w:bdr w:val="nil"/>
          <w:lang w:val="de-DE" w:eastAsia="lv-LV"/>
        </w:rPr>
      </w:pPr>
      <w:proofErr w:type="spellStart"/>
      <w:r>
        <w:rPr>
          <w:rFonts w:ascii="Times New Roman" w:eastAsia="Arial Unicode MS" w:hAnsi="Times New Roman" w:cs="Arial Unicode MS"/>
          <w:sz w:val="24"/>
          <w:szCs w:val="24"/>
          <w:u w:color="000000"/>
          <w:bdr w:val="nil"/>
          <w:lang w:val="de-DE" w:eastAsia="lv-LV"/>
        </w:rPr>
        <w:t>Valsts</w:t>
      </w:r>
      <w:proofErr w:type="spellEnd"/>
      <w:r>
        <w:rPr>
          <w:rFonts w:ascii="Times New Roman" w:eastAsia="Arial Unicode MS" w:hAnsi="Times New Roman" w:cs="Arial Unicode MS"/>
          <w:sz w:val="24"/>
          <w:szCs w:val="24"/>
          <w:u w:color="000000"/>
          <w:bdr w:val="nil"/>
          <w:lang w:val="de-DE" w:eastAsia="lv-LV"/>
        </w:rPr>
        <w:t xml:space="preserve"> </w:t>
      </w:r>
      <w:proofErr w:type="spellStart"/>
      <w:r>
        <w:rPr>
          <w:rFonts w:ascii="Times New Roman" w:eastAsia="Arial Unicode MS" w:hAnsi="Times New Roman" w:cs="Arial Unicode MS"/>
          <w:sz w:val="24"/>
          <w:szCs w:val="24"/>
          <w:u w:color="000000"/>
          <w:bdr w:val="nil"/>
          <w:lang w:val="de-DE" w:eastAsia="lv-LV"/>
        </w:rPr>
        <w:t>sekretāre</w:t>
      </w:r>
      <w:proofErr w:type="spellEnd"/>
      <w:r>
        <w:rPr>
          <w:rFonts w:ascii="Times New Roman" w:eastAsia="Arial Unicode MS" w:hAnsi="Times New Roman" w:cs="Arial Unicode MS"/>
          <w:sz w:val="24"/>
          <w:szCs w:val="24"/>
          <w:u w:color="000000"/>
          <w:bdr w:val="nil"/>
          <w:lang w:val="de-DE" w:eastAsia="lv-LV"/>
        </w:rPr>
        <w:tab/>
      </w:r>
      <w:r w:rsidRPr="00286C6E">
        <w:rPr>
          <w:rFonts w:ascii="Times New Roman" w:eastAsia="Arial Unicode MS" w:hAnsi="Times New Roman" w:cs="Arial Unicode MS"/>
          <w:sz w:val="24"/>
          <w:szCs w:val="24"/>
          <w:u w:color="000000"/>
          <w:bdr w:val="nil"/>
          <w:lang w:val="de-DE" w:eastAsia="lv-LV"/>
        </w:rPr>
        <w:t>L. Lejiņa</w:t>
      </w:r>
      <w:r w:rsidR="001D510E" w:rsidRPr="00691BDD">
        <w:rPr>
          <w:rFonts w:ascii="Times New Roman" w:eastAsia="Arial Unicode MS" w:hAnsi="Times New Roman" w:cs="Arial Unicode MS"/>
          <w:sz w:val="24"/>
          <w:szCs w:val="24"/>
          <w:u w:color="000000"/>
          <w:bdr w:val="nil"/>
          <w:lang w:val="de-DE" w:eastAsia="lv-LV"/>
        </w:rPr>
        <w:tab/>
      </w:r>
      <w:r w:rsidR="001D510E" w:rsidRPr="00691BDD">
        <w:rPr>
          <w:rFonts w:ascii="Times New Roman" w:eastAsia="Arial Unicode MS" w:hAnsi="Times New Roman" w:cs="Arial Unicode MS"/>
          <w:sz w:val="24"/>
          <w:szCs w:val="24"/>
          <w:u w:color="000000"/>
          <w:bdr w:val="nil"/>
          <w:lang w:val="de-DE" w:eastAsia="lv-LV"/>
        </w:rPr>
        <w:tab/>
      </w:r>
      <w:r w:rsidR="001D510E" w:rsidRPr="00691BDD">
        <w:rPr>
          <w:rFonts w:ascii="Times New Roman" w:eastAsia="Arial Unicode MS" w:hAnsi="Times New Roman" w:cs="Arial Unicode MS"/>
          <w:sz w:val="24"/>
          <w:szCs w:val="24"/>
          <w:u w:color="000000"/>
          <w:bdr w:val="nil"/>
          <w:lang w:val="de-DE" w:eastAsia="lv-LV"/>
        </w:rPr>
        <w:tab/>
      </w:r>
      <w:r w:rsidR="001D510E" w:rsidRPr="00691BDD">
        <w:rPr>
          <w:rFonts w:ascii="Times New Roman" w:eastAsia="Arial Unicode MS" w:hAnsi="Times New Roman" w:cs="Arial Unicode MS"/>
          <w:sz w:val="24"/>
          <w:szCs w:val="24"/>
          <w:u w:color="000000"/>
          <w:bdr w:val="nil"/>
          <w:lang w:val="de-DE" w:eastAsia="lv-LV"/>
        </w:rPr>
        <w:tab/>
      </w:r>
      <w:r w:rsidR="001D510E" w:rsidRPr="00691BDD">
        <w:rPr>
          <w:rFonts w:ascii="Times New Roman" w:eastAsia="Arial Unicode MS" w:hAnsi="Times New Roman" w:cs="Arial Unicode MS"/>
          <w:sz w:val="24"/>
          <w:szCs w:val="24"/>
          <w:u w:color="000000"/>
          <w:bdr w:val="nil"/>
          <w:lang w:val="de-DE" w:eastAsia="lv-LV"/>
        </w:rPr>
        <w:tab/>
      </w:r>
    </w:p>
    <w:p w14:paraId="6A83BDB7" w14:textId="77777777" w:rsidR="001D510E" w:rsidRPr="001D510E" w:rsidRDefault="001D510E" w:rsidP="001D510E">
      <w:pPr>
        <w:tabs>
          <w:tab w:val="left" w:pos="6237"/>
        </w:tabs>
        <w:spacing w:after="0" w:line="240" w:lineRule="auto"/>
        <w:rPr>
          <w:rFonts w:ascii="Times New Roman" w:eastAsia="Arial Unicode MS" w:hAnsi="Times New Roman" w:cs="Arial Unicode MS"/>
          <w:sz w:val="24"/>
          <w:u w:color="000000"/>
          <w:bdr w:val="nil"/>
          <w:lang w:val="de-DE" w:eastAsia="lv-LV"/>
        </w:rPr>
      </w:pPr>
    </w:p>
    <w:p w14:paraId="5B11FE3B" w14:textId="77777777" w:rsidR="001D510E" w:rsidRDefault="001D510E" w:rsidP="001D510E">
      <w:pPr>
        <w:tabs>
          <w:tab w:val="left" w:pos="6237"/>
        </w:tabs>
        <w:spacing w:after="0" w:line="240" w:lineRule="auto"/>
        <w:rPr>
          <w:rFonts w:ascii="Times New Roman" w:eastAsia="Arial Unicode MS" w:hAnsi="Times New Roman" w:cs="Arial Unicode MS"/>
          <w:sz w:val="24"/>
          <w:u w:color="000000"/>
          <w:bdr w:val="nil"/>
          <w:lang w:val="de-DE" w:eastAsia="lv-LV"/>
        </w:rPr>
      </w:pPr>
    </w:p>
    <w:p w14:paraId="53F271E6" w14:textId="77777777" w:rsidR="00A50063" w:rsidRPr="001D510E" w:rsidRDefault="00A50063" w:rsidP="001D510E">
      <w:pPr>
        <w:tabs>
          <w:tab w:val="left" w:pos="6237"/>
        </w:tabs>
        <w:spacing w:after="0" w:line="240" w:lineRule="auto"/>
        <w:rPr>
          <w:rFonts w:ascii="Times New Roman" w:eastAsia="Arial Unicode MS" w:hAnsi="Times New Roman" w:cs="Arial Unicode MS"/>
          <w:sz w:val="24"/>
          <w:u w:color="000000"/>
          <w:bdr w:val="nil"/>
          <w:lang w:val="de-DE" w:eastAsia="lv-LV"/>
        </w:rPr>
      </w:pPr>
    </w:p>
    <w:p w14:paraId="4967508D" w14:textId="77777777" w:rsidR="001D510E" w:rsidRPr="00D855F3" w:rsidRDefault="001D510E" w:rsidP="001D510E">
      <w:pPr>
        <w:tabs>
          <w:tab w:val="left" w:pos="6237"/>
        </w:tabs>
        <w:spacing w:after="0" w:line="240" w:lineRule="auto"/>
        <w:rPr>
          <w:rFonts w:ascii="Times New Roman" w:eastAsia="Arial Unicode MS" w:hAnsi="Times New Roman" w:cs="Arial Unicode MS"/>
          <w:sz w:val="20"/>
          <w:szCs w:val="20"/>
          <w:u w:color="000000"/>
          <w:bdr w:val="nil"/>
          <w:lang w:val="de-DE" w:eastAsia="lv-LV"/>
        </w:rPr>
      </w:pPr>
    </w:p>
    <w:p w14:paraId="02BED909" w14:textId="78C6CF67" w:rsidR="001D510E" w:rsidRPr="00D855F3" w:rsidRDefault="001D510E" w:rsidP="001D510E">
      <w:pPr>
        <w:tabs>
          <w:tab w:val="left" w:pos="6237"/>
        </w:tabs>
        <w:spacing w:after="0" w:line="240" w:lineRule="auto"/>
        <w:rPr>
          <w:rFonts w:ascii="Times New Roman" w:eastAsia="Arial Unicode MS" w:hAnsi="Times New Roman" w:cs="Arial Unicode MS"/>
          <w:sz w:val="20"/>
          <w:szCs w:val="20"/>
          <w:u w:color="000000"/>
          <w:bdr w:val="nil"/>
          <w:lang w:val="de-DE" w:eastAsia="lv-LV"/>
        </w:rPr>
      </w:pPr>
      <w:r w:rsidRPr="00D855F3">
        <w:rPr>
          <w:rFonts w:ascii="Times New Roman" w:eastAsia="Arial Unicode MS" w:hAnsi="Times New Roman" w:cs="Arial Unicode MS"/>
          <w:sz w:val="20"/>
          <w:szCs w:val="20"/>
          <w:u w:color="000000"/>
          <w:bdr w:val="nil"/>
          <w:lang w:val="de-DE" w:eastAsia="lv-LV"/>
        </w:rPr>
        <w:t>Dreimane, 670477970</w:t>
      </w:r>
    </w:p>
    <w:p w14:paraId="76446C45" w14:textId="73CB1719" w:rsidR="00691BDD" w:rsidRPr="00D855F3" w:rsidRDefault="0071522F" w:rsidP="001D510E">
      <w:pPr>
        <w:tabs>
          <w:tab w:val="left" w:pos="6237"/>
        </w:tabs>
        <w:spacing w:after="0" w:line="240" w:lineRule="auto"/>
        <w:rPr>
          <w:rStyle w:val="Hyperlink"/>
          <w:rFonts w:ascii="Times New Roman" w:eastAsia="Arial Unicode MS" w:hAnsi="Times New Roman" w:cs="Arial Unicode MS"/>
          <w:sz w:val="20"/>
          <w:szCs w:val="20"/>
          <w:u w:color="000000"/>
          <w:bdr w:val="nil"/>
          <w:lang w:val="de-DE" w:eastAsia="lv-LV"/>
        </w:rPr>
      </w:pPr>
      <w:hyperlink r:id="rId9" w:history="1">
        <w:r w:rsidR="00691BDD" w:rsidRPr="00D855F3">
          <w:rPr>
            <w:rStyle w:val="Hyperlink"/>
            <w:rFonts w:ascii="Times New Roman" w:eastAsia="Arial Unicode MS" w:hAnsi="Times New Roman" w:cs="Arial Unicode MS"/>
            <w:sz w:val="20"/>
            <w:szCs w:val="20"/>
            <w:u w:color="000000"/>
            <w:bdr w:val="nil"/>
            <w:lang w:val="de-DE" w:eastAsia="lv-LV"/>
          </w:rPr>
          <w:t>lana.dreimane@izm.gov.lv</w:t>
        </w:r>
      </w:hyperlink>
    </w:p>
    <w:p w14:paraId="0AFC49AE" w14:textId="1261F333" w:rsidR="00A50063" w:rsidRPr="00D855F3" w:rsidRDefault="00A50063" w:rsidP="001D510E">
      <w:pPr>
        <w:tabs>
          <w:tab w:val="left" w:pos="6237"/>
        </w:tabs>
        <w:spacing w:after="0" w:line="240" w:lineRule="auto"/>
        <w:rPr>
          <w:rStyle w:val="Hyperlink"/>
          <w:rFonts w:ascii="Times New Roman" w:eastAsia="Arial Unicode MS" w:hAnsi="Times New Roman" w:cs="Arial Unicode MS"/>
          <w:color w:val="auto"/>
          <w:sz w:val="20"/>
          <w:szCs w:val="20"/>
          <w:u w:val="none"/>
          <w:bdr w:val="nil"/>
          <w:lang w:val="de-DE" w:eastAsia="lv-LV"/>
        </w:rPr>
      </w:pPr>
      <w:r w:rsidRPr="00D855F3">
        <w:rPr>
          <w:rStyle w:val="Hyperlink"/>
          <w:rFonts w:ascii="Times New Roman" w:eastAsia="Arial Unicode MS" w:hAnsi="Times New Roman" w:cs="Arial Unicode MS"/>
          <w:color w:val="auto"/>
          <w:sz w:val="20"/>
          <w:szCs w:val="20"/>
          <w:u w:val="none"/>
          <w:bdr w:val="nil"/>
          <w:lang w:val="de-DE" w:eastAsia="lv-LV"/>
        </w:rPr>
        <w:t>Depkovska, 67047772</w:t>
      </w:r>
    </w:p>
    <w:p w14:paraId="0BA34A31" w14:textId="5D773061" w:rsidR="00A50063" w:rsidRPr="00D855F3" w:rsidRDefault="00A50063" w:rsidP="001D510E">
      <w:pPr>
        <w:tabs>
          <w:tab w:val="left" w:pos="6237"/>
        </w:tabs>
        <w:spacing w:after="0" w:line="240" w:lineRule="auto"/>
        <w:rPr>
          <w:rFonts w:ascii="Times New Roman" w:eastAsia="Arial Unicode MS" w:hAnsi="Times New Roman" w:cs="Arial Unicode MS"/>
          <w:sz w:val="20"/>
          <w:szCs w:val="20"/>
          <w:u w:color="000000"/>
          <w:bdr w:val="nil"/>
          <w:lang w:val="de-DE" w:eastAsia="lv-LV"/>
        </w:rPr>
      </w:pPr>
      <w:r w:rsidRPr="00D855F3">
        <w:rPr>
          <w:rStyle w:val="Hyperlink"/>
          <w:rFonts w:ascii="Times New Roman" w:eastAsia="Arial Unicode MS" w:hAnsi="Times New Roman" w:cs="Arial Unicode MS"/>
          <w:sz w:val="20"/>
          <w:szCs w:val="20"/>
          <w:u w:color="000000"/>
          <w:bdr w:val="nil"/>
          <w:lang w:val="de-DE" w:eastAsia="lv-LV"/>
        </w:rPr>
        <w:t>anita.depkovska@izm.gov.lv</w:t>
      </w:r>
    </w:p>
    <w:p w14:paraId="2BC7304F" w14:textId="39FA84A9" w:rsidR="00894C55" w:rsidRPr="00A50063" w:rsidRDefault="001D510E" w:rsidP="001D510E">
      <w:pPr>
        <w:tabs>
          <w:tab w:val="left" w:pos="6237"/>
        </w:tabs>
        <w:spacing w:after="0" w:line="240" w:lineRule="auto"/>
        <w:rPr>
          <w:rFonts w:ascii="Times New Roman" w:hAnsi="Times New Roman"/>
          <w:sz w:val="18"/>
          <w:szCs w:val="18"/>
        </w:rPr>
      </w:pPr>
      <w:r w:rsidRPr="00A50063">
        <w:rPr>
          <w:rFonts w:ascii="Times New Roman" w:eastAsia="Arial Unicode MS" w:hAnsi="Times New Roman" w:cs="Arial Unicode MS"/>
          <w:sz w:val="18"/>
          <w:szCs w:val="18"/>
          <w:u w:color="000000"/>
          <w:bdr w:val="nil"/>
          <w:lang w:val="de-DE" w:eastAsia="lv-LV"/>
        </w:rPr>
        <w:tab/>
      </w:r>
      <w:r w:rsidR="00803C17" w:rsidRPr="00A50063">
        <w:rPr>
          <w:rFonts w:ascii="Times New Roman" w:hAnsi="Times New Roman"/>
          <w:sz w:val="18"/>
          <w:szCs w:val="18"/>
        </w:rPr>
        <w:tab/>
      </w:r>
    </w:p>
    <w:sectPr w:rsidR="00894C55" w:rsidRPr="00A50063"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B861D" w14:textId="77777777" w:rsidR="0071522F" w:rsidRDefault="0071522F" w:rsidP="00894C55">
      <w:pPr>
        <w:spacing w:after="0" w:line="240" w:lineRule="auto"/>
      </w:pPr>
      <w:r>
        <w:separator/>
      </w:r>
    </w:p>
  </w:endnote>
  <w:endnote w:type="continuationSeparator" w:id="0">
    <w:p w14:paraId="2DA31D66" w14:textId="77777777" w:rsidR="0071522F" w:rsidRDefault="0071522F" w:rsidP="00894C55">
      <w:pPr>
        <w:spacing w:after="0" w:line="240" w:lineRule="auto"/>
      </w:pPr>
      <w:r>
        <w:continuationSeparator/>
      </w:r>
    </w:p>
  </w:endnote>
  <w:endnote w:type="continuationNotice" w:id="1">
    <w:p w14:paraId="048CB1C6" w14:textId="77777777" w:rsidR="0071522F" w:rsidRDefault="00715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59CB" w14:textId="77777777" w:rsidR="003E0D1C" w:rsidRDefault="003E0D1C" w:rsidP="00260796">
    <w:pPr>
      <w:pStyle w:val="Header"/>
    </w:pPr>
  </w:p>
  <w:p w14:paraId="49267C77" w14:textId="77777777" w:rsidR="003E0D1C" w:rsidRDefault="003E0D1C" w:rsidP="00260796"/>
  <w:p w14:paraId="6481B227" w14:textId="0E34D607" w:rsidR="003E0D1C" w:rsidRPr="00260796" w:rsidRDefault="006A07A8" w:rsidP="001F559F">
    <w:pPr>
      <w:pStyle w:val="Footer"/>
      <w:rPr>
        <w:rFonts w:ascii="Times New Roman" w:hAnsi="Times New Roman"/>
        <w:sz w:val="20"/>
        <w:szCs w:val="20"/>
      </w:rPr>
    </w:pPr>
    <w:r>
      <w:rPr>
        <w:rFonts w:ascii="Times New Roman" w:hAnsi="Times New Roman"/>
        <w:sz w:val="20"/>
        <w:szCs w:val="20"/>
      </w:rPr>
      <w:t>IZManot_</w:t>
    </w:r>
    <w:r w:rsidR="00940E2E">
      <w:rPr>
        <w:rFonts w:ascii="Times New Roman" w:hAnsi="Times New Roman"/>
        <w:sz w:val="20"/>
        <w:szCs w:val="20"/>
      </w:rPr>
      <w:t>31</w:t>
    </w:r>
    <w:r w:rsidR="001D510E">
      <w:rPr>
        <w:rFonts w:ascii="Times New Roman" w:hAnsi="Times New Roman"/>
        <w:sz w:val="20"/>
        <w:szCs w:val="20"/>
      </w:rPr>
      <w:t>08</w:t>
    </w:r>
    <w:r w:rsidR="003E0D1C" w:rsidRPr="001207BA">
      <w:rPr>
        <w:rFonts w:ascii="Times New Roman" w:hAnsi="Times New Roman"/>
        <w:sz w:val="20"/>
        <w:szCs w:val="20"/>
      </w:rPr>
      <w:t>20</w:t>
    </w:r>
    <w:r w:rsidR="003E0D1C">
      <w:rPr>
        <w:rFonts w:ascii="Times New Roman" w:hAnsi="Times New Roman"/>
        <w:sz w:val="20"/>
        <w:szCs w:val="20"/>
      </w:rPr>
      <w:t>_</w:t>
    </w:r>
    <w:r w:rsidR="001D510E">
      <w:rPr>
        <w:rFonts w:ascii="Times New Roman" w:hAnsi="Times New Roman"/>
        <w:sz w:val="20"/>
        <w:szCs w:val="20"/>
      </w:rPr>
      <w:t>ZISI</w:t>
    </w:r>
    <w:r w:rsidR="003E0D1C">
      <w:rPr>
        <w:rFonts w:ascii="Times New Roman" w:hAnsi="Times New Roman"/>
        <w:sz w:val="20"/>
        <w:szCs w:val="20"/>
      </w:rPr>
      <w:t>_Covid-19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7F05" w14:textId="77777777" w:rsidR="003E0D1C" w:rsidRDefault="003E0D1C" w:rsidP="00260796">
    <w:pPr>
      <w:pStyle w:val="Header"/>
    </w:pPr>
  </w:p>
  <w:p w14:paraId="2638AAD3" w14:textId="77777777" w:rsidR="003E0D1C" w:rsidRDefault="003E0D1C" w:rsidP="00260796"/>
  <w:p w14:paraId="610789E8" w14:textId="77777777" w:rsidR="001D510E" w:rsidRDefault="001D510E" w:rsidP="001D510E">
    <w:pPr>
      <w:pStyle w:val="Header"/>
    </w:pPr>
  </w:p>
  <w:p w14:paraId="7942843C" w14:textId="77777777" w:rsidR="001D510E" w:rsidRDefault="001D510E" w:rsidP="001D510E"/>
  <w:p w14:paraId="66FE297B" w14:textId="4FB278B5" w:rsidR="003E0D1C" w:rsidRPr="00260796" w:rsidRDefault="00940E2E" w:rsidP="001D510E">
    <w:pPr>
      <w:pStyle w:val="Footer"/>
      <w:rPr>
        <w:rFonts w:ascii="Times New Roman" w:hAnsi="Times New Roman"/>
        <w:sz w:val="20"/>
        <w:szCs w:val="20"/>
      </w:rPr>
    </w:pPr>
    <w:r>
      <w:rPr>
        <w:rFonts w:ascii="Times New Roman" w:hAnsi="Times New Roman"/>
        <w:sz w:val="20"/>
        <w:szCs w:val="20"/>
      </w:rPr>
      <w:t>IZManot_31</w:t>
    </w:r>
    <w:r w:rsidR="001D510E">
      <w:rPr>
        <w:rFonts w:ascii="Times New Roman" w:hAnsi="Times New Roman"/>
        <w:sz w:val="20"/>
        <w:szCs w:val="20"/>
      </w:rPr>
      <w:t>08</w:t>
    </w:r>
    <w:r w:rsidR="001D510E" w:rsidRPr="001207BA">
      <w:rPr>
        <w:rFonts w:ascii="Times New Roman" w:hAnsi="Times New Roman"/>
        <w:sz w:val="20"/>
        <w:szCs w:val="20"/>
      </w:rPr>
      <w:t>20</w:t>
    </w:r>
    <w:r w:rsidR="001D510E">
      <w:rPr>
        <w:rFonts w:ascii="Times New Roman" w:hAnsi="Times New Roman"/>
        <w:sz w:val="20"/>
        <w:szCs w:val="20"/>
      </w:rPr>
      <w:t>_ZISI_Covid-19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BE175" w14:textId="77777777" w:rsidR="0071522F" w:rsidRDefault="0071522F" w:rsidP="00894C55">
      <w:pPr>
        <w:spacing w:after="0" w:line="240" w:lineRule="auto"/>
      </w:pPr>
      <w:r>
        <w:separator/>
      </w:r>
    </w:p>
  </w:footnote>
  <w:footnote w:type="continuationSeparator" w:id="0">
    <w:p w14:paraId="0265795A" w14:textId="77777777" w:rsidR="0071522F" w:rsidRDefault="0071522F" w:rsidP="00894C55">
      <w:pPr>
        <w:spacing w:after="0" w:line="240" w:lineRule="auto"/>
      </w:pPr>
      <w:r>
        <w:continuationSeparator/>
      </w:r>
    </w:p>
  </w:footnote>
  <w:footnote w:type="continuationNotice" w:id="1">
    <w:p w14:paraId="6BBA6382" w14:textId="77777777" w:rsidR="0071522F" w:rsidRDefault="0071522F">
      <w:pPr>
        <w:spacing w:after="0" w:line="240" w:lineRule="auto"/>
      </w:pPr>
    </w:p>
  </w:footnote>
  <w:footnote w:id="2">
    <w:p w14:paraId="287DB27F" w14:textId="5DFC8E36" w:rsidR="003C2542" w:rsidRPr="003C2542" w:rsidRDefault="003C2542">
      <w:pPr>
        <w:pStyle w:val="FootnoteText"/>
        <w:rPr>
          <w:rFonts w:ascii="Times New Roman" w:hAnsi="Times New Roman"/>
        </w:rPr>
      </w:pPr>
      <w:r w:rsidRPr="003C2542">
        <w:rPr>
          <w:rStyle w:val="FootnoteReference"/>
          <w:rFonts w:ascii="Times New Roman" w:hAnsi="Times New Roman"/>
        </w:rPr>
        <w:footnoteRef/>
      </w:r>
      <w:r w:rsidRPr="003C2542">
        <w:rPr>
          <w:rFonts w:ascii="Times New Roman" w:hAnsi="Times New Roman"/>
        </w:rPr>
        <w:t xml:space="preserve"> </w:t>
      </w:r>
      <w:r>
        <w:rPr>
          <w:rFonts w:ascii="Times New Roman" w:hAnsi="Times New Roman"/>
        </w:rPr>
        <w:t xml:space="preserve">Skatīt: </w:t>
      </w:r>
      <w:r w:rsidRPr="003C2542">
        <w:rPr>
          <w:rFonts w:ascii="Times New Roman" w:hAnsi="Times New Roman"/>
        </w:rPr>
        <w:t>https://www.eis.gov.lv/EKEIS/Supplier/Procurement/23992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430B" w14:textId="77777777" w:rsidR="003E0D1C" w:rsidRPr="00C25B49" w:rsidRDefault="003E0D1C">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940E2E">
      <w:rPr>
        <w:rFonts w:ascii="Times New Roman" w:hAnsi="Times New Roman"/>
        <w:noProof/>
        <w:sz w:val="24"/>
        <w:szCs w:val="20"/>
      </w:rPr>
      <w:t>7</w:t>
    </w:r>
    <w:r w:rsidRPr="00C25B49">
      <w:rPr>
        <w:rFonts w:ascii="Times New Roman" w:hAnsi="Times New Roman"/>
        <w:noProof/>
        <w:sz w:val="24"/>
        <w:szCs w:val="20"/>
      </w:rPr>
      <w:fldChar w:fldCharType="end"/>
    </w:r>
  </w:p>
  <w:p w14:paraId="3C8E01FF" w14:textId="77777777" w:rsidR="003E0D1C" w:rsidRDefault="003E0D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C29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E1627"/>
    <w:multiLevelType w:val="hybridMultilevel"/>
    <w:tmpl w:val="7E9CBEB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B35016"/>
    <w:multiLevelType w:val="hybridMultilevel"/>
    <w:tmpl w:val="63ECCBB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4447B7"/>
    <w:multiLevelType w:val="hybridMultilevel"/>
    <w:tmpl w:val="DFDA2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F25267"/>
    <w:multiLevelType w:val="hybridMultilevel"/>
    <w:tmpl w:val="E2BAAB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DD2AA0"/>
    <w:multiLevelType w:val="hybridMultilevel"/>
    <w:tmpl w:val="3B5ED910"/>
    <w:lvl w:ilvl="0" w:tplc="8564D6F6">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533047"/>
    <w:multiLevelType w:val="hybridMultilevel"/>
    <w:tmpl w:val="9E18A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59B3A14"/>
    <w:multiLevelType w:val="hybridMultilevel"/>
    <w:tmpl w:val="C49C2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8C342C"/>
    <w:multiLevelType w:val="hybridMultilevel"/>
    <w:tmpl w:val="7D5A5798"/>
    <w:lvl w:ilvl="0" w:tplc="9D0415F4">
      <w:start w:val="60"/>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ECE356B"/>
    <w:multiLevelType w:val="hybridMultilevel"/>
    <w:tmpl w:val="FEF48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FB410B"/>
    <w:multiLevelType w:val="hybridMultilevel"/>
    <w:tmpl w:val="9236C3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6BA62DC"/>
    <w:multiLevelType w:val="hybridMultilevel"/>
    <w:tmpl w:val="5E36D8BC"/>
    <w:lvl w:ilvl="0" w:tplc="9A425A30">
      <w:start w:val="60"/>
      <w:numFmt w:val="bullet"/>
      <w:lvlText w:val="-"/>
      <w:lvlJc w:val="left"/>
      <w:pPr>
        <w:ind w:left="840" w:hanging="360"/>
      </w:pPr>
      <w:rPr>
        <w:rFonts w:ascii="Times New Roman" w:eastAsia="Times New Roman"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2">
    <w:nsid w:val="654B27D3"/>
    <w:multiLevelType w:val="hybridMultilevel"/>
    <w:tmpl w:val="DE82A6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2B55D59"/>
    <w:multiLevelType w:val="hybridMultilevel"/>
    <w:tmpl w:val="DB6093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3F3737E"/>
    <w:multiLevelType w:val="hybridMultilevel"/>
    <w:tmpl w:val="E86AE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6CE1B18"/>
    <w:multiLevelType w:val="hybridMultilevel"/>
    <w:tmpl w:val="57FCF5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4"/>
  </w:num>
  <w:num w:numId="5">
    <w:abstractNumId w:val="15"/>
  </w:num>
  <w:num w:numId="6">
    <w:abstractNumId w:val="7"/>
  </w:num>
  <w:num w:numId="7">
    <w:abstractNumId w:val="9"/>
  </w:num>
  <w:num w:numId="8">
    <w:abstractNumId w:val="11"/>
  </w:num>
  <w:num w:numId="9">
    <w:abstractNumId w:val="5"/>
  </w:num>
  <w:num w:numId="10">
    <w:abstractNumId w:val="8"/>
  </w:num>
  <w:num w:numId="11">
    <w:abstractNumId w:val="14"/>
  </w:num>
  <w:num w:numId="12">
    <w:abstractNumId w:val="1"/>
  </w:num>
  <w:num w:numId="13">
    <w:abstractNumId w:val="0"/>
  </w:num>
  <w:num w:numId="14">
    <w:abstractNumId w:val="6"/>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07"/>
    <w:rsid w:val="00003E30"/>
    <w:rsid w:val="00010B83"/>
    <w:rsid w:val="00020EE0"/>
    <w:rsid w:val="00023D54"/>
    <w:rsid w:val="00033DBC"/>
    <w:rsid w:val="00034A3C"/>
    <w:rsid w:val="00034E59"/>
    <w:rsid w:val="00041AFF"/>
    <w:rsid w:val="000557A2"/>
    <w:rsid w:val="000579DD"/>
    <w:rsid w:val="00061A17"/>
    <w:rsid w:val="0006278B"/>
    <w:rsid w:val="00070971"/>
    <w:rsid w:val="0007451F"/>
    <w:rsid w:val="00085777"/>
    <w:rsid w:val="00090687"/>
    <w:rsid w:val="0009409E"/>
    <w:rsid w:val="000A7209"/>
    <w:rsid w:val="000B2838"/>
    <w:rsid w:val="000B2D5C"/>
    <w:rsid w:val="000B3FCD"/>
    <w:rsid w:val="000C7250"/>
    <w:rsid w:val="000E245F"/>
    <w:rsid w:val="00115C57"/>
    <w:rsid w:val="00116E9E"/>
    <w:rsid w:val="001176A8"/>
    <w:rsid w:val="001207BA"/>
    <w:rsid w:val="00120C92"/>
    <w:rsid w:val="00121935"/>
    <w:rsid w:val="00121B34"/>
    <w:rsid w:val="0013399E"/>
    <w:rsid w:val="0015625F"/>
    <w:rsid w:val="0016420E"/>
    <w:rsid w:val="00182396"/>
    <w:rsid w:val="00184958"/>
    <w:rsid w:val="00186674"/>
    <w:rsid w:val="00186B16"/>
    <w:rsid w:val="001A2A35"/>
    <w:rsid w:val="001A57C6"/>
    <w:rsid w:val="001A69ED"/>
    <w:rsid w:val="001A6D7E"/>
    <w:rsid w:val="001B0B69"/>
    <w:rsid w:val="001B6300"/>
    <w:rsid w:val="001D1535"/>
    <w:rsid w:val="001D29D5"/>
    <w:rsid w:val="001D510E"/>
    <w:rsid w:val="001F271F"/>
    <w:rsid w:val="001F559F"/>
    <w:rsid w:val="001F6B45"/>
    <w:rsid w:val="001F6C43"/>
    <w:rsid w:val="00200E19"/>
    <w:rsid w:val="002028DF"/>
    <w:rsid w:val="00220D27"/>
    <w:rsid w:val="00231DEF"/>
    <w:rsid w:val="00233E99"/>
    <w:rsid w:val="00243426"/>
    <w:rsid w:val="002438DC"/>
    <w:rsid w:val="00251B3C"/>
    <w:rsid w:val="00252202"/>
    <w:rsid w:val="002543F9"/>
    <w:rsid w:val="00260796"/>
    <w:rsid w:val="00262BBF"/>
    <w:rsid w:val="002666ED"/>
    <w:rsid w:val="00266CA8"/>
    <w:rsid w:val="00267758"/>
    <w:rsid w:val="00275C17"/>
    <w:rsid w:val="00282C65"/>
    <w:rsid w:val="00285A13"/>
    <w:rsid w:val="00286C6E"/>
    <w:rsid w:val="00295956"/>
    <w:rsid w:val="002A26CF"/>
    <w:rsid w:val="002C24C8"/>
    <w:rsid w:val="002D51CD"/>
    <w:rsid w:val="002E1C05"/>
    <w:rsid w:val="002F0DB0"/>
    <w:rsid w:val="003029B3"/>
    <w:rsid w:val="00312A82"/>
    <w:rsid w:val="00314F18"/>
    <w:rsid w:val="0033155B"/>
    <w:rsid w:val="00334B20"/>
    <w:rsid w:val="003425B5"/>
    <w:rsid w:val="00346CD3"/>
    <w:rsid w:val="003472E4"/>
    <w:rsid w:val="0035359E"/>
    <w:rsid w:val="0037178B"/>
    <w:rsid w:val="00371CAB"/>
    <w:rsid w:val="00372921"/>
    <w:rsid w:val="00374731"/>
    <w:rsid w:val="00381844"/>
    <w:rsid w:val="00383ECA"/>
    <w:rsid w:val="00384D06"/>
    <w:rsid w:val="00393D02"/>
    <w:rsid w:val="003A157E"/>
    <w:rsid w:val="003A4A4C"/>
    <w:rsid w:val="003B0444"/>
    <w:rsid w:val="003B0BF9"/>
    <w:rsid w:val="003C2542"/>
    <w:rsid w:val="003D0025"/>
    <w:rsid w:val="003D0AE5"/>
    <w:rsid w:val="003E0791"/>
    <w:rsid w:val="003E0D1C"/>
    <w:rsid w:val="003F0DCA"/>
    <w:rsid w:val="003F28AC"/>
    <w:rsid w:val="003F31C2"/>
    <w:rsid w:val="003F353A"/>
    <w:rsid w:val="003F602E"/>
    <w:rsid w:val="00405533"/>
    <w:rsid w:val="0040743C"/>
    <w:rsid w:val="00411598"/>
    <w:rsid w:val="004163CA"/>
    <w:rsid w:val="00431E5D"/>
    <w:rsid w:val="004454FE"/>
    <w:rsid w:val="0044591D"/>
    <w:rsid w:val="0044593B"/>
    <w:rsid w:val="00456E40"/>
    <w:rsid w:val="00465AE2"/>
    <w:rsid w:val="00467C5B"/>
    <w:rsid w:val="00471F27"/>
    <w:rsid w:val="00473780"/>
    <w:rsid w:val="004807BE"/>
    <w:rsid w:val="00481C25"/>
    <w:rsid w:val="00483027"/>
    <w:rsid w:val="00484999"/>
    <w:rsid w:val="00492CAC"/>
    <w:rsid w:val="00493DF9"/>
    <w:rsid w:val="004957E5"/>
    <w:rsid w:val="004A277E"/>
    <w:rsid w:val="004A2DF2"/>
    <w:rsid w:val="004B2143"/>
    <w:rsid w:val="004B37EC"/>
    <w:rsid w:val="004B7CE4"/>
    <w:rsid w:val="004C2F29"/>
    <w:rsid w:val="004C4E9C"/>
    <w:rsid w:val="004D13A8"/>
    <w:rsid w:val="004D2A3B"/>
    <w:rsid w:val="004E1970"/>
    <w:rsid w:val="004E3CA3"/>
    <w:rsid w:val="004F3B1B"/>
    <w:rsid w:val="0050178F"/>
    <w:rsid w:val="00502EAD"/>
    <w:rsid w:val="00521120"/>
    <w:rsid w:val="005217AA"/>
    <w:rsid w:val="0053146D"/>
    <w:rsid w:val="0053330C"/>
    <w:rsid w:val="00543E78"/>
    <w:rsid w:val="00546A34"/>
    <w:rsid w:val="005504BC"/>
    <w:rsid w:val="00562789"/>
    <w:rsid w:val="00572E7E"/>
    <w:rsid w:val="00573B8D"/>
    <w:rsid w:val="0057683D"/>
    <w:rsid w:val="00580969"/>
    <w:rsid w:val="00581D4F"/>
    <w:rsid w:val="0058735B"/>
    <w:rsid w:val="005919CF"/>
    <w:rsid w:val="00595016"/>
    <w:rsid w:val="005951CB"/>
    <w:rsid w:val="005A47BB"/>
    <w:rsid w:val="005A68F2"/>
    <w:rsid w:val="005B1202"/>
    <w:rsid w:val="005B4B04"/>
    <w:rsid w:val="005C0840"/>
    <w:rsid w:val="005C0F12"/>
    <w:rsid w:val="005C290F"/>
    <w:rsid w:val="005C34D8"/>
    <w:rsid w:val="005C3AD2"/>
    <w:rsid w:val="005C4AB3"/>
    <w:rsid w:val="005C5240"/>
    <w:rsid w:val="005C5270"/>
    <w:rsid w:val="005D3091"/>
    <w:rsid w:val="005E7400"/>
    <w:rsid w:val="005F102F"/>
    <w:rsid w:val="005F1666"/>
    <w:rsid w:val="005F408A"/>
    <w:rsid w:val="005F5DC8"/>
    <w:rsid w:val="006031B0"/>
    <w:rsid w:val="00603D4E"/>
    <w:rsid w:val="006100B3"/>
    <w:rsid w:val="006165AA"/>
    <w:rsid w:val="00622FDC"/>
    <w:rsid w:val="00631F30"/>
    <w:rsid w:val="00645043"/>
    <w:rsid w:val="006549A3"/>
    <w:rsid w:val="00655F2C"/>
    <w:rsid w:val="00663B85"/>
    <w:rsid w:val="00684647"/>
    <w:rsid w:val="00685953"/>
    <w:rsid w:val="00691BDD"/>
    <w:rsid w:val="006965D5"/>
    <w:rsid w:val="006A07A8"/>
    <w:rsid w:val="006B3C52"/>
    <w:rsid w:val="006C0295"/>
    <w:rsid w:val="006C345C"/>
    <w:rsid w:val="006C6816"/>
    <w:rsid w:val="006D2205"/>
    <w:rsid w:val="006E1081"/>
    <w:rsid w:val="006F40A9"/>
    <w:rsid w:val="006F5A9D"/>
    <w:rsid w:val="006F5BBC"/>
    <w:rsid w:val="007015B5"/>
    <w:rsid w:val="00704329"/>
    <w:rsid w:val="007066A3"/>
    <w:rsid w:val="007126B3"/>
    <w:rsid w:val="0071522F"/>
    <w:rsid w:val="00717D33"/>
    <w:rsid w:val="00720585"/>
    <w:rsid w:val="00721A61"/>
    <w:rsid w:val="00722160"/>
    <w:rsid w:val="00722CCB"/>
    <w:rsid w:val="0073244B"/>
    <w:rsid w:val="00745B63"/>
    <w:rsid w:val="00766C6E"/>
    <w:rsid w:val="00773AF6"/>
    <w:rsid w:val="007755E0"/>
    <w:rsid w:val="00776F92"/>
    <w:rsid w:val="007826F0"/>
    <w:rsid w:val="00783947"/>
    <w:rsid w:val="00795A13"/>
    <w:rsid w:val="00795F71"/>
    <w:rsid w:val="007B58F8"/>
    <w:rsid w:val="007C0A9B"/>
    <w:rsid w:val="007D0BA4"/>
    <w:rsid w:val="007D2004"/>
    <w:rsid w:val="007D2F2E"/>
    <w:rsid w:val="007D7603"/>
    <w:rsid w:val="007D76F5"/>
    <w:rsid w:val="007E40A8"/>
    <w:rsid w:val="007E5F7A"/>
    <w:rsid w:val="007E65A0"/>
    <w:rsid w:val="007E73AB"/>
    <w:rsid w:val="007F4AE8"/>
    <w:rsid w:val="007F77BB"/>
    <w:rsid w:val="00803C17"/>
    <w:rsid w:val="00803DEE"/>
    <w:rsid w:val="00805F67"/>
    <w:rsid w:val="008163CC"/>
    <w:rsid w:val="00816C11"/>
    <w:rsid w:val="008210DB"/>
    <w:rsid w:val="00823864"/>
    <w:rsid w:val="00826E86"/>
    <w:rsid w:val="008345AD"/>
    <w:rsid w:val="00846188"/>
    <w:rsid w:val="008515A8"/>
    <w:rsid w:val="0085421B"/>
    <w:rsid w:val="00866906"/>
    <w:rsid w:val="00870BF2"/>
    <w:rsid w:val="00872F09"/>
    <w:rsid w:val="00876C57"/>
    <w:rsid w:val="008816FB"/>
    <w:rsid w:val="0089237B"/>
    <w:rsid w:val="00893FAC"/>
    <w:rsid w:val="00894C55"/>
    <w:rsid w:val="00896721"/>
    <w:rsid w:val="008B0773"/>
    <w:rsid w:val="008B37E3"/>
    <w:rsid w:val="008B45B3"/>
    <w:rsid w:val="008B76CB"/>
    <w:rsid w:val="008C0EF5"/>
    <w:rsid w:val="008C0F79"/>
    <w:rsid w:val="008C4583"/>
    <w:rsid w:val="008C727C"/>
    <w:rsid w:val="008D31D8"/>
    <w:rsid w:val="008F66F7"/>
    <w:rsid w:val="009034E8"/>
    <w:rsid w:val="00903ECA"/>
    <w:rsid w:val="00906AF3"/>
    <w:rsid w:val="009151CD"/>
    <w:rsid w:val="00917CC4"/>
    <w:rsid w:val="009232E6"/>
    <w:rsid w:val="00932985"/>
    <w:rsid w:val="009352E4"/>
    <w:rsid w:val="00937F4B"/>
    <w:rsid w:val="00940E2E"/>
    <w:rsid w:val="0094144D"/>
    <w:rsid w:val="0094554A"/>
    <w:rsid w:val="009501FC"/>
    <w:rsid w:val="0095081B"/>
    <w:rsid w:val="00951337"/>
    <w:rsid w:val="00963B4F"/>
    <w:rsid w:val="00991E79"/>
    <w:rsid w:val="009A02C8"/>
    <w:rsid w:val="009A250F"/>
    <w:rsid w:val="009A2654"/>
    <w:rsid w:val="009A5C04"/>
    <w:rsid w:val="009B0A3B"/>
    <w:rsid w:val="009B2378"/>
    <w:rsid w:val="009B2AB7"/>
    <w:rsid w:val="009D0488"/>
    <w:rsid w:val="009D516B"/>
    <w:rsid w:val="009E6685"/>
    <w:rsid w:val="009E6E13"/>
    <w:rsid w:val="00A01788"/>
    <w:rsid w:val="00A036D1"/>
    <w:rsid w:val="00A06624"/>
    <w:rsid w:val="00A07E98"/>
    <w:rsid w:val="00A10704"/>
    <w:rsid w:val="00A109A6"/>
    <w:rsid w:val="00A10FC3"/>
    <w:rsid w:val="00A1211D"/>
    <w:rsid w:val="00A137B9"/>
    <w:rsid w:val="00A14ABE"/>
    <w:rsid w:val="00A1571A"/>
    <w:rsid w:val="00A174ED"/>
    <w:rsid w:val="00A25AC5"/>
    <w:rsid w:val="00A41770"/>
    <w:rsid w:val="00A4394E"/>
    <w:rsid w:val="00A50063"/>
    <w:rsid w:val="00A60210"/>
    <w:rsid w:val="00A6073E"/>
    <w:rsid w:val="00A70A79"/>
    <w:rsid w:val="00A72473"/>
    <w:rsid w:val="00A73D4A"/>
    <w:rsid w:val="00AA2327"/>
    <w:rsid w:val="00AA5702"/>
    <w:rsid w:val="00AB36AC"/>
    <w:rsid w:val="00AB5806"/>
    <w:rsid w:val="00AC1084"/>
    <w:rsid w:val="00AC1085"/>
    <w:rsid w:val="00AC146C"/>
    <w:rsid w:val="00AC7C29"/>
    <w:rsid w:val="00AE1FBE"/>
    <w:rsid w:val="00AE5567"/>
    <w:rsid w:val="00AF1239"/>
    <w:rsid w:val="00AF1B05"/>
    <w:rsid w:val="00AF6E72"/>
    <w:rsid w:val="00B040C4"/>
    <w:rsid w:val="00B14BF1"/>
    <w:rsid w:val="00B16480"/>
    <w:rsid w:val="00B2165C"/>
    <w:rsid w:val="00B242AB"/>
    <w:rsid w:val="00B4116B"/>
    <w:rsid w:val="00B414D8"/>
    <w:rsid w:val="00B53EF0"/>
    <w:rsid w:val="00B555C7"/>
    <w:rsid w:val="00B559ED"/>
    <w:rsid w:val="00B62A51"/>
    <w:rsid w:val="00B75F50"/>
    <w:rsid w:val="00B76BF0"/>
    <w:rsid w:val="00B85672"/>
    <w:rsid w:val="00B86C10"/>
    <w:rsid w:val="00B90ACE"/>
    <w:rsid w:val="00B90F56"/>
    <w:rsid w:val="00B93E98"/>
    <w:rsid w:val="00B96F06"/>
    <w:rsid w:val="00BA20AA"/>
    <w:rsid w:val="00BA58DA"/>
    <w:rsid w:val="00BA6235"/>
    <w:rsid w:val="00BB0367"/>
    <w:rsid w:val="00BC459D"/>
    <w:rsid w:val="00BD11B0"/>
    <w:rsid w:val="00BD4425"/>
    <w:rsid w:val="00BE7C94"/>
    <w:rsid w:val="00C07CF4"/>
    <w:rsid w:val="00C13C3D"/>
    <w:rsid w:val="00C25B10"/>
    <w:rsid w:val="00C25B49"/>
    <w:rsid w:val="00C64EB6"/>
    <w:rsid w:val="00C67869"/>
    <w:rsid w:val="00C7456C"/>
    <w:rsid w:val="00C80E83"/>
    <w:rsid w:val="00C818AC"/>
    <w:rsid w:val="00C93FFD"/>
    <w:rsid w:val="00CA115A"/>
    <w:rsid w:val="00CB5BD2"/>
    <w:rsid w:val="00CB7B30"/>
    <w:rsid w:val="00CB7DE1"/>
    <w:rsid w:val="00CC0D2D"/>
    <w:rsid w:val="00CC773C"/>
    <w:rsid w:val="00CD2721"/>
    <w:rsid w:val="00CD453B"/>
    <w:rsid w:val="00CD6CCE"/>
    <w:rsid w:val="00CE0878"/>
    <w:rsid w:val="00CE2CB3"/>
    <w:rsid w:val="00CE4456"/>
    <w:rsid w:val="00CE5657"/>
    <w:rsid w:val="00D00A64"/>
    <w:rsid w:val="00D01A32"/>
    <w:rsid w:val="00D05A3B"/>
    <w:rsid w:val="00D133F8"/>
    <w:rsid w:val="00D14A3E"/>
    <w:rsid w:val="00D1567A"/>
    <w:rsid w:val="00D2189D"/>
    <w:rsid w:val="00D21D6F"/>
    <w:rsid w:val="00D25343"/>
    <w:rsid w:val="00D27133"/>
    <w:rsid w:val="00D60F17"/>
    <w:rsid w:val="00D649D2"/>
    <w:rsid w:val="00D7636D"/>
    <w:rsid w:val="00D766FA"/>
    <w:rsid w:val="00D84882"/>
    <w:rsid w:val="00D855F3"/>
    <w:rsid w:val="00D96508"/>
    <w:rsid w:val="00DA0B3D"/>
    <w:rsid w:val="00DA40E6"/>
    <w:rsid w:val="00DA434F"/>
    <w:rsid w:val="00DA7B9F"/>
    <w:rsid w:val="00DD2ADC"/>
    <w:rsid w:val="00DE6130"/>
    <w:rsid w:val="00DF07DA"/>
    <w:rsid w:val="00E01ADB"/>
    <w:rsid w:val="00E02993"/>
    <w:rsid w:val="00E0469D"/>
    <w:rsid w:val="00E055FA"/>
    <w:rsid w:val="00E05E03"/>
    <w:rsid w:val="00E10D6A"/>
    <w:rsid w:val="00E14B8D"/>
    <w:rsid w:val="00E1728C"/>
    <w:rsid w:val="00E35B7F"/>
    <w:rsid w:val="00E3716B"/>
    <w:rsid w:val="00E518B3"/>
    <w:rsid w:val="00E5323B"/>
    <w:rsid w:val="00E630C6"/>
    <w:rsid w:val="00E8749E"/>
    <w:rsid w:val="00E90C01"/>
    <w:rsid w:val="00E9246B"/>
    <w:rsid w:val="00EA486E"/>
    <w:rsid w:val="00EA7C43"/>
    <w:rsid w:val="00ED0FFB"/>
    <w:rsid w:val="00EF2748"/>
    <w:rsid w:val="00EF6E9C"/>
    <w:rsid w:val="00EF7F94"/>
    <w:rsid w:val="00F00AEC"/>
    <w:rsid w:val="00F210B9"/>
    <w:rsid w:val="00F2288D"/>
    <w:rsid w:val="00F3137C"/>
    <w:rsid w:val="00F3248B"/>
    <w:rsid w:val="00F46605"/>
    <w:rsid w:val="00F53441"/>
    <w:rsid w:val="00F57B0C"/>
    <w:rsid w:val="00F65C55"/>
    <w:rsid w:val="00F66562"/>
    <w:rsid w:val="00F67662"/>
    <w:rsid w:val="00F70085"/>
    <w:rsid w:val="00F85158"/>
    <w:rsid w:val="00F856A5"/>
    <w:rsid w:val="00F86C13"/>
    <w:rsid w:val="00F87EC3"/>
    <w:rsid w:val="00F94CE0"/>
    <w:rsid w:val="00FB50EC"/>
    <w:rsid w:val="00FC0FD0"/>
    <w:rsid w:val="00FC4091"/>
    <w:rsid w:val="00FC47F6"/>
    <w:rsid w:val="00FC5BB4"/>
    <w:rsid w:val="00FD1E7F"/>
    <w:rsid w:val="00FD55A9"/>
    <w:rsid w:val="00FF3DE7"/>
    <w:rsid w:val="00FF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F6366"/>
  <w15:chartTrackingRefBased/>
  <w15:docId w15:val="{AE15D95F-9ACE-4E08-A6E9-526C73E7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5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870BF2"/>
    <w:pPr>
      <w:ind w:left="720"/>
      <w:contextualSpacing/>
    </w:pPr>
  </w:style>
  <w:style w:type="character" w:customStyle="1" w:styleId="ListParagraphChar">
    <w:name w:val="List Paragraph Char"/>
    <w:link w:val="ListParagraph"/>
    <w:uiPriority w:val="34"/>
    <w:locked/>
    <w:rsid w:val="00870BF2"/>
  </w:style>
  <w:style w:type="paragraph" w:styleId="FootnoteText">
    <w:name w:val="footnote text"/>
    <w:basedOn w:val="Normal"/>
    <w:link w:val="FootnoteTextChar"/>
    <w:uiPriority w:val="99"/>
    <w:semiHidden/>
    <w:unhideWhenUsed/>
    <w:rsid w:val="008515A8"/>
    <w:pPr>
      <w:spacing w:after="0" w:line="240" w:lineRule="auto"/>
    </w:pPr>
    <w:rPr>
      <w:sz w:val="20"/>
      <w:szCs w:val="20"/>
    </w:rPr>
  </w:style>
  <w:style w:type="character" w:customStyle="1" w:styleId="FootnoteTextChar">
    <w:name w:val="Footnote Text Char"/>
    <w:link w:val="FootnoteText"/>
    <w:uiPriority w:val="99"/>
    <w:semiHidden/>
    <w:rsid w:val="008515A8"/>
    <w:rPr>
      <w:sz w:val="20"/>
      <w:szCs w:val="20"/>
    </w:rPr>
  </w:style>
  <w:style w:type="character" w:styleId="FootnoteReference">
    <w:name w:val="footnote reference"/>
    <w:uiPriority w:val="99"/>
    <w:semiHidden/>
    <w:unhideWhenUsed/>
    <w:rsid w:val="008515A8"/>
    <w:rPr>
      <w:vertAlign w:val="superscript"/>
    </w:rPr>
  </w:style>
  <w:style w:type="character" w:styleId="CommentReference">
    <w:name w:val="annotation reference"/>
    <w:uiPriority w:val="99"/>
    <w:semiHidden/>
    <w:unhideWhenUsed/>
    <w:rsid w:val="00F00AEC"/>
    <w:rPr>
      <w:sz w:val="16"/>
      <w:szCs w:val="16"/>
    </w:rPr>
  </w:style>
  <w:style w:type="paragraph" w:styleId="CommentText">
    <w:name w:val="annotation text"/>
    <w:basedOn w:val="Normal"/>
    <w:link w:val="CommentTextChar"/>
    <w:uiPriority w:val="99"/>
    <w:semiHidden/>
    <w:unhideWhenUsed/>
    <w:rsid w:val="00F00AEC"/>
    <w:pPr>
      <w:spacing w:line="240" w:lineRule="auto"/>
    </w:pPr>
    <w:rPr>
      <w:sz w:val="20"/>
      <w:szCs w:val="20"/>
    </w:rPr>
  </w:style>
  <w:style w:type="character" w:customStyle="1" w:styleId="CommentTextChar">
    <w:name w:val="Comment Text Char"/>
    <w:link w:val="CommentText"/>
    <w:uiPriority w:val="99"/>
    <w:semiHidden/>
    <w:rsid w:val="00F00AEC"/>
    <w:rPr>
      <w:sz w:val="20"/>
      <w:szCs w:val="20"/>
    </w:rPr>
  </w:style>
  <w:style w:type="paragraph" w:styleId="CommentSubject">
    <w:name w:val="annotation subject"/>
    <w:basedOn w:val="CommentText"/>
    <w:next w:val="CommentText"/>
    <w:link w:val="CommentSubjectChar"/>
    <w:uiPriority w:val="99"/>
    <w:semiHidden/>
    <w:unhideWhenUsed/>
    <w:rsid w:val="00F00AEC"/>
    <w:rPr>
      <w:b/>
      <w:bCs/>
    </w:rPr>
  </w:style>
  <w:style w:type="character" w:customStyle="1" w:styleId="CommentSubjectChar">
    <w:name w:val="Comment Subject Char"/>
    <w:link w:val="CommentSubject"/>
    <w:uiPriority w:val="99"/>
    <w:semiHidden/>
    <w:rsid w:val="00F00AEC"/>
    <w:rPr>
      <w:b/>
      <w:bCs/>
      <w:sz w:val="20"/>
      <w:szCs w:val="20"/>
    </w:rPr>
  </w:style>
  <w:style w:type="paragraph" w:customStyle="1" w:styleId="Default">
    <w:name w:val="Default"/>
    <w:rsid w:val="00002007"/>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372921"/>
    <w:pPr>
      <w:spacing w:after="0" w:line="240" w:lineRule="auto"/>
    </w:pPr>
    <w:rPr>
      <w:rFonts w:ascii="Times New Roman" w:hAnsi="Times New Roman"/>
      <w:sz w:val="24"/>
      <w:szCs w:val="24"/>
      <w:lang w:eastAsia="lv-LV"/>
    </w:rPr>
  </w:style>
  <w:style w:type="paragraph" w:customStyle="1" w:styleId="Body">
    <w:name w:val="Body"/>
    <w:rsid w:val="00803C17"/>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paragraph" w:styleId="ListBullet">
    <w:name w:val="List Bullet"/>
    <w:basedOn w:val="Normal"/>
    <w:uiPriority w:val="99"/>
    <w:unhideWhenUsed/>
    <w:rsid w:val="008B0773"/>
    <w:pPr>
      <w:numPr>
        <w:numId w:val="13"/>
      </w:numPr>
      <w:contextualSpacing/>
    </w:pPr>
  </w:style>
  <w:style w:type="paragraph" w:customStyle="1" w:styleId="tv213">
    <w:name w:val="tv213"/>
    <w:basedOn w:val="Normal"/>
    <w:rsid w:val="009B237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basedOn w:val="DefaultParagraphFont"/>
    <w:rsid w:val="00B76BF0"/>
  </w:style>
  <w:style w:type="paragraph" w:styleId="BodyText2">
    <w:name w:val="Body Text 2"/>
    <w:basedOn w:val="Normal"/>
    <w:link w:val="BodyText2Char"/>
    <w:unhideWhenUsed/>
    <w:rsid w:val="00573B8D"/>
    <w:pPr>
      <w:spacing w:after="0" w:line="240" w:lineRule="auto"/>
      <w:jc w:val="both"/>
    </w:pPr>
    <w:rPr>
      <w:rFonts w:ascii="Times New Roman" w:eastAsia="Times New Roman" w:hAnsi="Times New Roman" w:cs="Arial Unicode MS"/>
      <w:sz w:val="28"/>
      <w:szCs w:val="24"/>
      <w:lang w:bidi="lo-LA"/>
    </w:rPr>
  </w:style>
  <w:style w:type="character" w:customStyle="1" w:styleId="BodyText2Char">
    <w:name w:val="Body Text 2 Char"/>
    <w:basedOn w:val="DefaultParagraphFont"/>
    <w:link w:val="BodyText2"/>
    <w:rsid w:val="00573B8D"/>
    <w:rPr>
      <w:rFonts w:ascii="Times New Roman" w:eastAsia="Times New Roman" w:hAnsi="Times New Roman" w:cs="Arial Unicode MS"/>
      <w:sz w:val="28"/>
      <w:szCs w:val="24"/>
      <w:lang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59">
      <w:bodyDiv w:val="1"/>
      <w:marLeft w:val="0"/>
      <w:marRight w:val="0"/>
      <w:marTop w:val="0"/>
      <w:marBottom w:val="0"/>
      <w:divBdr>
        <w:top w:val="none" w:sz="0" w:space="0" w:color="auto"/>
        <w:left w:val="none" w:sz="0" w:space="0" w:color="auto"/>
        <w:bottom w:val="none" w:sz="0" w:space="0" w:color="auto"/>
        <w:right w:val="none" w:sz="0" w:space="0" w:color="auto"/>
      </w:divBdr>
    </w:div>
    <w:div w:id="460232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7872602">
      <w:bodyDiv w:val="1"/>
      <w:marLeft w:val="0"/>
      <w:marRight w:val="0"/>
      <w:marTop w:val="0"/>
      <w:marBottom w:val="0"/>
      <w:divBdr>
        <w:top w:val="none" w:sz="0" w:space="0" w:color="auto"/>
        <w:left w:val="none" w:sz="0" w:space="0" w:color="auto"/>
        <w:bottom w:val="none" w:sz="0" w:space="0" w:color="auto"/>
        <w:right w:val="none" w:sz="0" w:space="0" w:color="auto"/>
      </w:divBdr>
    </w:div>
    <w:div w:id="667833511">
      <w:bodyDiv w:val="1"/>
      <w:marLeft w:val="0"/>
      <w:marRight w:val="0"/>
      <w:marTop w:val="0"/>
      <w:marBottom w:val="0"/>
      <w:divBdr>
        <w:top w:val="none" w:sz="0" w:space="0" w:color="auto"/>
        <w:left w:val="none" w:sz="0" w:space="0" w:color="auto"/>
        <w:bottom w:val="none" w:sz="0" w:space="0" w:color="auto"/>
        <w:right w:val="none" w:sz="0" w:space="0" w:color="auto"/>
      </w:divBdr>
    </w:div>
    <w:div w:id="898636565">
      <w:bodyDiv w:val="1"/>
      <w:marLeft w:val="0"/>
      <w:marRight w:val="0"/>
      <w:marTop w:val="0"/>
      <w:marBottom w:val="0"/>
      <w:divBdr>
        <w:top w:val="none" w:sz="0" w:space="0" w:color="auto"/>
        <w:left w:val="none" w:sz="0" w:space="0" w:color="auto"/>
        <w:bottom w:val="none" w:sz="0" w:space="0" w:color="auto"/>
        <w:right w:val="none" w:sz="0" w:space="0" w:color="auto"/>
      </w:divBdr>
    </w:div>
    <w:div w:id="105003023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21129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m.gov.lv/lv/sabiedribas-lidzdaliba/sabiedriskajai-apspriesanai-nodotie-normativo-aktu-projekti/4230-grozijums-ministru-kabineta-2018-gada-2-oktobra-noteikumos-nr-6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a.dreima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91CA-F922-4456-9A6D-A58ABEAF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9033</Words>
  <Characters>5149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valsts pētījumu programmu“Ēnu ekonomikas mazināšana valsts ilgtspējīgas attīstības nodrošināšanai”” projekta sākotnējās ietekmes novērtējuma ziņojums” (anotācija)Tiesību akta nosaukums</vt:lpstr>
    </vt:vector>
  </TitlesOfParts>
  <Company>Finanšu ministrija</Company>
  <LinksUpToDate>false</LinksUpToDate>
  <CharactersWithSpaces>14154</CharactersWithSpaces>
  <SharedDoc>false</SharedDoc>
  <HLinks>
    <vt:vector size="6" baseType="variant">
      <vt:variant>
        <vt:i4>2621469</vt:i4>
      </vt:variant>
      <vt:variant>
        <vt:i4>0</vt:i4>
      </vt:variant>
      <vt:variant>
        <vt:i4>0</vt:i4>
      </vt:variant>
      <vt:variant>
        <vt:i4>5</vt:i4>
      </vt:variant>
      <vt:variant>
        <vt:lpwstr>mailto:lana.dreimane@izm.gov.lv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pētījumu programmu“Ēnu ekonomikas mazināšana valsts ilgtspējīgas attīstības nodrošināšanai”” projekta sākotnējās ietekmes novērtējuma ziņojums” (anotācija)Tiesību akta nosaukums</dc:title>
  <dc:subject>Anotācija</dc:subject>
  <dc:creator>Lana Frančeska Dreimane (IZM)</dc:creator>
  <cp:keywords/>
  <dc:description/>
  <cp:lastModifiedBy>Lana Frančeska Dreimane</cp:lastModifiedBy>
  <cp:revision>3</cp:revision>
  <cp:lastPrinted>2020-05-05T13:50:00Z</cp:lastPrinted>
  <dcterms:created xsi:type="dcterms:W3CDTF">2020-08-31T19:34:00Z</dcterms:created>
  <dcterms:modified xsi:type="dcterms:W3CDTF">2020-08-31T19:35:00Z</dcterms:modified>
</cp:coreProperties>
</file>