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43491" w14:textId="77777777" w:rsidR="00905305" w:rsidRPr="003E07CD" w:rsidRDefault="002F7A75" w:rsidP="00905305">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r w:rsidRPr="003E07CD">
        <w:rPr>
          <w:sz w:val="22"/>
          <w:szCs w:val="22"/>
        </w:rPr>
        <w:t>Izziņa par atzinumos sniegtajiem iebildumiem</w:t>
      </w:r>
      <w:bookmarkEnd w:id="0"/>
      <w:bookmarkEnd w:id="1"/>
    </w:p>
    <w:tbl>
      <w:tblPr>
        <w:tblW w:w="0" w:type="auto"/>
        <w:jc w:val="center"/>
        <w:tblLook w:val="00A0" w:firstRow="1" w:lastRow="0" w:firstColumn="1" w:lastColumn="0" w:noHBand="0" w:noVBand="0"/>
      </w:tblPr>
      <w:tblGrid>
        <w:gridCol w:w="13721"/>
      </w:tblGrid>
      <w:tr w:rsidR="00BF7742" w:rsidRPr="003E07CD" w14:paraId="235C4142" w14:textId="77777777" w:rsidTr="00905305">
        <w:trPr>
          <w:jc w:val="center"/>
        </w:trPr>
        <w:tc>
          <w:tcPr>
            <w:tcW w:w="13721" w:type="dxa"/>
            <w:tcBorders>
              <w:bottom w:val="single" w:sz="6" w:space="0" w:color="000000"/>
            </w:tcBorders>
          </w:tcPr>
          <w:bookmarkEnd w:id="2"/>
          <w:bookmarkEnd w:id="3"/>
          <w:p w14:paraId="66973F9C" w14:textId="12A6F40B" w:rsidR="003E07CD" w:rsidRPr="003E07CD" w:rsidRDefault="002F7A75" w:rsidP="003E07CD">
            <w:pPr>
              <w:jc w:val="center"/>
              <w:rPr>
                <w:b/>
                <w:sz w:val="22"/>
                <w:szCs w:val="22"/>
              </w:rPr>
            </w:pPr>
            <w:r w:rsidRPr="003E07CD">
              <w:rPr>
                <w:b/>
                <w:sz w:val="22"/>
                <w:szCs w:val="22"/>
              </w:rPr>
              <w:t>Ministru kabineta noteikumu projekts "</w:t>
            </w:r>
            <w:r w:rsidR="003E07CD" w:rsidRPr="003E07CD">
              <w:rPr>
                <w:b/>
                <w:sz w:val="22"/>
                <w:szCs w:val="22"/>
              </w:rPr>
              <w:t>"Grozījums Ministru kabineta 2017.gada 20.jūnija noteikumos</w:t>
            </w:r>
          </w:p>
          <w:p w14:paraId="5F719489" w14:textId="537034D0" w:rsidR="00905305" w:rsidRPr="003E07CD" w:rsidRDefault="003E07CD" w:rsidP="003E07CD">
            <w:pPr>
              <w:jc w:val="center"/>
              <w:rPr>
                <w:b/>
              </w:rPr>
            </w:pPr>
            <w:r w:rsidRPr="003E07CD">
              <w:rPr>
                <w:b/>
                <w:sz w:val="22"/>
                <w:szCs w:val="22"/>
              </w:rPr>
              <w:t>Nr.353 "Prasības zaļajam publiskajam iepirkumam un to piemērošanas kārtība"", VSS-472</w:t>
            </w:r>
          </w:p>
        </w:tc>
      </w:tr>
    </w:tbl>
    <w:bookmarkEnd w:id="4"/>
    <w:bookmarkEnd w:id="5"/>
    <w:p w14:paraId="254053A0" w14:textId="77777777" w:rsidR="00905305" w:rsidRPr="003E07CD" w:rsidRDefault="002F7A75" w:rsidP="00905305">
      <w:pPr>
        <w:pStyle w:val="naisc"/>
        <w:spacing w:before="0" w:after="0"/>
        <w:ind w:firstLine="1080"/>
        <w:rPr>
          <w:sz w:val="22"/>
          <w:szCs w:val="22"/>
        </w:rPr>
      </w:pPr>
      <w:r w:rsidRPr="003E07CD">
        <w:rPr>
          <w:sz w:val="22"/>
          <w:szCs w:val="22"/>
        </w:rPr>
        <w:t>(dokumenta veids un nosaukums)</w:t>
      </w:r>
    </w:p>
    <w:p w14:paraId="2FD4E204" w14:textId="77777777" w:rsidR="00905305" w:rsidRPr="001A0783" w:rsidRDefault="00905305" w:rsidP="00905305">
      <w:pPr>
        <w:pStyle w:val="naisc"/>
        <w:spacing w:before="0" w:after="0"/>
        <w:ind w:firstLine="1080"/>
        <w:rPr>
          <w:sz w:val="22"/>
          <w:szCs w:val="22"/>
          <w:highlight w:val="yellow"/>
        </w:rPr>
      </w:pPr>
    </w:p>
    <w:p w14:paraId="14EF7279" w14:textId="77777777" w:rsidR="00905305" w:rsidRPr="006D480B" w:rsidRDefault="00905305" w:rsidP="00905305">
      <w:pPr>
        <w:pStyle w:val="naisc"/>
        <w:spacing w:before="0" w:after="0"/>
        <w:ind w:firstLine="1080"/>
        <w:rPr>
          <w:sz w:val="22"/>
          <w:szCs w:val="22"/>
        </w:rPr>
      </w:pPr>
    </w:p>
    <w:p w14:paraId="41073638" w14:textId="77777777" w:rsidR="00905305" w:rsidRPr="006D480B" w:rsidRDefault="002F7A75" w:rsidP="00905305">
      <w:pPr>
        <w:pStyle w:val="naisf"/>
        <w:numPr>
          <w:ilvl w:val="0"/>
          <w:numId w:val="1"/>
        </w:numPr>
        <w:spacing w:before="0" w:after="0"/>
        <w:jc w:val="center"/>
        <w:rPr>
          <w:b/>
          <w:sz w:val="22"/>
          <w:szCs w:val="22"/>
        </w:rPr>
      </w:pPr>
      <w:r w:rsidRPr="006D480B">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BF7742" w:rsidRPr="006D480B" w14:paraId="5A166CD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7C6E7" w14:textId="77777777" w:rsidR="00905305" w:rsidRPr="006D480B" w:rsidRDefault="002F7A75" w:rsidP="00905305">
            <w:pPr>
              <w:pStyle w:val="naisc"/>
              <w:spacing w:before="0" w:after="0"/>
              <w:rPr>
                <w:sz w:val="22"/>
                <w:szCs w:val="22"/>
              </w:rPr>
            </w:pPr>
            <w:r w:rsidRPr="006D480B">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66D7A" w14:textId="77777777" w:rsidR="00905305" w:rsidRPr="006D480B" w:rsidRDefault="002F7A75" w:rsidP="00905305">
            <w:pPr>
              <w:pStyle w:val="naisc"/>
              <w:spacing w:before="0" w:after="0"/>
              <w:ind w:firstLine="12"/>
              <w:rPr>
                <w:sz w:val="22"/>
                <w:szCs w:val="22"/>
              </w:rPr>
            </w:pPr>
            <w:r w:rsidRPr="006D480B">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2A7D4" w14:textId="77777777" w:rsidR="00905305" w:rsidRPr="006D480B" w:rsidRDefault="002F7A75" w:rsidP="00905305">
            <w:pPr>
              <w:pStyle w:val="naisc"/>
              <w:spacing w:before="0" w:after="0"/>
              <w:ind w:right="3"/>
              <w:rPr>
                <w:sz w:val="22"/>
                <w:szCs w:val="22"/>
              </w:rPr>
            </w:pPr>
            <w:r w:rsidRPr="006D480B">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D46EE" w14:textId="77777777" w:rsidR="00905305" w:rsidRPr="006D480B" w:rsidRDefault="002F7A75" w:rsidP="00905305">
            <w:pPr>
              <w:pStyle w:val="naisc"/>
              <w:spacing w:before="0" w:after="0"/>
              <w:ind w:firstLine="21"/>
              <w:rPr>
                <w:sz w:val="22"/>
                <w:szCs w:val="22"/>
              </w:rPr>
            </w:pPr>
            <w:r w:rsidRPr="006D480B">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F70D46" w14:textId="77777777" w:rsidR="00905305" w:rsidRPr="006D480B" w:rsidRDefault="002F7A75" w:rsidP="00905305">
            <w:pPr>
              <w:jc w:val="center"/>
              <w:rPr>
                <w:sz w:val="22"/>
                <w:szCs w:val="22"/>
              </w:rPr>
            </w:pPr>
            <w:r w:rsidRPr="006D480B">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shd w:val="clear" w:color="auto" w:fill="auto"/>
          </w:tcPr>
          <w:p w14:paraId="2EC5172A" w14:textId="77777777" w:rsidR="00905305" w:rsidRPr="006D480B" w:rsidRDefault="002F7A75" w:rsidP="00905305">
            <w:pPr>
              <w:jc w:val="center"/>
              <w:rPr>
                <w:sz w:val="22"/>
                <w:szCs w:val="22"/>
              </w:rPr>
            </w:pPr>
            <w:r w:rsidRPr="006D480B">
              <w:rPr>
                <w:sz w:val="22"/>
                <w:szCs w:val="22"/>
              </w:rPr>
              <w:t>Projekta attiecīgā punkta (panta) galīgā redakcija</w:t>
            </w:r>
          </w:p>
        </w:tc>
      </w:tr>
      <w:tr w:rsidR="00BF7742" w:rsidRPr="006D480B" w14:paraId="6216AD17"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95A51FE" w14:textId="77777777" w:rsidR="00905305" w:rsidRPr="006D480B" w:rsidRDefault="002F7A75" w:rsidP="00905305">
            <w:pPr>
              <w:pStyle w:val="naisc"/>
              <w:spacing w:before="0" w:after="0"/>
              <w:rPr>
                <w:sz w:val="22"/>
                <w:szCs w:val="22"/>
              </w:rPr>
            </w:pPr>
            <w:r w:rsidRPr="006D480B">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0908479B" w14:textId="77777777" w:rsidR="00905305" w:rsidRPr="006D480B" w:rsidRDefault="002F7A75" w:rsidP="00905305">
            <w:pPr>
              <w:pStyle w:val="naisc"/>
              <w:spacing w:before="0" w:after="0"/>
              <w:ind w:firstLine="720"/>
              <w:rPr>
                <w:sz w:val="22"/>
                <w:szCs w:val="22"/>
              </w:rPr>
            </w:pPr>
            <w:r w:rsidRPr="006D480B">
              <w:rPr>
                <w:sz w:val="22"/>
                <w:szCs w:val="22"/>
              </w:rPr>
              <w:t>2</w:t>
            </w: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1DAFBFFB" w14:textId="77777777" w:rsidR="00905305" w:rsidRPr="006D480B" w:rsidRDefault="002F7A75" w:rsidP="00905305">
            <w:pPr>
              <w:pStyle w:val="naisc"/>
              <w:spacing w:before="0" w:after="0"/>
              <w:ind w:firstLine="720"/>
              <w:rPr>
                <w:sz w:val="22"/>
                <w:szCs w:val="22"/>
              </w:rPr>
            </w:pPr>
            <w:r w:rsidRPr="006D480B">
              <w:rPr>
                <w:sz w:val="22"/>
                <w:szCs w:val="22"/>
              </w:rPr>
              <w:t>3</w:t>
            </w: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7A64BC46" w14:textId="77777777" w:rsidR="00905305" w:rsidRPr="006D480B" w:rsidRDefault="002F7A75" w:rsidP="00905305">
            <w:pPr>
              <w:pStyle w:val="naisc"/>
              <w:spacing w:before="0" w:after="0"/>
              <w:ind w:firstLine="720"/>
              <w:rPr>
                <w:sz w:val="22"/>
                <w:szCs w:val="22"/>
              </w:rPr>
            </w:pPr>
            <w:r w:rsidRPr="006D480B">
              <w:rPr>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97BD33" w14:textId="77777777" w:rsidR="00905305" w:rsidRPr="006D480B" w:rsidRDefault="002F7A75" w:rsidP="00905305">
            <w:pPr>
              <w:jc w:val="center"/>
              <w:rPr>
                <w:sz w:val="22"/>
                <w:szCs w:val="22"/>
              </w:rPr>
            </w:pPr>
            <w:r w:rsidRPr="006D480B">
              <w:rPr>
                <w:sz w:val="22"/>
                <w:szCs w:val="22"/>
              </w:rPr>
              <w:t>5</w:t>
            </w:r>
          </w:p>
        </w:tc>
        <w:tc>
          <w:tcPr>
            <w:tcW w:w="2551" w:type="dxa"/>
            <w:tcBorders>
              <w:top w:val="single" w:sz="4" w:space="0" w:color="auto"/>
              <w:left w:val="single" w:sz="4" w:space="0" w:color="auto"/>
              <w:bottom w:val="single" w:sz="4" w:space="0" w:color="auto"/>
            </w:tcBorders>
            <w:shd w:val="clear" w:color="auto" w:fill="auto"/>
          </w:tcPr>
          <w:p w14:paraId="2941F311" w14:textId="77777777" w:rsidR="00905305" w:rsidRPr="006D480B" w:rsidRDefault="002F7A75" w:rsidP="00905305">
            <w:pPr>
              <w:jc w:val="center"/>
              <w:rPr>
                <w:sz w:val="22"/>
                <w:szCs w:val="22"/>
              </w:rPr>
            </w:pPr>
            <w:r w:rsidRPr="006D480B">
              <w:rPr>
                <w:sz w:val="22"/>
                <w:szCs w:val="22"/>
              </w:rPr>
              <w:t>6</w:t>
            </w:r>
          </w:p>
        </w:tc>
      </w:tr>
      <w:tr w:rsidR="00BF7742" w:rsidRPr="006D480B" w14:paraId="564047A8"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AFB2400" w14:textId="77777777" w:rsidR="00905305" w:rsidRPr="006D480B" w:rsidRDefault="002F7A75" w:rsidP="00905305">
            <w:pPr>
              <w:pStyle w:val="naisc"/>
              <w:spacing w:before="0" w:after="0"/>
              <w:rPr>
                <w:sz w:val="22"/>
                <w:szCs w:val="22"/>
              </w:rPr>
            </w:pPr>
            <w:r w:rsidRPr="006D480B">
              <w:rPr>
                <w:sz w:val="22"/>
                <w:szCs w:val="22"/>
              </w:rPr>
              <w:t>1.</w:t>
            </w:r>
          </w:p>
        </w:tc>
        <w:tc>
          <w:tcPr>
            <w:tcW w:w="2242" w:type="dxa"/>
            <w:tcBorders>
              <w:top w:val="single" w:sz="6" w:space="0" w:color="000000"/>
              <w:left w:val="single" w:sz="6" w:space="0" w:color="000000"/>
              <w:bottom w:val="single" w:sz="6" w:space="0" w:color="000000"/>
              <w:right w:val="single" w:sz="6" w:space="0" w:color="000000"/>
            </w:tcBorders>
            <w:shd w:val="clear" w:color="auto" w:fill="auto"/>
          </w:tcPr>
          <w:p w14:paraId="2FA0C2E8" w14:textId="77777777" w:rsidR="00905305" w:rsidRPr="006D480B" w:rsidRDefault="00905305" w:rsidP="00905305">
            <w:pPr>
              <w:pStyle w:val="naisc"/>
              <w:spacing w:before="0" w:after="0"/>
              <w:ind w:right="54" w:firstLine="8"/>
              <w:jc w:val="both"/>
              <w:rPr>
                <w:sz w:val="22"/>
                <w:szCs w:val="22"/>
              </w:rPr>
            </w:pPr>
          </w:p>
        </w:tc>
        <w:tc>
          <w:tcPr>
            <w:tcW w:w="3711" w:type="dxa"/>
            <w:tcBorders>
              <w:top w:val="single" w:sz="6" w:space="0" w:color="000000"/>
              <w:left w:val="single" w:sz="6" w:space="0" w:color="000000"/>
              <w:bottom w:val="single" w:sz="6" w:space="0" w:color="000000"/>
              <w:right w:val="single" w:sz="6" w:space="0" w:color="000000"/>
            </w:tcBorders>
            <w:shd w:val="clear" w:color="auto" w:fill="auto"/>
          </w:tcPr>
          <w:p w14:paraId="45620CE2" w14:textId="77777777" w:rsidR="00905305" w:rsidRPr="006D480B" w:rsidRDefault="00905305" w:rsidP="00905305">
            <w:pPr>
              <w:pStyle w:val="naisc"/>
              <w:spacing w:before="0" w:after="0"/>
              <w:ind w:firstLine="720"/>
              <w:rPr>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5D950255" w14:textId="77777777" w:rsidR="00905305" w:rsidRPr="006D480B" w:rsidRDefault="00905305" w:rsidP="00905305">
            <w:pPr>
              <w:pStyle w:val="naisc"/>
              <w:spacing w:before="0" w:after="0"/>
              <w:jc w:val="both"/>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87549D" w14:textId="77777777" w:rsidR="00905305" w:rsidRPr="006D480B"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3AC5EDCB" w14:textId="77777777" w:rsidR="00905305" w:rsidRPr="006D480B" w:rsidRDefault="00905305" w:rsidP="00905305">
            <w:pPr>
              <w:jc w:val="both"/>
              <w:rPr>
                <w:sz w:val="22"/>
                <w:szCs w:val="22"/>
              </w:rPr>
            </w:pPr>
          </w:p>
        </w:tc>
      </w:tr>
      <w:tr w:rsidR="00BF7742" w:rsidRPr="006D480B" w14:paraId="694C5E9C" w14:textId="77777777" w:rsidTr="00905305">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B09D9BC" w14:textId="77777777" w:rsidR="00905305" w:rsidRPr="006D480B" w:rsidRDefault="00905305" w:rsidP="00905305">
            <w:pPr>
              <w:pStyle w:val="naisc"/>
              <w:spacing w:before="0" w:after="0"/>
              <w:rPr>
                <w:sz w:val="22"/>
                <w:szCs w:val="22"/>
              </w:rPr>
            </w:pPr>
          </w:p>
        </w:tc>
        <w:tc>
          <w:tcPr>
            <w:tcW w:w="2242" w:type="dxa"/>
            <w:tcBorders>
              <w:top w:val="single" w:sz="6" w:space="0" w:color="000000"/>
              <w:left w:val="single" w:sz="6" w:space="0" w:color="000000"/>
              <w:bottom w:val="single" w:sz="4" w:space="0" w:color="auto"/>
              <w:right w:val="single" w:sz="6" w:space="0" w:color="000000"/>
            </w:tcBorders>
            <w:shd w:val="clear" w:color="auto" w:fill="auto"/>
          </w:tcPr>
          <w:p w14:paraId="43F2FC1B" w14:textId="77777777" w:rsidR="00905305" w:rsidRPr="006D480B" w:rsidRDefault="00905305" w:rsidP="00905305">
            <w:pPr>
              <w:jc w:val="both"/>
              <w:outlineLvl w:val="0"/>
              <w:rPr>
                <w:sz w:val="22"/>
                <w:szCs w:val="22"/>
              </w:rPr>
            </w:pPr>
          </w:p>
        </w:tc>
        <w:tc>
          <w:tcPr>
            <w:tcW w:w="3711" w:type="dxa"/>
            <w:tcBorders>
              <w:top w:val="single" w:sz="6" w:space="0" w:color="000000"/>
              <w:left w:val="single" w:sz="6" w:space="0" w:color="000000"/>
              <w:bottom w:val="single" w:sz="4" w:space="0" w:color="auto"/>
              <w:right w:val="single" w:sz="6" w:space="0" w:color="000000"/>
            </w:tcBorders>
            <w:shd w:val="clear" w:color="auto" w:fill="auto"/>
          </w:tcPr>
          <w:p w14:paraId="5BBE668F" w14:textId="77777777" w:rsidR="00905305" w:rsidRPr="006D480B" w:rsidRDefault="00905305" w:rsidP="00905305">
            <w:pPr>
              <w:jc w:val="both"/>
              <w:rPr>
                <w:b/>
                <w:sz w:val="22"/>
                <w:szCs w:val="22"/>
              </w:rPr>
            </w:pPr>
          </w:p>
        </w:tc>
        <w:tc>
          <w:tcPr>
            <w:tcW w:w="3519" w:type="dxa"/>
            <w:tcBorders>
              <w:top w:val="single" w:sz="6" w:space="0" w:color="000000"/>
              <w:left w:val="single" w:sz="6" w:space="0" w:color="000000"/>
              <w:bottom w:val="single" w:sz="6" w:space="0" w:color="000000"/>
              <w:right w:val="single" w:sz="6" w:space="0" w:color="000000"/>
            </w:tcBorders>
            <w:shd w:val="clear" w:color="auto" w:fill="auto"/>
          </w:tcPr>
          <w:p w14:paraId="3271521E" w14:textId="77777777" w:rsidR="00905305" w:rsidRPr="006D480B" w:rsidRDefault="00905305" w:rsidP="00905305">
            <w:pPr>
              <w:pStyle w:val="naisc"/>
              <w:spacing w:before="0" w:after="0"/>
              <w:jc w:val="lef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681E64" w14:textId="77777777" w:rsidR="00905305" w:rsidRPr="006D480B" w:rsidRDefault="00905305" w:rsidP="00905305">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7562C5D4" w14:textId="77777777" w:rsidR="00905305" w:rsidRPr="006D480B" w:rsidRDefault="00905305" w:rsidP="00905305">
            <w:pPr>
              <w:jc w:val="both"/>
              <w:rPr>
                <w:sz w:val="22"/>
                <w:szCs w:val="22"/>
              </w:rPr>
            </w:pPr>
          </w:p>
        </w:tc>
      </w:tr>
    </w:tbl>
    <w:p w14:paraId="31D6659B" w14:textId="77777777" w:rsidR="00905305" w:rsidRPr="006D480B" w:rsidRDefault="00905305" w:rsidP="00905305">
      <w:pPr>
        <w:pStyle w:val="naisf"/>
        <w:spacing w:before="0" w:after="0"/>
        <w:ind w:firstLine="0"/>
        <w:rPr>
          <w:b/>
          <w:sz w:val="22"/>
          <w:szCs w:val="22"/>
        </w:rPr>
      </w:pPr>
    </w:p>
    <w:p w14:paraId="0904CA79" w14:textId="77777777" w:rsidR="00905305" w:rsidRPr="006D480B" w:rsidRDefault="002F7A75" w:rsidP="00905305">
      <w:pPr>
        <w:pStyle w:val="naisf"/>
        <w:spacing w:before="0" w:after="0"/>
        <w:ind w:firstLine="0"/>
        <w:rPr>
          <w:b/>
          <w:sz w:val="22"/>
          <w:szCs w:val="22"/>
          <w:u w:val="single"/>
        </w:rPr>
      </w:pPr>
      <w:r w:rsidRPr="006D480B">
        <w:rPr>
          <w:sz w:val="22"/>
          <w:szCs w:val="22"/>
        </w:rPr>
        <w:t>Informācija par</w:t>
      </w:r>
      <w:r w:rsidRPr="006D480B">
        <w:rPr>
          <w:b/>
          <w:sz w:val="22"/>
          <w:szCs w:val="22"/>
        </w:rPr>
        <w:t xml:space="preserve"> </w:t>
      </w:r>
      <w:r w:rsidRPr="006D480B">
        <w:rPr>
          <w:sz w:val="22"/>
          <w:szCs w:val="22"/>
        </w:rPr>
        <w:t xml:space="preserve">starpministriju (starpinstitūciju) sanāksmi vai </w:t>
      </w:r>
      <w:r w:rsidRPr="006D480B">
        <w:rPr>
          <w:b/>
          <w:sz w:val="22"/>
          <w:szCs w:val="22"/>
          <w:u w:val="single"/>
        </w:rPr>
        <w:t>elektronisko saskaņošanu</w:t>
      </w:r>
    </w:p>
    <w:p w14:paraId="17D82B4C" w14:textId="77777777" w:rsidR="00905305" w:rsidRPr="001A0783" w:rsidRDefault="00905305" w:rsidP="00905305">
      <w:pPr>
        <w:pStyle w:val="naisf"/>
        <w:spacing w:before="0" w:after="0"/>
        <w:ind w:firstLine="0"/>
        <w:rPr>
          <w:b/>
          <w:sz w:val="22"/>
          <w:szCs w:val="22"/>
          <w:highlight w:val="yellow"/>
          <w:u w:val="single"/>
        </w:rPr>
      </w:pPr>
    </w:p>
    <w:p w14:paraId="5B01C3F2" w14:textId="4F24BDDA" w:rsidR="00905305" w:rsidRPr="001A4602" w:rsidRDefault="002F7A75" w:rsidP="00905305">
      <w:pPr>
        <w:pStyle w:val="naisf"/>
        <w:spacing w:before="0" w:after="0"/>
        <w:ind w:firstLine="0"/>
        <w:rPr>
          <w:sz w:val="22"/>
          <w:szCs w:val="22"/>
        </w:rPr>
      </w:pPr>
      <w:r w:rsidRPr="001A4602">
        <w:rPr>
          <w:sz w:val="22"/>
          <w:szCs w:val="22"/>
        </w:rPr>
        <w:t>Datums</w:t>
      </w:r>
      <w:r w:rsidR="00195E87" w:rsidRPr="001A4602">
        <w:rPr>
          <w:sz w:val="22"/>
          <w:szCs w:val="22"/>
        </w:rPr>
        <w:t xml:space="preserve">: </w:t>
      </w:r>
      <w:r w:rsidR="005B6DCB" w:rsidRPr="005B6DCB">
        <w:rPr>
          <w:sz w:val="22"/>
          <w:szCs w:val="22"/>
        </w:rPr>
        <w:t>17</w:t>
      </w:r>
      <w:r w:rsidR="00884F22" w:rsidRPr="005B6DCB">
        <w:rPr>
          <w:sz w:val="22"/>
          <w:szCs w:val="22"/>
        </w:rPr>
        <w:t>.07</w:t>
      </w:r>
      <w:r w:rsidR="00177ED0" w:rsidRPr="005B6DCB">
        <w:rPr>
          <w:sz w:val="22"/>
          <w:szCs w:val="22"/>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774"/>
      </w:tblGrid>
      <w:tr w:rsidR="00BF7742" w:rsidRPr="001A0783" w14:paraId="71BEEFB0" w14:textId="77777777" w:rsidTr="00905305">
        <w:tc>
          <w:tcPr>
            <w:tcW w:w="4219" w:type="dxa"/>
          </w:tcPr>
          <w:p w14:paraId="6DC703BC" w14:textId="77777777" w:rsidR="00905305" w:rsidRPr="001A0783" w:rsidRDefault="00905305" w:rsidP="00905305">
            <w:pPr>
              <w:rPr>
                <w:sz w:val="22"/>
                <w:szCs w:val="22"/>
                <w:highlight w:val="yellow"/>
              </w:rPr>
            </w:pPr>
          </w:p>
        </w:tc>
        <w:tc>
          <w:tcPr>
            <w:tcW w:w="9774" w:type="dxa"/>
          </w:tcPr>
          <w:p w14:paraId="06E747EC" w14:textId="77777777" w:rsidR="00905305" w:rsidRPr="001A0783" w:rsidRDefault="00905305" w:rsidP="00905305">
            <w:pPr>
              <w:jc w:val="both"/>
              <w:rPr>
                <w:sz w:val="22"/>
                <w:szCs w:val="22"/>
                <w:highlight w:val="yellow"/>
              </w:rPr>
            </w:pPr>
          </w:p>
        </w:tc>
      </w:tr>
      <w:tr w:rsidR="00BF7742" w:rsidRPr="001A0783" w14:paraId="0CFAED1E" w14:textId="77777777" w:rsidTr="00905305">
        <w:tc>
          <w:tcPr>
            <w:tcW w:w="4219" w:type="dxa"/>
          </w:tcPr>
          <w:p w14:paraId="44FE33AA" w14:textId="77777777" w:rsidR="00905305" w:rsidRPr="008227A5" w:rsidRDefault="002F7A75" w:rsidP="00905305">
            <w:pPr>
              <w:rPr>
                <w:sz w:val="22"/>
                <w:szCs w:val="22"/>
              </w:rPr>
            </w:pPr>
            <w:r w:rsidRPr="008227A5">
              <w:rPr>
                <w:sz w:val="22"/>
                <w:szCs w:val="22"/>
              </w:rPr>
              <w:t>Saskaņošanas dalībnieki:</w:t>
            </w:r>
          </w:p>
        </w:tc>
        <w:tc>
          <w:tcPr>
            <w:tcW w:w="9774" w:type="dxa"/>
          </w:tcPr>
          <w:p w14:paraId="6710DCFE" w14:textId="454BCD63" w:rsidR="00905305" w:rsidRPr="005B6DCB" w:rsidRDefault="005B6DCB" w:rsidP="005B6DCB">
            <w:pPr>
              <w:jc w:val="both"/>
              <w:rPr>
                <w:sz w:val="22"/>
                <w:szCs w:val="22"/>
              </w:rPr>
            </w:pPr>
            <w:r>
              <w:rPr>
                <w:sz w:val="22"/>
                <w:szCs w:val="22"/>
              </w:rPr>
              <w:t xml:space="preserve">Aizsardzības ministrija, Ārlietu ministrija, Finanšu ministrija, Ekonomikas ministrija, Iekšlietu ministrija, </w:t>
            </w:r>
            <w:r w:rsidR="00D453A8">
              <w:rPr>
                <w:sz w:val="22"/>
                <w:szCs w:val="22"/>
              </w:rPr>
              <w:t xml:space="preserve">Izglītības un zinātnes ministrija, </w:t>
            </w:r>
            <w:r>
              <w:rPr>
                <w:sz w:val="22"/>
                <w:szCs w:val="22"/>
              </w:rPr>
              <w:t xml:space="preserve">Kultūras ministrija, Labklājības ministrija, </w:t>
            </w:r>
            <w:r w:rsidRPr="005B6DCB">
              <w:rPr>
                <w:sz w:val="22"/>
                <w:szCs w:val="22"/>
              </w:rPr>
              <w:t>Latvijas tirdzn</w:t>
            </w:r>
            <w:r>
              <w:rPr>
                <w:sz w:val="22"/>
                <w:szCs w:val="22"/>
              </w:rPr>
              <w:t xml:space="preserve">iecības un rūpniecības kamera, </w:t>
            </w:r>
            <w:r w:rsidRPr="005B6DCB">
              <w:rPr>
                <w:sz w:val="22"/>
                <w:szCs w:val="22"/>
              </w:rPr>
              <w:t>Latvij</w:t>
            </w:r>
            <w:r>
              <w:rPr>
                <w:sz w:val="22"/>
                <w:szCs w:val="22"/>
              </w:rPr>
              <w:t xml:space="preserve">as Darba devēju konfederācija, Latvijas Pašvaldību savienība, Satiksmes ministrija, Tieslietu ministrija, Zemkopības ministrija, </w:t>
            </w:r>
            <w:r w:rsidRPr="005B6DCB">
              <w:rPr>
                <w:sz w:val="22"/>
                <w:szCs w:val="22"/>
              </w:rPr>
              <w:t>Valsts kanceleja</w:t>
            </w:r>
            <w:r w:rsidR="00BE0343">
              <w:rPr>
                <w:sz w:val="22"/>
                <w:szCs w:val="22"/>
              </w:rPr>
              <w:t>.</w:t>
            </w:r>
          </w:p>
        </w:tc>
      </w:tr>
      <w:tr w:rsidR="00BF7742" w:rsidRPr="001A0783" w14:paraId="58C5406A" w14:textId="77777777" w:rsidTr="00905305">
        <w:tc>
          <w:tcPr>
            <w:tcW w:w="4219" w:type="dxa"/>
          </w:tcPr>
          <w:p w14:paraId="11676082" w14:textId="77777777" w:rsidR="00905305" w:rsidRPr="008227A5" w:rsidRDefault="00905305" w:rsidP="00905305">
            <w:pPr>
              <w:rPr>
                <w:sz w:val="22"/>
                <w:szCs w:val="22"/>
              </w:rPr>
            </w:pPr>
          </w:p>
        </w:tc>
        <w:tc>
          <w:tcPr>
            <w:tcW w:w="9774" w:type="dxa"/>
          </w:tcPr>
          <w:p w14:paraId="45EE0F14" w14:textId="77777777" w:rsidR="00905305" w:rsidRPr="00B60EB7" w:rsidRDefault="00905305" w:rsidP="00905305">
            <w:pPr>
              <w:rPr>
                <w:sz w:val="22"/>
                <w:szCs w:val="22"/>
                <w:highlight w:val="yellow"/>
              </w:rPr>
            </w:pPr>
          </w:p>
        </w:tc>
      </w:tr>
      <w:tr w:rsidR="00BF7742" w:rsidRPr="001A0783" w14:paraId="313CF07F" w14:textId="77777777" w:rsidTr="00905305">
        <w:tc>
          <w:tcPr>
            <w:tcW w:w="4219" w:type="dxa"/>
          </w:tcPr>
          <w:p w14:paraId="22450DA8" w14:textId="77777777" w:rsidR="00905305" w:rsidRPr="008227A5" w:rsidRDefault="002F7A75" w:rsidP="00905305">
            <w:pPr>
              <w:pStyle w:val="naiskr"/>
              <w:spacing w:before="0" w:after="0"/>
              <w:jc w:val="both"/>
            </w:pPr>
            <w:r w:rsidRPr="008227A5">
              <w:rPr>
                <w:sz w:val="22"/>
                <w:szCs w:val="22"/>
              </w:rPr>
              <w:t xml:space="preserve">Saskaņošanas dalībnieki izskatīja šādu ministriju (citu institūciju) iebildumus: </w:t>
            </w:r>
          </w:p>
        </w:tc>
        <w:tc>
          <w:tcPr>
            <w:tcW w:w="9774" w:type="dxa"/>
          </w:tcPr>
          <w:p w14:paraId="4E29B621" w14:textId="5F05DB03" w:rsidR="00905305" w:rsidRPr="00B86777" w:rsidRDefault="00177ED0" w:rsidP="00B86777">
            <w:pPr>
              <w:jc w:val="both"/>
              <w:rPr>
                <w:sz w:val="22"/>
                <w:szCs w:val="22"/>
              </w:rPr>
            </w:pPr>
            <w:r w:rsidRPr="00B86777">
              <w:rPr>
                <w:sz w:val="22"/>
                <w:szCs w:val="22"/>
              </w:rPr>
              <w:t xml:space="preserve">Finanšu ministrija, </w:t>
            </w:r>
            <w:r w:rsidR="00B32AC6" w:rsidRPr="00B86777">
              <w:rPr>
                <w:sz w:val="22"/>
                <w:szCs w:val="22"/>
              </w:rPr>
              <w:t>Ekonomikas ministrija</w:t>
            </w:r>
            <w:r w:rsidR="008227A5" w:rsidRPr="00B86777">
              <w:rPr>
                <w:sz w:val="22"/>
                <w:szCs w:val="22"/>
              </w:rPr>
              <w:t xml:space="preserve">, </w:t>
            </w:r>
            <w:r w:rsidR="00B86777" w:rsidRPr="00B86777">
              <w:rPr>
                <w:sz w:val="22"/>
                <w:szCs w:val="22"/>
              </w:rPr>
              <w:t>Labklājības ministrija</w:t>
            </w:r>
            <w:r w:rsidR="00B86777">
              <w:rPr>
                <w:sz w:val="22"/>
                <w:szCs w:val="22"/>
              </w:rPr>
              <w:t>,</w:t>
            </w:r>
            <w:r w:rsidR="00B86777" w:rsidRPr="00B86777">
              <w:rPr>
                <w:sz w:val="22"/>
                <w:szCs w:val="22"/>
              </w:rPr>
              <w:t xml:space="preserve"> </w:t>
            </w:r>
            <w:r w:rsidR="00B86777">
              <w:rPr>
                <w:sz w:val="22"/>
                <w:szCs w:val="22"/>
              </w:rPr>
              <w:t>Zemkopības ministrija</w:t>
            </w:r>
          </w:p>
        </w:tc>
      </w:tr>
      <w:tr w:rsidR="00BF7742" w:rsidRPr="001A0783" w14:paraId="324F4ECA" w14:textId="77777777" w:rsidTr="00905305">
        <w:tc>
          <w:tcPr>
            <w:tcW w:w="4219" w:type="dxa"/>
          </w:tcPr>
          <w:p w14:paraId="09E3102E" w14:textId="77777777" w:rsidR="00905305" w:rsidRPr="008227A5" w:rsidRDefault="00905305" w:rsidP="00905305">
            <w:pPr>
              <w:pStyle w:val="naiskr"/>
              <w:spacing w:before="0" w:after="0"/>
              <w:jc w:val="both"/>
              <w:rPr>
                <w:sz w:val="22"/>
                <w:szCs w:val="22"/>
              </w:rPr>
            </w:pPr>
          </w:p>
        </w:tc>
        <w:tc>
          <w:tcPr>
            <w:tcW w:w="9774" w:type="dxa"/>
          </w:tcPr>
          <w:p w14:paraId="66F07898" w14:textId="77777777" w:rsidR="00905305" w:rsidRPr="001A0783" w:rsidRDefault="00905305" w:rsidP="00905305">
            <w:pPr>
              <w:rPr>
                <w:sz w:val="22"/>
                <w:szCs w:val="22"/>
                <w:highlight w:val="yellow"/>
              </w:rPr>
            </w:pPr>
          </w:p>
        </w:tc>
      </w:tr>
      <w:tr w:rsidR="00BF7742" w:rsidRPr="001A0783" w14:paraId="2E1CEBB2" w14:textId="77777777" w:rsidTr="00905305">
        <w:tc>
          <w:tcPr>
            <w:tcW w:w="4219" w:type="dxa"/>
          </w:tcPr>
          <w:p w14:paraId="278E609E" w14:textId="77777777" w:rsidR="00905305" w:rsidRPr="008227A5" w:rsidRDefault="002F7A75" w:rsidP="00905305">
            <w:pPr>
              <w:pStyle w:val="naiskr"/>
              <w:spacing w:before="0" w:after="0"/>
              <w:jc w:val="both"/>
              <w:rPr>
                <w:sz w:val="22"/>
                <w:szCs w:val="22"/>
              </w:rPr>
            </w:pPr>
            <w:r w:rsidRPr="008227A5">
              <w:rPr>
                <w:sz w:val="22"/>
                <w:szCs w:val="22"/>
                <w:lang w:eastAsia="en-US"/>
              </w:rPr>
              <w:t xml:space="preserve">Ministrijas (citas institūcijas), kuras nav ieradušās uz sanāksmi vai kuras nav </w:t>
            </w:r>
            <w:r w:rsidRPr="008227A5">
              <w:rPr>
                <w:bCs/>
                <w:sz w:val="22"/>
                <w:szCs w:val="22"/>
                <w:lang w:eastAsia="en-US"/>
              </w:rPr>
              <w:t>atbildējušas uz uzaicinājumu piedalīties elektroniskajā saskaņošanā:</w:t>
            </w:r>
          </w:p>
        </w:tc>
        <w:tc>
          <w:tcPr>
            <w:tcW w:w="9774" w:type="dxa"/>
          </w:tcPr>
          <w:p w14:paraId="1C1D60F2" w14:textId="77777777" w:rsidR="00905305" w:rsidRPr="001A0783" w:rsidRDefault="00905305" w:rsidP="00905305">
            <w:pPr>
              <w:jc w:val="both"/>
              <w:rPr>
                <w:sz w:val="22"/>
                <w:szCs w:val="22"/>
                <w:highlight w:val="yellow"/>
              </w:rPr>
            </w:pPr>
          </w:p>
        </w:tc>
      </w:tr>
    </w:tbl>
    <w:p w14:paraId="268AE5F4" w14:textId="77777777" w:rsidR="00905305" w:rsidRPr="001A0783" w:rsidRDefault="00905305" w:rsidP="00905305">
      <w:pPr>
        <w:pStyle w:val="naisf"/>
        <w:spacing w:before="0" w:after="0"/>
        <w:ind w:firstLine="0"/>
        <w:rPr>
          <w:b/>
          <w:sz w:val="22"/>
          <w:szCs w:val="22"/>
          <w:highlight w:val="yellow"/>
        </w:rPr>
      </w:pPr>
    </w:p>
    <w:p w14:paraId="555073E5" w14:textId="77777777" w:rsidR="00BD50EE" w:rsidRPr="001A0783" w:rsidRDefault="00BD50EE" w:rsidP="00905305">
      <w:pPr>
        <w:pStyle w:val="naisf"/>
        <w:spacing w:before="0" w:after="0"/>
        <w:ind w:firstLine="0"/>
        <w:rPr>
          <w:b/>
          <w:sz w:val="22"/>
          <w:szCs w:val="22"/>
          <w:highlight w:val="yellow"/>
        </w:rPr>
      </w:pPr>
    </w:p>
    <w:p w14:paraId="0A7AE91C" w14:textId="77777777" w:rsidR="00BD50EE" w:rsidRPr="001A0783" w:rsidRDefault="00BD50EE" w:rsidP="00905305">
      <w:pPr>
        <w:pStyle w:val="naisf"/>
        <w:spacing w:before="0" w:after="0"/>
        <w:ind w:firstLine="0"/>
        <w:rPr>
          <w:b/>
          <w:sz w:val="22"/>
          <w:szCs w:val="22"/>
          <w:highlight w:val="yellow"/>
        </w:rPr>
      </w:pPr>
    </w:p>
    <w:p w14:paraId="284D81F5" w14:textId="77777777" w:rsidR="00BD50EE" w:rsidRDefault="00BD50EE" w:rsidP="00905305">
      <w:pPr>
        <w:pStyle w:val="naisf"/>
        <w:spacing w:before="0" w:after="0"/>
        <w:ind w:firstLine="0"/>
        <w:rPr>
          <w:b/>
          <w:sz w:val="22"/>
          <w:szCs w:val="22"/>
          <w:highlight w:val="yellow"/>
        </w:rPr>
      </w:pPr>
    </w:p>
    <w:p w14:paraId="05D93051" w14:textId="77777777" w:rsidR="008227A5" w:rsidRPr="001A0783" w:rsidRDefault="008227A5" w:rsidP="00905305">
      <w:pPr>
        <w:pStyle w:val="naisf"/>
        <w:spacing w:before="0" w:after="0"/>
        <w:ind w:firstLine="0"/>
        <w:rPr>
          <w:b/>
          <w:sz w:val="22"/>
          <w:szCs w:val="22"/>
          <w:highlight w:val="yellow"/>
        </w:rPr>
      </w:pPr>
    </w:p>
    <w:p w14:paraId="39A496C3" w14:textId="77777777" w:rsidR="00905305" w:rsidRPr="001A0783" w:rsidRDefault="00905305" w:rsidP="00905305">
      <w:pPr>
        <w:pStyle w:val="naisf"/>
        <w:spacing w:before="0" w:after="0"/>
        <w:ind w:firstLine="0"/>
        <w:jc w:val="center"/>
        <w:rPr>
          <w:b/>
          <w:sz w:val="22"/>
          <w:szCs w:val="22"/>
          <w:highlight w:val="yellow"/>
        </w:rPr>
      </w:pPr>
    </w:p>
    <w:p w14:paraId="7A387780" w14:textId="194B4372" w:rsidR="00905305" w:rsidRDefault="002F7A75" w:rsidP="00547678">
      <w:pPr>
        <w:pStyle w:val="naisf"/>
        <w:numPr>
          <w:ilvl w:val="0"/>
          <w:numId w:val="1"/>
        </w:numPr>
        <w:spacing w:before="0" w:after="0"/>
        <w:jc w:val="center"/>
        <w:rPr>
          <w:b/>
          <w:sz w:val="22"/>
          <w:szCs w:val="22"/>
        </w:rPr>
      </w:pPr>
      <w:r w:rsidRPr="00477482">
        <w:rPr>
          <w:b/>
          <w:sz w:val="22"/>
          <w:szCs w:val="22"/>
        </w:rPr>
        <w:t>Jautājumi, par kuriem saskaņošanā vienošanās ir panākta</w:t>
      </w:r>
    </w:p>
    <w:p w14:paraId="319AC383" w14:textId="77777777" w:rsidR="00547678" w:rsidRDefault="00547678" w:rsidP="00547678">
      <w:pPr>
        <w:pStyle w:val="naisf"/>
        <w:spacing w:before="0" w:after="0"/>
        <w:ind w:left="360" w:firstLine="0"/>
        <w:rPr>
          <w:b/>
          <w:sz w:val="22"/>
          <w:szCs w:val="22"/>
        </w:rPr>
      </w:pPr>
    </w:p>
    <w:tbl>
      <w:tblPr>
        <w:tblStyle w:val="TableGrid1"/>
        <w:tblW w:w="5119" w:type="pct"/>
        <w:shd w:val="clear" w:color="auto" w:fill="FFFFFF" w:themeFill="background1"/>
        <w:tblLayout w:type="fixed"/>
        <w:tblLook w:val="04A0" w:firstRow="1" w:lastRow="0" w:firstColumn="1" w:lastColumn="0" w:noHBand="0" w:noVBand="1"/>
      </w:tblPr>
      <w:tblGrid>
        <w:gridCol w:w="422"/>
        <w:gridCol w:w="1278"/>
        <w:gridCol w:w="2739"/>
        <w:gridCol w:w="1788"/>
        <w:gridCol w:w="3034"/>
        <w:gridCol w:w="1596"/>
        <w:gridCol w:w="1756"/>
        <w:gridCol w:w="1713"/>
      </w:tblGrid>
      <w:tr w:rsidR="00547678" w:rsidRPr="00CE5FED" w14:paraId="4636133A" w14:textId="77777777" w:rsidTr="00CE5FED">
        <w:tc>
          <w:tcPr>
            <w:tcW w:w="147" w:type="pct"/>
            <w:shd w:val="clear" w:color="auto" w:fill="FFFFFF" w:themeFill="background1"/>
            <w:vAlign w:val="center"/>
          </w:tcPr>
          <w:p w14:paraId="142D48BB" w14:textId="77777777" w:rsidR="00547678" w:rsidRPr="00547678" w:rsidRDefault="00547678" w:rsidP="00547678">
            <w:pPr>
              <w:ind w:right="-2217"/>
              <w:rPr>
                <w:sz w:val="20"/>
                <w:szCs w:val="20"/>
              </w:rPr>
            </w:pPr>
            <w:r w:rsidRPr="00547678">
              <w:rPr>
                <w:sz w:val="20"/>
                <w:szCs w:val="20"/>
              </w:rPr>
              <w:t xml:space="preserve">Nr. </w:t>
            </w:r>
          </w:p>
          <w:p w14:paraId="284BE54F" w14:textId="77777777" w:rsidR="00547678" w:rsidRPr="00547678" w:rsidRDefault="00547678" w:rsidP="00547678">
            <w:pPr>
              <w:ind w:right="-2217"/>
              <w:rPr>
                <w:sz w:val="20"/>
                <w:szCs w:val="20"/>
              </w:rPr>
            </w:pPr>
            <w:r w:rsidRPr="00547678">
              <w:rPr>
                <w:sz w:val="20"/>
                <w:szCs w:val="20"/>
              </w:rPr>
              <w:t>p.k.</w:t>
            </w:r>
          </w:p>
        </w:tc>
        <w:tc>
          <w:tcPr>
            <w:tcW w:w="446" w:type="pct"/>
            <w:shd w:val="clear" w:color="auto" w:fill="FFFFFF" w:themeFill="background1"/>
            <w:vAlign w:val="center"/>
          </w:tcPr>
          <w:p w14:paraId="02A8C418" w14:textId="6F062C72" w:rsidR="00547678" w:rsidRPr="00547678" w:rsidRDefault="00547678" w:rsidP="00547678">
            <w:pPr>
              <w:jc w:val="center"/>
              <w:rPr>
                <w:sz w:val="20"/>
                <w:szCs w:val="20"/>
              </w:rPr>
            </w:pPr>
            <w:r w:rsidRPr="00CE5FED">
              <w:rPr>
                <w:sz w:val="20"/>
                <w:szCs w:val="20"/>
              </w:rPr>
              <w:t>Saskaņošanai nosūtītā projekta redakcija (konkrēta punkta (panta) redakcija)</w:t>
            </w:r>
          </w:p>
        </w:tc>
        <w:tc>
          <w:tcPr>
            <w:tcW w:w="956" w:type="pct"/>
            <w:shd w:val="clear" w:color="auto" w:fill="FFFFFF" w:themeFill="background1"/>
            <w:vAlign w:val="center"/>
          </w:tcPr>
          <w:p w14:paraId="1F778FA2" w14:textId="6AB302BD" w:rsidR="00547678" w:rsidRPr="00547678" w:rsidRDefault="00547678" w:rsidP="00547678">
            <w:pPr>
              <w:jc w:val="center"/>
              <w:rPr>
                <w:sz w:val="20"/>
                <w:szCs w:val="20"/>
              </w:rPr>
            </w:pPr>
            <w:r w:rsidRPr="00CE5FED">
              <w:rPr>
                <w:sz w:val="20"/>
                <w:szCs w:val="20"/>
              </w:rPr>
              <w:t>Atzinumā norādītais ministrijas (citas institūcijas) iebildums, kā arī saskaņošanā papildus izteiktais iebildums par projekta konkrēto punktu (pantu)</w:t>
            </w:r>
          </w:p>
        </w:tc>
        <w:tc>
          <w:tcPr>
            <w:tcW w:w="624" w:type="pct"/>
            <w:shd w:val="clear" w:color="auto" w:fill="FFFFFF" w:themeFill="background1"/>
            <w:vAlign w:val="center"/>
          </w:tcPr>
          <w:p w14:paraId="48CDF532" w14:textId="597F0403" w:rsidR="00547678" w:rsidRPr="00547678" w:rsidRDefault="00547678" w:rsidP="00547678">
            <w:pPr>
              <w:jc w:val="center"/>
              <w:rPr>
                <w:sz w:val="20"/>
                <w:szCs w:val="20"/>
              </w:rPr>
            </w:pPr>
            <w:r w:rsidRPr="00CE5FED">
              <w:rPr>
                <w:sz w:val="20"/>
                <w:szCs w:val="20"/>
              </w:rPr>
              <w:t>Atbildīgās ministrijas norāde par to, ka iebildums ir ņemts vērā, vai informācija par saskaņošanā panākto alternatīvo risinājumu</w:t>
            </w:r>
          </w:p>
        </w:tc>
        <w:tc>
          <w:tcPr>
            <w:tcW w:w="1059" w:type="pct"/>
            <w:shd w:val="clear" w:color="auto" w:fill="FFFFFF" w:themeFill="background1"/>
          </w:tcPr>
          <w:p w14:paraId="20446A9D" w14:textId="7BD84CD9" w:rsidR="00547678" w:rsidRPr="00547678" w:rsidRDefault="00547678" w:rsidP="00547678">
            <w:pPr>
              <w:jc w:val="center"/>
              <w:rPr>
                <w:sz w:val="20"/>
                <w:szCs w:val="20"/>
              </w:rPr>
            </w:pPr>
            <w:r w:rsidRPr="00CE5FED">
              <w:rPr>
                <w:sz w:val="20"/>
                <w:szCs w:val="20"/>
              </w:rPr>
              <w:t>Projekta attiecīgā punkta (panta) galīgā redakcija</w:t>
            </w:r>
          </w:p>
        </w:tc>
        <w:tc>
          <w:tcPr>
            <w:tcW w:w="557" w:type="pct"/>
            <w:shd w:val="clear" w:color="auto" w:fill="FFFFFF" w:themeFill="background1"/>
          </w:tcPr>
          <w:p w14:paraId="7BBACEA4" w14:textId="05975AA7" w:rsidR="00547678" w:rsidRPr="00547678" w:rsidRDefault="00874E1E" w:rsidP="00547678">
            <w:pPr>
              <w:jc w:val="center"/>
              <w:rPr>
                <w:sz w:val="20"/>
                <w:szCs w:val="20"/>
              </w:rPr>
            </w:pPr>
            <w:r w:rsidRPr="00CE5FED">
              <w:rPr>
                <w:sz w:val="20"/>
                <w:szCs w:val="20"/>
              </w:rPr>
              <w:t xml:space="preserve">Atzinumā norādītais ministrijas (citas institūcijas) iebildums, kā arī saskaņošanā papildus izteiktais iebildums par projekta konkrēto punktu (pantu) </w:t>
            </w:r>
            <w:r w:rsidR="00547678" w:rsidRPr="00547678">
              <w:rPr>
                <w:sz w:val="20"/>
                <w:szCs w:val="20"/>
              </w:rPr>
              <w:t>uz 24.07.2020.</w:t>
            </w:r>
          </w:p>
        </w:tc>
        <w:tc>
          <w:tcPr>
            <w:tcW w:w="613" w:type="pct"/>
            <w:shd w:val="clear" w:color="auto" w:fill="FFFFFF" w:themeFill="background1"/>
          </w:tcPr>
          <w:p w14:paraId="48965FF7" w14:textId="72DF830D" w:rsidR="00547678" w:rsidRPr="00547678" w:rsidRDefault="007A4A27" w:rsidP="00547678">
            <w:pPr>
              <w:jc w:val="center"/>
              <w:rPr>
                <w:sz w:val="20"/>
                <w:szCs w:val="20"/>
              </w:rPr>
            </w:pPr>
            <w:r w:rsidRPr="00CE5FED">
              <w:rPr>
                <w:sz w:val="20"/>
                <w:szCs w:val="20"/>
              </w:rPr>
              <w:t xml:space="preserve">Atbildīgās ministrijas norāde par to, ka iebildums ir ņemts vērā, vai informācija par saskaņošanā panākto alternatīvo risinājumu </w:t>
            </w:r>
          </w:p>
        </w:tc>
        <w:tc>
          <w:tcPr>
            <w:tcW w:w="598" w:type="pct"/>
            <w:shd w:val="clear" w:color="auto" w:fill="FFFFFF" w:themeFill="background1"/>
          </w:tcPr>
          <w:p w14:paraId="4BEC6045" w14:textId="5DA27FC3" w:rsidR="00547678" w:rsidRPr="00547678" w:rsidRDefault="007A4A27" w:rsidP="00547678">
            <w:pPr>
              <w:jc w:val="center"/>
              <w:rPr>
                <w:sz w:val="20"/>
                <w:szCs w:val="20"/>
              </w:rPr>
            </w:pPr>
            <w:r w:rsidRPr="00CE5FED">
              <w:rPr>
                <w:sz w:val="20"/>
                <w:szCs w:val="20"/>
              </w:rPr>
              <w:t>Projekta attiecīgā punkta (panta) galīgā redakcija</w:t>
            </w:r>
          </w:p>
        </w:tc>
      </w:tr>
      <w:tr w:rsidR="00683FD6" w:rsidRPr="00CE5FED" w14:paraId="4A8E313E" w14:textId="77777777" w:rsidTr="00CE5FED">
        <w:tc>
          <w:tcPr>
            <w:tcW w:w="147" w:type="pct"/>
            <w:tcBorders>
              <w:top w:val="single" w:sz="6" w:space="0" w:color="000000"/>
              <w:left w:val="single" w:sz="6" w:space="0" w:color="000000"/>
              <w:bottom w:val="single" w:sz="6" w:space="0" w:color="000000"/>
              <w:right w:val="single" w:sz="6" w:space="0" w:color="000000"/>
            </w:tcBorders>
          </w:tcPr>
          <w:p w14:paraId="0106C40D" w14:textId="202ACD8B" w:rsidR="004F0676" w:rsidRPr="00CE5FED" w:rsidRDefault="004F0676" w:rsidP="004F0676">
            <w:pPr>
              <w:ind w:right="-2217"/>
              <w:rPr>
                <w:sz w:val="20"/>
                <w:szCs w:val="20"/>
              </w:rPr>
            </w:pPr>
            <w:r w:rsidRPr="00CE5FED">
              <w:rPr>
                <w:sz w:val="20"/>
                <w:szCs w:val="20"/>
              </w:rPr>
              <w:t>1</w:t>
            </w:r>
          </w:p>
        </w:tc>
        <w:tc>
          <w:tcPr>
            <w:tcW w:w="446" w:type="pct"/>
            <w:tcBorders>
              <w:top w:val="single" w:sz="6" w:space="0" w:color="000000"/>
              <w:left w:val="single" w:sz="6" w:space="0" w:color="000000"/>
              <w:bottom w:val="single" w:sz="4" w:space="0" w:color="000000"/>
              <w:right w:val="single" w:sz="6" w:space="0" w:color="000000"/>
            </w:tcBorders>
          </w:tcPr>
          <w:p w14:paraId="7B9BD912" w14:textId="251BFEF3" w:rsidR="004F0676" w:rsidRPr="00CE5FED" w:rsidRDefault="004F0676" w:rsidP="004F0676">
            <w:pPr>
              <w:jc w:val="center"/>
              <w:rPr>
                <w:sz w:val="20"/>
                <w:szCs w:val="20"/>
              </w:rPr>
            </w:pPr>
            <w:r w:rsidRPr="00CE5FED">
              <w:rPr>
                <w:sz w:val="20"/>
                <w:szCs w:val="20"/>
              </w:rPr>
              <w:t>2</w:t>
            </w:r>
          </w:p>
        </w:tc>
        <w:tc>
          <w:tcPr>
            <w:tcW w:w="956" w:type="pct"/>
            <w:tcBorders>
              <w:top w:val="single" w:sz="6" w:space="0" w:color="000000"/>
              <w:left w:val="single" w:sz="6" w:space="0" w:color="000000"/>
              <w:bottom w:val="single" w:sz="6" w:space="0" w:color="000000"/>
              <w:right w:val="single" w:sz="6" w:space="0" w:color="000000"/>
            </w:tcBorders>
          </w:tcPr>
          <w:p w14:paraId="24E38A24" w14:textId="3E10859F" w:rsidR="004F0676" w:rsidRPr="00CE5FED" w:rsidRDefault="004F0676" w:rsidP="004F0676">
            <w:pPr>
              <w:jc w:val="center"/>
              <w:rPr>
                <w:sz w:val="20"/>
                <w:szCs w:val="20"/>
              </w:rPr>
            </w:pPr>
            <w:r w:rsidRPr="00CE5FED">
              <w:rPr>
                <w:sz w:val="20"/>
                <w:szCs w:val="20"/>
              </w:rPr>
              <w:t>3</w:t>
            </w:r>
          </w:p>
        </w:tc>
        <w:tc>
          <w:tcPr>
            <w:tcW w:w="624" w:type="pct"/>
            <w:tcBorders>
              <w:top w:val="single" w:sz="6" w:space="0" w:color="000000"/>
              <w:left w:val="single" w:sz="6" w:space="0" w:color="000000"/>
              <w:bottom w:val="single" w:sz="6" w:space="0" w:color="000000"/>
              <w:right w:val="single" w:sz="6" w:space="0" w:color="000000"/>
            </w:tcBorders>
          </w:tcPr>
          <w:p w14:paraId="48375D2C" w14:textId="1AE2FA55" w:rsidR="004F0676" w:rsidRPr="00CE5FED" w:rsidRDefault="004F0676" w:rsidP="004F0676">
            <w:pPr>
              <w:jc w:val="center"/>
              <w:rPr>
                <w:sz w:val="20"/>
                <w:szCs w:val="20"/>
              </w:rPr>
            </w:pPr>
            <w:r w:rsidRPr="00CE5FED">
              <w:rPr>
                <w:sz w:val="20"/>
                <w:szCs w:val="20"/>
              </w:rPr>
              <w:t>4</w:t>
            </w:r>
          </w:p>
        </w:tc>
        <w:tc>
          <w:tcPr>
            <w:tcW w:w="1059" w:type="pct"/>
            <w:tcBorders>
              <w:top w:val="single" w:sz="4" w:space="0" w:color="auto"/>
              <w:left w:val="single" w:sz="4" w:space="0" w:color="auto"/>
              <w:bottom w:val="single" w:sz="4" w:space="0" w:color="000000"/>
            </w:tcBorders>
          </w:tcPr>
          <w:p w14:paraId="0EFE2F83" w14:textId="10AA52FE" w:rsidR="004F0676" w:rsidRPr="00CE5FED" w:rsidRDefault="004F0676" w:rsidP="004F0676">
            <w:pPr>
              <w:jc w:val="center"/>
              <w:rPr>
                <w:sz w:val="20"/>
                <w:szCs w:val="20"/>
              </w:rPr>
            </w:pPr>
            <w:r w:rsidRPr="00CE5FED">
              <w:rPr>
                <w:sz w:val="20"/>
                <w:szCs w:val="20"/>
              </w:rPr>
              <w:t>5</w:t>
            </w:r>
          </w:p>
        </w:tc>
        <w:tc>
          <w:tcPr>
            <w:tcW w:w="557" w:type="pct"/>
            <w:shd w:val="clear" w:color="auto" w:fill="FFFFFF" w:themeFill="background1"/>
          </w:tcPr>
          <w:p w14:paraId="487175DA" w14:textId="713E9204" w:rsidR="004F0676" w:rsidRPr="00CE5FED" w:rsidRDefault="004F0676" w:rsidP="004F0676">
            <w:pPr>
              <w:jc w:val="center"/>
              <w:rPr>
                <w:sz w:val="20"/>
                <w:szCs w:val="20"/>
              </w:rPr>
            </w:pPr>
            <w:r w:rsidRPr="00CE5FED">
              <w:rPr>
                <w:sz w:val="20"/>
                <w:szCs w:val="20"/>
              </w:rPr>
              <w:t>6</w:t>
            </w:r>
          </w:p>
        </w:tc>
        <w:tc>
          <w:tcPr>
            <w:tcW w:w="613" w:type="pct"/>
            <w:shd w:val="clear" w:color="auto" w:fill="FFFFFF" w:themeFill="background1"/>
          </w:tcPr>
          <w:p w14:paraId="43C30E0D" w14:textId="0874A90E" w:rsidR="004F0676" w:rsidRPr="00CE5FED" w:rsidRDefault="004F0676" w:rsidP="004F0676">
            <w:pPr>
              <w:jc w:val="center"/>
              <w:rPr>
                <w:sz w:val="20"/>
                <w:szCs w:val="20"/>
              </w:rPr>
            </w:pPr>
            <w:r w:rsidRPr="00CE5FED">
              <w:rPr>
                <w:sz w:val="20"/>
                <w:szCs w:val="20"/>
              </w:rPr>
              <w:t>7</w:t>
            </w:r>
          </w:p>
        </w:tc>
        <w:tc>
          <w:tcPr>
            <w:tcW w:w="598" w:type="pct"/>
            <w:shd w:val="clear" w:color="auto" w:fill="FFFFFF" w:themeFill="background1"/>
          </w:tcPr>
          <w:p w14:paraId="2CFEEB1B" w14:textId="7E862C77" w:rsidR="004F0676" w:rsidRPr="00CE5FED" w:rsidRDefault="004F0676" w:rsidP="004F0676">
            <w:pPr>
              <w:jc w:val="center"/>
              <w:rPr>
                <w:sz w:val="20"/>
                <w:szCs w:val="20"/>
              </w:rPr>
            </w:pPr>
            <w:r w:rsidRPr="00CE5FED">
              <w:rPr>
                <w:sz w:val="20"/>
                <w:szCs w:val="20"/>
              </w:rPr>
              <w:t>8</w:t>
            </w:r>
          </w:p>
        </w:tc>
      </w:tr>
      <w:tr w:rsidR="00683FD6" w:rsidRPr="00CE5FED" w14:paraId="421E803E" w14:textId="77777777" w:rsidTr="00CE5FED">
        <w:trPr>
          <w:trHeight w:val="85"/>
        </w:trPr>
        <w:tc>
          <w:tcPr>
            <w:tcW w:w="147" w:type="pct"/>
            <w:shd w:val="clear" w:color="auto" w:fill="FFFFFF" w:themeFill="background1"/>
          </w:tcPr>
          <w:p w14:paraId="238C81F2"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6061EDA4" w14:textId="77777777" w:rsidR="004F0676" w:rsidRPr="00547678" w:rsidRDefault="004F0676" w:rsidP="004F0676">
            <w:pPr>
              <w:suppressAutoHyphens/>
              <w:jc w:val="both"/>
              <w:rPr>
                <w:bCs/>
                <w:sz w:val="20"/>
                <w:szCs w:val="20"/>
              </w:rPr>
            </w:pPr>
            <w:r w:rsidRPr="00547678">
              <w:rPr>
                <w:bCs/>
                <w:sz w:val="20"/>
                <w:szCs w:val="20"/>
              </w:rPr>
              <w:t>Vispārīgs komentārs.</w:t>
            </w:r>
          </w:p>
        </w:tc>
        <w:tc>
          <w:tcPr>
            <w:tcW w:w="956" w:type="pct"/>
            <w:shd w:val="clear" w:color="auto" w:fill="FFFFFF" w:themeFill="background1"/>
          </w:tcPr>
          <w:p w14:paraId="27E6866B" w14:textId="77777777" w:rsidR="004F0676" w:rsidRPr="00547678" w:rsidRDefault="004F0676" w:rsidP="004F0676">
            <w:pPr>
              <w:jc w:val="both"/>
              <w:rPr>
                <w:sz w:val="20"/>
                <w:szCs w:val="20"/>
              </w:rPr>
            </w:pPr>
            <w:r w:rsidRPr="00547678">
              <w:rPr>
                <w:b/>
                <w:sz w:val="20"/>
                <w:szCs w:val="20"/>
              </w:rPr>
              <w:t xml:space="preserve">Ekonomikas ministrija (turpmāk – EM) </w:t>
            </w:r>
          </w:p>
          <w:p w14:paraId="51BF888B" w14:textId="77777777" w:rsidR="004F0676" w:rsidRPr="00547678" w:rsidRDefault="004F0676" w:rsidP="004F0676">
            <w:pPr>
              <w:jc w:val="both"/>
              <w:rPr>
                <w:sz w:val="20"/>
                <w:szCs w:val="20"/>
              </w:rPr>
            </w:pPr>
            <w:r w:rsidRPr="00547678">
              <w:rPr>
                <w:sz w:val="20"/>
                <w:szCs w:val="20"/>
              </w:rPr>
              <w:t xml:space="preserve">1. Noteikumu projekta pielikumos ir ietvertas tiešās atsauces uz obligāti piemērojamiem standartiem, līdz ar to uz noteikumu projektu ir attiecināms Ministru kabineta  2016.gada 21.septembra rīkojuma Nr.534 “Par konceptuālo ziņojumu “Par Latvijas nacionālās standartizācijas sistēmas pilnveidošanu”” 3.punkts, kas paredz pienākumu visām ministrijām, izstrādājot normatīvos aktus vai izdarot grozījumus spēkā esošajos normatīvajos aktos, kuros izmantotas tiešās atsauces uz standartiem (obligāti piemērojamie standarti), izvērtēt iespējas aizstāt tās ar </w:t>
            </w:r>
            <w:r w:rsidRPr="00547678">
              <w:rPr>
                <w:sz w:val="20"/>
                <w:szCs w:val="20"/>
              </w:rPr>
              <w:lastRenderedPageBreak/>
              <w:t>netiešajām atsaucēm (piemērojamie standarti). Vienlaikus lūdzam noteikumu projekta anotāciju papildināt ar informāciju (pamatojumu), kādēļ noteikumu projektā nepieciešams norādīt obligāti piemērojamus standartus, kā arī minēt obligāti piemērojamo standartu tulkošanas finansējuma avotu un termiņu, kādā paredzēts nodrošināt standarta tulkojumu latviešu valodā, ja tiesību akta projektā norādīts standarts, kas nav iztulkots latviešu valodā. Vēršam uzmanību, ka atbilstoši Standartizācijas likuma 14.panta otrai daļai, obligāti piemērojamiem standartiem ir jābūt tulkotiem valsts valodā. Līdz ar to, lai noteikumu projektā varētu noteikt obligāti piemērojamu standartu, ir nepieciešams nodrošināt šo standartu tulkošanu valsts valodā.</w:t>
            </w:r>
          </w:p>
        </w:tc>
        <w:tc>
          <w:tcPr>
            <w:tcW w:w="624" w:type="pct"/>
            <w:shd w:val="clear" w:color="auto" w:fill="FFFFFF" w:themeFill="background1"/>
          </w:tcPr>
          <w:p w14:paraId="3BE615E3" w14:textId="77777777" w:rsidR="004F0676" w:rsidRPr="00547678" w:rsidRDefault="004F0676" w:rsidP="004F0676">
            <w:pPr>
              <w:suppressAutoHyphens/>
              <w:spacing w:after="120"/>
              <w:jc w:val="both"/>
              <w:rPr>
                <w:b/>
                <w:sz w:val="20"/>
                <w:szCs w:val="20"/>
              </w:rPr>
            </w:pPr>
            <w:r w:rsidRPr="00547678">
              <w:rPr>
                <w:b/>
                <w:sz w:val="20"/>
                <w:szCs w:val="20"/>
              </w:rPr>
              <w:lastRenderedPageBreak/>
              <w:t xml:space="preserve">Ņemts vērā. </w:t>
            </w:r>
          </w:p>
          <w:p w14:paraId="04E273B2" w14:textId="77777777" w:rsidR="004F0676" w:rsidRPr="00547678" w:rsidRDefault="004F0676" w:rsidP="004F0676">
            <w:pPr>
              <w:suppressAutoHyphens/>
              <w:spacing w:after="120"/>
              <w:ind w:left="30"/>
              <w:jc w:val="both"/>
              <w:rPr>
                <w:sz w:val="20"/>
                <w:szCs w:val="20"/>
              </w:rPr>
            </w:pPr>
            <w:r w:rsidRPr="00547678">
              <w:rPr>
                <w:sz w:val="20"/>
                <w:szCs w:val="20"/>
              </w:rPr>
              <w:t xml:space="preserve">MK not. nr. 353 grozījumu 1., 2. pielikumos tiek lietoti termini “piemērojamie standarti”. 1., 2. pielikumā sākumā tiek norādīts: “Vides aizsardzības un reģionālās attīstības ministrija iesniedz nacionālajai standartizācijas institūcijai publicēšanai tās tīmekļvietnē to piemērojamo standartu sarakstu, kurus var piemērot </w:t>
            </w:r>
            <w:r w:rsidRPr="00547678">
              <w:rPr>
                <w:sz w:val="20"/>
                <w:szCs w:val="20"/>
              </w:rPr>
              <w:lastRenderedPageBreak/>
              <w:t>šo noteikumu prasību izpildei  (turpmāk – piemērojamie standarti).”</w:t>
            </w:r>
          </w:p>
          <w:p w14:paraId="7E7D190D" w14:textId="77777777" w:rsidR="004F0676" w:rsidRPr="00547678" w:rsidRDefault="004F0676" w:rsidP="004F0676">
            <w:pPr>
              <w:suppressAutoHyphens/>
              <w:spacing w:after="120"/>
              <w:ind w:left="30"/>
              <w:jc w:val="both"/>
              <w:rPr>
                <w:sz w:val="20"/>
                <w:szCs w:val="20"/>
              </w:rPr>
            </w:pPr>
            <w:r w:rsidRPr="00547678">
              <w:rPr>
                <w:sz w:val="20"/>
                <w:szCs w:val="20"/>
              </w:rPr>
              <w:t xml:space="preserve">Standartu tulkojums tiks veikts no budžeta programmas Nozaru vadība līdzekļiem līdz š.g. beigām. </w:t>
            </w:r>
          </w:p>
        </w:tc>
        <w:tc>
          <w:tcPr>
            <w:tcW w:w="1059" w:type="pct"/>
            <w:shd w:val="clear" w:color="auto" w:fill="FFFFFF" w:themeFill="background1"/>
          </w:tcPr>
          <w:p w14:paraId="2036FA11" w14:textId="77777777" w:rsidR="004F0676" w:rsidRPr="00547678" w:rsidRDefault="004F0676" w:rsidP="004F0676">
            <w:pPr>
              <w:jc w:val="both"/>
              <w:rPr>
                <w:sz w:val="20"/>
                <w:szCs w:val="20"/>
              </w:rPr>
            </w:pPr>
            <w:r w:rsidRPr="00547678">
              <w:rPr>
                <w:sz w:val="20"/>
                <w:szCs w:val="20"/>
              </w:rPr>
              <w:lastRenderedPageBreak/>
              <w:t>MK not. nr. 353 grozījumu 1., 2. pielikuma sākumā tiek norādīts: “Vides aizsardzības un reģionālās attīstības ministrija iesniedz nacionālajai standartizācijas institūcijai publicēšanai tās tīmekļvietnē to piemērojamo standartu sarakstu, kurus var piemērot šo noteikumu prasību izpildei  (turpmāk – piemērojamie standarti).”</w:t>
            </w:r>
          </w:p>
          <w:p w14:paraId="782418D7" w14:textId="77777777" w:rsidR="004F0676" w:rsidRPr="00547678" w:rsidRDefault="004F0676" w:rsidP="004F0676">
            <w:pPr>
              <w:jc w:val="both"/>
              <w:rPr>
                <w:sz w:val="20"/>
                <w:szCs w:val="20"/>
              </w:rPr>
            </w:pPr>
            <w:r w:rsidRPr="00547678">
              <w:rPr>
                <w:sz w:val="20"/>
                <w:szCs w:val="20"/>
              </w:rPr>
              <w:t xml:space="preserve">Noteikumu projektā tiek lietots jēdziens “piemērojamie standarti”. </w:t>
            </w:r>
          </w:p>
        </w:tc>
        <w:tc>
          <w:tcPr>
            <w:tcW w:w="557" w:type="pct"/>
            <w:shd w:val="clear" w:color="auto" w:fill="FFFFFF" w:themeFill="background1"/>
          </w:tcPr>
          <w:p w14:paraId="1BD9F8ED" w14:textId="77777777" w:rsidR="004F0676" w:rsidRPr="00547678" w:rsidRDefault="004F0676" w:rsidP="004F0676">
            <w:pPr>
              <w:jc w:val="both"/>
              <w:rPr>
                <w:b/>
                <w:sz w:val="20"/>
                <w:szCs w:val="20"/>
              </w:rPr>
            </w:pPr>
            <w:r w:rsidRPr="00547678">
              <w:rPr>
                <w:b/>
                <w:sz w:val="20"/>
                <w:szCs w:val="20"/>
              </w:rPr>
              <w:t>Saskaņots.</w:t>
            </w:r>
          </w:p>
        </w:tc>
        <w:tc>
          <w:tcPr>
            <w:tcW w:w="613" w:type="pct"/>
            <w:shd w:val="clear" w:color="auto" w:fill="FFFFFF" w:themeFill="background1"/>
          </w:tcPr>
          <w:p w14:paraId="142F69A7" w14:textId="77777777" w:rsidR="004F0676" w:rsidRPr="00547678" w:rsidRDefault="004F0676" w:rsidP="004F0676">
            <w:pPr>
              <w:jc w:val="both"/>
              <w:rPr>
                <w:sz w:val="20"/>
                <w:szCs w:val="20"/>
              </w:rPr>
            </w:pPr>
          </w:p>
        </w:tc>
        <w:tc>
          <w:tcPr>
            <w:tcW w:w="598" w:type="pct"/>
            <w:shd w:val="clear" w:color="auto" w:fill="FFFFFF" w:themeFill="background1"/>
          </w:tcPr>
          <w:p w14:paraId="79F4DF11" w14:textId="77777777" w:rsidR="004F0676" w:rsidRPr="00547678" w:rsidRDefault="004F0676" w:rsidP="004F0676">
            <w:pPr>
              <w:jc w:val="both"/>
              <w:rPr>
                <w:sz w:val="20"/>
                <w:szCs w:val="20"/>
              </w:rPr>
            </w:pPr>
          </w:p>
        </w:tc>
      </w:tr>
      <w:tr w:rsidR="00683FD6" w:rsidRPr="00CE5FED" w14:paraId="443C3148" w14:textId="77777777" w:rsidTr="00CE5FED">
        <w:trPr>
          <w:trHeight w:val="85"/>
        </w:trPr>
        <w:tc>
          <w:tcPr>
            <w:tcW w:w="147" w:type="pct"/>
            <w:shd w:val="clear" w:color="auto" w:fill="FFFFFF" w:themeFill="background1"/>
          </w:tcPr>
          <w:p w14:paraId="272AA81C"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2A800EFE" w14:textId="77777777" w:rsidR="004F0676" w:rsidRPr="00547678" w:rsidRDefault="004F0676" w:rsidP="004F0676">
            <w:pPr>
              <w:suppressAutoHyphens/>
              <w:jc w:val="both"/>
              <w:rPr>
                <w:bCs/>
                <w:sz w:val="20"/>
                <w:szCs w:val="20"/>
              </w:rPr>
            </w:pPr>
            <w:r w:rsidRPr="00547678">
              <w:rPr>
                <w:bCs/>
                <w:sz w:val="20"/>
                <w:szCs w:val="20"/>
              </w:rPr>
              <w:t>Vispārīgs komentārs.</w:t>
            </w:r>
          </w:p>
        </w:tc>
        <w:tc>
          <w:tcPr>
            <w:tcW w:w="956" w:type="pct"/>
            <w:shd w:val="clear" w:color="auto" w:fill="FFFFFF" w:themeFill="background1"/>
          </w:tcPr>
          <w:p w14:paraId="0DCBF16E" w14:textId="77777777" w:rsidR="004F0676" w:rsidRPr="00547678" w:rsidRDefault="004F0676" w:rsidP="004F0676">
            <w:pPr>
              <w:jc w:val="both"/>
              <w:rPr>
                <w:sz w:val="20"/>
                <w:szCs w:val="20"/>
              </w:rPr>
            </w:pPr>
            <w:r w:rsidRPr="00547678">
              <w:rPr>
                <w:b/>
                <w:sz w:val="20"/>
                <w:szCs w:val="20"/>
              </w:rPr>
              <w:t>EM</w:t>
            </w:r>
            <w:r w:rsidRPr="00547678">
              <w:rPr>
                <w:sz w:val="20"/>
                <w:szCs w:val="20"/>
              </w:rPr>
              <w:t xml:space="preserve"> </w:t>
            </w:r>
          </w:p>
          <w:p w14:paraId="63F9C38E" w14:textId="77777777" w:rsidR="004F0676" w:rsidRPr="00547678" w:rsidRDefault="004F0676" w:rsidP="004F0676">
            <w:pPr>
              <w:jc w:val="both"/>
              <w:rPr>
                <w:sz w:val="20"/>
                <w:szCs w:val="20"/>
              </w:rPr>
            </w:pPr>
            <w:r w:rsidRPr="00547678">
              <w:rPr>
                <w:sz w:val="20"/>
                <w:szCs w:val="20"/>
              </w:rPr>
              <w:t>Norādām, ka gadījumos, kad projektā tiek lietota tiešā atsauce uz standartu, tā iekļaujama normatīvajos aktos, ievērojot Ministru kabineta 2009.gada 3. februāra noteikumu Nr.108 “Normatīvo aktu projektu sagatavošanas noteikumi” piektajā nodaļā norādītās prasības.</w:t>
            </w:r>
          </w:p>
          <w:p w14:paraId="7FCFFA12" w14:textId="77777777" w:rsidR="004F0676" w:rsidRPr="00547678" w:rsidRDefault="004F0676" w:rsidP="004F0676">
            <w:pPr>
              <w:jc w:val="both"/>
              <w:rPr>
                <w:sz w:val="20"/>
                <w:szCs w:val="20"/>
              </w:rPr>
            </w:pPr>
            <w:r w:rsidRPr="00547678">
              <w:rPr>
                <w:sz w:val="20"/>
                <w:szCs w:val="20"/>
              </w:rPr>
              <w:t xml:space="preserve">Papildus norādām, ka saskaņā ar Standartizācijas likuma 12.panta otrās daļas 2.punktu, starptautisko un reģionālo standartizācijas organizāciju </w:t>
            </w:r>
            <w:r w:rsidRPr="00547678">
              <w:rPr>
                <w:sz w:val="20"/>
                <w:szCs w:val="20"/>
              </w:rPr>
              <w:lastRenderedPageBreak/>
              <w:t>izstrādātajiem standartiem (piemēram, ISO/IEC 30134:2016), lai izdarītu uz tiem atsauces normatīvajos aktos, ir jābūt reģistrētiem un adaptētiem Latvijas nacionālā standarta statusā, ko veic Nacionālā standartizācijas institūcija.</w:t>
            </w:r>
          </w:p>
        </w:tc>
        <w:tc>
          <w:tcPr>
            <w:tcW w:w="624" w:type="pct"/>
            <w:shd w:val="clear" w:color="auto" w:fill="FFFFFF" w:themeFill="background1"/>
          </w:tcPr>
          <w:p w14:paraId="68B97C6C" w14:textId="77777777" w:rsidR="004F0676" w:rsidRPr="00547678" w:rsidRDefault="004F0676" w:rsidP="004F0676">
            <w:pPr>
              <w:suppressAutoHyphens/>
              <w:jc w:val="both"/>
              <w:rPr>
                <w:b/>
                <w:sz w:val="20"/>
                <w:szCs w:val="20"/>
              </w:rPr>
            </w:pPr>
            <w:r w:rsidRPr="00547678">
              <w:rPr>
                <w:b/>
                <w:sz w:val="20"/>
                <w:szCs w:val="20"/>
              </w:rPr>
              <w:lastRenderedPageBreak/>
              <w:t xml:space="preserve">Ņemts vērā. </w:t>
            </w:r>
          </w:p>
          <w:p w14:paraId="2EE72D0D" w14:textId="77777777" w:rsidR="004F0676" w:rsidRPr="00547678" w:rsidRDefault="004F0676" w:rsidP="004F0676">
            <w:pPr>
              <w:suppressAutoHyphens/>
              <w:jc w:val="both"/>
              <w:rPr>
                <w:sz w:val="20"/>
                <w:szCs w:val="20"/>
              </w:rPr>
            </w:pPr>
            <w:r w:rsidRPr="00547678">
              <w:rPr>
                <w:sz w:val="20"/>
                <w:szCs w:val="20"/>
              </w:rPr>
              <w:t xml:space="preserve">MK not. nr. 353 grozījumu 1., 2. pielikumos tiek lietoti termini “piemērojamie standarti”. </w:t>
            </w:r>
          </w:p>
          <w:p w14:paraId="75B82230" w14:textId="77777777" w:rsidR="004F0676" w:rsidRPr="00547678" w:rsidRDefault="004F0676" w:rsidP="004F0676">
            <w:pPr>
              <w:suppressAutoHyphens/>
              <w:jc w:val="both"/>
              <w:rPr>
                <w:sz w:val="20"/>
                <w:szCs w:val="20"/>
              </w:rPr>
            </w:pPr>
            <w:r w:rsidRPr="00547678">
              <w:rPr>
                <w:sz w:val="20"/>
                <w:szCs w:val="20"/>
              </w:rPr>
              <w:t>16.07.2020. nacionālā standarta statusā ir reģistrēti šādi ISO standarti:</w:t>
            </w:r>
          </w:p>
          <w:p w14:paraId="34047CCE" w14:textId="77777777" w:rsidR="004F0676" w:rsidRPr="00547678" w:rsidRDefault="004F0676" w:rsidP="004F0676">
            <w:pPr>
              <w:suppressAutoHyphens/>
              <w:jc w:val="both"/>
              <w:rPr>
                <w:sz w:val="20"/>
                <w:szCs w:val="20"/>
              </w:rPr>
            </w:pPr>
            <w:r w:rsidRPr="00547678">
              <w:rPr>
                <w:sz w:val="20"/>
                <w:szCs w:val="20"/>
              </w:rPr>
              <w:t>1.</w:t>
            </w:r>
            <w:r w:rsidRPr="00547678">
              <w:rPr>
                <w:sz w:val="20"/>
                <w:szCs w:val="20"/>
              </w:rPr>
              <w:tab/>
              <w:t xml:space="preserve">LVS ISO 9296:2020 “Akustika. Deklarētās informācijas </w:t>
            </w:r>
            <w:r w:rsidRPr="00547678">
              <w:rPr>
                <w:sz w:val="20"/>
                <w:szCs w:val="20"/>
              </w:rPr>
              <w:lastRenderedPageBreak/>
              <w:t>tehnoloģiju un telesakaru iekārtu emitēto trokšņu vērtības”;</w:t>
            </w:r>
          </w:p>
          <w:p w14:paraId="2B34BDEF" w14:textId="77777777" w:rsidR="004F0676" w:rsidRPr="00547678" w:rsidRDefault="004F0676" w:rsidP="004F0676">
            <w:pPr>
              <w:suppressAutoHyphens/>
              <w:jc w:val="both"/>
              <w:rPr>
                <w:sz w:val="20"/>
                <w:szCs w:val="20"/>
              </w:rPr>
            </w:pPr>
            <w:r w:rsidRPr="00547678">
              <w:rPr>
                <w:sz w:val="20"/>
                <w:szCs w:val="20"/>
              </w:rPr>
              <w:t>2.</w:t>
            </w:r>
            <w:r w:rsidRPr="00547678">
              <w:rPr>
                <w:sz w:val="20"/>
                <w:szCs w:val="20"/>
              </w:rPr>
              <w:tab/>
              <w:t>LVS ISO/IEC 30134-2:2020 “Informācijas tehnoloģija. Datu centri. Galvenie darbības rādītāji. 2.daļa: Enerģijas izmantošanas efektivitātes koeficients (PUE)”, un tā grozījums LVS ISO/IEC 30134-2:2020/A1:2020</w:t>
            </w:r>
          </w:p>
          <w:p w14:paraId="21673E29" w14:textId="77777777" w:rsidR="004F0676" w:rsidRPr="00547678" w:rsidRDefault="004F0676" w:rsidP="004F0676">
            <w:pPr>
              <w:suppressAutoHyphens/>
              <w:jc w:val="both"/>
              <w:rPr>
                <w:sz w:val="20"/>
                <w:szCs w:val="20"/>
              </w:rPr>
            </w:pPr>
            <w:r w:rsidRPr="00547678">
              <w:rPr>
                <w:sz w:val="20"/>
                <w:szCs w:val="20"/>
              </w:rPr>
              <w:t>Standartu tulkojums tiks veikts no budžeta programmas Nozaru vadība līdzekļiem līdz š.g. beigām.</w:t>
            </w:r>
          </w:p>
          <w:p w14:paraId="10C8778D"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759F08BA" w14:textId="77777777" w:rsidR="004F0676" w:rsidRPr="00547678" w:rsidRDefault="004F0676" w:rsidP="004F0676">
            <w:pPr>
              <w:jc w:val="both"/>
              <w:rPr>
                <w:sz w:val="20"/>
                <w:szCs w:val="20"/>
              </w:rPr>
            </w:pPr>
            <w:r w:rsidRPr="00547678">
              <w:rPr>
                <w:sz w:val="20"/>
                <w:szCs w:val="20"/>
              </w:rPr>
              <w:lastRenderedPageBreak/>
              <w:t>MK not. nr. 353 grozījumu 1., 2. pielikumos tiek lietoti termini “piemērojamie standarti”.</w:t>
            </w:r>
          </w:p>
        </w:tc>
        <w:tc>
          <w:tcPr>
            <w:tcW w:w="557" w:type="pct"/>
            <w:shd w:val="clear" w:color="auto" w:fill="FFFFFF" w:themeFill="background1"/>
          </w:tcPr>
          <w:p w14:paraId="711EC3B9" w14:textId="77777777" w:rsidR="004F0676" w:rsidRPr="00547678" w:rsidRDefault="004F0676" w:rsidP="004F0676">
            <w:pPr>
              <w:jc w:val="both"/>
              <w:rPr>
                <w:b/>
                <w:sz w:val="20"/>
                <w:szCs w:val="20"/>
              </w:rPr>
            </w:pPr>
            <w:r w:rsidRPr="00547678">
              <w:rPr>
                <w:b/>
                <w:sz w:val="20"/>
                <w:szCs w:val="20"/>
              </w:rPr>
              <w:t>Saskaņots.</w:t>
            </w:r>
          </w:p>
        </w:tc>
        <w:tc>
          <w:tcPr>
            <w:tcW w:w="613" w:type="pct"/>
            <w:shd w:val="clear" w:color="auto" w:fill="FFFFFF" w:themeFill="background1"/>
          </w:tcPr>
          <w:p w14:paraId="44478FA9" w14:textId="77777777" w:rsidR="004F0676" w:rsidRPr="00547678" w:rsidRDefault="004F0676" w:rsidP="004F0676">
            <w:pPr>
              <w:jc w:val="both"/>
              <w:rPr>
                <w:sz w:val="20"/>
                <w:szCs w:val="20"/>
              </w:rPr>
            </w:pPr>
          </w:p>
        </w:tc>
        <w:tc>
          <w:tcPr>
            <w:tcW w:w="598" w:type="pct"/>
            <w:shd w:val="clear" w:color="auto" w:fill="FFFFFF" w:themeFill="background1"/>
          </w:tcPr>
          <w:p w14:paraId="085F1F30" w14:textId="77777777" w:rsidR="004F0676" w:rsidRPr="00547678" w:rsidRDefault="004F0676" w:rsidP="004F0676">
            <w:pPr>
              <w:jc w:val="both"/>
              <w:rPr>
                <w:sz w:val="20"/>
                <w:szCs w:val="20"/>
              </w:rPr>
            </w:pPr>
          </w:p>
        </w:tc>
      </w:tr>
      <w:tr w:rsidR="00683FD6" w:rsidRPr="00CE5FED" w14:paraId="361EEA20" w14:textId="77777777" w:rsidTr="00CE5FED">
        <w:trPr>
          <w:trHeight w:val="85"/>
        </w:trPr>
        <w:tc>
          <w:tcPr>
            <w:tcW w:w="147" w:type="pct"/>
            <w:shd w:val="clear" w:color="auto" w:fill="FFFFFF" w:themeFill="background1"/>
          </w:tcPr>
          <w:p w14:paraId="543B5D83"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047F59F0" w14:textId="77777777" w:rsidR="004F0676" w:rsidRPr="00547678" w:rsidRDefault="004F0676" w:rsidP="004F0676">
            <w:pPr>
              <w:suppressAutoHyphens/>
              <w:jc w:val="both"/>
              <w:rPr>
                <w:bCs/>
                <w:sz w:val="20"/>
                <w:szCs w:val="20"/>
              </w:rPr>
            </w:pPr>
            <w:r w:rsidRPr="00547678">
              <w:rPr>
                <w:bCs/>
                <w:sz w:val="20"/>
                <w:szCs w:val="20"/>
              </w:rPr>
              <w:t xml:space="preserve">Noteikumu 1. pielikuma 4.1., 4.2. sadaļa “Tehniskās specifikācijas” kritērijs “Pārtikas produktu kvalitāte” “vismaz 35 procenti no visas piena un kefīra masas vai vērtības (no </w:t>
            </w:r>
            <w:r w:rsidRPr="00547678">
              <w:rPr>
                <w:bCs/>
                <w:sz w:val="20"/>
                <w:szCs w:val="20"/>
              </w:rPr>
              <w:lastRenderedPageBreak/>
              <w:t xml:space="preserve">2022.gada 1. janvāra vismaz 50 procenti) un vismaz 20 procenti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 </w:t>
            </w:r>
          </w:p>
        </w:tc>
        <w:tc>
          <w:tcPr>
            <w:tcW w:w="956" w:type="pct"/>
            <w:shd w:val="clear" w:color="auto" w:fill="FFFFFF" w:themeFill="background1"/>
          </w:tcPr>
          <w:p w14:paraId="24A9FC85" w14:textId="77777777" w:rsidR="004F0676" w:rsidRPr="00547678" w:rsidRDefault="004F0676" w:rsidP="004F0676">
            <w:pPr>
              <w:contextualSpacing/>
              <w:jc w:val="both"/>
              <w:rPr>
                <w:b/>
                <w:sz w:val="20"/>
                <w:szCs w:val="20"/>
              </w:rPr>
            </w:pPr>
            <w:r w:rsidRPr="00547678">
              <w:rPr>
                <w:b/>
                <w:sz w:val="20"/>
                <w:szCs w:val="20"/>
              </w:rPr>
              <w:lastRenderedPageBreak/>
              <w:t>Zemkopības ministrija (turpmāk – ZM)</w:t>
            </w:r>
          </w:p>
          <w:p w14:paraId="284933DD" w14:textId="77777777" w:rsidR="004F0676" w:rsidRPr="00547678" w:rsidRDefault="004F0676" w:rsidP="004F0676">
            <w:pPr>
              <w:jc w:val="both"/>
              <w:rPr>
                <w:sz w:val="20"/>
                <w:szCs w:val="20"/>
              </w:rPr>
            </w:pPr>
            <w:r w:rsidRPr="00547678">
              <w:rPr>
                <w:sz w:val="20"/>
                <w:szCs w:val="20"/>
              </w:rPr>
              <w:t xml:space="preserve">Norādām, ka sadaļā “Tehniskās specifikācijas” paredzētā zaļā publiskā iepirkuma (turpmāk – ZPI) kritērija “Pārtikas produktu kvalitāte” prasība “35 procenti (no 2022.gada 1.janvāra vismaz 50 procenti) no visas piena un kefīra masas vai vērtības un vismaz 20 procentiem no graudaugu pārstrādes produktu (piemēram, auzu pārslas, kviešu milti, griķi) masas vai vērtības jābūt ražotiem </w:t>
            </w:r>
            <w:r w:rsidRPr="00547678">
              <w:rPr>
                <w:sz w:val="20"/>
                <w:szCs w:val="20"/>
              </w:rPr>
              <w:lastRenderedPageBreak/>
              <w:t xml:space="preserve">atbilstoši bioloģiskās lauksaimniecības metodēm” var būtiski palielināt slogu iesaistītajām pusēm, t.i., pārbaudēs pavadīto laiku un darba apjomu gan pasūtītājam, gan Pārtikas un veterinārajam dienestam kā uzraugošajai iestādei par piegādāto preču vai sniegto pakalpojumu atbilstību noslēgtā ZPI līguma nosacījumiem, veicot bioloģisko produktu masas vai vērtības uzskaiti un novērtēšanu attiecībā pret kopējo piegādāto produktu masu vai vērtību noteiktā laika periodā.  </w:t>
            </w:r>
          </w:p>
          <w:p w14:paraId="1B576BF2" w14:textId="77777777" w:rsidR="004F0676" w:rsidRPr="00547678" w:rsidRDefault="004F0676" w:rsidP="004F0676">
            <w:pPr>
              <w:contextualSpacing/>
              <w:jc w:val="both"/>
              <w:rPr>
                <w:sz w:val="20"/>
                <w:szCs w:val="20"/>
              </w:rPr>
            </w:pPr>
            <w:r w:rsidRPr="00547678">
              <w:rPr>
                <w:sz w:val="20"/>
                <w:szCs w:val="20"/>
              </w:rPr>
              <w:t>Ievērojot iepriekš minēto, lūdzam paredzēt, kā tieši jānodrošina bioloģiskās lauksaimniecības produktu “no visas piena un kefīra masas” noteiktais procentuālais daudzums - piemēram, vai konkrēts produkts (piens un/vai kefīrs) jānodrošina visā līguma laika periodā vai tikai noteiktā laika periodā (piemēram, diena, nedēļa vai mēnesis).</w:t>
            </w:r>
          </w:p>
        </w:tc>
        <w:tc>
          <w:tcPr>
            <w:tcW w:w="624" w:type="pct"/>
            <w:shd w:val="clear" w:color="auto" w:fill="FFFFFF" w:themeFill="background1"/>
          </w:tcPr>
          <w:p w14:paraId="03D4E169" w14:textId="77777777" w:rsidR="004F0676" w:rsidRPr="00547678" w:rsidRDefault="004F0676" w:rsidP="004F0676">
            <w:pPr>
              <w:suppressAutoHyphens/>
              <w:jc w:val="both"/>
              <w:rPr>
                <w:b/>
                <w:sz w:val="20"/>
                <w:szCs w:val="20"/>
              </w:rPr>
            </w:pPr>
            <w:r w:rsidRPr="00547678">
              <w:rPr>
                <w:b/>
                <w:sz w:val="20"/>
                <w:szCs w:val="20"/>
              </w:rPr>
              <w:lastRenderedPageBreak/>
              <w:t xml:space="preserve">Ņemts vērā. </w:t>
            </w:r>
          </w:p>
          <w:p w14:paraId="18D818FE" w14:textId="77777777" w:rsidR="004F0676" w:rsidRPr="00547678" w:rsidRDefault="004F0676" w:rsidP="004F0676">
            <w:pPr>
              <w:suppressAutoHyphens/>
              <w:jc w:val="both"/>
              <w:rPr>
                <w:sz w:val="20"/>
                <w:szCs w:val="20"/>
              </w:rPr>
            </w:pPr>
            <w:r w:rsidRPr="00547678">
              <w:rPr>
                <w:sz w:val="20"/>
                <w:szCs w:val="20"/>
              </w:rPr>
              <w:t xml:space="preserve">Veikti papildinājumi Noteikumu 1. pielikuma 4.1. Tehniskās specifikācijas 1. punkta sadaļā, kā arī 4.2. Tehniskās specifikācijas 1. punkta sadaļā. </w:t>
            </w:r>
          </w:p>
          <w:p w14:paraId="35438351"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7A11995B" w14:textId="77777777" w:rsidR="004F0676" w:rsidRPr="00547678" w:rsidRDefault="004F0676" w:rsidP="004F0676">
            <w:pPr>
              <w:jc w:val="both"/>
              <w:rPr>
                <w:sz w:val="20"/>
                <w:szCs w:val="20"/>
              </w:rPr>
            </w:pPr>
            <w:r w:rsidRPr="00547678">
              <w:rPr>
                <w:sz w:val="20"/>
                <w:szCs w:val="20"/>
              </w:rPr>
              <w:t>Noteikumu 1. pielikuma 4.1., 4.2. sadaļa “Tehniskās specifikācijas” kritērijs “Pārtikas produktu kvalitāte”:</w:t>
            </w:r>
          </w:p>
          <w:tbl>
            <w:tblPr>
              <w:tblStyle w:val="TableGrid1"/>
              <w:tblW w:w="3052" w:type="dxa"/>
              <w:tblLayout w:type="fixed"/>
              <w:tblLook w:val="04A0" w:firstRow="1" w:lastRow="0" w:firstColumn="1" w:lastColumn="0" w:noHBand="0" w:noVBand="1"/>
            </w:tblPr>
            <w:tblGrid>
              <w:gridCol w:w="1595"/>
              <w:gridCol w:w="1457"/>
            </w:tblGrid>
            <w:tr w:rsidR="004F0676" w:rsidRPr="00547678" w14:paraId="561A7C20" w14:textId="77777777" w:rsidTr="00683FD6">
              <w:tc>
                <w:tcPr>
                  <w:tcW w:w="1595" w:type="dxa"/>
                </w:tcPr>
                <w:p w14:paraId="10353D96"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 xml:space="preserve">1.1.1. a. Iegādājoties pienu un kefīru vismaz 35 procentiem no visas piena un kefīra masas vai vērtības (no 2022.gada 1. janvāra vismaz 50 procenti) </w:t>
                  </w:r>
                  <w:r w:rsidRPr="00547678">
                    <w:rPr>
                      <w:sz w:val="20"/>
                      <w:szCs w:val="20"/>
                      <w:lang w:eastAsia="ja-JP"/>
                    </w:rPr>
                    <w:lastRenderedPageBreak/>
                    <w:t>jābūt ražotiem atbilstoši bioloģiskās lauksaimniecības metodēm saskaņā ar Padomes 2007. gada 28. jūnija Regulu (EK) Nr.834/2007 par bioloģisko ražošanu un bioloģisko produktu marķēšanu un par Regulas (EEK) Nr.2092/91 atcelšanu;</w:t>
                  </w:r>
                </w:p>
                <w:p w14:paraId="65884AFA"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Iegādājoties graudaugu pārstrādes produktus  (piemēram, auzu pārslas, kviešu milti, griķi) vismaz 20 procentiem no graudaugu pārstrādes produktu masas vai vērtības jābūt ražotiem atbilstoši bioloģiskās lauksaimniecības metodēm saskaņā ar Padomes 2007. gada 28. jūnija Regulu (EK) Nr.834/2007 par bioloģisko ražošanu un bioloģisko produktu marķēšanu un par Regulas (EEK) Nr.2092/91 atcelšanu;</w:t>
                  </w:r>
                </w:p>
                <w:p w14:paraId="38B14E75"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un</w:t>
                  </w:r>
                </w:p>
              </w:tc>
              <w:tc>
                <w:tcPr>
                  <w:tcW w:w="1457" w:type="dxa"/>
                </w:tcPr>
                <w:p w14:paraId="051BBF17" w14:textId="77777777" w:rsidR="004F0676" w:rsidRPr="00547678" w:rsidRDefault="004F0676" w:rsidP="00683FD6">
                  <w:pPr>
                    <w:suppressAutoHyphens/>
                    <w:autoSpaceDN w:val="0"/>
                    <w:spacing w:before="120" w:after="120"/>
                    <w:ind w:right="158"/>
                    <w:jc w:val="both"/>
                    <w:textAlignment w:val="baseline"/>
                    <w:rPr>
                      <w:sz w:val="20"/>
                      <w:szCs w:val="20"/>
                      <w:lang w:eastAsia="ja-JP"/>
                    </w:rPr>
                  </w:pPr>
                  <w:r w:rsidRPr="00547678">
                    <w:rPr>
                      <w:sz w:val="20"/>
                      <w:szCs w:val="20"/>
                      <w:lang w:eastAsia="ja-JP"/>
                    </w:rPr>
                    <w:lastRenderedPageBreak/>
                    <w:t xml:space="preserve">1.1.1. b. Iegādājoties citas produktu grupas [X] procenti no visas produktu masas vai vērtības vai X procenti </w:t>
                  </w:r>
                  <w:r w:rsidRPr="00547678">
                    <w:rPr>
                      <w:sz w:val="20"/>
                      <w:szCs w:val="20"/>
                      <w:lang w:eastAsia="ja-JP"/>
                    </w:rPr>
                    <w:lastRenderedPageBreak/>
                    <w:t>(no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14:paraId="147E8E01"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vai</w:t>
                  </w:r>
                </w:p>
              </w:tc>
            </w:tr>
            <w:tr w:rsidR="004F0676" w:rsidRPr="00547678" w14:paraId="0B29C40E" w14:textId="77777777" w:rsidTr="00683FD6">
              <w:tc>
                <w:tcPr>
                  <w:tcW w:w="3052" w:type="dxa"/>
                  <w:gridSpan w:val="2"/>
                </w:tcPr>
                <w:p w14:paraId="5118C791"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lastRenderedPageBreak/>
                    <w:t>1.1.2. [X] procentiem no visas produktu masas vai vērtības vai X procenti  [vai noteikta produktu grupa, piemēram, augļi, dārzeņi, vai konkrētu produktu saraksts, piemēram, kartupeļi, burkāni, āboli] jābūt ražotiem saskaņā ar integrētās ražošanas kritērijiem;</w:t>
                  </w:r>
                </w:p>
                <w:p w14:paraId="3EACEDC0"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vai</w:t>
                  </w:r>
                </w:p>
              </w:tc>
            </w:tr>
            <w:tr w:rsidR="004F0676" w:rsidRPr="00547678" w14:paraId="7A9C3FB3" w14:textId="77777777" w:rsidTr="00683FD6">
              <w:tc>
                <w:tcPr>
                  <w:tcW w:w="3052" w:type="dxa"/>
                  <w:gridSpan w:val="2"/>
                </w:tcPr>
                <w:p w14:paraId="5C5316BD" w14:textId="77777777" w:rsidR="004F0676" w:rsidRPr="00547678" w:rsidRDefault="004F0676" w:rsidP="00A172D5">
                  <w:pPr>
                    <w:suppressAutoHyphens/>
                    <w:autoSpaceDN w:val="0"/>
                    <w:spacing w:before="120" w:after="120"/>
                    <w:ind w:right="75"/>
                    <w:jc w:val="both"/>
                    <w:textAlignment w:val="baseline"/>
                    <w:rPr>
                      <w:sz w:val="20"/>
                      <w:szCs w:val="20"/>
                      <w:lang w:eastAsia="ja-JP"/>
                    </w:rPr>
                  </w:pPr>
                  <w:r w:rsidRPr="00547678">
                    <w:rPr>
                      <w:sz w:val="20"/>
                      <w:szCs w:val="20"/>
                      <w:lang w:eastAsia="ja-JP"/>
                    </w:rPr>
                    <w:t>1.1.3. vismaz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r>
          </w:tbl>
          <w:p w14:paraId="5744BD92" w14:textId="77777777" w:rsidR="004F0676" w:rsidRPr="00547678" w:rsidRDefault="004F0676" w:rsidP="004F0676">
            <w:pPr>
              <w:jc w:val="both"/>
              <w:rPr>
                <w:sz w:val="20"/>
                <w:szCs w:val="20"/>
              </w:rPr>
            </w:pPr>
          </w:p>
          <w:p w14:paraId="03297A83" w14:textId="77777777" w:rsidR="004F0676" w:rsidRPr="00547678" w:rsidRDefault="004F0676" w:rsidP="004F0676">
            <w:pPr>
              <w:jc w:val="both"/>
              <w:rPr>
                <w:sz w:val="20"/>
                <w:szCs w:val="20"/>
              </w:rPr>
            </w:pPr>
            <w:r w:rsidRPr="00547678">
              <w:rPr>
                <w:sz w:val="20"/>
                <w:szCs w:val="20"/>
              </w:rPr>
              <w:t>Lai sasniegtu % īpatsvaru, pasūtītājs nosaka kalendāro un apjoma sadalījumu.</w:t>
            </w:r>
          </w:p>
        </w:tc>
        <w:tc>
          <w:tcPr>
            <w:tcW w:w="557" w:type="pct"/>
            <w:shd w:val="clear" w:color="auto" w:fill="FFFFFF" w:themeFill="background1"/>
          </w:tcPr>
          <w:p w14:paraId="694D995A" w14:textId="77777777" w:rsidR="004F0676" w:rsidRPr="00547678" w:rsidRDefault="004F0676" w:rsidP="004F0676">
            <w:pPr>
              <w:jc w:val="both"/>
              <w:rPr>
                <w:b/>
                <w:sz w:val="20"/>
                <w:szCs w:val="20"/>
              </w:rPr>
            </w:pPr>
            <w:r w:rsidRPr="00547678">
              <w:rPr>
                <w:b/>
                <w:sz w:val="20"/>
                <w:szCs w:val="20"/>
              </w:rPr>
              <w:lastRenderedPageBreak/>
              <w:t>Saskaņots</w:t>
            </w:r>
          </w:p>
        </w:tc>
        <w:tc>
          <w:tcPr>
            <w:tcW w:w="613" w:type="pct"/>
            <w:shd w:val="clear" w:color="auto" w:fill="FFFFFF" w:themeFill="background1"/>
          </w:tcPr>
          <w:p w14:paraId="61010084" w14:textId="77777777" w:rsidR="004F0676" w:rsidRPr="00547678" w:rsidRDefault="004F0676" w:rsidP="004F0676">
            <w:pPr>
              <w:jc w:val="both"/>
              <w:rPr>
                <w:sz w:val="20"/>
                <w:szCs w:val="20"/>
              </w:rPr>
            </w:pPr>
          </w:p>
        </w:tc>
        <w:tc>
          <w:tcPr>
            <w:tcW w:w="598" w:type="pct"/>
            <w:shd w:val="clear" w:color="auto" w:fill="FFFFFF" w:themeFill="background1"/>
          </w:tcPr>
          <w:p w14:paraId="7E7DAB3B" w14:textId="77777777" w:rsidR="004F0676" w:rsidRPr="00547678" w:rsidRDefault="004F0676" w:rsidP="004F0676">
            <w:pPr>
              <w:jc w:val="both"/>
              <w:rPr>
                <w:sz w:val="20"/>
                <w:szCs w:val="20"/>
              </w:rPr>
            </w:pPr>
          </w:p>
        </w:tc>
      </w:tr>
      <w:tr w:rsidR="00683FD6" w:rsidRPr="00CE5FED" w14:paraId="2EC714AD" w14:textId="77777777" w:rsidTr="00CE5FED">
        <w:trPr>
          <w:trHeight w:val="85"/>
        </w:trPr>
        <w:tc>
          <w:tcPr>
            <w:tcW w:w="147" w:type="pct"/>
            <w:shd w:val="clear" w:color="auto" w:fill="FFFFFF" w:themeFill="background1"/>
          </w:tcPr>
          <w:p w14:paraId="5B08927C"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72E8761C" w14:textId="77777777" w:rsidR="004F0676" w:rsidRPr="00547678" w:rsidRDefault="004F0676" w:rsidP="004F0676">
            <w:pPr>
              <w:suppressAutoHyphens/>
              <w:jc w:val="both"/>
              <w:rPr>
                <w:bCs/>
                <w:sz w:val="20"/>
                <w:szCs w:val="20"/>
              </w:rPr>
            </w:pPr>
            <w:r w:rsidRPr="00547678">
              <w:rPr>
                <w:bCs/>
                <w:sz w:val="20"/>
                <w:szCs w:val="20"/>
              </w:rPr>
              <w:t xml:space="preserve">Noteikumu projekta 1. pielikuma 4.1., 4.2. apakšsadaļu “Tehniskās specifikācijas” kritērijs: </w:t>
            </w:r>
          </w:p>
          <w:p w14:paraId="5B0812EC" w14:textId="77777777" w:rsidR="004F0676" w:rsidRPr="00547678" w:rsidRDefault="004F0676" w:rsidP="004F0676">
            <w:pPr>
              <w:suppressAutoHyphens/>
              <w:jc w:val="both"/>
              <w:rPr>
                <w:bCs/>
                <w:sz w:val="20"/>
                <w:szCs w:val="20"/>
              </w:rPr>
            </w:pPr>
            <w:r w:rsidRPr="00547678">
              <w:rPr>
                <w:bCs/>
                <w:sz w:val="20"/>
                <w:szCs w:val="20"/>
              </w:rPr>
              <w:t>Pārtikas produktu piegāde veikta noteiktā pasūtītāja paredzētā attāluma ietvaros no pārtikas produktu izcelsmes (tikai audzēšanas/ražošanas) vietas līdz pasūtītāja norādītajai vietai/piegādes adresei (piemēram, ne vairāk kā 250 km ietvaros).</w:t>
            </w:r>
          </w:p>
        </w:tc>
        <w:tc>
          <w:tcPr>
            <w:tcW w:w="956" w:type="pct"/>
            <w:shd w:val="clear" w:color="auto" w:fill="FFFFFF" w:themeFill="background1"/>
          </w:tcPr>
          <w:p w14:paraId="5FCAC039" w14:textId="77777777" w:rsidR="004F0676" w:rsidRPr="00547678" w:rsidRDefault="004F0676" w:rsidP="004F0676">
            <w:pPr>
              <w:contextualSpacing/>
              <w:jc w:val="both"/>
              <w:rPr>
                <w:b/>
                <w:sz w:val="20"/>
                <w:szCs w:val="20"/>
              </w:rPr>
            </w:pPr>
            <w:r w:rsidRPr="00547678">
              <w:rPr>
                <w:b/>
                <w:sz w:val="20"/>
                <w:szCs w:val="20"/>
              </w:rPr>
              <w:t>ZM</w:t>
            </w:r>
          </w:p>
          <w:p w14:paraId="003D3868" w14:textId="77777777" w:rsidR="004F0676" w:rsidRPr="00547678" w:rsidRDefault="004F0676" w:rsidP="004F0676">
            <w:pPr>
              <w:jc w:val="both"/>
              <w:rPr>
                <w:sz w:val="20"/>
                <w:szCs w:val="20"/>
              </w:rPr>
            </w:pPr>
            <w:r w:rsidRPr="00547678">
              <w:rPr>
                <w:sz w:val="20"/>
                <w:szCs w:val="20"/>
              </w:rPr>
              <w:t xml:space="preserve">Neatbalstām sadaļā “Tehniskās specifikācijas” noteiktā ZPI kritērija “Videi draudzīga piegāde un sezonāli pārtikas produkti” prasības "augļu, ogu, gaļas, piena un piena produktu un dārzeņu piegāde tiks veikta noteiktā pasūtītāja paredzēta attāluma ietvaros no pārtikas produktu izcelsmes (tikai audzēšanas/ražošanas) vietas līdz pasūtītāja norādītajai vietai/piegādes adresei (piemēram, ne vairāk kā 250 km ietvaros)"  piemērošanu tikai uz atsevišķām produktu grupām. </w:t>
            </w:r>
          </w:p>
          <w:p w14:paraId="47A99E42" w14:textId="77777777" w:rsidR="004F0676" w:rsidRPr="00547678" w:rsidRDefault="004F0676" w:rsidP="004F0676">
            <w:pPr>
              <w:contextualSpacing/>
              <w:jc w:val="both"/>
              <w:rPr>
                <w:sz w:val="20"/>
                <w:szCs w:val="20"/>
              </w:rPr>
            </w:pPr>
            <w:r w:rsidRPr="00547678">
              <w:rPr>
                <w:sz w:val="20"/>
                <w:szCs w:val="20"/>
              </w:rPr>
              <w:t>Uzskatām, ka iepriekš minētā ZPI prasība būtu jāattiecina uz visām produktu piegādēm, attiecīgi to izsakot šādā redakcijā: “Pārtikas produktu piegāde tiks veikta noteiktā pasūtītāja paredzēta attāluma ietvaros no pārtikas produktu izcelsmes (tikai audzēšanas/ražošanas) vietas līdz pasūtītāja norādītajai vietai/piegādes adresei ne vairāk kā 250 km ietvaros.”</w:t>
            </w:r>
          </w:p>
        </w:tc>
        <w:tc>
          <w:tcPr>
            <w:tcW w:w="624" w:type="pct"/>
            <w:shd w:val="clear" w:color="auto" w:fill="FFFFFF" w:themeFill="background1"/>
          </w:tcPr>
          <w:p w14:paraId="512937D2"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354F6674"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421A50F3" w14:textId="77777777" w:rsidR="004F0676" w:rsidRPr="00547678" w:rsidRDefault="004F0676" w:rsidP="004F0676">
            <w:pPr>
              <w:jc w:val="both"/>
              <w:rPr>
                <w:sz w:val="20"/>
                <w:szCs w:val="20"/>
              </w:rPr>
            </w:pPr>
            <w:r w:rsidRPr="00547678">
              <w:rPr>
                <w:sz w:val="20"/>
                <w:szCs w:val="20"/>
              </w:rPr>
              <w:t xml:space="preserve">Noteikumu projekta 1. pielikuma 4.1., 4.2. apakšsadaļu “Tehniskās specifikācijas” kritērijs: </w:t>
            </w:r>
          </w:p>
          <w:p w14:paraId="06A047D5" w14:textId="77777777" w:rsidR="004F0676" w:rsidRPr="00547678" w:rsidRDefault="004F0676" w:rsidP="004F0676">
            <w:pPr>
              <w:jc w:val="both"/>
              <w:rPr>
                <w:sz w:val="20"/>
                <w:szCs w:val="20"/>
              </w:rPr>
            </w:pPr>
            <w:r w:rsidRPr="00547678">
              <w:rPr>
                <w:sz w:val="20"/>
                <w:szCs w:val="20"/>
              </w:rPr>
              <w:t>“Pārtikas produktu piegāde tiks veikta noteiktā pasūtītāja paredzēta attāluma ietvaros no pārtikas produktu izcelsmes (tikai audzēšanas/ražošanas) vietas līdz pasūtītāja norādītajai vietai/piegādes adresei ne vairāk kā 250 km ietvaros.”</w:t>
            </w:r>
          </w:p>
        </w:tc>
        <w:tc>
          <w:tcPr>
            <w:tcW w:w="557" w:type="pct"/>
            <w:shd w:val="clear" w:color="auto" w:fill="FFFFFF" w:themeFill="background1"/>
          </w:tcPr>
          <w:p w14:paraId="4DF069C7"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1B16E85D" w14:textId="77777777" w:rsidR="004F0676" w:rsidRPr="00547678" w:rsidRDefault="004F0676" w:rsidP="004F0676">
            <w:pPr>
              <w:jc w:val="both"/>
              <w:rPr>
                <w:sz w:val="20"/>
                <w:szCs w:val="20"/>
              </w:rPr>
            </w:pPr>
          </w:p>
        </w:tc>
        <w:tc>
          <w:tcPr>
            <w:tcW w:w="598" w:type="pct"/>
            <w:shd w:val="clear" w:color="auto" w:fill="FFFFFF" w:themeFill="background1"/>
          </w:tcPr>
          <w:p w14:paraId="58DCEEEE" w14:textId="77777777" w:rsidR="004F0676" w:rsidRPr="00547678" w:rsidRDefault="004F0676" w:rsidP="004F0676">
            <w:pPr>
              <w:jc w:val="both"/>
              <w:rPr>
                <w:sz w:val="20"/>
                <w:szCs w:val="20"/>
              </w:rPr>
            </w:pPr>
          </w:p>
        </w:tc>
      </w:tr>
      <w:tr w:rsidR="00683FD6" w:rsidRPr="00CE5FED" w14:paraId="7CF8A387" w14:textId="77777777" w:rsidTr="00CE5FED">
        <w:trPr>
          <w:trHeight w:val="85"/>
        </w:trPr>
        <w:tc>
          <w:tcPr>
            <w:tcW w:w="147" w:type="pct"/>
            <w:shd w:val="clear" w:color="auto" w:fill="FFFFFF" w:themeFill="background1"/>
          </w:tcPr>
          <w:p w14:paraId="26710020"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581E85D8" w14:textId="77777777" w:rsidR="004F0676" w:rsidRPr="00547678" w:rsidRDefault="004F0676" w:rsidP="004F0676">
            <w:pPr>
              <w:suppressAutoHyphens/>
              <w:jc w:val="both"/>
              <w:rPr>
                <w:bCs/>
                <w:sz w:val="20"/>
                <w:szCs w:val="20"/>
              </w:rPr>
            </w:pPr>
            <w:r w:rsidRPr="00547678">
              <w:rPr>
                <w:bCs/>
                <w:sz w:val="20"/>
                <w:szCs w:val="20"/>
              </w:rPr>
              <w:t>Noteikumu projekta 1. pielikuma 4.1. sadaļas “ZPI prasības un kritēriji pārtikas produktu piegādēm” apakšsadaļā “Iepirkuma līguma izpildes noteikumi” 1.2.apakšpunkts:  “pakalpojuma sniedzēja pienākumu, ja tas pats nav bioloģiskās lauksaimniecības vai nacionālās pārtikas kvalitātes shēmas, vai lauksaimniecības produktu integrētās audzēšanas prasībām atbilstošu produktu ražotājs vai audzētājs, attiecībā uz produktiem un atbilst minētajām prasībām, iesniegt pasūtītājam ražotāju un audzētāju sarakstu, norādot to kontaktinformāciju, un ar ražotāju vai audzētāju noslēgtu līgumu par sadarbību ar attiecīgo pakalpojuma sniedzēju ēdināšanas pakalpojuma līguma izpildē”;</w:t>
            </w:r>
          </w:p>
        </w:tc>
        <w:tc>
          <w:tcPr>
            <w:tcW w:w="956" w:type="pct"/>
            <w:shd w:val="clear" w:color="auto" w:fill="FFFFFF" w:themeFill="background1"/>
          </w:tcPr>
          <w:p w14:paraId="26018E7B" w14:textId="77777777" w:rsidR="004F0676" w:rsidRPr="00547678" w:rsidRDefault="004F0676" w:rsidP="004F0676">
            <w:pPr>
              <w:contextualSpacing/>
              <w:jc w:val="both"/>
              <w:rPr>
                <w:b/>
                <w:sz w:val="20"/>
                <w:szCs w:val="20"/>
              </w:rPr>
            </w:pPr>
            <w:r w:rsidRPr="00547678">
              <w:rPr>
                <w:b/>
                <w:sz w:val="20"/>
                <w:szCs w:val="20"/>
              </w:rPr>
              <w:t>ZM</w:t>
            </w:r>
          </w:p>
          <w:p w14:paraId="24C3C473" w14:textId="77777777" w:rsidR="004F0676" w:rsidRPr="00547678" w:rsidRDefault="004F0676" w:rsidP="004F0676">
            <w:pPr>
              <w:jc w:val="both"/>
              <w:rPr>
                <w:sz w:val="20"/>
                <w:szCs w:val="20"/>
              </w:rPr>
            </w:pPr>
            <w:r w:rsidRPr="00547678">
              <w:rPr>
                <w:sz w:val="20"/>
                <w:szCs w:val="20"/>
              </w:rPr>
              <w:t>Lūdzam veikt sekojošus tehniskus precizējumus noteikumu projektā:</w:t>
            </w:r>
          </w:p>
          <w:p w14:paraId="0554395C" w14:textId="77777777" w:rsidR="004F0676" w:rsidRPr="00547678" w:rsidRDefault="004F0676" w:rsidP="004F0676">
            <w:pPr>
              <w:jc w:val="both"/>
              <w:rPr>
                <w:sz w:val="20"/>
                <w:szCs w:val="20"/>
              </w:rPr>
            </w:pPr>
            <w:r w:rsidRPr="00547678">
              <w:rPr>
                <w:sz w:val="20"/>
                <w:szCs w:val="20"/>
              </w:rPr>
              <w:t xml:space="preserve">Izteikt sadaļas 4.1 “ZPI prasības un kritēriji pārtikas produktu piegādēm” apakšsadaļā “Iepirkuma līguma izpildes noteikumi” 1.2. apakšpunktu sekojošā redakcijā: </w:t>
            </w:r>
          </w:p>
          <w:p w14:paraId="0B294023" w14:textId="77777777" w:rsidR="004F0676" w:rsidRPr="00547678" w:rsidRDefault="004F0676" w:rsidP="004F0676">
            <w:pPr>
              <w:jc w:val="both"/>
              <w:rPr>
                <w:sz w:val="20"/>
                <w:szCs w:val="20"/>
              </w:rPr>
            </w:pPr>
            <w:r w:rsidRPr="00547678">
              <w:rPr>
                <w:sz w:val="20"/>
                <w:szCs w:val="20"/>
              </w:rPr>
              <w:t>“1.2. pienākumu piegādātājam, ja tas pats nav bioloģiskās lauksaimniecības vai nacionālās pārtikas kvalitātes shēmas, vai lauksaimniecības produktu integrētās audzēšanas prasībām atbilstošu produktu ražotājs vai audzētājs, attiecībā uz produktiem, kuri atbilst minētajām prasībām, iesniegt pasūtītājam ražotāju un audzētāju sarakstu, norādot to kontaktinformāciju, un ar ražotāju (audzētāju) noslēgtu līgumu par sadarbību ar attiecīgo piegādātāju katra konkrētā pārtikas produktu piegādes līguma izpildē;”</w:t>
            </w:r>
          </w:p>
          <w:p w14:paraId="488E3DA8" w14:textId="77777777" w:rsidR="004F0676" w:rsidRPr="00547678" w:rsidRDefault="004F0676" w:rsidP="004F0676">
            <w:pPr>
              <w:ind w:left="301"/>
              <w:contextualSpacing/>
              <w:jc w:val="both"/>
              <w:rPr>
                <w:sz w:val="20"/>
                <w:szCs w:val="20"/>
              </w:rPr>
            </w:pPr>
          </w:p>
        </w:tc>
        <w:tc>
          <w:tcPr>
            <w:tcW w:w="624" w:type="pct"/>
            <w:shd w:val="clear" w:color="auto" w:fill="FFFFFF" w:themeFill="background1"/>
          </w:tcPr>
          <w:p w14:paraId="13E01FB0" w14:textId="77777777" w:rsidR="004F0676" w:rsidRPr="00547678" w:rsidRDefault="004F0676" w:rsidP="004F0676">
            <w:pPr>
              <w:suppressAutoHyphens/>
              <w:jc w:val="both"/>
              <w:rPr>
                <w:b/>
                <w:sz w:val="20"/>
                <w:szCs w:val="20"/>
              </w:rPr>
            </w:pPr>
            <w:r w:rsidRPr="00547678">
              <w:rPr>
                <w:b/>
                <w:sz w:val="20"/>
                <w:szCs w:val="20"/>
              </w:rPr>
              <w:t xml:space="preserve">Ņemts vērā. </w:t>
            </w:r>
          </w:p>
        </w:tc>
        <w:tc>
          <w:tcPr>
            <w:tcW w:w="1059" w:type="pct"/>
            <w:shd w:val="clear" w:color="auto" w:fill="FFFFFF" w:themeFill="background1"/>
          </w:tcPr>
          <w:p w14:paraId="182C6B9F" w14:textId="77777777" w:rsidR="004F0676" w:rsidRPr="00547678" w:rsidRDefault="004F0676" w:rsidP="004F0676">
            <w:pPr>
              <w:jc w:val="both"/>
              <w:rPr>
                <w:sz w:val="20"/>
                <w:szCs w:val="20"/>
              </w:rPr>
            </w:pPr>
            <w:r w:rsidRPr="00547678">
              <w:rPr>
                <w:sz w:val="20"/>
                <w:szCs w:val="20"/>
              </w:rPr>
              <w:t xml:space="preserve">Noteikumu projekta 1. pielikuma 4.1. sadaļas “ZPI prasības un kritēriji pārtikas produktu piegādēm” apakšsadaļā “Iepirkuma līguma izpildes noteikumi” 1.2.apakšpunkts:  </w:t>
            </w:r>
          </w:p>
          <w:p w14:paraId="7B296D94" w14:textId="77777777" w:rsidR="004F0676" w:rsidRPr="00547678" w:rsidRDefault="004F0676" w:rsidP="004F0676">
            <w:pPr>
              <w:jc w:val="both"/>
              <w:rPr>
                <w:sz w:val="20"/>
                <w:szCs w:val="20"/>
              </w:rPr>
            </w:pPr>
            <w:r w:rsidRPr="00547678">
              <w:rPr>
                <w:sz w:val="20"/>
                <w:szCs w:val="20"/>
              </w:rPr>
              <w:t>“pienākumu piegādātājam, ja tas pats nav bioloģiskās lauksaimniecības vai nacionālās pārtikas kvalitātes shēmas, vai lauksaimniecības produktu integrētās audzēšanas prasībām atbilstošu produktu ražotājs vai audzētājs, attiecībā uz produktiem, kuri atbilst minētajām prasībām, iesniegt pasūtītājam ražotāju un/vai audzētāju sarakstu, norādot to kontaktinformāciju, un ar ražotāju un/vai audzētāju noslēgtu līgumu par sadarbību ar attiecīgo piegādātāju katra konkrētā pārtikas produktu piegādes līguma izpildē;”</w:t>
            </w:r>
          </w:p>
        </w:tc>
        <w:tc>
          <w:tcPr>
            <w:tcW w:w="557" w:type="pct"/>
            <w:shd w:val="clear" w:color="auto" w:fill="FFFFFF" w:themeFill="background1"/>
          </w:tcPr>
          <w:p w14:paraId="7F5DB728"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4948650E" w14:textId="77777777" w:rsidR="004F0676" w:rsidRPr="00547678" w:rsidRDefault="004F0676" w:rsidP="004F0676">
            <w:pPr>
              <w:jc w:val="both"/>
              <w:rPr>
                <w:sz w:val="20"/>
                <w:szCs w:val="20"/>
              </w:rPr>
            </w:pPr>
          </w:p>
        </w:tc>
        <w:tc>
          <w:tcPr>
            <w:tcW w:w="598" w:type="pct"/>
            <w:shd w:val="clear" w:color="auto" w:fill="FFFFFF" w:themeFill="background1"/>
          </w:tcPr>
          <w:p w14:paraId="795996BC" w14:textId="77777777" w:rsidR="004F0676" w:rsidRPr="00547678" w:rsidRDefault="004F0676" w:rsidP="004F0676">
            <w:pPr>
              <w:jc w:val="both"/>
              <w:rPr>
                <w:sz w:val="20"/>
                <w:szCs w:val="20"/>
              </w:rPr>
            </w:pPr>
          </w:p>
        </w:tc>
      </w:tr>
      <w:tr w:rsidR="00683FD6" w:rsidRPr="00CE5FED" w14:paraId="298BFFBD" w14:textId="77777777" w:rsidTr="00CE5FED">
        <w:trPr>
          <w:trHeight w:val="85"/>
        </w:trPr>
        <w:tc>
          <w:tcPr>
            <w:tcW w:w="147" w:type="pct"/>
            <w:shd w:val="clear" w:color="auto" w:fill="FFFFFF" w:themeFill="background1"/>
          </w:tcPr>
          <w:p w14:paraId="69A66E59"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30E4335C" w14:textId="77777777" w:rsidR="004F0676" w:rsidRPr="00547678" w:rsidRDefault="004F0676" w:rsidP="004F0676">
            <w:pPr>
              <w:suppressAutoHyphens/>
              <w:jc w:val="both"/>
              <w:rPr>
                <w:bCs/>
                <w:sz w:val="20"/>
                <w:szCs w:val="20"/>
              </w:rPr>
            </w:pPr>
            <w:r w:rsidRPr="00547678">
              <w:rPr>
                <w:bCs/>
                <w:sz w:val="20"/>
                <w:szCs w:val="20"/>
              </w:rPr>
              <w:t>Noteikumu projekts 1. pielikuma 4.2. apakšsadaļas “Tehniskās specifikācijas”kritērijs:</w:t>
            </w:r>
          </w:p>
          <w:p w14:paraId="3D9320E5" w14:textId="77777777" w:rsidR="004F0676" w:rsidRPr="00547678" w:rsidRDefault="004F0676" w:rsidP="004F0676">
            <w:pPr>
              <w:suppressAutoHyphens/>
              <w:jc w:val="both"/>
              <w:rPr>
                <w:bCs/>
                <w:sz w:val="20"/>
                <w:szCs w:val="20"/>
              </w:rPr>
            </w:pPr>
            <w:r w:rsidRPr="00547678">
              <w:rPr>
                <w:bCs/>
                <w:sz w:val="20"/>
                <w:szCs w:val="20"/>
              </w:rPr>
              <w:t>“vismaz 45 procentiem no visas produktu masas vai vērtības vai X procenti  [no noteiktas produktu grupas, pēc izvēles, piena produktiem, gaļas produktiem, augļiem un dārzeņiem, vai konkrētu produktu saraksts, pēc izvēles, piens, kartupeļi, graudu pārstrādes produkti, liellopu gaļa, olas] jāatbilst Latvijas nacionālās pārtikas kvalitātes shēmas prasībām, ko apliecina Pārtikas un veterinārā dienesta izsniegts sertifikāts.”</w:t>
            </w:r>
          </w:p>
        </w:tc>
        <w:tc>
          <w:tcPr>
            <w:tcW w:w="956" w:type="pct"/>
            <w:shd w:val="clear" w:color="auto" w:fill="FFFFFF" w:themeFill="background1"/>
          </w:tcPr>
          <w:p w14:paraId="5061CE2D" w14:textId="77777777" w:rsidR="004F0676" w:rsidRPr="00547678" w:rsidRDefault="004F0676" w:rsidP="004F0676">
            <w:pPr>
              <w:contextualSpacing/>
              <w:jc w:val="both"/>
              <w:rPr>
                <w:b/>
                <w:sz w:val="20"/>
                <w:szCs w:val="20"/>
              </w:rPr>
            </w:pPr>
            <w:r w:rsidRPr="00547678">
              <w:rPr>
                <w:b/>
                <w:sz w:val="20"/>
                <w:szCs w:val="20"/>
              </w:rPr>
              <w:t>ZM</w:t>
            </w:r>
          </w:p>
          <w:p w14:paraId="532F7E25" w14:textId="77777777" w:rsidR="004F0676" w:rsidRPr="00547678" w:rsidRDefault="004F0676" w:rsidP="004F0676">
            <w:pPr>
              <w:jc w:val="both"/>
              <w:rPr>
                <w:sz w:val="20"/>
                <w:szCs w:val="20"/>
              </w:rPr>
            </w:pPr>
            <w:r w:rsidRPr="00547678">
              <w:rPr>
                <w:sz w:val="20"/>
                <w:szCs w:val="20"/>
              </w:rPr>
              <w:t>Izteikt sadaļas 4.2 “ZPI prasības un kritēriji ēdināšanas pakalpojumiem” apakšsadaļā “Tehniskās specifikācijas” paredzētā kritērija “Pārtikas produktu kvalitāte” prasību sekojošā redakcijā:</w:t>
            </w:r>
          </w:p>
          <w:p w14:paraId="60073D90" w14:textId="77777777" w:rsidR="004F0676" w:rsidRPr="00547678" w:rsidRDefault="004F0676" w:rsidP="004F0676">
            <w:pPr>
              <w:contextualSpacing/>
              <w:jc w:val="both"/>
              <w:rPr>
                <w:sz w:val="20"/>
                <w:szCs w:val="20"/>
              </w:rPr>
            </w:pPr>
            <w:r w:rsidRPr="00547678">
              <w:rPr>
                <w:sz w:val="20"/>
                <w:szCs w:val="20"/>
              </w:rPr>
              <w:t>“vismaz 45 procenti no [vai nu noteikta produktu grupa,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c>
          <w:tcPr>
            <w:tcW w:w="624" w:type="pct"/>
            <w:shd w:val="clear" w:color="auto" w:fill="FFFFFF" w:themeFill="background1"/>
          </w:tcPr>
          <w:p w14:paraId="10D19B47" w14:textId="77777777" w:rsidR="004F0676" w:rsidRPr="00547678" w:rsidRDefault="004F0676" w:rsidP="004F0676">
            <w:pPr>
              <w:suppressAutoHyphens/>
              <w:jc w:val="both"/>
              <w:rPr>
                <w:b/>
                <w:sz w:val="20"/>
                <w:szCs w:val="20"/>
              </w:rPr>
            </w:pPr>
            <w:r w:rsidRPr="00547678">
              <w:rPr>
                <w:b/>
                <w:sz w:val="20"/>
                <w:szCs w:val="20"/>
              </w:rPr>
              <w:t xml:space="preserve">Ņemts vērā. </w:t>
            </w:r>
          </w:p>
        </w:tc>
        <w:tc>
          <w:tcPr>
            <w:tcW w:w="1059" w:type="pct"/>
            <w:shd w:val="clear" w:color="auto" w:fill="FFFFFF" w:themeFill="background1"/>
          </w:tcPr>
          <w:p w14:paraId="543E9DBA" w14:textId="0A78BE5D" w:rsidR="004F0676" w:rsidRPr="00547678" w:rsidRDefault="004F0676" w:rsidP="004F0676">
            <w:pPr>
              <w:jc w:val="both"/>
              <w:rPr>
                <w:sz w:val="20"/>
                <w:szCs w:val="20"/>
              </w:rPr>
            </w:pPr>
            <w:r w:rsidRPr="00547678">
              <w:rPr>
                <w:sz w:val="20"/>
                <w:szCs w:val="20"/>
              </w:rPr>
              <w:t>Noteikumu projekts 1. pielikuma 4.1., 4.2. apakšsadaļas “Tehniskās specifikācijas”</w:t>
            </w:r>
            <w:r w:rsidR="00A172D5">
              <w:rPr>
                <w:sz w:val="20"/>
                <w:szCs w:val="20"/>
              </w:rPr>
              <w:t xml:space="preserve"> </w:t>
            </w:r>
            <w:r w:rsidRPr="00547678">
              <w:rPr>
                <w:sz w:val="20"/>
                <w:szCs w:val="20"/>
              </w:rPr>
              <w:t>kritērijs:</w:t>
            </w:r>
          </w:p>
          <w:p w14:paraId="0135C57C" w14:textId="77777777" w:rsidR="004F0676" w:rsidRPr="00547678" w:rsidRDefault="004F0676" w:rsidP="004F0676">
            <w:pPr>
              <w:jc w:val="both"/>
              <w:rPr>
                <w:sz w:val="20"/>
                <w:szCs w:val="20"/>
              </w:rPr>
            </w:pPr>
            <w:r w:rsidRPr="00547678">
              <w:rPr>
                <w:sz w:val="20"/>
                <w:szCs w:val="20"/>
              </w:rPr>
              <w:t>“vismaz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c>
          <w:tcPr>
            <w:tcW w:w="557" w:type="pct"/>
            <w:shd w:val="clear" w:color="auto" w:fill="FFFFFF" w:themeFill="background1"/>
          </w:tcPr>
          <w:p w14:paraId="06E5E285"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3C2FABD6" w14:textId="77777777" w:rsidR="004F0676" w:rsidRPr="00547678" w:rsidRDefault="004F0676" w:rsidP="004F0676">
            <w:pPr>
              <w:jc w:val="both"/>
              <w:rPr>
                <w:sz w:val="20"/>
                <w:szCs w:val="20"/>
              </w:rPr>
            </w:pPr>
          </w:p>
        </w:tc>
        <w:tc>
          <w:tcPr>
            <w:tcW w:w="598" w:type="pct"/>
            <w:shd w:val="clear" w:color="auto" w:fill="FFFFFF" w:themeFill="background1"/>
          </w:tcPr>
          <w:p w14:paraId="0BDFF378" w14:textId="77777777" w:rsidR="004F0676" w:rsidRPr="00547678" w:rsidRDefault="004F0676" w:rsidP="004F0676">
            <w:pPr>
              <w:jc w:val="both"/>
              <w:rPr>
                <w:sz w:val="20"/>
                <w:szCs w:val="20"/>
              </w:rPr>
            </w:pPr>
          </w:p>
        </w:tc>
      </w:tr>
      <w:tr w:rsidR="00683FD6" w:rsidRPr="00CE5FED" w14:paraId="7752D19E" w14:textId="77777777" w:rsidTr="00CE5FED">
        <w:trPr>
          <w:trHeight w:val="85"/>
        </w:trPr>
        <w:tc>
          <w:tcPr>
            <w:tcW w:w="147" w:type="pct"/>
            <w:shd w:val="clear" w:color="auto" w:fill="FFFFFF" w:themeFill="background1"/>
          </w:tcPr>
          <w:p w14:paraId="7ADEB186"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4C4D66E7" w14:textId="77777777" w:rsidR="004F0676" w:rsidRPr="00547678" w:rsidRDefault="004F0676" w:rsidP="004F0676">
            <w:pPr>
              <w:suppressAutoHyphens/>
              <w:jc w:val="both"/>
              <w:rPr>
                <w:bCs/>
                <w:sz w:val="20"/>
                <w:szCs w:val="20"/>
              </w:rPr>
            </w:pPr>
            <w:r w:rsidRPr="00547678">
              <w:rPr>
                <w:bCs/>
                <w:sz w:val="20"/>
                <w:szCs w:val="20"/>
              </w:rPr>
              <w:t xml:space="preserve">Vispārīgs komentārs. </w:t>
            </w:r>
          </w:p>
        </w:tc>
        <w:tc>
          <w:tcPr>
            <w:tcW w:w="956" w:type="pct"/>
            <w:shd w:val="clear" w:color="auto" w:fill="FFFFFF" w:themeFill="background1"/>
          </w:tcPr>
          <w:p w14:paraId="50718442" w14:textId="77777777" w:rsidR="004F0676" w:rsidRPr="00547678" w:rsidRDefault="004F0676" w:rsidP="004F0676">
            <w:pPr>
              <w:contextualSpacing/>
              <w:jc w:val="both"/>
              <w:rPr>
                <w:b/>
                <w:sz w:val="20"/>
                <w:szCs w:val="20"/>
              </w:rPr>
            </w:pPr>
            <w:r w:rsidRPr="00547678">
              <w:rPr>
                <w:b/>
                <w:sz w:val="20"/>
                <w:szCs w:val="20"/>
              </w:rPr>
              <w:t xml:space="preserve">Finanšu ministrija (turpmāk – FM) </w:t>
            </w:r>
          </w:p>
          <w:p w14:paraId="2DEBB7BD" w14:textId="77777777" w:rsidR="004F0676" w:rsidRPr="00547678" w:rsidRDefault="004F0676" w:rsidP="004F0676">
            <w:pPr>
              <w:contextualSpacing/>
              <w:jc w:val="both"/>
              <w:rPr>
                <w:sz w:val="20"/>
                <w:szCs w:val="20"/>
              </w:rPr>
            </w:pPr>
            <w:r w:rsidRPr="00547678">
              <w:rPr>
                <w:sz w:val="20"/>
                <w:szCs w:val="20"/>
              </w:rPr>
              <w:t>Lūdzam no noteikumu projekta svītrot Ministru kabineta 2017.gada 20.jūnija noteikumos Nr.353 “Prasības zaļajam publiskajam iepirkumam un to piemērošanas kārtība” (turpmāk – Noteikumi) paredzētās piegādātāju atlases prasības, jo atlases prasības pasūtītājs nosaka saskaņā ar Publisko iepirkumu likuma (turpmāk – PIL) 46.panta noteikumiem. Savukārt PIL 19.panta otrajā daļā ietvertais deleģējums Ministru kabinetam paredz zaļā publiskā iepirkuma principus, prasības un to piemērošanas kārtību noteikt attiecībā uz tehnisko specifikāciju prasībām, piedāvājumu izvērtēšanas kritērijiem un iepirkuma līguma izpildes noteikumiem.</w:t>
            </w:r>
          </w:p>
          <w:p w14:paraId="46F48661" w14:textId="77777777" w:rsidR="004F0676" w:rsidRPr="00547678" w:rsidRDefault="004F0676" w:rsidP="004F0676">
            <w:pPr>
              <w:contextualSpacing/>
              <w:jc w:val="both"/>
              <w:rPr>
                <w:sz w:val="20"/>
                <w:szCs w:val="20"/>
              </w:rPr>
            </w:pPr>
            <w:r w:rsidRPr="00547678">
              <w:rPr>
                <w:sz w:val="20"/>
                <w:szCs w:val="20"/>
              </w:rPr>
              <w:t>Gadījumā, ja tomēr atlases prasības noteikumu projektā tiek saglabātas, lūdzam tās izstrādāt saskaņā ar PIL 46.pantā noteikto (piemēram, pašreizējā redakcijā vairākas atlases prasības aprobežojas vien ar norādi, ka pretendentam ir jāpierāda savas profesionālās un tehniskās spējas ar pieredzi līdzīgu līgumu izpildē vai tml.) un ievērot konsekvenci, atlases prasības nosakot visiem Noteikumos paredzētajiem iepirkuma līguma priekšmetiem.</w:t>
            </w:r>
          </w:p>
          <w:p w14:paraId="2DD42456" w14:textId="77777777" w:rsidR="004F0676" w:rsidRPr="00547678" w:rsidRDefault="004F0676" w:rsidP="004F0676">
            <w:pPr>
              <w:contextualSpacing/>
              <w:jc w:val="both"/>
              <w:rPr>
                <w:sz w:val="20"/>
                <w:szCs w:val="20"/>
              </w:rPr>
            </w:pPr>
            <w:r w:rsidRPr="00547678">
              <w:rPr>
                <w:sz w:val="20"/>
                <w:szCs w:val="20"/>
              </w:rPr>
              <w:t xml:space="preserve">Vienlaikus gadījumā, ja tomēr atlases prasības noteikumu projektā tiek saglabātas, lūdzam pārskatīt noteikumu projektu (īpaši 2.pielikumu), precizējot, ka pie pieredzes ar konkrēti norādītām sistēmām (piemēram, </w:t>
            </w:r>
            <w:r w:rsidRPr="00547678">
              <w:rPr>
                <w:i/>
                <w:sz w:val="20"/>
                <w:szCs w:val="20"/>
              </w:rPr>
              <w:t>Building Energy Monitoring Systems</w:t>
            </w:r>
            <w:r w:rsidRPr="00547678">
              <w:rPr>
                <w:sz w:val="20"/>
                <w:szCs w:val="20"/>
              </w:rPr>
              <w:t>) u.c. ir jāpieņem arī minētajai ekvivalenta pieredze.</w:t>
            </w:r>
          </w:p>
        </w:tc>
        <w:tc>
          <w:tcPr>
            <w:tcW w:w="624" w:type="pct"/>
            <w:shd w:val="clear" w:color="auto" w:fill="FFFFFF" w:themeFill="background1"/>
          </w:tcPr>
          <w:p w14:paraId="3E82BCB3"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388E077A" w14:textId="77777777" w:rsidR="004F0676" w:rsidRPr="00547678" w:rsidRDefault="004F0676" w:rsidP="004F0676">
            <w:pPr>
              <w:suppressAutoHyphens/>
              <w:jc w:val="both"/>
              <w:rPr>
                <w:sz w:val="20"/>
                <w:szCs w:val="20"/>
              </w:rPr>
            </w:pPr>
            <w:r w:rsidRPr="00547678">
              <w:rPr>
                <w:sz w:val="20"/>
                <w:szCs w:val="20"/>
              </w:rPr>
              <w:t xml:space="preserve">Noteikumu projekta 1. 2, pielikumā dzēstas atlases prasības. </w:t>
            </w:r>
          </w:p>
          <w:p w14:paraId="3BC1B51A" w14:textId="77777777" w:rsidR="004F0676" w:rsidRPr="00547678" w:rsidRDefault="004F0676" w:rsidP="004F0676">
            <w:pPr>
              <w:suppressAutoHyphens/>
              <w:jc w:val="both"/>
              <w:rPr>
                <w:sz w:val="20"/>
                <w:szCs w:val="20"/>
              </w:rPr>
            </w:pPr>
          </w:p>
          <w:p w14:paraId="114D81DC"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657B9F79" w14:textId="77777777" w:rsidR="004F0676" w:rsidRPr="00547678" w:rsidRDefault="004F0676" w:rsidP="004F0676">
            <w:pPr>
              <w:jc w:val="both"/>
              <w:rPr>
                <w:sz w:val="20"/>
                <w:szCs w:val="20"/>
              </w:rPr>
            </w:pPr>
          </w:p>
        </w:tc>
        <w:tc>
          <w:tcPr>
            <w:tcW w:w="557" w:type="pct"/>
            <w:shd w:val="clear" w:color="auto" w:fill="FFFFFF" w:themeFill="background1"/>
          </w:tcPr>
          <w:p w14:paraId="52A1DAE5"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26575949" w14:textId="77777777" w:rsidR="004F0676" w:rsidRPr="00547678" w:rsidRDefault="004F0676" w:rsidP="004F0676">
            <w:pPr>
              <w:jc w:val="both"/>
              <w:rPr>
                <w:sz w:val="20"/>
                <w:szCs w:val="20"/>
              </w:rPr>
            </w:pPr>
          </w:p>
        </w:tc>
        <w:tc>
          <w:tcPr>
            <w:tcW w:w="598" w:type="pct"/>
            <w:shd w:val="clear" w:color="auto" w:fill="FFFFFF" w:themeFill="background1"/>
          </w:tcPr>
          <w:p w14:paraId="0009140C" w14:textId="77777777" w:rsidR="004F0676" w:rsidRPr="00547678" w:rsidRDefault="004F0676" w:rsidP="004F0676">
            <w:pPr>
              <w:jc w:val="both"/>
              <w:rPr>
                <w:sz w:val="20"/>
                <w:szCs w:val="20"/>
              </w:rPr>
            </w:pPr>
          </w:p>
        </w:tc>
      </w:tr>
      <w:tr w:rsidR="00683FD6" w:rsidRPr="00CE5FED" w14:paraId="3164E481" w14:textId="77777777" w:rsidTr="00CE5FED">
        <w:trPr>
          <w:trHeight w:val="85"/>
        </w:trPr>
        <w:tc>
          <w:tcPr>
            <w:tcW w:w="147" w:type="pct"/>
            <w:shd w:val="clear" w:color="auto" w:fill="FFFFFF" w:themeFill="background1"/>
          </w:tcPr>
          <w:p w14:paraId="3F40A29F"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2DAB7791" w14:textId="77777777" w:rsidR="004F0676" w:rsidRPr="00547678" w:rsidRDefault="004F0676" w:rsidP="004F0676">
            <w:pPr>
              <w:suppressAutoHyphens/>
              <w:jc w:val="both"/>
              <w:rPr>
                <w:bCs/>
                <w:sz w:val="20"/>
                <w:szCs w:val="20"/>
              </w:rPr>
            </w:pPr>
            <w:r w:rsidRPr="00547678">
              <w:rPr>
                <w:bCs/>
                <w:sz w:val="20"/>
                <w:szCs w:val="20"/>
              </w:rPr>
              <w:t xml:space="preserve">Vispārīgs komentārs. </w:t>
            </w:r>
          </w:p>
        </w:tc>
        <w:tc>
          <w:tcPr>
            <w:tcW w:w="956" w:type="pct"/>
            <w:shd w:val="clear" w:color="auto" w:fill="FFFFFF" w:themeFill="background1"/>
          </w:tcPr>
          <w:p w14:paraId="2616CC4B" w14:textId="77777777" w:rsidR="004F0676" w:rsidRPr="00547678" w:rsidRDefault="004F0676" w:rsidP="004F0676">
            <w:pPr>
              <w:contextualSpacing/>
              <w:jc w:val="both"/>
              <w:rPr>
                <w:b/>
                <w:sz w:val="20"/>
                <w:szCs w:val="20"/>
              </w:rPr>
            </w:pPr>
            <w:r w:rsidRPr="00547678">
              <w:rPr>
                <w:b/>
                <w:sz w:val="20"/>
                <w:szCs w:val="20"/>
              </w:rPr>
              <w:t>FM</w:t>
            </w:r>
          </w:p>
          <w:p w14:paraId="53A8322F" w14:textId="77777777" w:rsidR="004F0676" w:rsidRPr="00547678" w:rsidRDefault="004F0676" w:rsidP="004F0676">
            <w:pPr>
              <w:contextualSpacing/>
              <w:jc w:val="both"/>
              <w:rPr>
                <w:sz w:val="20"/>
                <w:szCs w:val="20"/>
              </w:rPr>
            </w:pPr>
            <w:r w:rsidRPr="00547678">
              <w:rPr>
                <w:sz w:val="20"/>
                <w:szCs w:val="20"/>
              </w:rPr>
              <w:t>Ņemot vērā, ka noteikumu projekta 2.pielikumā vairākās iepirkuma līguma priekšmetu grupās piedāvājumu izvērtēšanas kritērijos tiek paredzēts vērtēt speciālistu pieredzi, vēršam uzmanību uz to,  ka, ja speciālistu pieredze tiek vērtēta piedāvājumu izvērtēšanas kritēriju ietvaros, tā vairs nevar tikt vērtēta atlases (kvalifikācijas) prasību ietvaros. Līdz ar to lūdzam pārskatīt Noteikumu projekta 2.pielikumā paredzēto attiecībā uz speciālistu pieredzes vērtēšanu. Tāpat lūdzam skaidrot, vai un kā Noteikumu projekta 2.pielikuma C sadaļā (līdzīgi arī G sadaļā) paredzētā speciālista pieredze, piemēram, energoefektīvas mājas būvniecībā, ir saistīta ar konkrētā iepirkuma līguma mazāku ietekmi uz vidi.</w:t>
            </w:r>
          </w:p>
        </w:tc>
        <w:tc>
          <w:tcPr>
            <w:tcW w:w="624" w:type="pct"/>
            <w:shd w:val="clear" w:color="auto" w:fill="FFFFFF" w:themeFill="background1"/>
          </w:tcPr>
          <w:p w14:paraId="769A2637"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12B8F076" w14:textId="77777777" w:rsidR="004F0676" w:rsidRPr="00547678" w:rsidRDefault="004F0676" w:rsidP="004F0676">
            <w:pPr>
              <w:suppressAutoHyphens/>
              <w:jc w:val="both"/>
              <w:rPr>
                <w:sz w:val="20"/>
                <w:szCs w:val="20"/>
              </w:rPr>
            </w:pPr>
            <w:r w:rsidRPr="00547678">
              <w:rPr>
                <w:sz w:val="20"/>
                <w:szCs w:val="20"/>
              </w:rPr>
              <w:t xml:space="preserve">Noteikumu projekta 1., 2. pielikumos dzēstas atlases prasības.   </w:t>
            </w:r>
          </w:p>
        </w:tc>
        <w:tc>
          <w:tcPr>
            <w:tcW w:w="1059" w:type="pct"/>
            <w:shd w:val="clear" w:color="auto" w:fill="FFFFFF" w:themeFill="background1"/>
          </w:tcPr>
          <w:p w14:paraId="5BEDA8AC" w14:textId="77777777" w:rsidR="004F0676" w:rsidRPr="00547678" w:rsidRDefault="004F0676" w:rsidP="004F0676">
            <w:pPr>
              <w:jc w:val="both"/>
              <w:rPr>
                <w:sz w:val="20"/>
                <w:szCs w:val="20"/>
              </w:rPr>
            </w:pPr>
          </w:p>
        </w:tc>
        <w:tc>
          <w:tcPr>
            <w:tcW w:w="557" w:type="pct"/>
            <w:shd w:val="clear" w:color="auto" w:fill="FFFFFF" w:themeFill="background1"/>
          </w:tcPr>
          <w:p w14:paraId="476CA51A"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2E06AF63" w14:textId="77777777" w:rsidR="004F0676" w:rsidRPr="00547678" w:rsidRDefault="004F0676" w:rsidP="004F0676">
            <w:pPr>
              <w:jc w:val="both"/>
              <w:rPr>
                <w:sz w:val="20"/>
                <w:szCs w:val="20"/>
              </w:rPr>
            </w:pPr>
          </w:p>
        </w:tc>
        <w:tc>
          <w:tcPr>
            <w:tcW w:w="598" w:type="pct"/>
            <w:shd w:val="clear" w:color="auto" w:fill="FFFFFF" w:themeFill="background1"/>
          </w:tcPr>
          <w:p w14:paraId="518333BE" w14:textId="77777777" w:rsidR="004F0676" w:rsidRPr="00547678" w:rsidRDefault="004F0676" w:rsidP="004F0676">
            <w:pPr>
              <w:jc w:val="both"/>
              <w:rPr>
                <w:sz w:val="20"/>
                <w:szCs w:val="20"/>
              </w:rPr>
            </w:pPr>
          </w:p>
        </w:tc>
      </w:tr>
      <w:tr w:rsidR="00683FD6" w:rsidRPr="00CE5FED" w14:paraId="30FAEF39" w14:textId="77777777" w:rsidTr="00CE5FED">
        <w:trPr>
          <w:trHeight w:val="85"/>
        </w:trPr>
        <w:tc>
          <w:tcPr>
            <w:tcW w:w="147" w:type="pct"/>
            <w:shd w:val="clear" w:color="auto" w:fill="FFFFFF" w:themeFill="background1"/>
          </w:tcPr>
          <w:p w14:paraId="069EF299"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1ACD80DF" w14:textId="77777777" w:rsidR="004F0676" w:rsidRPr="00547678" w:rsidRDefault="004F0676" w:rsidP="004F0676">
            <w:pPr>
              <w:suppressAutoHyphens/>
              <w:jc w:val="both"/>
              <w:rPr>
                <w:bCs/>
                <w:sz w:val="20"/>
                <w:szCs w:val="20"/>
              </w:rPr>
            </w:pPr>
            <w:r w:rsidRPr="00547678">
              <w:rPr>
                <w:bCs/>
                <w:sz w:val="20"/>
                <w:szCs w:val="20"/>
              </w:rPr>
              <w:t>Noteikumu projekta 2. pielikumā piedāvājuma izvērtēšanas kritēriji:</w:t>
            </w:r>
          </w:p>
          <w:p w14:paraId="58D5A1B5" w14:textId="77777777" w:rsidR="004F0676" w:rsidRPr="00547678" w:rsidRDefault="004F0676" w:rsidP="004F0676">
            <w:pPr>
              <w:suppressAutoHyphens/>
              <w:jc w:val="both"/>
              <w:rPr>
                <w:bCs/>
                <w:sz w:val="20"/>
                <w:szCs w:val="20"/>
              </w:rPr>
            </w:pPr>
            <w:r w:rsidRPr="00547678">
              <w:rPr>
                <w:bCs/>
                <w:sz w:val="20"/>
                <w:szCs w:val="20"/>
              </w:rPr>
              <w:t>VIDĒJĀ SOCIĀLĀ NODOKĻA IEMAKSA VALSTS BUDŽETĀ PAR DARBINIEKU 12 MĒNEŠU PERIODĀ</w:t>
            </w:r>
          </w:p>
          <w:p w14:paraId="16A98D86" w14:textId="77777777" w:rsidR="004F0676" w:rsidRPr="00547678" w:rsidRDefault="004F0676" w:rsidP="004F0676">
            <w:pPr>
              <w:suppressAutoHyphens/>
              <w:jc w:val="both"/>
              <w:rPr>
                <w:bCs/>
                <w:sz w:val="20"/>
                <w:szCs w:val="20"/>
              </w:rPr>
            </w:pPr>
            <w:r w:rsidRPr="00547678">
              <w:rPr>
                <w:bCs/>
                <w:sz w:val="20"/>
                <w:szCs w:val="20"/>
              </w:rPr>
              <w:t>Papildus punkti tiks piešķirti uzņēmumiem, kuri ir veikuši lielāku vidējā sociālā nodokļa iemaksu valsts budžetā par darbinieku. Šāda kritērija ieviešana nodrošina gan lielākus nodokļa ieņēmumus valsts un netieši arī pašvaldību budžetos caur iedzīvotāju ienākuma nodokli, gan rada citus pozitīvus efektus, piemēram, mazina ēnu ekonomiku, un nodrošina strādājošos ar tirgus prasībām atbilstošu atalgojumu.</w:t>
            </w:r>
          </w:p>
        </w:tc>
        <w:tc>
          <w:tcPr>
            <w:tcW w:w="956" w:type="pct"/>
            <w:shd w:val="clear" w:color="auto" w:fill="FFFFFF" w:themeFill="background1"/>
          </w:tcPr>
          <w:p w14:paraId="01A70F52" w14:textId="77777777" w:rsidR="004F0676" w:rsidRPr="00547678" w:rsidRDefault="004F0676" w:rsidP="004F0676">
            <w:pPr>
              <w:jc w:val="both"/>
              <w:rPr>
                <w:b/>
                <w:sz w:val="20"/>
                <w:szCs w:val="20"/>
              </w:rPr>
            </w:pPr>
            <w:r w:rsidRPr="00547678">
              <w:rPr>
                <w:b/>
                <w:sz w:val="20"/>
                <w:szCs w:val="20"/>
              </w:rPr>
              <w:t>FM</w:t>
            </w:r>
          </w:p>
          <w:p w14:paraId="010374C4" w14:textId="77777777" w:rsidR="004F0676" w:rsidRPr="00547678" w:rsidRDefault="004F0676" w:rsidP="004F0676">
            <w:pPr>
              <w:jc w:val="both"/>
              <w:rPr>
                <w:sz w:val="20"/>
                <w:szCs w:val="20"/>
              </w:rPr>
            </w:pPr>
            <w:r w:rsidRPr="00547678">
              <w:rPr>
                <w:sz w:val="20"/>
                <w:szCs w:val="20"/>
              </w:rPr>
              <w:t>Lūdzam no noteikumu projekta 2.pielikuma svītrot paredzētos kritērijus attiecībā uz vidējās sociālā nodokļa iemaksas vērtēšanu, jo šādu nodokļu iemaksu vērtēšana nav uzskatāma par zaļā publiskā iepirkuma kritēriju.</w:t>
            </w:r>
          </w:p>
        </w:tc>
        <w:tc>
          <w:tcPr>
            <w:tcW w:w="624" w:type="pct"/>
            <w:shd w:val="clear" w:color="auto" w:fill="FFFFFF" w:themeFill="background1"/>
          </w:tcPr>
          <w:p w14:paraId="7CA32A9D" w14:textId="77777777" w:rsidR="004F0676" w:rsidRPr="00547678" w:rsidRDefault="004F0676" w:rsidP="004F0676">
            <w:pPr>
              <w:suppressAutoHyphens/>
              <w:jc w:val="both"/>
              <w:rPr>
                <w:b/>
                <w:sz w:val="20"/>
                <w:szCs w:val="20"/>
              </w:rPr>
            </w:pPr>
            <w:r w:rsidRPr="00547678">
              <w:rPr>
                <w:b/>
                <w:sz w:val="20"/>
                <w:szCs w:val="20"/>
              </w:rPr>
              <w:t xml:space="preserve">Daļēji ņemts vērā. </w:t>
            </w:r>
          </w:p>
          <w:p w14:paraId="1AA6C335" w14:textId="77777777" w:rsidR="004F0676" w:rsidRPr="00547678" w:rsidRDefault="004F0676" w:rsidP="004F0676">
            <w:pPr>
              <w:suppressAutoHyphens/>
              <w:jc w:val="both"/>
              <w:rPr>
                <w:sz w:val="20"/>
                <w:szCs w:val="20"/>
              </w:rPr>
            </w:pPr>
            <w:r w:rsidRPr="00547678">
              <w:rPr>
                <w:sz w:val="20"/>
                <w:szCs w:val="20"/>
              </w:rPr>
              <w:t xml:space="preserve">Eiropas Komisija (EK) šobrīd virzās uz ilgtspējīgu iepirkumu, ne tikai zaļo iepirkumu. Līdz ar to, ņemot vērā EK tendences, kā arī Mēbeļu Ražotāju asociācijas Latvijā viedokli, ka šāds kritērijs izskaustu negodprātīgus uzņēmumus un veicinātu godprātīgo uzņēmēju iespēju piedalīties iepirkumos. Ņemot vērā Mēbeļu Ražotāju asociācijas Latvijā viedokli sociālais nodokļu kritērijs tiek atstāts 2. pielikuma 8.1. sadaļā “Mēbeles” sadaļā, bet dzēsts no 1. sadaļas Biroja ēku projektēšana, būvdarbiem un apsaimniekošana, C.13. Sociālā kritērija iekļaušana nodrošinātu ilgtspējīga iepirkuma īstenošanu Latvijā. </w:t>
            </w:r>
          </w:p>
        </w:tc>
        <w:tc>
          <w:tcPr>
            <w:tcW w:w="1059" w:type="pct"/>
            <w:shd w:val="clear" w:color="auto" w:fill="FFFFFF" w:themeFill="background1"/>
          </w:tcPr>
          <w:p w14:paraId="0A9B7E48" w14:textId="77777777" w:rsidR="004F0676" w:rsidRPr="00547678" w:rsidRDefault="004F0676" w:rsidP="004F0676">
            <w:pPr>
              <w:jc w:val="both"/>
              <w:rPr>
                <w:sz w:val="20"/>
                <w:szCs w:val="20"/>
              </w:rPr>
            </w:pPr>
            <w:r w:rsidRPr="00547678">
              <w:rPr>
                <w:sz w:val="20"/>
                <w:szCs w:val="20"/>
              </w:rPr>
              <w:t xml:space="preserve">Noteikumu projekta 2. pielikuma 8.1. apakšsadaļā Piedāvājuma izvērtēšans kritērijs: </w:t>
            </w:r>
          </w:p>
          <w:p w14:paraId="0A484236" w14:textId="77777777" w:rsidR="004F0676" w:rsidRPr="00547678" w:rsidRDefault="004F0676" w:rsidP="004F0676">
            <w:pPr>
              <w:jc w:val="both"/>
              <w:rPr>
                <w:sz w:val="20"/>
                <w:szCs w:val="20"/>
              </w:rPr>
            </w:pPr>
            <w:r w:rsidRPr="00547678">
              <w:rPr>
                <w:sz w:val="20"/>
                <w:szCs w:val="20"/>
              </w:rPr>
              <w:t>VIDĒJĀ SOCIĀLĀ NODOKĻA IEMAKSA VALSTS BUDŽETĀ PAR DARBINIEKU 12 MĒNEŠU PERIODĀ</w:t>
            </w:r>
          </w:p>
          <w:p w14:paraId="1120D1FC" w14:textId="77777777" w:rsidR="004F0676" w:rsidRPr="00547678" w:rsidRDefault="004F0676" w:rsidP="004F0676">
            <w:pPr>
              <w:jc w:val="both"/>
              <w:rPr>
                <w:sz w:val="20"/>
                <w:szCs w:val="20"/>
              </w:rPr>
            </w:pPr>
            <w:r w:rsidRPr="00547678">
              <w:rPr>
                <w:sz w:val="20"/>
                <w:szCs w:val="20"/>
              </w:rPr>
              <w:t>Papildus punkti tiks piešķirti uzņēmumiem, kuri ir veikuši lielāku vidējā sociālā nodokļa iemaksu valsts budžetā par darbinieku. Šāda kritērija ieviešana nodrošina gan lielākus nodokļa ieņēmumus valsts un netieši arī pašvaldību budžetos caur iedzīvotāju ienākuma nodokli, gan rada citus pozitīvus efektus, piemēram, mazina ēnu ekonomiku, un nodrošina strādājošos ar tirgus prasībām atbilstošu atalgojumu.</w:t>
            </w:r>
          </w:p>
        </w:tc>
        <w:tc>
          <w:tcPr>
            <w:tcW w:w="557" w:type="pct"/>
            <w:shd w:val="clear" w:color="auto" w:fill="FFFFFF" w:themeFill="background1"/>
          </w:tcPr>
          <w:p w14:paraId="33246526" w14:textId="77777777" w:rsidR="004F0676" w:rsidRPr="00547678" w:rsidRDefault="004F0676" w:rsidP="004F0676">
            <w:pPr>
              <w:jc w:val="both"/>
              <w:rPr>
                <w:b/>
                <w:sz w:val="20"/>
                <w:szCs w:val="20"/>
              </w:rPr>
            </w:pPr>
            <w:r w:rsidRPr="00547678">
              <w:rPr>
                <w:b/>
                <w:sz w:val="20"/>
                <w:szCs w:val="20"/>
              </w:rPr>
              <w:t xml:space="preserve">Uztur iebildumu. </w:t>
            </w:r>
          </w:p>
          <w:p w14:paraId="164929EA" w14:textId="77777777" w:rsidR="004F0676" w:rsidRPr="00547678" w:rsidRDefault="004F0676" w:rsidP="004F0676">
            <w:pPr>
              <w:jc w:val="both"/>
              <w:rPr>
                <w:sz w:val="20"/>
                <w:szCs w:val="20"/>
              </w:rPr>
            </w:pPr>
            <w:r w:rsidRPr="00547678">
              <w:rPr>
                <w:sz w:val="20"/>
                <w:szCs w:val="20"/>
              </w:rPr>
              <w:t>Lūdzam no noteikumu projekta 2.pielikuma 8.1. apakšnodaļas svītrot paredzēto piedāvājumu vērtēšanas kritēriju attiecībā uz vidējās sociālā nodokļa iemaksas vērtēšanu, jo šādu nodokļu iemaksu vērtēšana nav uzskatāma par zaļā publiskā iepirkuma kritēriju, kas nosakāms ar Ministru kabineta 2017.gada 20.jūnija noteikumiem Nr.353 "Prasības zaļajam publiskajam iepirkumam un to piemērošanas kārtība" (turpmāk – Noteikumi).</w:t>
            </w:r>
          </w:p>
        </w:tc>
        <w:tc>
          <w:tcPr>
            <w:tcW w:w="613" w:type="pct"/>
            <w:shd w:val="clear" w:color="auto" w:fill="FFFFFF" w:themeFill="background1"/>
          </w:tcPr>
          <w:p w14:paraId="0FD9B7F3" w14:textId="77777777" w:rsidR="004F0676" w:rsidRPr="00547678" w:rsidRDefault="004F0676" w:rsidP="004F0676">
            <w:pPr>
              <w:jc w:val="both"/>
              <w:rPr>
                <w:b/>
                <w:sz w:val="20"/>
                <w:szCs w:val="20"/>
              </w:rPr>
            </w:pPr>
            <w:r w:rsidRPr="00547678">
              <w:rPr>
                <w:b/>
                <w:sz w:val="20"/>
                <w:szCs w:val="20"/>
              </w:rPr>
              <w:t xml:space="preserve">Ņemts vērā. </w:t>
            </w:r>
          </w:p>
          <w:p w14:paraId="2E7292C3" w14:textId="77777777" w:rsidR="004F0676" w:rsidRPr="00547678" w:rsidRDefault="004F0676" w:rsidP="004F0676">
            <w:pPr>
              <w:jc w:val="both"/>
              <w:rPr>
                <w:sz w:val="20"/>
                <w:szCs w:val="20"/>
              </w:rPr>
            </w:pPr>
            <w:r w:rsidRPr="00547678">
              <w:rPr>
                <w:sz w:val="20"/>
                <w:szCs w:val="20"/>
              </w:rPr>
              <w:t xml:space="preserve">Dzēsts Noteikumu projekta 2. pielikuma 8.1. apakšsadaļā Piedāvājuma izvērtēšans kritērijs: </w:t>
            </w:r>
          </w:p>
          <w:p w14:paraId="7C750021" w14:textId="77777777" w:rsidR="004F0676" w:rsidRPr="00547678" w:rsidRDefault="004F0676" w:rsidP="004F0676">
            <w:pPr>
              <w:jc w:val="both"/>
              <w:rPr>
                <w:sz w:val="20"/>
                <w:szCs w:val="20"/>
              </w:rPr>
            </w:pPr>
            <w:r w:rsidRPr="00547678">
              <w:rPr>
                <w:sz w:val="20"/>
                <w:szCs w:val="20"/>
              </w:rPr>
              <w:t xml:space="preserve">VIDĒJĀ SOCIĀLĀ NODOKĻA IEMAKSA VALSTS BUDŽETĀ PAR DARBINIEKU 12 MĒNEŠU PERIODĀ. </w:t>
            </w:r>
          </w:p>
        </w:tc>
        <w:tc>
          <w:tcPr>
            <w:tcW w:w="598" w:type="pct"/>
            <w:shd w:val="clear" w:color="auto" w:fill="FFFFFF" w:themeFill="background1"/>
          </w:tcPr>
          <w:p w14:paraId="2F92E228" w14:textId="77777777" w:rsidR="004F0676" w:rsidRPr="00547678" w:rsidRDefault="004F0676" w:rsidP="004F0676">
            <w:pPr>
              <w:jc w:val="both"/>
              <w:rPr>
                <w:sz w:val="20"/>
                <w:szCs w:val="20"/>
              </w:rPr>
            </w:pPr>
          </w:p>
        </w:tc>
      </w:tr>
      <w:tr w:rsidR="00683FD6" w:rsidRPr="00CE5FED" w14:paraId="1C1D8967" w14:textId="77777777" w:rsidTr="00CE5FED">
        <w:trPr>
          <w:trHeight w:val="85"/>
        </w:trPr>
        <w:tc>
          <w:tcPr>
            <w:tcW w:w="147" w:type="pct"/>
            <w:shd w:val="clear" w:color="auto" w:fill="FFFFFF" w:themeFill="background1"/>
          </w:tcPr>
          <w:p w14:paraId="25B83D9E"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28209D0F" w14:textId="77777777" w:rsidR="004F0676" w:rsidRPr="00547678" w:rsidRDefault="004F0676" w:rsidP="004F0676">
            <w:pPr>
              <w:suppressAutoHyphens/>
              <w:jc w:val="both"/>
              <w:rPr>
                <w:bCs/>
                <w:sz w:val="20"/>
                <w:szCs w:val="20"/>
              </w:rPr>
            </w:pPr>
            <w:r w:rsidRPr="00547678">
              <w:rPr>
                <w:bCs/>
                <w:sz w:val="20"/>
                <w:szCs w:val="20"/>
              </w:rPr>
              <w:t xml:space="preserve">Noteikumu projekta 1. pielikuma 3.1., 3.2.  apakšsadaļās Tehniskās specifikācijas kritēriji: </w:t>
            </w:r>
          </w:p>
          <w:p w14:paraId="063606F1" w14:textId="77777777" w:rsidR="004F0676" w:rsidRPr="00547678" w:rsidRDefault="004F0676" w:rsidP="004F0676">
            <w:pPr>
              <w:suppressAutoHyphens/>
              <w:jc w:val="both"/>
              <w:rPr>
                <w:bCs/>
                <w:sz w:val="20"/>
                <w:szCs w:val="20"/>
              </w:rPr>
            </w:pPr>
            <w:r w:rsidRPr="00547678">
              <w:rPr>
                <w:bCs/>
                <w:sz w:val="20"/>
                <w:szCs w:val="20"/>
              </w:rPr>
              <w:t>“REZERVES DAĻU NEPĀRTRAUKTA PIEEJAMĪBA</w:t>
            </w:r>
          </w:p>
          <w:p w14:paraId="61B511C2" w14:textId="77777777" w:rsidR="004F0676" w:rsidRPr="00547678" w:rsidRDefault="004F0676" w:rsidP="004F0676">
            <w:pPr>
              <w:suppressAutoHyphens/>
              <w:jc w:val="both"/>
              <w:rPr>
                <w:bCs/>
                <w:sz w:val="20"/>
                <w:szCs w:val="20"/>
              </w:rPr>
            </w:pPr>
            <w:r w:rsidRPr="00547678">
              <w:rPr>
                <w:bCs/>
                <w:sz w:val="20"/>
                <w:szCs w:val="20"/>
              </w:rPr>
              <w:t>Piegādātājam vai ražotājam Līgumā ir jāgarantē, ka rezerves daļas būs pieejamas vismaz 3 gadus pēc preces ražotāja garantijas beigām.”</w:t>
            </w:r>
          </w:p>
        </w:tc>
        <w:tc>
          <w:tcPr>
            <w:tcW w:w="956" w:type="pct"/>
            <w:shd w:val="clear" w:color="auto" w:fill="FFFFFF" w:themeFill="background1"/>
          </w:tcPr>
          <w:p w14:paraId="7A7720E1" w14:textId="77777777" w:rsidR="004F0676" w:rsidRPr="00547678" w:rsidRDefault="004F0676" w:rsidP="004F0676">
            <w:pPr>
              <w:jc w:val="both"/>
              <w:rPr>
                <w:b/>
                <w:sz w:val="20"/>
                <w:szCs w:val="20"/>
              </w:rPr>
            </w:pPr>
            <w:r w:rsidRPr="00547678">
              <w:rPr>
                <w:b/>
                <w:sz w:val="20"/>
                <w:szCs w:val="20"/>
              </w:rPr>
              <w:t>FM</w:t>
            </w:r>
          </w:p>
          <w:p w14:paraId="47355D09" w14:textId="77777777" w:rsidR="004F0676" w:rsidRPr="00547678" w:rsidRDefault="004F0676" w:rsidP="004F0676">
            <w:pPr>
              <w:jc w:val="both"/>
              <w:rPr>
                <w:sz w:val="20"/>
                <w:szCs w:val="20"/>
              </w:rPr>
            </w:pPr>
            <w:r w:rsidRPr="00547678">
              <w:rPr>
                <w:sz w:val="20"/>
                <w:szCs w:val="20"/>
              </w:rPr>
              <w:t>Saskaņā ar noteikumu projekta 1.pielikumu attiecībā uz vairākām preču grupām ir paredzēts tehniskajās specifikācijās ietvert prasības par to, ka piegādātājam ir jāgarantē, ka attiecīgās preces rezerves daļas būs pieejamas vismaz 3 gadus pēc ražošanas beigām vai 3 gadus pēc preces garantijas termiņa beigām. Ņemot vērā, ka nav skaidrs, vai un kā  faktiski piegādātājs šādu garantiju var sniegt, lūdzam izvērtēt, vai šādas prasības tehniskajās specifikācijās būtu ietveramas un ar kādiem dokumentiem piegādātājs šādu garantiju varētu apliecināt.</w:t>
            </w:r>
          </w:p>
        </w:tc>
        <w:tc>
          <w:tcPr>
            <w:tcW w:w="624" w:type="pct"/>
            <w:shd w:val="clear" w:color="auto" w:fill="FFFFFF" w:themeFill="background1"/>
          </w:tcPr>
          <w:p w14:paraId="653F0180" w14:textId="77777777" w:rsidR="004F0676" w:rsidRPr="00547678" w:rsidRDefault="004F0676" w:rsidP="004F0676">
            <w:pPr>
              <w:suppressAutoHyphens/>
              <w:jc w:val="both"/>
              <w:rPr>
                <w:b/>
                <w:sz w:val="20"/>
                <w:szCs w:val="20"/>
              </w:rPr>
            </w:pPr>
            <w:r w:rsidRPr="00547678">
              <w:rPr>
                <w:b/>
                <w:sz w:val="20"/>
                <w:szCs w:val="20"/>
              </w:rPr>
              <w:t xml:space="preserve">Netiek ņemts vērā. </w:t>
            </w:r>
          </w:p>
          <w:p w14:paraId="3D298688" w14:textId="77777777" w:rsidR="004F0676" w:rsidRPr="00547678" w:rsidRDefault="004F0676" w:rsidP="004F0676">
            <w:pPr>
              <w:suppressAutoHyphens/>
              <w:jc w:val="both"/>
              <w:rPr>
                <w:sz w:val="20"/>
                <w:szCs w:val="20"/>
              </w:rPr>
            </w:pPr>
            <w:r w:rsidRPr="00547678">
              <w:rPr>
                <w:sz w:val="20"/>
                <w:szCs w:val="20"/>
              </w:rPr>
              <w:t>EK nosakot savas prioritātes ir noteikusi, ka viens no attīstības virzieniem ir aprites ekonomika, pēc iespējas ilgāk izmantot iegādātās preces, tās atremontēt. Zaļais publiskais iepirkums ir viens no rīkiem, kas īsteno aprites ekonomikas principus un šis kritērijs tiek noteikts Noteikumu projektā, lai veicinātu aprites ekonomikas principu piemērošanu. Kā apliecinājuma dokuments, ko uzrādīs ražotājs, izplatītājs ir pašdeklerācija. Pašdeklarācija kā apliecinājuma forma ir plaši izplatīta un atzīta ES. Pieprasot rezerves daļu pieejamību ilgākā laika periodā tiek nodrošināts, ka prece kalpo ilgāk un tiek nodrošināti aprites ekonomikas pamatprincipi. Lai pasūtītājs šādu prasību varētu izvirzīt, to nepieciešams jau norādīt tehniskajās specifikācij</w:t>
            </w:r>
          </w:p>
        </w:tc>
        <w:tc>
          <w:tcPr>
            <w:tcW w:w="1059" w:type="pct"/>
            <w:shd w:val="clear" w:color="auto" w:fill="FFFFFF" w:themeFill="background1"/>
          </w:tcPr>
          <w:p w14:paraId="7D1AF2FC" w14:textId="77777777" w:rsidR="004F0676" w:rsidRPr="00547678" w:rsidRDefault="004F0676" w:rsidP="004F0676">
            <w:pPr>
              <w:jc w:val="both"/>
              <w:rPr>
                <w:sz w:val="20"/>
                <w:szCs w:val="20"/>
              </w:rPr>
            </w:pPr>
            <w:r w:rsidRPr="00547678">
              <w:rPr>
                <w:sz w:val="20"/>
                <w:szCs w:val="20"/>
              </w:rPr>
              <w:t>Noteikumu projekta 1. pielikuma 3.1., 3.2.  apakšsadaļās Tehniskās specifikācijas kritēriji:</w:t>
            </w:r>
          </w:p>
          <w:p w14:paraId="0DE896C0" w14:textId="77777777" w:rsidR="004F0676" w:rsidRPr="00547678" w:rsidRDefault="004F0676" w:rsidP="004F0676">
            <w:pPr>
              <w:jc w:val="both"/>
              <w:rPr>
                <w:sz w:val="20"/>
                <w:szCs w:val="20"/>
              </w:rPr>
            </w:pPr>
            <w:r w:rsidRPr="00547678">
              <w:rPr>
                <w:sz w:val="20"/>
                <w:szCs w:val="20"/>
              </w:rPr>
              <w:t>REZERVES DAĻU NEPĀRTRAUKTA PIEEJAMĪBA</w:t>
            </w:r>
          </w:p>
          <w:p w14:paraId="2EEBF820" w14:textId="77777777" w:rsidR="004F0676" w:rsidRPr="00547678" w:rsidRDefault="004F0676" w:rsidP="004F0676">
            <w:pPr>
              <w:jc w:val="both"/>
              <w:rPr>
                <w:sz w:val="20"/>
                <w:szCs w:val="20"/>
              </w:rPr>
            </w:pPr>
            <w:r w:rsidRPr="00547678">
              <w:rPr>
                <w:sz w:val="20"/>
                <w:szCs w:val="20"/>
              </w:rPr>
              <w:t xml:space="preserve">Piegādātājam vai ražotājam Līgumā ir jāgarantē, ka rezerves daļas būs pieejamas vismaz trīs gadus pēc preces ražotāja vai piegādātāja noteiktā garantijas termiņa beigām. </w:t>
            </w:r>
          </w:p>
        </w:tc>
        <w:tc>
          <w:tcPr>
            <w:tcW w:w="557" w:type="pct"/>
            <w:shd w:val="clear" w:color="auto" w:fill="FFFFFF" w:themeFill="background1"/>
          </w:tcPr>
          <w:p w14:paraId="2D9ABC31" w14:textId="4667AB2A" w:rsidR="004F0676" w:rsidRPr="00547678" w:rsidRDefault="004F0676" w:rsidP="004F0676">
            <w:pPr>
              <w:jc w:val="both"/>
              <w:rPr>
                <w:b/>
                <w:sz w:val="20"/>
                <w:szCs w:val="20"/>
              </w:rPr>
            </w:pPr>
            <w:r w:rsidRPr="00547678">
              <w:rPr>
                <w:b/>
                <w:sz w:val="20"/>
                <w:szCs w:val="20"/>
              </w:rPr>
              <w:t xml:space="preserve">Uztur iebildumu. </w:t>
            </w:r>
            <w:r w:rsidR="00683FD6" w:rsidRPr="00CE5FED">
              <w:rPr>
                <w:b/>
                <w:sz w:val="20"/>
                <w:szCs w:val="20"/>
              </w:rPr>
              <w:t xml:space="preserve">Iebildums saskaņots. </w:t>
            </w:r>
          </w:p>
          <w:p w14:paraId="2432721A" w14:textId="77777777" w:rsidR="004F0676" w:rsidRPr="00547678" w:rsidRDefault="004F0676" w:rsidP="004F0676">
            <w:pPr>
              <w:jc w:val="both"/>
              <w:rPr>
                <w:sz w:val="20"/>
                <w:szCs w:val="20"/>
              </w:rPr>
            </w:pPr>
            <w:r w:rsidRPr="00547678">
              <w:rPr>
                <w:sz w:val="20"/>
                <w:szCs w:val="20"/>
              </w:rPr>
              <w:t>lūdzam no noteikumu projekta 1.pielikuma 3.1. un 3.2.apakšnodaļām svītrot tehniskajās specifikācijās paredzamo prasību “Rezerves daļu nepārtraukta pieejamība”, saskaņā ar kuru piegādātājam ir jāgarantē, ka attiecīgās preces rezerves daļas būs pieejamas vismaz 3 gadus pēc preces garantijas termiņa beigām. Finanšu ministrija kopumā atbalsta aprites ekonomikas veicināšanu ar zaļā publiskā iepirkuma starpniecību, bet nevar atbalstīt šādas prasības izvirzīšanu Noteikumos, ņemot vērā, ka faktiski nav iespējams pārbaudīt (piemērām, veicot pārbaudes ārvalstu finanšu instrumentu finansētos projektos) piegādātāja sniegto garantiju pašdeklarācijas formā par to, ka attiecīgās rezerves daļas faktiski būs pieejamas minētajā laika periodā.</w:t>
            </w:r>
          </w:p>
          <w:p w14:paraId="3E50222B" w14:textId="77777777" w:rsidR="004F0676" w:rsidRPr="00547678" w:rsidRDefault="004F0676" w:rsidP="004F0676">
            <w:pPr>
              <w:jc w:val="both"/>
              <w:rPr>
                <w:sz w:val="20"/>
                <w:szCs w:val="20"/>
              </w:rPr>
            </w:pPr>
          </w:p>
        </w:tc>
        <w:tc>
          <w:tcPr>
            <w:tcW w:w="613" w:type="pct"/>
            <w:shd w:val="clear" w:color="auto" w:fill="FFFFFF" w:themeFill="background1"/>
          </w:tcPr>
          <w:p w14:paraId="233B937B" w14:textId="4F71F9F0" w:rsidR="004F0676" w:rsidRPr="00547678" w:rsidRDefault="004F0676" w:rsidP="004F0676">
            <w:pPr>
              <w:jc w:val="both"/>
              <w:rPr>
                <w:b/>
                <w:sz w:val="20"/>
                <w:szCs w:val="20"/>
              </w:rPr>
            </w:pPr>
            <w:r w:rsidRPr="00547678">
              <w:rPr>
                <w:b/>
                <w:sz w:val="20"/>
                <w:szCs w:val="20"/>
              </w:rPr>
              <w:t xml:space="preserve">Netiek ņemts vērā. </w:t>
            </w:r>
            <w:r w:rsidR="00657CB5">
              <w:rPr>
                <w:b/>
                <w:sz w:val="20"/>
                <w:szCs w:val="20"/>
              </w:rPr>
              <w:t xml:space="preserve">Ir panākta vienošanās. </w:t>
            </w:r>
          </w:p>
          <w:p w14:paraId="3F959094" w14:textId="77777777" w:rsidR="004F0676" w:rsidRPr="00547678" w:rsidRDefault="004F0676" w:rsidP="004F0676">
            <w:pPr>
              <w:jc w:val="both"/>
              <w:rPr>
                <w:sz w:val="20"/>
                <w:szCs w:val="20"/>
              </w:rPr>
            </w:pPr>
            <w:r w:rsidRPr="00547678">
              <w:rPr>
                <w:sz w:val="20"/>
                <w:szCs w:val="20"/>
              </w:rPr>
              <w:t xml:space="preserve">Vēršam uzmanību, ka jau šobrīd Elektronisko iepirkumu sistēmā (EIS) iegādājoties drukas iekārtas tiek paredzēts, ka ir jānodrošina nepārtrauktu rezerves daļu pieejamību 3 gadus pēc produkta ražošanas beigām. </w:t>
            </w:r>
          </w:p>
          <w:p w14:paraId="67D84EC3" w14:textId="77777777" w:rsidR="004F0676" w:rsidRPr="00547678" w:rsidRDefault="004F0676" w:rsidP="004F0676">
            <w:pPr>
              <w:jc w:val="both"/>
              <w:rPr>
                <w:sz w:val="20"/>
                <w:szCs w:val="20"/>
              </w:rPr>
            </w:pPr>
            <w:r w:rsidRPr="00547678">
              <w:rPr>
                <w:sz w:val="20"/>
                <w:szCs w:val="20"/>
              </w:rPr>
              <w:t xml:space="preserve">EIS datortehnikas katalogā ir prasība: “Piegādātājam ir jāgarantē, ka rezerves daļas būs pieejamas vismaz 3 gadus pēc iekārtu ražošanas beigām”. </w:t>
            </w:r>
          </w:p>
          <w:p w14:paraId="7052763D" w14:textId="77777777" w:rsidR="004F0676" w:rsidRPr="00547678" w:rsidRDefault="004F0676" w:rsidP="004F0676">
            <w:pPr>
              <w:jc w:val="both"/>
              <w:rPr>
                <w:sz w:val="20"/>
                <w:szCs w:val="20"/>
              </w:rPr>
            </w:pPr>
            <w:r w:rsidRPr="00547678">
              <w:rPr>
                <w:sz w:val="20"/>
                <w:szCs w:val="20"/>
              </w:rPr>
              <w:t xml:space="preserve"> </w:t>
            </w:r>
          </w:p>
          <w:p w14:paraId="268EF57A" w14:textId="77777777" w:rsidR="004F0676" w:rsidRPr="00547678" w:rsidRDefault="004F0676" w:rsidP="004F0676">
            <w:pPr>
              <w:jc w:val="both"/>
              <w:rPr>
                <w:sz w:val="20"/>
                <w:szCs w:val="20"/>
              </w:rPr>
            </w:pPr>
            <w:r w:rsidRPr="00547678">
              <w:rPr>
                <w:sz w:val="20"/>
                <w:szCs w:val="20"/>
              </w:rPr>
              <w:t>Atbilstību šai prasībai piegādātāji var apliecināt ar dokumentiem, kas objektīvi apliecina prasības izpildi, piemēram, eko deklarāciju (ECMA international) vai ražotāja vai tā pārstāvniecības apliecinājumu.</w:t>
            </w:r>
          </w:p>
          <w:p w14:paraId="556C11C6" w14:textId="77777777" w:rsidR="004F0676" w:rsidRPr="00547678" w:rsidRDefault="004F0676" w:rsidP="004F0676">
            <w:pPr>
              <w:jc w:val="both"/>
              <w:rPr>
                <w:sz w:val="20"/>
                <w:szCs w:val="20"/>
              </w:rPr>
            </w:pPr>
            <w:r w:rsidRPr="00547678">
              <w:rPr>
                <w:sz w:val="20"/>
                <w:szCs w:val="20"/>
              </w:rPr>
              <w:t xml:space="preserve"> </w:t>
            </w:r>
          </w:p>
          <w:p w14:paraId="2DF2CB92" w14:textId="77777777" w:rsidR="004F0676" w:rsidRPr="00547678" w:rsidRDefault="004F0676" w:rsidP="004F0676">
            <w:pPr>
              <w:jc w:val="both"/>
              <w:rPr>
                <w:sz w:val="20"/>
                <w:szCs w:val="20"/>
              </w:rPr>
            </w:pPr>
            <w:r w:rsidRPr="00547678">
              <w:rPr>
                <w:sz w:val="20"/>
                <w:szCs w:val="20"/>
              </w:rPr>
              <w:t>Piemēram, šajā saitē redzamajā publiski pieejamās deklarācijas punktā P7.9. redzams, ka  HP 14 Laptop PC datoriem rezerves detaļas tiek nodrošinātas 3 gadus pēc modeļa ražošanas beigām, kas ir standarta prakse.</w:t>
            </w:r>
          </w:p>
          <w:p w14:paraId="5678766E" w14:textId="77777777" w:rsidR="004F0676" w:rsidRPr="00547678" w:rsidRDefault="004F0676" w:rsidP="004F0676">
            <w:pPr>
              <w:jc w:val="both"/>
              <w:rPr>
                <w:sz w:val="20"/>
                <w:szCs w:val="20"/>
              </w:rPr>
            </w:pPr>
            <w:r w:rsidRPr="00547678">
              <w:rPr>
                <w:sz w:val="20"/>
                <w:szCs w:val="20"/>
              </w:rPr>
              <w:t xml:space="preserve"> </w:t>
            </w:r>
          </w:p>
          <w:p w14:paraId="6664445B" w14:textId="77777777" w:rsidR="004F0676" w:rsidRPr="00547678" w:rsidRDefault="004F0676" w:rsidP="004F0676">
            <w:pPr>
              <w:jc w:val="both"/>
              <w:rPr>
                <w:sz w:val="20"/>
                <w:szCs w:val="20"/>
              </w:rPr>
            </w:pPr>
            <w:r w:rsidRPr="00547678">
              <w:rPr>
                <w:sz w:val="20"/>
                <w:szCs w:val="20"/>
              </w:rPr>
              <w:t>http://h22235.www2.hp.com/hpinfo/globalcitizenship/environment/productdata/Countries/_MultiCountry/iteco_notebo_20206255128793.pdf</w:t>
            </w:r>
          </w:p>
          <w:p w14:paraId="2F9F5491" w14:textId="77777777" w:rsidR="004F0676" w:rsidRPr="00547678" w:rsidRDefault="004F0676" w:rsidP="004F0676">
            <w:pPr>
              <w:jc w:val="both"/>
              <w:rPr>
                <w:sz w:val="20"/>
                <w:szCs w:val="20"/>
              </w:rPr>
            </w:pPr>
          </w:p>
          <w:p w14:paraId="0E7BFBAC" w14:textId="77777777" w:rsidR="004F0676" w:rsidRPr="00547678" w:rsidRDefault="004F0676" w:rsidP="004F0676">
            <w:pPr>
              <w:jc w:val="both"/>
              <w:rPr>
                <w:sz w:val="20"/>
                <w:szCs w:val="20"/>
              </w:rPr>
            </w:pPr>
            <w:r w:rsidRPr="00547678">
              <w:rPr>
                <w:sz w:val="20"/>
                <w:szCs w:val="20"/>
              </w:rPr>
              <w:t>Iepirkumu uzraudzības birojs savos lēmumos ir teicis, ka ražotāja apliecinājums ir līdzvērtīgs sertifikātam. Līdz ar to pašdeklarācija nekādā gadījumā nav noraidāma.</w:t>
            </w:r>
          </w:p>
          <w:p w14:paraId="4572A36A" w14:textId="77777777" w:rsidR="004F0676" w:rsidRPr="00547678" w:rsidRDefault="004F0676" w:rsidP="004F0676">
            <w:pPr>
              <w:jc w:val="both"/>
              <w:rPr>
                <w:sz w:val="20"/>
                <w:szCs w:val="20"/>
              </w:rPr>
            </w:pPr>
            <w:r w:rsidRPr="00547678">
              <w:rPr>
                <w:sz w:val="20"/>
                <w:szCs w:val="20"/>
              </w:rPr>
              <w:t xml:space="preserve">2016.gada Eiropas Komisijas izstrādātajās vadlīnijās Eiropas Savienības zaļā publiskā iepirkuma kritēriji datoriem un monitoriem tiek norādīts, ka tehniskajā specifikācijā ir jānorāda, ka “pretendents garantē rezerves daļu pieejamību, tostarp vismaz TS6.b kritērijā minēto daļu pieejamību, ne mazāk kā piecus gadus pēc iegādes datuma. Attiecīgajos gadījumos tiek piedāvātas saderīgas daļas ar labāku ietilpību vai veiktspēju.”   </w:t>
            </w:r>
          </w:p>
          <w:p w14:paraId="59F4009C" w14:textId="77777777" w:rsidR="004F0676" w:rsidRPr="00547678" w:rsidRDefault="004F0676" w:rsidP="004F0676">
            <w:pPr>
              <w:jc w:val="both"/>
              <w:rPr>
                <w:sz w:val="20"/>
                <w:szCs w:val="20"/>
              </w:rPr>
            </w:pPr>
            <w:r w:rsidRPr="00547678">
              <w:rPr>
                <w:sz w:val="20"/>
                <w:szCs w:val="20"/>
              </w:rPr>
              <w:t>Viens no zaļā publiskā iepirkuma mērķiem ir nodrošināt, lai prece atrastos pēc iespējas ilgāk aprites ciklā un rezerves daļu pieejamība nodrošina pēc iespējas ilgāku preces izmantošanu. Tas ir viens no zaļā kursa un aprites ekonomikas pamatprincipiem.</w:t>
            </w:r>
          </w:p>
        </w:tc>
        <w:tc>
          <w:tcPr>
            <w:tcW w:w="598" w:type="pct"/>
            <w:shd w:val="clear" w:color="auto" w:fill="FFFFFF" w:themeFill="background1"/>
          </w:tcPr>
          <w:p w14:paraId="6499C9B6" w14:textId="77777777" w:rsidR="00683FD6" w:rsidRPr="00547678" w:rsidRDefault="00683FD6" w:rsidP="00683FD6">
            <w:pPr>
              <w:jc w:val="both"/>
              <w:rPr>
                <w:sz w:val="20"/>
                <w:szCs w:val="20"/>
              </w:rPr>
            </w:pPr>
            <w:r w:rsidRPr="00547678">
              <w:rPr>
                <w:sz w:val="20"/>
                <w:szCs w:val="20"/>
              </w:rPr>
              <w:t>Noteikumu projekta 1. pielikuma 3.1., 3.2.  apakšsadaļās Tehniskās specifikācijas kritēriji:</w:t>
            </w:r>
          </w:p>
          <w:p w14:paraId="7ADC46BF" w14:textId="77777777" w:rsidR="00683FD6" w:rsidRPr="00547678" w:rsidRDefault="00683FD6" w:rsidP="00683FD6">
            <w:pPr>
              <w:jc w:val="both"/>
              <w:rPr>
                <w:sz w:val="20"/>
                <w:szCs w:val="20"/>
              </w:rPr>
            </w:pPr>
            <w:r w:rsidRPr="00547678">
              <w:rPr>
                <w:sz w:val="20"/>
                <w:szCs w:val="20"/>
              </w:rPr>
              <w:t>REZERVES DAĻU NEPĀRTRAUKTA PIEEJAMĪBA</w:t>
            </w:r>
          </w:p>
          <w:p w14:paraId="00C8381E" w14:textId="6F930259" w:rsidR="004F0676" w:rsidRPr="00547678" w:rsidRDefault="00683FD6" w:rsidP="00683FD6">
            <w:pPr>
              <w:jc w:val="both"/>
              <w:rPr>
                <w:sz w:val="20"/>
                <w:szCs w:val="20"/>
              </w:rPr>
            </w:pPr>
            <w:r w:rsidRPr="00547678">
              <w:rPr>
                <w:sz w:val="20"/>
                <w:szCs w:val="20"/>
              </w:rPr>
              <w:t>Piegādātājam vai ražotājam Līgumā ir jāgarantē, ka rezerves daļas būs pieejamas vismaz trīs gadus pēc preces ražotāja vai piegādātāja noteiktā garantijas termiņa beigām.</w:t>
            </w:r>
          </w:p>
        </w:tc>
      </w:tr>
      <w:tr w:rsidR="00683FD6" w:rsidRPr="00CE5FED" w14:paraId="18C44810" w14:textId="77777777" w:rsidTr="00CE5FED">
        <w:trPr>
          <w:trHeight w:val="85"/>
        </w:trPr>
        <w:tc>
          <w:tcPr>
            <w:tcW w:w="147" w:type="pct"/>
            <w:shd w:val="clear" w:color="auto" w:fill="FFFFFF" w:themeFill="background1"/>
          </w:tcPr>
          <w:p w14:paraId="342CF83B"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3C3BBD2C" w14:textId="77777777" w:rsidR="004F0676" w:rsidRPr="00547678" w:rsidRDefault="004F0676" w:rsidP="004F0676">
            <w:pPr>
              <w:suppressAutoHyphens/>
              <w:jc w:val="both"/>
              <w:rPr>
                <w:bCs/>
                <w:sz w:val="20"/>
                <w:szCs w:val="20"/>
              </w:rPr>
            </w:pPr>
            <w:r w:rsidRPr="00547678">
              <w:rPr>
                <w:bCs/>
                <w:sz w:val="20"/>
                <w:szCs w:val="20"/>
              </w:rPr>
              <w:t>Noteikumu projekta 1. pielikuma 3.1. apakšnodaļā piedāvājumu izvērtēšanas kritēriji: “Papildus punkti tiks piešķirti, ja pretendents iesniedz aprites cikla izmaksu aprēķinu (piemēram, VARAM aprites cikla kalkulatoru), saskaņā ar kuru piedāvātais iespējamais uzlabojums rada produkta kopējo ekspluatācijas izmaksu relatīvu samazinājumu, salīdzinot ar modeļiem ar zemāku energoefektivitātes līmeni. Maksimāli piešķiramo punktu skaits nepārsniedz 20% no kopējā saimnieciskā izdevīguma vērtējuma.”</w:t>
            </w:r>
          </w:p>
        </w:tc>
        <w:tc>
          <w:tcPr>
            <w:tcW w:w="956" w:type="pct"/>
            <w:shd w:val="clear" w:color="auto" w:fill="FFFFFF" w:themeFill="background1"/>
          </w:tcPr>
          <w:p w14:paraId="5AD518FD" w14:textId="77777777" w:rsidR="004F0676" w:rsidRPr="00547678" w:rsidRDefault="004F0676" w:rsidP="004F0676">
            <w:pPr>
              <w:jc w:val="both"/>
              <w:rPr>
                <w:b/>
                <w:sz w:val="20"/>
                <w:szCs w:val="20"/>
              </w:rPr>
            </w:pPr>
            <w:r w:rsidRPr="00547678">
              <w:rPr>
                <w:b/>
                <w:sz w:val="20"/>
                <w:szCs w:val="20"/>
              </w:rPr>
              <w:t>FM</w:t>
            </w:r>
          </w:p>
          <w:p w14:paraId="3C2C7588" w14:textId="77777777" w:rsidR="004F0676" w:rsidRPr="00547678" w:rsidRDefault="004F0676" w:rsidP="004F0676">
            <w:pPr>
              <w:jc w:val="both"/>
              <w:rPr>
                <w:sz w:val="20"/>
                <w:szCs w:val="20"/>
              </w:rPr>
            </w:pPr>
            <w:r w:rsidRPr="00547678">
              <w:rPr>
                <w:sz w:val="20"/>
                <w:szCs w:val="20"/>
              </w:rPr>
              <w:t>Lūdzam precizēt noteikumu projekta 1.pielikuma 3.1. apakšnodaļā paredzētā 2.piedāvājumu izvērtēšanas kritērija “Enerģijas patēriņa uzlabojums” aprakstu, jo no pašreizējās redakcijas nav skaidrs, ar ko jāsalīdzina pretendenta iesniegtais aprites cikla izmaksu aprēķins. Ja šo aprēķinu plānots salīdzināt ar citiem piedāvājumiem, tad jāņem vērā, ka citu piedāvājumu ietvaros šāds aprēķins var nebūt iesniegts.</w:t>
            </w:r>
          </w:p>
        </w:tc>
        <w:tc>
          <w:tcPr>
            <w:tcW w:w="624" w:type="pct"/>
            <w:shd w:val="clear" w:color="auto" w:fill="FFFFFF" w:themeFill="background1"/>
          </w:tcPr>
          <w:p w14:paraId="10A5B129"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3F8A21B3" w14:textId="77777777" w:rsidR="004F0676" w:rsidRPr="00547678" w:rsidRDefault="004F0676" w:rsidP="004F0676">
            <w:pPr>
              <w:suppressAutoHyphens/>
              <w:jc w:val="both"/>
              <w:rPr>
                <w:sz w:val="20"/>
                <w:szCs w:val="20"/>
              </w:rPr>
            </w:pPr>
            <w:r w:rsidRPr="00547678">
              <w:rPr>
                <w:sz w:val="20"/>
                <w:szCs w:val="20"/>
              </w:rPr>
              <w:t xml:space="preserve">Papildināts 1. pielikuma 3.1. apakšnodaļa 2. piedāvājuma izvērtēšanas kritērijs: </w:t>
            </w:r>
          </w:p>
          <w:p w14:paraId="313BA586" w14:textId="77777777" w:rsidR="004F0676" w:rsidRPr="00547678" w:rsidRDefault="004F0676" w:rsidP="004F0676">
            <w:pPr>
              <w:suppressAutoHyphens/>
              <w:jc w:val="both"/>
              <w:rPr>
                <w:sz w:val="20"/>
                <w:szCs w:val="20"/>
              </w:rPr>
            </w:pPr>
            <w:r w:rsidRPr="00547678">
              <w:rPr>
                <w:sz w:val="20"/>
                <w:szCs w:val="20"/>
              </w:rPr>
              <w:t xml:space="preserve">Maksimāli X punktus piešķir pretendentam, kura piedāvājumā norādītas zemākās aprites cikla izmaksas. Citiem pretendentiem punktus piešķir proporcionāli to norādītajām aprites cikla izmaksām salīdzinājumā ar zemākajām izmaksām, izmantojot šādu formulu: </w:t>
            </w:r>
          </w:p>
          <w:p w14:paraId="5849C2D2" w14:textId="77777777" w:rsidR="004F0676" w:rsidRPr="00547678" w:rsidRDefault="00657CB5" w:rsidP="004F0676">
            <w:pPr>
              <w:suppressAutoHyphens/>
              <w:jc w:val="both"/>
              <w:rPr>
                <w:sz w:val="20"/>
                <w:szCs w:val="20"/>
              </w:rPr>
            </w:pPr>
            <m:oMathPara>
              <m:oMath>
                <m:f>
                  <m:fPr>
                    <m:ctrlPr>
                      <w:rPr>
                        <w:rFonts w:ascii="Cambria Math" w:hAnsi="Cambria Math"/>
                        <w:sz w:val="20"/>
                        <w:szCs w:val="20"/>
                      </w:rPr>
                    </m:ctrlPr>
                  </m:fPr>
                  <m:num>
                    <m:r>
                      <m:rPr>
                        <m:sty m:val="p"/>
                      </m:rPr>
                      <w:rPr>
                        <w:rFonts w:ascii="Cambria Math" w:hAnsi="Cambria Math"/>
                        <w:sz w:val="20"/>
                        <w:szCs w:val="20"/>
                      </w:rPr>
                      <m:t xml:space="preserve">zemākās AC izmaksas </m:t>
                    </m:r>
                  </m:num>
                  <m:den>
                    <m:r>
                      <m:rPr>
                        <m:sty m:val="p"/>
                      </m:rPr>
                      <w:rPr>
                        <w:rFonts w:ascii="Cambria Math" w:hAnsi="Cambria Math"/>
                        <w:sz w:val="20"/>
                        <w:szCs w:val="20"/>
                      </w:rPr>
                      <m:t>attiecīgā piedvājuma AC izmaksas</m:t>
                    </m:r>
                  </m:den>
                </m:f>
                <m:r>
                  <w:rPr>
                    <w:rFonts w:ascii="Cambria Math" w:hAnsi="Cambria Math"/>
                    <w:sz w:val="20"/>
                    <w:szCs w:val="20"/>
                  </w:rPr>
                  <m:t xml:space="preserve">× </m:t>
                </m:r>
                <m:r>
                  <m:rPr>
                    <m:sty m:val="p"/>
                  </m:rPr>
                  <w:rPr>
                    <w:rFonts w:ascii="Cambria Math" w:hAnsi="Cambria Math"/>
                    <w:sz w:val="20"/>
                    <w:szCs w:val="20"/>
                  </w:rPr>
                  <m:t>Maksimālais punktu skaits</m:t>
                </m:r>
              </m:oMath>
            </m:oMathPara>
          </w:p>
          <w:p w14:paraId="20C3D486"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13BCD12E" w14:textId="77777777" w:rsidR="004F0676" w:rsidRPr="00547678" w:rsidRDefault="004F0676" w:rsidP="004F0676">
            <w:pPr>
              <w:suppressAutoHyphens/>
              <w:autoSpaceDN w:val="0"/>
              <w:spacing w:before="90" w:after="160" w:line="264" w:lineRule="auto"/>
              <w:contextualSpacing/>
              <w:jc w:val="both"/>
              <w:textAlignment w:val="baseline"/>
              <w:rPr>
                <w:color w:val="000000"/>
                <w:sz w:val="20"/>
                <w:szCs w:val="20"/>
                <w:lang w:eastAsia="ja-JP"/>
              </w:rPr>
            </w:pPr>
            <w:r w:rsidRPr="00547678">
              <w:rPr>
                <w:sz w:val="20"/>
                <w:szCs w:val="20"/>
              </w:rPr>
              <w:t xml:space="preserve">Noteikumu projekta 1. pielikuma 3.1. apakšnodaļā piedāvājumu izvērtēšanas kritēriji: </w:t>
            </w:r>
          </w:p>
          <w:p w14:paraId="4DB1838A" w14:textId="77777777" w:rsidR="004F0676" w:rsidRPr="00547678" w:rsidRDefault="004F0676" w:rsidP="004F0676">
            <w:pPr>
              <w:suppressAutoHyphens/>
              <w:autoSpaceDN w:val="0"/>
              <w:spacing w:before="90" w:line="264" w:lineRule="auto"/>
              <w:jc w:val="both"/>
              <w:textAlignment w:val="baseline"/>
              <w:rPr>
                <w:color w:val="000000"/>
                <w:sz w:val="20"/>
                <w:szCs w:val="20"/>
                <w:lang w:eastAsia="ja-JP"/>
              </w:rPr>
            </w:pPr>
            <w:r w:rsidRPr="00547678">
              <w:rPr>
                <w:color w:val="000000"/>
                <w:sz w:val="20"/>
                <w:szCs w:val="20"/>
                <w:lang w:eastAsia="ja-JP"/>
              </w:rPr>
              <w:t xml:space="preserve">“Papildus punkti var tikt piešķirti, ja pretendents iesniedz Pasūtītāja izvēlētu aprites cikla izmaksu aprēķinu (piemēram, VARAM aprites cikla kalkulatoru), saskaņā ar kuru piedāvātais iespējamais uzlabojums rada produkta kopējo ekspluatācijas izmaksu relatīvu samazinājumu, savstarpēji salīdzinot ar iesniegtajiem piedāvājuma modeļiem ar zemāku energoefektivitātes līmeni. </w:t>
            </w:r>
          </w:p>
          <w:p w14:paraId="2E1016F5" w14:textId="77777777" w:rsidR="004F0676" w:rsidRPr="00547678" w:rsidRDefault="004F0676" w:rsidP="004F0676">
            <w:pPr>
              <w:suppressAutoHyphens/>
              <w:autoSpaceDN w:val="0"/>
              <w:spacing w:before="90" w:line="264" w:lineRule="auto"/>
              <w:jc w:val="both"/>
              <w:textAlignment w:val="baseline"/>
              <w:rPr>
                <w:color w:val="000000"/>
                <w:sz w:val="20"/>
                <w:szCs w:val="20"/>
                <w:lang w:eastAsia="ja-JP"/>
              </w:rPr>
            </w:pPr>
            <w:r w:rsidRPr="00547678">
              <w:rPr>
                <w:color w:val="000000"/>
                <w:sz w:val="20"/>
                <w:szCs w:val="20"/>
                <w:lang w:eastAsia="ja-JP"/>
              </w:rPr>
              <w:t xml:space="preserve">Maksimāli X punktus piešķir pretendentam, kura piedāvājumā norādītas zemākās aprites cikla izmaksas. Citiem pretendentiem punktus piešķir proporcionāli to norādītajām aprites cikla izmaksām salīdzinājumā ar zemākajām izmaksām, izmantojot šādu formulu: </w:t>
            </w:r>
          </w:p>
          <w:p w14:paraId="3A4D75F8" w14:textId="77777777" w:rsidR="004F0676" w:rsidRPr="00547678" w:rsidRDefault="00657CB5" w:rsidP="004F0676">
            <w:pPr>
              <w:suppressAutoHyphens/>
              <w:autoSpaceDN w:val="0"/>
              <w:spacing w:before="90" w:line="264" w:lineRule="auto"/>
              <w:jc w:val="both"/>
              <w:textAlignment w:val="baseline"/>
              <w:rPr>
                <w:color w:val="000000"/>
                <w:sz w:val="20"/>
                <w:szCs w:val="20"/>
                <w:lang w:eastAsia="ja-JP"/>
              </w:rPr>
            </w:pPr>
            <m:oMathPara>
              <m:oMath>
                <m:f>
                  <m:fPr>
                    <m:ctrlPr>
                      <w:rPr>
                        <w:rFonts w:ascii="Cambria Math" w:eastAsia="SimSun" w:hAnsi="Cambria Math"/>
                        <w:color w:val="000000"/>
                        <w:sz w:val="20"/>
                        <w:szCs w:val="20"/>
                        <w:lang w:eastAsia="ja-JP"/>
                      </w:rPr>
                    </m:ctrlPr>
                  </m:fPr>
                  <m:num>
                    <m:r>
                      <m:rPr>
                        <m:sty m:val="p"/>
                      </m:rPr>
                      <w:rPr>
                        <w:rFonts w:ascii="Cambria Math" w:hAnsi="Cambria Math"/>
                        <w:color w:val="000000"/>
                        <w:sz w:val="20"/>
                        <w:szCs w:val="20"/>
                        <w:lang w:eastAsia="ja-JP"/>
                      </w:rPr>
                      <m:t xml:space="preserve">zemākās AC izmaksas </m:t>
                    </m:r>
                  </m:num>
                  <m:den>
                    <m:r>
                      <m:rPr>
                        <m:sty m:val="p"/>
                      </m:rPr>
                      <w:rPr>
                        <w:rFonts w:ascii="Cambria Math" w:hAnsi="Cambria Math"/>
                        <w:color w:val="000000"/>
                        <w:sz w:val="20"/>
                        <w:szCs w:val="20"/>
                        <w:lang w:eastAsia="ja-JP"/>
                      </w:rPr>
                      <m:t>attiecīgā piedvājuma AC izmaksas</m:t>
                    </m:r>
                  </m:den>
                </m:f>
                <m:r>
                  <w:rPr>
                    <w:rFonts w:ascii="Cambria Math" w:hAnsi="Cambria Math"/>
                    <w:color w:val="000000"/>
                    <w:sz w:val="20"/>
                    <w:szCs w:val="20"/>
                    <w:lang w:eastAsia="ja-JP"/>
                  </w:rPr>
                  <m:t xml:space="preserve">× </m:t>
                </m:r>
                <m:r>
                  <m:rPr>
                    <m:sty m:val="p"/>
                  </m:rPr>
                  <w:rPr>
                    <w:rFonts w:ascii="Cambria Math" w:hAnsi="Cambria Math"/>
                    <w:color w:val="000000"/>
                    <w:sz w:val="20"/>
                    <w:szCs w:val="20"/>
                    <w:lang w:eastAsia="ja-JP"/>
                  </w:rPr>
                  <m:t>Maksimālais punktu skaits</m:t>
                </m:r>
              </m:oMath>
            </m:oMathPara>
          </w:p>
          <w:p w14:paraId="48B37114" w14:textId="77777777" w:rsidR="004F0676" w:rsidRPr="00547678" w:rsidRDefault="004F0676" w:rsidP="004F0676">
            <w:pPr>
              <w:suppressAutoHyphens/>
              <w:autoSpaceDN w:val="0"/>
              <w:spacing w:before="90" w:line="264" w:lineRule="auto"/>
              <w:jc w:val="both"/>
              <w:textAlignment w:val="baseline"/>
              <w:rPr>
                <w:color w:val="000000"/>
                <w:sz w:val="20"/>
                <w:szCs w:val="20"/>
                <w:lang w:eastAsia="ja-JP"/>
              </w:rPr>
            </w:pPr>
            <w:r w:rsidRPr="00547678">
              <w:rPr>
                <w:color w:val="000000"/>
                <w:sz w:val="20"/>
                <w:szCs w:val="20"/>
                <w:lang w:eastAsia="ja-JP"/>
              </w:rPr>
              <w:t>Maksimāli piešķiramo punktu skaits nepārsniedz 20% no kopējā saimnieciskā izdevīguma vērtējuma.</w:t>
            </w:r>
            <w:r w:rsidRPr="00547678">
              <w:rPr>
                <w:sz w:val="20"/>
                <w:szCs w:val="20"/>
              </w:rPr>
              <w:t>”</w:t>
            </w:r>
          </w:p>
        </w:tc>
        <w:tc>
          <w:tcPr>
            <w:tcW w:w="557" w:type="pct"/>
            <w:shd w:val="clear" w:color="auto" w:fill="FFFFFF" w:themeFill="background1"/>
          </w:tcPr>
          <w:p w14:paraId="2705D8C5" w14:textId="77777777" w:rsidR="004F0676" w:rsidRPr="00547678" w:rsidRDefault="004F0676" w:rsidP="004F0676">
            <w:pPr>
              <w:suppressAutoHyphens/>
              <w:autoSpaceDN w:val="0"/>
              <w:spacing w:before="90" w:after="160" w:line="264" w:lineRule="auto"/>
              <w:contextualSpacing/>
              <w:jc w:val="both"/>
              <w:textAlignment w:val="baseline"/>
              <w:rPr>
                <w:b/>
                <w:sz w:val="20"/>
                <w:szCs w:val="20"/>
              </w:rPr>
            </w:pPr>
            <w:r w:rsidRPr="00547678">
              <w:rPr>
                <w:b/>
                <w:sz w:val="20"/>
                <w:szCs w:val="20"/>
              </w:rPr>
              <w:t xml:space="preserve">Saskaņots. </w:t>
            </w:r>
          </w:p>
          <w:p w14:paraId="2659C281" w14:textId="77777777" w:rsidR="004F0676" w:rsidRPr="00547678" w:rsidRDefault="004F0676" w:rsidP="004F0676">
            <w:pPr>
              <w:suppressAutoHyphens/>
              <w:autoSpaceDN w:val="0"/>
              <w:spacing w:before="90" w:after="160" w:line="264" w:lineRule="auto"/>
              <w:contextualSpacing/>
              <w:jc w:val="both"/>
              <w:textAlignment w:val="baseline"/>
              <w:rPr>
                <w:sz w:val="20"/>
                <w:szCs w:val="20"/>
              </w:rPr>
            </w:pPr>
          </w:p>
        </w:tc>
        <w:tc>
          <w:tcPr>
            <w:tcW w:w="613" w:type="pct"/>
            <w:shd w:val="clear" w:color="auto" w:fill="FFFFFF" w:themeFill="background1"/>
          </w:tcPr>
          <w:p w14:paraId="5C878689" w14:textId="77777777" w:rsidR="004F0676" w:rsidRPr="00547678" w:rsidRDefault="004F0676" w:rsidP="004F0676">
            <w:pPr>
              <w:suppressAutoHyphens/>
              <w:autoSpaceDN w:val="0"/>
              <w:spacing w:before="90" w:after="160" w:line="264" w:lineRule="auto"/>
              <w:contextualSpacing/>
              <w:jc w:val="both"/>
              <w:textAlignment w:val="baseline"/>
              <w:rPr>
                <w:sz w:val="20"/>
                <w:szCs w:val="20"/>
              </w:rPr>
            </w:pPr>
          </w:p>
        </w:tc>
        <w:tc>
          <w:tcPr>
            <w:tcW w:w="598" w:type="pct"/>
            <w:shd w:val="clear" w:color="auto" w:fill="FFFFFF" w:themeFill="background1"/>
          </w:tcPr>
          <w:p w14:paraId="56410E09" w14:textId="77777777" w:rsidR="004F0676" w:rsidRPr="00547678" w:rsidRDefault="004F0676" w:rsidP="004F0676">
            <w:pPr>
              <w:suppressAutoHyphens/>
              <w:autoSpaceDN w:val="0"/>
              <w:spacing w:before="90" w:after="160" w:line="264" w:lineRule="auto"/>
              <w:contextualSpacing/>
              <w:jc w:val="both"/>
              <w:textAlignment w:val="baseline"/>
              <w:rPr>
                <w:sz w:val="20"/>
                <w:szCs w:val="20"/>
              </w:rPr>
            </w:pPr>
          </w:p>
        </w:tc>
      </w:tr>
      <w:tr w:rsidR="00683FD6" w:rsidRPr="00CE5FED" w14:paraId="7EEFBD3C" w14:textId="77777777" w:rsidTr="00CE5FED">
        <w:trPr>
          <w:trHeight w:val="85"/>
        </w:trPr>
        <w:tc>
          <w:tcPr>
            <w:tcW w:w="147" w:type="pct"/>
            <w:shd w:val="clear" w:color="auto" w:fill="FFFFFF" w:themeFill="background1"/>
          </w:tcPr>
          <w:p w14:paraId="3D0D4AA8"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41F5D564" w14:textId="77777777" w:rsidR="004F0676" w:rsidRPr="00547678" w:rsidRDefault="004F0676" w:rsidP="004F0676">
            <w:pPr>
              <w:suppressAutoHyphens/>
              <w:jc w:val="both"/>
              <w:rPr>
                <w:bCs/>
                <w:sz w:val="20"/>
                <w:szCs w:val="20"/>
              </w:rPr>
            </w:pPr>
            <w:r w:rsidRPr="00547678">
              <w:rPr>
                <w:bCs/>
                <w:sz w:val="20"/>
                <w:szCs w:val="20"/>
              </w:rPr>
              <w:t>Noteikumu projekta 1. pielikuma Piedāvājuma izvērtēšanas kritēriji 3.2. apakšnodaļā:</w:t>
            </w:r>
          </w:p>
          <w:p w14:paraId="0F082650" w14:textId="77777777" w:rsidR="004F0676" w:rsidRPr="00547678" w:rsidRDefault="004F0676" w:rsidP="004F0676">
            <w:pPr>
              <w:suppressAutoHyphens/>
              <w:jc w:val="both"/>
              <w:rPr>
                <w:bCs/>
                <w:sz w:val="20"/>
                <w:szCs w:val="20"/>
              </w:rPr>
            </w:pPr>
            <w:r w:rsidRPr="00547678">
              <w:rPr>
                <w:bCs/>
                <w:sz w:val="20"/>
                <w:szCs w:val="20"/>
              </w:rPr>
              <w:t>2. ENERĢIJAS PATĒRIŅŠ</w:t>
            </w:r>
          </w:p>
          <w:p w14:paraId="46B27B64" w14:textId="77777777" w:rsidR="004F0676" w:rsidRPr="00547678" w:rsidRDefault="004F0676" w:rsidP="004F0676">
            <w:pPr>
              <w:suppressAutoHyphens/>
              <w:jc w:val="both"/>
              <w:rPr>
                <w:bCs/>
                <w:sz w:val="20"/>
                <w:szCs w:val="20"/>
              </w:rPr>
            </w:pPr>
            <w:r w:rsidRPr="00547678">
              <w:rPr>
                <w:bCs/>
                <w:sz w:val="20"/>
                <w:szCs w:val="20"/>
              </w:rPr>
              <w:t>2.1. serveriem, kuros var izmantot tikai vienu procesoru, jābūt aprīkotiem ar vienu vai vairākiem 220V barošanas blokiem, kura(-u) efektivitāte pie 50 procenti noslodzes ir vismaz 92 procenti;</w:t>
            </w:r>
          </w:p>
          <w:p w14:paraId="48348B3C" w14:textId="77777777" w:rsidR="004F0676" w:rsidRPr="00547678" w:rsidRDefault="004F0676" w:rsidP="004F0676">
            <w:pPr>
              <w:suppressAutoHyphens/>
              <w:jc w:val="both"/>
              <w:rPr>
                <w:bCs/>
                <w:sz w:val="20"/>
                <w:szCs w:val="20"/>
              </w:rPr>
            </w:pPr>
            <w:r w:rsidRPr="00547678">
              <w:rPr>
                <w:bCs/>
                <w:sz w:val="20"/>
                <w:szCs w:val="20"/>
              </w:rPr>
              <w:t xml:space="preserve">2.2. serveriem, kuros var vienlaicīgi izmantot vairāk nekā vienu procesoru, un disku masīviem, kuriem ir iespējams tikai viens vai divi kontrolieri,  ir jābūt aprīkotiem ar vienu vai vairākiem 220 V barošanas blokiem, kuru efektivitāte pie 50 procenti noslodzes ir vismaz 92 procenti; </w:t>
            </w:r>
          </w:p>
          <w:p w14:paraId="22CE69D2" w14:textId="77777777" w:rsidR="004F0676" w:rsidRPr="00547678" w:rsidRDefault="004F0676" w:rsidP="004F0676">
            <w:pPr>
              <w:suppressAutoHyphens/>
              <w:jc w:val="both"/>
              <w:rPr>
                <w:bCs/>
                <w:sz w:val="20"/>
                <w:szCs w:val="20"/>
              </w:rPr>
            </w:pPr>
            <w:r w:rsidRPr="00547678">
              <w:rPr>
                <w:bCs/>
                <w:sz w:val="20"/>
                <w:szCs w:val="20"/>
              </w:rPr>
              <w:t>2.3. serveru šasijām (piemēram, asmeņserveru šasijām) un disku masīviem, kuriem ir iespējams izmantot vairāk nekā divus kontrolierus, ir jābūt aprīkotām ar vismaz diviem 220 V barošanas blokiem, kuru efektivitāte pie 50 procenti noslodzes ir vismaz 92 procenti.</w:t>
            </w:r>
          </w:p>
          <w:p w14:paraId="63BE5BC7" w14:textId="77777777" w:rsidR="004F0676" w:rsidRPr="00547678" w:rsidRDefault="004F0676" w:rsidP="004F0676">
            <w:pPr>
              <w:suppressAutoHyphens/>
              <w:jc w:val="both"/>
              <w:rPr>
                <w:bCs/>
                <w:sz w:val="20"/>
                <w:szCs w:val="20"/>
              </w:rPr>
            </w:pPr>
          </w:p>
          <w:p w14:paraId="18D3CDDE" w14:textId="77777777" w:rsidR="004F0676" w:rsidRPr="00547678" w:rsidRDefault="004F0676" w:rsidP="004F0676">
            <w:pPr>
              <w:suppressAutoHyphens/>
              <w:jc w:val="both"/>
              <w:rPr>
                <w:bCs/>
                <w:sz w:val="20"/>
                <w:szCs w:val="20"/>
              </w:rPr>
            </w:pPr>
            <w:r w:rsidRPr="00547678">
              <w:rPr>
                <w:bCs/>
                <w:sz w:val="20"/>
                <w:szCs w:val="20"/>
              </w:rPr>
              <w:t>4.1., 4.2. apakšnodaļas Piedāvājuma izvērtēšanas kritēriji 2.1. punkts:</w:t>
            </w:r>
          </w:p>
          <w:p w14:paraId="108D78B2" w14:textId="77777777" w:rsidR="004F0676" w:rsidRPr="00547678" w:rsidRDefault="004F0676" w:rsidP="004F0676">
            <w:pPr>
              <w:suppressAutoHyphens/>
              <w:jc w:val="both"/>
              <w:rPr>
                <w:bCs/>
                <w:sz w:val="20"/>
                <w:szCs w:val="20"/>
              </w:rPr>
            </w:pPr>
            <w:r w:rsidRPr="00547678">
              <w:rPr>
                <w:bCs/>
                <w:sz w:val="20"/>
                <w:szCs w:val="20"/>
              </w:rPr>
              <w:t>Lai novērtētu saimnieciski visizdevīgāko piedāvājumu, pasūtītājs papildus cenas vai izmaksu kritērijam vērtē sekojošus ZPI kritērijus:</w:t>
            </w:r>
          </w:p>
          <w:p w14:paraId="1E5BFD3D" w14:textId="77777777" w:rsidR="004F0676" w:rsidRPr="00547678" w:rsidRDefault="004F0676" w:rsidP="004F0676">
            <w:pPr>
              <w:suppressAutoHyphens/>
              <w:jc w:val="both"/>
              <w:rPr>
                <w:bCs/>
                <w:sz w:val="20"/>
                <w:szCs w:val="20"/>
              </w:rPr>
            </w:pPr>
            <w:r w:rsidRPr="00547678">
              <w:rPr>
                <w:bCs/>
                <w:sz w:val="20"/>
                <w:szCs w:val="20"/>
              </w:rPr>
              <w:t>2.1. pārtikas produktu kvalitāte:</w:t>
            </w:r>
          </w:p>
          <w:p w14:paraId="4A0EC5F5" w14:textId="77777777" w:rsidR="004F0676" w:rsidRPr="00547678" w:rsidRDefault="004F0676" w:rsidP="004F0676">
            <w:pPr>
              <w:suppressAutoHyphens/>
              <w:jc w:val="both"/>
              <w:rPr>
                <w:bCs/>
                <w:sz w:val="20"/>
                <w:szCs w:val="20"/>
              </w:rPr>
            </w:pPr>
            <w:r w:rsidRPr="00547678">
              <w:rPr>
                <w:bCs/>
                <w:sz w:val="20"/>
                <w:szCs w:val="20"/>
              </w:rPr>
              <w:t>2.1.1. vismaz 35 procenti no visas piena un kefīra masas vai vērtības (no 2022. gada 1. janvāra vismaz 50 procenti) un vismaz 20 procenti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w:t>
            </w:r>
          </w:p>
          <w:p w14:paraId="33CD15B5" w14:textId="77777777" w:rsidR="004F0676" w:rsidRPr="00547678" w:rsidRDefault="004F0676" w:rsidP="004F0676">
            <w:pPr>
              <w:suppressAutoHyphens/>
              <w:jc w:val="both"/>
              <w:rPr>
                <w:bCs/>
                <w:sz w:val="20"/>
                <w:szCs w:val="20"/>
              </w:rPr>
            </w:pPr>
            <w:r w:rsidRPr="00547678">
              <w:rPr>
                <w:bCs/>
                <w:sz w:val="20"/>
                <w:szCs w:val="20"/>
              </w:rPr>
              <w:t>un</w:t>
            </w:r>
          </w:p>
          <w:p w14:paraId="5DC68217" w14:textId="77777777" w:rsidR="004F0676" w:rsidRPr="00547678" w:rsidRDefault="004F0676" w:rsidP="004F0676">
            <w:pPr>
              <w:suppressAutoHyphens/>
              <w:jc w:val="both"/>
              <w:rPr>
                <w:bCs/>
                <w:sz w:val="20"/>
                <w:szCs w:val="20"/>
              </w:rPr>
            </w:pPr>
            <w:r w:rsidRPr="00547678">
              <w:rPr>
                <w:bCs/>
                <w:sz w:val="20"/>
                <w:szCs w:val="20"/>
              </w:rPr>
              <w:t xml:space="preserve">2.1.2. bioloģiskās lauksaimniecības prasībām atbilstoši produkti (tehniskajā specifikācijā norādītais produktu apjoms vai īpatsvars); </w:t>
            </w:r>
          </w:p>
          <w:p w14:paraId="2379952F" w14:textId="77777777" w:rsidR="004F0676" w:rsidRPr="00547678" w:rsidRDefault="004F0676" w:rsidP="004F0676">
            <w:pPr>
              <w:suppressAutoHyphens/>
              <w:jc w:val="both"/>
              <w:rPr>
                <w:bCs/>
                <w:sz w:val="20"/>
                <w:szCs w:val="20"/>
              </w:rPr>
            </w:pPr>
            <w:r w:rsidRPr="00547678">
              <w:rPr>
                <w:bCs/>
                <w:sz w:val="20"/>
                <w:szCs w:val="20"/>
              </w:rPr>
              <w:t>vai</w:t>
            </w:r>
          </w:p>
          <w:p w14:paraId="0A5CE3F9" w14:textId="77777777" w:rsidR="004F0676" w:rsidRPr="00547678" w:rsidRDefault="004F0676" w:rsidP="004F0676">
            <w:pPr>
              <w:suppressAutoHyphens/>
              <w:jc w:val="both"/>
              <w:rPr>
                <w:bCs/>
                <w:sz w:val="20"/>
                <w:szCs w:val="20"/>
              </w:rPr>
            </w:pPr>
            <w:r w:rsidRPr="00547678">
              <w:rPr>
                <w:bCs/>
                <w:sz w:val="20"/>
                <w:szCs w:val="20"/>
              </w:rPr>
              <w:t>2.1.3. lauksaimniecības produktu integrētās audzēšanas prasībām atbilstoši produkti (tehniskajā specifikācijā norādītais produktu apjoms vai īpatsvars);</w:t>
            </w:r>
          </w:p>
          <w:p w14:paraId="28A28E44" w14:textId="77777777" w:rsidR="004F0676" w:rsidRPr="00547678" w:rsidRDefault="004F0676" w:rsidP="004F0676">
            <w:pPr>
              <w:suppressAutoHyphens/>
              <w:jc w:val="both"/>
              <w:rPr>
                <w:bCs/>
                <w:sz w:val="20"/>
                <w:szCs w:val="20"/>
              </w:rPr>
            </w:pPr>
            <w:r w:rsidRPr="00547678">
              <w:rPr>
                <w:bCs/>
                <w:sz w:val="20"/>
                <w:szCs w:val="20"/>
              </w:rPr>
              <w:t xml:space="preserve">vai </w:t>
            </w:r>
          </w:p>
          <w:p w14:paraId="7F389320" w14:textId="77777777" w:rsidR="004F0676" w:rsidRPr="00547678" w:rsidRDefault="004F0676" w:rsidP="004F0676">
            <w:pPr>
              <w:suppressAutoHyphens/>
              <w:jc w:val="both"/>
              <w:rPr>
                <w:bCs/>
                <w:sz w:val="20"/>
                <w:szCs w:val="20"/>
              </w:rPr>
            </w:pPr>
            <w:r w:rsidRPr="00547678">
              <w:rPr>
                <w:bCs/>
                <w:sz w:val="20"/>
                <w:szCs w:val="20"/>
              </w:rPr>
              <w:t>2.1.4. nacionālās pārtikas kvalitātes shēmas prasībām atbilstoši produkti (tehniskajā specifikācijā norādītais produktu apjoms vai īpatsvars).</w:t>
            </w:r>
          </w:p>
        </w:tc>
        <w:tc>
          <w:tcPr>
            <w:tcW w:w="956" w:type="pct"/>
            <w:shd w:val="clear" w:color="auto" w:fill="FFFFFF" w:themeFill="background1"/>
          </w:tcPr>
          <w:p w14:paraId="38713D51" w14:textId="77777777" w:rsidR="004F0676" w:rsidRPr="00547678" w:rsidRDefault="004F0676" w:rsidP="004F0676">
            <w:pPr>
              <w:jc w:val="both"/>
              <w:rPr>
                <w:b/>
                <w:sz w:val="20"/>
                <w:szCs w:val="20"/>
              </w:rPr>
            </w:pPr>
            <w:r w:rsidRPr="00547678">
              <w:rPr>
                <w:b/>
                <w:sz w:val="20"/>
                <w:szCs w:val="20"/>
              </w:rPr>
              <w:t>FM</w:t>
            </w:r>
          </w:p>
          <w:p w14:paraId="6B4A2EA8" w14:textId="77777777" w:rsidR="004F0676" w:rsidRPr="00547678" w:rsidRDefault="004F0676" w:rsidP="004F0676">
            <w:pPr>
              <w:jc w:val="both"/>
              <w:rPr>
                <w:sz w:val="20"/>
                <w:szCs w:val="20"/>
              </w:rPr>
            </w:pPr>
            <w:r w:rsidRPr="00547678">
              <w:rPr>
                <w:sz w:val="20"/>
                <w:szCs w:val="20"/>
              </w:rPr>
              <w:t>Lūdzam aktualizēt noteikumu projekta 1.pielikuma 3.2., 4.1., 4.2.apakšnodaļās paredzētos procentuālos rādītājus attiecībā uz piedāvājumu izvērtēšanas kritērijiem, jo pašreizējā redakcijā tie sakrīt ar procentuālajiem rādītājiem, kas paredzami tehniskajās specifikācijās.</w:t>
            </w:r>
          </w:p>
        </w:tc>
        <w:tc>
          <w:tcPr>
            <w:tcW w:w="624" w:type="pct"/>
            <w:shd w:val="clear" w:color="auto" w:fill="FFFFFF" w:themeFill="background1"/>
          </w:tcPr>
          <w:p w14:paraId="17ECC1E5"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70D7202A" w14:textId="77777777" w:rsidR="004F0676" w:rsidRPr="00547678" w:rsidRDefault="004F0676" w:rsidP="004F0676">
            <w:pPr>
              <w:suppressAutoHyphens/>
              <w:jc w:val="both"/>
              <w:rPr>
                <w:sz w:val="20"/>
                <w:szCs w:val="20"/>
              </w:rPr>
            </w:pPr>
            <w:r w:rsidRPr="00547678">
              <w:rPr>
                <w:sz w:val="20"/>
                <w:szCs w:val="20"/>
              </w:rPr>
              <w:t xml:space="preserve">Precizēta informācija noteikumu projekta 1. pielikuma 3.2., 4.1, 4.2. apakšnodaļās. </w:t>
            </w:r>
          </w:p>
        </w:tc>
        <w:tc>
          <w:tcPr>
            <w:tcW w:w="1059" w:type="pct"/>
            <w:shd w:val="clear" w:color="auto" w:fill="FFFFFF" w:themeFill="background1"/>
          </w:tcPr>
          <w:p w14:paraId="07F9F162" w14:textId="77777777" w:rsidR="004F0676" w:rsidRPr="00547678" w:rsidRDefault="004F0676" w:rsidP="004F0676">
            <w:pPr>
              <w:jc w:val="both"/>
              <w:rPr>
                <w:sz w:val="20"/>
                <w:szCs w:val="20"/>
              </w:rPr>
            </w:pPr>
            <w:r w:rsidRPr="00547678">
              <w:rPr>
                <w:sz w:val="20"/>
                <w:szCs w:val="20"/>
              </w:rPr>
              <w:t xml:space="preserve">Noteikumu projekta 1. pielikuma Piedāvājuma izvērtēšanas kritēriji 3.2. apakšnodaļā: </w:t>
            </w:r>
          </w:p>
          <w:p w14:paraId="1AADF57A" w14:textId="77777777" w:rsidR="004F0676" w:rsidRPr="00547678" w:rsidRDefault="004F0676" w:rsidP="004F0676">
            <w:pPr>
              <w:jc w:val="both"/>
              <w:rPr>
                <w:sz w:val="20"/>
                <w:szCs w:val="20"/>
              </w:rPr>
            </w:pPr>
            <w:r w:rsidRPr="00547678">
              <w:rPr>
                <w:sz w:val="20"/>
                <w:szCs w:val="20"/>
              </w:rPr>
              <w:t>2. ENERĢIJAS PATĒRIŅŠ</w:t>
            </w:r>
          </w:p>
          <w:p w14:paraId="1EAEF7A1" w14:textId="77777777" w:rsidR="004F0676" w:rsidRPr="00547678" w:rsidRDefault="004F0676" w:rsidP="004F0676">
            <w:pPr>
              <w:jc w:val="both"/>
              <w:rPr>
                <w:sz w:val="20"/>
                <w:szCs w:val="20"/>
              </w:rPr>
            </w:pPr>
            <w:r w:rsidRPr="00547678">
              <w:rPr>
                <w:sz w:val="20"/>
                <w:szCs w:val="20"/>
              </w:rPr>
              <w:t>Papildu punktus piešķirs šādām iekārtām:</w:t>
            </w:r>
          </w:p>
          <w:p w14:paraId="395E98B5" w14:textId="77777777" w:rsidR="004F0676" w:rsidRPr="00547678" w:rsidRDefault="004F0676" w:rsidP="004F0676">
            <w:pPr>
              <w:jc w:val="both"/>
              <w:rPr>
                <w:sz w:val="20"/>
                <w:szCs w:val="20"/>
              </w:rPr>
            </w:pPr>
            <w:r w:rsidRPr="00547678">
              <w:rPr>
                <w:sz w:val="20"/>
                <w:szCs w:val="20"/>
              </w:rPr>
              <w:t>2.1. serveriem, kuros var izmantot tikai vienu procesoru, ir jābūt aprīkotiem ar vienu vai vairākiem 230 V barošanas blokiem, kuru efektivitāte pie 50 procentu noslodzes ir vismaz 92 procenti;</w:t>
            </w:r>
          </w:p>
          <w:p w14:paraId="7D151A96" w14:textId="77777777" w:rsidR="004F0676" w:rsidRPr="00547678" w:rsidRDefault="004F0676" w:rsidP="004F0676">
            <w:pPr>
              <w:jc w:val="both"/>
              <w:rPr>
                <w:sz w:val="20"/>
                <w:szCs w:val="20"/>
              </w:rPr>
            </w:pPr>
            <w:r w:rsidRPr="00547678">
              <w:rPr>
                <w:sz w:val="20"/>
                <w:szCs w:val="20"/>
              </w:rPr>
              <w:t xml:space="preserve">2.2. serveriem, kuros var vienlaicīgi izmantot vairāk nekā vienu procesoru, un disku masīviem, kuriem ir iespējams tikai viens vai divi kontrolieri, ir jābūt aprīkotiem ar vienu vai vairākiem 230 V barošanas blokiem, kuru efektivitāte pie 50 procentu noslodzes ir vismaz 92 procenti; </w:t>
            </w:r>
          </w:p>
          <w:p w14:paraId="2DA9ED98" w14:textId="77777777" w:rsidR="004F0676" w:rsidRPr="00547678" w:rsidRDefault="004F0676" w:rsidP="004F0676">
            <w:pPr>
              <w:jc w:val="both"/>
              <w:rPr>
                <w:sz w:val="20"/>
                <w:szCs w:val="20"/>
              </w:rPr>
            </w:pPr>
            <w:r w:rsidRPr="00547678">
              <w:rPr>
                <w:sz w:val="20"/>
                <w:szCs w:val="20"/>
              </w:rPr>
              <w:t>2.3. serveru šasijām (piemēram, asmeņserveru šasijām) un disku masīviem, kuriem ir iespējams izmantot vairāk nekā divus kontrolierus, ir jābūt aprīkotiem ar vismaz diviem 230 V barošanas blokiem, kuru efektivitāte pie 50 procentu noslodzes ir vismaz 92 procenti.</w:t>
            </w:r>
          </w:p>
          <w:p w14:paraId="6B0CB8DB" w14:textId="77777777" w:rsidR="004F0676" w:rsidRPr="00547678" w:rsidRDefault="004F0676" w:rsidP="004F0676">
            <w:pPr>
              <w:jc w:val="both"/>
              <w:rPr>
                <w:sz w:val="20"/>
                <w:szCs w:val="20"/>
              </w:rPr>
            </w:pPr>
          </w:p>
          <w:p w14:paraId="621CA530" w14:textId="77777777" w:rsidR="004F0676" w:rsidRPr="00547678" w:rsidRDefault="004F0676" w:rsidP="004F0676">
            <w:pPr>
              <w:jc w:val="both"/>
              <w:rPr>
                <w:sz w:val="20"/>
                <w:szCs w:val="20"/>
              </w:rPr>
            </w:pPr>
          </w:p>
          <w:p w14:paraId="7FFA178C" w14:textId="77777777" w:rsidR="004F0676" w:rsidRPr="00547678" w:rsidRDefault="004F0676" w:rsidP="004F0676">
            <w:pPr>
              <w:jc w:val="both"/>
              <w:rPr>
                <w:sz w:val="20"/>
                <w:szCs w:val="20"/>
              </w:rPr>
            </w:pPr>
          </w:p>
          <w:p w14:paraId="38665264" w14:textId="77777777" w:rsidR="004F0676" w:rsidRPr="00547678" w:rsidRDefault="004F0676" w:rsidP="004F0676">
            <w:pPr>
              <w:jc w:val="both"/>
              <w:rPr>
                <w:sz w:val="20"/>
                <w:szCs w:val="20"/>
              </w:rPr>
            </w:pPr>
          </w:p>
          <w:p w14:paraId="48739BF9" w14:textId="77777777" w:rsidR="004F0676" w:rsidRPr="00547678" w:rsidRDefault="004F0676" w:rsidP="004F0676">
            <w:pPr>
              <w:jc w:val="both"/>
              <w:rPr>
                <w:sz w:val="20"/>
                <w:szCs w:val="20"/>
              </w:rPr>
            </w:pPr>
          </w:p>
          <w:p w14:paraId="16336A8A" w14:textId="77777777" w:rsidR="004F0676" w:rsidRPr="00547678" w:rsidRDefault="004F0676" w:rsidP="004F0676">
            <w:pPr>
              <w:jc w:val="both"/>
              <w:rPr>
                <w:sz w:val="20"/>
                <w:szCs w:val="20"/>
              </w:rPr>
            </w:pPr>
          </w:p>
          <w:p w14:paraId="4D8AE3C2" w14:textId="77777777" w:rsidR="004F0676" w:rsidRPr="00547678" w:rsidRDefault="004F0676" w:rsidP="004F0676">
            <w:pPr>
              <w:jc w:val="both"/>
              <w:rPr>
                <w:sz w:val="20"/>
                <w:szCs w:val="20"/>
              </w:rPr>
            </w:pPr>
          </w:p>
          <w:p w14:paraId="64506915" w14:textId="77777777" w:rsidR="004F0676" w:rsidRPr="00547678" w:rsidRDefault="004F0676" w:rsidP="004F0676">
            <w:pPr>
              <w:jc w:val="both"/>
              <w:rPr>
                <w:sz w:val="20"/>
                <w:szCs w:val="20"/>
              </w:rPr>
            </w:pPr>
          </w:p>
          <w:p w14:paraId="7BDC4223" w14:textId="77777777" w:rsidR="004F0676" w:rsidRPr="00547678" w:rsidRDefault="004F0676" w:rsidP="004F0676">
            <w:pPr>
              <w:jc w:val="both"/>
              <w:rPr>
                <w:sz w:val="20"/>
                <w:szCs w:val="20"/>
              </w:rPr>
            </w:pPr>
          </w:p>
          <w:p w14:paraId="4BE22E0D" w14:textId="77777777" w:rsidR="004F0676" w:rsidRPr="00547678" w:rsidRDefault="004F0676" w:rsidP="004F0676">
            <w:pPr>
              <w:jc w:val="both"/>
              <w:rPr>
                <w:sz w:val="20"/>
                <w:szCs w:val="20"/>
              </w:rPr>
            </w:pPr>
          </w:p>
          <w:p w14:paraId="3F0D93F2" w14:textId="77777777" w:rsidR="004F0676" w:rsidRPr="00547678" w:rsidRDefault="004F0676" w:rsidP="004F0676">
            <w:pPr>
              <w:jc w:val="both"/>
              <w:rPr>
                <w:sz w:val="20"/>
                <w:szCs w:val="20"/>
              </w:rPr>
            </w:pPr>
          </w:p>
          <w:p w14:paraId="06F181FC" w14:textId="77777777" w:rsidR="004F0676" w:rsidRPr="00547678" w:rsidRDefault="004F0676" w:rsidP="004F0676">
            <w:pPr>
              <w:jc w:val="both"/>
              <w:rPr>
                <w:sz w:val="20"/>
                <w:szCs w:val="20"/>
              </w:rPr>
            </w:pPr>
          </w:p>
          <w:p w14:paraId="7A145691" w14:textId="77777777" w:rsidR="004F0676" w:rsidRPr="00547678" w:rsidRDefault="004F0676" w:rsidP="004F0676">
            <w:pPr>
              <w:jc w:val="both"/>
              <w:rPr>
                <w:sz w:val="20"/>
                <w:szCs w:val="20"/>
              </w:rPr>
            </w:pPr>
          </w:p>
          <w:p w14:paraId="7949F774" w14:textId="77777777" w:rsidR="004F0676" w:rsidRPr="00547678" w:rsidRDefault="004F0676" w:rsidP="004F0676">
            <w:pPr>
              <w:jc w:val="both"/>
              <w:rPr>
                <w:sz w:val="20"/>
                <w:szCs w:val="20"/>
              </w:rPr>
            </w:pPr>
          </w:p>
          <w:p w14:paraId="25A703DF" w14:textId="77777777" w:rsidR="004F0676" w:rsidRPr="00547678" w:rsidRDefault="004F0676" w:rsidP="004F0676">
            <w:pPr>
              <w:jc w:val="both"/>
              <w:rPr>
                <w:sz w:val="20"/>
                <w:szCs w:val="20"/>
              </w:rPr>
            </w:pPr>
          </w:p>
          <w:p w14:paraId="134C36B0" w14:textId="77777777" w:rsidR="004F0676" w:rsidRPr="00547678" w:rsidRDefault="004F0676" w:rsidP="004F0676">
            <w:pPr>
              <w:jc w:val="both"/>
              <w:rPr>
                <w:sz w:val="20"/>
                <w:szCs w:val="20"/>
              </w:rPr>
            </w:pPr>
          </w:p>
          <w:p w14:paraId="6DDACC03" w14:textId="77777777" w:rsidR="004F0676" w:rsidRPr="00547678" w:rsidRDefault="004F0676" w:rsidP="004F0676">
            <w:pPr>
              <w:jc w:val="both"/>
              <w:rPr>
                <w:sz w:val="20"/>
                <w:szCs w:val="20"/>
              </w:rPr>
            </w:pPr>
          </w:p>
          <w:p w14:paraId="7DD17344" w14:textId="77777777" w:rsidR="004F0676" w:rsidRPr="00547678" w:rsidRDefault="004F0676" w:rsidP="004F0676">
            <w:pPr>
              <w:jc w:val="both"/>
              <w:rPr>
                <w:sz w:val="20"/>
                <w:szCs w:val="20"/>
              </w:rPr>
            </w:pPr>
          </w:p>
          <w:p w14:paraId="673FF25C" w14:textId="77777777" w:rsidR="004F0676" w:rsidRPr="00547678" w:rsidRDefault="004F0676" w:rsidP="004F0676">
            <w:pPr>
              <w:jc w:val="both"/>
              <w:rPr>
                <w:sz w:val="20"/>
                <w:szCs w:val="20"/>
              </w:rPr>
            </w:pPr>
          </w:p>
          <w:p w14:paraId="1B419A9A" w14:textId="77777777" w:rsidR="004F0676" w:rsidRPr="00547678" w:rsidRDefault="004F0676" w:rsidP="004F0676">
            <w:pPr>
              <w:jc w:val="both"/>
              <w:rPr>
                <w:sz w:val="20"/>
                <w:szCs w:val="20"/>
              </w:rPr>
            </w:pPr>
          </w:p>
          <w:p w14:paraId="3ED4BDFE" w14:textId="77777777" w:rsidR="004F0676" w:rsidRPr="00547678" w:rsidRDefault="004F0676" w:rsidP="004F0676">
            <w:pPr>
              <w:jc w:val="both"/>
              <w:rPr>
                <w:sz w:val="20"/>
                <w:szCs w:val="20"/>
              </w:rPr>
            </w:pPr>
          </w:p>
          <w:p w14:paraId="02898E05" w14:textId="77777777" w:rsidR="004F0676" w:rsidRPr="00547678" w:rsidRDefault="004F0676" w:rsidP="004F0676">
            <w:pPr>
              <w:jc w:val="both"/>
              <w:rPr>
                <w:sz w:val="20"/>
                <w:szCs w:val="20"/>
              </w:rPr>
            </w:pPr>
          </w:p>
          <w:p w14:paraId="721A1A00" w14:textId="77777777" w:rsidR="004F0676" w:rsidRPr="00547678" w:rsidRDefault="004F0676" w:rsidP="004F0676">
            <w:pPr>
              <w:jc w:val="both"/>
              <w:rPr>
                <w:sz w:val="20"/>
                <w:szCs w:val="20"/>
              </w:rPr>
            </w:pPr>
          </w:p>
          <w:p w14:paraId="6E645714" w14:textId="77777777" w:rsidR="004F0676" w:rsidRPr="00547678" w:rsidRDefault="004F0676" w:rsidP="004F0676">
            <w:pPr>
              <w:jc w:val="both"/>
              <w:rPr>
                <w:sz w:val="20"/>
                <w:szCs w:val="20"/>
              </w:rPr>
            </w:pPr>
          </w:p>
          <w:p w14:paraId="1A6D8C62" w14:textId="77777777" w:rsidR="004F0676" w:rsidRPr="00547678" w:rsidRDefault="004F0676" w:rsidP="004F0676">
            <w:pPr>
              <w:jc w:val="both"/>
              <w:rPr>
                <w:sz w:val="20"/>
                <w:szCs w:val="20"/>
              </w:rPr>
            </w:pPr>
          </w:p>
          <w:p w14:paraId="77AF57A7" w14:textId="77777777" w:rsidR="004F0676" w:rsidRPr="00547678" w:rsidRDefault="004F0676" w:rsidP="004F0676">
            <w:pPr>
              <w:jc w:val="both"/>
              <w:rPr>
                <w:sz w:val="20"/>
                <w:szCs w:val="20"/>
              </w:rPr>
            </w:pPr>
          </w:p>
          <w:p w14:paraId="1CC28985" w14:textId="77777777" w:rsidR="004F0676" w:rsidRPr="00547678" w:rsidRDefault="004F0676" w:rsidP="004F0676">
            <w:pPr>
              <w:jc w:val="both"/>
              <w:rPr>
                <w:sz w:val="20"/>
                <w:szCs w:val="20"/>
              </w:rPr>
            </w:pPr>
          </w:p>
          <w:p w14:paraId="6E2283DD" w14:textId="77777777" w:rsidR="004F0676" w:rsidRPr="00547678" w:rsidRDefault="004F0676" w:rsidP="004F0676">
            <w:pPr>
              <w:jc w:val="both"/>
              <w:rPr>
                <w:sz w:val="20"/>
                <w:szCs w:val="20"/>
              </w:rPr>
            </w:pPr>
          </w:p>
          <w:p w14:paraId="3D29993D" w14:textId="77777777" w:rsidR="004F0676" w:rsidRPr="00547678" w:rsidRDefault="004F0676" w:rsidP="004F0676">
            <w:pPr>
              <w:jc w:val="both"/>
              <w:rPr>
                <w:sz w:val="20"/>
                <w:szCs w:val="20"/>
              </w:rPr>
            </w:pPr>
          </w:p>
          <w:p w14:paraId="7FE89EFC" w14:textId="77777777" w:rsidR="004F0676" w:rsidRPr="00547678" w:rsidRDefault="004F0676" w:rsidP="004F0676">
            <w:pPr>
              <w:jc w:val="both"/>
              <w:rPr>
                <w:sz w:val="20"/>
                <w:szCs w:val="20"/>
              </w:rPr>
            </w:pPr>
          </w:p>
          <w:p w14:paraId="1A2823FB" w14:textId="77777777" w:rsidR="004F0676" w:rsidRPr="00547678" w:rsidRDefault="004F0676" w:rsidP="004F0676">
            <w:pPr>
              <w:jc w:val="both"/>
              <w:rPr>
                <w:sz w:val="20"/>
                <w:szCs w:val="20"/>
              </w:rPr>
            </w:pPr>
          </w:p>
          <w:p w14:paraId="10F92688" w14:textId="77777777" w:rsidR="004F0676" w:rsidRPr="00547678" w:rsidRDefault="004F0676" w:rsidP="004F0676">
            <w:pPr>
              <w:jc w:val="both"/>
              <w:rPr>
                <w:sz w:val="20"/>
                <w:szCs w:val="20"/>
              </w:rPr>
            </w:pPr>
          </w:p>
          <w:p w14:paraId="4147FAC9" w14:textId="77777777" w:rsidR="004F0676" w:rsidRPr="00547678" w:rsidRDefault="004F0676" w:rsidP="004F0676">
            <w:pPr>
              <w:jc w:val="both"/>
              <w:rPr>
                <w:sz w:val="20"/>
                <w:szCs w:val="20"/>
              </w:rPr>
            </w:pPr>
          </w:p>
          <w:p w14:paraId="016CC086" w14:textId="77777777" w:rsidR="004F0676" w:rsidRPr="00547678" w:rsidRDefault="004F0676" w:rsidP="004F0676">
            <w:pPr>
              <w:jc w:val="both"/>
              <w:rPr>
                <w:sz w:val="20"/>
                <w:szCs w:val="20"/>
              </w:rPr>
            </w:pPr>
          </w:p>
          <w:p w14:paraId="44227D71" w14:textId="77777777" w:rsidR="004F0676" w:rsidRPr="00547678" w:rsidRDefault="004F0676" w:rsidP="004F0676">
            <w:pPr>
              <w:jc w:val="both"/>
              <w:rPr>
                <w:sz w:val="20"/>
                <w:szCs w:val="20"/>
              </w:rPr>
            </w:pPr>
          </w:p>
          <w:p w14:paraId="7A332AB2" w14:textId="77777777" w:rsidR="004F0676" w:rsidRPr="00547678" w:rsidRDefault="004F0676" w:rsidP="004F0676">
            <w:pPr>
              <w:jc w:val="both"/>
              <w:rPr>
                <w:sz w:val="20"/>
                <w:szCs w:val="20"/>
              </w:rPr>
            </w:pPr>
          </w:p>
          <w:p w14:paraId="17F9E162" w14:textId="77777777" w:rsidR="004F0676" w:rsidRPr="00547678" w:rsidRDefault="004F0676" w:rsidP="004F0676">
            <w:pPr>
              <w:jc w:val="both"/>
              <w:rPr>
                <w:sz w:val="20"/>
                <w:szCs w:val="20"/>
              </w:rPr>
            </w:pPr>
          </w:p>
          <w:p w14:paraId="684823AC" w14:textId="77777777" w:rsidR="004F0676" w:rsidRPr="00547678" w:rsidRDefault="004F0676" w:rsidP="004F0676">
            <w:pPr>
              <w:jc w:val="both"/>
              <w:rPr>
                <w:sz w:val="20"/>
                <w:szCs w:val="20"/>
              </w:rPr>
            </w:pPr>
          </w:p>
          <w:p w14:paraId="328D6ABB" w14:textId="77777777" w:rsidR="004F0676" w:rsidRPr="00547678" w:rsidRDefault="004F0676" w:rsidP="004F0676">
            <w:pPr>
              <w:jc w:val="both"/>
              <w:rPr>
                <w:sz w:val="20"/>
                <w:szCs w:val="20"/>
              </w:rPr>
            </w:pPr>
          </w:p>
          <w:p w14:paraId="76445B53" w14:textId="77777777" w:rsidR="004F0676" w:rsidRPr="00547678" w:rsidRDefault="004F0676" w:rsidP="004F0676">
            <w:pPr>
              <w:jc w:val="both"/>
              <w:rPr>
                <w:sz w:val="20"/>
                <w:szCs w:val="20"/>
              </w:rPr>
            </w:pPr>
          </w:p>
          <w:p w14:paraId="377085B9" w14:textId="77777777" w:rsidR="004F0676" w:rsidRPr="00547678" w:rsidRDefault="004F0676" w:rsidP="004F0676">
            <w:pPr>
              <w:jc w:val="both"/>
              <w:rPr>
                <w:sz w:val="20"/>
                <w:szCs w:val="20"/>
              </w:rPr>
            </w:pPr>
          </w:p>
          <w:p w14:paraId="72C6ECBC" w14:textId="77777777" w:rsidR="004F0676" w:rsidRPr="00547678" w:rsidRDefault="004F0676" w:rsidP="004F0676">
            <w:pPr>
              <w:jc w:val="both"/>
              <w:rPr>
                <w:sz w:val="20"/>
                <w:szCs w:val="20"/>
              </w:rPr>
            </w:pPr>
          </w:p>
          <w:p w14:paraId="5474E307" w14:textId="77777777" w:rsidR="004F0676" w:rsidRPr="00547678" w:rsidRDefault="004F0676" w:rsidP="004F0676">
            <w:pPr>
              <w:jc w:val="both"/>
              <w:rPr>
                <w:sz w:val="20"/>
                <w:szCs w:val="20"/>
              </w:rPr>
            </w:pPr>
          </w:p>
          <w:p w14:paraId="233671C4" w14:textId="77777777" w:rsidR="004F0676" w:rsidRPr="00547678" w:rsidRDefault="004F0676" w:rsidP="004F0676">
            <w:pPr>
              <w:jc w:val="both"/>
              <w:rPr>
                <w:sz w:val="20"/>
                <w:szCs w:val="20"/>
              </w:rPr>
            </w:pPr>
          </w:p>
          <w:p w14:paraId="7AB72718" w14:textId="77777777" w:rsidR="004F0676" w:rsidRPr="00547678" w:rsidRDefault="004F0676" w:rsidP="004F0676">
            <w:pPr>
              <w:jc w:val="both"/>
              <w:rPr>
                <w:sz w:val="20"/>
                <w:szCs w:val="20"/>
              </w:rPr>
            </w:pPr>
          </w:p>
          <w:p w14:paraId="5F63BB14" w14:textId="77777777" w:rsidR="004F0676" w:rsidRPr="00547678" w:rsidRDefault="004F0676" w:rsidP="004F0676">
            <w:pPr>
              <w:jc w:val="both"/>
              <w:rPr>
                <w:sz w:val="20"/>
                <w:szCs w:val="20"/>
              </w:rPr>
            </w:pPr>
          </w:p>
          <w:p w14:paraId="100CD5BF" w14:textId="77777777" w:rsidR="004F0676" w:rsidRPr="00547678" w:rsidRDefault="004F0676" w:rsidP="004F0676">
            <w:pPr>
              <w:jc w:val="both"/>
              <w:rPr>
                <w:sz w:val="20"/>
                <w:szCs w:val="20"/>
              </w:rPr>
            </w:pPr>
          </w:p>
          <w:p w14:paraId="5770ADF1" w14:textId="77777777" w:rsidR="004F0676" w:rsidRPr="00547678" w:rsidRDefault="004F0676" w:rsidP="004F0676">
            <w:pPr>
              <w:jc w:val="both"/>
              <w:rPr>
                <w:sz w:val="20"/>
                <w:szCs w:val="20"/>
              </w:rPr>
            </w:pPr>
          </w:p>
          <w:p w14:paraId="18CDE12D" w14:textId="77777777" w:rsidR="004F0676" w:rsidRPr="00547678" w:rsidRDefault="004F0676" w:rsidP="004F0676">
            <w:pPr>
              <w:jc w:val="both"/>
              <w:rPr>
                <w:sz w:val="20"/>
                <w:szCs w:val="20"/>
              </w:rPr>
            </w:pPr>
          </w:p>
          <w:p w14:paraId="2D444108" w14:textId="77777777" w:rsidR="004F0676" w:rsidRPr="00547678" w:rsidRDefault="004F0676" w:rsidP="004F0676">
            <w:pPr>
              <w:jc w:val="both"/>
              <w:rPr>
                <w:sz w:val="20"/>
                <w:szCs w:val="20"/>
              </w:rPr>
            </w:pPr>
          </w:p>
          <w:p w14:paraId="2E7FA6E6" w14:textId="77777777" w:rsidR="004F0676" w:rsidRPr="00547678" w:rsidRDefault="004F0676" w:rsidP="004F0676">
            <w:pPr>
              <w:jc w:val="both"/>
              <w:rPr>
                <w:sz w:val="20"/>
                <w:szCs w:val="20"/>
              </w:rPr>
            </w:pPr>
          </w:p>
          <w:p w14:paraId="72329AF8" w14:textId="77777777" w:rsidR="004F0676" w:rsidRPr="00547678" w:rsidRDefault="004F0676" w:rsidP="004F0676">
            <w:pPr>
              <w:jc w:val="both"/>
              <w:rPr>
                <w:sz w:val="20"/>
                <w:szCs w:val="20"/>
              </w:rPr>
            </w:pPr>
          </w:p>
          <w:p w14:paraId="1A701EFF" w14:textId="77777777" w:rsidR="004F0676" w:rsidRPr="00547678" w:rsidRDefault="004F0676" w:rsidP="004F0676">
            <w:pPr>
              <w:jc w:val="both"/>
              <w:rPr>
                <w:sz w:val="20"/>
                <w:szCs w:val="20"/>
              </w:rPr>
            </w:pPr>
          </w:p>
          <w:p w14:paraId="5A61DCB3" w14:textId="77777777" w:rsidR="004F0676" w:rsidRPr="00547678" w:rsidRDefault="004F0676" w:rsidP="004F0676">
            <w:pPr>
              <w:jc w:val="both"/>
              <w:rPr>
                <w:sz w:val="20"/>
                <w:szCs w:val="20"/>
              </w:rPr>
            </w:pPr>
          </w:p>
          <w:p w14:paraId="775CA47A" w14:textId="77777777" w:rsidR="004F0676" w:rsidRPr="00547678" w:rsidRDefault="004F0676" w:rsidP="004F0676">
            <w:pPr>
              <w:jc w:val="both"/>
              <w:rPr>
                <w:sz w:val="20"/>
                <w:szCs w:val="20"/>
              </w:rPr>
            </w:pPr>
          </w:p>
          <w:p w14:paraId="381EDA47" w14:textId="77777777" w:rsidR="004F0676" w:rsidRPr="00547678" w:rsidRDefault="004F0676" w:rsidP="004F0676">
            <w:pPr>
              <w:jc w:val="both"/>
              <w:rPr>
                <w:sz w:val="20"/>
                <w:szCs w:val="20"/>
              </w:rPr>
            </w:pPr>
          </w:p>
          <w:p w14:paraId="12A8964F" w14:textId="77777777" w:rsidR="004F0676" w:rsidRPr="00547678" w:rsidRDefault="004F0676" w:rsidP="004F0676">
            <w:pPr>
              <w:jc w:val="both"/>
              <w:rPr>
                <w:sz w:val="20"/>
                <w:szCs w:val="20"/>
              </w:rPr>
            </w:pPr>
            <w:r w:rsidRPr="00547678">
              <w:rPr>
                <w:sz w:val="20"/>
                <w:szCs w:val="20"/>
              </w:rPr>
              <w:t xml:space="preserve">4.1., 4.2. apakšnodaļas Piedāvājuma izvērtēšanas kritēriji 2.1. punkts: </w:t>
            </w:r>
          </w:p>
          <w:tbl>
            <w:tblPr>
              <w:tblStyle w:val="TableGrid1"/>
              <w:tblW w:w="3126" w:type="dxa"/>
              <w:tblLayout w:type="fixed"/>
              <w:tblLook w:val="04A0" w:firstRow="1" w:lastRow="0" w:firstColumn="1" w:lastColumn="0" w:noHBand="0" w:noVBand="1"/>
            </w:tblPr>
            <w:tblGrid>
              <w:gridCol w:w="1452"/>
              <w:gridCol w:w="1674"/>
            </w:tblGrid>
            <w:tr w:rsidR="004F0676" w:rsidRPr="00547678" w14:paraId="62C6FACE" w14:textId="77777777" w:rsidTr="00A172D5">
              <w:tc>
                <w:tcPr>
                  <w:tcW w:w="1452" w:type="dxa"/>
                </w:tcPr>
                <w:p w14:paraId="689B173C" w14:textId="77777777" w:rsidR="004F0676" w:rsidRPr="00547678" w:rsidRDefault="004F0676" w:rsidP="004F0676">
                  <w:pPr>
                    <w:widowControl w:val="0"/>
                    <w:autoSpaceDE w:val="0"/>
                    <w:autoSpaceDN w:val="0"/>
                    <w:adjustRightInd w:val="0"/>
                    <w:ind w:left="31"/>
                    <w:jc w:val="both"/>
                    <w:rPr>
                      <w:iCs/>
                      <w:sz w:val="20"/>
                      <w:szCs w:val="20"/>
                    </w:rPr>
                  </w:pPr>
                  <w:r w:rsidRPr="00547678">
                    <w:rPr>
                      <w:iCs/>
                      <w:sz w:val="20"/>
                      <w:szCs w:val="20"/>
                    </w:rPr>
                    <w:t>2.1.1. a. Iegādājoties pienu un kefīru vairāk kā 35 procentiem no visas piena un kefīra masas vai vērtības (no 2022.gada 1. janvāra vairāk kā 50 procenti) jābūt ražotiem atbilstoši bioloģiskās lauksaimniecības metodēm saskaņā ar Padomes 2007. gada 28. jūnija Regulu (EK) Nr.834/2007 par bioloģisko ražošanu un bioloģisko produktu marķēšanu un par Regulas (EEK) Nr.2092/91 atcelšanu;</w:t>
                  </w:r>
                </w:p>
                <w:p w14:paraId="20D73E07" w14:textId="77777777" w:rsidR="004F0676" w:rsidRPr="00547678" w:rsidRDefault="004F0676" w:rsidP="004F0676">
                  <w:pPr>
                    <w:widowControl w:val="0"/>
                    <w:autoSpaceDE w:val="0"/>
                    <w:autoSpaceDN w:val="0"/>
                    <w:adjustRightInd w:val="0"/>
                    <w:ind w:left="31"/>
                    <w:jc w:val="both"/>
                    <w:rPr>
                      <w:iCs/>
                      <w:sz w:val="20"/>
                      <w:szCs w:val="20"/>
                    </w:rPr>
                  </w:pPr>
                  <w:r w:rsidRPr="00547678">
                    <w:rPr>
                      <w:iCs/>
                      <w:sz w:val="20"/>
                      <w:szCs w:val="20"/>
                    </w:rPr>
                    <w:t>Iegādājoties graudaugu pārstrādes produktus  (piemēram, auzu pārslas, kviešu milti, griķi) vairāk kā 20 procentiem no graudaugu pārstrādes produktu masas vai vērtības jābūt ražotiem atbilstoši bioloģiskās lauksaimniecības metodēm saskaņā ar Padomes 2007. gada 28. jūnija Regulu (EK) Nr.834/2007 par bioloģisko ražošanu un bioloģisko produktu marķēšanu un par Regulas (EEK) Nr.2092/91 atcelšanu;</w:t>
                  </w:r>
                </w:p>
                <w:p w14:paraId="7C73553A" w14:textId="77777777" w:rsidR="004F0676" w:rsidRPr="00547678" w:rsidRDefault="004F0676" w:rsidP="004F0676">
                  <w:pPr>
                    <w:widowControl w:val="0"/>
                    <w:autoSpaceDE w:val="0"/>
                    <w:autoSpaceDN w:val="0"/>
                    <w:adjustRightInd w:val="0"/>
                    <w:ind w:left="711" w:hanging="425"/>
                    <w:jc w:val="both"/>
                    <w:rPr>
                      <w:iCs/>
                      <w:sz w:val="20"/>
                      <w:szCs w:val="20"/>
                    </w:rPr>
                  </w:pPr>
                  <w:r w:rsidRPr="00547678">
                    <w:rPr>
                      <w:iCs/>
                      <w:sz w:val="20"/>
                      <w:szCs w:val="20"/>
                    </w:rPr>
                    <w:t>un</w:t>
                  </w:r>
                </w:p>
              </w:tc>
              <w:tc>
                <w:tcPr>
                  <w:tcW w:w="1674" w:type="dxa"/>
                </w:tcPr>
                <w:p w14:paraId="6F99853C" w14:textId="77777777" w:rsidR="004F0676" w:rsidRPr="00547678" w:rsidRDefault="004F0676" w:rsidP="00531308">
                  <w:pPr>
                    <w:widowControl w:val="0"/>
                    <w:autoSpaceDE w:val="0"/>
                    <w:autoSpaceDN w:val="0"/>
                    <w:adjustRightInd w:val="0"/>
                    <w:ind w:left="18" w:right="149"/>
                    <w:jc w:val="both"/>
                    <w:rPr>
                      <w:iCs/>
                      <w:sz w:val="20"/>
                      <w:szCs w:val="20"/>
                    </w:rPr>
                  </w:pPr>
                  <w:r w:rsidRPr="00547678">
                    <w:rPr>
                      <w:iCs/>
                      <w:sz w:val="20"/>
                      <w:szCs w:val="20"/>
                    </w:rPr>
                    <w:t>2.1.1.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14:paraId="6F992FAD" w14:textId="77777777" w:rsidR="004F0676" w:rsidRPr="00547678" w:rsidRDefault="004F0676" w:rsidP="004F0676">
                  <w:pPr>
                    <w:widowControl w:val="0"/>
                    <w:autoSpaceDE w:val="0"/>
                    <w:autoSpaceDN w:val="0"/>
                    <w:adjustRightInd w:val="0"/>
                    <w:ind w:left="711" w:hanging="425"/>
                    <w:jc w:val="both"/>
                    <w:rPr>
                      <w:iCs/>
                      <w:sz w:val="20"/>
                      <w:szCs w:val="20"/>
                    </w:rPr>
                  </w:pPr>
                  <w:r w:rsidRPr="00547678">
                    <w:rPr>
                      <w:iCs/>
                      <w:sz w:val="20"/>
                      <w:szCs w:val="20"/>
                    </w:rPr>
                    <w:t>vai</w:t>
                  </w:r>
                </w:p>
              </w:tc>
            </w:tr>
            <w:tr w:rsidR="004F0676" w:rsidRPr="00547678" w14:paraId="6A39DF8C" w14:textId="77777777" w:rsidTr="00657CB5">
              <w:tc>
                <w:tcPr>
                  <w:tcW w:w="3126" w:type="dxa"/>
                  <w:gridSpan w:val="2"/>
                </w:tcPr>
                <w:p w14:paraId="06908D87" w14:textId="77777777" w:rsidR="004F0676" w:rsidRPr="00547678" w:rsidRDefault="004F0676" w:rsidP="00531308">
                  <w:pPr>
                    <w:widowControl w:val="0"/>
                    <w:autoSpaceDE w:val="0"/>
                    <w:autoSpaceDN w:val="0"/>
                    <w:adjustRightInd w:val="0"/>
                    <w:ind w:left="31" w:right="149"/>
                    <w:jc w:val="both"/>
                    <w:rPr>
                      <w:iCs/>
                      <w:sz w:val="20"/>
                      <w:szCs w:val="20"/>
                    </w:rPr>
                  </w:pPr>
                  <w:r w:rsidRPr="00547678">
                    <w:rPr>
                      <w:iCs/>
                      <w:sz w:val="20"/>
                      <w:szCs w:val="20"/>
                    </w:rPr>
                    <w:t>2.1.2. [X] procentiem no visas produktu masas vai vērtības vai X procenti  [vai noteikta produktu grupa, piemēram, augļi, dārzeņi, vai konkrētu produktu saraksts, piemēram, kartupeļi, burkāni, āboli] jābūt ražotiem saskaņā ar integrētās ražošanas kritērijiem;</w:t>
                  </w:r>
                </w:p>
                <w:p w14:paraId="72921B9A" w14:textId="77777777" w:rsidR="004F0676" w:rsidRPr="00547678" w:rsidRDefault="004F0676" w:rsidP="004F0676">
                  <w:pPr>
                    <w:widowControl w:val="0"/>
                    <w:autoSpaceDE w:val="0"/>
                    <w:autoSpaceDN w:val="0"/>
                    <w:adjustRightInd w:val="0"/>
                    <w:ind w:left="711" w:hanging="425"/>
                    <w:jc w:val="both"/>
                    <w:rPr>
                      <w:iCs/>
                      <w:sz w:val="20"/>
                      <w:szCs w:val="20"/>
                    </w:rPr>
                  </w:pPr>
                  <w:r w:rsidRPr="00547678">
                    <w:rPr>
                      <w:iCs/>
                      <w:sz w:val="20"/>
                      <w:szCs w:val="20"/>
                    </w:rPr>
                    <w:t>vai</w:t>
                  </w:r>
                </w:p>
              </w:tc>
            </w:tr>
            <w:tr w:rsidR="004F0676" w:rsidRPr="00547678" w14:paraId="0423F8D5" w14:textId="77777777" w:rsidTr="00657CB5">
              <w:tc>
                <w:tcPr>
                  <w:tcW w:w="3126" w:type="dxa"/>
                  <w:gridSpan w:val="2"/>
                </w:tcPr>
                <w:p w14:paraId="494200C2" w14:textId="77777777" w:rsidR="004F0676" w:rsidRPr="00547678" w:rsidRDefault="004F0676" w:rsidP="00531308">
                  <w:pPr>
                    <w:widowControl w:val="0"/>
                    <w:autoSpaceDE w:val="0"/>
                    <w:autoSpaceDN w:val="0"/>
                    <w:adjustRightInd w:val="0"/>
                    <w:ind w:left="31" w:right="149"/>
                    <w:jc w:val="both"/>
                    <w:rPr>
                      <w:iCs/>
                      <w:sz w:val="20"/>
                      <w:szCs w:val="20"/>
                    </w:rPr>
                  </w:pPr>
                  <w:r w:rsidRPr="00547678">
                    <w:rPr>
                      <w:iCs/>
                      <w:sz w:val="20"/>
                      <w:szCs w:val="20"/>
                    </w:rPr>
                    <w:t>2.1.3. vairāk kā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w:t>
                  </w:r>
                </w:p>
              </w:tc>
            </w:tr>
          </w:tbl>
          <w:p w14:paraId="730DBB7F" w14:textId="77777777" w:rsidR="004F0676" w:rsidRPr="00547678" w:rsidRDefault="004F0676" w:rsidP="004F0676">
            <w:pPr>
              <w:jc w:val="both"/>
              <w:rPr>
                <w:sz w:val="20"/>
                <w:szCs w:val="20"/>
              </w:rPr>
            </w:pPr>
          </w:p>
        </w:tc>
        <w:tc>
          <w:tcPr>
            <w:tcW w:w="557" w:type="pct"/>
            <w:shd w:val="clear" w:color="auto" w:fill="FFFFFF" w:themeFill="background1"/>
          </w:tcPr>
          <w:p w14:paraId="70DEF936"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350B730C" w14:textId="77777777" w:rsidR="004F0676" w:rsidRPr="00547678" w:rsidRDefault="004F0676" w:rsidP="004F0676">
            <w:pPr>
              <w:jc w:val="both"/>
              <w:rPr>
                <w:sz w:val="20"/>
                <w:szCs w:val="20"/>
              </w:rPr>
            </w:pPr>
          </w:p>
        </w:tc>
        <w:tc>
          <w:tcPr>
            <w:tcW w:w="598" w:type="pct"/>
            <w:shd w:val="clear" w:color="auto" w:fill="FFFFFF" w:themeFill="background1"/>
          </w:tcPr>
          <w:p w14:paraId="13495287" w14:textId="77777777" w:rsidR="004F0676" w:rsidRPr="00547678" w:rsidRDefault="004F0676" w:rsidP="004F0676">
            <w:pPr>
              <w:jc w:val="both"/>
              <w:rPr>
                <w:sz w:val="20"/>
                <w:szCs w:val="20"/>
              </w:rPr>
            </w:pPr>
          </w:p>
        </w:tc>
      </w:tr>
      <w:tr w:rsidR="00683FD6" w:rsidRPr="00CE5FED" w14:paraId="3B579D97" w14:textId="77777777" w:rsidTr="00CE5FED">
        <w:trPr>
          <w:trHeight w:val="85"/>
        </w:trPr>
        <w:tc>
          <w:tcPr>
            <w:tcW w:w="147" w:type="pct"/>
            <w:shd w:val="clear" w:color="auto" w:fill="FFFFFF" w:themeFill="background1"/>
          </w:tcPr>
          <w:p w14:paraId="4E3BAFD7"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62D5AD7C" w14:textId="77777777" w:rsidR="004F0676" w:rsidRPr="00547678" w:rsidRDefault="004F0676" w:rsidP="004F0676">
            <w:pPr>
              <w:suppressAutoHyphens/>
              <w:jc w:val="both"/>
              <w:rPr>
                <w:bCs/>
                <w:sz w:val="20"/>
                <w:szCs w:val="20"/>
              </w:rPr>
            </w:pPr>
            <w:r w:rsidRPr="00547678">
              <w:rPr>
                <w:bCs/>
                <w:sz w:val="20"/>
                <w:szCs w:val="20"/>
              </w:rPr>
              <w:t xml:space="preserve">Noteikumu projekta 1. pielikuma 3.4. apakšnodaļa Piedāvājumu izvērtēšanas kritērijs: </w:t>
            </w:r>
          </w:p>
          <w:p w14:paraId="3A6D5AD8" w14:textId="77777777" w:rsidR="004F0676" w:rsidRPr="00547678" w:rsidRDefault="004F0676" w:rsidP="004F0676">
            <w:pPr>
              <w:suppressAutoHyphens/>
              <w:jc w:val="both"/>
              <w:rPr>
                <w:bCs/>
                <w:sz w:val="20"/>
                <w:szCs w:val="20"/>
              </w:rPr>
            </w:pPr>
            <w:r w:rsidRPr="00547678">
              <w:rPr>
                <w:bCs/>
                <w:sz w:val="20"/>
                <w:szCs w:val="20"/>
              </w:rPr>
              <w:t>“Iekļaujams, ja datu centru pārvalda trešā puse. Punktus piešķir tikai tiem pretendentiem, kuru piedāvājums atbilst minimālajām noteiktajām IT un M&amp;E (monitorēšanas un izvērtēšanas) sistēmu veiktspējas prasībām.”</w:t>
            </w:r>
          </w:p>
        </w:tc>
        <w:tc>
          <w:tcPr>
            <w:tcW w:w="956" w:type="pct"/>
            <w:shd w:val="clear" w:color="auto" w:fill="FFFFFF" w:themeFill="background1"/>
          </w:tcPr>
          <w:p w14:paraId="1042E06C" w14:textId="77777777" w:rsidR="004F0676" w:rsidRPr="00547678" w:rsidRDefault="004F0676" w:rsidP="004F0676">
            <w:pPr>
              <w:jc w:val="both"/>
              <w:rPr>
                <w:b/>
                <w:sz w:val="20"/>
                <w:szCs w:val="20"/>
              </w:rPr>
            </w:pPr>
            <w:r w:rsidRPr="00547678">
              <w:rPr>
                <w:b/>
                <w:sz w:val="20"/>
                <w:szCs w:val="20"/>
              </w:rPr>
              <w:t>FM</w:t>
            </w:r>
          </w:p>
          <w:p w14:paraId="70A83B70" w14:textId="77777777" w:rsidR="004F0676" w:rsidRPr="00547678" w:rsidRDefault="004F0676" w:rsidP="004F0676">
            <w:pPr>
              <w:jc w:val="both"/>
              <w:rPr>
                <w:sz w:val="20"/>
                <w:szCs w:val="20"/>
              </w:rPr>
            </w:pPr>
            <w:r w:rsidRPr="00547678">
              <w:rPr>
                <w:sz w:val="20"/>
                <w:szCs w:val="20"/>
              </w:rPr>
              <w:t>Pie noteikumu projekta 1.pielikuma 3.4.apakšnodaļā ietvertā 6.piedāvājumu izvērtēšanas kritērija “Atjaunojamās enerģijas īpatsvars” norādīts, ka punktus piešķir tikai tiem pretendentiem, kuru piedāvājums atbilst minimālajām noteiktajām IT un M&amp;E (monitorēšanas un izvērtēšanas) sistēmu veiktspējas prasībām. Lūdzam precizēt, kur šīs minimālās prasības ir noteiktas (tehniskajā specifikācijā vai normatīvajos aktos).Vienlaikus lūdzam izvērtēt, vai minētais teikums nebūtu svītrojams, ņemot vērā, ka visi pretendenti, kuri neatbilst minimālajām prasībām, ir no iepirkuma jāizslēdz.</w:t>
            </w:r>
          </w:p>
        </w:tc>
        <w:tc>
          <w:tcPr>
            <w:tcW w:w="624" w:type="pct"/>
            <w:shd w:val="clear" w:color="auto" w:fill="FFFFFF" w:themeFill="background1"/>
          </w:tcPr>
          <w:p w14:paraId="00FD3E56"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0E4D2C75" w14:textId="77777777" w:rsidR="004F0676" w:rsidRPr="00547678" w:rsidRDefault="004F0676" w:rsidP="004F0676">
            <w:pPr>
              <w:suppressAutoHyphens/>
              <w:jc w:val="both"/>
              <w:rPr>
                <w:sz w:val="20"/>
                <w:szCs w:val="20"/>
              </w:rPr>
            </w:pPr>
            <w:r w:rsidRPr="00547678">
              <w:rPr>
                <w:sz w:val="20"/>
                <w:szCs w:val="20"/>
              </w:rPr>
              <w:t xml:space="preserve">Precizēta noteikumu projekta redakcija atbilstoši iebildumam. </w:t>
            </w:r>
          </w:p>
          <w:p w14:paraId="41AF355C" w14:textId="77777777" w:rsidR="004F0676" w:rsidRPr="00547678" w:rsidRDefault="004F0676" w:rsidP="004F0676">
            <w:pPr>
              <w:suppressAutoHyphens/>
              <w:jc w:val="both"/>
              <w:rPr>
                <w:b/>
                <w:sz w:val="20"/>
                <w:szCs w:val="20"/>
              </w:rPr>
            </w:pPr>
          </w:p>
          <w:p w14:paraId="799ED9E1"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5E1991F6" w14:textId="77777777" w:rsidR="004F0676" w:rsidRPr="00547678" w:rsidRDefault="004F0676" w:rsidP="004F0676">
            <w:pPr>
              <w:jc w:val="both"/>
              <w:rPr>
                <w:sz w:val="20"/>
                <w:szCs w:val="20"/>
              </w:rPr>
            </w:pPr>
            <w:r w:rsidRPr="00547678">
              <w:rPr>
                <w:sz w:val="20"/>
                <w:szCs w:val="20"/>
              </w:rPr>
              <w:t>Noteikumu projekta 1. pielikuma 3.4. apakšnodaļa Piedāvājumu izvērtēšanas kritērijs:</w:t>
            </w:r>
          </w:p>
          <w:p w14:paraId="160162B6" w14:textId="77777777" w:rsidR="004F0676" w:rsidRPr="00547678" w:rsidRDefault="004F0676" w:rsidP="004F0676">
            <w:pPr>
              <w:jc w:val="both"/>
              <w:rPr>
                <w:sz w:val="20"/>
                <w:szCs w:val="20"/>
              </w:rPr>
            </w:pPr>
            <w:r w:rsidRPr="00547678">
              <w:rPr>
                <w:sz w:val="20"/>
                <w:szCs w:val="20"/>
              </w:rPr>
              <w:t>6.</w:t>
            </w:r>
            <w:r w:rsidRPr="00547678">
              <w:rPr>
                <w:sz w:val="20"/>
                <w:szCs w:val="20"/>
              </w:rPr>
              <w:tab/>
              <w:t>Atjaunojamās enerģijas īpatsvars “Iekļaujams, ja datu centru pārvalda trešā puse.”</w:t>
            </w:r>
          </w:p>
        </w:tc>
        <w:tc>
          <w:tcPr>
            <w:tcW w:w="557" w:type="pct"/>
            <w:shd w:val="clear" w:color="auto" w:fill="FFFFFF" w:themeFill="background1"/>
          </w:tcPr>
          <w:p w14:paraId="4E349983"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52F215AC" w14:textId="77777777" w:rsidR="004F0676" w:rsidRPr="00547678" w:rsidRDefault="004F0676" w:rsidP="004F0676">
            <w:pPr>
              <w:jc w:val="both"/>
              <w:rPr>
                <w:sz w:val="20"/>
                <w:szCs w:val="20"/>
              </w:rPr>
            </w:pPr>
          </w:p>
        </w:tc>
        <w:tc>
          <w:tcPr>
            <w:tcW w:w="598" w:type="pct"/>
            <w:shd w:val="clear" w:color="auto" w:fill="FFFFFF" w:themeFill="background1"/>
          </w:tcPr>
          <w:p w14:paraId="2C365495" w14:textId="77777777" w:rsidR="004F0676" w:rsidRPr="00547678" w:rsidRDefault="004F0676" w:rsidP="004F0676">
            <w:pPr>
              <w:jc w:val="both"/>
              <w:rPr>
                <w:sz w:val="20"/>
                <w:szCs w:val="20"/>
              </w:rPr>
            </w:pPr>
          </w:p>
        </w:tc>
      </w:tr>
      <w:tr w:rsidR="00683FD6" w:rsidRPr="00CE5FED" w14:paraId="3052F902" w14:textId="77777777" w:rsidTr="00CE5FED">
        <w:trPr>
          <w:trHeight w:val="85"/>
        </w:trPr>
        <w:tc>
          <w:tcPr>
            <w:tcW w:w="147" w:type="pct"/>
            <w:shd w:val="clear" w:color="auto" w:fill="FFFFFF" w:themeFill="background1"/>
          </w:tcPr>
          <w:p w14:paraId="2B456BF2"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214ADE56" w14:textId="77777777" w:rsidR="004F0676" w:rsidRPr="00547678" w:rsidRDefault="004F0676" w:rsidP="004F0676">
            <w:pPr>
              <w:suppressAutoHyphens/>
              <w:jc w:val="both"/>
              <w:rPr>
                <w:bCs/>
                <w:sz w:val="20"/>
                <w:szCs w:val="20"/>
              </w:rPr>
            </w:pPr>
            <w:r w:rsidRPr="00547678">
              <w:rPr>
                <w:bCs/>
                <w:sz w:val="20"/>
                <w:szCs w:val="20"/>
              </w:rPr>
              <w:t>Noteikumu projekta 4.1., 4.2. apakšnodaļas tehnisko specifikāciju kritērijs</w:t>
            </w:r>
          </w:p>
          <w:p w14:paraId="50403E4A" w14:textId="77777777" w:rsidR="004F0676" w:rsidRPr="00547678" w:rsidRDefault="004F0676" w:rsidP="004F0676">
            <w:pPr>
              <w:suppressAutoHyphens/>
              <w:jc w:val="both"/>
              <w:rPr>
                <w:bCs/>
                <w:sz w:val="20"/>
                <w:szCs w:val="20"/>
              </w:rPr>
            </w:pPr>
            <w:r w:rsidRPr="00547678">
              <w:rPr>
                <w:bCs/>
                <w:sz w:val="20"/>
                <w:szCs w:val="20"/>
              </w:rPr>
              <w:t xml:space="preserve">1.1. PĀRTIKAS PRODUKTU KVALITĀTE: </w:t>
            </w:r>
          </w:p>
          <w:p w14:paraId="4BA28DCD" w14:textId="77777777" w:rsidR="004F0676" w:rsidRPr="00547678" w:rsidRDefault="004F0676" w:rsidP="004F0676">
            <w:pPr>
              <w:suppressAutoHyphens/>
              <w:jc w:val="both"/>
              <w:rPr>
                <w:bCs/>
                <w:sz w:val="20"/>
                <w:szCs w:val="20"/>
              </w:rPr>
            </w:pPr>
            <w:r w:rsidRPr="00547678">
              <w:rPr>
                <w:bCs/>
                <w:sz w:val="20"/>
                <w:szCs w:val="20"/>
              </w:rPr>
              <w:t>vismaz 35 procenti no visas piena un kefīra masas vai vērtības (no 2022.gada 1. janvāra vismaz 50 procenti) un vismaz 20 procenti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w:t>
            </w:r>
          </w:p>
          <w:p w14:paraId="3626C10C" w14:textId="77777777" w:rsidR="004F0676" w:rsidRPr="00547678" w:rsidRDefault="004F0676" w:rsidP="004F0676">
            <w:pPr>
              <w:suppressAutoHyphens/>
              <w:jc w:val="both"/>
              <w:rPr>
                <w:bCs/>
                <w:sz w:val="20"/>
                <w:szCs w:val="20"/>
              </w:rPr>
            </w:pPr>
            <w:r w:rsidRPr="00547678">
              <w:rPr>
                <w:bCs/>
                <w:sz w:val="20"/>
                <w:szCs w:val="20"/>
              </w:rPr>
              <w:t>un</w:t>
            </w:r>
          </w:p>
          <w:p w14:paraId="07C8BF75" w14:textId="77777777" w:rsidR="004F0676" w:rsidRPr="00547678" w:rsidRDefault="004F0676" w:rsidP="004F0676">
            <w:pPr>
              <w:suppressAutoHyphens/>
              <w:jc w:val="both"/>
              <w:rPr>
                <w:bCs/>
                <w:sz w:val="20"/>
                <w:szCs w:val="20"/>
              </w:rPr>
            </w:pPr>
            <w:r w:rsidRPr="00547678">
              <w:rPr>
                <w:bCs/>
                <w:sz w:val="20"/>
                <w:szCs w:val="20"/>
              </w:rPr>
              <w:t>[X] procenti no visas produktu masas vai vērtības vai X procenti (no noteiktas produktu grupas, pēc izvēles: piena produktiem, gaļas produktiem, augļiem un dārzeņiem, vai konkrētu produktu saraksts, pēc izvēles: kartupeļi, graudu pārstrādes produkti, liellopu gaļa, olas) jābūt ražotiem atbilstoši bioloģiskās lauksaimniecības metodēm saskaņā ar Padomes 2007. gada 28. jūnija Regulu (EK) Nr.834/2007 par bioloģisko ražošanu un bioloģisko produktu marķēšanu un par Regulas (EEK) Nr.2092/91 atcelšanu;</w:t>
            </w:r>
          </w:p>
          <w:p w14:paraId="3B6593AB" w14:textId="77777777" w:rsidR="004F0676" w:rsidRPr="00547678" w:rsidRDefault="004F0676" w:rsidP="004F0676">
            <w:pPr>
              <w:suppressAutoHyphens/>
              <w:jc w:val="both"/>
              <w:rPr>
                <w:bCs/>
                <w:sz w:val="20"/>
                <w:szCs w:val="20"/>
              </w:rPr>
            </w:pPr>
            <w:r w:rsidRPr="00547678">
              <w:rPr>
                <w:bCs/>
                <w:sz w:val="20"/>
                <w:szCs w:val="20"/>
              </w:rPr>
              <w:t xml:space="preserve">vai </w:t>
            </w:r>
          </w:p>
          <w:p w14:paraId="42DEC862" w14:textId="77777777" w:rsidR="004F0676" w:rsidRPr="00547678" w:rsidRDefault="004F0676" w:rsidP="004F0676">
            <w:pPr>
              <w:suppressAutoHyphens/>
              <w:jc w:val="both"/>
              <w:rPr>
                <w:bCs/>
                <w:sz w:val="20"/>
                <w:szCs w:val="20"/>
              </w:rPr>
            </w:pPr>
            <w:r w:rsidRPr="00547678">
              <w:rPr>
                <w:bCs/>
                <w:sz w:val="20"/>
                <w:szCs w:val="20"/>
              </w:rPr>
              <w:t>[X] procentiem no visas produktu masas vai vērtības vai X procenti  [vai noteikta produktu grupa, piemēram, augļi, dārzeņi, vai konkrētu produktu saraksts, piemēram, kartupeļi, burkāni, āboli] jābūt ražotiem saskaņā ar integrētās ražošanas kritērijiem;</w:t>
            </w:r>
          </w:p>
          <w:p w14:paraId="77BA3974" w14:textId="77777777" w:rsidR="004F0676" w:rsidRPr="00547678" w:rsidRDefault="004F0676" w:rsidP="004F0676">
            <w:pPr>
              <w:suppressAutoHyphens/>
              <w:jc w:val="both"/>
              <w:rPr>
                <w:bCs/>
                <w:sz w:val="20"/>
                <w:szCs w:val="20"/>
              </w:rPr>
            </w:pPr>
            <w:r w:rsidRPr="00547678">
              <w:rPr>
                <w:bCs/>
                <w:sz w:val="20"/>
                <w:szCs w:val="20"/>
              </w:rPr>
              <w:t xml:space="preserve">vai </w:t>
            </w:r>
          </w:p>
          <w:p w14:paraId="3E3B1FE3" w14:textId="77777777" w:rsidR="004F0676" w:rsidRPr="00547678" w:rsidRDefault="004F0676" w:rsidP="004F0676">
            <w:pPr>
              <w:suppressAutoHyphens/>
              <w:jc w:val="both"/>
              <w:rPr>
                <w:bCs/>
                <w:sz w:val="20"/>
                <w:szCs w:val="20"/>
              </w:rPr>
            </w:pPr>
            <w:r w:rsidRPr="00547678">
              <w:rPr>
                <w:bCs/>
                <w:sz w:val="20"/>
                <w:szCs w:val="20"/>
              </w:rPr>
              <w:t>vismaz 45 procentiem no visas produktu masas vai vērtības vai X procenti  [no noteiktas produktu grupas, pēc izvēles, piena produktiem, gaļas produktiem, augļiem un dārzeņiem, vai konkrētu produktu saraksts, pēc izvēles, piens, kartupeļi, graudu pārstrādes produkti, liellopu gaļa, olas] jāatbilst Latvijas nacionālās pārtikas kvalitātes shēmas prasībām, ko apliecina Pārtikas un veterinārā dienesta izsniegts sertifikāts.</w:t>
            </w:r>
          </w:p>
        </w:tc>
        <w:tc>
          <w:tcPr>
            <w:tcW w:w="956" w:type="pct"/>
            <w:shd w:val="clear" w:color="auto" w:fill="FFFFFF" w:themeFill="background1"/>
          </w:tcPr>
          <w:p w14:paraId="7D430DF8" w14:textId="77777777" w:rsidR="004F0676" w:rsidRPr="00547678" w:rsidRDefault="004F0676" w:rsidP="004F0676">
            <w:pPr>
              <w:jc w:val="both"/>
              <w:rPr>
                <w:b/>
                <w:sz w:val="20"/>
                <w:szCs w:val="20"/>
              </w:rPr>
            </w:pPr>
            <w:r w:rsidRPr="00547678">
              <w:rPr>
                <w:b/>
                <w:sz w:val="20"/>
                <w:szCs w:val="20"/>
              </w:rPr>
              <w:t>FM</w:t>
            </w:r>
          </w:p>
          <w:p w14:paraId="107BE061" w14:textId="77777777" w:rsidR="004F0676" w:rsidRPr="00547678" w:rsidRDefault="004F0676" w:rsidP="004F0676">
            <w:pPr>
              <w:jc w:val="both"/>
              <w:rPr>
                <w:sz w:val="20"/>
                <w:szCs w:val="20"/>
              </w:rPr>
            </w:pPr>
            <w:r w:rsidRPr="00547678">
              <w:rPr>
                <w:sz w:val="20"/>
                <w:szCs w:val="20"/>
              </w:rPr>
              <w:t>Lūdzam pārskatīt un redakcionāli precizēt noteikumu projekta 1.pielikuma 4.1. un 4.2.apakšnodaļās formulētos tehnisko specifikāciju kritērijus, jo no pašreizējās redakcijas nav skaidrs, kuri no minētajiem kritērijiem tehniskajās specifikācijas ir obligāti iekļaujami un kuri ir izvēles kritēriji. Vienlaikus lūdzam izvērtēt, vai šajās apakšnodaļās minētie tehnisko specifikāciju kritēriji, kas izriet no attiecīgajām Eiropas Savienības regulām, var tikt paredzēti kā izvēles kritēriji.</w:t>
            </w:r>
          </w:p>
        </w:tc>
        <w:tc>
          <w:tcPr>
            <w:tcW w:w="624" w:type="pct"/>
            <w:shd w:val="clear" w:color="auto" w:fill="FFFFFF" w:themeFill="background1"/>
          </w:tcPr>
          <w:p w14:paraId="7B5B9152"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02E2FDD0" w14:textId="77777777" w:rsidR="004F0676" w:rsidRPr="00547678" w:rsidRDefault="004F0676" w:rsidP="004F0676">
            <w:pPr>
              <w:suppressAutoHyphens/>
              <w:jc w:val="both"/>
              <w:rPr>
                <w:sz w:val="20"/>
                <w:szCs w:val="20"/>
              </w:rPr>
            </w:pPr>
            <w:r w:rsidRPr="00547678">
              <w:rPr>
                <w:sz w:val="20"/>
                <w:szCs w:val="20"/>
              </w:rPr>
              <w:t xml:space="preserve">Precizēta noteikumu projekta redakcija. </w:t>
            </w:r>
          </w:p>
        </w:tc>
        <w:tc>
          <w:tcPr>
            <w:tcW w:w="1059" w:type="pct"/>
            <w:shd w:val="clear" w:color="auto" w:fill="FFFFFF" w:themeFill="background1"/>
          </w:tcPr>
          <w:p w14:paraId="592FD453" w14:textId="77777777" w:rsidR="004F0676" w:rsidRPr="00547678" w:rsidRDefault="004F0676" w:rsidP="004F0676">
            <w:pPr>
              <w:jc w:val="both"/>
              <w:rPr>
                <w:sz w:val="20"/>
                <w:szCs w:val="20"/>
              </w:rPr>
            </w:pPr>
            <w:r w:rsidRPr="00547678">
              <w:rPr>
                <w:sz w:val="20"/>
                <w:szCs w:val="20"/>
              </w:rPr>
              <w:t xml:space="preserve">Noteikumu projekta 4.1., 4.2. apakšnodaļas tehnisko specifikāciju kritērijs </w:t>
            </w:r>
          </w:p>
          <w:p w14:paraId="1AF1641A" w14:textId="77777777" w:rsidR="004F0676" w:rsidRPr="00547678" w:rsidRDefault="004F0676" w:rsidP="004F0676">
            <w:pPr>
              <w:jc w:val="both"/>
              <w:rPr>
                <w:sz w:val="20"/>
                <w:szCs w:val="20"/>
              </w:rPr>
            </w:pPr>
            <w:r w:rsidRPr="00547678">
              <w:rPr>
                <w:sz w:val="20"/>
                <w:szCs w:val="20"/>
              </w:rPr>
              <w:t xml:space="preserve">1.1. PĀRTIKAS PRODUKTU KVALITĀTE: </w:t>
            </w:r>
          </w:p>
          <w:tbl>
            <w:tblPr>
              <w:tblStyle w:val="TableGrid1"/>
              <w:tblW w:w="3126" w:type="dxa"/>
              <w:tblLayout w:type="fixed"/>
              <w:tblLook w:val="04A0" w:firstRow="1" w:lastRow="0" w:firstColumn="1" w:lastColumn="0" w:noHBand="0" w:noVBand="1"/>
            </w:tblPr>
            <w:tblGrid>
              <w:gridCol w:w="1567"/>
              <w:gridCol w:w="1559"/>
            </w:tblGrid>
            <w:tr w:rsidR="004F0676" w:rsidRPr="00547678" w14:paraId="7143AFE4" w14:textId="77777777" w:rsidTr="00657CB5">
              <w:tc>
                <w:tcPr>
                  <w:tcW w:w="1567" w:type="dxa"/>
                </w:tcPr>
                <w:p w14:paraId="3999EBCC"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1.1.1. a. Iegādājoties pienu un kefīru vismaz 35 procentiem no visas piena un kefīra masas vai vērtības (no 2022.gada 1. janvāra vismaz 50 procenti) jābūt ražotiem atbilstoši bioloģiskās lauksaimniecības metodēm saskaņā ar Padomes 2007. gada 28. jūnija Regulu (EK) Nr.834/2007 par bioloģisko ražošanu un bioloģisko produktu marķēšanu un par Regulas (EEK) Nr.2092/91 atcelšanu;</w:t>
                  </w:r>
                </w:p>
                <w:p w14:paraId="60F7CD58"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Iegādājoties graudaugu pārstrādes produktus  (piemēram, auzu pārslas, kviešu milti, griķi) vismaz 20 procentiem no graudaugu pārstrādes produktu masas vai vērtības jābūt ražotiem atbilstoši bioloģiskās lauksaimniecības metodēm saskaņā ar Padomes 2007. gada 28. jūnija Regulu (EK) Nr.834/2007 par bioloģisko ražošanu un bioloģisko produktu marķēšanu un par Regulas (EEK) Nr.2092/91 atcelšanu;</w:t>
                  </w:r>
                </w:p>
                <w:p w14:paraId="1D8D99D0"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un</w:t>
                  </w:r>
                </w:p>
              </w:tc>
              <w:tc>
                <w:tcPr>
                  <w:tcW w:w="1559" w:type="dxa"/>
                </w:tcPr>
                <w:p w14:paraId="5C52892B" w14:textId="77777777" w:rsidR="004F0676" w:rsidRPr="00547678" w:rsidRDefault="004F0676" w:rsidP="00531308">
                  <w:pPr>
                    <w:suppressAutoHyphens/>
                    <w:autoSpaceDN w:val="0"/>
                    <w:spacing w:before="120" w:after="120"/>
                    <w:ind w:right="149"/>
                    <w:jc w:val="both"/>
                    <w:textAlignment w:val="baseline"/>
                    <w:rPr>
                      <w:sz w:val="20"/>
                      <w:szCs w:val="20"/>
                      <w:lang w:eastAsia="ja-JP"/>
                    </w:rPr>
                  </w:pPr>
                  <w:r w:rsidRPr="00547678">
                    <w:rPr>
                      <w:sz w:val="20"/>
                      <w:szCs w:val="20"/>
                      <w:lang w:eastAsia="ja-JP"/>
                    </w:rPr>
                    <w:t>1.1.1.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14:paraId="656510D5"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vai</w:t>
                  </w:r>
                </w:p>
              </w:tc>
            </w:tr>
            <w:tr w:rsidR="004F0676" w:rsidRPr="00547678" w14:paraId="0C602DA0" w14:textId="77777777" w:rsidTr="00657CB5">
              <w:tc>
                <w:tcPr>
                  <w:tcW w:w="3126" w:type="dxa"/>
                  <w:gridSpan w:val="2"/>
                </w:tcPr>
                <w:p w14:paraId="4CBFA8FA" w14:textId="77777777" w:rsidR="004F0676" w:rsidRPr="00547678" w:rsidRDefault="004F0676" w:rsidP="00531308">
                  <w:pPr>
                    <w:suppressAutoHyphens/>
                    <w:autoSpaceDN w:val="0"/>
                    <w:spacing w:before="120" w:after="120"/>
                    <w:ind w:right="149"/>
                    <w:jc w:val="both"/>
                    <w:textAlignment w:val="baseline"/>
                    <w:rPr>
                      <w:sz w:val="20"/>
                      <w:szCs w:val="20"/>
                      <w:lang w:eastAsia="ja-JP"/>
                    </w:rPr>
                  </w:pPr>
                  <w:r w:rsidRPr="00547678">
                    <w:rPr>
                      <w:sz w:val="20"/>
                      <w:szCs w:val="20"/>
                      <w:lang w:eastAsia="ja-JP"/>
                    </w:rPr>
                    <w:t>1.1.2. [X] procentiem no visas produktu masas vai vērtības vai X procenti  [vai noteikta produktu grupa, piemēram, augļi, dārzeņi, vai konkrētu produktu saraksts, piemēram, kartupeļi, burkāni, āboli] jābūt ražotiem saskaņā ar integrētās ražošanas kritērijiem;</w:t>
                  </w:r>
                </w:p>
                <w:p w14:paraId="6FC24F11"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vai</w:t>
                  </w:r>
                </w:p>
              </w:tc>
            </w:tr>
            <w:tr w:rsidR="004F0676" w:rsidRPr="00547678" w14:paraId="3365A4B0" w14:textId="77777777" w:rsidTr="00657CB5">
              <w:tc>
                <w:tcPr>
                  <w:tcW w:w="3126" w:type="dxa"/>
                  <w:gridSpan w:val="2"/>
                </w:tcPr>
                <w:p w14:paraId="60C2FCB5" w14:textId="77777777" w:rsidR="004F0676" w:rsidRPr="00547678" w:rsidRDefault="004F0676" w:rsidP="00531308">
                  <w:pPr>
                    <w:suppressAutoHyphens/>
                    <w:autoSpaceDN w:val="0"/>
                    <w:spacing w:before="120" w:after="120"/>
                    <w:ind w:right="149"/>
                    <w:jc w:val="both"/>
                    <w:textAlignment w:val="baseline"/>
                    <w:rPr>
                      <w:sz w:val="20"/>
                      <w:szCs w:val="20"/>
                      <w:lang w:eastAsia="ja-JP"/>
                    </w:rPr>
                  </w:pPr>
                  <w:r w:rsidRPr="00547678">
                    <w:rPr>
                      <w:sz w:val="20"/>
                      <w:szCs w:val="20"/>
                      <w:lang w:eastAsia="ja-JP"/>
                    </w:rPr>
                    <w:t xml:space="preserve">1.1.3. vismaz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 </w:t>
                  </w:r>
                </w:p>
              </w:tc>
            </w:tr>
          </w:tbl>
          <w:p w14:paraId="5D6BD438" w14:textId="77777777" w:rsidR="004F0676" w:rsidRPr="00547678" w:rsidRDefault="004F0676" w:rsidP="004F0676">
            <w:pPr>
              <w:jc w:val="both"/>
              <w:rPr>
                <w:sz w:val="20"/>
                <w:szCs w:val="20"/>
              </w:rPr>
            </w:pPr>
            <w:r w:rsidRPr="00547678">
              <w:rPr>
                <w:sz w:val="20"/>
                <w:szCs w:val="20"/>
              </w:rPr>
              <w:t xml:space="preserve">MK not. grozījumu redakcijas punkts ir saskaņots ar ZM.  </w:t>
            </w:r>
          </w:p>
        </w:tc>
        <w:tc>
          <w:tcPr>
            <w:tcW w:w="557" w:type="pct"/>
            <w:shd w:val="clear" w:color="auto" w:fill="FFFFFF" w:themeFill="background1"/>
          </w:tcPr>
          <w:p w14:paraId="0CB951D9" w14:textId="77777777" w:rsidR="004F0676" w:rsidRPr="00547678" w:rsidRDefault="004F0676" w:rsidP="004F0676">
            <w:pPr>
              <w:jc w:val="both"/>
              <w:rPr>
                <w:b/>
                <w:sz w:val="20"/>
                <w:szCs w:val="20"/>
              </w:rPr>
            </w:pPr>
            <w:r w:rsidRPr="00547678">
              <w:rPr>
                <w:b/>
                <w:sz w:val="20"/>
                <w:szCs w:val="20"/>
              </w:rPr>
              <w:t xml:space="preserve">Saskaņots. </w:t>
            </w:r>
          </w:p>
          <w:p w14:paraId="3C859BB8" w14:textId="77777777" w:rsidR="004F0676" w:rsidRPr="00547678" w:rsidRDefault="004F0676" w:rsidP="004F0676">
            <w:pPr>
              <w:jc w:val="both"/>
              <w:rPr>
                <w:sz w:val="20"/>
                <w:szCs w:val="20"/>
              </w:rPr>
            </w:pPr>
          </w:p>
        </w:tc>
        <w:tc>
          <w:tcPr>
            <w:tcW w:w="613" w:type="pct"/>
            <w:shd w:val="clear" w:color="auto" w:fill="FFFFFF" w:themeFill="background1"/>
          </w:tcPr>
          <w:p w14:paraId="6CB3A9EC" w14:textId="77777777" w:rsidR="004F0676" w:rsidRPr="00547678" w:rsidRDefault="004F0676" w:rsidP="004F0676">
            <w:pPr>
              <w:jc w:val="both"/>
              <w:rPr>
                <w:sz w:val="20"/>
                <w:szCs w:val="20"/>
              </w:rPr>
            </w:pPr>
            <w:r w:rsidRPr="00547678">
              <w:rPr>
                <w:sz w:val="20"/>
                <w:szCs w:val="20"/>
              </w:rPr>
              <w:t>Tiks skaidrots zaļā publiskā iepirkuma piemērošanas vadlīnijās par Noteikumu piemērošanu noteikumu projekta 1.pielikuma 4.1. un 4.2.apakšnodaļās paredzēto tehnisko specifikāciju prasību piemērošanu, attiecīgi:</w:t>
            </w:r>
          </w:p>
          <w:p w14:paraId="438AB8E5" w14:textId="77777777" w:rsidR="004F0676" w:rsidRPr="00547678" w:rsidRDefault="004F0676" w:rsidP="004F0676">
            <w:pPr>
              <w:jc w:val="both"/>
              <w:rPr>
                <w:sz w:val="20"/>
                <w:szCs w:val="20"/>
              </w:rPr>
            </w:pPr>
            <w:r w:rsidRPr="00547678">
              <w:rPr>
                <w:sz w:val="20"/>
                <w:szCs w:val="20"/>
              </w:rPr>
              <w:t>-          konkretizējot, kuri no minētajiem kritērijiem tehniskajās specifikācijas ir obligāti iekļaujami un kuri ir izvēles kritēriji;</w:t>
            </w:r>
          </w:p>
          <w:p w14:paraId="3BE41444" w14:textId="77777777" w:rsidR="004F0676" w:rsidRPr="00547678" w:rsidRDefault="004F0676" w:rsidP="004F0676">
            <w:pPr>
              <w:jc w:val="both"/>
              <w:rPr>
                <w:sz w:val="20"/>
                <w:szCs w:val="20"/>
              </w:rPr>
            </w:pPr>
            <w:r w:rsidRPr="00547678">
              <w:rPr>
                <w:sz w:val="20"/>
                <w:szCs w:val="20"/>
              </w:rPr>
              <w:t xml:space="preserve">-          skaidrojot piebildes “lai sasniegtu % īpatsvaru, pasūtītājs nosaka kalendāro un apjoma sadalījumu” nozīmi un piemērošanu. </w:t>
            </w:r>
          </w:p>
        </w:tc>
        <w:tc>
          <w:tcPr>
            <w:tcW w:w="598" w:type="pct"/>
            <w:shd w:val="clear" w:color="auto" w:fill="FFFFFF" w:themeFill="background1"/>
          </w:tcPr>
          <w:p w14:paraId="37EA3DD5" w14:textId="77777777" w:rsidR="004F0676" w:rsidRPr="00547678" w:rsidRDefault="004F0676" w:rsidP="004F0676">
            <w:pPr>
              <w:jc w:val="both"/>
              <w:rPr>
                <w:sz w:val="20"/>
                <w:szCs w:val="20"/>
              </w:rPr>
            </w:pPr>
          </w:p>
        </w:tc>
        <w:bookmarkStart w:id="6" w:name="_GoBack"/>
        <w:bookmarkEnd w:id="6"/>
      </w:tr>
      <w:tr w:rsidR="00683FD6" w:rsidRPr="00CE5FED" w14:paraId="57E291D4" w14:textId="77777777" w:rsidTr="00CE5FED">
        <w:trPr>
          <w:trHeight w:val="85"/>
        </w:trPr>
        <w:tc>
          <w:tcPr>
            <w:tcW w:w="147" w:type="pct"/>
            <w:shd w:val="clear" w:color="auto" w:fill="FFFFFF" w:themeFill="background1"/>
          </w:tcPr>
          <w:p w14:paraId="7A279964"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5C347F19" w14:textId="77777777" w:rsidR="004F0676" w:rsidRPr="00547678" w:rsidRDefault="004F0676" w:rsidP="004F0676">
            <w:pPr>
              <w:suppressAutoHyphens/>
              <w:jc w:val="both"/>
              <w:rPr>
                <w:bCs/>
                <w:sz w:val="20"/>
                <w:szCs w:val="20"/>
              </w:rPr>
            </w:pPr>
            <w:r w:rsidRPr="00547678">
              <w:rPr>
                <w:bCs/>
                <w:sz w:val="20"/>
                <w:szCs w:val="20"/>
              </w:rPr>
              <w:t>Noteikumu projekta 4.1., 4.2. apakšnodaļas tehnisko specifikāciju kritērijs:</w:t>
            </w:r>
          </w:p>
          <w:p w14:paraId="64FCBFF7" w14:textId="77777777" w:rsidR="004F0676" w:rsidRPr="00547678" w:rsidRDefault="004F0676" w:rsidP="004F0676">
            <w:pPr>
              <w:suppressAutoHyphens/>
              <w:jc w:val="both"/>
              <w:rPr>
                <w:bCs/>
                <w:sz w:val="20"/>
                <w:szCs w:val="20"/>
              </w:rPr>
            </w:pPr>
            <w:r w:rsidRPr="00547678">
              <w:rPr>
                <w:bCs/>
                <w:sz w:val="20"/>
                <w:szCs w:val="20"/>
              </w:rPr>
              <w:t>2. IEPIRKUMA DALĪŠANA DAĻĀS</w:t>
            </w:r>
          </w:p>
          <w:p w14:paraId="4F5D576C" w14:textId="77777777" w:rsidR="004F0676" w:rsidRPr="00547678" w:rsidRDefault="004F0676" w:rsidP="004F0676">
            <w:pPr>
              <w:suppressAutoHyphens/>
              <w:jc w:val="both"/>
              <w:rPr>
                <w:bCs/>
                <w:sz w:val="20"/>
                <w:szCs w:val="20"/>
              </w:rPr>
            </w:pPr>
            <w:r w:rsidRPr="00547678">
              <w:rPr>
                <w:bCs/>
                <w:sz w:val="20"/>
                <w:szCs w:val="20"/>
              </w:rPr>
              <w:t>Pārtikas produktu piegādes iepirkumu dala daļās. Lemjot par dalīšanu daļās, pasūtītājs ņem vērā arī iepirkuma apjomu un pasūtītājam pieejamos administratīvos resursus. Daļas veido, ņemot vērā vienu vai vairākas šādas pazīmes:</w:t>
            </w:r>
          </w:p>
          <w:p w14:paraId="4AEFAB44" w14:textId="77777777" w:rsidR="004F0676" w:rsidRPr="00547678" w:rsidRDefault="004F0676" w:rsidP="004F0676">
            <w:pPr>
              <w:suppressAutoHyphens/>
              <w:jc w:val="both"/>
              <w:rPr>
                <w:bCs/>
                <w:sz w:val="20"/>
                <w:szCs w:val="20"/>
              </w:rPr>
            </w:pPr>
            <w:r w:rsidRPr="00547678">
              <w:rPr>
                <w:bCs/>
                <w:sz w:val="20"/>
                <w:szCs w:val="20"/>
              </w:rPr>
              <w:t>1.1.</w:t>
            </w:r>
            <w:r w:rsidRPr="00547678">
              <w:rPr>
                <w:bCs/>
                <w:sz w:val="20"/>
                <w:szCs w:val="20"/>
              </w:rPr>
              <w:tab/>
              <w:t xml:space="preserve">produktu izcelsmes veids (piemēram, dzīvnieku izcelsmes produkti, augu izcelsmes produkti, bakalejas produkti); </w:t>
            </w:r>
          </w:p>
          <w:p w14:paraId="678A3228" w14:textId="77777777" w:rsidR="004F0676" w:rsidRPr="00547678" w:rsidRDefault="004F0676" w:rsidP="004F0676">
            <w:pPr>
              <w:suppressAutoHyphens/>
              <w:jc w:val="both"/>
              <w:rPr>
                <w:bCs/>
                <w:sz w:val="20"/>
                <w:szCs w:val="20"/>
              </w:rPr>
            </w:pPr>
            <w:r w:rsidRPr="00547678">
              <w:rPr>
                <w:bCs/>
                <w:sz w:val="20"/>
                <w:szCs w:val="20"/>
              </w:rPr>
              <w:t>1.2.</w:t>
            </w:r>
            <w:r w:rsidRPr="00547678">
              <w:rPr>
                <w:bCs/>
                <w:sz w:val="20"/>
                <w:szCs w:val="20"/>
              </w:rPr>
              <w:tab/>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14:paraId="3BB31C4C" w14:textId="77777777" w:rsidR="004F0676" w:rsidRPr="00547678" w:rsidRDefault="004F0676" w:rsidP="004F0676">
            <w:pPr>
              <w:suppressAutoHyphens/>
              <w:jc w:val="both"/>
              <w:rPr>
                <w:bCs/>
                <w:sz w:val="20"/>
                <w:szCs w:val="20"/>
              </w:rPr>
            </w:pPr>
            <w:r w:rsidRPr="00547678">
              <w:rPr>
                <w:bCs/>
                <w:sz w:val="20"/>
                <w:szCs w:val="20"/>
              </w:rPr>
              <w:t>1.3.</w:t>
            </w:r>
            <w:r w:rsidRPr="00547678">
              <w:rPr>
                <w:bCs/>
                <w:sz w:val="20"/>
                <w:szCs w:val="20"/>
              </w:rPr>
              <w:tab/>
              <w:t>iepakojuma veids;</w:t>
            </w:r>
          </w:p>
          <w:p w14:paraId="61515B6F" w14:textId="77777777" w:rsidR="004F0676" w:rsidRPr="00547678" w:rsidRDefault="004F0676" w:rsidP="004F0676">
            <w:pPr>
              <w:suppressAutoHyphens/>
              <w:jc w:val="both"/>
              <w:rPr>
                <w:bCs/>
                <w:sz w:val="20"/>
                <w:szCs w:val="20"/>
              </w:rPr>
            </w:pPr>
            <w:r w:rsidRPr="00547678">
              <w:rPr>
                <w:bCs/>
                <w:sz w:val="20"/>
                <w:szCs w:val="20"/>
              </w:rPr>
              <w:t>1.4.</w:t>
            </w:r>
            <w:r w:rsidRPr="00547678">
              <w:rPr>
                <w:bCs/>
                <w:sz w:val="20"/>
                <w:szCs w:val="20"/>
              </w:rPr>
              <w:tab/>
              <w:t>uzglabāšanas vai transportēšanas noteikumi;</w:t>
            </w:r>
          </w:p>
          <w:p w14:paraId="092DAAA3" w14:textId="77777777" w:rsidR="004F0676" w:rsidRPr="00547678" w:rsidRDefault="004F0676" w:rsidP="004F0676">
            <w:pPr>
              <w:suppressAutoHyphens/>
              <w:jc w:val="both"/>
              <w:rPr>
                <w:bCs/>
                <w:sz w:val="20"/>
                <w:szCs w:val="20"/>
              </w:rPr>
            </w:pPr>
            <w:r w:rsidRPr="00547678">
              <w:rPr>
                <w:bCs/>
                <w:sz w:val="20"/>
                <w:szCs w:val="20"/>
              </w:rPr>
              <w:t>1.5.</w:t>
            </w:r>
            <w:r w:rsidRPr="00547678">
              <w:rPr>
                <w:bCs/>
                <w:sz w:val="20"/>
                <w:szCs w:val="20"/>
              </w:rPr>
              <w:tab/>
              <w:t>pārtikas produktu izcelsme (teritorija, ko raksturo noteikti klimatiskie apstākļi – piemēram, vienā daļā neapvieno eksotiskos augļus un sezonālos vietējos augļus);</w:t>
            </w:r>
          </w:p>
          <w:p w14:paraId="37F7E59D" w14:textId="77777777" w:rsidR="004F0676" w:rsidRPr="00547678" w:rsidRDefault="004F0676" w:rsidP="004F0676">
            <w:pPr>
              <w:suppressAutoHyphens/>
              <w:jc w:val="both"/>
              <w:rPr>
                <w:bCs/>
                <w:sz w:val="20"/>
                <w:szCs w:val="20"/>
              </w:rPr>
            </w:pPr>
            <w:r w:rsidRPr="00547678">
              <w:rPr>
                <w:bCs/>
                <w:sz w:val="20"/>
                <w:szCs w:val="20"/>
              </w:rPr>
              <w:t>1.6.</w:t>
            </w:r>
            <w:r w:rsidRPr="00547678">
              <w:rPr>
                <w:bCs/>
                <w:sz w:val="20"/>
                <w:szCs w:val="20"/>
              </w:rPr>
              <w:tab/>
              <w:t>pārtikas produktu sezonalitāte (piemēram, atsevišķās daļās izdala vasarā un rudenī pieejamos dārzeņus, augļus vai ogas).</w:t>
            </w:r>
          </w:p>
        </w:tc>
        <w:tc>
          <w:tcPr>
            <w:tcW w:w="956" w:type="pct"/>
            <w:shd w:val="clear" w:color="auto" w:fill="FFFFFF" w:themeFill="background1"/>
          </w:tcPr>
          <w:p w14:paraId="3C308CEE" w14:textId="77777777" w:rsidR="004F0676" w:rsidRPr="00547678" w:rsidRDefault="004F0676" w:rsidP="004F0676">
            <w:pPr>
              <w:jc w:val="both"/>
              <w:rPr>
                <w:sz w:val="20"/>
                <w:szCs w:val="20"/>
              </w:rPr>
            </w:pPr>
            <w:r w:rsidRPr="00547678">
              <w:rPr>
                <w:b/>
                <w:sz w:val="20"/>
                <w:szCs w:val="20"/>
              </w:rPr>
              <w:t>FM</w:t>
            </w:r>
            <w:r w:rsidRPr="00547678">
              <w:rPr>
                <w:b/>
                <w:sz w:val="20"/>
                <w:szCs w:val="20"/>
              </w:rPr>
              <w:br/>
            </w:r>
            <w:r w:rsidRPr="00547678">
              <w:rPr>
                <w:sz w:val="20"/>
                <w:szCs w:val="20"/>
              </w:rPr>
              <w:t>Tā kā noteikumu projekta 1.pielikuma 4.1. apakšnodaļā pie tehniskās specifikācijas prasībām tiek paredzēti arī principi iepirkuma dalīšanai daļās, lūdzam skaidrot, kā attiecīgās prasības un zaļā publiskā iepirkuma principus piemērot katrai daļai atsevišķi. Vienlaikus lūdzam skaidrot, kā iepakojuma veids ietekmē iepirkuma dalīšanu daļās.</w:t>
            </w:r>
          </w:p>
        </w:tc>
        <w:tc>
          <w:tcPr>
            <w:tcW w:w="624" w:type="pct"/>
            <w:shd w:val="clear" w:color="auto" w:fill="FFFFFF" w:themeFill="background1"/>
          </w:tcPr>
          <w:p w14:paraId="2D9B5895" w14:textId="77777777" w:rsidR="004F0676" w:rsidRPr="00547678" w:rsidRDefault="004F0676" w:rsidP="004F0676">
            <w:pPr>
              <w:suppressAutoHyphens/>
              <w:jc w:val="both"/>
              <w:rPr>
                <w:b/>
                <w:sz w:val="20"/>
                <w:szCs w:val="20"/>
              </w:rPr>
            </w:pPr>
            <w:r w:rsidRPr="00547678">
              <w:rPr>
                <w:b/>
                <w:sz w:val="20"/>
                <w:szCs w:val="20"/>
              </w:rPr>
              <w:t xml:space="preserve">Daļēji ņemts vērā. </w:t>
            </w:r>
          </w:p>
          <w:p w14:paraId="3BA228F7" w14:textId="77777777" w:rsidR="004F0676" w:rsidRPr="00547678" w:rsidRDefault="004F0676" w:rsidP="004F0676">
            <w:pPr>
              <w:suppressAutoHyphens/>
              <w:jc w:val="both"/>
              <w:rPr>
                <w:sz w:val="20"/>
                <w:szCs w:val="20"/>
              </w:rPr>
            </w:pPr>
            <w:r w:rsidRPr="00547678">
              <w:rPr>
                <w:sz w:val="20"/>
                <w:szCs w:val="20"/>
              </w:rPr>
              <w:t xml:space="preserve">Veicot iepirkumu Pasūtītajam ir vairākas piegādes adreses ar dažādām nepieciešamībām pēc apjoma, piemēram, skolai nepieciešami lielie piena iepakojumi, turpretim citai iestāde jāpiegādā 1 l iepakojumos. </w:t>
            </w:r>
          </w:p>
          <w:p w14:paraId="570A6797" w14:textId="77777777" w:rsidR="004F0676" w:rsidRPr="00547678" w:rsidRDefault="004F0676" w:rsidP="004F0676">
            <w:pPr>
              <w:suppressAutoHyphens/>
              <w:jc w:val="both"/>
              <w:rPr>
                <w:sz w:val="20"/>
                <w:szCs w:val="20"/>
              </w:rPr>
            </w:pPr>
          </w:p>
          <w:p w14:paraId="45350038"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1D56418F" w14:textId="77777777" w:rsidR="004F0676" w:rsidRPr="00547678" w:rsidRDefault="004F0676" w:rsidP="004F0676">
            <w:pPr>
              <w:jc w:val="both"/>
              <w:rPr>
                <w:sz w:val="20"/>
                <w:szCs w:val="20"/>
              </w:rPr>
            </w:pPr>
            <w:r w:rsidRPr="00547678">
              <w:rPr>
                <w:sz w:val="20"/>
                <w:szCs w:val="20"/>
              </w:rPr>
              <w:t>Noteikumu projekta 4.1., 4.2. apakšnodaļas tehnisko specifikāciju kritērijs:</w:t>
            </w:r>
          </w:p>
          <w:p w14:paraId="111DBCEE" w14:textId="77777777" w:rsidR="004F0676" w:rsidRPr="00547678" w:rsidRDefault="004F0676" w:rsidP="004F0676">
            <w:pPr>
              <w:jc w:val="both"/>
              <w:rPr>
                <w:sz w:val="20"/>
                <w:szCs w:val="20"/>
              </w:rPr>
            </w:pPr>
            <w:r w:rsidRPr="00547678">
              <w:rPr>
                <w:sz w:val="20"/>
                <w:szCs w:val="20"/>
              </w:rPr>
              <w:t>2. IEPIRKUMA DALĪŠANA DAĻĀS</w:t>
            </w:r>
          </w:p>
          <w:p w14:paraId="3CE5AFDB" w14:textId="77777777" w:rsidR="004F0676" w:rsidRPr="00547678" w:rsidRDefault="004F0676" w:rsidP="004F0676">
            <w:pPr>
              <w:jc w:val="both"/>
              <w:rPr>
                <w:sz w:val="20"/>
                <w:szCs w:val="20"/>
              </w:rPr>
            </w:pPr>
            <w:r w:rsidRPr="00547678">
              <w:rPr>
                <w:sz w:val="20"/>
                <w:szCs w:val="20"/>
              </w:rPr>
              <w:t>Pārtikas produktu piegādes iepirkumu dala daļās. Lemjot par dalīšanu daļās, pasūtītājs ņem vērā arī iepirkuma apjomu un pasūtītājam pieejamos administratīvos resursus. Daļas veido, ņemot vērā vienu vai vairākas šādas pazīmes:</w:t>
            </w:r>
          </w:p>
          <w:p w14:paraId="529843A4" w14:textId="77777777" w:rsidR="004F0676" w:rsidRPr="00547678" w:rsidRDefault="004F0676" w:rsidP="004F0676">
            <w:pPr>
              <w:jc w:val="both"/>
              <w:rPr>
                <w:sz w:val="20"/>
                <w:szCs w:val="20"/>
              </w:rPr>
            </w:pPr>
            <w:r w:rsidRPr="00547678">
              <w:rPr>
                <w:sz w:val="20"/>
                <w:szCs w:val="20"/>
              </w:rPr>
              <w:t>1.1.</w:t>
            </w:r>
            <w:r w:rsidRPr="00547678">
              <w:rPr>
                <w:sz w:val="20"/>
                <w:szCs w:val="20"/>
              </w:rPr>
              <w:tab/>
              <w:t xml:space="preserve">produktu izcelsmes veids (piemēram, dzīvnieku izcelsmes produkti, augu izcelsmes produkti, bakalejas produkti); </w:t>
            </w:r>
          </w:p>
          <w:p w14:paraId="3667D7AD" w14:textId="77777777" w:rsidR="004F0676" w:rsidRPr="00547678" w:rsidRDefault="004F0676" w:rsidP="004F0676">
            <w:pPr>
              <w:jc w:val="both"/>
              <w:rPr>
                <w:sz w:val="20"/>
                <w:szCs w:val="20"/>
              </w:rPr>
            </w:pPr>
            <w:r w:rsidRPr="00547678">
              <w:rPr>
                <w:sz w:val="20"/>
                <w:szCs w:val="20"/>
              </w:rPr>
              <w:t>1.2.</w:t>
            </w:r>
            <w:r w:rsidRPr="00547678">
              <w:rPr>
                <w:sz w:val="20"/>
                <w:szCs w:val="20"/>
              </w:rPr>
              <w:tab/>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14:paraId="48C9CD4E" w14:textId="77777777" w:rsidR="004F0676" w:rsidRPr="00547678" w:rsidRDefault="004F0676" w:rsidP="004F0676">
            <w:pPr>
              <w:jc w:val="both"/>
              <w:rPr>
                <w:sz w:val="20"/>
                <w:szCs w:val="20"/>
              </w:rPr>
            </w:pPr>
            <w:r w:rsidRPr="00547678">
              <w:rPr>
                <w:sz w:val="20"/>
                <w:szCs w:val="20"/>
              </w:rPr>
              <w:t>1.3.</w:t>
            </w:r>
            <w:r w:rsidRPr="00547678">
              <w:rPr>
                <w:sz w:val="20"/>
                <w:szCs w:val="20"/>
              </w:rPr>
              <w:tab/>
              <w:t>iepakojuma veids;</w:t>
            </w:r>
          </w:p>
          <w:p w14:paraId="00D611CA" w14:textId="77777777" w:rsidR="004F0676" w:rsidRPr="00547678" w:rsidRDefault="004F0676" w:rsidP="004F0676">
            <w:pPr>
              <w:jc w:val="both"/>
              <w:rPr>
                <w:sz w:val="20"/>
                <w:szCs w:val="20"/>
              </w:rPr>
            </w:pPr>
            <w:r w:rsidRPr="00547678">
              <w:rPr>
                <w:sz w:val="20"/>
                <w:szCs w:val="20"/>
              </w:rPr>
              <w:t>1.4.</w:t>
            </w:r>
            <w:r w:rsidRPr="00547678">
              <w:rPr>
                <w:sz w:val="20"/>
                <w:szCs w:val="20"/>
              </w:rPr>
              <w:tab/>
              <w:t>uzglabāšanas vai transportēšanas noteikumi;</w:t>
            </w:r>
          </w:p>
          <w:p w14:paraId="2F752DCD" w14:textId="77777777" w:rsidR="004F0676" w:rsidRPr="00547678" w:rsidRDefault="004F0676" w:rsidP="004F0676">
            <w:pPr>
              <w:jc w:val="both"/>
              <w:rPr>
                <w:sz w:val="20"/>
                <w:szCs w:val="20"/>
              </w:rPr>
            </w:pPr>
            <w:r w:rsidRPr="00547678">
              <w:rPr>
                <w:sz w:val="20"/>
                <w:szCs w:val="20"/>
              </w:rPr>
              <w:t>1.5.</w:t>
            </w:r>
            <w:r w:rsidRPr="00547678">
              <w:rPr>
                <w:sz w:val="20"/>
                <w:szCs w:val="20"/>
              </w:rPr>
              <w:tab/>
              <w:t>pārtikas produktu izcelsme (teritorija, ko raksturo noteikti klimatiskie apstākļi – piemēram, vienā daļā neapvieno eksotiskos augļus un sezonālos vietējos augļus);</w:t>
            </w:r>
          </w:p>
          <w:p w14:paraId="3D6AECE3" w14:textId="77777777" w:rsidR="004F0676" w:rsidRPr="00547678" w:rsidRDefault="004F0676" w:rsidP="004F0676">
            <w:pPr>
              <w:jc w:val="both"/>
              <w:rPr>
                <w:sz w:val="20"/>
                <w:szCs w:val="20"/>
              </w:rPr>
            </w:pPr>
            <w:r w:rsidRPr="00547678">
              <w:rPr>
                <w:sz w:val="20"/>
                <w:szCs w:val="20"/>
              </w:rPr>
              <w:t>1.6.</w:t>
            </w:r>
            <w:r w:rsidRPr="00547678">
              <w:rPr>
                <w:sz w:val="20"/>
                <w:szCs w:val="20"/>
              </w:rPr>
              <w:tab/>
              <w:t>pārtikas produktu sezonalitāte (piemēram, atsevišķās daļās izdala vasarā un rudenī pieejamos dārzeņus, augļus vai ogas).</w:t>
            </w:r>
          </w:p>
        </w:tc>
        <w:tc>
          <w:tcPr>
            <w:tcW w:w="557" w:type="pct"/>
            <w:shd w:val="clear" w:color="auto" w:fill="FFFFFF" w:themeFill="background1"/>
          </w:tcPr>
          <w:p w14:paraId="4A0E9685"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2CB14A94" w14:textId="77777777" w:rsidR="004F0676" w:rsidRPr="00547678" w:rsidRDefault="004F0676" w:rsidP="004F0676">
            <w:pPr>
              <w:jc w:val="both"/>
              <w:rPr>
                <w:sz w:val="20"/>
                <w:szCs w:val="20"/>
              </w:rPr>
            </w:pPr>
          </w:p>
        </w:tc>
        <w:tc>
          <w:tcPr>
            <w:tcW w:w="598" w:type="pct"/>
            <w:shd w:val="clear" w:color="auto" w:fill="FFFFFF" w:themeFill="background1"/>
          </w:tcPr>
          <w:p w14:paraId="2886D693" w14:textId="77777777" w:rsidR="004F0676" w:rsidRPr="00547678" w:rsidRDefault="004F0676" w:rsidP="004F0676">
            <w:pPr>
              <w:jc w:val="both"/>
              <w:rPr>
                <w:sz w:val="20"/>
                <w:szCs w:val="20"/>
              </w:rPr>
            </w:pPr>
          </w:p>
        </w:tc>
      </w:tr>
      <w:tr w:rsidR="00683FD6" w:rsidRPr="00CE5FED" w14:paraId="08B79F13" w14:textId="77777777" w:rsidTr="00CE5FED">
        <w:trPr>
          <w:trHeight w:val="85"/>
        </w:trPr>
        <w:tc>
          <w:tcPr>
            <w:tcW w:w="147" w:type="pct"/>
            <w:shd w:val="clear" w:color="auto" w:fill="FFFFFF" w:themeFill="background1"/>
          </w:tcPr>
          <w:p w14:paraId="2A015659"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105A5021" w14:textId="77777777" w:rsidR="004F0676" w:rsidRPr="00547678" w:rsidRDefault="004F0676" w:rsidP="004F0676">
            <w:pPr>
              <w:suppressAutoHyphens/>
              <w:jc w:val="both"/>
              <w:rPr>
                <w:bCs/>
                <w:sz w:val="20"/>
                <w:szCs w:val="20"/>
              </w:rPr>
            </w:pPr>
            <w:r w:rsidRPr="00547678">
              <w:rPr>
                <w:bCs/>
                <w:sz w:val="20"/>
                <w:szCs w:val="20"/>
              </w:rPr>
              <w:t xml:space="preserve">Noteikumu projekta 1. pielikuma 4.1.apakšnodaļā piedāvājuma izvērtēšanas kritērijs: </w:t>
            </w:r>
          </w:p>
          <w:p w14:paraId="73C0B383" w14:textId="77777777" w:rsidR="004F0676" w:rsidRPr="00547678" w:rsidRDefault="004F0676" w:rsidP="004F0676">
            <w:pPr>
              <w:suppressAutoHyphens/>
              <w:jc w:val="both"/>
              <w:rPr>
                <w:bCs/>
                <w:sz w:val="20"/>
                <w:szCs w:val="20"/>
              </w:rPr>
            </w:pPr>
            <w:r w:rsidRPr="00547678">
              <w:rPr>
                <w:bCs/>
                <w:sz w:val="20"/>
                <w:szCs w:val="20"/>
              </w:rPr>
              <w:t>Ja piedāvājumi ir līdzvērtīgi, pasūtītājs pārtikas produktu piegādes līguma slēgšanas tiesības piešķir piegādātājam, kura piedāvājumā ir lielāks to pārtikas produktu īpatsvars:</w:t>
            </w:r>
          </w:p>
          <w:p w14:paraId="42B3AB44" w14:textId="77777777" w:rsidR="004F0676" w:rsidRPr="00547678" w:rsidRDefault="004F0676" w:rsidP="004F0676">
            <w:pPr>
              <w:suppressAutoHyphens/>
              <w:jc w:val="both"/>
              <w:rPr>
                <w:bCs/>
                <w:sz w:val="20"/>
                <w:szCs w:val="20"/>
              </w:rPr>
            </w:pPr>
            <w:r w:rsidRPr="00547678">
              <w:rPr>
                <w:bCs/>
                <w:sz w:val="20"/>
                <w:szCs w:val="20"/>
              </w:rPr>
              <w:t>1. kuri atbilst bioloģiskās lauksaimniecības vai nacionālās pārtikas kvalitātes shēmas , vai lauksaimniecības produktu integrētās audzēšanas prasībām;</w:t>
            </w:r>
          </w:p>
          <w:p w14:paraId="01BE2128" w14:textId="77777777" w:rsidR="004F0676" w:rsidRPr="00547678" w:rsidRDefault="004F0676" w:rsidP="004F0676">
            <w:pPr>
              <w:suppressAutoHyphens/>
              <w:jc w:val="both"/>
              <w:rPr>
                <w:bCs/>
                <w:sz w:val="20"/>
                <w:szCs w:val="20"/>
              </w:rPr>
            </w:pPr>
            <w:r w:rsidRPr="00547678">
              <w:rPr>
                <w:bCs/>
                <w:sz w:val="20"/>
                <w:szCs w:val="20"/>
              </w:rPr>
              <w:t>2. kurus paredzēts piegādāt noteiktā pasūtītāja paredzētā attāluma ietvaros no pārtikas produktu izcelsmes (tikai audzēšanas/ražošanas) vietas līdz pasūtītāja norādītajai vietai/piegādes adresei (piemēram, ne vairāk kā 250 km ietvaros).</w:t>
            </w:r>
          </w:p>
        </w:tc>
        <w:tc>
          <w:tcPr>
            <w:tcW w:w="956" w:type="pct"/>
            <w:shd w:val="clear" w:color="auto" w:fill="FFFFFF" w:themeFill="background1"/>
          </w:tcPr>
          <w:p w14:paraId="760A99A6" w14:textId="77777777" w:rsidR="004F0676" w:rsidRPr="00547678" w:rsidRDefault="004F0676" w:rsidP="004F0676">
            <w:pPr>
              <w:jc w:val="both"/>
              <w:rPr>
                <w:b/>
                <w:sz w:val="20"/>
                <w:szCs w:val="20"/>
              </w:rPr>
            </w:pPr>
            <w:r w:rsidRPr="00547678">
              <w:rPr>
                <w:b/>
                <w:sz w:val="20"/>
                <w:szCs w:val="20"/>
              </w:rPr>
              <w:t>FM</w:t>
            </w:r>
          </w:p>
          <w:p w14:paraId="0FB57643" w14:textId="77777777" w:rsidR="004F0676" w:rsidRPr="00547678" w:rsidRDefault="004F0676" w:rsidP="004F0676">
            <w:pPr>
              <w:jc w:val="both"/>
              <w:rPr>
                <w:sz w:val="20"/>
                <w:szCs w:val="20"/>
              </w:rPr>
            </w:pPr>
            <w:r w:rsidRPr="00547678">
              <w:rPr>
                <w:sz w:val="20"/>
                <w:szCs w:val="20"/>
              </w:rPr>
              <w:t>Lai neradītu atšķirīgas interpretācijas iespējas, lūdzam precizēt noteikumu projekta 1.pielikuma 4.1. apakšnodaļā (25.lpp.) pie piedāvājumu izvērtēšanas kritērijiem ietverto nosacījumu par iepirkuma līguma tiesību piešķiršanu līdzvērtīgu piedāvājumu gadījumā. Proti, nepieciešams norādīt, ka šis nosacījums attiecas, nevis uz gadījumiem, kad ir iesniegti līdzvērtīgi piedāvājumi, bet gan uz gadījumiem, kad ir konstatēts, ka vismaz divu piedāvājumu novērtējums ir vienāds.</w:t>
            </w:r>
          </w:p>
        </w:tc>
        <w:tc>
          <w:tcPr>
            <w:tcW w:w="624" w:type="pct"/>
            <w:shd w:val="clear" w:color="auto" w:fill="FFFFFF" w:themeFill="background1"/>
          </w:tcPr>
          <w:p w14:paraId="3F86A39C"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2B3F6526" w14:textId="77777777" w:rsidR="004F0676" w:rsidRPr="00547678" w:rsidRDefault="004F0676" w:rsidP="004F0676">
            <w:pPr>
              <w:suppressAutoHyphens/>
              <w:jc w:val="both"/>
              <w:rPr>
                <w:sz w:val="20"/>
                <w:szCs w:val="20"/>
              </w:rPr>
            </w:pPr>
            <w:r w:rsidRPr="00547678">
              <w:rPr>
                <w:sz w:val="20"/>
                <w:szCs w:val="20"/>
              </w:rPr>
              <w:t xml:space="preserve">Veikti precizējumi atbilstoši iebildumam. </w:t>
            </w:r>
          </w:p>
        </w:tc>
        <w:tc>
          <w:tcPr>
            <w:tcW w:w="1059" w:type="pct"/>
            <w:shd w:val="clear" w:color="auto" w:fill="FFFFFF" w:themeFill="background1"/>
          </w:tcPr>
          <w:p w14:paraId="3A18359A" w14:textId="77777777" w:rsidR="004F0676" w:rsidRPr="00547678" w:rsidRDefault="004F0676" w:rsidP="004F0676">
            <w:pPr>
              <w:jc w:val="both"/>
              <w:rPr>
                <w:sz w:val="20"/>
                <w:szCs w:val="20"/>
              </w:rPr>
            </w:pPr>
            <w:r w:rsidRPr="00547678">
              <w:rPr>
                <w:sz w:val="20"/>
                <w:szCs w:val="20"/>
              </w:rPr>
              <w:t>Noteikumu projekta 1. pielikuma 4.1.apakšnodaļā piedāvājuma izvērtēšanas kritērijs:</w:t>
            </w:r>
          </w:p>
          <w:p w14:paraId="4DCD23C5" w14:textId="77777777" w:rsidR="004F0676" w:rsidRPr="00547678" w:rsidRDefault="004F0676" w:rsidP="004F0676">
            <w:pPr>
              <w:jc w:val="both"/>
              <w:rPr>
                <w:sz w:val="20"/>
                <w:szCs w:val="20"/>
              </w:rPr>
            </w:pPr>
            <w:r w:rsidRPr="00547678">
              <w:rPr>
                <w:sz w:val="20"/>
                <w:szCs w:val="20"/>
              </w:rPr>
              <w:t>Ja vismaz divu piedāvājumu novērtējums ir vienāds, pasūtītājs pārtikas produktu piegādes līguma slēgšanas tiesības piešķir piegādātājam, kura piedāvājumā ir lielāks to pārtikas produktu īpatsvars, vērtējot to sekojošā prioritārā kārtībā:</w:t>
            </w:r>
          </w:p>
          <w:p w14:paraId="51E219B4" w14:textId="77777777" w:rsidR="004F0676" w:rsidRPr="00547678" w:rsidRDefault="004F0676" w:rsidP="004F0676">
            <w:pPr>
              <w:jc w:val="both"/>
              <w:rPr>
                <w:sz w:val="20"/>
                <w:szCs w:val="20"/>
              </w:rPr>
            </w:pPr>
            <w:r w:rsidRPr="00547678">
              <w:rPr>
                <w:sz w:val="20"/>
                <w:szCs w:val="20"/>
              </w:rPr>
              <w:t xml:space="preserve">1.  kuri atbilst bioloģiskās lauksaimniecības audzēšanas prasībām; </w:t>
            </w:r>
          </w:p>
          <w:p w14:paraId="6A00DFC3" w14:textId="77777777" w:rsidR="004F0676" w:rsidRPr="00547678" w:rsidRDefault="004F0676" w:rsidP="004F0676">
            <w:pPr>
              <w:jc w:val="both"/>
              <w:rPr>
                <w:sz w:val="20"/>
                <w:szCs w:val="20"/>
              </w:rPr>
            </w:pPr>
            <w:r w:rsidRPr="00547678">
              <w:rPr>
                <w:sz w:val="20"/>
                <w:szCs w:val="20"/>
              </w:rPr>
              <w:t>2.  nacionālās pārtikas kvalitātes shēmas, vai lauksaimniecības produktu integrētās audzēšanas prasībām;</w:t>
            </w:r>
          </w:p>
          <w:p w14:paraId="3E951FB8" w14:textId="77777777" w:rsidR="004F0676" w:rsidRPr="00547678" w:rsidRDefault="004F0676" w:rsidP="004F0676">
            <w:pPr>
              <w:jc w:val="both"/>
              <w:rPr>
                <w:sz w:val="20"/>
                <w:szCs w:val="20"/>
              </w:rPr>
            </w:pPr>
            <w:r w:rsidRPr="00547678">
              <w:rPr>
                <w:sz w:val="20"/>
                <w:szCs w:val="20"/>
              </w:rPr>
              <w:t>3. kurus paredzēts piegādāt noteiktā pasūtītāja paredzētā attāluma ietvaros no pārtikas produktu izcelsmes (tikai audzēšanas/ražošanas) vietas līdz pasūtītāja norādītajai vietai/piegādes adresei (piemēram, ne vairāk kā 250 km ietvaros).</w:t>
            </w:r>
          </w:p>
        </w:tc>
        <w:tc>
          <w:tcPr>
            <w:tcW w:w="557" w:type="pct"/>
            <w:shd w:val="clear" w:color="auto" w:fill="FFFFFF" w:themeFill="background1"/>
          </w:tcPr>
          <w:p w14:paraId="79EEB48D"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559175D7" w14:textId="77777777" w:rsidR="004F0676" w:rsidRPr="00547678" w:rsidRDefault="004F0676" w:rsidP="004F0676">
            <w:pPr>
              <w:jc w:val="both"/>
              <w:rPr>
                <w:sz w:val="20"/>
                <w:szCs w:val="20"/>
              </w:rPr>
            </w:pPr>
          </w:p>
        </w:tc>
        <w:tc>
          <w:tcPr>
            <w:tcW w:w="598" w:type="pct"/>
            <w:shd w:val="clear" w:color="auto" w:fill="FFFFFF" w:themeFill="background1"/>
          </w:tcPr>
          <w:p w14:paraId="4862933E" w14:textId="77777777" w:rsidR="004F0676" w:rsidRPr="00547678" w:rsidRDefault="004F0676" w:rsidP="004F0676">
            <w:pPr>
              <w:jc w:val="both"/>
              <w:rPr>
                <w:sz w:val="20"/>
                <w:szCs w:val="20"/>
              </w:rPr>
            </w:pPr>
          </w:p>
        </w:tc>
      </w:tr>
      <w:tr w:rsidR="00683FD6" w:rsidRPr="00CE5FED" w14:paraId="422AAD9C" w14:textId="77777777" w:rsidTr="00CE5FED">
        <w:trPr>
          <w:trHeight w:val="85"/>
        </w:trPr>
        <w:tc>
          <w:tcPr>
            <w:tcW w:w="147" w:type="pct"/>
            <w:shd w:val="clear" w:color="auto" w:fill="FFFFFF" w:themeFill="background1"/>
          </w:tcPr>
          <w:p w14:paraId="075E3E73"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458E6B23" w14:textId="77777777" w:rsidR="004F0676" w:rsidRPr="00547678" w:rsidRDefault="004F0676" w:rsidP="004F0676">
            <w:pPr>
              <w:suppressAutoHyphens/>
              <w:jc w:val="both"/>
              <w:rPr>
                <w:bCs/>
                <w:sz w:val="20"/>
                <w:szCs w:val="20"/>
              </w:rPr>
            </w:pPr>
            <w:r w:rsidRPr="00547678">
              <w:rPr>
                <w:bCs/>
                <w:sz w:val="20"/>
                <w:szCs w:val="20"/>
              </w:rPr>
              <w:t>Noteikumu projekta 1. pielikuma 4.2.apakšnodaļā piedāvājuma izvērtēšanas kritērijs:</w:t>
            </w:r>
          </w:p>
          <w:p w14:paraId="03B101C0" w14:textId="77777777" w:rsidR="004F0676" w:rsidRPr="00547678" w:rsidRDefault="004F0676" w:rsidP="004F0676">
            <w:pPr>
              <w:suppressAutoHyphens/>
              <w:jc w:val="both"/>
              <w:rPr>
                <w:bCs/>
                <w:sz w:val="20"/>
                <w:szCs w:val="20"/>
              </w:rPr>
            </w:pPr>
            <w:r w:rsidRPr="00547678">
              <w:rPr>
                <w:bCs/>
                <w:sz w:val="20"/>
                <w:szCs w:val="20"/>
              </w:rPr>
              <w:t>3.6. VIDES PĀRVALDĪBAS SISTĒMA (VPS)</w:t>
            </w:r>
          </w:p>
          <w:p w14:paraId="389CC2AC" w14:textId="77777777" w:rsidR="004F0676" w:rsidRPr="00547678" w:rsidRDefault="004F0676" w:rsidP="004F0676">
            <w:pPr>
              <w:suppressAutoHyphens/>
              <w:jc w:val="both"/>
              <w:rPr>
                <w:bCs/>
                <w:sz w:val="20"/>
                <w:szCs w:val="20"/>
              </w:rPr>
            </w:pPr>
            <w:r w:rsidRPr="00547678">
              <w:rPr>
                <w:bCs/>
                <w:sz w:val="20"/>
                <w:szCs w:val="20"/>
              </w:rPr>
              <w:t>Papildus punkti tiek piešķirti par vides pārvaldības sistēmu (VPS) ēdināšanas pakalpojumiem (piemēram, Eiropas Savienības Vides pārvaldības sistēma (EMAS), LV EN ISO 14001:2015 "Vides pārvaldības sistēmas. Prasības vadlīniju lietošanai (ISO 14001:2015)" vai līdzvērtīgu VPS) (attiecināms uz iepirkumiem saskaņā ar Publisko iepirkumu likuma 48 (3) pantā noteiktām līgumcenu robežvērtībām);</w:t>
            </w:r>
          </w:p>
        </w:tc>
        <w:tc>
          <w:tcPr>
            <w:tcW w:w="956" w:type="pct"/>
            <w:shd w:val="clear" w:color="auto" w:fill="FFFFFF" w:themeFill="background1"/>
          </w:tcPr>
          <w:p w14:paraId="70E5027E" w14:textId="77777777" w:rsidR="004F0676" w:rsidRPr="00547678" w:rsidRDefault="004F0676" w:rsidP="004F0676">
            <w:pPr>
              <w:jc w:val="both"/>
              <w:rPr>
                <w:b/>
                <w:sz w:val="20"/>
                <w:szCs w:val="20"/>
              </w:rPr>
            </w:pPr>
            <w:r w:rsidRPr="00547678">
              <w:rPr>
                <w:b/>
                <w:sz w:val="20"/>
                <w:szCs w:val="20"/>
              </w:rPr>
              <w:t>FM</w:t>
            </w:r>
          </w:p>
          <w:p w14:paraId="1C9D9CF4" w14:textId="77777777" w:rsidR="004F0676" w:rsidRPr="00547678" w:rsidRDefault="004F0676" w:rsidP="004F0676">
            <w:pPr>
              <w:jc w:val="both"/>
              <w:rPr>
                <w:sz w:val="20"/>
                <w:szCs w:val="20"/>
              </w:rPr>
            </w:pPr>
            <w:r w:rsidRPr="00547678">
              <w:rPr>
                <w:sz w:val="20"/>
                <w:szCs w:val="20"/>
              </w:rPr>
              <w:t>Lūdzam svītrot atsauci uz Publisko iepirkumu likuma 48.panta trešajā daļā noteiktajām iepirkuma līguma paredzamajām līgumcenu robežvērtībām pie noteikumu projekta 1.pielikuma 4.2.apakšnodaļā paredzētā 3.6 piedāvājumu izvērtēšanas kritērija “Vides pārvaldības sistēma (VPS)”, ņemot vērā, ka šādu kritēriju piedāvājumu izvērtēšanai var noteikt arī iepirkumos, kuru paredzamā līgumcena nesasniedz minētajā tiesību normā noteiktās līgumcenu robežvērtības.</w:t>
            </w:r>
          </w:p>
          <w:p w14:paraId="659AF5CF" w14:textId="77777777" w:rsidR="004F0676" w:rsidRPr="00547678" w:rsidRDefault="004F0676" w:rsidP="004F0676">
            <w:pPr>
              <w:jc w:val="both"/>
              <w:rPr>
                <w:sz w:val="20"/>
                <w:szCs w:val="20"/>
              </w:rPr>
            </w:pPr>
          </w:p>
        </w:tc>
        <w:tc>
          <w:tcPr>
            <w:tcW w:w="624" w:type="pct"/>
            <w:shd w:val="clear" w:color="auto" w:fill="FFFFFF" w:themeFill="background1"/>
          </w:tcPr>
          <w:p w14:paraId="04D4F6BF"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790AAA1E" w14:textId="77777777" w:rsidR="004F0676" w:rsidRPr="00547678" w:rsidRDefault="004F0676" w:rsidP="004F0676">
            <w:pPr>
              <w:suppressAutoHyphens/>
              <w:jc w:val="both"/>
              <w:rPr>
                <w:sz w:val="20"/>
                <w:szCs w:val="20"/>
              </w:rPr>
            </w:pPr>
            <w:r w:rsidRPr="00547678">
              <w:rPr>
                <w:sz w:val="20"/>
                <w:szCs w:val="20"/>
              </w:rPr>
              <w:t xml:space="preserve">Veikti precizējumi atbilstoši iebildumam. </w:t>
            </w:r>
          </w:p>
          <w:p w14:paraId="292D2B99"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44EE593C" w14:textId="77777777" w:rsidR="004F0676" w:rsidRPr="00547678" w:rsidRDefault="004F0676" w:rsidP="004F0676">
            <w:pPr>
              <w:jc w:val="both"/>
              <w:rPr>
                <w:sz w:val="20"/>
                <w:szCs w:val="20"/>
              </w:rPr>
            </w:pPr>
            <w:r w:rsidRPr="00547678">
              <w:rPr>
                <w:sz w:val="20"/>
                <w:szCs w:val="20"/>
              </w:rPr>
              <w:t>Noteikumu projekta 1. pielikuma 4.2.apakšnodaļā piedāvājuma izvērtēšanas kritērijs:</w:t>
            </w:r>
          </w:p>
          <w:p w14:paraId="06E225AC" w14:textId="77777777" w:rsidR="004F0676" w:rsidRPr="00547678" w:rsidRDefault="004F0676" w:rsidP="004F0676">
            <w:pPr>
              <w:jc w:val="both"/>
              <w:rPr>
                <w:sz w:val="20"/>
                <w:szCs w:val="20"/>
              </w:rPr>
            </w:pPr>
            <w:r w:rsidRPr="00547678">
              <w:rPr>
                <w:sz w:val="20"/>
                <w:szCs w:val="20"/>
              </w:rPr>
              <w:t>3.6. VIDES PĀRVALDĪBAS SISTĒMA (VPS)</w:t>
            </w:r>
          </w:p>
          <w:p w14:paraId="2CCBE6EA" w14:textId="77777777" w:rsidR="004F0676" w:rsidRPr="00547678" w:rsidRDefault="004F0676" w:rsidP="004F0676">
            <w:pPr>
              <w:jc w:val="both"/>
              <w:rPr>
                <w:sz w:val="20"/>
                <w:szCs w:val="20"/>
              </w:rPr>
            </w:pPr>
            <w:r w:rsidRPr="00547678">
              <w:rPr>
                <w:sz w:val="20"/>
                <w:szCs w:val="20"/>
              </w:rPr>
              <w:t xml:space="preserve">Papildus punkti tiek piešķirti par vides pārvaldības sistēmu (VPS) ēdināšanas pakalpojumiem. </w:t>
            </w:r>
          </w:p>
        </w:tc>
        <w:tc>
          <w:tcPr>
            <w:tcW w:w="557" w:type="pct"/>
            <w:shd w:val="clear" w:color="auto" w:fill="FFFFFF" w:themeFill="background1"/>
          </w:tcPr>
          <w:p w14:paraId="25667806"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67174FED" w14:textId="77777777" w:rsidR="004F0676" w:rsidRPr="00547678" w:rsidRDefault="004F0676" w:rsidP="004F0676">
            <w:pPr>
              <w:jc w:val="both"/>
              <w:rPr>
                <w:sz w:val="20"/>
                <w:szCs w:val="20"/>
              </w:rPr>
            </w:pPr>
          </w:p>
        </w:tc>
        <w:tc>
          <w:tcPr>
            <w:tcW w:w="598" w:type="pct"/>
            <w:shd w:val="clear" w:color="auto" w:fill="FFFFFF" w:themeFill="background1"/>
          </w:tcPr>
          <w:p w14:paraId="04621776" w14:textId="77777777" w:rsidR="004F0676" w:rsidRPr="00547678" w:rsidRDefault="004F0676" w:rsidP="004F0676">
            <w:pPr>
              <w:jc w:val="both"/>
              <w:rPr>
                <w:sz w:val="20"/>
                <w:szCs w:val="20"/>
              </w:rPr>
            </w:pPr>
          </w:p>
        </w:tc>
      </w:tr>
      <w:tr w:rsidR="00683FD6" w:rsidRPr="00CE5FED" w14:paraId="2A539987" w14:textId="77777777" w:rsidTr="00CE5FED">
        <w:trPr>
          <w:trHeight w:val="85"/>
        </w:trPr>
        <w:tc>
          <w:tcPr>
            <w:tcW w:w="147" w:type="pct"/>
            <w:shd w:val="clear" w:color="auto" w:fill="FFFFFF" w:themeFill="background1"/>
          </w:tcPr>
          <w:p w14:paraId="7A5305CC"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5E1251ED" w14:textId="77777777" w:rsidR="004F0676" w:rsidRPr="00547678" w:rsidRDefault="004F0676" w:rsidP="004F0676">
            <w:pPr>
              <w:suppressAutoHyphens/>
              <w:jc w:val="both"/>
              <w:rPr>
                <w:bCs/>
                <w:sz w:val="20"/>
                <w:szCs w:val="20"/>
              </w:rPr>
            </w:pPr>
            <w:r w:rsidRPr="00547678">
              <w:rPr>
                <w:bCs/>
                <w:sz w:val="20"/>
                <w:szCs w:val="20"/>
              </w:rPr>
              <w:t xml:space="preserve">Noteikumu projekta 2. pielikuma 8.1. apakšnodaļā piedāvājuma izvērtēšanas kritēriji: </w:t>
            </w:r>
          </w:p>
          <w:p w14:paraId="7FDDE3CF" w14:textId="77777777" w:rsidR="004F0676" w:rsidRPr="00547678" w:rsidRDefault="004F0676" w:rsidP="004F0676">
            <w:pPr>
              <w:suppressAutoHyphens/>
              <w:jc w:val="both"/>
              <w:rPr>
                <w:bCs/>
                <w:sz w:val="20"/>
                <w:szCs w:val="20"/>
              </w:rPr>
            </w:pPr>
            <w:r w:rsidRPr="00547678">
              <w:rPr>
                <w:bCs/>
                <w:sz w:val="20"/>
                <w:szCs w:val="20"/>
              </w:rPr>
              <w:t>9. PIEMĒROTĪBA IZMANTOŠANAI</w:t>
            </w:r>
          </w:p>
          <w:p w14:paraId="7E797FEB" w14:textId="77777777" w:rsidR="004F0676" w:rsidRPr="00547678" w:rsidRDefault="004F0676" w:rsidP="004F0676">
            <w:pPr>
              <w:suppressAutoHyphens/>
              <w:jc w:val="both"/>
              <w:rPr>
                <w:bCs/>
                <w:sz w:val="20"/>
                <w:szCs w:val="20"/>
              </w:rPr>
            </w:pPr>
            <w:r w:rsidRPr="00547678">
              <w:rPr>
                <w:bCs/>
                <w:sz w:val="20"/>
                <w:szCs w:val="20"/>
              </w:rPr>
              <w:t xml:space="preserve">Papildus punktus piešķir, ja piegādātājs var apliecināt mēbeļu izstrādājuma atbilstību standartiem (vai arī kā līguma izpildes nosacījumos tiek norādīts, ka sākotnēji tiks veikta produkta testēšana), iesniedzot testēšanas pārskatu ar pozitīvu rezultātu, kas izdots atzītā testēšanas laboratorijā, nodrošinot EN standartu izpildi.  </w:t>
            </w:r>
          </w:p>
        </w:tc>
        <w:tc>
          <w:tcPr>
            <w:tcW w:w="956" w:type="pct"/>
            <w:shd w:val="clear" w:color="auto" w:fill="FFFFFF" w:themeFill="background1"/>
          </w:tcPr>
          <w:p w14:paraId="162D672A" w14:textId="77777777" w:rsidR="004F0676" w:rsidRPr="00547678" w:rsidRDefault="004F0676" w:rsidP="004F0676">
            <w:pPr>
              <w:jc w:val="both"/>
              <w:rPr>
                <w:b/>
                <w:sz w:val="20"/>
                <w:szCs w:val="20"/>
              </w:rPr>
            </w:pPr>
            <w:r w:rsidRPr="00547678">
              <w:rPr>
                <w:b/>
                <w:sz w:val="20"/>
                <w:szCs w:val="20"/>
              </w:rPr>
              <w:t>FM</w:t>
            </w:r>
          </w:p>
          <w:p w14:paraId="66DB756C" w14:textId="77777777" w:rsidR="004F0676" w:rsidRPr="00547678" w:rsidRDefault="004F0676" w:rsidP="004F0676">
            <w:pPr>
              <w:jc w:val="both"/>
              <w:rPr>
                <w:sz w:val="20"/>
                <w:szCs w:val="20"/>
              </w:rPr>
            </w:pPr>
            <w:r w:rsidRPr="00547678">
              <w:rPr>
                <w:sz w:val="20"/>
                <w:szCs w:val="20"/>
              </w:rPr>
              <w:t>Lūdzam izvērtēt, vai noteikumu projekta 2.pielikuma 8.1.apakšnodaļā pie piedāvājumu izvērtēšanas kritērijiem paredzētais kritērijs par piemērotību izmantošanai nebūtu svītrojams, ņemot vērā, ka attiecībā uz tehnisko specifikāciju ir noteikts līdzīgs kritērijs (5.punkts).</w:t>
            </w:r>
          </w:p>
        </w:tc>
        <w:tc>
          <w:tcPr>
            <w:tcW w:w="624" w:type="pct"/>
            <w:shd w:val="clear" w:color="auto" w:fill="FFFFFF" w:themeFill="background1"/>
          </w:tcPr>
          <w:p w14:paraId="0C348ECC"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5756E46D" w14:textId="77777777" w:rsidR="004F0676" w:rsidRPr="00547678" w:rsidRDefault="004F0676" w:rsidP="004F0676">
            <w:pPr>
              <w:suppressAutoHyphens/>
              <w:jc w:val="both"/>
              <w:rPr>
                <w:sz w:val="20"/>
                <w:szCs w:val="20"/>
              </w:rPr>
            </w:pPr>
            <w:r w:rsidRPr="00547678">
              <w:rPr>
                <w:sz w:val="20"/>
                <w:szCs w:val="20"/>
              </w:rPr>
              <w:t xml:space="preserve">Veikti precizējumi atbilstoši iebildumam. Dzēsts noteikumu projekta 2. pielikuma 8.1. apakšnodaļas piedāvājuma izvērtēšanas kritērijs 9. Piemērotība izmantošanai. </w:t>
            </w:r>
          </w:p>
          <w:p w14:paraId="3B860BE7" w14:textId="77777777" w:rsidR="004F0676" w:rsidRPr="00547678" w:rsidRDefault="004F0676" w:rsidP="004F0676">
            <w:pPr>
              <w:suppressAutoHyphens/>
              <w:jc w:val="both"/>
              <w:rPr>
                <w:b/>
                <w:sz w:val="20"/>
                <w:szCs w:val="20"/>
              </w:rPr>
            </w:pPr>
            <w:r w:rsidRPr="00547678">
              <w:rPr>
                <w:b/>
                <w:sz w:val="20"/>
                <w:szCs w:val="20"/>
              </w:rPr>
              <w:t xml:space="preserve">                                                                                                                                                                                                               </w:t>
            </w:r>
          </w:p>
          <w:p w14:paraId="208382BF"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703BAD74" w14:textId="77777777" w:rsidR="004F0676" w:rsidRPr="00547678" w:rsidRDefault="004F0676" w:rsidP="004F0676">
            <w:pPr>
              <w:jc w:val="both"/>
              <w:rPr>
                <w:sz w:val="20"/>
                <w:szCs w:val="20"/>
              </w:rPr>
            </w:pPr>
          </w:p>
        </w:tc>
        <w:tc>
          <w:tcPr>
            <w:tcW w:w="557" w:type="pct"/>
            <w:shd w:val="clear" w:color="auto" w:fill="FFFFFF" w:themeFill="background1"/>
          </w:tcPr>
          <w:p w14:paraId="3C7A33B3"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371E3DE8" w14:textId="77777777" w:rsidR="004F0676" w:rsidRPr="00547678" w:rsidRDefault="004F0676" w:rsidP="004F0676">
            <w:pPr>
              <w:jc w:val="both"/>
              <w:rPr>
                <w:sz w:val="20"/>
                <w:szCs w:val="20"/>
              </w:rPr>
            </w:pPr>
          </w:p>
        </w:tc>
        <w:tc>
          <w:tcPr>
            <w:tcW w:w="598" w:type="pct"/>
            <w:shd w:val="clear" w:color="auto" w:fill="FFFFFF" w:themeFill="background1"/>
          </w:tcPr>
          <w:p w14:paraId="1E39CBFE" w14:textId="77777777" w:rsidR="004F0676" w:rsidRPr="00547678" w:rsidRDefault="004F0676" w:rsidP="004F0676">
            <w:pPr>
              <w:jc w:val="both"/>
              <w:rPr>
                <w:sz w:val="20"/>
                <w:szCs w:val="20"/>
              </w:rPr>
            </w:pPr>
          </w:p>
        </w:tc>
      </w:tr>
      <w:tr w:rsidR="00683FD6" w:rsidRPr="00CE5FED" w14:paraId="3A9F6420" w14:textId="77777777" w:rsidTr="00CE5FED">
        <w:trPr>
          <w:trHeight w:val="85"/>
        </w:trPr>
        <w:tc>
          <w:tcPr>
            <w:tcW w:w="147" w:type="pct"/>
            <w:shd w:val="clear" w:color="auto" w:fill="FFFFFF" w:themeFill="background1"/>
          </w:tcPr>
          <w:p w14:paraId="6435AA1B"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79CBB462" w14:textId="77777777" w:rsidR="004F0676" w:rsidRPr="00547678" w:rsidRDefault="004F0676" w:rsidP="004F0676">
            <w:pPr>
              <w:suppressAutoHyphens/>
              <w:jc w:val="both"/>
              <w:rPr>
                <w:bCs/>
                <w:sz w:val="20"/>
                <w:szCs w:val="20"/>
              </w:rPr>
            </w:pPr>
            <w:r w:rsidRPr="00547678">
              <w:rPr>
                <w:bCs/>
                <w:sz w:val="20"/>
                <w:szCs w:val="20"/>
              </w:rPr>
              <w:t xml:space="preserve">Noteikumu projekta 1. pielikuma 3.1. un 3.2. apakšnodaļas Līguma izpildes noteikumi: </w:t>
            </w:r>
          </w:p>
          <w:p w14:paraId="16D406FE" w14:textId="77777777" w:rsidR="004F0676" w:rsidRPr="00547678" w:rsidRDefault="004F0676" w:rsidP="004F0676">
            <w:pPr>
              <w:suppressAutoHyphens/>
              <w:jc w:val="both"/>
              <w:rPr>
                <w:bCs/>
                <w:sz w:val="20"/>
                <w:szCs w:val="20"/>
              </w:rPr>
            </w:pPr>
            <w:r w:rsidRPr="00547678">
              <w:rPr>
                <w:bCs/>
                <w:sz w:val="20"/>
                <w:szCs w:val="20"/>
              </w:rPr>
              <w:t>1.</w:t>
            </w:r>
            <w:r w:rsidRPr="00547678">
              <w:rPr>
                <w:bCs/>
                <w:sz w:val="20"/>
                <w:szCs w:val="20"/>
              </w:rPr>
              <w:tab/>
              <w:t>NOLIETOTĀS DATORTEHNIKAS DROŠA UTILIZĀCIJA</w:t>
            </w:r>
          </w:p>
          <w:p w14:paraId="5F1D0D9F" w14:textId="77777777" w:rsidR="004F0676" w:rsidRPr="00547678" w:rsidRDefault="004F0676" w:rsidP="004F0676">
            <w:pPr>
              <w:suppressAutoHyphens/>
              <w:jc w:val="both"/>
              <w:rPr>
                <w:bCs/>
                <w:sz w:val="20"/>
                <w:szCs w:val="20"/>
              </w:rPr>
            </w:pPr>
            <w:r w:rsidRPr="00547678">
              <w:rPr>
                <w:bCs/>
                <w:sz w:val="20"/>
                <w:szCs w:val="20"/>
              </w:rPr>
              <w:t>IT tehnikas piegādātājam vismaz 3 (trīs) mēnešus pēc attiecīgās iekārtas ilgākās garantijas (ražotāja vai piegādātāja nodrošinātās)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tc>
        <w:tc>
          <w:tcPr>
            <w:tcW w:w="956" w:type="pct"/>
            <w:shd w:val="clear" w:color="auto" w:fill="FFFFFF" w:themeFill="background1"/>
          </w:tcPr>
          <w:p w14:paraId="78A0744F" w14:textId="77777777" w:rsidR="004F0676" w:rsidRPr="00547678" w:rsidRDefault="004F0676" w:rsidP="004F0676">
            <w:pPr>
              <w:jc w:val="both"/>
              <w:rPr>
                <w:b/>
                <w:sz w:val="20"/>
                <w:szCs w:val="20"/>
              </w:rPr>
            </w:pPr>
            <w:r w:rsidRPr="00547678">
              <w:rPr>
                <w:b/>
                <w:sz w:val="20"/>
                <w:szCs w:val="20"/>
              </w:rPr>
              <w:t>Labklājības ministrija (turpmāk – LM)</w:t>
            </w:r>
          </w:p>
          <w:p w14:paraId="3E9AFBF3" w14:textId="77777777" w:rsidR="004F0676" w:rsidRPr="00547678" w:rsidRDefault="004F0676" w:rsidP="004F0676">
            <w:pPr>
              <w:jc w:val="both"/>
              <w:rPr>
                <w:sz w:val="20"/>
                <w:szCs w:val="20"/>
              </w:rPr>
            </w:pPr>
            <w:r w:rsidRPr="00547678">
              <w:rPr>
                <w:sz w:val="20"/>
                <w:szCs w:val="20"/>
              </w:rPr>
              <w:t>No Noteikumu projekta 1.pielikuma 3.1.un 3.2. apakšnodaļas attiecībā uz datortehniku un tās komponentēm izriet, ka datortehnika pēc tās garantijas perioda beigām obligāti ir nododama utilizācijai. Tā kā datortehnika (datori un serveri) tiek lietota arī pēc garantijas perioda beigām gan tāpēc, ka tā joprojām ir strādājoša datortehnika, gan arī finanšu resursu trūkuma dēļ, ierosinām precizēt šīs normas, paredzot, ka pasūtītājs ir tiesīgs nodot utilizācijai ne tikai to datortehniku, ko pats līguma izpildītājs ir piegādājis, bet arī citu pasūtītāja rīcībā esošo datortehniku, kas patiešām ir novecojusi, ievērojot principu datoru piegādei – datoru, serveru piegādei – serveri, vai arī nosakot kvantitatīvo rādītāju, piemēram, procentuālu dalījumu pasūtītāja rīcībā esošās vecās tehnikas pieņemšanai arī tad, ja to ir piegādājis cits līguma izpildītājs. Ņemot vērā minēto, lūdzam precizēt Noteikumu projektu, paredzot kā obligātu prasību utilizēt nevis visu piegādāto datortehniku pēc garantijas perioda beigām, bet tikai nestrādājošu datortehniku vai tādu datortehniku, kas ir morāli novecojusi, tās remonta izmaksas pārsniedz tās iegādes vērtību vai arī remonts ir pārlieku darbietilpīgs un dārgs, kā rezultātā nav efektīvs.</w:t>
            </w:r>
          </w:p>
        </w:tc>
        <w:tc>
          <w:tcPr>
            <w:tcW w:w="624" w:type="pct"/>
            <w:shd w:val="clear" w:color="auto" w:fill="FFFFFF" w:themeFill="background1"/>
          </w:tcPr>
          <w:p w14:paraId="5AC07FDA"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25F5C196" w14:textId="77777777" w:rsidR="004F0676" w:rsidRPr="00547678" w:rsidRDefault="004F0676" w:rsidP="004F0676">
            <w:pPr>
              <w:suppressAutoHyphens/>
              <w:jc w:val="both"/>
              <w:rPr>
                <w:sz w:val="20"/>
                <w:szCs w:val="20"/>
              </w:rPr>
            </w:pPr>
            <w:r w:rsidRPr="00547678">
              <w:rPr>
                <w:sz w:val="20"/>
                <w:szCs w:val="20"/>
              </w:rPr>
              <w:t xml:space="preserve">Noteikumu projekta 1. pielikuma 3.1. un 3.2. apakšnodaļas Līguma izpildes noteikumos tiek norādīts, ka datortehnika pēc garantijas perioda beigām būtu obligāti jāutilizē. Noteikumu projekta redakcijā tiek norādīts, ka piegādātājam ir jānodrošina iespēja vismaz 3 (trīs) mēnešus pēc attiecīgās iekārtas ilgākās garantijas (ražotāja vai piegādātāja nodrošinātās) beigām ir pienākums nodrošināt bezmaksas tehnikas pieņemšanu un utilizācijas servisu, bet tas neuzliek par pienākumu pasūtītājam šādas prasības izvirzīt. </w:t>
            </w:r>
          </w:p>
        </w:tc>
        <w:tc>
          <w:tcPr>
            <w:tcW w:w="1059" w:type="pct"/>
            <w:shd w:val="clear" w:color="auto" w:fill="FFFFFF" w:themeFill="background1"/>
          </w:tcPr>
          <w:p w14:paraId="601066D7" w14:textId="77777777" w:rsidR="004F0676" w:rsidRPr="00547678" w:rsidRDefault="004F0676" w:rsidP="004F0676">
            <w:pPr>
              <w:jc w:val="both"/>
              <w:rPr>
                <w:sz w:val="20"/>
                <w:szCs w:val="20"/>
              </w:rPr>
            </w:pPr>
            <w:r w:rsidRPr="00547678">
              <w:rPr>
                <w:sz w:val="20"/>
                <w:szCs w:val="20"/>
              </w:rPr>
              <w:t xml:space="preserve">Noteikumu projekta 1. pielikuma 3.1. un 3.2. apakšnodaļas Līguma izpildes noteikumi: </w:t>
            </w:r>
          </w:p>
          <w:p w14:paraId="70462DA7" w14:textId="77777777" w:rsidR="004F0676" w:rsidRPr="00547678" w:rsidRDefault="004F0676" w:rsidP="004F0676">
            <w:pPr>
              <w:jc w:val="both"/>
              <w:rPr>
                <w:sz w:val="20"/>
                <w:szCs w:val="20"/>
              </w:rPr>
            </w:pPr>
            <w:r w:rsidRPr="00547678">
              <w:rPr>
                <w:sz w:val="20"/>
                <w:szCs w:val="20"/>
              </w:rPr>
              <w:t>1.</w:t>
            </w:r>
            <w:r w:rsidRPr="00547678">
              <w:rPr>
                <w:sz w:val="20"/>
                <w:szCs w:val="20"/>
              </w:rPr>
              <w:tab/>
              <w:t>NOLIETOTĀS DATORTEHNIKAS DROŠA UTILIZĀCIJA</w:t>
            </w:r>
          </w:p>
          <w:p w14:paraId="4F5260EB" w14:textId="77777777" w:rsidR="004F0676" w:rsidRPr="00547678" w:rsidRDefault="004F0676" w:rsidP="004F0676">
            <w:pPr>
              <w:jc w:val="both"/>
              <w:rPr>
                <w:sz w:val="20"/>
                <w:szCs w:val="20"/>
              </w:rPr>
            </w:pPr>
            <w:r w:rsidRPr="00547678">
              <w:rPr>
                <w:sz w:val="20"/>
                <w:szCs w:val="20"/>
              </w:rPr>
              <w:t>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tc>
        <w:tc>
          <w:tcPr>
            <w:tcW w:w="557" w:type="pct"/>
            <w:shd w:val="clear" w:color="auto" w:fill="FFFFFF" w:themeFill="background1"/>
          </w:tcPr>
          <w:p w14:paraId="265CFDF3"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5887204D" w14:textId="77777777" w:rsidR="004F0676" w:rsidRPr="00547678" w:rsidRDefault="004F0676" w:rsidP="004F0676">
            <w:pPr>
              <w:jc w:val="both"/>
              <w:rPr>
                <w:sz w:val="20"/>
                <w:szCs w:val="20"/>
              </w:rPr>
            </w:pPr>
          </w:p>
        </w:tc>
        <w:tc>
          <w:tcPr>
            <w:tcW w:w="598" w:type="pct"/>
            <w:shd w:val="clear" w:color="auto" w:fill="FFFFFF" w:themeFill="background1"/>
          </w:tcPr>
          <w:p w14:paraId="52EF1FAF" w14:textId="77777777" w:rsidR="004F0676" w:rsidRPr="00547678" w:rsidRDefault="004F0676" w:rsidP="004F0676">
            <w:pPr>
              <w:jc w:val="both"/>
              <w:rPr>
                <w:sz w:val="20"/>
                <w:szCs w:val="20"/>
              </w:rPr>
            </w:pPr>
          </w:p>
        </w:tc>
      </w:tr>
      <w:tr w:rsidR="00683FD6" w:rsidRPr="00CE5FED" w14:paraId="111BEA4D" w14:textId="77777777" w:rsidTr="00CE5FED">
        <w:trPr>
          <w:trHeight w:val="85"/>
        </w:trPr>
        <w:tc>
          <w:tcPr>
            <w:tcW w:w="147" w:type="pct"/>
            <w:shd w:val="clear" w:color="auto" w:fill="FFFFFF" w:themeFill="background1"/>
          </w:tcPr>
          <w:p w14:paraId="0FD0FA84"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5F275A17" w14:textId="77777777" w:rsidR="004F0676" w:rsidRPr="00547678" w:rsidRDefault="004F0676" w:rsidP="004F0676">
            <w:pPr>
              <w:suppressAutoHyphens/>
              <w:jc w:val="both"/>
              <w:rPr>
                <w:bCs/>
                <w:sz w:val="20"/>
                <w:szCs w:val="20"/>
              </w:rPr>
            </w:pPr>
            <w:r w:rsidRPr="00547678">
              <w:rPr>
                <w:bCs/>
                <w:sz w:val="20"/>
                <w:szCs w:val="20"/>
              </w:rPr>
              <w:t>Noteikumu projekta 1. pielikuma 3.1. apakšnodaļas sadaļa “Tehniskās specifikācijas”</w:t>
            </w:r>
          </w:p>
          <w:p w14:paraId="03B810C8" w14:textId="77777777" w:rsidR="004F0676" w:rsidRPr="00547678" w:rsidRDefault="004F0676" w:rsidP="004F0676">
            <w:pPr>
              <w:suppressAutoHyphens/>
              <w:jc w:val="both"/>
              <w:rPr>
                <w:bCs/>
                <w:sz w:val="20"/>
                <w:szCs w:val="20"/>
              </w:rPr>
            </w:pPr>
            <w:r w:rsidRPr="00547678">
              <w:rPr>
                <w:bCs/>
                <w:sz w:val="20"/>
                <w:szCs w:val="20"/>
              </w:rPr>
              <w:t>4. INFORMĀCIJA VIDEI DRAUDZĪGAI LIETOŠANAI</w:t>
            </w:r>
          </w:p>
          <w:p w14:paraId="476875C3" w14:textId="77777777" w:rsidR="004F0676" w:rsidRPr="00547678" w:rsidRDefault="004F0676" w:rsidP="004F0676">
            <w:pPr>
              <w:suppressAutoHyphens/>
              <w:jc w:val="both"/>
              <w:rPr>
                <w:bCs/>
                <w:sz w:val="20"/>
                <w:szCs w:val="20"/>
              </w:rPr>
            </w:pPr>
            <w:r w:rsidRPr="00547678">
              <w:rPr>
                <w:bCs/>
                <w:sz w:val="20"/>
                <w:szCs w:val="20"/>
              </w:rPr>
              <w:t>Jānodrošina lietošanas norādījumi un/vai apmācības kursi par IT atbalstu datortehnikas videi draudzīgai pārvaldībai.</w:t>
            </w:r>
          </w:p>
        </w:tc>
        <w:tc>
          <w:tcPr>
            <w:tcW w:w="956" w:type="pct"/>
            <w:shd w:val="clear" w:color="auto" w:fill="FFFFFF" w:themeFill="background1"/>
          </w:tcPr>
          <w:p w14:paraId="0D7AA105" w14:textId="77777777" w:rsidR="004F0676" w:rsidRPr="00547678" w:rsidRDefault="004F0676" w:rsidP="004F0676">
            <w:pPr>
              <w:jc w:val="both"/>
              <w:rPr>
                <w:b/>
                <w:sz w:val="20"/>
                <w:szCs w:val="20"/>
              </w:rPr>
            </w:pPr>
            <w:r w:rsidRPr="00547678">
              <w:rPr>
                <w:b/>
                <w:sz w:val="20"/>
                <w:szCs w:val="20"/>
              </w:rPr>
              <w:t>LM</w:t>
            </w:r>
          </w:p>
          <w:p w14:paraId="347FF4DD" w14:textId="77777777" w:rsidR="004F0676" w:rsidRPr="00547678" w:rsidRDefault="004F0676" w:rsidP="004F0676">
            <w:pPr>
              <w:jc w:val="both"/>
              <w:rPr>
                <w:sz w:val="20"/>
                <w:szCs w:val="20"/>
              </w:rPr>
            </w:pPr>
            <w:r w:rsidRPr="00547678">
              <w:rPr>
                <w:sz w:val="20"/>
                <w:szCs w:val="20"/>
              </w:rPr>
              <w:t>Lūdzam izslēgt no Noteikumu projekta 1.pielikuma 3.1.apakšnodaļas sadaļas “Tehniskās specifikācijas” 4.punkta prasību, ka jānodrošina apmācības kursi par IT atbalstu datortehnikas videi draudzīgai pārvaldībai, jo apmācības kursus visbiežāk nodrošina cits piegādātāju loks, kā rezultātā tie būtu nodalāmi no attiecīgā līguma priekšmeta (personālo datoru, piezīmjdatoru, monitoru, monobloku, planšešu iegādes).</w:t>
            </w:r>
          </w:p>
        </w:tc>
        <w:tc>
          <w:tcPr>
            <w:tcW w:w="624" w:type="pct"/>
            <w:shd w:val="clear" w:color="auto" w:fill="FFFFFF" w:themeFill="background1"/>
          </w:tcPr>
          <w:p w14:paraId="2BE19708" w14:textId="77777777" w:rsidR="004F0676" w:rsidRPr="00547678" w:rsidRDefault="004F0676" w:rsidP="004F0676">
            <w:pPr>
              <w:suppressAutoHyphens/>
              <w:jc w:val="both"/>
              <w:rPr>
                <w:b/>
                <w:sz w:val="20"/>
                <w:szCs w:val="20"/>
              </w:rPr>
            </w:pPr>
            <w:r w:rsidRPr="00547678">
              <w:rPr>
                <w:b/>
                <w:sz w:val="20"/>
                <w:szCs w:val="20"/>
              </w:rPr>
              <w:t xml:space="preserve">Netiek ņemts vērā. </w:t>
            </w:r>
          </w:p>
          <w:p w14:paraId="086BD218" w14:textId="77777777" w:rsidR="004F0676" w:rsidRPr="00547678" w:rsidRDefault="004F0676" w:rsidP="004F0676">
            <w:pPr>
              <w:suppressAutoHyphens/>
              <w:jc w:val="both"/>
              <w:rPr>
                <w:sz w:val="20"/>
                <w:szCs w:val="20"/>
              </w:rPr>
            </w:pPr>
            <w:r w:rsidRPr="00547678">
              <w:rPr>
                <w:sz w:val="20"/>
                <w:szCs w:val="20"/>
              </w:rPr>
              <w:t xml:space="preserve">Iegādājoties datortehniku Piegādātājam ir jānodrošina arī apmācības vai lietošanas noteikumu par IT atbalstu videi draudzīgai pārvaldībai, kas ir neatņemama sastāvdaļa, lai tiktu veiksmīgi realizēts zaļais publiskais iepirkums. </w:t>
            </w:r>
          </w:p>
        </w:tc>
        <w:tc>
          <w:tcPr>
            <w:tcW w:w="1059" w:type="pct"/>
            <w:shd w:val="clear" w:color="auto" w:fill="FFFFFF" w:themeFill="background1"/>
          </w:tcPr>
          <w:p w14:paraId="2B67A16F" w14:textId="77777777" w:rsidR="004F0676" w:rsidRPr="00547678" w:rsidRDefault="004F0676" w:rsidP="004F0676">
            <w:pPr>
              <w:jc w:val="both"/>
              <w:rPr>
                <w:sz w:val="20"/>
                <w:szCs w:val="20"/>
              </w:rPr>
            </w:pPr>
            <w:r w:rsidRPr="00547678">
              <w:rPr>
                <w:sz w:val="20"/>
                <w:szCs w:val="20"/>
              </w:rPr>
              <w:t>Noteikumu projekta 1. pielikuma 3.1. apakšnodaļas sadaļa “Tehniskās specifikācijas”</w:t>
            </w:r>
          </w:p>
          <w:p w14:paraId="41A8FA70" w14:textId="77777777" w:rsidR="004F0676" w:rsidRPr="00547678" w:rsidRDefault="004F0676" w:rsidP="004F0676">
            <w:pPr>
              <w:jc w:val="both"/>
              <w:rPr>
                <w:sz w:val="20"/>
                <w:szCs w:val="20"/>
              </w:rPr>
            </w:pPr>
            <w:r w:rsidRPr="00547678">
              <w:rPr>
                <w:sz w:val="20"/>
                <w:szCs w:val="20"/>
              </w:rPr>
              <w:t>4. INFORMĀCIJA VIDEI DRAUDZĪGAI LIETOŠANAI</w:t>
            </w:r>
          </w:p>
          <w:p w14:paraId="0A9C6FBC" w14:textId="77777777" w:rsidR="004F0676" w:rsidRPr="00547678" w:rsidRDefault="004F0676" w:rsidP="004F0676">
            <w:pPr>
              <w:jc w:val="both"/>
              <w:rPr>
                <w:sz w:val="20"/>
                <w:szCs w:val="20"/>
              </w:rPr>
            </w:pPr>
            <w:r w:rsidRPr="00547678">
              <w:rPr>
                <w:sz w:val="20"/>
                <w:szCs w:val="20"/>
              </w:rPr>
              <w:t>Jānodrošina lietošanas norādījumi un/vai apmācības kursi par IT atbalstu datortehnikas videi draudzīgai pārvaldībai.</w:t>
            </w:r>
          </w:p>
        </w:tc>
        <w:tc>
          <w:tcPr>
            <w:tcW w:w="557" w:type="pct"/>
            <w:shd w:val="clear" w:color="auto" w:fill="FFFFFF" w:themeFill="background1"/>
          </w:tcPr>
          <w:p w14:paraId="2E7738FE"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2ED23CDE" w14:textId="77777777" w:rsidR="004F0676" w:rsidRPr="00547678" w:rsidRDefault="004F0676" w:rsidP="004F0676">
            <w:pPr>
              <w:jc w:val="both"/>
              <w:rPr>
                <w:sz w:val="20"/>
                <w:szCs w:val="20"/>
              </w:rPr>
            </w:pPr>
          </w:p>
        </w:tc>
        <w:tc>
          <w:tcPr>
            <w:tcW w:w="598" w:type="pct"/>
            <w:shd w:val="clear" w:color="auto" w:fill="FFFFFF" w:themeFill="background1"/>
          </w:tcPr>
          <w:p w14:paraId="5275ED42" w14:textId="77777777" w:rsidR="004F0676" w:rsidRPr="00547678" w:rsidRDefault="004F0676" w:rsidP="004F0676">
            <w:pPr>
              <w:jc w:val="both"/>
              <w:rPr>
                <w:sz w:val="20"/>
                <w:szCs w:val="20"/>
              </w:rPr>
            </w:pPr>
          </w:p>
        </w:tc>
      </w:tr>
      <w:tr w:rsidR="00683FD6" w:rsidRPr="00CE5FED" w14:paraId="37FB1DAB" w14:textId="77777777" w:rsidTr="00CE5FED">
        <w:trPr>
          <w:trHeight w:val="85"/>
        </w:trPr>
        <w:tc>
          <w:tcPr>
            <w:tcW w:w="147" w:type="pct"/>
            <w:shd w:val="clear" w:color="auto" w:fill="FFFFFF" w:themeFill="background1"/>
          </w:tcPr>
          <w:p w14:paraId="76F83FF8"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2CBB0F8C" w14:textId="77777777" w:rsidR="004F0676" w:rsidRPr="00547678" w:rsidRDefault="004F0676" w:rsidP="004F0676">
            <w:pPr>
              <w:suppressAutoHyphens/>
              <w:jc w:val="both"/>
              <w:rPr>
                <w:bCs/>
                <w:sz w:val="20"/>
                <w:szCs w:val="20"/>
              </w:rPr>
            </w:pPr>
            <w:r w:rsidRPr="00547678">
              <w:rPr>
                <w:bCs/>
                <w:sz w:val="20"/>
                <w:szCs w:val="20"/>
              </w:rPr>
              <w:t xml:space="preserve">Vispārīgs komentārs. </w:t>
            </w:r>
          </w:p>
        </w:tc>
        <w:tc>
          <w:tcPr>
            <w:tcW w:w="956" w:type="pct"/>
            <w:shd w:val="clear" w:color="auto" w:fill="FFFFFF" w:themeFill="background1"/>
          </w:tcPr>
          <w:p w14:paraId="1F502A7B" w14:textId="77777777" w:rsidR="004F0676" w:rsidRPr="00547678" w:rsidRDefault="004F0676" w:rsidP="004F0676">
            <w:pPr>
              <w:jc w:val="both"/>
              <w:rPr>
                <w:b/>
                <w:sz w:val="20"/>
                <w:szCs w:val="20"/>
              </w:rPr>
            </w:pPr>
            <w:r w:rsidRPr="00547678">
              <w:rPr>
                <w:b/>
                <w:sz w:val="20"/>
                <w:szCs w:val="20"/>
              </w:rPr>
              <w:t>LM</w:t>
            </w:r>
          </w:p>
          <w:p w14:paraId="617A6222" w14:textId="77777777" w:rsidR="004F0676" w:rsidRPr="00547678" w:rsidRDefault="004F0676" w:rsidP="004F0676">
            <w:pPr>
              <w:jc w:val="both"/>
              <w:rPr>
                <w:sz w:val="20"/>
                <w:szCs w:val="20"/>
              </w:rPr>
            </w:pPr>
            <w:r w:rsidRPr="00547678">
              <w:rPr>
                <w:sz w:val="20"/>
                <w:szCs w:val="20"/>
              </w:rPr>
              <w:t>Lūdzam precizēt Noteikumu projekta 1.pielikuma 3.1.apakšnodaļas sadaļas “Tehniskās specifikācijas” 7.punkts daļā par norādi uz konkrētiem standartiem. Publisko iepirkumu likuma 20.panta piektās daļas 2.punkts paredz katrā atsaucē iekļaut vārdus “vai ekvivalents”. Papildus vēršam uzmanību, ka citviet Noteikumu projektā ir lietots termins “līdzvērtīgs” (piemēram, Noteikumu projekta pielikuma 3.3.apakšnodaļas sadaļas “Atlases kritēriji” 1.1.punktā, 3.4.apakšnodaļas sadaļas “Piedāvājuma izvērtēšanas kritēriji” 4., 5.punktā), kas netiek paskaidrots. Arī Noteikumu projekta 3.4.apakšnodaļas sadaļas “Tehniskās specifikācijas” 4.punktā ir norāde uz standartiem, kas nesatur papildinājumu “vai ekvivalents”.</w:t>
            </w:r>
          </w:p>
          <w:p w14:paraId="2F13AE0F" w14:textId="77777777" w:rsidR="004F0676" w:rsidRPr="00547678" w:rsidRDefault="004F0676" w:rsidP="004F0676">
            <w:pPr>
              <w:jc w:val="both"/>
              <w:rPr>
                <w:sz w:val="20"/>
                <w:szCs w:val="20"/>
              </w:rPr>
            </w:pPr>
          </w:p>
        </w:tc>
        <w:tc>
          <w:tcPr>
            <w:tcW w:w="624" w:type="pct"/>
            <w:shd w:val="clear" w:color="auto" w:fill="FFFFFF" w:themeFill="background1"/>
          </w:tcPr>
          <w:p w14:paraId="21094B05"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7C8FC2EC"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3235DC35" w14:textId="77777777" w:rsidR="004F0676" w:rsidRPr="00547678" w:rsidRDefault="004F0676" w:rsidP="004F0676">
            <w:pPr>
              <w:jc w:val="both"/>
              <w:rPr>
                <w:sz w:val="20"/>
                <w:szCs w:val="20"/>
              </w:rPr>
            </w:pPr>
            <w:r w:rsidRPr="00547678">
              <w:rPr>
                <w:sz w:val="20"/>
                <w:szCs w:val="20"/>
              </w:rPr>
              <w:t>Precizēta Noteikumu projekta 1., 2. pielikumi norādot pie standartiem “vai ekvivalents”.</w:t>
            </w:r>
          </w:p>
        </w:tc>
        <w:tc>
          <w:tcPr>
            <w:tcW w:w="557" w:type="pct"/>
            <w:shd w:val="clear" w:color="auto" w:fill="FFFFFF" w:themeFill="background1"/>
          </w:tcPr>
          <w:p w14:paraId="574DBC7D"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5C44DC14" w14:textId="77777777" w:rsidR="004F0676" w:rsidRPr="00547678" w:rsidRDefault="004F0676" w:rsidP="004F0676">
            <w:pPr>
              <w:jc w:val="both"/>
              <w:rPr>
                <w:sz w:val="20"/>
                <w:szCs w:val="20"/>
              </w:rPr>
            </w:pPr>
          </w:p>
        </w:tc>
        <w:tc>
          <w:tcPr>
            <w:tcW w:w="598" w:type="pct"/>
            <w:shd w:val="clear" w:color="auto" w:fill="FFFFFF" w:themeFill="background1"/>
          </w:tcPr>
          <w:p w14:paraId="58BBCED8" w14:textId="77777777" w:rsidR="004F0676" w:rsidRPr="00547678" w:rsidRDefault="004F0676" w:rsidP="004F0676">
            <w:pPr>
              <w:jc w:val="both"/>
              <w:rPr>
                <w:sz w:val="20"/>
                <w:szCs w:val="20"/>
              </w:rPr>
            </w:pPr>
          </w:p>
        </w:tc>
      </w:tr>
      <w:tr w:rsidR="00683FD6" w:rsidRPr="00CE5FED" w14:paraId="1AB072B8" w14:textId="77777777" w:rsidTr="00CE5FED">
        <w:trPr>
          <w:trHeight w:val="85"/>
        </w:trPr>
        <w:tc>
          <w:tcPr>
            <w:tcW w:w="147" w:type="pct"/>
            <w:shd w:val="clear" w:color="auto" w:fill="FFFFFF" w:themeFill="background1"/>
          </w:tcPr>
          <w:p w14:paraId="37AE03DC"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29D6E77D" w14:textId="77777777" w:rsidR="004F0676" w:rsidRPr="00547678" w:rsidRDefault="004F0676" w:rsidP="004F0676">
            <w:pPr>
              <w:suppressAutoHyphens/>
              <w:jc w:val="both"/>
              <w:rPr>
                <w:bCs/>
                <w:sz w:val="20"/>
                <w:szCs w:val="20"/>
              </w:rPr>
            </w:pPr>
            <w:r w:rsidRPr="00547678">
              <w:rPr>
                <w:bCs/>
                <w:sz w:val="20"/>
                <w:szCs w:val="20"/>
              </w:rPr>
              <w:t>Noteikumu projekta 1.pielikuma 3.1.apakšnodaļas sadaļas “Tehniskās specifikācijas” 2.1.3.apakšpunkts: barošanas bloks ar vismaz 85% lietderības koeficientu pie 100% noslodzes.</w:t>
            </w:r>
          </w:p>
        </w:tc>
        <w:tc>
          <w:tcPr>
            <w:tcW w:w="956" w:type="pct"/>
            <w:shd w:val="clear" w:color="auto" w:fill="FFFFFF" w:themeFill="background1"/>
          </w:tcPr>
          <w:p w14:paraId="347B74B6" w14:textId="77777777" w:rsidR="004F0676" w:rsidRPr="00547678" w:rsidRDefault="004F0676" w:rsidP="004F0676">
            <w:pPr>
              <w:jc w:val="both"/>
              <w:rPr>
                <w:b/>
                <w:sz w:val="20"/>
                <w:szCs w:val="20"/>
              </w:rPr>
            </w:pPr>
            <w:r w:rsidRPr="00547678">
              <w:rPr>
                <w:b/>
                <w:sz w:val="20"/>
                <w:szCs w:val="20"/>
              </w:rPr>
              <w:t>LM</w:t>
            </w:r>
          </w:p>
          <w:p w14:paraId="7F393CD6" w14:textId="77777777" w:rsidR="004F0676" w:rsidRPr="00547678" w:rsidRDefault="004F0676" w:rsidP="004F0676">
            <w:pPr>
              <w:jc w:val="both"/>
              <w:rPr>
                <w:sz w:val="20"/>
                <w:szCs w:val="20"/>
              </w:rPr>
            </w:pPr>
            <w:r w:rsidRPr="00547678">
              <w:rPr>
                <w:sz w:val="20"/>
                <w:szCs w:val="20"/>
              </w:rPr>
              <w:t>Tāpat lūdzam precizēt Noteikumu projekta 1.pielikuma 3.1.apakšnodaļas sadaļas “Tehniskās specifikācijas” 2.1.3.apakšpunkts, ka barošanas bloks ar vismaz 85% lietderības koeficientu pie 100% noslodzes, jo tas  nav saskaņots ar  2.1.punkta redakciju: “Personālajiem (galda) datoriem jābūt konstruētiem tā, lai:”</w:t>
            </w:r>
          </w:p>
        </w:tc>
        <w:tc>
          <w:tcPr>
            <w:tcW w:w="624" w:type="pct"/>
            <w:shd w:val="clear" w:color="auto" w:fill="FFFFFF" w:themeFill="background1"/>
          </w:tcPr>
          <w:p w14:paraId="51DFCBF6"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11A07DB4" w14:textId="77777777" w:rsidR="004F0676" w:rsidRPr="00547678" w:rsidRDefault="004F0676" w:rsidP="004F0676">
            <w:pPr>
              <w:suppressAutoHyphens/>
              <w:jc w:val="both"/>
              <w:rPr>
                <w:sz w:val="20"/>
                <w:szCs w:val="20"/>
              </w:rPr>
            </w:pPr>
            <w:r w:rsidRPr="00547678">
              <w:rPr>
                <w:sz w:val="20"/>
                <w:szCs w:val="20"/>
              </w:rPr>
              <w:t xml:space="preserve">Barošanas bloks tiek paredzēts arī portatīvajiem datoriem. </w:t>
            </w:r>
          </w:p>
        </w:tc>
        <w:tc>
          <w:tcPr>
            <w:tcW w:w="1059" w:type="pct"/>
            <w:shd w:val="clear" w:color="auto" w:fill="FFFFFF" w:themeFill="background1"/>
          </w:tcPr>
          <w:p w14:paraId="550313FE" w14:textId="77777777" w:rsidR="004F0676" w:rsidRPr="00547678" w:rsidRDefault="004F0676" w:rsidP="004F0676">
            <w:pPr>
              <w:jc w:val="both"/>
              <w:rPr>
                <w:sz w:val="20"/>
                <w:szCs w:val="20"/>
              </w:rPr>
            </w:pPr>
            <w:r w:rsidRPr="00547678">
              <w:rPr>
                <w:sz w:val="20"/>
                <w:szCs w:val="20"/>
              </w:rPr>
              <w:t xml:space="preserve">Noteikumu projekta 1.pielikuma 3.1.apakšnodaļas sadaļas “Tehniskās specifikācijas” 2.1.3.apakšpunkts: barošanas bloks būtu ar vismaz 85% lietderības koeficientu pie 100% noslodzes. </w:t>
            </w:r>
          </w:p>
        </w:tc>
        <w:tc>
          <w:tcPr>
            <w:tcW w:w="557" w:type="pct"/>
            <w:shd w:val="clear" w:color="auto" w:fill="FFFFFF" w:themeFill="background1"/>
          </w:tcPr>
          <w:p w14:paraId="7222DA8D"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3E2746EA" w14:textId="77777777" w:rsidR="004F0676" w:rsidRPr="00547678" w:rsidRDefault="004F0676" w:rsidP="004F0676">
            <w:pPr>
              <w:jc w:val="both"/>
              <w:rPr>
                <w:sz w:val="20"/>
                <w:szCs w:val="20"/>
              </w:rPr>
            </w:pPr>
          </w:p>
        </w:tc>
        <w:tc>
          <w:tcPr>
            <w:tcW w:w="598" w:type="pct"/>
            <w:shd w:val="clear" w:color="auto" w:fill="FFFFFF" w:themeFill="background1"/>
          </w:tcPr>
          <w:p w14:paraId="03D843DF" w14:textId="77777777" w:rsidR="004F0676" w:rsidRPr="00547678" w:rsidRDefault="004F0676" w:rsidP="004F0676">
            <w:pPr>
              <w:jc w:val="both"/>
              <w:rPr>
                <w:sz w:val="20"/>
                <w:szCs w:val="20"/>
              </w:rPr>
            </w:pPr>
          </w:p>
        </w:tc>
      </w:tr>
      <w:tr w:rsidR="00683FD6" w:rsidRPr="00CE5FED" w14:paraId="78648D43" w14:textId="77777777" w:rsidTr="00CE5FED">
        <w:trPr>
          <w:trHeight w:val="85"/>
        </w:trPr>
        <w:tc>
          <w:tcPr>
            <w:tcW w:w="147" w:type="pct"/>
            <w:shd w:val="clear" w:color="auto" w:fill="FFFFFF" w:themeFill="background1"/>
          </w:tcPr>
          <w:p w14:paraId="7E2DB2DD"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3A33C711" w14:textId="77777777" w:rsidR="004F0676" w:rsidRPr="00547678" w:rsidRDefault="004F0676" w:rsidP="004F0676">
            <w:pPr>
              <w:suppressAutoHyphens/>
              <w:jc w:val="both"/>
              <w:rPr>
                <w:bCs/>
                <w:sz w:val="20"/>
                <w:szCs w:val="20"/>
              </w:rPr>
            </w:pPr>
            <w:r w:rsidRPr="00547678">
              <w:rPr>
                <w:bCs/>
                <w:sz w:val="20"/>
                <w:szCs w:val="20"/>
              </w:rPr>
              <w:t>Noteikumu projekta 1. pielikuma 3.1. apakšnodaļas sadaļas “Piedāvājuma izvērtējuma kritēriji” 3.</w:t>
            </w:r>
            <w:r w:rsidRPr="00547678">
              <w:rPr>
                <w:bCs/>
                <w:sz w:val="20"/>
                <w:szCs w:val="20"/>
              </w:rPr>
              <w:tab/>
              <w:t>REZERVES DAĻU IZMAKSU KONKURĒTSPĒJA</w:t>
            </w:r>
          </w:p>
          <w:p w14:paraId="6F689789" w14:textId="77777777" w:rsidR="004F0676" w:rsidRPr="00547678" w:rsidRDefault="004F0676" w:rsidP="004F0676">
            <w:pPr>
              <w:suppressAutoHyphens/>
              <w:jc w:val="both"/>
              <w:rPr>
                <w:bCs/>
                <w:sz w:val="20"/>
                <w:szCs w:val="20"/>
              </w:rPr>
            </w:pPr>
            <w:r w:rsidRPr="00547678">
              <w:rPr>
                <w:bCs/>
                <w:sz w:val="20"/>
                <w:szCs w:val="20"/>
              </w:rPr>
              <w:t>Pretendents iesniedz cenu sarakstu oriģinālajām vai saderīgām rezerves daļām (attiecīgi TS prasībām par daļu nomaināmību) un orientējošās darbaspēka izmaksas par to nomaiņu, ko veic pretendenta pilnvarotie pakalpojumu sniedzēji.</w:t>
            </w:r>
          </w:p>
        </w:tc>
        <w:tc>
          <w:tcPr>
            <w:tcW w:w="956" w:type="pct"/>
            <w:shd w:val="clear" w:color="auto" w:fill="FFFFFF" w:themeFill="background1"/>
          </w:tcPr>
          <w:p w14:paraId="1A8A6419" w14:textId="77777777" w:rsidR="004F0676" w:rsidRPr="00547678" w:rsidRDefault="004F0676" w:rsidP="004F0676">
            <w:pPr>
              <w:jc w:val="both"/>
              <w:rPr>
                <w:b/>
                <w:sz w:val="20"/>
                <w:szCs w:val="20"/>
              </w:rPr>
            </w:pPr>
            <w:r w:rsidRPr="00547678">
              <w:rPr>
                <w:b/>
                <w:sz w:val="20"/>
                <w:szCs w:val="20"/>
              </w:rPr>
              <w:t>LM</w:t>
            </w:r>
          </w:p>
          <w:p w14:paraId="4A2EDA57" w14:textId="77777777" w:rsidR="004F0676" w:rsidRPr="00547678" w:rsidRDefault="004F0676" w:rsidP="004F0676">
            <w:pPr>
              <w:jc w:val="both"/>
              <w:rPr>
                <w:sz w:val="20"/>
                <w:szCs w:val="20"/>
              </w:rPr>
            </w:pPr>
            <w:r w:rsidRPr="00547678">
              <w:rPr>
                <w:sz w:val="20"/>
                <w:szCs w:val="20"/>
              </w:rPr>
              <w:t>Lūdzam skaidrot Noteikumu projekta 1.pielikuma 3.1.apakšnodaļas sadaļas “Piedāvājuma izvērtēšanas kritēriji” 3.punktā lietoto terminu “pretendenta pilnvarotie pakalpojumu sniedzēji”.</w:t>
            </w:r>
          </w:p>
        </w:tc>
        <w:tc>
          <w:tcPr>
            <w:tcW w:w="624" w:type="pct"/>
            <w:shd w:val="clear" w:color="auto" w:fill="FFFFFF" w:themeFill="background1"/>
          </w:tcPr>
          <w:p w14:paraId="027B0B7C"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45743949" w14:textId="77777777" w:rsidR="004F0676" w:rsidRPr="00547678" w:rsidRDefault="004F0676" w:rsidP="004F0676">
            <w:pPr>
              <w:suppressAutoHyphens/>
              <w:jc w:val="both"/>
              <w:rPr>
                <w:sz w:val="20"/>
                <w:szCs w:val="20"/>
              </w:rPr>
            </w:pPr>
            <w:r w:rsidRPr="00547678">
              <w:rPr>
                <w:sz w:val="20"/>
                <w:szCs w:val="20"/>
              </w:rPr>
              <w:t xml:space="preserve">Noteikumu projekta 1. pielikuma 3.1. apakšnodaļas sadaļas “Piedāvājuma izvērtējuma kritēriji” lietotais termins “pretendenta pilnvarotie pakalpojumu sniedzēji” tiek paredzēts, ka arī pasūtītājs var pilnvarot pakalpojumu sniedzēju, kas nodrošinās rezerves daļu nomaiņu. </w:t>
            </w:r>
          </w:p>
        </w:tc>
        <w:tc>
          <w:tcPr>
            <w:tcW w:w="1059" w:type="pct"/>
            <w:shd w:val="clear" w:color="auto" w:fill="FFFFFF" w:themeFill="background1"/>
          </w:tcPr>
          <w:p w14:paraId="16C689EE" w14:textId="77777777" w:rsidR="004F0676" w:rsidRPr="00547678" w:rsidRDefault="004F0676" w:rsidP="004F0676">
            <w:pPr>
              <w:jc w:val="both"/>
              <w:rPr>
                <w:sz w:val="20"/>
                <w:szCs w:val="20"/>
              </w:rPr>
            </w:pPr>
            <w:r w:rsidRPr="00547678">
              <w:rPr>
                <w:sz w:val="20"/>
                <w:szCs w:val="20"/>
              </w:rPr>
              <w:t>Noteikumu projekta 1. pielikuma 3.1. apakšnodaļas sadaļas “Piedāvājuma izvērtējuma kritēriji” 3.</w:t>
            </w:r>
            <w:r w:rsidRPr="00547678">
              <w:rPr>
                <w:sz w:val="20"/>
                <w:szCs w:val="20"/>
              </w:rPr>
              <w:tab/>
              <w:t>REZERVES DAĻU IZMAKSU KONKURĒTSPĒJA</w:t>
            </w:r>
          </w:p>
          <w:p w14:paraId="59A622DC" w14:textId="77777777" w:rsidR="004F0676" w:rsidRPr="00547678" w:rsidRDefault="004F0676" w:rsidP="004F0676">
            <w:pPr>
              <w:jc w:val="both"/>
              <w:rPr>
                <w:sz w:val="20"/>
                <w:szCs w:val="20"/>
              </w:rPr>
            </w:pPr>
            <w:r w:rsidRPr="00547678">
              <w:rPr>
                <w:sz w:val="20"/>
                <w:szCs w:val="20"/>
              </w:rPr>
              <w:t>Pretendents iesniedz cenu sarakstu oriģinālajām vai saderīgām rezerves daļām (attiecīgi TS prasībām par daļu nomaināmību) un orientējošās darbaspēka izmaksas par to nomaiņu, ko veic pretendenta pilnvarotie pakalpojumu sniedzēji. Punktus piešķir atbilstoši izmaksu ziņā konkurētspējīgākajiem piedāvājumiem. Piezīme. Norādītajā sarakstā var pievienot papildu sastāvdaļas, ja tās uzskatāmas par nozīmīgām cenu salīdzinājumā.</w:t>
            </w:r>
          </w:p>
        </w:tc>
        <w:tc>
          <w:tcPr>
            <w:tcW w:w="557" w:type="pct"/>
            <w:shd w:val="clear" w:color="auto" w:fill="FFFFFF" w:themeFill="background1"/>
          </w:tcPr>
          <w:p w14:paraId="559442FD"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33DAC16C" w14:textId="77777777" w:rsidR="004F0676" w:rsidRPr="00547678" w:rsidRDefault="004F0676" w:rsidP="004F0676">
            <w:pPr>
              <w:jc w:val="both"/>
              <w:rPr>
                <w:sz w:val="20"/>
                <w:szCs w:val="20"/>
              </w:rPr>
            </w:pPr>
          </w:p>
        </w:tc>
        <w:tc>
          <w:tcPr>
            <w:tcW w:w="598" w:type="pct"/>
            <w:shd w:val="clear" w:color="auto" w:fill="FFFFFF" w:themeFill="background1"/>
          </w:tcPr>
          <w:p w14:paraId="6A3B1A15" w14:textId="77777777" w:rsidR="004F0676" w:rsidRPr="00547678" w:rsidRDefault="004F0676" w:rsidP="004F0676">
            <w:pPr>
              <w:jc w:val="both"/>
              <w:rPr>
                <w:sz w:val="20"/>
                <w:szCs w:val="20"/>
              </w:rPr>
            </w:pPr>
          </w:p>
        </w:tc>
      </w:tr>
      <w:tr w:rsidR="00683FD6" w:rsidRPr="00CE5FED" w14:paraId="402A034F" w14:textId="77777777" w:rsidTr="00CE5FED">
        <w:trPr>
          <w:trHeight w:val="85"/>
        </w:trPr>
        <w:tc>
          <w:tcPr>
            <w:tcW w:w="147" w:type="pct"/>
            <w:shd w:val="clear" w:color="auto" w:fill="FFFFFF" w:themeFill="background1"/>
          </w:tcPr>
          <w:p w14:paraId="448C4A49"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550AB19A" w14:textId="77777777" w:rsidR="004F0676" w:rsidRPr="00547678" w:rsidRDefault="004F0676" w:rsidP="004F0676">
            <w:pPr>
              <w:suppressAutoHyphens/>
              <w:jc w:val="both"/>
              <w:rPr>
                <w:bCs/>
                <w:sz w:val="20"/>
                <w:szCs w:val="20"/>
              </w:rPr>
            </w:pPr>
            <w:r w:rsidRPr="00547678">
              <w:rPr>
                <w:bCs/>
                <w:sz w:val="20"/>
                <w:szCs w:val="20"/>
              </w:rPr>
              <w:t>Noteikumu projekta 1.pielikuma 3.3.apakšnodaļas sadaļā “Iepirkuma līguma priekšmets” prasība „Tādu [IT infrastruktūras ieviešanas, papildināšanas, apkalpošanas vai konsultāciju] pakalpojumu iegāde, kuriem ir minimāla ietekme uz vidi visā to kalpošanas laikā.”.</w:t>
            </w:r>
          </w:p>
        </w:tc>
        <w:tc>
          <w:tcPr>
            <w:tcW w:w="956" w:type="pct"/>
            <w:shd w:val="clear" w:color="auto" w:fill="FFFFFF" w:themeFill="background1"/>
          </w:tcPr>
          <w:p w14:paraId="164C4E0B" w14:textId="77777777" w:rsidR="004F0676" w:rsidRPr="00547678" w:rsidRDefault="004F0676" w:rsidP="004F0676">
            <w:pPr>
              <w:jc w:val="both"/>
              <w:rPr>
                <w:b/>
                <w:sz w:val="20"/>
                <w:szCs w:val="20"/>
              </w:rPr>
            </w:pPr>
            <w:r w:rsidRPr="00547678">
              <w:rPr>
                <w:b/>
                <w:sz w:val="20"/>
                <w:szCs w:val="20"/>
              </w:rPr>
              <w:t>LM</w:t>
            </w:r>
          </w:p>
          <w:p w14:paraId="085AC175" w14:textId="77777777" w:rsidR="004F0676" w:rsidRPr="00547678" w:rsidRDefault="004F0676" w:rsidP="004F0676">
            <w:pPr>
              <w:jc w:val="both"/>
              <w:rPr>
                <w:sz w:val="20"/>
                <w:szCs w:val="20"/>
              </w:rPr>
            </w:pPr>
            <w:r w:rsidRPr="00547678">
              <w:rPr>
                <w:sz w:val="20"/>
                <w:szCs w:val="20"/>
              </w:rPr>
              <w:t>Noteikumu projekta 1.pielikuma 3.3.apakšnodaļas sadaļā “Iepirkuma līguma priekšmets” ir noteikta prasība „Tādu [IT infrastruktūras ieviešanas, papildināšanas, apkalpošanas vai konsultāciju] pakalpojumu iegāde, kuriem ir minimāla ietekme uz vidi visā to kalpošanas laikā.”. Uzskatām, ka konsultāciju pakalpojumu iegāde būtu izslēdzama no iepirkuma līguma priekšmeta definējuma IKT infrastruktūras pakalpojumiem, jo sadaļās “Atlases kritēriji”, “Piedāvājuma izvērtēšanas kritēriji”, “Iepirkuma līguma izpildes noteikumi” norādītās prasības nav saistītas ar iepirkuma priekšmetu (iepirkuma priekšmeta daļu “Konsultāciju pakalpojumu iegāde”).</w:t>
            </w:r>
          </w:p>
        </w:tc>
        <w:tc>
          <w:tcPr>
            <w:tcW w:w="624" w:type="pct"/>
            <w:shd w:val="clear" w:color="auto" w:fill="FFFFFF" w:themeFill="background1"/>
          </w:tcPr>
          <w:p w14:paraId="1CBC6798" w14:textId="77777777" w:rsidR="004F0676" w:rsidRPr="00547678" w:rsidRDefault="004F0676" w:rsidP="004F0676">
            <w:pPr>
              <w:suppressAutoHyphens/>
              <w:jc w:val="both"/>
              <w:rPr>
                <w:b/>
                <w:sz w:val="20"/>
                <w:szCs w:val="20"/>
              </w:rPr>
            </w:pPr>
            <w:r w:rsidRPr="00547678">
              <w:rPr>
                <w:b/>
                <w:sz w:val="20"/>
                <w:szCs w:val="20"/>
              </w:rPr>
              <w:t xml:space="preserve">Ņemts vērā. </w:t>
            </w:r>
          </w:p>
          <w:p w14:paraId="02DEEDA4" w14:textId="77777777" w:rsidR="004F0676" w:rsidRPr="00547678" w:rsidRDefault="004F0676" w:rsidP="004F0676">
            <w:pPr>
              <w:suppressAutoHyphens/>
              <w:jc w:val="both"/>
              <w:rPr>
                <w:sz w:val="20"/>
                <w:szCs w:val="20"/>
              </w:rPr>
            </w:pPr>
          </w:p>
        </w:tc>
        <w:tc>
          <w:tcPr>
            <w:tcW w:w="1059" w:type="pct"/>
            <w:shd w:val="clear" w:color="auto" w:fill="FFFFFF" w:themeFill="background1"/>
          </w:tcPr>
          <w:p w14:paraId="3D4F61A1" w14:textId="77777777" w:rsidR="004F0676" w:rsidRPr="00547678" w:rsidRDefault="004F0676" w:rsidP="004F0676">
            <w:pPr>
              <w:jc w:val="both"/>
              <w:rPr>
                <w:sz w:val="20"/>
                <w:szCs w:val="20"/>
              </w:rPr>
            </w:pPr>
            <w:r w:rsidRPr="00547678">
              <w:rPr>
                <w:sz w:val="20"/>
                <w:szCs w:val="20"/>
              </w:rPr>
              <w:t>Noteikumu projekta 1.pielikuma 3.3.apakšnodaļas sadaļā “Iepirkuma līguma priekšmets” prasība „ Tādu [IT infrastruktūras ieviešanas, papildināšanas, apkalpošanas] pakalpojumu iegāde, kuriem ir minimāla ietekme uz vidi visā to kalpošanas laikā.”</w:t>
            </w:r>
          </w:p>
        </w:tc>
        <w:tc>
          <w:tcPr>
            <w:tcW w:w="557" w:type="pct"/>
            <w:shd w:val="clear" w:color="auto" w:fill="FFFFFF" w:themeFill="background1"/>
          </w:tcPr>
          <w:p w14:paraId="2961280C" w14:textId="77777777" w:rsidR="004F0676" w:rsidRPr="00547678" w:rsidRDefault="004F0676" w:rsidP="004F0676">
            <w:pPr>
              <w:jc w:val="both"/>
              <w:rPr>
                <w:b/>
                <w:sz w:val="20"/>
                <w:szCs w:val="20"/>
              </w:rPr>
            </w:pPr>
            <w:r w:rsidRPr="00547678">
              <w:rPr>
                <w:b/>
                <w:sz w:val="20"/>
                <w:szCs w:val="20"/>
              </w:rPr>
              <w:t xml:space="preserve">Saskaņots. </w:t>
            </w:r>
          </w:p>
        </w:tc>
        <w:tc>
          <w:tcPr>
            <w:tcW w:w="613" w:type="pct"/>
            <w:shd w:val="clear" w:color="auto" w:fill="FFFFFF" w:themeFill="background1"/>
          </w:tcPr>
          <w:p w14:paraId="0F4A1494" w14:textId="77777777" w:rsidR="004F0676" w:rsidRPr="00547678" w:rsidRDefault="004F0676" w:rsidP="004F0676">
            <w:pPr>
              <w:jc w:val="both"/>
              <w:rPr>
                <w:sz w:val="20"/>
                <w:szCs w:val="20"/>
              </w:rPr>
            </w:pPr>
          </w:p>
        </w:tc>
        <w:tc>
          <w:tcPr>
            <w:tcW w:w="598" w:type="pct"/>
            <w:shd w:val="clear" w:color="auto" w:fill="FFFFFF" w:themeFill="background1"/>
          </w:tcPr>
          <w:p w14:paraId="2804186E" w14:textId="77777777" w:rsidR="004F0676" w:rsidRPr="00547678" w:rsidRDefault="004F0676" w:rsidP="004F0676">
            <w:pPr>
              <w:jc w:val="both"/>
              <w:rPr>
                <w:sz w:val="20"/>
                <w:szCs w:val="20"/>
              </w:rPr>
            </w:pPr>
          </w:p>
        </w:tc>
      </w:tr>
      <w:tr w:rsidR="00683FD6" w:rsidRPr="00CE5FED" w14:paraId="01E18E0B" w14:textId="77777777" w:rsidTr="00CE5FED">
        <w:trPr>
          <w:trHeight w:val="85"/>
        </w:trPr>
        <w:tc>
          <w:tcPr>
            <w:tcW w:w="147" w:type="pct"/>
            <w:shd w:val="clear" w:color="auto" w:fill="FFFFFF" w:themeFill="background1"/>
          </w:tcPr>
          <w:p w14:paraId="26CDD541" w14:textId="77777777" w:rsidR="004F0676" w:rsidRPr="00547678" w:rsidRDefault="004F0676" w:rsidP="004F0676">
            <w:pPr>
              <w:numPr>
                <w:ilvl w:val="0"/>
                <w:numId w:val="21"/>
              </w:numPr>
              <w:contextualSpacing/>
              <w:rPr>
                <w:b/>
                <w:sz w:val="20"/>
                <w:szCs w:val="20"/>
              </w:rPr>
            </w:pPr>
          </w:p>
        </w:tc>
        <w:tc>
          <w:tcPr>
            <w:tcW w:w="446" w:type="pct"/>
            <w:shd w:val="clear" w:color="auto" w:fill="FFFFFF" w:themeFill="background1"/>
          </w:tcPr>
          <w:p w14:paraId="417AD323" w14:textId="77777777" w:rsidR="004F0676" w:rsidRPr="00547678" w:rsidRDefault="004F0676" w:rsidP="004F0676">
            <w:pPr>
              <w:suppressAutoHyphens/>
              <w:jc w:val="both"/>
              <w:rPr>
                <w:bCs/>
                <w:sz w:val="20"/>
                <w:szCs w:val="20"/>
              </w:rPr>
            </w:pPr>
            <w:r w:rsidRPr="00547678">
              <w:rPr>
                <w:bCs/>
                <w:sz w:val="20"/>
                <w:szCs w:val="20"/>
              </w:rPr>
              <w:t xml:space="preserve">Noteikumu projekta 1.pielikuma 4.1.apakšnodaļas “ZPI prasības un kritēriji pārtikas produktu piegādēm” Tehniskās specifikācijas sadaļas 1.1. PĀRTIKAS PRODUKTU KVALITĀTE: “vismaz 35 procenti visas piena un kefīra masas vai vērtības (no 2022.gada 1. janvāra vismaz 50 procenti) un vismaz 20 procenti no graudaugu pārstrādes produktu (piemēram, auzu pārslas, kviešu milti, griķi) masas vai vērtības”. </w:t>
            </w:r>
          </w:p>
        </w:tc>
        <w:tc>
          <w:tcPr>
            <w:tcW w:w="956" w:type="pct"/>
            <w:shd w:val="clear" w:color="auto" w:fill="FFFFFF" w:themeFill="background1"/>
          </w:tcPr>
          <w:p w14:paraId="2002CC38" w14:textId="77777777" w:rsidR="004F0676" w:rsidRPr="00547678" w:rsidRDefault="004F0676" w:rsidP="004F0676">
            <w:pPr>
              <w:jc w:val="both"/>
              <w:rPr>
                <w:b/>
                <w:sz w:val="20"/>
                <w:szCs w:val="20"/>
              </w:rPr>
            </w:pPr>
            <w:r w:rsidRPr="00547678">
              <w:rPr>
                <w:b/>
                <w:sz w:val="20"/>
                <w:szCs w:val="20"/>
              </w:rPr>
              <w:t>LM</w:t>
            </w:r>
          </w:p>
          <w:p w14:paraId="26614667" w14:textId="77777777" w:rsidR="004F0676" w:rsidRPr="00547678" w:rsidRDefault="004F0676" w:rsidP="004F0676">
            <w:pPr>
              <w:jc w:val="both"/>
              <w:rPr>
                <w:sz w:val="20"/>
                <w:szCs w:val="20"/>
              </w:rPr>
            </w:pPr>
            <w:r w:rsidRPr="00547678">
              <w:rPr>
                <w:sz w:val="20"/>
                <w:szCs w:val="20"/>
              </w:rPr>
              <w:t>Noteikumu projekta 1.pielikuma 4.1.apakšnodaļas “ZPI prasības un kritēriji pārtikas produktu piegādēm” Tehniskās specifikācijas sadaļas 1.1.apakšpunktā “Pārtikas produktu kvalitāte” iekļautā prasība “vismaz 35 procenti visas piena un kefīra masas vai vērtības (no 2022.gada 1. janvāra vismaz 50 procenti) un vismaz 20 procenti no graudaugu pārstrādes produktu (piemēram, auzu pārslas, kviešu milti, griķi) masas vai vērtības” Labklājības ministrijas ieskatā ir ļoti augsta un minētais nosacījums var radīt grūtības piegādātājiem piedāvāt norādītajam apjomam atbilstošas preces, kā arī vēlāk pildīt līguma saistības, ņemot vērā ka, piemēram, graudaugu produktu audzēšana ir ļoti atkarīga no laika apstākļiem. Pasūtītāji jau ir saskārušies  ar situāciju, kad iepirkumā tiek piedāvāti maksimāli daudz paaugstinātas kvalitātes produktu, taču realitātē piegādātājs nevar piegādāt līguma nosacījumiem atbilstošus produktus, jo noteikto produktu audzēšanai nebija labvēlīgi laika apstākļi, bet, iesniedzot piedāvājumu iepirkumā, piegādātājs to nevarēja paredzēt. Vienlaikus, norādām, ka, iekļaujot prasību ar tik lielu produktu klāstu, kam jāatbilst bioloģiskās lauksaimniecības ražošanas metodēm, pasūtītājiem jārēķinās ar būtisku līgumcenu pieaugumu, ņemot vērā, ka paaugstinātas kvalitātes produkti ir ar augstāku cenu. Minētais attiecas arī uz Noteikumu projekta 1.pielikuma  4.2.apakšnodaļu “ZPI prasības un kritēriji ēdināšanas pakalpojumiem”.</w:t>
            </w:r>
          </w:p>
        </w:tc>
        <w:tc>
          <w:tcPr>
            <w:tcW w:w="624" w:type="pct"/>
            <w:shd w:val="clear" w:color="auto" w:fill="FFFFFF" w:themeFill="background1"/>
          </w:tcPr>
          <w:p w14:paraId="7CD6B0E2" w14:textId="77777777" w:rsidR="004F0676" w:rsidRPr="00547678" w:rsidRDefault="004F0676" w:rsidP="004F0676">
            <w:pPr>
              <w:suppressAutoHyphens/>
              <w:jc w:val="both"/>
              <w:rPr>
                <w:b/>
                <w:sz w:val="20"/>
                <w:szCs w:val="20"/>
              </w:rPr>
            </w:pPr>
            <w:r w:rsidRPr="00547678">
              <w:rPr>
                <w:b/>
                <w:sz w:val="20"/>
                <w:szCs w:val="20"/>
              </w:rPr>
              <w:t xml:space="preserve">Netiek ņemts vērā. </w:t>
            </w:r>
          </w:p>
          <w:p w14:paraId="534CDBA4" w14:textId="77777777" w:rsidR="004F0676" w:rsidRPr="00547678" w:rsidRDefault="004F0676" w:rsidP="004F0676">
            <w:pPr>
              <w:suppressAutoHyphens/>
              <w:jc w:val="both"/>
              <w:rPr>
                <w:sz w:val="20"/>
                <w:szCs w:val="20"/>
              </w:rPr>
            </w:pPr>
            <w:r w:rsidRPr="00547678">
              <w:rPr>
                <w:sz w:val="20"/>
                <w:szCs w:val="20"/>
              </w:rPr>
              <w:t>Š.g. sākumā VARAM pasūtīja analīzi par bioloģiskās produkcijas ražotāju gatavību nodrošināt produktu pieejamību. “Datu ieguve un analīze par bioloģiskās lauksaimniecības tirgus gatavību publiskajam iepirkumam” tika</w:t>
            </w:r>
          </w:p>
          <w:p w14:paraId="46930110" w14:textId="77777777" w:rsidR="004F0676" w:rsidRPr="00547678" w:rsidRDefault="004F0676" w:rsidP="004F0676">
            <w:pPr>
              <w:suppressAutoHyphens/>
              <w:jc w:val="both"/>
              <w:rPr>
                <w:sz w:val="20"/>
                <w:szCs w:val="20"/>
              </w:rPr>
            </w:pPr>
            <w:r w:rsidRPr="00547678">
              <w:rPr>
                <w:sz w:val="20"/>
                <w:szCs w:val="20"/>
              </w:rPr>
              <w:t>veikts, lai izvērtētu iespējas bioloģiskās lauksaimniecības produktu piedāvājumā iekļaut zaļajā publiskajā iepirkumā. Datu ieguves un analīzes laikā tika izvērtēta gan bioloģiskās lauksaimniecības produktu ražošanas kapacitāte, gan arī publiskā iepirkumā iepirktie apjomi, lai sniegtu ieteikumus, kā zaļais publiskais</w:t>
            </w:r>
          </w:p>
          <w:p w14:paraId="109C9E87" w14:textId="77777777" w:rsidR="004F0676" w:rsidRPr="00547678" w:rsidRDefault="004F0676" w:rsidP="004F0676">
            <w:pPr>
              <w:suppressAutoHyphens/>
              <w:jc w:val="both"/>
              <w:rPr>
                <w:sz w:val="20"/>
                <w:szCs w:val="20"/>
              </w:rPr>
            </w:pPr>
            <w:r w:rsidRPr="00547678">
              <w:rPr>
                <w:sz w:val="20"/>
                <w:szCs w:val="20"/>
              </w:rPr>
              <w:t>iepirkums varētu tikt papildināts, lai potenciāli pievienotu bioloģiskās lauksaimniecības produktus iepirkumam. Izvērtējumā ir norādītas iespējas iepirkumu veikšanā.</w:t>
            </w:r>
          </w:p>
          <w:p w14:paraId="637A611B" w14:textId="77777777" w:rsidR="004F0676" w:rsidRPr="00547678" w:rsidRDefault="004F0676" w:rsidP="004F0676">
            <w:pPr>
              <w:suppressAutoHyphens/>
              <w:jc w:val="both"/>
              <w:rPr>
                <w:sz w:val="20"/>
                <w:szCs w:val="20"/>
              </w:rPr>
            </w:pPr>
            <w:r w:rsidRPr="00547678">
              <w:rPr>
                <w:sz w:val="20"/>
                <w:szCs w:val="20"/>
              </w:rPr>
              <w:t xml:space="preserve">Lūdzam iepazīties ar “Datu ieguve un analīze par bioloģiskās lauksaimniecības tirgus gatavību publiskajam iepirkumam”  VARAM mājas lapā: </w:t>
            </w:r>
            <w:hyperlink r:id="rId8" w:history="1">
              <w:r w:rsidRPr="00CE5FED">
                <w:rPr>
                  <w:color w:val="0563C1"/>
                  <w:sz w:val="20"/>
                  <w:szCs w:val="20"/>
                  <w:u w:val="single"/>
                </w:rPr>
                <w:t>http://www.varam.gov.lv/lat/darbibas_veidi/zalais_publiskais_iepirkums/</w:t>
              </w:r>
            </w:hyperlink>
            <w:r w:rsidRPr="00547678">
              <w:rPr>
                <w:sz w:val="20"/>
                <w:szCs w:val="20"/>
              </w:rPr>
              <w:t xml:space="preserve"> </w:t>
            </w:r>
          </w:p>
          <w:p w14:paraId="68EC2E42" w14:textId="77777777" w:rsidR="004F0676" w:rsidRPr="00547678" w:rsidRDefault="004F0676" w:rsidP="004F0676">
            <w:pPr>
              <w:suppressAutoHyphens/>
              <w:jc w:val="both"/>
              <w:rPr>
                <w:sz w:val="20"/>
                <w:szCs w:val="20"/>
              </w:rPr>
            </w:pPr>
          </w:p>
          <w:p w14:paraId="47B797EE" w14:textId="77777777" w:rsidR="004F0676" w:rsidRPr="00547678" w:rsidRDefault="004F0676" w:rsidP="004F0676">
            <w:pPr>
              <w:suppressAutoHyphens/>
              <w:jc w:val="both"/>
              <w:rPr>
                <w:b/>
                <w:sz w:val="20"/>
                <w:szCs w:val="20"/>
              </w:rPr>
            </w:pPr>
          </w:p>
        </w:tc>
        <w:tc>
          <w:tcPr>
            <w:tcW w:w="1059" w:type="pct"/>
            <w:shd w:val="clear" w:color="auto" w:fill="FFFFFF" w:themeFill="background1"/>
          </w:tcPr>
          <w:p w14:paraId="694C6C43" w14:textId="77777777" w:rsidR="004F0676" w:rsidRPr="00547678" w:rsidRDefault="004F0676" w:rsidP="004F0676">
            <w:pPr>
              <w:jc w:val="both"/>
              <w:rPr>
                <w:sz w:val="20"/>
                <w:szCs w:val="20"/>
              </w:rPr>
            </w:pPr>
            <w:r w:rsidRPr="00547678">
              <w:rPr>
                <w:sz w:val="20"/>
                <w:szCs w:val="20"/>
              </w:rPr>
              <w:t xml:space="preserve">Noteikumu projekta 1.pielikuma 4.1.apakšnodaļas “ZPI prasības un kritēriji pārtikas produktu piegādēm” Tehniskās specifikācijas sadaļas 1.1. PĀRTIKAS PRODUKTU KVALITĀTE: </w:t>
            </w:r>
          </w:p>
          <w:tbl>
            <w:tblPr>
              <w:tblStyle w:val="TableGrid1"/>
              <w:tblW w:w="3011" w:type="dxa"/>
              <w:tblLayout w:type="fixed"/>
              <w:tblLook w:val="04A0" w:firstRow="1" w:lastRow="0" w:firstColumn="1" w:lastColumn="0" w:noHBand="0" w:noVBand="1"/>
            </w:tblPr>
            <w:tblGrid>
              <w:gridCol w:w="1593"/>
              <w:gridCol w:w="1418"/>
            </w:tblGrid>
            <w:tr w:rsidR="004F0676" w:rsidRPr="00547678" w14:paraId="0DBDC17D" w14:textId="77777777" w:rsidTr="00531308">
              <w:tc>
                <w:tcPr>
                  <w:tcW w:w="1593" w:type="dxa"/>
                </w:tcPr>
                <w:p w14:paraId="33E22846"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1.1.1. a. Iegādājoties pienu un kefīru vismaz 35 procentiem no visas piena un kefīra masas vai vērtības (no 2022.gada 1. janvāra vismaz 50 procenti) jābūt ražotiem atbilstoši bioloģiskās lauksaimniecības metodēm saskaņā ar Padomes 2007. gada 28. jūnija Regulu (EK) Nr.834/2007 par bioloģisko ražošanu un bioloģisko produktu marķēšanu un par Regulas (EEK) Nr.2092/91 atcelšanu;</w:t>
                  </w:r>
                </w:p>
                <w:p w14:paraId="062FC86B"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Iegādājoties graudaugu pārstrādes produktus  (piemēram, auzu pārslas, kviešu milti, griķi) vismaz 20 procentiem no graudaugu pārstrādes produktu masas vai vērtības jābūt ražotiem atbilstoši bioloģiskās lauksaimniecības metodēm saskaņā ar Padomes 2007. gada 28. jūnija Regulu (EK) Nr.834/2007 par bioloģisko ražošanu un bioloģisko produktu marķēšanu un par Regulas (EEK) Nr.2092/91 atcelšanu;</w:t>
                  </w:r>
                </w:p>
                <w:p w14:paraId="7228732E"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un</w:t>
                  </w:r>
                </w:p>
              </w:tc>
              <w:tc>
                <w:tcPr>
                  <w:tcW w:w="1418" w:type="dxa"/>
                </w:tcPr>
                <w:p w14:paraId="14D7A266" w14:textId="77777777" w:rsidR="004F0676" w:rsidRPr="00547678" w:rsidRDefault="004F0676" w:rsidP="00531308">
                  <w:pPr>
                    <w:suppressAutoHyphens/>
                    <w:autoSpaceDN w:val="0"/>
                    <w:spacing w:before="120" w:after="120"/>
                    <w:ind w:right="149"/>
                    <w:jc w:val="both"/>
                    <w:textAlignment w:val="baseline"/>
                    <w:rPr>
                      <w:sz w:val="20"/>
                      <w:szCs w:val="20"/>
                      <w:lang w:eastAsia="ja-JP"/>
                    </w:rPr>
                  </w:pPr>
                  <w:r w:rsidRPr="00547678">
                    <w:rPr>
                      <w:sz w:val="20"/>
                      <w:szCs w:val="20"/>
                      <w:lang w:eastAsia="ja-JP"/>
                    </w:rPr>
                    <w:t>1.1.1. b. Iegādājoties citas produktu grupas [X] procenti no visas produktu masas vai vērtības vai X procenti (no noteiktas produktu grupas, pēc izvēles: piena produktiem (izņemot pienu un kefīru), gaļas produktiem, augļiem un dārzeņiem, vai konkrētu produktu saraksts, pēc izvēles: kartupeļi, liellopu gaļa, olas) jābūt ražotiem atbilstoši bioloģiskās lauksaimniecības metodēm saskaņā ar Padomes 2007. gada 28. jūnija Regulu (EK) Nr.834/2007 par bioloģisko ražošanu un bioloģisko produktu marķēšanu un par Regulas (EEK) Nr.2092/91 atcelšanu;</w:t>
                  </w:r>
                </w:p>
                <w:p w14:paraId="2F7DF21B"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vai</w:t>
                  </w:r>
                </w:p>
              </w:tc>
            </w:tr>
            <w:tr w:rsidR="004F0676" w:rsidRPr="00547678" w14:paraId="6396C385" w14:textId="77777777" w:rsidTr="00531308">
              <w:tc>
                <w:tcPr>
                  <w:tcW w:w="3011" w:type="dxa"/>
                  <w:gridSpan w:val="2"/>
                </w:tcPr>
                <w:p w14:paraId="43B49D6B" w14:textId="77777777" w:rsidR="004F0676" w:rsidRPr="00547678" w:rsidRDefault="004F0676" w:rsidP="00531308">
                  <w:pPr>
                    <w:suppressAutoHyphens/>
                    <w:autoSpaceDN w:val="0"/>
                    <w:spacing w:before="120" w:after="120"/>
                    <w:ind w:right="34"/>
                    <w:jc w:val="both"/>
                    <w:textAlignment w:val="baseline"/>
                    <w:rPr>
                      <w:sz w:val="20"/>
                      <w:szCs w:val="20"/>
                      <w:lang w:eastAsia="ja-JP"/>
                    </w:rPr>
                  </w:pPr>
                  <w:r w:rsidRPr="00547678">
                    <w:rPr>
                      <w:sz w:val="20"/>
                      <w:szCs w:val="20"/>
                      <w:lang w:eastAsia="ja-JP"/>
                    </w:rPr>
                    <w:t>1.1.2. [X] procentiem no visas produktu masas vai vērtības vai X procenti  [vai noteikta produktu grupa, piemēram, augļi, dārzeņi, vai konkrētu produktu saraksts, piemēram, kartupeļi, burkāni, āboli] jābūt ražotiem saskaņā ar integrētās ražošanas kritērijiem;</w:t>
                  </w:r>
                </w:p>
                <w:p w14:paraId="0307F6E1" w14:textId="77777777" w:rsidR="004F0676" w:rsidRPr="00547678" w:rsidRDefault="004F0676" w:rsidP="004F0676">
                  <w:pPr>
                    <w:suppressAutoHyphens/>
                    <w:autoSpaceDN w:val="0"/>
                    <w:spacing w:before="120" w:after="120"/>
                    <w:jc w:val="both"/>
                    <w:textAlignment w:val="baseline"/>
                    <w:rPr>
                      <w:sz w:val="20"/>
                      <w:szCs w:val="20"/>
                      <w:lang w:eastAsia="ja-JP"/>
                    </w:rPr>
                  </w:pPr>
                  <w:r w:rsidRPr="00547678">
                    <w:rPr>
                      <w:sz w:val="20"/>
                      <w:szCs w:val="20"/>
                      <w:lang w:eastAsia="ja-JP"/>
                    </w:rPr>
                    <w:t>vai</w:t>
                  </w:r>
                </w:p>
              </w:tc>
            </w:tr>
            <w:tr w:rsidR="004F0676" w:rsidRPr="00547678" w14:paraId="4FE7CB5F" w14:textId="77777777" w:rsidTr="00531308">
              <w:tc>
                <w:tcPr>
                  <w:tcW w:w="3011" w:type="dxa"/>
                  <w:gridSpan w:val="2"/>
                </w:tcPr>
                <w:p w14:paraId="29D79E7C" w14:textId="77777777" w:rsidR="004F0676" w:rsidRPr="00547678" w:rsidRDefault="004F0676" w:rsidP="00531308">
                  <w:pPr>
                    <w:suppressAutoHyphens/>
                    <w:autoSpaceDN w:val="0"/>
                    <w:spacing w:before="120" w:after="120"/>
                    <w:ind w:right="34"/>
                    <w:jc w:val="both"/>
                    <w:textAlignment w:val="baseline"/>
                    <w:rPr>
                      <w:sz w:val="20"/>
                      <w:szCs w:val="20"/>
                      <w:lang w:eastAsia="ja-JP"/>
                    </w:rPr>
                  </w:pPr>
                  <w:r w:rsidRPr="00547678">
                    <w:rPr>
                      <w:sz w:val="20"/>
                      <w:szCs w:val="20"/>
                      <w:lang w:eastAsia="ja-JP"/>
                    </w:rPr>
                    <w:t xml:space="preserve">1.1.3. vismaz 45 procenti no noteiktas produktu grupas masas vai vērtības, piemēram, piena produkti, gaļas produkti, dārzeņi, vai konkrētu produktu saraksts, piemēram, kartupeļi, liellopu gaļa, olas, ko paredzēts izmantot ēdināšanas pakalpojumos, jāatbilst Latvijas nacionālās pārtikas kvalitātes shēmas prasībām, ko apliecina Pārtikas un veterinārā dienesta izsniegts sertifikāts. </w:t>
                  </w:r>
                </w:p>
              </w:tc>
            </w:tr>
          </w:tbl>
          <w:p w14:paraId="0A71CA91" w14:textId="77777777" w:rsidR="004F0676" w:rsidRPr="00547678" w:rsidRDefault="004F0676" w:rsidP="004F0676">
            <w:pPr>
              <w:jc w:val="both"/>
              <w:rPr>
                <w:sz w:val="20"/>
                <w:szCs w:val="20"/>
              </w:rPr>
            </w:pPr>
          </w:p>
        </w:tc>
        <w:tc>
          <w:tcPr>
            <w:tcW w:w="557" w:type="pct"/>
            <w:shd w:val="clear" w:color="auto" w:fill="FFFFFF" w:themeFill="background1"/>
          </w:tcPr>
          <w:p w14:paraId="4A74C1FD" w14:textId="77777777" w:rsidR="004F0676" w:rsidRPr="00547678" w:rsidRDefault="004F0676" w:rsidP="004F0676">
            <w:pPr>
              <w:jc w:val="both"/>
              <w:rPr>
                <w:b/>
                <w:sz w:val="20"/>
                <w:szCs w:val="20"/>
              </w:rPr>
            </w:pPr>
            <w:r w:rsidRPr="00547678">
              <w:rPr>
                <w:b/>
                <w:sz w:val="20"/>
                <w:szCs w:val="20"/>
              </w:rPr>
              <w:t>Saskaņots.</w:t>
            </w:r>
          </w:p>
        </w:tc>
        <w:tc>
          <w:tcPr>
            <w:tcW w:w="613" w:type="pct"/>
            <w:shd w:val="clear" w:color="auto" w:fill="FFFFFF" w:themeFill="background1"/>
          </w:tcPr>
          <w:p w14:paraId="7C42F247" w14:textId="77777777" w:rsidR="004F0676" w:rsidRPr="00547678" w:rsidRDefault="004F0676" w:rsidP="004F0676">
            <w:pPr>
              <w:jc w:val="both"/>
              <w:rPr>
                <w:sz w:val="20"/>
                <w:szCs w:val="20"/>
              </w:rPr>
            </w:pPr>
          </w:p>
        </w:tc>
        <w:tc>
          <w:tcPr>
            <w:tcW w:w="598" w:type="pct"/>
            <w:shd w:val="clear" w:color="auto" w:fill="FFFFFF" w:themeFill="background1"/>
          </w:tcPr>
          <w:p w14:paraId="2F559929" w14:textId="77777777" w:rsidR="004F0676" w:rsidRPr="00547678" w:rsidRDefault="004F0676" w:rsidP="004F0676">
            <w:pPr>
              <w:jc w:val="both"/>
              <w:rPr>
                <w:sz w:val="20"/>
                <w:szCs w:val="20"/>
              </w:rPr>
            </w:pPr>
          </w:p>
        </w:tc>
      </w:tr>
    </w:tbl>
    <w:p w14:paraId="7767317F" w14:textId="77777777" w:rsidR="00547678" w:rsidRDefault="00547678" w:rsidP="00547678">
      <w:pPr>
        <w:pStyle w:val="naisf"/>
        <w:spacing w:before="0" w:after="0"/>
        <w:ind w:left="360" w:firstLine="0"/>
        <w:rPr>
          <w:b/>
          <w:sz w:val="22"/>
          <w:szCs w:val="22"/>
        </w:rPr>
      </w:pPr>
    </w:p>
    <w:p w14:paraId="4CE2C11C" w14:textId="77777777" w:rsidR="00547678" w:rsidRPr="00477482" w:rsidRDefault="00547678" w:rsidP="00547678">
      <w:pPr>
        <w:pStyle w:val="naisf"/>
        <w:spacing w:before="0" w:after="0"/>
        <w:ind w:left="360" w:firstLine="0"/>
        <w:rPr>
          <w:sz w:val="22"/>
          <w:szCs w:val="22"/>
        </w:rPr>
      </w:pPr>
    </w:p>
    <w:p w14:paraId="192C8B49" w14:textId="4D39FAF9" w:rsidR="00905305" w:rsidRPr="001A0783" w:rsidRDefault="00905305" w:rsidP="00905305">
      <w:pPr>
        <w:pStyle w:val="naisf"/>
        <w:spacing w:before="0" w:after="0"/>
        <w:ind w:firstLine="0"/>
        <w:rPr>
          <w:sz w:val="22"/>
          <w:szCs w:val="22"/>
          <w:highlight w:val="yellow"/>
        </w:rPr>
      </w:pPr>
    </w:p>
    <w:p w14:paraId="5CE83607" w14:textId="77777777" w:rsidR="00905305" w:rsidRPr="00262A71" w:rsidRDefault="002F7A75" w:rsidP="00905305">
      <w:pPr>
        <w:pStyle w:val="naisf"/>
        <w:spacing w:before="0" w:after="0"/>
        <w:ind w:firstLine="0"/>
        <w:rPr>
          <w:sz w:val="22"/>
          <w:szCs w:val="22"/>
        </w:rPr>
      </w:pPr>
      <w:r w:rsidRPr="00262A71">
        <w:rPr>
          <w:sz w:val="22"/>
          <w:szCs w:val="22"/>
        </w:rPr>
        <w:t>Atbildīgā amatpersona</w:t>
      </w:r>
    </w:p>
    <w:p w14:paraId="536D8175" w14:textId="77777777" w:rsidR="00905305" w:rsidRPr="001A0783" w:rsidRDefault="00905305" w:rsidP="00905305">
      <w:pPr>
        <w:pStyle w:val="naisf"/>
        <w:spacing w:before="0" w:after="0"/>
        <w:ind w:firstLine="0"/>
        <w:rPr>
          <w:sz w:val="22"/>
          <w:szCs w:val="22"/>
          <w:highlight w:val="yellow"/>
        </w:rPr>
      </w:pPr>
    </w:p>
    <w:p w14:paraId="2B0C5A52" w14:textId="00C822A0" w:rsidR="00905305" w:rsidRPr="004254E3" w:rsidRDefault="00E07335" w:rsidP="003A5AF7">
      <w:pPr>
        <w:pStyle w:val="naisf"/>
        <w:pBdr>
          <w:bottom w:val="single" w:sz="4" w:space="0" w:color="auto"/>
        </w:pBdr>
        <w:spacing w:after="60"/>
        <w:ind w:right="4647"/>
        <w:jc w:val="center"/>
        <w:rPr>
          <w:sz w:val="22"/>
          <w:szCs w:val="22"/>
        </w:rPr>
      </w:pPr>
      <w:r>
        <w:rPr>
          <w:sz w:val="22"/>
          <w:szCs w:val="22"/>
        </w:rPr>
        <w:t>Inese Pelša</w:t>
      </w:r>
    </w:p>
    <w:tbl>
      <w:tblPr>
        <w:tblW w:w="0" w:type="auto"/>
        <w:tblBorders>
          <w:bottom w:val="single" w:sz="4" w:space="0" w:color="auto"/>
        </w:tblBorders>
        <w:tblLook w:val="00A0" w:firstRow="1" w:lastRow="0" w:firstColumn="1" w:lastColumn="0" w:noHBand="0" w:noVBand="0"/>
      </w:tblPr>
      <w:tblGrid>
        <w:gridCol w:w="9461"/>
      </w:tblGrid>
      <w:tr w:rsidR="00BF7742" w:rsidRPr="004254E3" w14:paraId="3AE3299B" w14:textId="77777777" w:rsidTr="00905305">
        <w:trPr>
          <w:trHeight w:val="274"/>
        </w:trPr>
        <w:tc>
          <w:tcPr>
            <w:tcW w:w="9461" w:type="dxa"/>
            <w:tcBorders>
              <w:bottom w:val="single" w:sz="4" w:space="0" w:color="auto"/>
            </w:tcBorders>
          </w:tcPr>
          <w:p w14:paraId="732744E3" w14:textId="77777777" w:rsidR="00905305" w:rsidRDefault="002F7A75" w:rsidP="00905305">
            <w:pPr>
              <w:spacing w:after="60"/>
              <w:jc w:val="center"/>
              <w:rPr>
                <w:sz w:val="22"/>
                <w:szCs w:val="22"/>
              </w:rPr>
            </w:pPr>
            <w:r w:rsidRPr="004254E3">
              <w:rPr>
                <w:sz w:val="22"/>
                <w:szCs w:val="22"/>
              </w:rPr>
              <w:t>(par projektu atbildīgās amatpersonas vārds un uzvārds)</w:t>
            </w:r>
          </w:p>
          <w:p w14:paraId="13F1B616" w14:textId="77777777" w:rsidR="00780BDB" w:rsidRPr="004254E3" w:rsidRDefault="00780BDB" w:rsidP="00905305">
            <w:pPr>
              <w:spacing w:after="60"/>
              <w:jc w:val="center"/>
            </w:pPr>
          </w:p>
        </w:tc>
      </w:tr>
      <w:tr w:rsidR="00BF7742" w:rsidRPr="004254E3" w14:paraId="6BD54FCA" w14:textId="77777777" w:rsidTr="00905305">
        <w:trPr>
          <w:trHeight w:val="260"/>
        </w:trPr>
        <w:tc>
          <w:tcPr>
            <w:tcW w:w="9461" w:type="dxa"/>
            <w:tcBorders>
              <w:top w:val="single" w:sz="4" w:space="0" w:color="auto"/>
              <w:bottom w:val="single" w:sz="4" w:space="0" w:color="auto"/>
            </w:tcBorders>
          </w:tcPr>
          <w:p w14:paraId="5BFF4A61" w14:textId="7E93ED27" w:rsidR="003A5AF7" w:rsidRPr="004254E3" w:rsidRDefault="003A5AF7" w:rsidP="0080060F">
            <w:pPr>
              <w:spacing w:after="60"/>
              <w:rPr>
                <w:sz w:val="22"/>
                <w:szCs w:val="22"/>
              </w:rPr>
            </w:pPr>
            <w:r w:rsidRPr="004254E3">
              <w:rPr>
                <w:sz w:val="22"/>
                <w:szCs w:val="22"/>
              </w:rPr>
              <w:t xml:space="preserve">VARAM Koordinācijas </w:t>
            </w:r>
            <w:r w:rsidR="00B62717">
              <w:rPr>
                <w:sz w:val="22"/>
                <w:szCs w:val="22"/>
              </w:rPr>
              <w:t>departamenta Stratēģijas un ilg</w:t>
            </w:r>
            <w:r w:rsidRPr="004254E3">
              <w:rPr>
                <w:sz w:val="22"/>
                <w:szCs w:val="22"/>
              </w:rPr>
              <w:t>t</w:t>
            </w:r>
            <w:r w:rsidR="00B62717">
              <w:rPr>
                <w:sz w:val="22"/>
                <w:szCs w:val="22"/>
              </w:rPr>
              <w:t>s</w:t>
            </w:r>
            <w:r w:rsidRPr="004254E3">
              <w:rPr>
                <w:sz w:val="22"/>
                <w:szCs w:val="22"/>
              </w:rPr>
              <w:t>pējīgas attīstības nodaļas vecākā eksperte</w:t>
            </w:r>
          </w:p>
        </w:tc>
      </w:tr>
      <w:tr w:rsidR="00BF7742" w:rsidRPr="004254E3" w14:paraId="7B88B403" w14:textId="77777777" w:rsidTr="00905305">
        <w:trPr>
          <w:trHeight w:val="260"/>
        </w:trPr>
        <w:tc>
          <w:tcPr>
            <w:tcW w:w="9461" w:type="dxa"/>
            <w:tcBorders>
              <w:top w:val="single" w:sz="4" w:space="0" w:color="auto"/>
              <w:bottom w:val="nil"/>
            </w:tcBorders>
          </w:tcPr>
          <w:p w14:paraId="7162EF71" w14:textId="77777777" w:rsidR="00905305" w:rsidRPr="004254E3" w:rsidRDefault="002F7A75" w:rsidP="00905305">
            <w:pPr>
              <w:spacing w:after="60"/>
              <w:jc w:val="center"/>
            </w:pPr>
            <w:r w:rsidRPr="004254E3">
              <w:rPr>
                <w:sz w:val="22"/>
                <w:szCs w:val="22"/>
              </w:rPr>
              <w:t>(amats)</w:t>
            </w:r>
          </w:p>
        </w:tc>
      </w:tr>
      <w:tr w:rsidR="00BF7742" w:rsidRPr="004254E3" w14:paraId="26DE57A1" w14:textId="77777777" w:rsidTr="00905305">
        <w:trPr>
          <w:trHeight w:val="274"/>
        </w:trPr>
        <w:tc>
          <w:tcPr>
            <w:tcW w:w="9461" w:type="dxa"/>
            <w:tcBorders>
              <w:bottom w:val="single" w:sz="4" w:space="0" w:color="auto"/>
            </w:tcBorders>
          </w:tcPr>
          <w:p w14:paraId="466EE1EF" w14:textId="6330CF16" w:rsidR="00905305" w:rsidRPr="004254E3" w:rsidRDefault="0080060F" w:rsidP="00E07335">
            <w:pPr>
              <w:spacing w:after="60"/>
            </w:pPr>
            <w:r w:rsidRPr="004254E3">
              <w:rPr>
                <w:sz w:val="22"/>
                <w:szCs w:val="22"/>
              </w:rPr>
              <w:t>tālr., fakss:</w:t>
            </w:r>
            <w:r w:rsidR="004254E3" w:rsidRPr="004254E3">
              <w:rPr>
                <w:sz w:val="22"/>
                <w:szCs w:val="22"/>
              </w:rPr>
              <w:t xml:space="preserve"> 67026457</w:t>
            </w:r>
          </w:p>
        </w:tc>
      </w:tr>
      <w:tr w:rsidR="00BF7742" w:rsidRPr="004254E3" w14:paraId="07F5EEC1" w14:textId="77777777" w:rsidTr="00905305">
        <w:trPr>
          <w:trHeight w:val="260"/>
        </w:trPr>
        <w:tc>
          <w:tcPr>
            <w:tcW w:w="9461" w:type="dxa"/>
            <w:tcBorders>
              <w:top w:val="single" w:sz="4" w:space="0" w:color="auto"/>
              <w:bottom w:val="nil"/>
            </w:tcBorders>
          </w:tcPr>
          <w:p w14:paraId="3AD4921B" w14:textId="77777777" w:rsidR="00905305" w:rsidRPr="004254E3" w:rsidRDefault="002F7A75" w:rsidP="00905305">
            <w:pPr>
              <w:spacing w:after="60"/>
              <w:jc w:val="center"/>
            </w:pPr>
            <w:r w:rsidRPr="004254E3">
              <w:rPr>
                <w:sz w:val="22"/>
                <w:szCs w:val="22"/>
              </w:rPr>
              <w:t>(tālruņa un faksa numurs)</w:t>
            </w:r>
          </w:p>
        </w:tc>
      </w:tr>
      <w:tr w:rsidR="00BF7742" w:rsidRPr="004254E3" w14:paraId="07684D87" w14:textId="77777777" w:rsidTr="00905305">
        <w:trPr>
          <w:trHeight w:val="260"/>
        </w:trPr>
        <w:tc>
          <w:tcPr>
            <w:tcW w:w="9461" w:type="dxa"/>
            <w:tcBorders>
              <w:bottom w:val="single" w:sz="4" w:space="0" w:color="auto"/>
            </w:tcBorders>
          </w:tcPr>
          <w:p w14:paraId="00D50688" w14:textId="31C038BD" w:rsidR="00905305" w:rsidRPr="004254E3" w:rsidRDefault="00657CB5" w:rsidP="00E07335">
            <w:pPr>
              <w:spacing w:after="60"/>
            </w:pPr>
            <w:hyperlink r:id="rId9" w:history="1">
              <w:r w:rsidR="004254E3" w:rsidRPr="004254E3">
                <w:rPr>
                  <w:rStyle w:val="Hyperlink"/>
                </w:rPr>
                <w:t>inese.pelsa@varam.gov.lv</w:t>
              </w:r>
            </w:hyperlink>
          </w:p>
        </w:tc>
      </w:tr>
      <w:tr w:rsidR="00BF7742" w:rsidRPr="00531308" w14:paraId="1BBEB24C" w14:textId="77777777" w:rsidTr="00905305">
        <w:trPr>
          <w:trHeight w:val="119"/>
        </w:trPr>
        <w:tc>
          <w:tcPr>
            <w:tcW w:w="9461" w:type="dxa"/>
            <w:tcBorders>
              <w:top w:val="single" w:sz="4" w:space="0" w:color="auto"/>
              <w:bottom w:val="nil"/>
            </w:tcBorders>
          </w:tcPr>
          <w:p w14:paraId="4772D769" w14:textId="77777777" w:rsidR="00905305" w:rsidRPr="00531308" w:rsidRDefault="002F7A75" w:rsidP="00905305">
            <w:pPr>
              <w:spacing w:after="60"/>
              <w:jc w:val="center"/>
            </w:pPr>
            <w:r w:rsidRPr="004254E3">
              <w:rPr>
                <w:sz w:val="22"/>
                <w:szCs w:val="22"/>
              </w:rPr>
              <w:t>(e-pasta adrese)</w:t>
            </w:r>
          </w:p>
        </w:tc>
      </w:tr>
    </w:tbl>
    <w:p w14:paraId="690D3BC1" w14:textId="77777777" w:rsidR="00905305" w:rsidRPr="00531308" w:rsidRDefault="002F7A75" w:rsidP="00905305">
      <w:pPr>
        <w:tabs>
          <w:tab w:val="left" w:pos="2490"/>
        </w:tabs>
        <w:jc w:val="both"/>
        <w:rPr>
          <w:sz w:val="22"/>
          <w:szCs w:val="22"/>
        </w:rPr>
      </w:pPr>
      <w:r w:rsidRPr="00531308">
        <w:rPr>
          <w:sz w:val="22"/>
          <w:szCs w:val="22"/>
        </w:rPr>
        <w:tab/>
      </w:r>
    </w:p>
    <w:p w14:paraId="735FF15C" w14:textId="449CF32B" w:rsidR="00905305" w:rsidRPr="00531308" w:rsidRDefault="009947A9" w:rsidP="00905305">
      <w:pPr>
        <w:jc w:val="both"/>
        <w:rPr>
          <w:sz w:val="20"/>
          <w:szCs w:val="20"/>
        </w:rPr>
      </w:pPr>
      <w:r w:rsidRPr="00531308">
        <w:rPr>
          <w:sz w:val="20"/>
          <w:szCs w:val="20"/>
        </w:rPr>
        <w:t>03.08</w:t>
      </w:r>
      <w:r w:rsidR="00802D9E" w:rsidRPr="00531308">
        <w:rPr>
          <w:sz w:val="20"/>
          <w:szCs w:val="20"/>
        </w:rPr>
        <w:t>.2020</w:t>
      </w:r>
      <w:r w:rsidR="00F50E0C" w:rsidRPr="00531308">
        <w:rPr>
          <w:sz w:val="20"/>
          <w:szCs w:val="20"/>
        </w:rPr>
        <w:t>.</w:t>
      </w:r>
      <w:r w:rsidR="00802D9E" w:rsidRPr="00531308">
        <w:rPr>
          <w:sz w:val="20"/>
          <w:szCs w:val="20"/>
        </w:rPr>
        <w:t xml:space="preserve"> 1</w:t>
      </w:r>
      <w:r w:rsidR="00884F22" w:rsidRPr="00531308">
        <w:rPr>
          <w:sz w:val="20"/>
          <w:szCs w:val="20"/>
        </w:rPr>
        <w:t>2:46</w:t>
      </w:r>
    </w:p>
    <w:p w14:paraId="42BB46BD" w14:textId="26621764" w:rsidR="00905305" w:rsidRPr="009947A9" w:rsidRDefault="0080060F" w:rsidP="00905305">
      <w:pPr>
        <w:jc w:val="both"/>
        <w:rPr>
          <w:sz w:val="20"/>
          <w:szCs w:val="20"/>
        </w:rPr>
      </w:pPr>
      <w:r w:rsidRPr="00531308">
        <w:rPr>
          <w:sz w:val="20"/>
          <w:szCs w:val="20"/>
        </w:rPr>
        <w:t>I.Pelša 67026457</w:t>
      </w:r>
    </w:p>
    <w:p w14:paraId="2595A54A" w14:textId="5993AA9F" w:rsidR="00905305" w:rsidRPr="005501AE" w:rsidRDefault="0080060F" w:rsidP="00905305">
      <w:pPr>
        <w:jc w:val="both"/>
        <w:rPr>
          <w:sz w:val="20"/>
          <w:szCs w:val="20"/>
        </w:rPr>
      </w:pPr>
      <w:r w:rsidRPr="009947A9">
        <w:rPr>
          <w:sz w:val="20"/>
          <w:szCs w:val="20"/>
        </w:rPr>
        <w:t>Inese.pelsa</w:t>
      </w:r>
      <w:r w:rsidR="00545800" w:rsidRPr="009947A9">
        <w:rPr>
          <w:sz w:val="20"/>
          <w:szCs w:val="20"/>
        </w:rPr>
        <w:t>@varam.gov.lv</w:t>
      </w:r>
    </w:p>
    <w:sectPr w:rsidR="00905305" w:rsidRPr="005501AE" w:rsidSect="00FD0708">
      <w:headerReference w:type="even" r:id="rId10"/>
      <w:headerReference w:type="default" r:id="rId11"/>
      <w:footerReference w:type="default" r:id="rId12"/>
      <w:footerReference w:type="first" r:id="rId13"/>
      <w:pgSz w:w="16838" w:h="11906" w:orient="landscape" w:code="9"/>
      <w:pgMar w:top="851" w:right="1134" w:bottom="993" w:left="1701" w:header="709" w:footer="44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221B" w16cex:dateUtc="2020-06-29T05:17:00Z"/>
  <w16cex:commentExtensible w16cex:durableId="22A42267" w16cex:dateUtc="2020-06-29T05:18:00Z"/>
  <w16cex:commentExtensible w16cex:durableId="22A4227F" w16cex:dateUtc="2020-06-29T05:19:00Z"/>
  <w16cex:commentExtensible w16cex:durableId="22A422A0" w16cex:dateUtc="2020-06-29T05:19:00Z"/>
  <w16cex:commentExtensible w16cex:durableId="22A422B6" w16cex:dateUtc="2020-06-29T05:20:00Z"/>
  <w16cex:commentExtensible w16cex:durableId="22A422CF" w16cex:dateUtc="2020-06-29T0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F39DE" w16cid:durableId="22A4221B"/>
  <w16cid:commentId w16cid:paraId="76EDE4E2" w16cid:durableId="22A42267"/>
  <w16cid:commentId w16cid:paraId="3CA8A005" w16cid:durableId="22A4227F"/>
  <w16cid:commentId w16cid:paraId="39B04E6B" w16cid:durableId="22A422A0"/>
  <w16cid:commentId w16cid:paraId="5FB6FEF2" w16cid:durableId="22A422B6"/>
  <w16cid:commentId w16cid:paraId="3C3DAFD6" w16cid:durableId="22A422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C7F70" w14:textId="77777777" w:rsidR="00657CB5" w:rsidRDefault="00657CB5">
      <w:r>
        <w:separator/>
      </w:r>
    </w:p>
  </w:endnote>
  <w:endnote w:type="continuationSeparator" w:id="0">
    <w:p w14:paraId="7ABF9FB9" w14:textId="77777777" w:rsidR="00657CB5" w:rsidRDefault="00657CB5">
      <w:r>
        <w:continuationSeparator/>
      </w:r>
    </w:p>
  </w:endnote>
  <w:endnote w:type="continuationNotice" w:id="1">
    <w:p w14:paraId="146DE63A" w14:textId="77777777" w:rsidR="00822D55" w:rsidRDefault="00822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45F6" w14:textId="7197A5E7" w:rsidR="00657CB5" w:rsidRPr="004C0906" w:rsidRDefault="00657CB5" w:rsidP="00905305">
    <w:pPr>
      <w:jc w:val="both"/>
      <w:rPr>
        <w:sz w:val="20"/>
        <w:szCs w:val="20"/>
      </w:rPr>
    </w:pPr>
    <w:r w:rsidRPr="00C6256C">
      <w:rPr>
        <w:sz w:val="20"/>
        <w:szCs w:val="20"/>
      </w:rPr>
      <w:t>VARAMIzz_</w:t>
    </w:r>
    <w:r>
      <w:rPr>
        <w:sz w:val="20"/>
        <w:szCs w:val="20"/>
      </w:rPr>
      <w:t>030820_groz353</w:t>
    </w:r>
  </w:p>
  <w:p w14:paraId="72A7B027" w14:textId="012AEB54" w:rsidR="00657CB5" w:rsidRPr="006263FA" w:rsidRDefault="00657CB5" w:rsidP="00701044">
    <w:pPr>
      <w:pStyle w:val="Footer"/>
      <w:tabs>
        <w:tab w:val="clear" w:pos="4153"/>
        <w:tab w:val="clear" w:pos="8306"/>
        <w:tab w:val="left" w:pos="39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18A8" w14:textId="1D7D7F8D" w:rsidR="00657CB5" w:rsidRPr="004C0906" w:rsidRDefault="00657CB5" w:rsidP="00905305">
    <w:pPr>
      <w:jc w:val="both"/>
      <w:rPr>
        <w:sz w:val="20"/>
        <w:szCs w:val="20"/>
      </w:rPr>
    </w:pPr>
    <w:r w:rsidRPr="00C6256C">
      <w:rPr>
        <w:sz w:val="20"/>
        <w:szCs w:val="20"/>
      </w:rPr>
      <w:t>VARAMIzz_</w:t>
    </w:r>
    <w:r>
      <w:rPr>
        <w:sz w:val="20"/>
        <w:szCs w:val="20"/>
      </w:rPr>
      <w:t>030820_groz353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12E4A" w14:textId="77777777" w:rsidR="00657CB5" w:rsidRDefault="00657CB5">
      <w:r>
        <w:separator/>
      </w:r>
    </w:p>
  </w:footnote>
  <w:footnote w:type="continuationSeparator" w:id="0">
    <w:p w14:paraId="6F6C9FCE" w14:textId="77777777" w:rsidR="00657CB5" w:rsidRDefault="00657CB5">
      <w:r>
        <w:continuationSeparator/>
      </w:r>
    </w:p>
  </w:footnote>
  <w:footnote w:type="continuationNotice" w:id="1">
    <w:p w14:paraId="47DEB82E" w14:textId="77777777" w:rsidR="00657CB5" w:rsidRDefault="00657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ECEF" w14:textId="77777777" w:rsidR="00657CB5" w:rsidRDefault="00657CB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184F0" w14:textId="77777777" w:rsidR="00657CB5" w:rsidRDefault="00657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A60C" w14:textId="77777777" w:rsidR="00657CB5" w:rsidRDefault="00657CB5" w:rsidP="00905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D55">
      <w:rPr>
        <w:rStyle w:val="PageNumber"/>
        <w:noProof/>
      </w:rPr>
      <w:t>36</w:t>
    </w:r>
    <w:r>
      <w:rPr>
        <w:rStyle w:val="PageNumber"/>
      </w:rPr>
      <w:fldChar w:fldCharType="end"/>
    </w:r>
  </w:p>
  <w:p w14:paraId="50CC08BA" w14:textId="77777777" w:rsidR="00657CB5" w:rsidRDefault="00657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E9220CE"/>
    <w:multiLevelType w:val="multilevel"/>
    <w:tmpl w:val="8418347C"/>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846152"/>
    <w:multiLevelType w:val="hybridMultilevel"/>
    <w:tmpl w:val="C6DA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1C3496"/>
    <w:multiLevelType w:val="hybridMultilevel"/>
    <w:tmpl w:val="5014A2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974553"/>
    <w:multiLevelType w:val="hybridMultilevel"/>
    <w:tmpl w:val="4FCE04CC"/>
    <w:lvl w:ilvl="0" w:tplc="70828C20">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E0560A"/>
    <w:multiLevelType w:val="hybridMultilevel"/>
    <w:tmpl w:val="1688C9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F5F3262"/>
    <w:multiLevelType w:val="hybridMultilevel"/>
    <w:tmpl w:val="B47C870E"/>
    <w:lvl w:ilvl="0" w:tplc="2B14015C">
      <w:start w:val="1"/>
      <w:numFmt w:val="decimal"/>
      <w:lvlText w:val="%1."/>
      <w:lvlJc w:val="left"/>
      <w:pPr>
        <w:ind w:left="360" w:hanging="360"/>
      </w:pPr>
      <w:rPr>
        <w:sz w:val="24"/>
        <w:szCs w:val="24"/>
      </w:rPr>
    </w:lvl>
    <w:lvl w:ilvl="1" w:tplc="7DD86F34">
      <w:start w:val="1"/>
      <w:numFmt w:val="lowerLetter"/>
      <w:lvlText w:val="%2."/>
      <w:lvlJc w:val="left"/>
      <w:pPr>
        <w:ind w:left="1080" w:hanging="360"/>
      </w:pPr>
    </w:lvl>
    <w:lvl w:ilvl="2" w:tplc="757C801A">
      <w:start w:val="1"/>
      <w:numFmt w:val="lowerRoman"/>
      <w:lvlText w:val="%3."/>
      <w:lvlJc w:val="right"/>
      <w:pPr>
        <w:ind w:left="1800" w:hanging="180"/>
      </w:pPr>
    </w:lvl>
    <w:lvl w:ilvl="3" w:tplc="0CDE0C0C" w:tentative="1">
      <w:start w:val="1"/>
      <w:numFmt w:val="decimal"/>
      <w:lvlText w:val="%4."/>
      <w:lvlJc w:val="left"/>
      <w:pPr>
        <w:ind w:left="2520" w:hanging="360"/>
      </w:pPr>
    </w:lvl>
    <w:lvl w:ilvl="4" w:tplc="A96405AE" w:tentative="1">
      <w:start w:val="1"/>
      <w:numFmt w:val="lowerLetter"/>
      <w:lvlText w:val="%5."/>
      <w:lvlJc w:val="left"/>
      <w:pPr>
        <w:ind w:left="3240" w:hanging="360"/>
      </w:pPr>
    </w:lvl>
    <w:lvl w:ilvl="5" w:tplc="66007710" w:tentative="1">
      <w:start w:val="1"/>
      <w:numFmt w:val="lowerRoman"/>
      <w:lvlText w:val="%6."/>
      <w:lvlJc w:val="right"/>
      <w:pPr>
        <w:ind w:left="3960" w:hanging="180"/>
      </w:pPr>
    </w:lvl>
    <w:lvl w:ilvl="6" w:tplc="08B0B118" w:tentative="1">
      <w:start w:val="1"/>
      <w:numFmt w:val="decimal"/>
      <w:lvlText w:val="%7."/>
      <w:lvlJc w:val="left"/>
      <w:pPr>
        <w:ind w:left="4680" w:hanging="360"/>
      </w:pPr>
    </w:lvl>
    <w:lvl w:ilvl="7" w:tplc="73E6B7F0" w:tentative="1">
      <w:start w:val="1"/>
      <w:numFmt w:val="lowerLetter"/>
      <w:lvlText w:val="%8."/>
      <w:lvlJc w:val="left"/>
      <w:pPr>
        <w:ind w:left="5400" w:hanging="360"/>
      </w:pPr>
    </w:lvl>
    <w:lvl w:ilvl="8" w:tplc="F35215C6" w:tentative="1">
      <w:start w:val="1"/>
      <w:numFmt w:val="lowerRoman"/>
      <w:lvlText w:val="%9."/>
      <w:lvlJc w:val="right"/>
      <w:pPr>
        <w:ind w:left="6120" w:hanging="180"/>
      </w:pPr>
    </w:lvl>
  </w:abstractNum>
  <w:abstractNum w:abstractNumId="11" w15:restartNumberingAfterBreak="0">
    <w:nsid w:val="54B84B73"/>
    <w:multiLevelType w:val="multilevel"/>
    <w:tmpl w:val="63D2FBD0"/>
    <w:numStyleLink w:val="ISBullets"/>
  </w:abstractNum>
  <w:abstractNum w:abstractNumId="12" w15:restartNumberingAfterBreak="0">
    <w:nsid w:val="55765295"/>
    <w:multiLevelType w:val="hybridMultilevel"/>
    <w:tmpl w:val="B3FC6A86"/>
    <w:lvl w:ilvl="0" w:tplc="573E4DC0">
      <w:start w:val="1"/>
      <w:numFmt w:val="bullet"/>
      <w:lvlText w:val=""/>
      <w:lvlJc w:val="left"/>
      <w:pPr>
        <w:ind w:left="1440" w:hanging="360"/>
      </w:pPr>
      <w:rPr>
        <w:rFonts w:ascii="Symbol" w:hAnsi="Symbol" w:hint="default"/>
      </w:rPr>
    </w:lvl>
    <w:lvl w:ilvl="1" w:tplc="58B45A46">
      <w:start w:val="1"/>
      <w:numFmt w:val="bullet"/>
      <w:lvlText w:val="o"/>
      <w:lvlJc w:val="left"/>
      <w:pPr>
        <w:ind w:left="2160" w:hanging="360"/>
      </w:pPr>
      <w:rPr>
        <w:rFonts w:ascii="Courier New" w:hAnsi="Courier New" w:cs="Courier New" w:hint="default"/>
      </w:rPr>
    </w:lvl>
    <w:lvl w:ilvl="2" w:tplc="B41C1908">
      <w:start w:val="1"/>
      <w:numFmt w:val="bullet"/>
      <w:lvlText w:val=""/>
      <w:lvlJc w:val="left"/>
      <w:pPr>
        <w:ind w:left="2880" w:hanging="360"/>
      </w:pPr>
      <w:rPr>
        <w:rFonts w:ascii="Wingdings" w:hAnsi="Wingdings" w:hint="default"/>
      </w:rPr>
    </w:lvl>
    <w:lvl w:ilvl="3" w:tplc="D07CDFBE">
      <w:start w:val="1"/>
      <w:numFmt w:val="bullet"/>
      <w:lvlText w:val=""/>
      <w:lvlJc w:val="left"/>
      <w:pPr>
        <w:ind w:left="3600" w:hanging="360"/>
      </w:pPr>
      <w:rPr>
        <w:rFonts w:ascii="Symbol" w:hAnsi="Symbol" w:hint="default"/>
      </w:rPr>
    </w:lvl>
    <w:lvl w:ilvl="4" w:tplc="15AA7004">
      <w:start w:val="1"/>
      <w:numFmt w:val="bullet"/>
      <w:lvlText w:val="o"/>
      <w:lvlJc w:val="left"/>
      <w:pPr>
        <w:ind w:left="4320" w:hanging="360"/>
      </w:pPr>
      <w:rPr>
        <w:rFonts w:ascii="Courier New" w:hAnsi="Courier New" w:cs="Courier New" w:hint="default"/>
      </w:rPr>
    </w:lvl>
    <w:lvl w:ilvl="5" w:tplc="B98A7C20">
      <w:start w:val="1"/>
      <w:numFmt w:val="bullet"/>
      <w:lvlText w:val=""/>
      <w:lvlJc w:val="left"/>
      <w:pPr>
        <w:ind w:left="5040" w:hanging="360"/>
      </w:pPr>
      <w:rPr>
        <w:rFonts w:ascii="Wingdings" w:hAnsi="Wingdings" w:hint="default"/>
      </w:rPr>
    </w:lvl>
    <w:lvl w:ilvl="6" w:tplc="54C43562">
      <w:start w:val="1"/>
      <w:numFmt w:val="bullet"/>
      <w:lvlText w:val=""/>
      <w:lvlJc w:val="left"/>
      <w:pPr>
        <w:ind w:left="5760" w:hanging="360"/>
      </w:pPr>
      <w:rPr>
        <w:rFonts w:ascii="Symbol" w:hAnsi="Symbol" w:hint="default"/>
      </w:rPr>
    </w:lvl>
    <w:lvl w:ilvl="7" w:tplc="7D720F60">
      <w:start w:val="1"/>
      <w:numFmt w:val="bullet"/>
      <w:lvlText w:val="o"/>
      <w:lvlJc w:val="left"/>
      <w:pPr>
        <w:ind w:left="6480" w:hanging="360"/>
      </w:pPr>
      <w:rPr>
        <w:rFonts w:ascii="Courier New" w:hAnsi="Courier New" w:cs="Courier New" w:hint="default"/>
      </w:rPr>
    </w:lvl>
    <w:lvl w:ilvl="8" w:tplc="1CB22E50">
      <w:start w:val="1"/>
      <w:numFmt w:val="bullet"/>
      <w:lvlText w:val=""/>
      <w:lvlJc w:val="left"/>
      <w:pPr>
        <w:ind w:left="7200" w:hanging="360"/>
      </w:pPr>
      <w:rPr>
        <w:rFonts w:ascii="Wingdings" w:hAnsi="Wingdings" w:hint="default"/>
      </w:rPr>
    </w:lvl>
  </w:abstractNum>
  <w:abstractNum w:abstractNumId="13" w15:restartNumberingAfterBreak="0">
    <w:nsid w:val="56012661"/>
    <w:multiLevelType w:val="hybridMultilevel"/>
    <w:tmpl w:val="C4A69656"/>
    <w:lvl w:ilvl="0" w:tplc="10224A5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D20736"/>
    <w:multiLevelType w:val="hybridMultilevel"/>
    <w:tmpl w:val="D0D03944"/>
    <w:lvl w:ilvl="0" w:tplc="7A2C7C8C">
      <w:start w:val="1"/>
      <w:numFmt w:val="bullet"/>
      <w:lvlText w:val=""/>
      <w:lvlJc w:val="left"/>
      <w:pPr>
        <w:ind w:left="1800" w:hanging="360"/>
      </w:pPr>
      <w:rPr>
        <w:rFonts w:ascii="Symbol" w:hAnsi="Symbol" w:hint="default"/>
      </w:rPr>
    </w:lvl>
    <w:lvl w:ilvl="1" w:tplc="7BEA32E0">
      <w:start w:val="1"/>
      <w:numFmt w:val="bullet"/>
      <w:lvlText w:val="o"/>
      <w:lvlJc w:val="left"/>
      <w:pPr>
        <w:ind w:left="2520" w:hanging="360"/>
      </w:pPr>
      <w:rPr>
        <w:rFonts w:ascii="Courier New" w:hAnsi="Courier New" w:cs="Courier New" w:hint="default"/>
      </w:rPr>
    </w:lvl>
    <w:lvl w:ilvl="2" w:tplc="1BB8B466">
      <w:start w:val="1"/>
      <w:numFmt w:val="bullet"/>
      <w:lvlText w:val=""/>
      <w:lvlJc w:val="left"/>
      <w:pPr>
        <w:ind w:left="3240" w:hanging="360"/>
      </w:pPr>
      <w:rPr>
        <w:rFonts w:ascii="Wingdings" w:hAnsi="Wingdings" w:hint="default"/>
      </w:rPr>
    </w:lvl>
    <w:lvl w:ilvl="3" w:tplc="610C88CA">
      <w:start w:val="1"/>
      <w:numFmt w:val="bullet"/>
      <w:lvlText w:val=""/>
      <w:lvlJc w:val="left"/>
      <w:pPr>
        <w:ind w:left="3960" w:hanging="360"/>
      </w:pPr>
      <w:rPr>
        <w:rFonts w:ascii="Symbol" w:hAnsi="Symbol" w:hint="default"/>
      </w:rPr>
    </w:lvl>
    <w:lvl w:ilvl="4" w:tplc="3BB02688">
      <w:start w:val="1"/>
      <w:numFmt w:val="bullet"/>
      <w:lvlText w:val="o"/>
      <w:lvlJc w:val="left"/>
      <w:pPr>
        <w:ind w:left="4680" w:hanging="360"/>
      </w:pPr>
      <w:rPr>
        <w:rFonts w:ascii="Courier New" w:hAnsi="Courier New" w:cs="Courier New" w:hint="default"/>
      </w:rPr>
    </w:lvl>
    <w:lvl w:ilvl="5" w:tplc="B202908E">
      <w:start w:val="1"/>
      <w:numFmt w:val="bullet"/>
      <w:lvlText w:val=""/>
      <w:lvlJc w:val="left"/>
      <w:pPr>
        <w:ind w:left="5400" w:hanging="360"/>
      </w:pPr>
      <w:rPr>
        <w:rFonts w:ascii="Wingdings" w:hAnsi="Wingdings" w:hint="default"/>
      </w:rPr>
    </w:lvl>
    <w:lvl w:ilvl="6" w:tplc="0AEEA1A0">
      <w:start w:val="1"/>
      <w:numFmt w:val="bullet"/>
      <w:lvlText w:val=""/>
      <w:lvlJc w:val="left"/>
      <w:pPr>
        <w:ind w:left="6120" w:hanging="360"/>
      </w:pPr>
      <w:rPr>
        <w:rFonts w:ascii="Symbol" w:hAnsi="Symbol" w:hint="default"/>
      </w:rPr>
    </w:lvl>
    <w:lvl w:ilvl="7" w:tplc="F7006F5C">
      <w:start w:val="1"/>
      <w:numFmt w:val="bullet"/>
      <w:lvlText w:val="o"/>
      <w:lvlJc w:val="left"/>
      <w:pPr>
        <w:ind w:left="6840" w:hanging="360"/>
      </w:pPr>
      <w:rPr>
        <w:rFonts w:ascii="Courier New" w:hAnsi="Courier New" w:cs="Courier New" w:hint="default"/>
      </w:rPr>
    </w:lvl>
    <w:lvl w:ilvl="8" w:tplc="A4E68A84">
      <w:start w:val="1"/>
      <w:numFmt w:val="bullet"/>
      <w:lvlText w:val=""/>
      <w:lvlJc w:val="left"/>
      <w:pPr>
        <w:ind w:left="7560" w:hanging="360"/>
      </w:pPr>
      <w:rPr>
        <w:rFonts w:ascii="Wingdings" w:hAnsi="Wingdings" w:hint="default"/>
      </w:rPr>
    </w:lvl>
  </w:abstractNum>
  <w:abstractNum w:abstractNumId="15" w15:restartNumberingAfterBreak="0">
    <w:nsid w:val="60B25EDA"/>
    <w:multiLevelType w:val="hybridMultilevel"/>
    <w:tmpl w:val="E070A6F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62D25F1D"/>
    <w:multiLevelType w:val="hybridMultilevel"/>
    <w:tmpl w:val="D6B6A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1A5D07"/>
    <w:multiLevelType w:val="hybridMultilevel"/>
    <w:tmpl w:val="012087C6"/>
    <w:lvl w:ilvl="0" w:tplc="92E023F8">
      <w:start w:val="1"/>
      <w:numFmt w:val="decimal"/>
      <w:lvlText w:val="%1."/>
      <w:lvlJc w:val="left"/>
      <w:pPr>
        <w:ind w:left="720" w:hanging="360"/>
      </w:pPr>
      <w:rPr>
        <w:rFonts w:hint="default"/>
      </w:rPr>
    </w:lvl>
    <w:lvl w:ilvl="1" w:tplc="676035D0" w:tentative="1">
      <w:start w:val="1"/>
      <w:numFmt w:val="lowerLetter"/>
      <w:lvlText w:val="%2."/>
      <w:lvlJc w:val="left"/>
      <w:pPr>
        <w:ind w:left="1440" w:hanging="360"/>
      </w:pPr>
    </w:lvl>
    <w:lvl w:ilvl="2" w:tplc="BDA61FD0" w:tentative="1">
      <w:start w:val="1"/>
      <w:numFmt w:val="lowerRoman"/>
      <w:lvlText w:val="%3."/>
      <w:lvlJc w:val="right"/>
      <w:pPr>
        <w:ind w:left="2160" w:hanging="180"/>
      </w:pPr>
    </w:lvl>
    <w:lvl w:ilvl="3" w:tplc="BFFE103C" w:tentative="1">
      <w:start w:val="1"/>
      <w:numFmt w:val="decimal"/>
      <w:lvlText w:val="%4."/>
      <w:lvlJc w:val="left"/>
      <w:pPr>
        <w:ind w:left="2880" w:hanging="360"/>
      </w:pPr>
    </w:lvl>
    <w:lvl w:ilvl="4" w:tplc="51F0FC52" w:tentative="1">
      <w:start w:val="1"/>
      <w:numFmt w:val="lowerLetter"/>
      <w:lvlText w:val="%5."/>
      <w:lvlJc w:val="left"/>
      <w:pPr>
        <w:ind w:left="3600" w:hanging="360"/>
      </w:pPr>
    </w:lvl>
    <w:lvl w:ilvl="5" w:tplc="7A628194" w:tentative="1">
      <w:start w:val="1"/>
      <w:numFmt w:val="lowerRoman"/>
      <w:lvlText w:val="%6."/>
      <w:lvlJc w:val="right"/>
      <w:pPr>
        <w:ind w:left="4320" w:hanging="180"/>
      </w:pPr>
    </w:lvl>
    <w:lvl w:ilvl="6" w:tplc="89B45184" w:tentative="1">
      <w:start w:val="1"/>
      <w:numFmt w:val="decimal"/>
      <w:lvlText w:val="%7."/>
      <w:lvlJc w:val="left"/>
      <w:pPr>
        <w:ind w:left="5040" w:hanging="360"/>
      </w:pPr>
    </w:lvl>
    <w:lvl w:ilvl="7" w:tplc="B33A6614" w:tentative="1">
      <w:start w:val="1"/>
      <w:numFmt w:val="lowerLetter"/>
      <w:lvlText w:val="%8."/>
      <w:lvlJc w:val="left"/>
      <w:pPr>
        <w:ind w:left="5760" w:hanging="360"/>
      </w:pPr>
    </w:lvl>
    <w:lvl w:ilvl="8" w:tplc="8068B852"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24402C44">
      <w:start w:val="1"/>
      <w:numFmt w:val="decimal"/>
      <w:lvlText w:val="%1."/>
      <w:lvlJc w:val="left"/>
      <w:pPr>
        <w:ind w:left="720" w:hanging="360"/>
      </w:pPr>
      <w:rPr>
        <w:rFonts w:ascii="Times New Roman" w:hAnsi="Times New Roman" w:cs="Times New Roman" w:hint="default"/>
      </w:rPr>
    </w:lvl>
    <w:lvl w:ilvl="1" w:tplc="9FA859E6" w:tentative="1">
      <w:start w:val="1"/>
      <w:numFmt w:val="lowerLetter"/>
      <w:lvlText w:val="%2."/>
      <w:lvlJc w:val="left"/>
      <w:pPr>
        <w:ind w:left="1440" w:hanging="360"/>
      </w:pPr>
    </w:lvl>
    <w:lvl w:ilvl="2" w:tplc="6610DE34" w:tentative="1">
      <w:start w:val="1"/>
      <w:numFmt w:val="lowerRoman"/>
      <w:lvlText w:val="%3."/>
      <w:lvlJc w:val="right"/>
      <w:pPr>
        <w:ind w:left="2160" w:hanging="180"/>
      </w:pPr>
    </w:lvl>
    <w:lvl w:ilvl="3" w:tplc="06AA20E8" w:tentative="1">
      <w:start w:val="1"/>
      <w:numFmt w:val="decimal"/>
      <w:lvlText w:val="%4."/>
      <w:lvlJc w:val="left"/>
      <w:pPr>
        <w:ind w:left="2880" w:hanging="360"/>
      </w:pPr>
    </w:lvl>
    <w:lvl w:ilvl="4" w:tplc="CF6E2C3A" w:tentative="1">
      <w:start w:val="1"/>
      <w:numFmt w:val="lowerLetter"/>
      <w:lvlText w:val="%5."/>
      <w:lvlJc w:val="left"/>
      <w:pPr>
        <w:ind w:left="3600" w:hanging="360"/>
      </w:pPr>
    </w:lvl>
    <w:lvl w:ilvl="5" w:tplc="39C46320" w:tentative="1">
      <w:start w:val="1"/>
      <w:numFmt w:val="lowerRoman"/>
      <w:lvlText w:val="%6."/>
      <w:lvlJc w:val="right"/>
      <w:pPr>
        <w:ind w:left="4320" w:hanging="180"/>
      </w:pPr>
    </w:lvl>
    <w:lvl w:ilvl="6" w:tplc="1EE23512" w:tentative="1">
      <w:start w:val="1"/>
      <w:numFmt w:val="decimal"/>
      <w:lvlText w:val="%7."/>
      <w:lvlJc w:val="left"/>
      <w:pPr>
        <w:ind w:left="5040" w:hanging="360"/>
      </w:pPr>
    </w:lvl>
    <w:lvl w:ilvl="7" w:tplc="5BB20D8C" w:tentative="1">
      <w:start w:val="1"/>
      <w:numFmt w:val="lowerLetter"/>
      <w:lvlText w:val="%8."/>
      <w:lvlJc w:val="left"/>
      <w:pPr>
        <w:ind w:left="5760" w:hanging="360"/>
      </w:pPr>
    </w:lvl>
    <w:lvl w:ilvl="8" w:tplc="097C246E" w:tentative="1">
      <w:start w:val="1"/>
      <w:numFmt w:val="lowerRoman"/>
      <w:lvlText w:val="%9."/>
      <w:lvlJc w:val="right"/>
      <w:pPr>
        <w:ind w:left="6480" w:hanging="180"/>
      </w:pPr>
    </w:lvl>
  </w:abstractNum>
  <w:abstractNum w:abstractNumId="19" w15:restartNumberingAfterBreak="0">
    <w:nsid w:val="72091DB4"/>
    <w:multiLevelType w:val="hybridMultilevel"/>
    <w:tmpl w:val="2DE871D0"/>
    <w:lvl w:ilvl="0" w:tplc="1C40073A">
      <w:start w:val="1"/>
      <w:numFmt w:val="decimal"/>
      <w:lvlText w:val="%1)"/>
      <w:lvlJc w:val="left"/>
      <w:pPr>
        <w:ind w:left="720" w:hanging="360"/>
      </w:pPr>
      <w:rPr>
        <w:rFonts w:hint="default"/>
      </w:rPr>
    </w:lvl>
    <w:lvl w:ilvl="1" w:tplc="8D92A6BC" w:tentative="1">
      <w:start w:val="1"/>
      <w:numFmt w:val="lowerLetter"/>
      <w:lvlText w:val="%2."/>
      <w:lvlJc w:val="left"/>
      <w:pPr>
        <w:ind w:left="1440" w:hanging="360"/>
      </w:pPr>
    </w:lvl>
    <w:lvl w:ilvl="2" w:tplc="E7F432B2" w:tentative="1">
      <w:start w:val="1"/>
      <w:numFmt w:val="lowerRoman"/>
      <w:lvlText w:val="%3."/>
      <w:lvlJc w:val="right"/>
      <w:pPr>
        <w:ind w:left="2160" w:hanging="180"/>
      </w:pPr>
    </w:lvl>
    <w:lvl w:ilvl="3" w:tplc="5C1CFE6C" w:tentative="1">
      <w:start w:val="1"/>
      <w:numFmt w:val="decimal"/>
      <w:lvlText w:val="%4."/>
      <w:lvlJc w:val="left"/>
      <w:pPr>
        <w:ind w:left="2880" w:hanging="360"/>
      </w:pPr>
    </w:lvl>
    <w:lvl w:ilvl="4" w:tplc="4168983A" w:tentative="1">
      <w:start w:val="1"/>
      <w:numFmt w:val="lowerLetter"/>
      <w:lvlText w:val="%5."/>
      <w:lvlJc w:val="left"/>
      <w:pPr>
        <w:ind w:left="3600" w:hanging="360"/>
      </w:pPr>
    </w:lvl>
    <w:lvl w:ilvl="5" w:tplc="77B4AAE6" w:tentative="1">
      <w:start w:val="1"/>
      <w:numFmt w:val="lowerRoman"/>
      <w:lvlText w:val="%6."/>
      <w:lvlJc w:val="right"/>
      <w:pPr>
        <w:ind w:left="4320" w:hanging="180"/>
      </w:pPr>
    </w:lvl>
    <w:lvl w:ilvl="6" w:tplc="E7541C86" w:tentative="1">
      <w:start w:val="1"/>
      <w:numFmt w:val="decimal"/>
      <w:lvlText w:val="%7."/>
      <w:lvlJc w:val="left"/>
      <w:pPr>
        <w:ind w:left="5040" w:hanging="360"/>
      </w:pPr>
    </w:lvl>
    <w:lvl w:ilvl="7" w:tplc="AA4EE1DC" w:tentative="1">
      <w:start w:val="1"/>
      <w:numFmt w:val="lowerLetter"/>
      <w:lvlText w:val="%8."/>
      <w:lvlJc w:val="left"/>
      <w:pPr>
        <w:ind w:left="5760" w:hanging="360"/>
      </w:pPr>
    </w:lvl>
    <w:lvl w:ilvl="8" w:tplc="41DC1558" w:tentative="1">
      <w:start w:val="1"/>
      <w:numFmt w:val="lowerRoman"/>
      <w:lvlText w:val="%9."/>
      <w:lvlJc w:val="right"/>
      <w:pPr>
        <w:ind w:left="6480" w:hanging="180"/>
      </w:pPr>
    </w:lvl>
  </w:abstractNum>
  <w:abstractNum w:abstractNumId="20" w15:restartNumberingAfterBreak="0">
    <w:nsid w:val="78983F18"/>
    <w:multiLevelType w:val="hybridMultilevel"/>
    <w:tmpl w:val="24A43166"/>
    <w:lvl w:ilvl="0" w:tplc="48A2D1B4">
      <w:start w:val="1"/>
      <w:numFmt w:val="decimal"/>
      <w:lvlText w:val="%1)"/>
      <w:lvlJc w:val="left"/>
      <w:pPr>
        <w:ind w:left="720" w:hanging="360"/>
      </w:pPr>
      <w:rPr>
        <w:rFonts w:hint="default"/>
      </w:rPr>
    </w:lvl>
    <w:lvl w:ilvl="1" w:tplc="902EB83A" w:tentative="1">
      <w:start w:val="1"/>
      <w:numFmt w:val="lowerLetter"/>
      <w:lvlText w:val="%2."/>
      <w:lvlJc w:val="left"/>
      <w:pPr>
        <w:ind w:left="1440" w:hanging="360"/>
      </w:pPr>
    </w:lvl>
    <w:lvl w:ilvl="2" w:tplc="2F006C5C" w:tentative="1">
      <w:start w:val="1"/>
      <w:numFmt w:val="lowerRoman"/>
      <w:lvlText w:val="%3."/>
      <w:lvlJc w:val="right"/>
      <w:pPr>
        <w:ind w:left="2160" w:hanging="180"/>
      </w:pPr>
    </w:lvl>
    <w:lvl w:ilvl="3" w:tplc="78B89FCC" w:tentative="1">
      <w:start w:val="1"/>
      <w:numFmt w:val="decimal"/>
      <w:lvlText w:val="%4."/>
      <w:lvlJc w:val="left"/>
      <w:pPr>
        <w:ind w:left="2880" w:hanging="360"/>
      </w:pPr>
    </w:lvl>
    <w:lvl w:ilvl="4" w:tplc="DFCA0AB6" w:tentative="1">
      <w:start w:val="1"/>
      <w:numFmt w:val="lowerLetter"/>
      <w:lvlText w:val="%5."/>
      <w:lvlJc w:val="left"/>
      <w:pPr>
        <w:ind w:left="3600" w:hanging="360"/>
      </w:pPr>
    </w:lvl>
    <w:lvl w:ilvl="5" w:tplc="2E2E131A" w:tentative="1">
      <w:start w:val="1"/>
      <w:numFmt w:val="lowerRoman"/>
      <w:lvlText w:val="%6."/>
      <w:lvlJc w:val="right"/>
      <w:pPr>
        <w:ind w:left="4320" w:hanging="180"/>
      </w:pPr>
    </w:lvl>
    <w:lvl w:ilvl="6" w:tplc="489A9F6E" w:tentative="1">
      <w:start w:val="1"/>
      <w:numFmt w:val="decimal"/>
      <w:lvlText w:val="%7."/>
      <w:lvlJc w:val="left"/>
      <w:pPr>
        <w:ind w:left="5040" w:hanging="360"/>
      </w:pPr>
    </w:lvl>
    <w:lvl w:ilvl="7" w:tplc="DC008AD8" w:tentative="1">
      <w:start w:val="1"/>
      <w:numFmt w:val="lowerLetter"/>
      <w:lvlText w:val="%8."/>
      <w:lvlJc w:val="left"/>
      <w:pPr>
        <w:ind w:left="5760" w:hanging="360"/>
      </w:pPr>
    </w:lvl>
    <w:lvl w:ilvl="8" w:tplc="0688ED6E" w:tentative="1">
      <w:start w:val="1"/>
      <w:numFmt w:val="lowerRoman"/>
      <w:lvlText w:val="%9."/>
      <w:lvlJc w:val="right"/>
      <w:pPr>
        <w:ind w:left="6480" w:hanging="180"/>
      </w:pPr>
    </w:lvl>
  </w:abstractNum>
  <w:abstractNum w:abstractNumId="21"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A613DA5"/>
    <w:multiLevelType w:val="hybridMultilevel"/>
    <w:tmpl w:val="55506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AC62C0"/>
    <w:multiLevelType w:val="hybridMultilevel"/>
    <w:tmpl w:val="500E8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12"/>
  </w:num>
  <w:num w:numId="6">
    <w:abstractNumId w:val="14"/>
  </w:num>
  <w:num w:numId="7">
    <w:abstractNumId w:val="20"/>
  </w:num>
  <w:num w:numId="8">
    <w:abstractNumId w:val="19"/>
  </w:num>
  <w:num w:numId="9">
    <w:abstractNumId w:val="18"/>
  </w:num>
  <w:num w:numId="10">
    <w:abstractNumId w:val="17"/>
  </w:num>
  <w:num w:numId="11">
    <w:abstractNumId w:val="7"/>
  </w:num>
  <w:num w:numId="12">
    <w:abstractNumId w:val="23"/>
  </w:num>
  <w:num w:numId="13">
    <w:abstractNumId w:val="6"/>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3"/>
  </w:num>
  <w:num w:numId="19">
    <w:abstractNumId w:val="15"/>
  </w:num>
  <w:num w:numId="20">
    <w:abstractNumId w:val="5"/>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drawingGridHorizontalSpacing w:val="120"/>
  <w:displayHorizontalDrawingGridEvery w:val="2"/>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42"/>
    <w:rsid w:val="00003C1D"/>
    <w:rsid w:val="00004152"/>
    <w:rsid w:val="00004692"/>
    <w:rsid w:val="00006012"/>
    <w:rsid w:val="00006EF8"/>
    <w:rsid w:val="000108B2"/>
    <w:rsid w:val="0001178F"/>
    <w:rsid w:val="000303E5"/>
    <w:rsid w:val="00044049"/>
    <w:rsid w:val="000552B8"/>
    <w:rsid w:val="00056CFC"/>
    <w:rsid w:val="0006211E"/>
    <w:rsid w:val="0006318C"/>
    <w:rsid w:val="00074497"/>
    <w:rsid w:val="00080355"/>
    <w:rsid w:val="00082262"/>
    <w:rsid w:val="000865F5"/>
    <w:rsid w:val="00091B69"/>
    <w:rsid w:val="000955EE"/>
    <w:rsid w:val="000A282D"/>
    <w:rsid w:val="000A57D7"/>
    <w:rsid w:val="000C4F76"/>
    <w:rsid w:val="000C623A"/>
    <w:rsid w:val="000C6A78"/>
    <w:rsid w:val="000F068B"/>
    <w:rsid w:val="000F175E"/>
    <w:rsid w:val="000F44B7"/>
    <w:rsid w:val="00100DC2"/>
    <w:rsid w:val="0010266B"/>
    <w:rsid w:val="00107CFD"/>
    <w:rsid w:val="00134823"/>
    <w:rsid w:val="00157897"/>
    <w:rsid w:val="0016082D"/>
    <w:rsid w:val="001717AE"/>
    <w:rsid w:val="0017738C"/>
    <w:rsid w:val="001776E0"/>
    <w:rsid w:val="00177ED0"/>
    <w:rsid w:val="001813BF"/>
    <w:rsid w:val="00181FB4"/>
    <w:rsid w:val="001828AE"/>
    <w:rsid w:val="001847BD"/>
    <w:rsid w:val="001918AA"/>
    <w:rsid w:val="00195E87"/>
    <w:rsid w:val="001A0783"/>
    <w:rsid w:val="001A43FD"/>
    <w:rsid w:val="001A4602"/>
    <w:rsid w:val="001A727B"/>
    <w:rsid w:val="001B0AAA"/>
    <w:rsid w:val="001B11E1"/>
    <w:rsid w:val="001B2970"/>
    <w:rsid w:val="001B5FE8"/>
    <w:rsid w:val="001B77DD"/>
    <w:rsid w:val="001C0374"/>
    <w:rsid w:val="001C793C"/>
    <w:rsid w:val="001D7EE1"/>
    <w:rsid w:val="001E451C"/>
    <w:rsid w:val="001F3B4B"/>
    <w:rsid w:val="001F6748"/>
    <w:rsid w:val="0020171E"/>
    <w:rsid w:val="00205A24"/>
    <w:rsid w:val="00212731"/>
    <w:rsid w:val="002165B2"/>
    <w:rsid w:val="002235FF"/>
    <w:rsid w:val="002238EC"/>
    <w:rsid w:val="0023313C"/>
    <w:rsid w:val="00234407"/>
    <w:rsid w:val="00235911"/>
    <w:rsid w:val="002432C8"/>
    <w:rsid w:val="0025044C"/>
    <w:rsid w:val="00250B6B"/>
    <w:rsid w:val="00251F57"/>
    <w:rsid w:val="002573CD"/>
    <w:rsid w:val="00262A71"/>
    <w:rsid w:val="002635B8"/>
    <w:rsid w:val="00264384"/>
    <w:rsid w:val="00264C93"/>
    <w:rsid w:val="00265E2C"/>
    <w:rsid w:val="00267D26"/>
    <w:rsid w:val="0027789B"/>
    <w:rsid w:val="00284FEB"/>
    <w:rsid w:val="0028655B"/>
    <w:rsid w:val="0028675A"/>
    <w:rsid w:val="0029382D"/>
    <w:rsid w:val="002A1E65"/>
    <w:rsid w:val="002A257D"/>
    <w:rsid w:val="002A6878"/>
    <w:rsid w:val="002A7410"/>
    <w:rsid w:val="002A74FB"/>
    <w:rsid w:val="002B723C"/>
    <w:rsid w:val="002C1EEF"/>
    <w:rsid w:val="002C6F48"/>
    <w:rsid w:val="002C79D4"/>
    <w:rsid w:val="002D1326"/>
    <w:rsid w:val="002D4C58"/>
    <w:rsid w:val="002D61C6"/>
    <w:rsid w:val="002E25FB"/>
    <w:rsid w:val="002E282E"/>
    <w:rsid w:val="002E6C71"/>
    <w:rsid w:val="002F5318"/>
    <w:rsid w:val="002F7A75"/>
    <w:rsid w:val="00303153"/>
    <w:rsid w:val="003036D5"/>
    <w:rsid w:val="00303A24"/>
    <w:rsid w:val="003067D8"/>
    <w:rsid w:val="003123C8"/>
    <w:rsid w:val="0031362C"/>
    <w:rsid w:val="003160D1"/>
    <w:rsid w:val="00317A0C"/>
    <w:rsid w:val="003217FF"/>
    <w:rsid w:val="00325CE6"/>
    <w:rsid w:val="00327F2B"/>
    <w:rsid w:val="003304DC"/>
    <w:rsid w:val="00345DA5"/>
    <w:rsid w:val="00347C40"/>
    <w:rsid w:val="00362CE1"/>
    <w:rsid w:val="00370D1A"/>
    <w:rsid w:val="00372062"/>
    <w:rsid w:val="00380EE9"/>
    <w:rsid w:val="0038685B"/>
    <w:rsid w:val="003869EF"/>
    <w:rsid w:val="0039049A"/>
    <w:rsid w:val="0039058C"/>
    <w:rsid w:val="003940D5"/>
    <w:rsid w:val="0039495A"/>
    <w:rsid w:val="003959F0"/>
    <w:rsid w:val="003A5AF7"/>
    <w:rsid w:val="003D3C98"/>
    <w:rsid w:val="003E07CD"/>
    <w:rsid w:val="003E098A"/>
    <w:rsid w:val="003F1D7F"/>
    <w:rsid w:val="003F2440"/>
    <w:rsid w:val="003F3FB7"/>
    <w:rsid w:val="003F6AC4"/>
    <w:rsid w:val="003F78C2"/>
    <w:rsid w:val="0040413F"/>
    <w:rsid w:val="004111E4"/>
    <w:rsid w:val="00412C21"/>
    <w:rsid w:val="00413F1E"/>
    <w:rsid w:val="004213E2"/>
    <w:rsid w:val="004254E3"/>
    <w:rsid w:val="00463968"/>
    <w:rsid w:val="004676DB"/>
    <w:rsid w:val="004704CC"/>
    <w:rsid w:val="00477482"/>
    <w:rsid w:val="00480A3B"/>
    <w:rsid w:val="004819DD"/>
    <w:rsid w:val="0048361B"/>
    <w:rsid w:val="00483CC0"/>
    <w:rsid w:val="0048728C"/>
    <w:rsid w:val="004966BB"/>
    <w:rsid w:val="00497A44"/>
    <w:rsid w:val="004B2446"/>
    <w:rsid w:val="004B5F64"/>
    <w:rsid w:val="004C079F"/>
    <w:rsid w:val="004C7F79"/>
    <w:rsid w:val="004D27B4"/>
    <w:rsid w:val="004D6E40"/>
    <w:rsid w:val="004E205E"/>
    <w:rsid w:val="004F0676"/>
    <w:rsid w:val="00504589"/>
    <w:rsid w:val="005056BB"/>
    <w:rsid w:val="00507499"/>
    <w:rsid w:val="00510511"/>
    <w:rsid w:val="00510CD8"/>
    <w:rsid w:val="0052070A"/>
    <w:rsid w:val="00525278"/>
    <w:rsid w:val="0053039A"/>
    <w:rsid w:val="00531308"/>
    <w:rsid w:val="005320A4"/>
    <w:rsid w:val="00533A5C"/>
    <w:rsid w:val="0053617E"/>
    <w:rsid w:val="00545800"/>
    <w:rsid w:val="00547678"/>
    <w:rsid w:val="00555441"/>
    <w:rsid w:val="00555941"/>
    <w:rsid w:val="00560A7F"/>
    <w:rsid w:val="00571181"/>
    <w:rsid w:val="005728D5"/>
    <w:rsid w:val="005A1DAD"/>
    <w:rsid w:val="005A7D86"/>
    <w:rsid w:val="005B6AFD"/>
    <w:rsid w:val="005B6DCB"/>
    <w:rsid w:val="005D3FC2"/>
    <w:rsid w:val="005E58ED"/>
    <w:rsid w:val="005F2375"/>
    <w:rsid w:val="005F3785"/>
    <w:rsid w:val="00602317"/>
    <w:rsid w:val="0060631A"/>
    <w:rsid w:val="00610A48"/>
    <w:rsid w:val="00612A98"/>
    <w:rsid w:val="006207B7"/>
    <w:rsid w:val="0063072D"/>
    <w:rsid w:val="0064139E"/>
    <w:rsid w:val="00650274"/>
    <w:rsid w:val="006577C8"/>
    <w:rsid w:val="00657CB5"/>
    <w:rsid w:val="006645A0"/>
    <w:rsid w:val="006658DB"/>
    <w:rsid w:val="00672561"/>
    <w:rsid w:val="00683FD6"/>
    <w:rsid w:val="00686C43"/>
    <w:rsid w:val="00691112"/>
    <w:rsid w:val="006924E2"/>
    <w:rsid w:val="006970A2"/>
    <w:rsid w:val="006A213C"/>
    <w:rsid w:val="006B1D2A"/>
    <w:rsid w:val="006D1988"/>
    <w:rsid w:val="006D31D1"/>
    <w:rsid w:val="006D480B"/>
    <w:rsid w:val="006D5318"/>
    <w:rsid w:val="006D79F7"/>
    <w:rsid w:val="006F0CCA"/>
    <w:rsid w:val="006F564C"/>
    <w:rsid w:val="007009C1"/>
    <w:rsid w:val="00701044"/>
    <w:rsid w:val="00702F21"/>
    <w:rsid w:val="00717231"/>
    <w:rsid w:val="00717C64"/>
    <w:rsid w:val="00721409"/>
    <w:rsid w:val="00726489"/>
    <w:rsid w:val="0073083B"/>
    <w:rsid w:val="0073213A"/>
    <w:rsid w:val="00736428"/>
    <w:rsid w:val="00737439"/>
    <w:rsid w:val="00746427"/>
    <w:rsid w:val="007469A2"/>
    <w:rsid w:val="00750A50"/>
    <w:rsid w:val="007569DA"/>
    <w:rsid w:val="007606B8"/>
    <w:rsid w:val="00761BBF"/>
    <w:rsid w:val="00761DED"/>
    <w:rsid w:val="007623ED"/>
    <w:rsid w:val="00764076"/>
    <w:rsid w:val="00764830"/>
    <w:rsid w:val="00764D9F"/>
    <w:rsid w:val="00765BAF"/>
    <w:rsid w:val="00780BDB"/>
    <w:rsid w:val="00780CAA"/>
    <w:rsid w:val="00783189"/>
    <w:rsid w:val="007933DA"/>
    <w:rsid w:val="007948E4"/>
    <w:rsid w:val="00794EA2"/>
    <w:rsid w:val="007A0C93"/>
    <w:rsid w:val="007A0F0F"/>
    <w:rsid w:val="007A4A27"/>
    <w:rsid w:val="007B0318"/>
    <w:rsid w:val="007B2144"/>
    <w:rsid w:val="007B2D4E"/>
    <w:rsid w:val="007C0B00"/>
    <w:rsid w:val="007D363A"/>
    <w:rsid w:val="007E0252"/>
    <w:rsid w:val="007E3824"/>
    <w:rsid w:val="007E7D87"/>
    <w:rsid w:val="007F61C8"/>
    <w:rsid w:val="0080060F"/>
    <w:rsid w:val="0080063E"/>
    <w:rsid w:val="00802D9E"/>
    <w:rsid w:val="00810650"/>
    <w:rsid w:val="00812BF5"/>
    <w:rsid w:val="0082200D"/>
    <w:rsid w:val="008227A5"/>
    <w:rsid w:val="00822D55"/>
    <w:rsid w:val="0083032B"/>
    <w:rsid w:val="0084272E"/>
    <w:rsid w:val="008454B8"/>
    <w:rsid w:val="00870BF5"/>
    <w:rsid w:val="0087190D"/>
    <w:rsid w:val="00872ABF"/>
    <w:rsid w:val="00873A51"/>
    <w:rsid w:val="00874E1E"/>
    <w:rsid w:val="00877526"/>
    <w:rsid w:val="008814C7"/>
    <w:rsid w:val="00881DE5"/>
    <w:rsid w:val="00884F22"/>
    <w:rsid w:val="008934EE"/>
    <w:rsid w:val="00896414"/>
    <w:rsid w:val="00897461"/>
    <w:rsid w:val="008A335B"/>
    <w:rsid w:val="008B27B2"/>
    <w:rsid w:val="008C4A0E"/>
    <w:rsid w:val="008C510F"/>
    <w:rsid w:val="008D2813"/>
    <w:rsid w:val="008E43C3"/>
    <w:rsid w:val="008E6BE4"/>
    <w:rsid w:val="008F08FC"/>
    <w:rsid w:val="008F6704"/>
    <w:rsid w:val="009022F2"/>
    <w:rsid w:val="00902A64"/>
    <w:rsid w:val="00905305"/>
    <w:rsid w:val="00905660"/>
    <w:rsid w:val="0091021E"/>
    <w:rsid w:val="00911EF6"/>
    <w:rsid w:val="00912049"/>
    <w:rsid w:val="009143CA"/>
    <w:rsid w:val="0093399F"/>
    <w:rsid w:val="009340A7"/>
    <w:rsid w:val="00935305"/>
    <w:rsid w:val="009360E5"/>
    <w:rsid w:val="00954710"/>
    <w:rsid w:val="00955F33"/>
    <w:rsid w:val="00960387"/>
    <w:rsid w:val="00960E10"/>
    <w:rsid w:val="00963140"/>
    <w:rsid w:val="0096327B"/>
    <w:rsid w:val="0096392A"/>
    <w:rsid w:val="009829D5"/>
    <w:rsid w:val="009907C8"/>
    <w:rsid w:val="009947A9"/>
    <w:rsid w:val="009966E6"/>
    <w:rsid w:val="009A7F55"/>
    <w:rsid w:val="009B2677"/>
    <w:rsid w:val="009C3F53"/>
    <w:rsid w:val="009C5CFE"/>
    <w:rsid w:val="009C5DA6"/>
    <w:rsid w:val="009E4C99"/>
    <w:rsid w:val="009E5A0D"/>
    <w:rsid w:val="009E5E66"/>
    <w:rsid w:val="009E6037"/>
    <w:rsid w:val="009F0ACA"/>
    <w:rsid w:val="00A005FF"/>
    <w:rsid w:val="00A050B3"/>
    <w:rsid w:val="00A10706"/>
    <w:rsid w:val="00A11FDE"/>
    <w:rsid w:val="00A128FF"/>
    <w:rsid w:val="00A16A3E"/>
    <w:rsid w:val="00A172D5"/>
    <w:rsid w:val="00A178C7"/>
    <w:rsid w:val="00A17A09"/>
    <w:rsid w:val="00A2313D"/>
    <w:rsid w:val="00A27C21"/>
    <w:rsid w:val="00A42ECC"/>
    <w:rsid w:val="00A443D0"/>
    <w:rsid w:val="00A456B1"/>
    <w:rsid w:val="00A51236"/>
    <w:rsid w:val="00A51ED8"/>
    <w:rsid w:val="00A52039"/>
    <w:rsid w:val="00A61D06"/>
    <w:rsid w:val="00A642A7"/>
    <w:rsid w:val="00A64F49"/>
    <w:rsid w:val="00A6795B"/>
    <w:rsid w:val="00A70BB5"/>
    <w:rsid w:val="00A76107"/>
    <w:rsid w:val="00A81329"/>
    <w:rsid w:val="00A84245"/>
    <w:rsid w:val="00A9085D"/>
    <w:rsid w:val="00A92AAD"/>
    <w:rsid w:val="00AC0ADE"/>
    <w:rsid w:val="00AC0D97"/>
    <w:rsid w:val="00AC7C5B"/>
    <w:rsid w:val="00AD74F3"/>
    <w:rsid w:val="00AF566D"/>
    <w:rsid w:val="00AF6ACF"/>
    <w:rsid w:val="00AF6D2D"/>
    <w:rsid w:val="00B025E5"/>
    <w:rsid w:val="00B32AC6"/>
    <w:rsid w:val="00B3715A"/>
    <w:rsid w:val="00B478A7"/>
    <w:rsid w:val="00B5080C"/>
    <w:rsid w:val="00B52C32"/>
    <w:rsid w:val="00B534A0"/>
    <w:rsid w:val="00B60EB7"/>
    <w:rsid w:val="00B62717"/>
    <w:rsid w:val="00B64601"/>
    <w:rsid w:val="00B65DBE"/>
    <w:rsid w:val="00B76596"/>
    <w:rsid w:val="00B77922"/>
    <w:rsid w:val="00B86156"/>
    <w:rsid w:val="00B86777"/>
    <w:rsid w:val="00B86B3C"/>
    <w:rsid w:val="00B91DC0"/>
    <w:rsid w:val="00BA39EC"/>
    <w:rsid w:val="00BB21C0"/>
    <w:rsid w:val="00BB34A0"/>
    <w:rsid w:val="00BB38E0"/>
    <w:rsid w:val="00BB3C79"/>
    <w:rsid w:val="00BB78F2"/>
    <w:rsid w:val="00BC458C"/>
    <w:rsid w:val="00BD200E"/>
    <w:rsid w:val="00BD50EE"/>
    <w:rsid w:val="00BE0343"/>
    <w:rsid w:val="00BE4CF4"/>
    <w:rsid w:val="00BF36EC"/>
    <w:rsid w:val="00BF5FC2"/>
    <w:rsid w:val="00BF7742"/>
    <w:rsid w:val="00C105CD"/>
    <w:rsid w:val="00C13272"/>
    <w:rsid w:val="00C21EC3"/>
    <w:rsid w:val="00C23BE5"/>
    <w:rsid w:val="00C30BAC"/>
    <w:rsid w:val="00C36A7D"/>
    <w:rsid w:val="00C55C88"/>
    <w:rsid w:val="00C619B2"/>
    <w:rsid w:val="00C62C99"/>
    <w:rsid w:val="00C63ED1"/>
    <w:rsid w:val="00C65049"/>
    <w:rsid w:val="00C72FE4"/>
    <w:rsid w:val="00C75000"/>
    <w:rsid w:val="00C76F44"/>
    <w:rsid w:val="00C821D7"/>
    <w:rsid w:val="00C86BF2"/>
    <w:rsid w:val="00C92AAC"/>
    <w:rsid w:val="00C92EC9"/>
    <w:rsid w:val="00C93B46"/>
    <w:rsid w:val="00C95DAD"/>
    <w:rsid w:val="00CA48D7"/>
    <w:rsid w:val="00CC009D"/>
    <w:rsid w:val="00CC6456"/>
    <w:rsid w:val="00CC6D74"/>
    <w:rsid w:val="00CD2CBA"/>
    <w:rsid w:val="00CE1E80"/>
    <w:rsid w:val="00CE321C"/>
    <w:rsid w:val="00CE4401"/>
    <w:rsid w:val="00CE581A"/>
    <w:rsid w:val="00CE5FED"/>
    <w:rsid w:val="00CE6C3D"/>
    <w:rsid w:val="00CF305A"/>
    <w:rsid w:val="00CF7899"/>
    <w:rsid w:val="00D0388D"/>
    <w:rsid w:val="00D12E89"/>
    <w:rsid w:val="00D14662"/>
    <w:rsid w:val="00D1564B"/>
    <w:rsid w:val="00D24BCA"/>
    <w:rsid w:val="00D26AC2"/>
    <w:rsid w:val="00D26FCE"/>
    <w:rsid w:val="00D34280"/>
    <w:rsid w:val="00D36822"/>
    <w:rsid w:val="00D453A8"/>
    <w:rsid w:val="00D558AC"/>
    <w:rsid w:val="00D57B5C"/>
    <w:rsid w:val="00D63D59"/>
    <w:rsid w:val="00D64F8A"/>
    <w:rsid w:val="00D67A8A"/>
    <w:rsid w:val="00D701D6"/>
    <w:rsid w:val="00D718B4"/>
    <w:rsid w:val="00D76644"/>
    <w:rsid w:val="00D76ABF"/>
    <w:rsid w:val="00D80D08"/>
    <w:rsid w:val="00D81172"/>
    <w:rsid w:val="00DA5800"/>
    <w:rsid w:val="00DB0832"/>
    <w:rsid w:val="00DB0BB8"/>
    <w:rsid w:val="00DB1BE2"/>
    <w:rsid w:val="00DB7135"/>
    <w:rsid w:val="00DC244B"/>
    <w:rsid w:val="00DC4651"/>
    <w:rsid w:val="00DD2E64"/>
    <w:rsid w:val="00DD5971"/>
    <w:rsid w:val="00DD5EC0"/>
    <w:rsid w:val="00DE1EAE"/>
    <w:rsid w:val="00DE2627"/>
    <w:rsid w:val="00DE28EB"/>
    <w:rsid w:val="00DF19A8"/>
    <w:rsid w:val="00E013CB"/>
    <w:rsid w:val="00E015C2"/>
    <w:rsid w:val="00E05876"/>
    <w:rsid w:val="00E07335"/>
    <w:rsid w:val="00E102C1"/>
    <w:rsid w:val="00E15B22"/>
    <w:rsid w:val="00E215CD"/>
    <w:rsid w:val="00E2610D"/>
    <w:rsid w:val="00E32AF4"/>
    <w:rsid w:val="00E330FC"/>
    <w:rsid w:val="00E36D36"/>
    <w:rsid w:val="00E42116"/>
    <w:rsid w:val="00E5103F"/>
    <w:rsid w:val="00E54F99"/>
    <w:rsid w:val="00E5583E"/>
    <w:rsid w:val="00E57A9B"/>
    <w:rsid w:val="00E61D1A"/>
    <w:rsid w:val="00E622C5"/>
    <w:rsid w:val="00E63FA7"/>
    <w:rsid w:val="00E64B8A"/>
    <w:rsid w:val="00E73477"/>
    <w:rsid w:val="00E809C7"/>
    <w:rsid w:val="00E91522"/>
    <w:rsid w:val="00EA1535"/>
    <w:rsid w:val="00EB1843"/>
    <w:rsid w:val="00EB6564"/>
    <w:rsid w:val="00EB7314"/>
    <w:rsid w:val="00EC51B0"/>
    <w:rsid w:val="00ED5D23"/>
    <w:rsid w:val="00ED71C1"/>
    <w:rsid w:val="00EE247B"/>
    <w:rsid w:val="00EF28D9"/>
    <w:rsid w:val="00EF34E8"/>
    <w:rsid w:val="00F0177C"/>
    <w:rsid w:val="00F02707"/>
    <w:rsid w:val="00F0652C"/>
    <w:rsid w:val="00F22A89"/>
    <w:rsid w:val="00F33B8A"/>
    <w:rsid w:val="00F41D6E"/>
    <w:rsid w:val="00F50E0C"/>
    <w:rsid w:val="00F51B3B"/>
    <w:rsid w:val="00F52126"/>
    <w:rsid w:val="00F53F2C"/>
    <w:rsid w:val="00F6292D"/>
    <w:rsid w:val="00F67D66"/>
    <w:rsid w:val="00F70266"/>
    <w:rsid w:val="00F72118"/>
    <w:rsid w:val="00F7301A"/>
    <w:rsid w:val="00F86C7D"/>
    <w:rsid w:val="00FA255D"/>
    <w:rsid w:val="00FA2F51"/>
    <w:rsid w:val="00FB379C"/>
    <w:rsid w:val="00FB60EA"/>
    <w:rsid w:val="00FD0708"/>
    <w:rsid w:val="00FE58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634B3"/>
  <w15:docId w15:val="{5A698DA5-FAB8-4AC3-875A-D82E1AAE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H&amp;P List Paragraph,List Paragraph1,Strip,Saraksta rindkopa1,Normal bullet 2,Bullet list,Colorful List - Accent 12,Bullet 1,Bullet Points,Colorful List - Accent 11,Dot pt,F5 List Paragraph,Indicator Text,List Paragraph1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1"/>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H&amp;P List Paragraph Char,List Paragraph1 Char,Strip Char,Saraksta rindkopa1 Char,Normal bullet 2 Char,Bullet list Char,Colorful List - Accent 12 Char,Bullet 1 Char,Bullet Points Char,Colorful List - Accent 11 Char,Dot pt Char"/>
    <w:link w:val="ListParagraph"/>
    <w:uiPriority w:val="34"/>
    <w:qFormat/>
    <w:locked/>
    <w:rsid w:val="003D5BDA"/>
    <w:rPr>
      <w:rFonts w:ascii="Calibri" w:hAnsi="Calibri"/>
      <w:sz w:val="22"/>
      <w:lang w:eastAsia="en-US"/>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2"/>
    <w:rsid w:val="003D5BDA"/>
    <w:rPr>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rsid w:val="00152D05"/>
    <w:rPr>
      <w:sz w:val="20"/>
      <w:szCs w:val="20"/>
    </w:rPr>
  </w:style>
  <w:style w:type="character" w:customStyle="1" w:styleId="FootnoteTextChar2">
    <w:name w:val="Footnote Text Char2"/>
    <w:aliases w:val="Footnote Char,Footnote Text Char Char Char1,Footnote Text Char Char Char Char Char1,Footnote Text Char Char Char Char Char Char Char1,Footnote Text Char1 Char1,Footnote Text Char1 Char Char Char1,f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1">
    <w:name w:val="Vidējs režģis 21"/>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customStyle="1" w:styleId="NoSpacing1">
    <w:name w:val="No Spacing1"/>
    <w:qFormat/>
    <w:rsid w:val="001C4635"/>
    <w:rPr>
      <w:rFonts w:ascii="Calibri" w:eastAsia="Calibri" w:hAnsi="Calibri"/>
      <w:lang w:eastAsia="en-US"/>
    </w:rPr>
  </w:style>
  <w:style w:type="paragraph" w:customStyle="1" w:styleId="Atklasts">
    <w:name w:val="Atklasts"/>
    <w:basedOn w:val="Normal"/>
    <w:rsid w:val="00E57A9B"/>
    <w:pPr>
      <w:jc w:val="both"/>
    </w:pPr>
    <w:rPr>
      <w:b/>
      <w:bCs/>
      <w:lang w:eastAsia="en-US"/>
    </w:rPr>
  </w:style>
  <w:style w:type="character" w:customStyle="1" w:styleId="UnresolvedMention">
    <w:name w:val="Unresolved Mention"/>
    <w:basedOn w:val="DefaultParagraphFont"/>
    <w:uiPriority w:val="99"/>
    <w:semiHidden/>
    <w:unhideWhenUsed/>
    <w:rsid w:val="00545800"/>
    <w:rPr>
      <w:color w:val="605E5C"/>
      <w:shd w:val="clear" w:color="auto" w:fill="E1DFDD"/>
    </w:rPr>
  </w:style>
  <w:style w:type="table" w:customStyle="1" w:styleId="TableGrid1">
    <w:name w:val="Table Grid1"/>
    <w:basedOn w:val="TableNormal"/>
    <w:next w:val="TableGrid"/>
    <w:rsid w:val="00547678"/>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496">
      <w:bodyDiv w:val="1"/>
      <w:marLeft w:val="0"/>
      <w:marRight w:val="0"/>
      <w:marTop w:val="0"/>
      <w:marBottom w:val="0"/>
      <w:divBdr>
        <w:top w:val="none" w:sz="0" w:space="0" w:color="auto"/>
        <w:left w:val="none" w:sz="0" w:space="0" w:color="auto"/>
        <w:bottom w:val="none" w:sz="0" w:space="0" w:color="auto"/>
        <w:right w:val="none" w:sz="0" w:space="0" w:color="auto"/>
      </w:divBdr>
    </w:div>
    <w:div w:id="101875292">
      <w:bodyDiv w:val="1"/>
      <w:marLeft w:val="0"/>
      <w:marRight w:val="0"/>
      <w:marTop w:val="0"/>
      <w:marBottom w:val="0"/>
      <w:divBdr>
        <w:top w:val="none" w:sz="0" w:space="0" w:color="auto"/>
        <w:left w:val="none" w:sz="0" w:space="0" w:color="auto"/>
        <w:bottom w:val="none" w:sz="0" w:space="0" w:color="auto"/>
        <w:right w:val="none" w:sz="0" w:space="0" w:color="auto"/>
      </w:divBdr>
    </w:div>
    <w:div w:id="279458340">
      <w:bodyDiv w:val="1"/>
      <w:marLeft w:val="0"/>
      <w:marRight w:val="0"/>
      <w:marTop w:val="0"/>
      <w:marBottom w:val="0"/>
      <w:divBdr>
        <w:top w:val="none" w:sz="0" w:space="0" w:color="auto"/>
        <w:left w:val="none" w:sz="0" w:space="0" w:color="auto"/>
        <w:bottom w:val="none" w:sz="0" w:space="0" w:color="auto"/>
        <w:right w:val="none" w:sz="0" w:space="0" w:color="auto"/>
      </w:divBdr>
    </w:div>
    <w:div w:id="540242348">
      <w:bodyDiv w:val="1"/>
      <w:marLeft w:val="0"/>
      <w:marRight w:val="0"/>
      <w:marTop w:val="0"/>
      <w:marBottom w:val="0"/>
      <w:divBdr>
        <w:top w:val="none" w:sz="0" w:space="0" w:color="auto"/>
        <w:left w:val="none" w:sz="0" w:space="0" w:color="auto"/>
        <w:bottom w:val="none" w:sz="0" w:space="0" w:color="auto"/>
        <w:right w:val="none" w:sz="0" w:space="0" w:color="auto"/>
      </w:divBdr>
    </w:div>
    <w:div w:id="823005850">
      <w:bodyDiv w:val="1"/>
      <w:marLeft w:val="0"/>
      <w:marRight w:val="0"/>
      <w:marTop w:val="0"/>
      <w:marBottom w:val="0"/>
      <w:divBdr>
        <w:top w:val="none" w:sz="0" w:space="0" w:color="auto"/>
        <w:left w:val="none" w:sz="0" w:space="0" w:color="auto"/>
        <w:bottom w:val="none" w:sz="0" w:space="0" w:color="auto"/>
        <w:right w:val="none" w:sz="0" w:space="0" w:color="auto"/>
      </w:divBdr>
    </w:div>
    <w:div w:id="1764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zalais_publiskais_iepirkum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pels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1B0C-8065-4288-AD92-D42C03B7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40</Pages>
  <Words>38185</Words>
  <Characters>21766</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VARAM</Company>
  <LinksUpToDate>false</LinksUpToDate>
  <CharactersWithSpaces>59832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Liene Dorbe</dc:creator>
  <cp:lastModifiedBy>Sergejs Puhovs</cp:lastModifiedBy>
  <cp:revision>68</cp:revision>
  <cp:lastPrinted>2015-09-29T06:08:00Z</cp:lastPrinted>
  <dcterms:created xsi:type="dcterms:W3CDTF">2020-07-28T12:04:00Z</dcterms:created>
  <dcterms:modified xsi:type="dcterms:W3CDTF">2020-08-04T06:55:00Z</dcterms:modified>
</cp:coreProperties>
</file>