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8FCE9" w14:textId="77777777" w:rsidR="00FA3411" w:rsidRDefault="00FA3411" w:rsidP="00FA3411">
      <w:pPr>
        <w:jc w:val="center"/>
        <w:rPr>
          <w:b/>
        </w:rPr>
      </w:pPr>
      <w:r w:rsidRPr="000B51DA">
        <w:rPr>
          <w:b/>
        </w:rPr>
        <w:t xml:space="preserve">Izziņa par atzinumos sniegtajiem iebildumiem </w:t>
      </w:r>
      <w:r w:rsidRPr="000B51DA">
        <w:rPr>
          <w:b/>
          <w:bCs/>
        </w:rPr>
        <w:t xml:space="preserve">par </w:t>
      </w:r>
      <w:r w:rsidRPr="000B51DA">
        <w:rPr>
          <w:b/>
        </w:rPr>
        <w:t>Ministru kabineta noteikumu projektu</w:t>
      </w:r>
    </w:p>
    <w:p w14:paraId="11A8FCEA" w14:textId="77777777" w:rsidR="00FA3411" w:rsidRPr="000B51DA" w:rsidRDefault="00FA3411" w:rsidP="00FA3411">
      <w:pPr>
        <w:jc w:val="center"/>
        <w:rPr>
          <w:b/>
        </w:rPr>
      </w:pPr>
      <w:r w:rsidRPr="000B51DA">
        <w:rPr>
          <w:b/>
        </w:rPr>
        <w:t>„Grozījumi Ministru kabineta 2013. gada 5. februāra noteikumos Nr. 84 “Noteikumi par atsevišķu ķīmisku vielu lietošanas ierobežojumiem elektriskajās un elektroniskajās iekārtās””</w:t>
      </w:r>
      <w:r>
        <w:rPr>
          <w:b/>
        </w:rPr>
        <w:t xml:space="preserve"> (VSS-561)</w:t>
      </w:r>
    </w:p>
    <w:p w14:paraId="11A8FCEB" w14:textId="77777777" w:rsidR="00FA3411" w:rsidRPr="000B51DA" w:rsidRDefault="00FA3411" w:rsidP="00FA3411">
      <w:pPr>
        <w:pStyle w:val="naisf"/>
        <w:spacing w:before="0" w:after="0"/>
        <w:ind w:firstLine="720"/>
      </w:pPr>
    </w:p>
    <w:p w14:paraId="11A8FCEC" w14:textId="77777777" w:rsidR="00FA3411" w:rsidRPr="000B51DA" w:rsidRDefault="00FA3411" w:rsidP="00FA3411">
      <w:pPr>
        <w:pStyle w:val="naisf"/>
        <w:spacing w:before="0" w:after="0"/>
        <w:ind w:firstLine="0"/>
        <w:jc w:val="center"/>
        <w:outlineLvl w:val="0"/>
        <w:rPr>
          <w:b/>
        </w:rPr>
      </w:pPr>
      <w:r w:rsidRPr="000B51DA">
        <w:rPr>
          <w:b/>
        </w:rPr>
        <w:t>I. Jautājumi, par kuriem saskaņošanā vienošanās nav panākta</w:t>
      </w:r>
    </w:p>
    <w:p w14:paraId="11A8FCED" w14:textId="77777777" w:rsidR="00FA3411" w:rsidRPr="000B51DA" w:rsidRDefault="00FA3411" w:rsidP="00FA3411">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3600"/>
        <w:gridCol w:w="3360"/>
        <w:gridCol w:w="2280"/>
        <w:gridCol w:w="1920"/>
      </w:tblGrid>
      <w:tr w:rsidR="00FA3411" w:rsidRPr="000B51DA" w14:paraId="11A8FCF4" w14:textId="77777777" w:rsidTr="00866E2F">
        <w:tc>
          <w:tcPr>
            <w:tcW w:w="708" w:type="dxa"/>
            <w:tcBorders>
              <w:top w:val="single" w:sz="6" w:space="0" w:color="000000"/>
              <w:left w:val="single" w:sz="6" w:space="0" w:color="000000"/>
              <w:bottom w:val="single" w:sz="6" w:space="0" w:color="000000"/>
              <w:right w:val="single" w:sz="6" w:space="0" w:color="000000"/>
            </w:tcBorders>
            <w:vAlign w:val="center"/>
          </w:tcPr>
          <w:p w14:paraId="11A8FCEE" w14:textId="77777777" w:rsidR="00FA3411" w:rsidRPr="000B51DA" w:rsidRDefault="00FA3411" w:rsidP="00866E2F">
            <w:pPr>
              <w:pStyle w:val="naisc"/>
              <w:spacing w:before="0" w:after="0"/>
            </w:pPr>
            <w:r w:rsidRPr="000B51DA">
              <w:t>Nr. p.k.</w:t>
            </w:r>
          </w:p>
        </w:tc>
        <w:tc>
          <w:tcPr>
            <w:tcW w:w="2400" w:type="dxa"/>
            <w:tcBorders>
              <w:top w:val="single" w:sz="6" w:space="0" w:color="000000"/>
              <w:left w:val="single" w:sz="6" w:space="0" w:color="000000"/>
              <w:bottom w:val="single" w:sz="6" w:space="0" w:color="000000"/>
              <w:right w:val="single" w:sz="6" w:space="0" w:color="000000"/>
            </w:tcBorders>
            <w:vAlign w:val="center"/>
          </w:tcPr>
          <w:p w14:paraId="11A8FCEF" w14:textId="77777777" w:rsidR="00FA3411" w:rsidRPr="000B51DA" w:rsidRDefault="00FA3411" w:rsidP="00866E2F">
            <w:pPr>
              <w:pStyle w:val="naisc"/>
              <w:spacing w:before="0" w:after="0"/>
              <w:ind w:firstLine="12"/>
            </w:pPr>
            <w:r w:rsidRPr="000B51DA">
              <w:t>Saskaņošanai nosūtītā projekta redakcija (konkrēta punkta (panta) redakcija)</w:t>
            </w:r>
          </w:p>
        </w:tc>
        <w:tc>
          <w:tcPr>
            <w:tcW w:w="3600" w:type="dxa"/>
            <w:tcBorders>
              <w:top w:val="single" w:sz="6" w:space="0" w:color="000000"/>
              <w:left w:val="single" w:sz="6" w:space="0" w:color="000000"/>
              <w:bottom w:val="single" w:sz="6" w:space="0" w:color="000000"/>
              <w:right w:val="single" w:sz="6" w:space="0" w:color="000000"/>
            </w:tcBorders>
            <w:vAlign w:val="center"/>
          </w:tcPr>
          <w:p w14:paraId="11A8FCF0" w14:textId="77777777" w:rsidR="00FA3411" w:rsidRPr="000B51DA" w:rsidRDefault="00FA3411" w:rsidP="00866E2F">
            <w:pPr>
              <w:pStyle w:val="naisc"/>
              <w:spacing w:before="0" w:after="0"/>
              <w:ind w:right="3"/>
            </w:pPr>
            <w:r w:rsidRPr="000B51DA">
              <w:t>Atzinumā norādītais ministrijas (citas institūcijas) iebildums, kā arī saskaņošanā papildus izteiktais iebildums par projekta konkrēto punktu (pantu)</w:t>
            </w:r>
          </w:p>
        </w:tc>
        <w:tc>
          <w:tcPr>
            <w:tcW w:w="3360" w:type="dxa"/>
            <w:tcBorders>
              <w:top w:val="single" w:sz="6" w:space="0" w:color="000000"/>
              <w:left w:val="single" w:sz="6" w:space="0" w:color="000000"/>
              <w:bottom w:val="single" w:sz="6" w:space="0" w:color="000000"/>
              <w:right w:val="single" w:sz="6" w:space="0" w:color="000000"/>
            </w:tcBorders>
            <w:vAlign w:val="center"/>
          </w:tcPr>
          <w:p w14:paraId="11A8FCF1" w14:textId="77777777" w:rsidR="00FA3411" w:rsidRPr="000B51DA" w:rsidRDefault="00FA3411" w:rsidP="00866E2F">
            <w:pPr>
              <w:pStyle w:val="naisc"/>
              <w:spacing w:before="0" w:after="0"/>
              <w:ind w:firstLine="21"/>
            </w:pPr>
            <w:r w:rsidRPr="000B51DA">
              <w:t>Atbildīgās ministrijas pamatojums iebilduma noraidījumam</w:t>
            </w:r>
          </w:p>
        </w:tc>
        <w:tc>
          <w:tcPr>
            <w:tcW w:w="2280" w:type="dxa"/>
            <w:tcBorders>
              <w:top w:val="single" w:sz="4" w:space="0" w:color="auto"/>
              <w:left w:val="single" w:sz="4" w:space="0" w:color="auto"/>
              <w:bottom w:val="single" w:sz="4" w:space="0" w:color="auto"/>
              <w:right w:val="single" w:sz="4" w:space="0" w:color="auto"/>
            </w:tcBorders>
            <w:vAlign w:val="center"/>
          </w:tcPr>
          <w:p w14:paraId="11A8FCF2" w14:textId="77777777" w:rsidR="00FA3411" w:rsidRPr="000B51DA" w:rsidRDefault="00FA3411" w:rsidP="00866E2F">
            <w:pPr>
              <w:jc w:val="center"/>
            </w:pPr>
            <w:r w:rsidRPr="000B51DA">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11A8FCF3" w14:textId="77777777" w:rsidR="00FA3411" w:rsidRPr="000B51DA" w:rsidRDefault="00FA3411" w:rsidP="00866E2F">
            <w:pPr>
              <w:jc w:val="center"/>
            </w:pPr>
            <w:r w:rsidRPr="000B51DA">
              <w:t>Projekta attiecīgā punkta (panta) galīgā redakcija</w:t>
            </w:r>
          </w:p>
        </w:tc>
      </w:tr>
      <w:tr w:rsidR="00FA3411" w:rsidRPr="000B51DA" w14:paraId="11A8FCFB" w14:textId="77777777" w:rsidTr="00866E2F">
        <w:tc>
          <w:tcPr>
            <w:tcW w:w="708" w:type="dxa"/>
            <w:tcBorders>
              <w:left w:val="single" w:sz="6" w:space="0" w:color="000000"/>
              <w:bottom w:val="single" w:sz="4" w:space="0" w:color="auto"/>
              <w:right w:val="single" w:sz="6" w:space="0" w:color="000000"/>
            </w:tcBorders>
          </w:tcPr>
          <w:p w14:paraId="11A8FCF5" w14:textId="77777777" w:rsidR="00FA3411" w:rsidRPr="000B51DA" w:rsidRDefault="00FA3411" w:rsidP="00866E2F">
            <w:pPr>
              <w:pStyle w:val="naisc"/>
              <w:spacing w:before="0" w:after="0"/>
              <w:ind w:firstLine="720"/>
            </w:pPr>
            <w:r w:rsidRPr="000B51DA">
              <w:t>-</w:t>
            </w:r>
          </w:p>
        </w:tc>
        <w:tc>
          <w:tcPr>
            <w:tcW w:w="2400" w:type="dxa"/>
            <w:tcBorders>
              <w:left w:val="single" w:sz="6" w:space="0" w:color="000000"/>
              <w:bottom w:val="single" w:sz="4" w:space="0" w:color="auto"/>
              <w:right w:val="single" w:sz="6" w:space="0" w:color="000000"/>
            </w:tcBorders>
          </w:tcPr>
          <w:p w14:paraId="11A8FCF6" w14:textId="77777777" w:rsidR="00FA3411" w:rsidRPr="000B51DA" w:rsidRDefault="00FA3411" w:rsidP="00866E2F">
            <w:pPr>
              <w:pStyle w:val="naisc"/>
              <w:spacing w:before="0" w:after="0"/>
            </w:pPr>
          </w:p>
        </w:tc>
        <w:tc>
          <w:tcPr>
            <w:tcW w:w="3600" w:type="dxa"/>
            <w:tcBorders>
              <w:left w:val="single" w:sz="6" w:space="0" w:color="000000"/>
              <w:bottom w:val="single" w:sz="4" w:space="0" w:color="auto"/>
              <w:right w:val="single" w:sz="6" w:space="0" w:color="000000"/>
            </w:tcBorders>
          </w:tcPr>
          <w:p w14:paraId="11A8FCF7" w14:textId="77777777" w:rsidR="00FA3411" w:rsidRPr="000B51DA" w:rsidRDefault="00FA3411" w:rsidP="00866E2F">
            <w:pPr>
              <w:autoSpaceDE w:val="0"/>
              <w:autoSpaceDN w:val="0"/>
              <w:adjustRightInd w:val="0"/>
              <w:jc w:val="center"/>
              <w:rPr>
                <w:b/>
              </w:rPr>
            </w:pPr>
          </w:p>
        </w:tc>
        <w:tc>
          <w:tcPr>
            <w:tcW w:w="3360" w:type="dxa"/>
            <w:tcBorders>
              <w:left w:val="single" w:sz="6" w:space="0" w:color="000000"/>
              <w:bottom w:val="single" w:sz="4" w:space="0" w:color="auto"/>
              <w:right w:val="single" w:sz="6" w:space="0" w:color="000000"/>
            </w:tcBorders>
          </w:tcPr>
          <w:p w14:paraId="11A8FCF8" w14:textId="77777777" w:rsidR="00FA3411" w:rsidRPr="000B51DA" w:rsidRDefault="00FA3411" w:rsidP="00866E2F">
            <w:pPr>
              <w:pStyle w:val="naisc"/>
              <w:spacing w:before="0" w:after="0"/>
              <w:ind w:firstLine="720"/>
              <w:rPr>
                <w:b/>
              </w:rPr>
            </w:pPr>
          </w:p>
        </w:tc>
        <w:tc>
          <w:tcPr>
            <w:tcW w:w="2280" w:type="dxa"/>
            <w:tcBorders>
              <w:top w:val="single" w:sz="4" w:space="0" w:color="auto"/>
              <w:left w:val="single" w:sz="4" w:space="0" w:color="auto"/>
              <w:bottom w:val="single" w:sz="4" w:space="0" w:color="auto"/>
              <w:right w:val="single" w:sz="4" w:space="0" w:color="auto"/>
            </w:tcBorders>
          </w:tcPr>
          <w:p w14:paraId="11A8FCF9" w14:textId="77777777" w:rsidR="00FA3411" w:rsidRPr="000B51DA" w:rsidRDefault="00FA3411" w:rsidP="00866E2F">
            <w:pPr>
              <w:jc w:val="center"/>
            </w:pPr>
          </w:p>
        </w:tc>
        <w:tc>
          <w:tcPr>
            <w:tcW w:w="1920" w:type="dxa"/>
            <w:tcBorders>
              <w:top w:val="single" w:sz="4" w:space="0" w:color="auto"/>
              <w:left w:val="single" w:sz="4" w:space="0" w:color="auto"/>
              <w:bottom w:val="single" w:sz="4" w:space="0" w:color="auto"/>
              <w:right w:val="single" w:sz="4" w:space="0" w:color="auto"/>
            </w:tcBorders>
          </w:tcPr>
          <w:p w14:paraId="11A8FCFA" w14:textId="77777777" w:rsidR="00FA3411" w:rsidRPr="000B51DA" w:rsidRDefault="00FA3411" w:rsidP="00866E2F">
            <w:pPr>
              <w:jc w:val="center"/>
            </w:pPr>
          </w:p>
        </w:tc>
      </w:tr>
    </w:tbl>
    <w:p w14:paraId="11A8FCFC" w14:textId="77777777" w:rsidR="00FA3411" w:rsidRPr="000B51DA" w:rsidRDefault="00FA3411" w:rsidP="00FA3411">
      <w:pPr>
        <w:pStyle w:val="naisf"/>
        <w:spacing w:before="0" w:after="0"/>
        <w:ind w:firstLine="0"/>
        <w:outlineLvl w:val="0"/>
        <w:rPr>
          <w:b/>
        </w:rPr>
      </w:pPr>
    </w:p>
    <w:p w14:paraId="11A8FCFD" w14:textId="77777777" w:rsidR="00FA3411" w:rsidRPr="000B51DA" w:rsidRDefault="00FA3411" w:rsidP="00FA3411">
      <w:pPr>
        <w:pStyle w:val="naisf"/>
        <w:spacing w:before="0" w:after="0"/>
        <w:ind w:firstLine="0"/>
        <w:outlineLvl w:val="0"/>
        <w:rPr>
          <w:b/>
        </w:rPr>
      </w:pPr>
      <w:r w:rsidRPr="000B51DA">
        <w:rPr>
          <w:b/>
        </w:rPr>
        <w:t xml:space="preserve">Informācija par </w:t>
      </w:r>
      <w:proofErr w:type="spellStart"/>
      <w:r w:rsidRPr="000B51DA">
        <w:rPr>
          <w:b/>
        </w:rPr>
        <w:t>starpministriju</w:t>
      </w:r>
      <w:proofErr w:type="spellEnd"/>
      <w:r w:rsidRPr="000B51DA">
        <w:rPr>
          <w:b/>
        </w:rPr>
        <w:t xml:space="preserve"> (starpinstitūciju) sanāksmi vai elektronisko saskaņošanu</w:t>
      </w:r>
    </w:p>
    <w:p w14:paraId="11A8FCFE" w14:textId="77777777" w:rsidR="00FA3411" w:rsidRPr="000B51DA" w:rsidRDefault="00FA3411" w:rsidP="00FA3411">
      <w:pPr>
        <w:pStyle w:val="naisf"/>
        <w:spacing w:before="0" w:after="0"/>
        <w:ind w:firstLine="0"/>
        <w:rPr>
          <w:b/>
        </w:rPr>
      </w:pPr>
    </w:p>
    <w:tbl>
      <w:tblPr>
        <w:tblW w:w="13908" w:type="dxa"/>
        <w:tblLook w:val="00A0" w:firstRow="1" w:lastRow="0" w:firstColumn="1" w:lastColumn="0" w:noHBand="0" w:noVBand="0"/>
      </w:tblPr>
      <w:tblGrid>
        <w:gridCol w:w="6708"/>
        <w:gridCol w:w="7200"/>
      </w:tblGrid>
      <w:tr w:rsidR="00FA3411" w:rsidRPr="000B51DA" w14:paraId="11A8FD01" w14:textId="77777777" w:rsidTr="00866E2F">
        <w:tc>
          <w:tcPr>
            <w:tcW w:w="6708" w:type="dxa"/>
          </w:tcPr>
          <w:p w14:paraId="11A8FCFF" w14:textId="77777777" w:rsidR="00FA3411" w:rsidRPr="000B51DA" w:rsidRDefault="00FA3411" w:rsidP="00866E2F">
            <w:pPr>
              <w:pStyle w:val="naisf"/>
              <w:spacing w:before="0" w:after="0"/>
              <w:ind w:firstLine="0"/>
            </w:pPr>
            <w:r w:rsidRPr="000B51DA">
              <w:t>Datums</w:t>
            </w:r>
          </w:p>
        </w:tc>
        <w:tc>
          <w:tcPr>
            <w:tcW w:w="7200" w:type="dxa"/>
            <w:tcBorders>
              <w:bottom w:val="single" w:sz="4" w:space="0" w:color="auto"/>
            </w:tcBorders>
          </w:tcPr>
          <w:p w14:paraId="11A8FD00" w14:textId="77777777" w:rsidR="00FA3411" w:rsidRPr="000B51DA" w:rsidRDefault="002967E1" w:rsidP="00866E2F">
            <w:pPr>
              <w:pStyle w:val="NormalWeb"/>
              <w:spacing w:before="0" w:beforeAutospacing="0" w:after="0" w:afterAutospacing="0"/>
              <w:ind w:firstLine="720"/>
            </w:pPr>
            <w:r>
              <w:t>29</w:t>
            </w:r>
            <w:r w:rsidR="00FA3411">
              <w:t>.07.2020.</w:t>
            </w:r>
          </w:p>
        </w:tc>
      </w:tr>
      <w:tr w:rsidR="00FA3411" w:rsidRPr="000B51DA" w14:paraId="11A8FD04" w14:textId="77777777" w:rsidTr="00866E2F">
        <w:tc>
          <w:tcPr>
            <w:tcW w:w="6708" w:type="dxa"/>
          </w:tcPr>
          <w:p w14:paraId="11A8FD02" w14:textId="77777777" w:rsidR="00FA3411" w:rsidRPr="000B51DA" w:rsidRDefault="00FA3411" w:rsidP="00866E2F">
            <w:pPr>
              <w:pStyle w:val="naisf"/>
              <w:spacing w:before="0" w:after="0"/>
              <w:ind w:firstLine="0"/>
            </w:pPr>
          </w:p>
        </w:tc>
        <w:tc>
          <w:tcPr>
            <w:tcW w:w="7200" w:type="dxa"/>
            <w:tcBorders>
              <w:top w:val="single" w:sz="4" w:space="0" w:color="auto"/>
            </w:tcBorders>
          </w:tcPr>
          <w:p w14:paraId="11A8FD03" w14:textId="77777777" w:rsidR="00FA3411" w:rsidRPr="000B51DA" w:rsidRDefault="00FA3411" w:rsidP="00866E2F">
            <w:pPr>
              <w:pStyle w:val="NormalWeb"/>
              <w:spacing w:before="0" w:beforeAutospacing="0" w:after="0" w:afterAutospacing="0"/>
              <w:ind w:firstLine="720"/>
            </w:pPr>
          </w:p>
        </w:tc>
      </w:tr>
      <w:tr w:rsidR="00FA3411" w:rsidRPr="000B51DA" w14:paraId="11A8FD07" w14:textId="77777777" w:rsidTr="00866E2F">
        <w:tc>
          <w:tcPr>
            <w:tcW w:w="6708" w:type="dxa"/>
          </w:tcPr>
          <w:p w14:paraId="11A8FD05" w14:textId="77777777" w:rsidR="00FA3411" w:rsidRPr="000B51DA" w:rsidRDefault="00FA3411" w:rsidP="00866E2F">
            <w:pPr>
              <w:pStyle w:val="naiskr"/>
              <w:spacing w:before="0" w:after="0"/>
            </w:pPr>
            <w:r w:rsidRPr="000B51DA">
              <w:t>Saskaņošanas dalībnieki</w:t>
            </w:r>
          </w:p>
        </w:tc>
        <w:tc>
          <w:tcPr>
            <w:tcW w:w="7200" w:type="dxa"/>
          </w:tcPr>
          <w:p w14:paraId="11A8FD06" w14:textId="77777777" w:rsidR="00FA3411" w:rsidRPr="000B51DA" w:rsidRDefault="00FA3411" w:rsidP="00866E2F">
            <w:pPr>
              <w:pStyle w:val="naiskr"/>
              <w:spacing w:before="0" w:after="0"/>
              <w:ind w:firstLine="12"/>
              <w:jc w:val="both"/>
            </w:pPr>
            <w:r>
              <w:t>Tieslietu ministrija, Finanšu ministrija, Ekonomikas ministrija, Veselības ministrija</w:t>
            </w:r>
          </w:p>
        </w:tc>
      </w:tr>
      <w:tr w:rsidR="00FA3411" w:rsidRPr="000B51DA" w14:paraId="11A8FD0A" w14:textId="77777777" w:rsidTr="00866E2F">
        <w:trPr>
          <w:trHeight w:val="285"/>
        </w:trPr>
        <w:tc>
          <w:tcPr>
            <w:tcW w:w="6708" w:type="dxa"/>
          </w:tcPr>
          <w:p w14:paraId="11A8FD08" w14:textId="77777777" w:rsidR="00FA3411" w:rsidRPr="000B51DA" w:rsidRDefault="00FA3411" w:rsidP="00866E2F">
            <w:pPr>
              <w:pStyle w:val="naiskr"/>
              <w:spacing w:before="0" w:after="0"/>
            </w:pPr>
          </w:p>
        </w:tc>
        <w:tc>
          <w:tcPr>
            <w:tcW w:w="7200" w:type="dxa"/>
          </w:tcPr>
          <w:p w14:paraId="11A8FD09" w14:textId="77777777" w:rsidR="00FA3411" w:rsidRPr="000B51DA" w:rsidRDefault="00FA3411" w:rsidP="00866E2F">
            <w:pPr>
              <w:pStyle w:val="naiskr"/>
              <w:spacing w:before="0" w:after="0"/>
              <w:ind w:firstLine="12"/>
              <w:jc w:val="both"/>
            </w:pPr>
          </w:p>
        </w:tc>
      </w:tr>
      <w:tr w:rsidR="00FA3411" w:rsidRPr="000B51DA" w14:paraId="11A8FD0D" w14:textId="77777777" w:rsidTr="00866E2F">
        <w:trPr>
          <w:trHeight w:val="285"/>
        </w:trPr>
        <w:tc>
          <w:tcPr>
            <w:tcW w:w="6708" w:type="dxa"/>
          </w:tcPr>
          <w:p w14:paraId="11A8FD0B" w14:textId="77777777" w:rsidR="00FA3411" w:rsidRPr="000B51DA" w:rsidRDefault="00FA3411" w:rsidP="00866E2F">
            <w:pPr>
              <w:pStyle w:val="naiskr"/>
              <w:spacing w:before="0" w:after="0"/>
              <w:jc w:val="both"/>
            </w:pPr>
            <w:r w:rsidRPr="000B51DA">
              <w:t>Saskaņošanas dalībnieki izskatīja šādu ministriju (citu institūciju) iebildumus</w:t>
            </w:r>
          </w:p>
        </w:tc>
        <w:tc>
          <w:tcPr>
            <w:tcW w:w="7200" w:type="dxa"/>
          </w:tcPr>
          <w:p w14:paraId="11A8FD0C" w14:textId="77777777" w:rsidR="00FA3411" w:rsidRPr="000B51DA" w:rsidRDefault="00FA3411" w:rsidP="00866E2F">
            <w:pPr>
              <w:pStyle w:val="naiskr"/>
              <w:spacing w:before="0" w:after="0"/>
              <w:ind w:firstLine="12"/>
              <w:jc w:val="both"/>
              <w:rPr>
                <w:color w:val="000000"/>
              </w:rPr>
            </w:pPr>
            <w:r>
              <w:rPr>
                <w:color w:val="000000"/>
              </w:rPr>
              <w:t>Tieslietu ministrija</w:t>
            </w:r>
          </w:p>
        </w:tc>
      </w:tr>
      <w:tr w:rsidR="00FA3411" w:rsidRPr="000B51DA" w14:paraId="11A8FD10" w14:textId="77777777" w:rsidTr="00866E2F">
        <w:trPr>
          <w:trHeight w:val="465"/>
        </w:trPr>
        <w:tc>
          <w:tcPr>
            <w:tcW w:w="6708" w:type="dxa"/>
          </w:tcPr>
          <w:p w14:paraId="11A8FD0E" w14:textId="77777777" w:rsidR="00FA3411" w:rsidRPr="000B51DA" w:rsidRDefault="00FA3411" w:rsidP="00866E2F">
            <w:pPr>
              <w:pStyle w:val="naiskr"/>
              <w:spacing w:before="0" w:after="0"/>
              <w:jc w:val="both"/>
            </w:pPr>
          </w:p>
        </w:tc>
        <w:tc>
          <w:tcPr>
            <w:tcW w:w="7200" w:type="dxa"/>
            <w:tcBorders>
              <w:top w:val="single" w:sz="6" w:space="0" w:color="000000"/>
              <w:bottom w:val="single" w:sz="6" w:space="0" w:color="000000"/>
            </w:tcBorders>
          </w:tcPr>
          <w:p w14:paraId="11A8FD0F" w14:textId="77777777" w:rsidR="00FA3411" w:rsidRPr="000B51DA" w:rsidRDefault="00FA3411" w:rsidP="00866E2F">
            <w:pPr>
              <w:pStyle w:val="NormalWeb"/>
              <w:spacing w:before="0" w:beforeAutospacing="0" w:after="0" w:afterAutospacing="0"/>
              <w:jc w:val="both"/>
            </w:pPr>
          </w:p>
        </w:tc>
      </w:tr>
      <w:tr w:rsidR="00FA3411" w:rsidRPr="000B51DA" w14:paraId="11A8FD12" w14:textId="77777777" w:rsidTr="00866E2F">
        <w:trPr>
          <w:gridAfter w:val="1"/>
          <w:wAfter w:w="7200" w:type="dxa"/>
        </w:trPr>
        <w:tc>
          <w:tcPr>
            <w:tcW w:w="6708" w:type="dxa"/>
          </w:tcPr>
          <w:p w14:paraId="11A8FD11" w14:textId="77777777" w:rsidR="00FA3411" w:rsidRPr="000B51DA" w:rsidRDefault="00FA3411" w:rsidP="00866E2F">
            <w:pPr>
              <w:pStyle w:val="naiskr"/>
              <w:spacing w:before="0" w:after="0"/>
              <w:jc w:val="both"/>
            </w:pPr>
            <w:r w:rsidRPr="000B51DA">
              <w:t>Ministrijas (citas institūcijas), kuras nav ieradušās uz sanāksmi vai kuras nav atbildējušas uz uzaicinājumu piedalīties elektroniskajā saskaņošanā</w:t>
            </w:r>
          </w:p>
        </w:tc>
      </w:tr>
    </w:tbl>
    <w:p w14:paraId="11A8FD13" w14:textId="77777777" w:rsidR="00FA3411" w:rsidRDefault="00FA3411" w:rsidP="00FA3411">
      <w:pPr>
        <w:pStyle w:val="naisf"/>
        <w:spacing w:before="0" w:after="0"/>
        <w:ind w:firstLine="0"/>
        <w:jc w:val="center"/>
        <w:outlineLvl w:val="0"/>
        <w:rPr>
          <w:b/>
        </w:rPr>
      </w:pPr>
      <w:r>
        <w:rPr>
          <w:b/>
        </w:rPr>
        <w:t xml:space="preserve">  </w:t>
      </w:r>
    </w:p>
    <w:p w14:paraId="11A8FD14" w14:textId="77777777" w:rsidR="00FA3411" w:rsidRDefault="00FA3411" w:rsidP="00FA3411">
      <w:pPr>
        <w:pStyle w:val="naisf"/>
        <w:spacing w:before="0" w:after="0"/>
        <w:ind w:firstLine="0"/>
        <w:jc w:val="center"/>
        <w:outlineLvl w:val="0"/>
        <w:rPr>
          <w:b/>
        </w:rPr>
      </w:pPr>
    </w:p>
    <w:p w14:paraId="11A8FD15" w14:textId="77777777" w:rsidR="00FA3411" w:rsidRDefault="00FA3411" w:rsidP="00FA3411">
      <w:pPr>
        <w:pStyle w:val="naisf"/>
        <w:spacing w:before="0" w:after="0"/>
        <w:ind w:firstLine="0"/>
        <w:jc w:val="center"/>
        <w:outlineLvl w:val="0"/>
        <w:rPr>
          <w:b/>
        </w:rPr>
      </w:pPr>
    </w:p>
    <w:p w14:paraId="11A8FD16" w14:textId="77777777" w:rsidR="00FA3411" w:rsidRPr="000B51DA" w:rsidRDefault="00FA3411" w:rsidP="00FA3411">
      <w:pPr>
        <w:pStyle w:val="naisf"/>
        <w:spacing w:before="0" w:after="0"/>
        <w:ind w:firstLine="0"/>
        <w:jc w:val="center"/>
        <w:outlineLvl w:val="0"/>
        <w:rPr>
          <w:b/>
        </w:rPr>
      </w:pPr>
      <w:r w:rsidRPr="000B51DA">
        <w:rPr>
          <w:b/>
        </w:rPr>
        <w:t>I. Jautājumi, par kuriem saskaņošanā vienošanās ir panākta</w:t>
      </w:r>
    </w:p>
    <w:p w14:paraId="11A8FD17" w14:textId="77777777" w:rsidR="00FA3411" w:rsidRPr="000B51DA" w:rsidRDefault="00FA3411" w:rsidP="00FA3411">
      <w:pPr>
        <w:pStyle w:val="naisf"/>
        <w:spacing w:before="0" w:after="0"/>
        <w:ind w:firstLine="720"/>
      </w:pP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977"/>
        <w:gridCol w:w="4394"/>
        <w:gridCol w:w="2835"/>
        <w:gridCol w:w="3686"/>
      </w:tblGrid>
      <w:tr w:rsidR="00FA3411" w:rsidRPr="000B51DA" w14:paraId="11A8FD1D" w14:textId="77777777" w:rsidTr="00866E2F">
        <w:tc>
          <w:tcPr>
            <w:tcW w:w="675" w:type="dxa"/>
            <w:tcBorders>
              <w:top w:val="single" w:sz="6" w:space="0" w:color="000000"/>
              <w:left w:val="single" w:sz="6" w:space="0" w:color="000000"/>
              <w:bottom w:val="single" w:sz="6" w:space="0" w:color="000000"/>
              <w:right w:val="single" w:sz="6" w:space="0" w:color="000000"/>
            </w:tcBorders>
          </w:tcPr>
          <w:p w14:paraId="11A8FD18" w14:textId="77777777" w:rsidR="00FA3411" w:rsidRPr="000B51DA" w:rsidRDefault="00FA3411" w:rsidP="00866E2F">
            <w:pPr>
              <w:pStyle w:val="naisc"/>
              <w:spacing w:before="0" w:after="0"/>
              <w:jc w:val="both"/>
              <w:rPr>
                <w:b/>
              </w:rPr>
            </w:pPr>
            <w:r w:rsidRPr="000B51DA">
              <w:rPr>
                <w:b/>
              </w:rPr>
              <w:t>Nr. p.k.</w:t>
            </w:r>
          </w:p>
        </w:tc>
        <w:tc>
          <w:tcPr>
            <w:tcW w:w="2977" w:type="dxa"/>
            <w:tcBorders>
              <w:top w:val="single" w:sz="6" w:space="0" w:color="000000"/>
              <w:left w:val="single" w:sz="6" w:space="0" w:color="000000"/>
              <w:bottom w:val="single" w:sz="6" w:space="0" w:color="000000"/>
              <w:right w:val="single" w:sz="6" w:space="0" w:color="000000"/>
            </w:tcBorders>
            <w:vAlign w:val="center"/>
          </w:tcPr>
          <w:p w14:paraId="11A8FD19" w14:textId="77777777" w:rsidR="00FA3411" w:rsidRPr="000B51DA" w:rsidRDefault="00FA3411" w:rsidP="00866E2F">
            <w:pPr>
              <w:pStyle w:val="naisc"/>
              <w:spacing w:before="0" w:after="0"/>
              <w:ind w:firstLine="12"/>
              <w:jc w:val="both"/>
              <w:rPr>
                <w:b/>
              </w:rPr>
            </w:pPr>
            <w:r w:rsidRPr="000B51DA">
              <w:rPr>
                <w:b/>
              </w:rPr>
              <w:t>Saskaņošanai nosūtītā projekta redakcija (konkrēta punkta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11A8FD1A" w14:textId="77777777" w:rsidR="00FA3411" w:rsidRPr="000B51DA" w:rsidRDefault="00FA3411" w:rsidP="00866E2F">
            <w:pPr>
              <w:pStyle w:val="naisc"/>
              <w:spacing w:before="0" w:after="0"/>
              <w:ind w:right="3"/>
              <w:jc w:val="both"/>
              <w:rPr>
                <w:b/>
              </w:rPr>
            </w:pPr>
            <w:r w:rsidRPr="000B51DA">
              <w:rPr>
                <w:b/>
              </w:rPr>
              <w:t xml:space="preserve">Atzinumā norādītais ministrijas (citas institūcijas) iebildums, kā arī saskaņošanā papildus izteiktais iebildums par projekta konkrēto punktu </w:t>
            </w:r>
          </w:p>
        </w:tc>
        <w:tc>
          <w:tcPr>
            <w:tcW w:w="2835" w:type="dxa"/>
            <w:tcBorders>
              <w:top w:val="single" w:sz="6" w:space="0" w:color="000000"/>
              <w:left w:val="single" w:sz="6" w:space="0" w:color="000000"/>
              <w:bottom w:val="single" w:sz="6" w:space="0" w:color="000000"/>
              <w:right w:val="single" w:sz="6" w:space="0" w:color="000000"/>
            </w:tcBorders>
            <w:vAlign w:val="center"/>
          </w:tcPr>
          <w:p w14:paraId="11A8FD1B" w14:textId="77777777" w:rsidR="00FA3411" w:rsidRPr="000B51DA" w:rsidRDefault="00FA3411" w:rsidP="00866E2F">
            <w:pPr>
              <w:pStyle w:val="naisc"/>
              <w:spacing w:before="0" w:after="0"/>
              <w:ind w:firstLine="21"/>
              <w:jc w:val="both"/>
              <w:rPr>
                <w:b/>
              </w:rPr>
            </w:pPr>
            <w:r w:rsidRPr="000B51DA">
              <w:rPr>
                <w:b/>
              </w:rPr>
              <w:t>Atbildīgās ministrijas norāde par to, ka iebildums ir ņemts vērā, vai informācija par saskaņošanā panākto alternatīvo risinājumu</w:t>
            </w:r>
          </w:p>
        </w:tc>
        <w:tc>
          <w:tcPr>
            <w:tcW w:w="3686" w:type="dxa"/>
            <w:tcBorders>
              <w:top w:val="single" w:sz="4" w:space="0" w:color="auto"/>
              <w:left w:val="single" w:sz="4" w:space="0" w:color="auto"/>
              <w:bottom w:val="single" w:sz="4" w:space="0" w:color="auto"/>
            </w:tcBorders>
            <w:vAlign w:val="center"/>
          </w:tcPr>
          <w:p w14:paraId="11A8FD1C" w14:textId="77777777" w:rsidR="00FA3411" w:rsidRPr="000B51DA" w:rsidRDefault="00FA3411" w:rsidP="00866E2F">
            <w:pPr>
              <w:jc w:val="both"/>
              <w:rPr>
                <w:b/>
              </w:rPr>
            </w:pPr>
            <w:r w:rsidRPr="000B51DA">
              <w:rPr>
                <w:b/>
              </w:rPr>
              <w:t>Projekta attiecīgā punkta galīgā redakcija</w:t>
            </w:r>
          </w:p>
        </w:tc>
      </w:tr>
      <w:tr w:rsidR="00FA3411" w:rsidRPr="000B51DA" w14:paraId="11A8FD25" w14:textId="77777777" w:rsidTr="00D37538">
        <w:tc>
          <w:tcPr>
            <w:tcW w:w="675" w:type="dxa"/>
            <w:tcBorders>
              <w:top w:val="single" w:sz="6" w:space="0" w:color="000000"/>
              <w:left w:val="single" w:sz="6" w:space="0" w:color="000000"/>
              <w:bottom w:val="single" w:sz="6" w:space="0" w:color="000000"/>
              <w:right w:val="single" w:sz="6" w:space="0" w:color="000000"/>
            </w:tcBorders>
          </w:tcPr>
          <w:p w14:paraId="11A8FD1E" w14:textId="77777777" w:rsidR="00FA3411" w:rsidRPr="000B51DA" w:rsidRDefault="00FA3411" w:rsidP="00D37538">
            <w:pPr>
              <w:pStyle w:val="naisc"/>
              <w:spacing w:before="0" w:after="0"/>
              <w:jc w:val="left"/>
              <w:rPr>
                <w:b/>
              </w:rPr>
            </w:pPr>
            <w:r>
              <w:rPr>
                <w:b/>
              </w:rPr>
              <w:t>1.</w:t>
            </w:r>
          </w:p>
        </w:tc>
        <w:tc>
          <w:tcPr>
            <w:tcW w:w="2977" w:type="dxa"/>
            <w:tcBorders>
              <w:top w:val="single" w:sz="6" w:space="0" w:color="000000"/>
              <w:left w:val="single" w:sz="6" w:space="0" w:color="000000"/>
              <w:bottom w:val="single" w:sz="6" w:space="0" w:color="000000"/>
              <w:right w:val="single" w:sz="6" w:space="0" w:color="000000"/>
            </w:tcBorders>
          </w:tcPr>
          <w:p w14:paraId="11A8FD1F" w14:textId="77777777" w:rsidR="00FA3411" w:rsidRPr="000B51DA" w:rsidRDefault="00FA3411" w:rsidP="00D37538">
            <w:pPr>
              <w:pStyle w:val="naisc"/>
              <w:spacing w:before="0" w:after="0"/>
              <w:ind w:firstLine="12"/>
              <w:jc w:val="left"/>
              <w:rPr>
                <w:b/>
              </w:rPr>
            </w:pPr>
          </w:p>
        </w:tc>
        <w:tc>
          <w:tcPr>
            <w:tcW w:w="4394" w:type="dxa"/>
            <w:tcBorders>
              <w:top w:val="single" w:sz="6" w:space="0" w:color="000000"/>
              <w:left w:val="single" w:sz="6" w:space="0" w:color="000000"/>
              <w:bottom w:val="single" w:sz="6" w:space="0" w:color="000000"/>
              <w:right w:val="single" w:sz="6" w:space="0" w:color="000000"/>
            </w:tcBorders>
          </w:tcPr>
          <w:p w14:paraId="11A8FD20" w14:textId="77777777" w:rsidR="00FA3411" w:rsidRDefault="00FA3411" w:rsidP="00C3517B">
            <w:pPr>
              <w:pStyle w:val="naisc"/>
              <w:spacing w:before="0" w:after="0"/>
              <w:ind w:right="3"/>
              <w:jc w:val="both"/>
              <w:rPr>
                <w:b/>
              </w:rPr>
            </w:pPr>
            <w:r>
              <w:rPr>
                <w:b/>
              </w:rPr>
              <w:t>Tieslietu ministrija:</w:t>
            </w:r>
          </w:p>
          <w:p w14:paraId="11A8FD21" w14:textId="77777777" w:rsidR="00FA3411" w:rsidRDefault="00FA3411" w:rsidP="00C3517B">
            <w:pPr>
              <w:ind w:right="12" w:firstLine="567"/>
              <w:jc w:val="both"/>
            </w:pPr>
            <w:r>
              <w:t xml:space="preserve">1. Projekta 3. punktā norādīts, ka daļa no regulējuma piemērojama līdz </w:t>
            </w:r>
            <w:r w:rsidRPr="00F8661C">
              <w:rPr>
                <w:u w:val="single"/>
              </w:rPr>
              <w:t>2021. gada 5.</w:t>
            </w:r>
            <w:r>
              <w:rPr>
                <w:u w:val="single"/>
              </w:rPr>
              <w:t> </w:t>
            </w:r>
            <w:r w:rsidRPr="00F8661C">
              <w:rPr>
                <w:u w:val="single"/>
              </w:rPr>
              <w:t>martam,</w:t>
            </w:r>
            <w:r>
              <w:t xml:space="preserve"> savukārt projekta 9. punktā norādīts, ka </w:t>
            </w:r>
            <w:r w:rsidRPr="00F8661C">
              <w:t>“</w:t>
            </w:r>
            <w:r>
              <w:t>n</w:t>
            </w:r>
            <w:r w:rsidRPr="00F8661C">
              <w:t xml:space="preserve">oteikumu 2., </w:t>
            </w:r>
            <w:r w:rsidRPr="00F8661C">
              <w:rPr>
                <w:u w:val="single"/>
              </w:rPr>
              <w:t>3</w:t>
            </w:r>
            <w:r w:rsidRPr="00F8661C">
              <w:t>., 4., 6. un 7.</w:t>
            </w:r>
            <w:r>
              <w:t xml:space="preserve"> </w:t>
            </w:r>
            <w:r w:rsidRPr="00F8661C">
              <w:t xml:space="preserve">punkts stājas spēkā </w:t>
            </w:r>
            <w:r w:rsidRPr="00F8661C">
              <w:rPr>
                <w:u w:val="single"/>
              </w:rPr>
              <w:t>2021. gada 1. aprīl</w:t>
            </w:r>
            <w:r w:rsidRPr="00F8661C">
              <w:t>ī”</w:t>
            </w:r>
            <w:r>
              <w:t>. No minētā izriet, ka projekta 3. punktā stāšanās brīdī daļa no tā vairs nebūs aktuāla. Ievērojot minēto, lūdzam precizēt projektu.</w:t>
            </w:r>
          </w:p>
          <w:p w14:paraId="11A8FD22" w14:textId="77777777" w:rsidR="00FA3411" w:rsidRPr="000B51DA" w:rsidRDefault="00FA3411" w:rsidP="00D37538">
            <w:pPr>
              <w:pStyle w:val="naisc"/>
              <w:spacing w:before="0" w:after="0"/>
              <w:ind w:right="3"/>
              <w:jc w:val="left"/>
              <w:rPr>
                <w:b/>
              </w:rPr>
            </w:pPr>
          </w:p>
        </w:tc>
        <w:tc>
          <w:tcPr>
            <w:tcW w:w="2835" w:type="dxa"/>
            <w:tcBorders>
              <w:top w:val="single" w:sz="6" w:space="0" w:color="000000"/>
              <w:left w:val="single" w:sz="6" w:space="0" w:color="000000"/>
              <w:bottom w:val="single" w:sz="6" w:space="0" w:color="000000"/>
              <w:right w:val="single" w:sz="6" w:space="0" w:color="000000"/>
            </w:tcBorders>
          </w:tcPr>
          <w:p w14:paraId="11A8FD23" w14:textId="77777777" w:rsidR="00FA3411" w:rsidRPr="00D37538" w:rsidRDefault="00D37538" w:rsidP="00C3517B">
            <w:pPr>
              <w:pStyle w:val="Normal1"/>
              <w:jc w:val="both"/>
            </w:pPr>
            <w:r>
              <w:rPr>
                <w:b/>
              </w:rPr>
              <w:t xml:space="preserve">Iebildums ir ņemts vērā. </w:t>
            </w:r>
            <w:r w:rsidRPr="00D37538">
              <w:t>Vienlaikus ministrija vērš uzmanību, ka minētais regulējums izriet no</w:t>
            </w:r>
            <w:r>
              <w:rPr>
                <w:b/>
              </w:rPr>
              <w:t xml:space="preserve"> </w:t>
            </w:r>
            <w:r>
              <w:t xml:space="preserve">Komisijas Deleģētās direktīva (ES) 2020/361 (2020. gada 17. decembris), ar ko, pielāgojot zinātnes un tehnikas attīstībai, Eiropas Parlamenta un Padomes Direktīvas 2011/65/ES III pielikumu groza attiecībā uz atbrīvojumu </w:t>
            </w:r>
            <w:proofErr w:type="spellStart"/>
            <w:r>
              <w:t>sešvērtīgā</w:t>
            </w:r>
            <w:proofErr w:type="spellEnd"/>
            <w:r>
              <w:t xml:space="preserve"> hroma izmantošanai par pretkorozijas aģentu absorbcijas ledusskapju dzesēšanas sistēmās no oglekļa tērauda (turpmāk – Direktīva), kuras 2.panta </w:t>
            </w:r>
            <w:r>
              <w:lastRenderedPageBreak/>
              <w:t xml:space="preserve">1. punkts nosaka, ka  dalībvalstis vēlākais līdz 2021. gada 31. martam pieņem un publicē normatīvos un administratīvos aktus, kas vajadzīgi, lai izpildītu šīs direktīvas prasības. Dalībvalstis tūlīt dara Komisijai zināmu minēto noteikumu tekstu. Tās piemēro minētos noteikumus no 2021. gada 1. aprīļa. Savukārt Direktīvas pielikumā noteikts, ka minētais izņēmums ir jāpiemēro līdz 2021.gada 5.martam. </w:t>
            </w:r>
          </w:p>
        </w:tc>
        <w:tc>
          <w:tcPr>
            <w:tcW w:w="3686" w:type="dxa"/>
            <w:tcBorders>
              <w:top w:val="single" w:sz="4" w:space="0" w:color="auto"/>
              <w:left w:val="single" w:sz="4" w:space="0" w:color="auto"/>
              <w:bottom w:val="single" w:sz="4" w:space="0" w:color="auto"/>
            </w:tcBorders>
          </w:tcPr>
          <w:p w14:paraId="11A8FD24" w14:textId="77777777" w:rsidR="00FA3411" w:rsidRPr="000B51DA" w:rsidRDefault="00FA3411" w:rsidP="00D37538">
            <w:pPr>
              <w:rPr>
                <w:b/>
              </w:rPr>
            </w:pPr>
          </w:p>
        </w:tc>
      </w:tr>
      <w:tr w:rsidR="00FA3411" w:rsidRPr="000B51DA" w14:paraId="11A8FD2C" w14:textId="77777777" w:rsidTr="00A358D6">
        <w:tc>
          <w:tcPr>
            <w:tcW w:w="675" w:type="dxa"/>
            <w:tcBorders>
              <w:top w:val="single" w:sz="6" w:space="0" w:color="000000"/>
              <w:left w:val="single" w:sz="6" w:space="0" w:color="000000"/>
              <w:bottom w:val="single" w:sz="6" w:space="0" w:color="000000"/>
              <w:right w:val="single" w:sz="6" w:space="0" w:color="000000"/>
            </w:tcBorders>
          </w:tcPr>
          <w:p w14:paraId="11A8FD26" w14:textId="77777777" w:rsidR="00FA3411" w:rsidRPr="000B51DA" w:rsidRDefault="00FA3411" w:rsidP="00866E2F">
            <w:pPr>
              <w:pStyle w:val="naisc"/>
              <w:spacing w:before="0" w:after="0"/>
              <w:jc w:val="both"/>
              <w:rPr>
                <w:b/>
              </w:rPr>
            </w:pPr>
            <w:r>
              <w:rPr>
                <w:b/>
              </w:rPr>
              <w:t>2.</w:t>
            </w:r>
          </w:p>
        </w:tc>
        <w:tc>
          <w:tcPr>
            <w:tcW w:w="2977" w:type="dxa"/>
            <w:tcBorders>
              <w:top w:val="single" w:sz="6" w:space="0" w:color="000000"/>
              <w:left w:val="single" w:sz="6" w:space="0" w:color="000000"/>
              <w:bottom w:val="single" w:sz="6" w:space="0" w:color="000000"/>
              <w:right w:val="single" w:sz="6" w:space="0" w:color="000000"/>
            </w:tcBorders>
            <w:vAlign w:val="center"/>
          </w:tcPr>
          <w:p w14:paraId="11A8FD27" w14:textId="77777777" w:rsidR="00FA3411" w:rsidRPr="000B51DA" w:rsidRDefault="00FA3411" w:rsidP="00866E2F">
            <w:pPr>
              <w:pStyle w:val="naisc"/>
              <w:spacing w:before="0" w:after="0"/>
              <w:ind w:firstLine="12"/>
              <w:jc w:val="both"/>
              <w:rPr>
                <w:b/>
              </w:rPr>
            </w:pPr>
          </w:p>
        </w:tc>
        <w:tc>
          <w:tcPr>
            <w:tcW w:w="4394" w:type="dxa"/>
            <w:tcBorders>
              <w:top w:val="single" w:sz="6" w:space="0" w:color="000000"/>
              <w:left w:val="single" w:sz="6" w:space="0" w:color="000000"/>
              <w:bottom w:val="single" w:sz="6" w:space="0" w:color="000000"/>
              <w:right w:val="single" w:sz="6" w:space="0" w:color="000000"/>
            </w:tcBorders>
            <w:vAlign w:val="center"/>
          </w:tcPr>
          <w:p w14:paraId="11A8FD28" w14:textId="77777777" w:rsidR="00FA3411" w:rsidRDefault="00FA3411" w:rsidP="00C3517B">
            <w:pPr>
              <w:pStyle w:val="naisc"/>
              <w:spacing w:before="0" w:after="0"/>
              <w:ind w:right="3"/>
              <w:jc w:val="both"/>
              <w:rPr>
                <w:b/>
              </w:rPr>
            </w:pPr>
            <w:r>
              <w:rPr>
                <w:b/>
              </w:rPr>
              <w:t>Tieslietu ministrija:</w:t>
            </w:r>
          </w:p>
          <w:p w14:paraId="11A8FD29" w14:textId="77777777" w:rsidR="00FA3411" w:rsidRPr="00C3517B" w:rsidRDefault="00FA3411" w:rsidP="00C3517B">
            <w:pPr>
              <w:ind w:right="12" w:firstLine="567"/>
              <w:jc w:val="both"/>
            </w:pPr>
            <w:r>
              <w:t xml:space="preserve">2. Saistībā ar projekta 5. punktā ietverto atsauci uz </w:t>
            </w:r>
            <w:r w:rsidRPr="00F40987">
              <w:t>Eiropas Parlamenta un Padomes 2016.</w:t>
            </w:r>
            <w:r>
              <w:t> </w:t>
            </w:r>
            <w:r w:rsidRPr="00F40987">
              <w:t>gada 14. septembra Regul</w:t>
            </w:r>
            <w:r>
              <w:t>u</w:t>
            </w:r>
            <w:r w:rsidRPr="00F40987">
              <w:t xml:space="preserve"> (ES) 2016/1628 par prasībām attiecībā uz autoceļiem neparedzētas mobilās tehnikas </w:t>
            </w:r>
            <w:proofErr w:type="spellStart"/>
            <w:r w:rsidRPr="00F40987">
              <w:t>iekšdedzes</w:t>
            </w:r>
            <w:proofErr w:type="spellEnd"/>
            <w:r w:rsidRPr="00F40987">
              <w:t xml:space="preserve"> motoru gāzveida un </w:t>
            </w:r>
            <w:proofErr w:type="spellStart"/>
            <w:r w:rsidRPr="00F40987">
              <w:t>daļiņveida</w:t>
            </w:r>
            <w:proofErr w:type="spellEnd"/>
            <w:r w:rsidRPr="00F40987">
              <w:t xml:space="preserve"> piesārņotāju emisiju robežvērtībām un tipa apstiprināšanu, ar ko groza Regulas (ES) Nr. 1024/2012 un (ES) Nr.</w:t>
            </w:r>
            <w:r>
              <w:t> </w:t>
            </w:r>
            <w:r w:rsidRPr="00F40987">
              <w:t xml:space="preserve">167/2013 un groza un atceļ Direktīvu 97/68/EK, kuri </w:t>
            </w:r>
            <w:r w:rsidRPr="00F40987">
              <w:lastRenderedPageBreak/>
              <w:t>uzstādīti iekārtās, ko darbības laikā izmanto fiksētos stāvokļos, un paredzēti profesionāliem lietotājiem, bet ko izman</w:t>
            </w:r>
            <w:r>
              <w:t xml:space="preserve">to arī neprofesionāli lietotāji, lūdzam papildināt projekta anotācijas V sadaļas 1. punktu un 1. tabulu atbilstoši </w:t>
            </w:r>
            <w:r w:rsidRPr="00F40987">
              <w:t>Ministru kabineta 2009. gada 15. decembra instrukcijas Nr.</w:t>
            </w:r>
            <w:r>
              <w:t xml:space="preserve"> </w:t>
            </w:r>
            <w:r w:rsidRPr="00F40987">
              <w:t>19 “Tiesību akta projekta sākotnējās ietekmes izvērtēšanas kārtība”</w:t>
            </w:r>
            <w:r>
              <w:t xml:space="preserve"> 55. un 56. punktam.</w:t>
            </w:r>
          </w:p>
        </w:tc>
        <w:tc>
          <w:tcPr>
            <w:tcW w:w="2835" w:type="dxa"/>
            <w:tcBorders>
              <w:top w:val="single" w:sz="6" w:space="0" w:color="000000"/>
              <w:left w:val="single" w:sz="6" w:space="0" w:color="000000"/>
              <w:bottom w:val="single" w:sz="6" w:space="0" w:color="000000"/>
              <w:right w:val="single" w:sz="6" w:space="0" w:color="000000"/>
            </w:tcBorders>
          </w:tcPr>
          <w:p w14:paraId="11A8FD2A" w14:textId="77777777" w:rsidR="00FA3411" w:rsidRPr="000B51DA" w:rsidRDefault="00C3517B" w:rsidP="00D37538">
            <w:pPr>
              <w:pStyle w:val="Normal1"/>
              <w:rPr>
                <w:b/>
              </w:rPr>
            </w:pPr>
            <w:r>
              <w:rPr>
                <w:b/>
              </w:rPr>
              <w:lastRenderedPageBreak/>
              <w:t xml:space="preserve">Iebildums ir ņemts vērā. </w:t>
            </w:r>
          </w:p>
        </w:tc>
        <w:tc>
          <w:tcPr>
            <w:tcW w:w="3686" w:type="dxa"/>
            <w:tcBorders>
              <w:top w:val="single" w:sz="4" w:space="0" w:color="auto"/>
              <w:left w:val="single" w:sz="4" w:space="0" w:color="auto"/>
              <w:bottom w:val="single" w:sz="4" w:space="0" w:color="auto"/>
            </w:tcBorders>
            <w:vAlign w:val="center"/>
          </w:tcPr>
          <w:p w14:paraId="11A8FD2B" w14:textId="77777777" w:rsidR="00FA3411" w:rsidRPr="000B51DA" w:rsidRDefault="00FA3411" w:rsidP="00866E2F">
            <w:pPr>
              <w:jc w:val="both"/>
              <w:rPr>
                <w:b/>
              </w:rPr>
            </w:pPr>
          </w:p>
        </w:tc>
      </w:tr>
    </w:tbl>
    <w:p w14:paraId="11A8FD2D" w14:textId="77777777" w:rsidR="006C4DD0" w:rsidRDefault="006C4DD0" w:rsidP="006C4DD0">
      <w:pPr>
        <w:tabs>
          <w:tab w:val="left" w:pos="1052"/>
        </w:tabs>
      </w:pPr>
    </w:p>
    <w:tbl>
      <w:tblPr>
        <w:tblW w:w="13884" w:type="dxa"/>
        <w:tblLayout w:type="fixed"/>
        <w:tblLook w:val="00A0" w:firstRow="1" w:lastRow="0" w:firstColumn="1" w:lastColumn="0" w:noHBand="0" w:noVBand="0"/>
      </w:tblPr>
      <w:tblGrid>
        <w:gridCol w:w="4649"/>
        <w:gridCol w:w="9235"/>
      </w:tblGrid>
      <w:tr w:rsidR="006C4DD0" w:rsidRPr="00371588" w14:paraId="11A8FD32" w14:textId="77777777" w:rsidTr="00866E2F">
        <w:tc>
          <w:tcPr>
            <w:tcW w:w="3110" w:type="dxa"/>
          </w:tcPr>
          <w:p w14:paraId="11A8FD2E" w14:textId="77777777" w:rsidR="006C4DD0" w:rsidRPr="00371588" w:rsidRDefault="006C4DD0" w:rsidP="00866E2F">
            <w:pPr>
              <w:pStyle w:val="naiskr"/>
              <w:spacing w:before="0" w:after="0"/>
              <w:rPr>
                <w:sz w:val="20"/>
                <w:szCs w:val="20"/>
              </w:rPr>
            </w:pPr>
          </w:p>
          <w:p w14:paraId="11A8FD2F" w14:textId="77777777" w:rsidR="006C4DD0" w:rsidRPr="00371588" w:rsidRDefault="006C4DD0" w:rsidP="00866E2F">
            <w:pPr>
              <w:pStyle w:val="naiskr"/>
              <w:spacing w:before="0" w:after="0"/>
            </w:pPr>
            <w:r w:rsidRPr="00371588">
              <w:t>Atbildīgā amatpersona</w:t>
            </w:r>
          </w:p>
        </w:tc>
        <w:tc>
          <w:tcPr>
            <w:tcW w:w="6178" w:type="dxa"/>
          </w:tcPr>
          <w:p w14:paraId="11A8FD30" w14:textId="77777777" w:rsidR="006C4DD0" w:rsidRPr="00371588" w:rsidRDefault="006C4DD0" w:rsidP="00866E2F">
            <w:pPr>
              <w:jc w:val="center"/>
            </w:pPr>
          </w:p>
          <w:p w14:paraId="11A8FD31" w14:textId="77777777" w:rsidR="006C4DD0" w:rsidRPr="00371588" w:rsidRDefault="006C4DD0" w:rsidP="00866E2F">
            <w:pPr>
              <w:jc w:val="center"/>
            </w:pPr>
            <w:r>
              <w:t>Ilze Doniņa</w:t>
            </w:r>
          </w:p>
        </w:tc>
      </w:tr>
      <w:tr w:rsidR="006C4DD0" w:rsidRPr="00371588" w14:paraId="11A8FD35" w14:textId="77777777" w:rsidTr="00866E2F">
        <w:tc>
          <w:tcPr>
            <w:tcW w:w="3110" w:type="dxa"/>
          </w:tcPr>
          <w:p w14:paraId="11A8FD33" w14:textId="77777777" w:rsidR="006C4DD0" w:rsidRPr="00371588" w:rsidRDefault="006C4DD0" w:rsidP="00866E2F">
            <w:pPr>
              <w:pStyle w:val="naiskr"/>
              <w:spacing w:before="0" w:after="0"/>
              <w:ind w:firstLine="720"/>
            </w:pPr>
          </w:p>
        </w:tc>
        <w:tc>
          <w:tcPr>
            <w:tcW w:w="6178" w:type="dxa"/>
            <w:tcBorders>
              <w:top w:val="single" w:sz="6" w:space="0" w:color="000000"/>
            </w:tcBorders>
          </w:tcPr>
          <w:p w14:paraId="11A8FD34" w14:textId="77777777" w:rsidR="006C4DD0" w:rsidRPr="00371588" w:rsidRDefault="006C4DD0" w:rsidP="00866E2F">
            <w:pPr>
              <w:pStyle w:val="naisc"/>
              <w:spacing w:before="0" w:after="0"/>
              <w:ind w:firstLine="720"/>
            </w:pPr>
            <w:r w:rsidRPr="00371588">
              <w:t>(paraksts*)</w:t>
            </w:r>
          </w:p>
        </w:tc>
      </w:tr>
    </w:tbl>
    <w:p w14:paraId="11A8FD36" w14:textId="77777777" w:rsidR="006C4DD0" w:rsidRPr="00371588" w:rsidRDefault="006C4DD0" w:rsidP="006C4DD0">
      <w:pPr>
        <w:pStyle w:val="naisf"/>
        <w:spacing w:before="0" w:after="0"/>
        <w:ind w:firstLine="0"/>
        <w:rPr>
          <w:sz w:val="16"/>
          <w:szCs w:val="16"/>
        </w:rPr>
      </w:pPr>
    </w:p>
    <w:p w14:paraId="11A8FD37" w14:textId="5F51E31F" w:rsidR="006C4DD0" w:rsidRDefault="006C4DD0" w:rsidP="00866E2F">
      <w:pPr>
        <w:pStyle w:val="naisf"/>
        <w:spacing w:before="0" w:after="0"/>
        <w:ind w:firstLine="720"/>
      </w:pPr>
      <w:r>
        <w:t>Piezīme. * Dokumenta rekvizītu “paraksts”</w:t>
      </w:r>
      <w:r w:rsidRPr="00371588">
        <w:t xml:space="preserve"> neaizpilda, ja elektroniskais dokuments ir sagatavots atbilstoši normatīvajiem aktiem par elektronisko dokumentu noformēšanu.</w:t>
      </w:r>
      <w:bookmarkStart w:id="0" w:name="_GoBack"/>
      <w:bookmarkEnd w:id="0"/>
    </w:p>
    <w:sectPr w:rsidR="006C4DD0" w:rsidSect="006C4DD0">
      <w:headerReference w:type="default" r:id="rId7"/>
      <w:footerReference w:type="default" r:id="rId8"/>
      <w:footerReference w:type="first" r:id="rId9"/>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87BC7" w14:textId="77777777" w:rsidR="00B12CED" w:rsidRDefault="00B12CED" w:rsidP="00C3517B">
      <w:r>
        <w:separator/>
      </w:r>
    </w:p>
  </w:endnote>
  <w:endnote w:type="continuationSeparator" w:id="0">
    <w:p w14:paraId="1B8DA232" w14:textId="77777777" w:rsidR="00B12CED" w:rsidRDefault="00B12CED" w:rsidP="00C3517B">
      <w:r>
        <w:continuationSeparator/>
      </w:r>
    </w:p>
  </w:endnote>
  <w:endnote w:type="continuationNotice" w:id="1">
    <w:p w14:paraId="0175856B" w14:textId="77777777" w:rsidR="00B12CED" w:rsidRDefault="00B12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8FD54" w14:textId="77777777" w:rsidR="00B12CED" w:rsidRPr="00B12CED" w:rsidRDefault="00B12CED">
    <w:pPr>
      <w:pStyle w:val="Footer"/>
      <w:rPr>
        <w:sz w:val="20"/>
      </w:rPr>
    </w:pPr>
    <w:r w:rsidRPr="00B12CED">
      <w:rPr>
        <w:sz w:val="20"/>
      </w:rPr>
      <w:t>VARAMIzz_280720_groz84_ROHS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BD30A" w14:textId="5AEE9B2F" w:rsidR="00B12CED" w:rsidRPr="00B12CED" w:rsidRDefault="00B12CED">
    <w:pPr>
      <w:pStyle w:val="Footer"/>
      <w:rPr>
        <w:sz w:val="20"/>
      </w:rPr>
    </w:pPr>
    <w:r w:rsidRPr="00B12CED">
      <w:rPr>
        <w:sz w:val="20"/>
      </w:rPr>
      <w:t>VARAMIzz_280720_groz84_ROHS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4DAD8" w14:textId="77777777" w:rsidR="00B12CED" w:rsidRDefault="00B12CED" w:rsidP="00C3517B">
      <w:r>
        <w:separator/>
      </w:r>
    </w:p>
  </w:footnote>
  <w:footnote w:type="continuationSeparator" w:id="0">
    <w:p w14:paraId="211E023B" w14:textId="77777777" w:rsidR="00B12CED" w:rsidRDefault="00B12CED" w:rsidP="00C3517B">
      <w:r>
        <w:continuationSeparator/>
      </w:r>
    </w:p>
  </w:footnote>
  <w:footnote w:type="continuationNotice" w:id="1">
    <w:p w14:paraId="4C48DC24" w14:textId="77777777" w:rsidR="00B12CED" w:rsidRDefault="00B12C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558252"/>
      <w:docPartObj>
        <w:docPartGallery w:val="Page Numbers (Top of Page)"/>
        <w:docPartUnique/>
      </w:docPartObj>
    </w:sdtPr>
    <w:sdtEndPr>
      <w:rPr>
        <w:noProof/>
      </w:rPr>
    </w:sdtEndPr>
    <w:sdtContent>
      <w:p w14:paraId="11A8FD52" w14:textId="56551EAB" w:rsidR="00B12CED" w:rsidRDefault="00B12CE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1A8FD53" w14:textId="77777777" w:rsidR="00B12CED" w:rsidRDefault="00B12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411"/>
    <w:rsid w:val="000E7178"/>
    <w:rsid w:val="00260D59"/>
    <w:rsid w:val="002967E1"/>
    <w:rsid w:val="004D42CD"/>
    <w:rsid w:val="00581CDE"/>
    <w:rsid w:val="0059243D"/>
    <w:rsid w:val="006668FF"/>
    <w:rsid w:val="006C2F10"/>
    <w:rsid w:val="006C4DD0"/>
    <w:rsid w:val="007952C7"/>
    <w:rsid w:val="00866E2F"/>
    <w:rsid w:val="00A358D6"/>
    <w:rsid w:val="00AC6127"/>
    <w:rsid w:val="00B12CED"/>
    <w:rsid w:val="00B54FBE"/>
    <w:rsid w:val="00C3517B"/>
    <w:rsid w:val="00D37538"/>
    <w:rsid w:val="00F157E9"/>
    <w:rsid w:val="00FA34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FCE9"/>
  <w15:chartTrackingRefBased/>
  <w15:docId w15:val="{CD5188B2-44AB-4CC7-BD18-653C9636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41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A3411"/>
    <w:pPr>
      <w:spacing w:before="100" w:beforeAutospacing="1" w:after="100" w:afterAutospacing="1"/>
    </w:pPr>
  </w:style>
  <w:style w:type="paragraph" w:customStyle="1" w:styleId="naisf">
    <w:name w:val="naisf"/>
    <w:basedOn w:val="Normal"/>
    <w:uiPriority w:val="99"/>
    <w:rsid w:val="00FA3411"/>
    <w:pPr>
      <w:spacing w:before="75" w:after="75"/>
      <w:ind w:firstLine="375"/>
      <w:jc w:val="both"/>
    </w:pPr>
  </w:style>
  <w:style w:type="paragraph" w:customStyle="1" w:styleId="naiskr">
    <w:name w:val="naiskr"/>
    <w:basedOn w:val="Normal"/>
    <w:rsid w:val="00FA3411"/>
    <w:pPr>
      <w:spacing w:before="75" w:after="75"/>
    </w:pPr>
  </w:style>
  <w:style w:type="paragraph" w:customStyle="1" w:styleId="naisc">
    <w:name w:val="naisc"/>
    <w:basedOn w:val="Normal"/>
    <w:rsid w:val="00FA3411"/>
    <w:pPr>
      <w:spacing w:before="75" w:after="75"/>
      <w:jc w:val="center"/>
    </w:pPr>
  </w:style>
  <w:style w:type="paragraph" w:customStyle="1" w:styleId="Normal1">
    <w:name w:val="Normal1"/>
    <w:basedOn w:val="Normal"/>
    <w:rsid w:val="00A358D6"/>
    <w:pPr>
      <w:spacing w:before="100" w:beforeAutospacing="1" w:after="100" w:afterAutospacing="1"/>
    </w:pPr>
  </w:style>
  <w:style w:type="paragraph" w:styleId="Header">
    <w:name w:val="header"/>
    <w:basedOn w:val="Normal"/>
    <w:link w:val="HeaderChar"/>
    <w:uiPriority w:val="99"/>
    <w:unhideWhenUsed/>
    <w:rsid w:val="00C3517B"/>
    <w:pPr>
      <w:tabs>
        <w:tab w:val="center" w:pos="4153"/>
        <w:tab w:val="right" w:pos="8306"/>
      </w:tabs>
    </w:pPr>
  </w:style>
  <w:style w:type="character" w:customStyle="1" w:styleId="HeaderChar">
    <w:name w:val="Header Char"/>
    <w:basedOn w:val="DefaultParagraphFont"/>
    <w:link w:val="Header"/>
    <w:uiPriority w:val="99"/>
    <w:rsid w:val="00C3517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3517B"/>
    <w:pPr>
      <w:tabs>
        <w:tab w:val="center" w:pos="4153"/>
        <w:tab w:val="right" w:pos="8306"/>
      </w:tabs>
    </w:pPr>
  </w:style>
  <w:style w:type="character" w:customStyle="1" w:styleId="FooterChar">
    <w:name w:val="Footer Char"/>
    <w:basedOn w:val="DefaultParagraphFont"/>
    <w:link w:val="Footer"/>
    <w:uiPriority w:val="99"/>
    <w:rsid w:val="00C3517B"/>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09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2565</Words>
  <Characters>1463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Grozījumi Ministru kabineta 2013. gada 5. februāra noteikumos Nr. 84 “Noteikumi par atsevišķu ķīmisku vielu lietošanas ierobežojumiem elektriskajās un elektroniskajās iekārtās”” (VSS-561)</vt:lpstr>
    </vt:vector>
  </TitlesOfParts>
  <Company>Vides aizsardzības un reģionālās attīstības ministrija</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5. februāra noteikumos Nr. 84 “Noteikumi par atsevišķu ķīmisku vielu lietošanas ierobežojumiem elektriskajās un elektroniskajās iekārtās”” (VSS-561)</dc:title>
  <dc:subject>Izziņa</dc:subject>
  <dc:creator>Ilze Doniņa</dc:creator>
  <cp:keywords/>
  <dc:description>Doniņa 67026515_x000d_
ilze.donina@varam.gov.lv</dc:description>
  <cp:lastModifiedBy>Madara Gaile</cp:lastModifiedBy>
  <cp:revision>7</cp:revision>
  <dcterms:created xsi:type="dcterms:W3CDTF">2020-08-14T10:54:00Z</dcterms:created>
  <dcterms:modified xsi:type="dcterms:W3CDTF">2020-08-18T11:24:00Z</dcterms:modified>
  <cp:category>Vides politika</cp:category>
</cp:coreProperties>
</file>