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A8EE" w14:textId="0457351B" w:rsidR="00CE01FF" w:rsidRDefault="00CE01FF" w:rsidP="00AE67E3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209CEE01" w14:textId="3F6361BF" w:rsidR="00AE67E3" w:rsidRDefault="00AE67E3" w:rsidP="00AE67E3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62A9BDDE" w14:textId="77777777" w:rsidR="00AE67E3" w:rsidRPr="00AE67E3" w:rsidRDefault="00AE67E3" w:rsidP="00AE67E3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203E2419" w14:textId="7B7AD54B" w:rsidR="00280C45" w:rsidRPr="00AE67E3" w:rsidRDefault="00280C45" w:rsidP="00AE67E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7E3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4F75B3">
        <w:rPr>
          <w:rFonts w:ascii="Times New Roman" w:eastAsia="Times New Roman" w:hAnsi="Times New Roman" w:cs="Times New Roman"/>
          <w:sz w:val="28"/>
          <w:szCs w:val="28"/>
        </w:rPr>
        <w:t>2. septembrī</w:t>
      </w:r>
      <w:r w:rsidRPr="00AE67E3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F75B3">
        <w:rPr>
          <w:rFonts w:ascii="Times New Roman" w:eastAsia="Times New Roman" w:hAnsi="Times New Roman" w:cs="Times New Roman"/>
          <w:sz w:val="28"/>
          <w:szCs w:val="28"/>
        </w:rPr>
        <w:t> 553</w:t>
      </w:r>
    </w:p>
    <w:p w14:paraId="0AFB9A6B" w14:textId="0A4D6524" w:rsidR="00280C45" w:rsidRPr="00AE67E3" w:rsidRDefault="00280C45" w:rsidP="00AE67E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E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E67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E67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E67E3">
        <w:rPr>
          <w:rFonts w:ascii="Times New Roman" w:eastAsia="Times New Roman" w:hAnsi="Times New Roman" w:cs="Times New Roman"/>
          <w:sz w:val="28"/>
          <w:szCs w:val="28"/>
        </w:rPr>
        <w:t>prot. Nr.</w:t>
      </w:r>
      <w:r w:rsidR="004F75B3">
        <w:rPr>
          <w:rFonts w:ascii="Times New Roman" w:eastAsia="Times New Roman" w:hAnsi="Times New Roman" w:cs="Times New Roman"/>
          <w:sz w:val="28"/>
          <w:szCs w:val="28"/>
        </w:rPr>
        <w:t> 51 15</w:t>
      </w:r>
      <w:bookmarkStart w:id="0" w:name="_GoBack"/>
      <w:bookmarkEnd w:id="0"/>
      <w:r w:rsidRPr="00AE67E3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4EBE13D" w14:textId="77777777" w:rsidR="00371815" w:rsidRPr="00AE67E3" w:rsidRDefault="00371815" w:rsidP="00AE67E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682CA21F" w14:textId="45854331" w:rsidR="00371815" w:rsidRPr="00AE67E3" w:rsidRDefault="00371815" w:rsidP="00AE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E3">
        <w:rPr>
          <w:rFonts w:ascii="Times New Roman" w:hAnsi="Times New Roman" w:cs="Times New Roman"/>
          <w:b/>
          <w:sz w:val="28"/>
          <w:szCs w:val="28"/>
        </w:rPr>
        <w:t xml:space="preserve">Grozījumi Ministru kabineta 2013. gada 5. februāra noteikumos Nr. 84 </w:t>
      </w:r>
      <w:r w:rsidR="00AE67E3" w:rsidRPr="00AE67E3">
        <w:rPr>
          <w:rFonts w:ascii="Times New Roman" w:hAnsi="Times New Roman" w:cs="Times New Roman"/>
          <w:b/>
          <w:sz w:val="28"/>
          <w:szCs w:val="28"/>
        </w:rPr>
        <w:t>"</w:t>
      </w:r>
      <w:r w:rsidRPr="00AE67E3">
        <w:rPr>
          <w:rFonts w:ascii="Times New Roman" w:hAnsi="Times New Roman" w:cs="Times New Roman"/>
          <w:b/>
          <w:sz w:val="28"/>
          <w:szCs w:val="28"/>
        </w:rPr>
        <w:t>Noteikumi par atsevišķu bīstamu ķīmisku vielu lietošanas ierobežojumiem elektriskajās un elektroniskajās iekārtās</w:t>
      </w:r>
      <w:r w:rsidR="00AE67E3" w:rsidRPr="00AE67E3">
        <w:rPr>
          <w:rFonts w:ascii="Times New Roman" w:hAnsi="Times New Roman" w:cs="Times New Roman"/>
          <w:b/>
          <w:sz w:val="28"/>
          <w:szCs w:val="28"/>
        </w:rPr>
        <w:t>"</w:t>
      </w:r>
    </w:p>
    <w:p w14:paraId="13546B9C" w14:textId="77777777" w:rsidR="00371815" w:rsidRPr="00AE67E3" w:rsidRDefault="00371815" w:rsidP="00AE6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89675D" w14:textId="77777777" w:rsidR="00333F89" w:rsidRDefault="00371815" w:rsidP="00AE6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Izdoti saskaņā ar Ķīmisko vielu likuma</w:t>
      </w:r>
    </w:p>
    <w:p w14:paraId="28B10C2D" w14:textId="74B5F5FF" w:rsidR="00371815" w:rsidRPr="00AE67E3" w:rsidRDefault="00371815" w:rsidP="00AE6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 xml:space="preserve"> 16. panta otro daļu </w:t>
      </w:r>
      <w:r w:rsidR="00333F89" w:rsidRPr="00AE67E3">
        <w:rPr>
          <w:rFonts w:ascii="Times New Roman" w:hAnsi="Times New Roman" w:cs="Times New Roman"/>
          <w:sz w:val="28"/>
          <w:szCs w:val="28"/>
        </w:rPr>
        <w:t>un likuma</w:t>
      </w:r>
    </w:p>
    <w:p w14:paraId="2B2CDF49" w14:textId="4F25B5A2" w:rsidR="00371815" w:rsidRPr="00AE67E3" w:rsidRDefault="00AE67E3" w:rsidP="00AE6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"</w:t>
      </w:r>
      <w:r w:rsidR="00371815" w:rsidRPr="00AE67E3">
        <w:rPr>
          <w:rFonts w:ascii="Times New Roman" w:hAnsi="Times New Roman" w:cs="Times New Roman"/>
          <w:sz w:val="28"/>
          <w:szCs w:val="28"/>
        </w:rPr>
        <w:t>Par atbilstības novērtēšanu</w:t>
      </w:r>
      <w:r w:rsidRPr="00AE67E3">
        <w:rPr>
          <w:rFonts w:ascii="Times New Roman" w:hAnsi="Times New Roman" w:cs="Times New Roman"/>
          <w:sz w:val="28"/>
          <w:szCs w:val="28"/>
        </w:rPr>
        <w:t>"</w:t>
      </w:r>
    </w:p>
    <w:p w14:paraId="737EAB30" w14:textId="77777777" w:rsidR="00371815" w:rsidRPr="00AE67E3" w:rsidRDefault="00371815" w:rsidP="00AE67E3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7. panta pirmo daļu</w:t>
      </w:r>
    </w:p>
    <w:p w14:paraId="5D7A4F11" w14:textId="77777777" w:rsidR="00371815" w:rsidRPr="00AE67E3" w:rsidRDefault="00371815" w:rsidP="00AE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8181E" w14:textId="64EC1851" w:rsidR="00371815" w:rsidRPr="00AE67E3" w:rsidRDefault="00CE01FF" w:rsidP="00AE67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 xml:space="preserve">1. </w:t>
      </w:r>
      <w:r w:rsidR="00371815" w:rsidRPr="00AE67E3">
        <w:rPr>
          <w:rFonts w:ascii="Times New Roman" w:hAnsi="Times New Roman" w:cs="Times New Roman"/>
          <w:sz w:val="28"/>
          <w:szCs w:val="28"/>
        </w:rPr>
        <w:t xml:space="preserve">Izdarīt Ministru kabineta 2013. gada 5. februāra noteikumos Nr. 84 </w:t>
      </w:r>
      <w:r w:rsidR="00AE67E3" w:rsidRPr="00AE67E3">
        <w:rPr>
          <w:rFonts w:ascii="Times New Roman" w:hAnsi="Times New Roman" w:cs="Times New Roman"/>
          <w:sz w:val="28"/>
          <w:szCs w:val="28"/>
        </w:rPr>
        <w:t>"</w:t>
      </w:r>
      <w:r w:rsidR="00371815" w:rsidRPr="00AE67E3">
        <w:rPr>
          <w:rFonts w:ascii="Times New Roman" w:hAnsi="Times New Roman" w:cs="Times New Roman"/>
          <w:sz w:val="28"/>
          <w:szCs w:val="28"/>
        </w:rPr>
        <w:t>Noteikumi par atsevišķu bīstamu ķīmisku vielu lietošanas ierobežojumiem elektriskajās un elektroniskajās iekārtās</w:t>
      </w:r>
      <w:r w:rsidR="00AE67E3" w:rsidRPr="00AE67E3">
        <w:rPr>
          <w:rFonts w:ascii="Times New Roman" w:hAnsi="Times New Roman" w:cs="Times New Roman"/>
          <w:sz w:val="28"/>
          <w:szCs w:val="28"/>
        </w:rPr>
        <w:t>"</w:t>
      </w:r>
      <w:r w:rsidR="00371815" w:rsidRPr="00AE6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815" w:rsidRPr="00AE67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1815" w:rsidRPr="00AE67E3">
        <w:rPr>
          <w:rFonts w:ascii="Times New Roman" w:hAnsi="Times New Roman" w:cs="Times New Roman"/>
          <w:sz w:val="28"/>
          <w:szCs w:val="28"/>
        </w:rPr>
        <w:t>Latvijas Vēstnesis, 2013, 47</w:t>
      </w:r>
      <w:r w:rsidR="00AE67E3">
        <w:rPr>
          <w:rFonts w:ascii="Times New Roman" w:hAnsi="Times New Roman" w:cs="Times New Roman"/>
          <w:sz w:val="28"/>
          <w:szCs w:val="28"/>
        </w:rPr>
        <w:t>. n</w:t>
      </w:r>
      <w:r w:rsidR="00371815" w:rsidRPr="00AE67E3">
        <w:rPr>
          <w:rFonts w:ascii="Times New Roman" w:hAnsi="Times New Roman" w:cs="Times New Roman"/>
          <w:sz w:val="28"/>
          <w:szCs w:val="28"/>
        </w:rPr>
        <w:t>r.; 2014, 109., 210</w:t>
      </w:r>
      <w:r w:rsidR="00AE67E3">
        <w:rPr>
          <w:rFonts w:ascii="Times New Roman" w:hAnsi="Times New Roman" w:cs="Times New Roman"/>
          <w:sz w:val="28"/>
          <w:szCs w:val="28"/>
        </w:rPr>
        <w:t>. n</w:t>
      </w:r>
      <w:r w:rsidR="00371815" w:rsidRPr="00AE67E3">
        <w:rPr>
          <w:rFonts w:ascii="Times New Roman" w:hAnsi="Times New Roman" w:cs="Times New Roman"/>
          <w:sz w:val="28"/>
          <w:szCs w:val="28"/>
        </w:rPr>
        <w:t>r.; 2016, 14</w:t>
      </w:r>
      <w:r w:rsidR="00AE67E3">
        <w:rPr>
          <w:rFonts w:ascii="Times New Roman" w:hAnsi="Times New Roman" w:cs="Times New Roman"/>
          <w:sz w:val="28"/>
          <w:szCs w:val="28"/>
        </w:rPr>
        <w:t>. n</w:t>
      </w:r>
      <w:r w:rsidR="00371815" w:rsidRPr="00AE67E3">
        <w:rPr>
          <w:rFonts w:ascii="Times New Roman" w:hAnsi="Times New Roman" w:cs="Times New Roman"/>
          <w:sz w:val="28"/>
          <w:szCs w:val="28"/>
        </w:rPr>
        <w:t>r.; 2017, 56., 249</w:t>
      </w:r>
      <w:r w:rsidR="00AE67E3">
        <w:rPr>
          <w:rFonts w:ascii="Times New Roman" w:hAnsi="Times New Roman" w:cs="Times New Roman"/>
          <w:sz w:val="28"/>
          <w:szCs w:val="28"/>
        </w:rPr>
        <w:t>. n</w:t>
      </w:r>
      <w:r w:rsidR="00371815" w:rsidRPr="00AE67E3">
        <w:rPr>
          <w:rFonts w:ascii="Times New Roman" w:hAnsi="Times New Roman" w:cs="Times New Roman"/>
          <w:sz w:val="28"/>
          <w:szCs w:val="28"/>
        </w:rPr>
        <w:t>r.; 2018, 157</w:t>
      </w:r>
      <w:r w:rsidR="00AE67E3">
        <w:rPr>
          <w:rFonts w:ascii="Times New Roman" w:hAnsi="Times New Roman" w:cs="Times New Roman"/>
          <w:sz w:val="28"/>
          <w:szCs w:val="28"/>
        </w:rPr>
        <w:t>. n</w:t>
      </w:r>
      <w:r w:rsidR="00371815" w:rsidRPr="00AE67E3">
        <w:rPr>
          <w:rFonts w:ascii="Times New Roman" w:hAnsi="Times New Roman" w:cs="Times New Roman"/>
          <w:sz w:val="28"/>
          <w:szCs w:val="28"/>
        </w:rPr>
        <w:t>r.; 2019, 7., 139</w:t>
      </w:r>
      <w:r w:rsidR="00AE67E3">
        <w:rPr>
          <w:rFonts w:ascii="Times New Roman" w:hAnsi="Times New Roman" w:cs="Times New Roman"/>
          <w:sz w:val="28"/>
          <w:szCs w:val="28"/>
        </w:rPr>
        <w:t>. n</w:t>
      </w:r>
      <w:r w:rsidR="00371815" w:rsidRPr="00AE67E3">
        <w:rPr>
          <w:rFonts w:ascii="Times New Roman" w:hAnsi="Times New Roman" w:cs="Times New Roman"/>
          <w:sz w:val="28"/>
          <w:szCs w:val="28"/>
        </w:rPr>
        <w:t>r.; 2020, 84B</w:t>
      </w:r>
      <w:r w:rsidR="00AE67E3">
        <w:rPr>
          <w:rFonts w:ascii="Times New Roman" w:hAnsi="Times New Roman" w:cs="Times New Roman"/>
          <w:sz w:val="28"/>
          <w:szCs w:val="28"/>
        </w:rPr>
        <w:t>. n</w:t>
      </w:r>
      <w:r w:rsidR="00371815" w:rsidRPr="00AE67E3">
        <w:rPr>
          <w:rFonts w:ascii="Times New Roman" w:hAnsi="Times New Roman" w:cs="Times New Roman"/>
          <w:sz w:val="28"/>
          <w:szCs w:val="28"/>
        </w:rPr>
        <w:t>r.) šādus grozījumus:</w:t>
      </w:r>
    </w:p>
    <w:p w14:paraId="77072E53" w14:textId="7403B914" w:rsidR="00371815" w:rsidRPr="00AE67E3" w:rsidRDefault="00371815" w:rsidP="00AE67E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CE01FF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</w:t>
      </w:r>
      <w:r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15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E01FF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apildināt </w:t>
      </w:r>
      <w:r w:rsidR="00CE01FF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nformatīvo atsauci uz Eiropas Savienības direktīvām ar 57., 58.,</w:t>
      </w:r>
      <w:r w:rsidR="00704C57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59.,</w:t>
      </w:r>
      <w:r w:rsidR="006237D9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11FEE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60.</w:t>
      </w:r>
      <w:r w:rsidR="00C03CC1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7F2603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237D9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61.</w:t>
      </w:r>
      <w:r w:rsidR="00C03CC1"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62. </w:t>
      </w:r>
      <w:r w:rsidRPr="00AE67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6989163E" w14:textId="77777777" w:rsidR="00371815" w:rsidRPr="00AE67E3" w:rsidRDefault="00371815" w:rsidP="00AE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73E89" w14:textId="5EE8BE8E" w:rsidR="00371815" w:rsidRPr="00AE67E3" w:rsidRDefault="00AE67E3" w:rsidP="00AE67E3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7E3">
        <w:rPr>
          <w:rFonts w:ascii="Times New Roman" w:hAnsi="Times New Roman" w:cs="Times New Roman"/>
          <w:sz w:val="28"/>
          <w:szCs w:val="28"/>
        </w:rPr>
        <w:t>"</w:t>
      </w:r>
      <w:r w:rsidR="00371815" w:rsidRPr="00AE67E3">
        <w:rPr>
          <w:rFonts w:ascii="Times New Roman" w:hAnsi="Times New Roman" w:cs="Times New Roman"/>
          <w:sz w:val="28"/>
          <w:szCs w:val="28"/>
        </w:rPr>
        <w:t>57) Komisijas 2019.</w:t>
      </w:r>
      <w:r w:rsidRPr="00AE67E3">
        <w:rPr>
          <w:rFonts w:ascii="Times New Roman" w:hAnsi="Times New Roman" w:cs="Times New Roman"/>
          <w:sz w:val="28"/>
          <w:szCs w:val="28"/>
        </w:rPr>
        <w:t> </w:t>
      </w:r>
      <w:r w:rsidR="00371815" w:rsidRPr="00AE67E3">
        <w:rPr>
          <w:rFonts w:ascii="Times New Roman" w:hAnsi="Times New Roman" w:cs="Times New Roman"/>
          <w:sz w:val="28"/>
          <w:szCs w:val="28"/>
        </w:rPr>
        <w:t xml:space="preserve">gada </w:t>
      </w:r>
      <w:r w:rsidR="00371815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8. augusta Deleģētās direktīvas </w:t>
      </w:r>
      <w:r w:rsidR="00CE01FF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(ES) </w:t>
      </w:r>
      <w:r w:rsidR="00371815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2019/1846, ar ko, pielāgojot zinātnes un tehnikas attīstībai, Eiropas Parlamenta un Padomes Direktīvas </w:t>
      </w:r>
      <w:r w:rsidR="00371815" w:rsidRPr="00AE67E3">
        <w:rPr>
          <w:rStyle w:val="findhit"/>
          <w:rFonts w:ascii="Times New Roman" w:hAnsi="Times New Roman" w:cs="Times New Roman"/>
          <w:sz w:val="28"/>
          <w:szCs w:val="28"/>
          <w:shd w:val="clear" w:color="auto" w:fill="FFFFFF"/>
        </w:rPr>
        <w:t>2011/65</w:t>
      </w:r>
      <w:r w:rsidR="00371815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/ES III pielikumu groza attiecībā uz atbrīvojumu </w:t>
      </w:r>
      <w:r w:rsidR="00371815" w:rsidRPr="00AE67E3">
        <w:rPr>
          <w:rFonts w:ascii="Times New Roman" w:hAnsi="Times New Roman" w:cs="Times New Roman"/>
          <w:sz w:val="28"/>
          <w:szCs w:val="28"/>
        </w:rPr>
        <w:t>svina izmantošanai noteiktu iekšdedzes motoru lodmetālos</w:t>
      </w:r>
      <w:r w:rsidR="00371815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96EAD5" w14:textId="438488AA" w:rsidR="00371815" w:rsidRPr="00AE67E3" w:rsidRDefault="00371815" w:rsidP="00AE67E3">
      <w:pPr>
        <w:tabs>
          <w:tab w:val="left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58)</w:t>
      </w:r>
      <w:r w:rsidR="00333F8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4C57" w:rsidRPr="00AE67E3">
        <w:rPr>
          <w:rFonts w:ascii="Times New Roman" w:hAnsi="Times New Roman" w:cs="Times New Roman"/>
          <w:sz w:val="28"/>
          <w:szCs w:val="28"/>
        </w:rPr>
        <w:t>Komisijas 2019.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="00704C57" w:rsidRPr="00AE67E3">
        <w:rPr>
          <w:rFonts w:ascii="Times New Roman" w:hAnsi="Times New Roman" w:cs="Times New Roman"/>
          <w:sz w:val="28"/>
          <w:szCs w:val="28"/>
        </w:rPr>
        <w:t>gada 17.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="00704C57" w:rsidRPr="00AE67E3">
        <w:rPr>
          <w:rFonts w:ascii="Times New Roman" w:hAnsi="Times New Roman" w:cs="Times New Roman"/>
          <w:sz w:val="28"/>
          <w:szCs w:val="28"/>
        </w:rPr>
        <w:t xml:space="preserve">decembra Deleģētās direktīvas </w:t>
      </w:r>
      <w:r w:rsidR="00CE01FF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(ES) </w:t>
      </w:r>
      <w:r w:rsidR="00704C57" w:rsidRPr="00AE67E3">
        <w:rPr>
          <w:rFonts w:ascii="Times New Roman" w:hAnsi="Times New Roman" w:cs="Times New Roman"/>
          <w:sz w:val="28"/>
          <w:szCs w:val="28"/>
        </w:rPr>
        <w:t>2020/360, ar ko, pielāgojot zinātnes un tehnikas attīstībai, Eiropas Parlamenta un Padomes Direktīvas 2011/65/ES IV pielikumu groza attiecībā uz atbrīvojumu svina lietošanai ar platīnu pārklātos platīna elektrodos, kurus izmanto dažiem vadītspējas mērījumiem;</w:t>
      </w:r>
    </w:p>
    <w:p w14:paraId="27BBB7C9" w14:textId="71CD3294" w:rsidR="00704C57" w:rsidRPr="00AE67E3" w:rsidRDefault="00704C57" w:rsidP="00AE67E3">
      <w:pPr>
        <w:tabs>
          <w:tab w:val="left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59)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Komisijas 20</w:t>
      </w:r>
      <w:r w:rsidR="00CE01FF" w:rsidRPr="00AE67E3">
        <w:rPr>
          <w:rFonts w:ascii="Times New Roman" w:hAnsi="Times New Roman" w:cs="Times New Roman"/>
          <w:sz w:val="28"/>
          <w:szCs w:val="28"/>
        </w:rPr>
        <w:t>19</w:t>
      </w:r>
      <w:r w:rsidRPr="00AE67E3">
        <w:rPr>
          <w:rFonts w:ascii="Times New Roman" w:hAnsi="Times New Roman" w:cs="Times New Roman"/>
          <w:sz w:val="28"/>
          <w:szCs w:val="28"/>
        </w:rPr>
        <w:t>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gada 17.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decembra Deleģētās direktīvas</w:t>
      </w:r>
      <w:r w:rsidR="00CE01FF" w:rsidRPr="00AE67E3">
        <w:rPr>
          <w:rFonts w:ascii="Times New Roman" w:hAnsi="Times New Roman" w:cs="Times New Roman"/>
          <w:sz w:val="28"/>
          <w:szCs w:val="28"/>
        </w:rPr>
        <w:t xml:space="preserve"> </w:t>
      </w:r>
      <w:r w:rsidR="00CE01FF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(ES)</w:t>
      </w:r>
      <w:r w:rsidRPr="00AE67E3">
        <w:rPr>
          <w:rFonts w:ascii="Times New Roman" w:hAnsi="Times New Roman" w:cs="Times New Roman"/>
          <w:sz w:val="28"/>
          <w:szCs w:val="28"/>
        </w:rPr>
        <w:t xml:space="preserve"> 2020/361, ar ko, pielāgojot zinātnes un tehnikas attīstībai, Eiropas Parlamenta un Padomes Direktīvas 2011/65/ES III pielikumu groza attiecībā uz atbrīvojumu sešvērtīgā hroma izmantošanai par pretkorozijas aģentu absorbcijas ledusskapju dzesēšanas sistēmās no oglekļa tērauda</w:t>
      </w:r>
      <w:r w:rsidR="00011FEE" w:rsidRPr="00AE67E3">
        <w:rPr>
          <w:rFonts w:ascii="Times New Roman" w:hAnsi="Times New Roman" w:cs="Times New Roman"/>
          <w:sz w:val="28"/>
          <w:szCs w:val="28"/>
        </w:rPr>
        <w:t>;</w:t>
      </w:r>
    </w:p>
    <w:p w14:paraId="67865BA8" w14:textId="1D55D018" w:rsidR="00011FEE" w:rsidRPr="00AE67E3" w:rsidRDefault="00C03CC1" w:rsidP="00AE67E3">
      <w:pPr>
        <w:tabs>
          <w:tab w:val="left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60</w:t>
      </w:r>
      <w:r w:rsidR="00011FEE" w:rsidRPr="00AE67E3">
        <w:rPr>
          <w:rFonts w:ascii="Times New Roman" w:hAnsi="Times New Roman" w:cs="Times New Roman"/>
          <w:sz w:val="28"/>
          <w:szCs w:val="28"/>
        </w:rPr>
        <w:t>)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="00011FEE" w:rsidRPr="00AE67E3">
        <w:rPr>
          <w:rFonts w:ascii="Times New Roman" w:hAnsi="Times New Roman" w:cs="Times New Roman"/>
          <w:sz w:val="28"/>
          <w:szCs w:val="28"/>
        </w:rPr>
        <w:t>Komisijas 2019.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="00011FEE" w:rsidRPr="00AE67E3">
        <w:rPr>
          <w:rFonts w:ascii="Times New Roman" w:hAnsi="Times New Roman" w:cs="Times New Roman"/>
          <w:sz w:val="28"/>
          <w:szCs w:val="28"/>
        </w:rPr>
        <w:t>gada 17.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="00011FEE" w:rsidRPr="00AE67E3">
        <w:rPr>
          <w:rFonts w:ascii="Times New Roman" w:hAnsi="Times New Roman" w:cs="Times New Roman"/>
          <w:sz w:val="28"/>
          <w:szCs w:val="28"/>
        </w:rPr>
        <w:t>decembra Deleģētās direktīvas</w:t>
      </w:r>
      <w:r w:rsidR="00D0170F" w:rsidRPr="00AE67E3">
        <w:rPr>
          <w:rFonts w:ascii="Times New Roman" w:hAnsi="Times New Roman" w:cs="Times New Roman"/>
          <w:sz w:val="28"/>
          <w:szCs w:val="28"/>
        </w:rPr>
        <w:t xml:space="preserve"> </w:t>
      </w:r>
      <w:r w:rsidR="00D0170F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(ES) </w:t>
      </w:r>
      <w:r w:rsidR="00011FEE" w:rsidRPr="00AE67E3">
        <w:rPr>
          <w:rFonts w:ascii="Times New Roman" w:hAnsi="Times New Roman" w:cs="Times New Roman"/>
          <w:sz w:val="28"/>
          <w:szCs w:val="28"/>
        </w:rPr>
        <w:t xml:space="preserve">2020/364, ar ko, </w:t>
      </w:r>
      <w:proofErr w:type="gramStart"/>
      <w:r w:rsidR="00011FEE" w:rsidRPr="00AE67E3">
        <w:rPr>
          <w:rFonts w:ascii="Times New Roman" w:hAnsi="Times New Roman" w:cs="Times New Roman"/>
          <w:sz w:val="28"/>
          <w:szCs w:val="28"/>
        </w:rPr>
        <w:t>pielāgojot zinātnes</w:t>
      </w:r>
      <w:proofErr w:type="gramEnd"/>
      <w:r w:rsidR="00011FEE" w:rsidRPr="00AE67E3">
        <w:rPr>
          <w:rFonts w:ascii="Times New Roman" w:hAnsi="Times New Roman" w:cs="Times New Roman"/>
          <w:sz w:val="28"/>
          <w:szCs w:val="28"/>
        </w:rPr>
        <w:t xml:space="preserve"> un tehnikas attīstībai, Eiropas Parlamenta un </w:t>
      </w:r>
      <w:r w:rsidR="00011FEE" w:rsidRPr="00AE67E3">
        <w:rPr>
          <w:rFonts w:ascii="Times New Roman" w:hAnsi="Times New Roman" w:cs="Times New Roman"/>
          <w:sz w:val="28"/>
          <w:szCs w:val="28"/>
        </w:rPr>
        <w:lastRenderedPageBreak/>
        <w:t xml:space="preserve">Padomes Direktīvas 2011/65/ES IV pielikumu groza attiecībā uz atbrīvojumu kadmija izmantošanai dažos </w:t>
      </w:r>
      <w:proofErr w:type="spellStart"/>
      <w:r w:rsidR="00011FEE" w:rsidRPr="00AE67E3">
        <w:rPr>
          <w:rFonts w:ascii="Times New Roman" w:hAnsi="Times New Roman" w:cs="Times New Roman"/>
          <w:sz w:val="28"/>
          <w:szCs w:val="28"/>
        </w:rPr>
        <w:t>starojumizturīgos</w:t>
      </w:r>
      <w:proofErr w:type="spellEnd"/>
      <w:r w:rsidR="00011FEE" w:rsidRPr="00AE67E3">
        <w:rPr>
          <w:rFonts w:ascii="Times New Roman" w:hAnsi="Times New Roman" w:cs="Times New Roman"/>
          <w:sz w:val="28"/>
          <w:szCs w:val="28"/>
        </w:rPr>
        <w:t xml:space="preserve"> videokameru kineskopos;</w:t>
      </w:r>
    </w:p>
    <w:p w14:paraId="28771A5E" w14:textId="6CA5840C" w:rsidR="00011FEE" w:rsidRPr="00AE67E3" w:rsidRDefault="00011FEE" w:rsidP="00AE67E3">
      <w:pPr>
        <w:tabs>
          <w:tab w:val="left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6</w:t>
      </w:r>
      <w:r w:rsidR="00C03CC1" w:rsidRPr="00AE67E3">
        <w:rPr>
          <w:rFonts w:ascii="Times New Roman" w:hAnsi="Times New Roman" w:cs="Times New Roman"/>
          <w:sz w:val="28"/>
          <w:szCs w:val="28"/>
        </w:rPr>
        <w:t>1</w:t>
      </w:r>
      <w:r w:rsidRPr="00AE67E3">
        <w:rPr>
          <w:rFonts w:ascii="Times New Roman" w:hAnsi="Times New Roman" w:cs="Times New Roman"/>
          <w:sz w:val="28"/>
          <w:szCs w:val="28"/>
        </w:rPr>
        <w:t>)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Komisijas 2019.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gada 17.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decembra Deleģētās direktīvas</w:t>
      </w:r>
      <w:r w:rsidR="00D0170F" w:rsidRPr="00AE67E3">
        <w:rPr>
          <w:rFonts w:ascii="Times New Roman" w:hAnsi="Times New Roman" w:cs="Times New Roman"/>
          <w:sz w:val="28"/>
          <w:szCs w:val="28"/>
        </w:rPr>
        <w:t xml:space="preserve"> </w:t>
      </w:r>
      <w:r w:rsidR="00D0170F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(ES)</w:t>
      </w:r>
      <w:r w:rsidRPr="00AE67E3">
        <w:rPr>
          <w:rFonts w:ascii="Times New Roman" w:hAnsi="Times New Roman" w:cs="Times New Roman"/>
          <w:sz w:val="28"/>
          <w:szCs w:val="28"/>
        </w:rPr>
        <w:t xml:space="preserve"> 2020/365, ar ko, pielāgojot zinātnes un tehnikas attīstībai, Eiropas Parlamenta un Padomes Direktīvas 2011/65/ES III pielikumu groza attiecībā uz atbrīvojumu svina izmantošanai noteiktu iekšdedzes motoru lodmetālos un savienojumu pārklājumos</w:t>
      </w:r>
      <w:r w:rsidR="006237D9" w:rsidRPr="00AE67E3">
        <w:rPr>
          <w:rFonts w:ascii="Times New Roman" w:hAnsi="Times New Roman" w:cs="Times New Roman"/>
          <w:sz w:val="28"/>
          <w:szCs w:val="28"/>
        </w:rPr>
        <w:t>;</w:t>
      </w:r>
    </w:p>
    <w:p w14:paraId="7C3B55EC" w14:textId="70896A4B" w:rsidR="006237D9" w:rsidRPr="00AE67E3" w:rsidRDefault="006237D9" w:rsidP="00AE67E3">
      <w:pPr>
        <w:tabs>
          <w:tab w:val="left" w:pos="2148"/>
        </w:tabs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7E3">
        <w:rPr>
          <w:rFonts w:ascii="Times New Roman" w:hAnsi="Times New Roman" w:cs="Times New Roman"/>
          <w:sz w:val="28"/>
          <w:szCs w:val="28"/>
        </w:rPr>
        <w:t>6</w:t>
      </w:r>
      <w:r w:rsidR="00C03CC1" w:rsidRPr="00AE67E3">
        <w:rPr>
          <w:rFonts w:ascii="Times New Roman" w:hAnsi="Times New Roman" w:cs="Times New Roman"/>
          <w:sz w:val="28"/>
          <w:szCs w:val="28"/>
        </w:rPr>
        <w:t>2</w:t>
      </w:r>
      <w:r w:rsidRPr="00AE67E3">
        <w:rPr>
          <w:rFonts w:ascii="Times New Roman" w:hAnsi="Times New Roman" w:cs="Times New Roman"/>
          <w:sz w:val="28"/>
          <w:szCs w:val="28"/>
        </w:rPr>
        <w:t>)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Komisijas 2019.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gada 17.</w:t>
      </w:r>
      <w:r w:rsidR="00333F89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 xml:space="preserve">decembra Deleģētās direktīvas </w:t>
      </w:r>
      <w:r w:rsidR="00D0170F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(ES) </w:t>
      </w:r>
      <w:r w:rsidRPr="00AE67E3">
        <w:rPr>
          <w:rFonts w:ascii="Times New Roman" w:hAnsi="Times New Roman" w:cs="Times New Roman"/>
          <w:sz w:val="28"/>
          <w:szCs w:val="28"/>
        </w:rPr>
        <w:t xml:space="preserve">2020/366, ar ko, pielāgojot zinātnes un tehnikas attīstībai, groza Eiropas Parlamenta un Padomes Direktīvas 2011/65/ES IV pielikumu attiecībā uz atbrīvojumu svina lietošanai par tāda polivinilhlorīda termisko stabilizatoru, ko izmanto atsevišķās </w:t>
      </w:r>
      <w:proofErr w:type="spellStart"/>
      <w:r w:rsidRPr="00AE67E3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AE67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67E3">
        <w:rPr>
          <w:rFonts w:ascii="Times New Roman" w:hAnsi="Times New Roman" w:cs="Times New Roman"/>
          <w:i/>
          <w:sz w:val="28"/>
          <w:szCs w:val="28"/>
        </w:rPr>
        <w:t>vitro</w:t>
      </w:r>
      <w:proofErr w:type="spellEnd"/>
      <w:r w:rsidRPr="00AE67E3">
        <w:rPr>
          <w:rFonts w:ascii="Times New Roman" w:hAnsi="Times New Roman" w:cs="Times New Roman"/>
          <w:sz w:val="28"/>
          <w:szCs w:val="28"/>
        </w:rPr>
        <w:t xml:space="preserve"> diagnostikas medicīniskajās ierīcēs asins, citu ķermeņa šķidrumu un ķermeņa gāzu analīzei.</w:t>
      </w:r>
      <w:r w:rsidR="00AE67E3" w:rsidRPr="00AE67E3">
        <w:rPr>
          <w:rFonts w:ascii="Times New Roman" w:hAnsi="Times New Roman" w:cs="Times New Roman"/>
          <w:sz w:val="28"/>
          <w:szCs w:val="28"/>
        </w:rPr>
        <w:t>"</w:t>
      </w:r>
      <w:r w:rsidR="00D0170F" w:rsidRPr="00AE67E3">
        <w:rPr>
          <w:rFonts w:ascii="Times New Roman" w:hAnsi="Times New Roman" w:cs="Times New Roman"/>
          <w:sz w:val="28"/>
          <w:szCs w:val="28"/>
        </w:rPr>
        <w:t>;</w:t>
      </w:r>
    </w:p>
    <w:p w14:paraId="0B5C2D68" w14:textId="77777777" w:rsidR="00371815" w:rsidRPr="00AE67E3" w:rsidRDefault="00371815" w:rsidP="00AE67E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290711" w14:textId="541297A5" w:rsidR="00AE67E3" w:rsidRDefault="00D0170F" w:rsidP="00AE67E3">
      <w:pPr>
        <w:spacing w:after="0" w:line="240" w:lineRule="auto"/>
        <w:ind w:firstLine="851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zteikt 3.</w:t>
      </w:r>
      <w:r w:rsidR="00333F8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pielikuma 23.</w:t>
      </w:r>
      <w:r w:rsidR="00333F8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6A46AD32" w14:textId="0400E388" w:rsidR="00371815" w:rsidRPr="00AE67E3" w:rsidRDefault="00371815" w:rsidP="00AE67E3">
      <w:pPr>
        <w:spacing w:after="0" w:line="240" w:lineRule="auto"/>
        <w:ind w:firstLine="851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685"/>
      </w:tblGrid>
      <w:tr w:rsidR="00704C57" w:rsidRPr="00AE67E3" w14:paraId="184008F5" w14:textId="77777777" w:rsidTr="00463D7D">
        <w:tc>
          <w:tcPr>
            <w:tcW w:w="704" w:type="dxa"/>
          </w:tcPr>
          <w:p w14:paraId="346F3CC5" w14:textId="40DE959C" w:rsidR="00704C57" w:rsidRPr="00BA3E10" w:rsidRDefault="00AE67E3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704C57"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4820" w:type="dxa"/>
          </w:tcPr>
          <w:p w14:paraId="2A7B10BC" w14:textId="452817BE" w:rsidR="00704C57" w:rsidRPr="00BA3E10" w:rsidRDefault="00704C57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Hroms (VI) kā oglekļa tērauda dzesēšanas sistēmas pretkorozijas līdzeklis absorbcijas ledusskapjos līdz 0,75 masas % dzesēšanas šķīdumā</w:t>
            </w:r>
          </w:p>
        </w:tc>
        <w:tc>
          <w:tcPr>
            <w:tcW w:w="3685" w:type="dxa"/>
          </w:tcPr>
          <w:p w14:paraId="4E3DB47E" w14:textId="1FDE0753" w:rsidR="00704C57" w:rsidRDefault="00FD5C68" w:rsidP="00AE6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Piemēro iekārtām, kuras atbilst šo noteikumu 2. pielikumā minētajai 8., 9. un 11. iekārtu kategorijai</w:t>
            </w:r>
            <w:r w:rsidR="00463D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3CBCFAC" w14:textId="77777777" w:rsidR="00463D7D" w:rsidRPr="00BA3E10" w:rsidRDefault="00463D7D" w:rsidP="00AE6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9"/>
            </w:tblGrid>
            <w:tr w:rsidR="00463D7D" w:rsidRPr="00BA3E10" w14:paraId="06AE173F" w14:textId="77777777" w:rsidTr="00463D7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516CC72" w14:textId="17BA37CD" w:rsidR="00463D7D" w:rsidRPr="00463D7D" w:rsidRDefault="00463D7D" w:rsidP="00463D7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Līdz 2021. gada 21. jūlijam piemēro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iekārtām, kuras atbilst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šo noteikumu 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5419BF" w:rsidRPr="00BA3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pielikum</w:t>
                  </w:r>
                  <w:r w:rsidR="0054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 minētajai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8. un 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iekārtu kategorijai, izņemot </w:t>
                  </w:r>
                  <w:proofErr w:type="spellStart"/>
                  <w:r w:rsidRPr="00463D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in</w:t>
                  </w:r>
                  <w:proofErr w:type="spellEnd"/>
                  <w:r w:rsidRPr="00463D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463D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vitro</w:t>
                  </w:r>
                  <w:proofErr w:type="spellEnd"/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diagnostikas medicīniskās ierīces un rūpnieciskā monitoringa un kontroles instrumentus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5FBE79AB" w14:textId="77777777" w:rsidR="00704C57" w:rsidRPr="00BA3E10" w:rsidRDefault="00704C57" w:rsidP="00463D7D">
            <w:pPr>
              <w:ind w:left="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9"/>
            </w:tblGrid>
            <w:tr w:rsidR="00463D7D" w:rsidRPr="00BA3E10" w14:paraId="63659101" w14:textId="77777777" w:rsidTr="00E02BAA">
              <w:trPr>
                <w:tblCellSpacing w:w="0" w:type="dxa"/>
              </w:trPr>
              <w:tc>
                <w:tcPr>
                  <w:tcW w:w="3469" w:type="dxa"/>
                  <w:hideMark/>
                </w:tcPr>
                <w:p w14:paraId="40E9C634" w14:textId="0E95D37C" w:rsidR="00463D7D" w:rsidRPr="00463D7D" w:rsidRDefault="00463D7D" w:rsidP="00463D7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27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Līdz 2023. gada 21. jūlijam piemēro </w:t>
                  </w:r>
                  <w:proofErr w:type="spellStart"/>
                  <w:r w:rsidRPr="00463D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in</w:t>
                  </w:r>
                  <w:proofErr w:type="spellEnd"/>
                  <w:r w:rsidRPr="00463D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463D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vitro</w:t>
                  </w:r>
                  <w:proofErr w:type="spellEnd"/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diagnostikas medicīniskajām ierīcēm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kuras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atbilst šo noteikumu 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5419BF" w:rsidRPr="00BA3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pielikum</w:t>
                  </w:r>
                  <w:r w:rsidR="0054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 minētajai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iekārtu kategorijai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4A78C494" w14:textId="77777777" w:rsidR="00704C57" w:rsidRPr="00BA3E10" w:rsidRDefault="00704C57" w:rsidP="00463D7D">
            <w:pPr>
              <w:ind w:left="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9"/>
            </w:tblGrid>
            <w:tr w:rsidR="00463D7D" w:rsidRPr="00BA3E10" w14:paraId="48B6FCE1" w14:textId="77777777" w:rsidTr="00463D7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0A10FC98" w14:textId="12208B65" w:rsidR="00463D7D" w:rsidRPr="00463D7D" w:rsidRDefault="00463D7D" w:rsidP="00463D7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3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Līdz 2024. gada 21. jūlijam piemēro rūpnieciskā monitoringa un kontroles instrumentiem</w:t>
                  </w:r>
                  <w:r w:rsid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kuri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atbilst šo noteikumu 2.</w:t>
                  </w:r>
                  <w:r w:rsid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pielikuma 9. iekārtu kategorijai</w:t>
                  </w:r>
                  <w:proofErr w:type="gramStart"/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un iekārtām</w:t>
                  </w:r>
                  <w:proofErr w:type="gramEnd"/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kuras atbilst šo noteikumu 2.</w:t>
                  </w:r>
                  <w:r w:rsid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5419BF" w:rsidRPr="00BA3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pielikum</w:t>
                  </w:r>
                  <w:r w:rsidR="0054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 minētajai</w:t>
                  </w:r>
                  <w:r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11. iekārtu kategorijai</w:t>
                  </w:r>
                  <w:r w:rsidR="006565F0" w:rsidRPr="00BA3E10">
                    <w:rPr>
                      <w:rStyle w:val="normaltextrun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c>
            </w:tr>
          </w:tbl>
          <w:p w14:paraId="2F101D47" w14:textId="77777777" w:rsidR="00704C57" w:rsidRPr="00BA3E10" w:rsidRDefault="00704C57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BA46283" w14:textId="0E95F070" w:rsidR="00704C57" w:rsidRPr="00AE67E3" w:rsidRDefault="00704C57" w:rsidP="00AE67E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64B627" w14:textId="417AC54B" w:rsidR="00AE67E3" w:rsidRDefault="00A868CD" w:rsidP="00AE67E3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apildināt 3.</w:t>
      </w:r>
      <w:r w:rsidR="006565F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pielikumu ar 23.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A80A92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C57"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1C642EAF" w14:textId="47ABEB0A" w:rsidR="00704C57" w:rsidRPr="00AE67E3" w:rsidRDefault="00704C57" w:rsidP="00AE67E3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7E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81"/>
        <w:gridCol w:w="4773"/>
        <w:gridCol w:w="3655"/>
      </w:tblGrid>
      <w:tr w:rsidR="00704C57" w:rsidRPr="00AE67E3" w14:paraId="012492DC" w14:textId="77777777" w:rsidTr="00BA3E10">
        <w:tc>
          <w:tcPr>
            <w:tcW w:w="781" w:type="dxa"/>
          </w:tcPr>
          <w:p w14:paraId="4A5FA30D" w14:textId="42F1E18F" w:rsidR="00704C57" w:rsidRPr="00BA3E10" w:rsidRDefault="00AE67E3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704C57"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</w:t>
            </w:r>
            <w:r w:rsidR="00704C57"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4773" w:type="dxa"/>
          </w:tcPr>
          <w:p w14:paraId="51FEFB65" w14:textId="576D7FC6" w:rsidR="00704C57" w:rsidRPr="00BA3E10" w:rsidRDefault="00704C57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Līdz 0,75 masas % sešvērtīgā hroma, kuru izmanto par pretkorozijas aģentu dzesēšanas šķīdumā, ko lieto tādu absorbcijas ledusskapju 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(tostarp </w:t>
            </w:r>
            <w:proofErr w:type="spellStart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minibāru</w:t>
            </w:r>
            <w:proofErr w:type="spellEnd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) dzesēšanas sistēmās no oglekļa tērauda, kurus paredzēts pilnībā vai daļēji izmantot ar elektrisko sildītāju un kuru vidējā izmantotā elektriskā ieejas jauda 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W pastāvīgas ekspluatācijas apstākļos</w:t>
            </w:r>
          </w:p>
        </w:tc>
        <w:tc>
          <w:tcPr>
            <w:tcW w:w="3655" w:type="dxa"/>
          </w:tcPr>
          <w:p w14:paraId="3DFF2B15" w14:textId="2AC97906" w:rsidR="00704C57" w:rsidRPr="00BA3E10" w:rsidRDefault="00165AB9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Līdz 2021.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gada 5.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martam piemēro iekārtām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, kuras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atbilst šo noteikumu 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19BF" w:rsidRPr="00BA3E10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5419BF">
              <w:rPr>
                <w:rFonts w:ascii="Times New Roman" w:hAnsi="Times New Roman" w:cs="Times New Roman"/>
                <w:sz w:val="24"/>
                <w:szCs w:val="24"/>
              </w:rPr>
              <w:t>ā minētajai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1., 2., 3., 4., 5., 6., 7. un 10</w:t>
            </w:r>
            <w:r w:rsidR="0066675B" w:rsidRPr="00BA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iekārtu kategorijai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38971D21" w14:textId="77777777" w:rsidR="0066675B" w:rsidRPr="00AE67E3" w:rsidRDefault="0066675B" w:rsidP="00AE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55ECC" w14:textId="1DEFAEAE" w:rsidR="0066675B" w:rsidRDefault="00A868CD" w:rsidP="00AE6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 xml:space="preserve">4. </w:t>
      </w:r>
      <w:r w:rsidRPr="00AE67E3">
        <w:rPr>
          <w:rFonts w:ascii="Times New Roman" w:hAnsi="Times New Roman" w:cs="Times New Roman"/>
          <w:sz w:val="28"/>
          <w:szCs w:val="28"/>
        </w:rPr>
        <w:t>p</w:t>
      </w:r>
      <w:r w:rsidR="0066675B" w:rsidRPr="00AE67E3">
        <w:rPr>
          <w:rFonts w:ascii="Times New Roman" w:hAnsi="Times New Roman" w:cs="Times New Roman"/>
          <w:sz w:val="28"/>
          <w:szCs w:val="28"/>
        </w:rPr>
        <w:t>apildināt 3.</w:t>
      </w:r>
      <w:r w:rsidR="006565F0">
        <w:rPr>
          <w:rFonts w:ascii="Times New Roman" w:hAnsi="Times New Roman" w:cs="Times New Roman"/>
          <w:sz w:val="28"/>
          <w:szCs w:val="28"/>
        </w:rPr>
        <w:t> </w:t>
      </w:r>
      <w:r w:rsidR="0066675B" w:rsidRPr="00AE67E3">
        <w:rPr>
          <w:rFonts w:ascii="Times New Roman" w:hAnsi="Times New Roman" w:cs="Times New Roman"/>
          <w:sz w:val="28"/>
          <w:szCs w:val="28"/>
        </w:rPr>
        <w:t>pielikumu ar 23.</w:t>
      </w:r>
      <w:r w:rsidR="0066675B" w:rsidRPr="00AE67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675B" w:rsidRPr="00AE67E3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5D48472B" w14:textId="77777777" w:rsidR="00AE67E3" w:rsidRPr="00AE67E3" w:rsidRDefault="00AE67E3" w:rsidP="00AE6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81"/>
        <w:gridCol w:w="4773"/>
        <w:gridCol w:w="3655"/>
      </w:tblGrid>
      <w:tr w:rsidR="00704C57" w:rsidRPr="00AE67E3" w14:paraId="133B31D0" w14:textId="77777777" w:rsidTr="00BA3E10">
        <w:tc>
          <w:tcPr>
            <w:tcW w:w="781" w:type="dxa"/>
          </w:tcPr>
          <w:p w14:paraId="7322A74F" w14:textId="0F188C18" w:rsidR="00704C57" w:rsidRPr="00BA3E10" w:rsidRDefault="00AE67E3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704C57"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</w:t>
            </w:r>
            <w:r w:rsidR="00704C57" w:rsidRPr="00BA3E1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773" w:type="dxa"/>
          </w:tcPr>
          <w:p w14:paraId="1379740B" w14:textId="21DB3272" w:rsidR="00704C57" w:rsidRPr="00BA3E10" w:rsidRDefault="00704C57" w:rsidP="00AE6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0,75 masas % sešvērtīgā hroma, kuru izmanto par pretkorozijas aģentu dzesēšanas šķīdumā, ko lieto tādu absorbcijas ledusskapju dzesēšanas sistēmās no oglekļa tērauda: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551"/>
            </w:tblGrid>
            <w:tr w:rsidR="00704C57" w:rsidRPr="00BA3E10" w14:paraId="7EA3FAC2" w14:textId="77777777" w:rsidTr="00704C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65900E" w14:textId="4C1D74E4" w:rsidR="00704C57" w:rsidRPr="00BA3E10" w:rsidRDefault="00704C57" w:rsidP="00AE67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4543C8F" w14:textId="14B5BBC6" w:rsidR="00704C57" w:rsidRPr="006565F0" w:rsidRDefault="00704C57" w:rsidP="006565F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5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kurus paredzēts pilnībā vai daļēji izmantot ar elektrisko sildītāju un kuru vidējā izmantotā elektriskā ieejas jauda </w:t>
                  </w:r>
                  <w:r w:rsidR="006565F0"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ir </w:t>
                  </w:r>
                  <w:r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≥</w:t>
                  </w:r>
                  <w:r w:rsidR="006565F0"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75</w:t>
                  </w:r>
                  <w:r w:rsidR="006565F0"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W pastāvīgas ekspluatācijas apstākļos</w:t>
                  </w:r>
                  <w:r w:rsid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;</w:t>
                  </w:r>
                </w:p>
              </w:tc>
            </w:tr>
            <w:tr w:rsidR="00704C57" w:rsidRPr="00BA3E10" w14:paraId="30A89F3D" w14:textId="77777777" w:rsidTr="00704C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1C10FF" w14:textId="211A278C" w:rsidR="00704C57" w:rsidRPr="00BA3E10" w:rsidRDefault="00704C57" w:rsidP="00AE67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C4CAE5" w14:textId="146B404C" w:rsidR="00704C57" w:rsidRPr="006565F0" w:rsidRDefault="00704C57" w:rsidP="006565F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0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56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kurus paredzēts pilnībā izmantot ar neelektrisku sildītāju</w:t>
                  </w:r>
                </w:p>
              </w:tc>
            </w:tr>
          </w:tbl>
          <w:p w14:paraId="4FF1BE4D" w14:textId="77777777" w:rsidR="00704C57" w:rsidRPr="00BA3E10" w:rsidRDefault="00704C57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5" w:type="dxa"/>
          </w:tcPr>
          <w:p w14:paraId="081E7355" w14:textId="686C7285" w:rsidR="00704C57" w:rsidRPr="00BA3E10" w:rsidRDefault="00165AB9" w:rsidP="00AE67E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Līdz 2021.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jūlijam piemēro iekārtām</w:t>
            </w:r>
            <w:r w:rsidR="005419BF">
              <w:rPr>
                <w:rFonts w:ascii="Times New Roman" w:hAnsi="Times New Roman" w:cs="Times New Roman"/>
                <w:sz w:val="24"/>
                <w:szCs w:val="24"/>
              </w:rPr>
              <w:t>, kuras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atbilst šo noteikumu 2.</w:t>
            </w:r>
            <w:r w:rsidR="005419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5419BF">
              <w:rPr>
                <w:rFonts w:ascii="Times New Roman" w:hAnsi="Times New Roman" w:cs="Times New Roman"/>
                <w:sz w:val="24"/>
                <w:szCs w:val="24"/>
              </w:rPr>
              <w:t>ā minētajai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1., 2., 3., 4.</w:t>
            </w:r>
            <w:r w:rsidR="0066675B" w:rsidRPr="00BA3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5., 6., 7. un 10</w:t>
            </w:r>
            <w:r w:rsidR="0066675B" w:rsidRPr="00BA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iekārtu kategorijai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F2B94D" w14:textId="630A219B" w:rsidR="00704C57" w:rsidRPr="00AE67E3" w:rsidRDefault="00704C57" w:rsidP="00AE67E3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D7E51B" w14:textId="0F0D1A49" w:rsidR="00AE67E3" w:rsidRDefault="00A868CD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5</w:t>
      </w:r>
      <w:r w:rsidR="006237D9" w:rsidRPr="00AE67E3">
        <w:rPr>
          <w:rFonts w:ascii="Times New Roman" w:hAnsi="Times New Roman" w:cs="Times New Roman"/>
          <w:sz w:val="28"/>
          <w:szCs w:val="28"/>
        </w:rPr>
        <w:t xml:space="preserve">. </w:t>
      </w:r>
      <w:r w:rsidRPr="00AE67E3">
        <w:rPr>
          <w:rFonts w:ascii="Times New Roman" w:hAnsi="Times New Roman" w:cs="Times New Roman"/>
          <w:sz w:val="28"/>
          <w:szCs w:val="28"/>
        </w:rPr>
        <w:t>i</w:t>
      </w:r>
      <w:r w:rsidR="00011FEE" w:rsidRPr="00AE67E3">
        <w:rPr>
          <w:rFonts w:ascii="Times New Roman" w:hAnsi="Times New Roman" w:cs="Times New Roman"/>
          <w:sz w:val="28"/>
          <w:szCs w:val="28"/>
        </w:rPr>
        <w:t>zteikt 3.pielikuma 50.</w:t>
      </w:r>
      <w:r w:rsidR="006565F0">
        <w:rPr>
          <w:rFonts w:ascii="Times New Roman" w:hAnsi="Times New Roman" w:cs="Times New Roman"/>
          <w:sz w:val="28"/>
          <w:szCs w:val="28"/>
        </w:rPr>
        <w:t> </w:t>
      </w:r>
      <w:r w:rsidR="00011FEE" w:rsidRPr="00AE67E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ABB966A" w14:textId="36118995" w:rsidR="00011FEE" w:rsidRPr="00AE67E3" w:rsidRDefault="00011FEE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4826"/>
        <w:gridCol w:w="3679"/>
      </w:tblGrid>
      <w:tr w:rsidR="00011FEE" w:rsidRPr="00AE67E3" w14:paraId="1F9863DB" w14:textId="77777777" w:rsidTr="00BA3E10">
        <w:tc>
          <w:tcPr>
            <w:tcW w:w="704" w:type="dxa"/>
          </w:tcPr>
          <w:p w14:paraId="6986395F" w14:textId="4809A1EC" w:rsidR="00011FEE" w:rsidRPr="00BA3E10" w:rsidRDefault="00AE67E3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11FEE" w:rsidRPr="00BA3E1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6" w:type="dxa"/>
          </w:tcPr>
          <w:p w14:paraId="5D53DBAF" w14:textId="77777777" w:rsidR="00011FEE" w:rsidRPr="00BA3E10" w:rsidRDefault="00011FEE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Svins tādos lodmetālos un tādu elektrisko un elektronisko detaļu savienojumu pārklājumos un drukātu shēmas plašu pārklājumos, </w:t>
            </w:r>
            <w:proofErr w:type="gramStart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ko izmanto aizdedzes blokos un citās elektriskās</w:t>
            </w:r>
            <w:proofErr w:type="gramEnd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vai elektroniskās motora vadības sistēmās, kuras tehnisku apsvērumu dēļ jāuzstāda vai nu tieši uz pārnēsājamiem iekšdedzes motoriem, vai to karterī vai cilindrā, kas atbilst SH:1, SH:2 un SH:3 klasei saskaņā ar normatīvajiem aktiem par autoceļiem neparedzētās mobilās tehnikas iekšdedzes motoru radīto piesārņojošo vielu emisiju gaisā</w:t>
            </w:r>
          </w:p>
        </w:tc>
        <w:tc>
          <w:tcPr>
            <w:tcW w:w="3679" w:type="dxa"/>
          </w:tcPr>
          <w:p w14:paraId="07A2F198" w14:textId="77777777" w:rsidR="005419BF" w:rsidRPr="005419BF" w:rsidRDefault="00011FEE" w:rsidP="00AE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 visām </w:t>
            </w:r>
            <w:r w:rsidR="00165AB9"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iekārtām</w:t>
            </w:r>
            <w:r w:rsidR="00FD5C68"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šo noteikumu 2.</w:t>
            </w:r>
            <w:r w:rsidR="005419BF"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D5C68"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pielikumam</w:t>
            </w:r>
            <w:r w:rsidR="005419BF"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51FB12C" w14:textId="5A47981A" w:rsidR="00011FEE" w:rsidRPr="005419BF" w:rsidRDefault="00FD5C68" w:rsidP="00AE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1FEE" w:rsidRPr="0054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5419BF" w:rsidRPr="005419BF" w14:paraId="35C8CF7D" w14:textId="77777777" w:rsidTr="00C424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D8D0A3" w14:textId="77087B0A" w:rsidR="005419BF" w:rsidRPr="005419BF" w:rsidRDefault="005419BF" w:rsidP="005419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spacing w:after="0" w:line="240" w:lineRule="auto"/>
                    <w:ind w:left="0" w:firstLine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Līdz 2022. gada 31. martam </w:t>
                  </w:r>
                  <w:r w:rsidR="00D23C97"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piemēro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iekārtām, kuras atbilst šo noteikumu 2.</w:t>
                  </w:r>
                  <w:r w:rsidR="00D23C97" w:rsidRPr="00BA3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pielikum</w:t>
                  </w:r>
                  <w:r w:rsidR="00D23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 minētajai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1., 2., 3., 4., 5., 6., 7., 10. un 11.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iekārtu kategorijai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73CCB2D1" w14:textId="77777777" w:rsidR="00011FEE" w:rsidRPr="005419BF" w:rsidRDefault="00011FEE" w:rsidP="005419BF">
            <w:pPr>
              <w:ind w:firstLine="1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5419BF" w:rsidRPr="005419BF" w14:paraId="731D8ADB" w14:textId="77777777" w:rsidTr="005953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68ABA64" w14:textId="1B652B9E" w:rsidR="005419BF" w:rsidRPr="005419BF" w:rsidRDefault="005419BF" w:rsidP="005419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36"/>
                    </w:tabs>
                    <w:spacing w:after="0" w:line="240" w:lineRule="auto"/>
                    <w:ind w:left="0" w:firstLine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Līdz 2021. gada 21. jūlijam </w:t>
                  </w:r>
                  <w:r w:rsidR="00D23C97"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piemēro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iekārtām, kuras atbilst šo noteikumu 2.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pielikumā minētajai 8. un 9. iekārtu kategorijai, izņemot </w:t>
                  </w:r>
                  <w:proofErr w:type="spellStart"/>
                  <w:r w:rsidRPr="005419B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in</w:t>
                  </w:r>
                  <w:proofErr w:type="spellEnd"/>
                  <w:r w:rsidRPr="005419B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419B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vitro</w:t>
                  </w:r>
                  <w:proofErr w:type="spellEnd"/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diagnostikas medicīniskās ierīces un rūpnieciskā monitoringa un kontroles instrumentus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4F64EF6A" w14:textId="77777777" w:rsidR="00011FEE" w:rsidRPr="005419BF" w:rsidRDefault="00011FEE" w:rsidP="005419BF">
            <w:pPr>
              <w:ind w:firstLine="1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457"/>
            </w:tblGrid>
            <w:tr w:rsidR="005419BF" w:rsidRPr="005419BF" w14:paraId="7E4B9489" w14:textId="77777777" w:rsidTr="00011F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419916" w14:textId="65CC4E55" w:rsidR="00011FEE" w:rsidRPr="005419BF" w:rsidRDefault="00011FEE" w:rsidP="005419B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0" w:firstLine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9ACA31" w14:textId="62A461DC" w:rsidR="00011FEE" w:rsidRPr="005419BF" w:rsidRDefault="00FD5C68" w:rsidP="005419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5"/>
                    </w:tabs>
                    <w:spacing w:after="0" w:line="240" w:lineRule="auto"/>
                    <w:ind w:left="0" w:firstLine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Līdz 2023. gada 21. jūlijam </w:t>
                  </w:r>
                  <w:r w:rsidR="00D23C97"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piemēro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419B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in</w:t>
                  </w:r>
                  <w:proofErr w:type="spellEnd"/>
                  <w:r w:rsidRPr="005419B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419B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vitro</w:t>
                  </w:r>
                  <w:proofErr w:type="spellEnd"/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diagnostikas medicīniskajām ierīcēm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kuras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atbilst </w:t>
                  </w:r>
                  <w:r w:rsidR="00A868CD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šo noteikumu 2.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A868CD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pielikumā minētajai </w:t>
                  </w:r>
                  <w:r w:rsidR="00011FEE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8. 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iekārtu kategorijai</w:t>
                  </w:r>
                  <w:r w:rsid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348E4AB3" w14:textId="77777777" w:rsidR="00011FEE" w:rsidRPr="005419BF" w:rsidRDefault="00011FEE" w:rsidP="005419BF">
            <w:pPr>
              <w:ind w:firstLine="1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457"/>
            </w:tblGrid>
            <w:tr w:rsidR="005419BF" w:rsidRPr="005419BF" w14:paraId="7705BFCB" w14:textId="77777777" w:rsidTr="00011F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1D4837A" w14:textId="517E30B5" w:rsidR="00011FEE" w:rsidRPr="005419BF" w:rsidRDefault="00011FEE" w:rsidP="005419B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0" w:firstLine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0C4BFFA" w14:textId="6E5206EC" w:rsidR="00011FEE" w:rsidRPr="005419BF" w:rsidRDefault="005419BF" w:rsidP="005419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4"/>
                    </w:tabs>
                    <w:spacing w:after="0" w:line="240" w:lineRule="auto"/>
                    <w:ind w:left="0" w:firstLine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Līdz </w:t>
                  </w:r>
                  <w:r w:rsidR="00011FEE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2024. gada 21. jūlij</w:t>
                  </w:r>
                  <w:r w:rsidR="00A868CD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</w:t>
                  </w:r>
                  <w:r w:rsidR="00011FEE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D23C97" w:rsidRPr="00463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piemēro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011FEE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rūpnieciskā monitoringa un kontroles instrumentiem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kuri</w:t>
                  </w:r>
                  <w:r w:rsidR="00FB4A77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atbilst </w:t>
                  </w:r>
                  <w:r w:rsidR="00D23C97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šo noteikumu </w:t>
                  </w:r>
                  <w:r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2. </w:t>
                  </w:r>
                  <w:r w:rsidRPr="0054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pielikumā minētajai </w:t>
                  </w:r>
                  <w:r w:rsidR="00FB4A77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</w:t>
                  </w:r>
                  <w:r w:rsidR="00D23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FB4A77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iekārtu kategorijai</w:t>
                  </w:r>
                  <w:r w:rsidR="00AE67E3" w:rsidRPr="0054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"</w:t>
                  </w:r>
                </w:p>
              </w:tc>
            </w:tr>
          </w:tbl>
          <w:p w14:paraId="329BD71E" w14:textId="77777777" w:rsidR="00011FEE" w:rsidRPr="005419BF" w:rsidRDefault="00011FEE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B86C0" w14:textId="77777777" w:rsidR="00011FEE" w:rsidRPr="00AE67E3" w:rsidRDefault="00011FEE" w:rsidP="00AE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7BB4F" w14:textId="5BE07AC7" w:rsidR="00371815" w:rsidRDefault="00A868CD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6</w:t>
      </w:r>
      <w:r w:rsidR="00371815" w:rsidRPr="00AE67E3">
        <w:rPr>
          <w:rFonts w:ascii="Times New Roman" w:hAnsi="Times New Roman" w:cs="Times New Roman"/>
          <w:sz w:val="28"/>
          <w:szCs w:val="28"/>
        </w:rPr>
        <w:t xml:space="preserve">. </w:t>
      </w:r>
      <w:r w:rsidRPr="00AE67E3">
        <w:rPr>
          <w:rFonts w:ascii="Times New Roman" w:hAnsi="Times New Roman" w:cs="Times New Roman"/>
          <w:sz w:val="28"/>
          <w:szCs w:val="28"/>
        </w:rPr>
        <w:t>p</w:t>
      </w:r>
      <w:r w:rsidR="00371815" w:rsidRPr="00AE67E3">
        <w:rPr>
          <w:rFonts w:ascii="Times New Roman" w:hAnsi="Times New Roman" w:cs="Times New Roman"/>
          <w:sz w:val="28"/>
          <w:szCs w:val="28"/>
        </w:rPr>
        <w:t>apildināt 3.</w:t>
      </w:r>
      <w:r w:rsidR="00D23C97">
        <w:rPr>
          <w:rFonts w:ascii="Times New Roman" w:hAnsi="Times New Roman" w:cs="Times New Roman"/>
          <w:sz w:val="28"/>
          <w:szCs w:val="28"/>
        </w:rPr>
        <w:t> </w:t>
      </w:r>
      <w:r w:rsidR="00371815" w:rsidRPr="00AE67E3">
        <w:rPr>
          <w:rFonts w:ascii="Times New Roman" w:hAnsi="Times New Roman" w:cs="Times New Roman"/>
          <w:sz w:val="28"/>
          <w:szCs w:val="28"/>
        </w:rPr>
        <w:t>pielikumu ar 53</w:t>
      </w:r>
      <w:r w:rsidR="00FD5C68" w:rsidRPr="00AE67E3">
        <w:rPr>
          <w:rFonts w:ascii="Times New Roman" w:hAnsi="Times New Roman" w:cs="Times New Roman"/>
          <w:sz w:val="28"/>
          <w:szCs w:val="28"/>
        </w:rPr>
        <w:t>.</w:t>
      </w:r>
      <w:r w:rsidR="006565F0">
        <w:rPr>
          <w:rFonts w:ascii="Times New Roman" w:hAnsi="Times New Roman" w:cs="Times New Roman"/>
          <w:sz w:val="28"/>
          <w:szCs w:val="28"/>
        </w:rPr>
        <w:t> </w:t>
      </w:r>
      <w:r w:rsidR="00FD5C68" w:rsidRPr="00AE67E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937CA43" w14:textId="77777777" w:rsidR="00AE67E3" w:rsidRPr="00AE67E3" w:rsidRDefault="00AE67E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4826"/>
        <w:gridCol w:w="3679"/>
      </w:tblGrid>
      <w:tr w:rsidR="00371815" w:rsidRPr="00AE67E3" w14:paraId="6159B925" w14:textId="77777777" w:rsidTr="00BA3E10">
        <w:tc>
          <w:tcPr>
            <w:tcW w:w="704" w:type="dxa"/>
          </w:tcPr>
          <w:p w14:paraId="53497CC5" w14:textId="7059A4C2" w:rsidR="00371815" w:rsidRPr="00BA3E10" w:rsidRDefault="00AE67E3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71815" w:rsidRPr="00BA3E1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6" w:type="dxa"/>
          </w:tcPr>
          <w:p w14:paraId="6FC1C4F5" w14:textId="01605521" w:rsidR="00371815" w:rsidRPr="00BA3E10" w:rsidRDefault="00371815" w:rsidP="00BA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Svins tādu iekšdedzes motoru sensoru, piedziņas mehānismu un motora vadības bloku lodmetālā, uz kuriem attiecas Eiropas Parlamenta un Padomes 2016. gada 14. septembra Regula (ES) 2016/1628 par prasībām attiecībā uz autoceļiem neparedzētas mobilās tehnikas iekšdedzes motoru gāzveida un daļiņveida piesārņotāju emisiju robežvērtībām un tipa apstiprināšanu, ar ko groza Regulas (ES) Nr. 1024/2012 un (ES) Nr. 167/2013 un groza un atceļ Direktīvu 97/68/EK, </w:t>
            </w:r>
            <w:r w:rsidR="00D23C97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kuri uzstādīti iekārtās, ko darbības laikā izmanto fiksētos stāvokļos, un paredzēti profesionāliem lietotājiem, bet ko izmanto arī neprofesionāli lietotāji</w:t>
            </w:r>
          </w:p>
        </w:tc>
        <w:tc>
          <w:tcPr>
            <w:tcW w:w="3679" w:type="dxa"/>
          </w:tcPr>
          <w:p w14:paraId="77ADCB35" w14:textId="0EFC8CA4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Līdz 2024.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jūlijam piemēro</w:t>
            </w: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iekārtām, kuras atbilst šo noteikumu 2. </w:t>
            </w:r>
            <w:r w:rsidR="00D23C97" w:rsidRPr="00BA3E10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D23C97">
              <w:rPr>
                <w:rFonts w:ascii="Times New Roman" w:hAnsi="Times New Roman" w:cs="Times New Roman"/>
                <w:sz w:val="24"/>
                <w:szCs w:val="24"/>
              </w:rPr>
              <w:t>ā minētajai</w:t>
            </w: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FD5C68"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iekārtu 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kategorijai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4A20BB40" w14:textId="77777777" w:rsidR="00371815" w:rsidRPr="00AE67E3" w:rsidRDefault="00371815" w:rsidP="00AE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C54EC" w14:textId="67AE8902" w:rsidR="00371815" w:rsidRDefault="007F260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7</w:t>
      </w:r>
      <w:r w:rsidR="00371815" w:rsidRPr="00AE67E3">
        <w:rPr>
          <w:rFonts w:ascii="Times New Roman" w:hAnsi="Times New Roman" w:cs="Times New Roman"/>
          <w:sz w:val="28"/>
          <w:szCs w:val="28"/>
        </w:rPr>
        <w:t xml:space="preserve">. </w:t>
      </w:r>
      <w:r w:rsidRPr="00AE67E3">
        <w:rPr>
          <w:rFonts w:ascii="Times New Roman" w:hAnsi="Times New Roman" w:cs="Times New Roman"/>
          <w:sz w:val="28"/>
          <w:szCs w:val="28"/>
        </w:rPr>
        <w:t>i</w:t>
      </w:r>
      <w:r w:rsidR="00371815" w:rsidRPr="00AE67E3">
        <w:rPr>
          <w:rFonts w:ascii="Times New Roman" w:hAnsi="Times New Roman" w:cs="Times New Roman"/>
          <w:sz w:val="28"/>
          <w:szCs w:val="28"/>
        </w:rPr>
        <w:t>zteikt 4.</w:t>
      </w:r>
      <w:r w:rsidR="00D23C97">
        <w:rPr>
          <w:rFonts w:ascii="Times New Roman" w:hAnsi="Times New Roman" w:cs="Times New Roman"/>
          <w:sz w:val="28"/>
          <w:szCs w:val="28"/>
        </w:rPr>
        <w:t> </w:t>
      </w:r>
      <w:r w:rsidR="00371815" w:rsidRPr="00AE67E3">
        <w:rPr>
          <w:rFonts w:ascii="Times New Roman" w:hAnsi="Times New Roman" w:cs="Times New Roman"/>
          <w:sz w:val="28"/>
          <w:szCs w:val="28"/>
        </w:rPr>
        <w:t xml:space="preserve">pielikuma </w:t>
      </w:r>
      <w:r w:rsidR="00011FEE" w:rsidRPr="00AE67E3">
        <w:rPr>
          <w:rFonts w:ascii="Times New Roman" w:hAnsi="Times New Roman" w:cs="Times New Roman"/>
          <w:sz w:val="28"/>
          <w:szCs w:val="28"/>
        </w:rPr>
        <w:t>20</w:t>
      </w:r>
      <w:r w:rsidR="00371815" w:rsidRPr="00AE67E3">
        <w:rPr>
          <w:rFonts w:ascii="Times New Roman" w:hAnsi="Times New Roman" w:cs="Times New Roman"/>
          <w:sz w:val="28"/>
          <w:szCs w:val="28"/>
        </w:rPr>
        <w:t>.</w:t>
      </w:r>
      <w:r w:rsidR="006565F0">
        <w:rPr>
          <w:rFonts w:ascii="Times New Roman" w:hAnsi="Times New Roman" w:cs="Times New Roman"/>
          <w:sz w:val="28"/>
          <w:szCs w:val="28"/>
        </w:rPr>
        <w:t> </w:t>
      </w:r>
      <w:r w:rsidR="00371815" w:rsidRPr="00AE67E3">
        <w:rPr>
          <w:rFonts w:ascii="Times New Roman" w:hAnsi="Times New Roman" w:cs="Times New Roman"/>
          <w:sz w:val="28"/>
          <w:szCs w:val="28"/>
        </w:rPr>
        <w:t>punktu šādā redakcijā:</w:t>
      </w:r>
      <w:r w:rsidR="00704C57" w:rsidRPr="00AE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04E37" w14:textId="77777777" w:rsidR="00AE67E3" w:rsidRPr="00AE67E3" w:rsidRDefault="00AE67E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4684"/>
        <w:gridCol w:w="3679"/>
      </w:tblGrid>
      <w:tr w:rsidR="00371815" w:rsidRPr="00AE67E3" w14:paraId="038AA893" w14:textId="77777777" w:rsidTr="00BA3E10">
        <w:tc>
          <w:tcPr>
            <w:tcW w:w="846" w:type="dxa"/>
          </w:tcPr>
          <w:p w14:paraId="2812D74C" w14:textId="776080AA" w:rsidR="00371815" w:rsidRPr="00BA3E10" w:rsidRDefault="00AE67E3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71815" w:rsidRPr="00BA3E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4" w:type="dxa"/>
          </w:tcPr>
          <w:p w14:paraId="75DA5838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Svins ar platīnu pārklātos platīna elektrodos, ko izmanto vadītspējas mērīšanai apstākļos, kuros ir spēkā vismaz viens no šādiem nosacījumiem:</w:t>
            </w:r>
          </w:p>
        </w:tc>
        <w:tc>
          <w:tcPr>
            <w:tcW w:w="3679" w:type="dxa"/>
            <w:vMerge w:val="restart"/>
          </w:tcPr>
          <w:p w14:paraId="547765D6" w14:textId="79BBDAAA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līdz 2025.</w:t>
            </w:r>
            <w:r w:rsidR="00D23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</w:t>
            </w:r>
            <w:r w:rsidR="00D23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decembrim</w:t>
            </w:r>
            <w:r w:rsidR="00AE67E3"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371815" w:rsidRPr="00AE67E3" w14:paraId="43279241" w14:textId="77777777" w:rsidTr="00BA3E10">
        <w:tc>
          <w:tcPr>
            <w:tcW w:w="846" w:type="dxa"/>
          </w:tcPr>
          <w:p w14:paraId="7971BD1B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684" w:type="dxa"/>
          </w:tcPr>
          <w:p w14:paraId="1B70AD5F" w14:textId="03D55906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 ir plaša diapazona mērījumi, kuros, laboratorijā lietojot nezināmas koncentrācijas, vadītspējas diapazons aptver vairāk nekā vienu kārtu </w:t>
            </w:r>
          </w:p>
        </w:tc>
        <w:tc>
          <w:tcPr>
            <w:tcW w:w="3679" w:type="dxa"/>
            <w:vMerge/>
          </w:tcPr>
          <w:p w14:paraId="4CB7D307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15" w:rsidRPr="00AE67E3" w14:paraId="063D64D3" w14:textId="77777777" w:rsidTr="00BA3E10">
        <w:tc>
          <w:tcPr>
            <w:tcW w:w="846" w:type="dxa"/>
          </w:tcPr>
          <w:p w14:paraId="602291DE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684" w:type="dxa"/>
          </w:tcPr>
          <w:p w14:paraId="2942CBB7" w14:textId="77777777" w:rsidR="00371815" w:rsidRPr="00BA3E10" w:rsidRDefault="00371815" w:rsidP="00AE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 ir ar šķīdumiem veikti mērījumi, kuros precizitāte +/– 1 % no paraugkopas vērtību diapazona un elektroda augsta </w:t>
            </w:r>
            <w:proofErr w:type="spellStart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korozijnoturība</w:t>
            </w:r>
            <w:proofErr w:type="spellEnd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nepieciešama kaut vienam no šādiem šķīdumiem: </w:t>
            </w:r>
          </w:p>
          <w:p w14:paraId="028DEBB3" w14:textId="2AC4DAE0" w:rsidR="00371815" w:rsidRPr="00BA3E10" w:rsidRDefault="00371815" w:rsidP="00AE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•šķīdumiem, kuru skābums ir &lt; </w:t>
            </w:r>
            <w:proofErr w:type="spellStart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</w:t>
            </w:r>
            <w:proofErr w:type="spellEnd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1;</w:t>
            </w:r>
          </w:p>
          <w:p w14:paraId="1997D8B1" w14:textId="5D0D96D8" w:rsidR="00371815" w:rsidRPr="00BA3E10" w:rsidRDefault="00371815" w:rsidP="00AE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•šķīdumiem, kuru sārmainība ir &lt; </w:t>
            </w:r>
            <w:proofErr w:type="spellStart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</w:t>
            </w:r>
            <w:proofErr w:type="spellEnd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13;</w:t>
            </w:r>
          </w:p>
          <w:p w14:paraId="7160CDA6" w14:textId="6D60C3A4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•gāzveida halogēnus saturošiem korozīviem šķīdumiem</w:t>
            </w:r>
          </w:p>
        </w:tc>
        <w:tc>
          <w:tcPr>
            <w:tcW w:w="3679" w:type="dxa"/>
            <w:vMerge/>
          </w:tcPr>
          <w:p w14:paraId="29BE57DC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15" w:rsidRPr="00AE67E3" w14:paraId="728641A7" w14:textId="77777777" w:rsidTr="00BA3E10">
        <w:tc>
          <w:tcPr>
            <w:tcW w:w="846" w:type="dxa"/>
          </w:tcPr>
          <w:p w14:paraId="7C519438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684" w:type="dxa"/>
          </w:tcPr>
          <w:p w14:paraId="60B01091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 ir mērījumi vadītspējai virs 100 </w:t>
            </w:r>
            <w:proofErr w:type="spellStart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  <w:r w:rsidRPr="00BA3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/m, kas veicami ar portatīviem instrumentiem</w:t>
            </w:r>
          </w:p>
        </w:tc>
        <w:tc>
          <w:tcPr>
            <w:tcW w:w="3679" w:type="dxa"/>
            <w:vMerge/>
          </w:tcPr>
          <w:p w14:paraId="5D787DFD" w14:textId="77777777" w:rsidR="00371815" w:rsidRPr="00BA3E10" w:rsidRDefault="00371815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18F58" w14:textId="77777777" w:rsidR="00371815" w:rsidRPr="00AE67E3" w:rsidRDefault="00371815" w:rsidP="00AE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4D732" w14:textId="36C0A704" w:rsidR="006237D9" w:rsidRDefault="007F260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8</w:t>
      </w:r>
      <w:r w:rsidR="006237D9" w:rsidRPr="00AE67E3">
        <w:rPr>
          <w:rFonts w:ascii="Times New Roman" w:hAnsi="Times New Roman" w:cs="Times New Roman"/>
          <w:sz w:val="28"/>
          <w:szCs w:val="28"/>
        </w:rPr>
        <w:t xml:space="preserve">. </w:t>
      </w:r>
      <w:r w:rsidRPr="00AE67E3">
        <w:rPr>
          <w:rFonts w:ascii="Times New Roman" w:hAnsi="Times New Roman" w:cs="Times New Roman"/>
          <w:sz w:val="28"/>
          <w:szCs w:val="28"/>
        </w:rPr>
        <w:t>i</w:t>
      </w:r>
      <w:r w:rsidR="006237D9" w:rsidRPr="00AE67E3">
        <w:rPr>
          <w:rFonts w:ascii="Times New Roman" w:hAnsi="Times New Roman" w:cs="Times New Roman"/>
          <w:sz w:val="28"/>
          <w:szCs w:val="28"/>
        </w:rPr>
        <w:t>zteikt 4.</w:t>
      </w:r>
      <w:r w:rsidR="00D23C97">
        <w:rPr>
          <w:rFonts w:ascii="Times New Roman" w:hAnsi="Times New Roman" w:cs="Times New Roman"/>
          <w:sz w:val="28"/>
          <w:szCs w:val="28"/>
        </w:rPr>
        <w:t> </w:t>
      </w:r>
      <w:r w:rsidR="006237D9" w:rsidRPr="00AE67E3">
        <w:rPr>
          <w:rFonts w:ascii="Times New Roman" w:hAnsi="Times New Roman" w:cs="Times New Roman"/>
          <w:sz w:val="28"/>
          <w:szCs w:val="28"/>
        </w:rPr>
        <w:t>pielikuma 24.</w:t>
      </w:r>
      <w:r w:rsidR="006565F0">
        <w:rPr>
          <w:rFonts w:ascii="Times New Roman" w:hAnsi="Times New Roman" w:cs="Times New Roman"/>
          <w:sz w:val="28"/>
          <w:szCs w:val="28"/>
        </w:rPr>
        <w:t> </w:t>
      </w:r>
      <w:r w:rsidR="006237D9" w:rsidRPr="00AE67E3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220161D4" w14:textId="77777777" w:rsidR="00AE67E3" w:rsidRPr="00AE67E3" w:rsidRDefault="00AE67E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4684"/>
        <w:gridCol w:w="3679"/>
      </w:tblGrid>
      <w:tr w:rsidR="006237D9" w:rsidRPr="00AE67E3" w14:paraId="4947A975" w14:textId="77777777" w:rsidTr="00BA3E10">
        <w:tc>
          <w:tcPr>
            <w:tcW w:w="846" w:type="dxa"/>
          </w:tcPr>
          <w:p w14:paraId="603063CA" w14:textId="24D9A166" w:rsidR="006237D9" w:rsidRPr="00BA3E10" w:rsidRDefault="00AE67E3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37D9" w:rsidRPr="00BA3E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4" w:type="dxa"/>
          </w:tcPr>
          <w:p w14:paraId="3B71394A" w14:textId="77777777" w:rsidR="006237D9" w:rsidRPr="00BA3E10" w:rsidRDefault="006237D9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Svins kā tāda polivinilhlorīda (PVC) termiskais stabilizators, ko lieto par bāzes materiālu </w:t>
            </w:r>
            <w:proofErr w:type="spellStart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ampērmetriskos</w:t>
            </w:r>
            <w:proofErr w:type="spellEnd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potenciometriskos</w:t>
            </w:r>
            <w:proofErr w:type="spellEnd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konduktometriskos</w:t>
            </w:r>
            <w:proofErr w:type="spellEnd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elektroķīmiskajos sensoros, kurus izmanto </w:t>
            </w:r>
            <w:proofErr w:type="spellStart"/>
            <w:r w:rsidRPr="00BA3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BA3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A3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vitro</w:t>
            </w:r>
            <w:proofErr w:type="spellEnd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diagnostikas medicīniskajās ierīcēs asins, citu ķermeņa šķidrumu un ķermeņa gāzu analīzei</w:t>
            </w:r>
          </w:p>
        </w:tc>
        <w:tc>
          <w:tcPr>
            <w:tcW w:w="3679" w:type="dxa"/>
          </w:tcPr>
          <w:p w14:paraId="01AF9DDC" w14:textId="1F423E2D" w:rsidR="006237D9" w:rsidRPr="00BA3E10" w:rsidRDefault="00F706A8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Spēkā līdz </w:t>
            </w:r>
            <w:r w:rsidR="00FD5C68" w:rsidRPr="00BA3E10">
              <w:rPr>
                <w:rFonts w:ascii="Times New Roman" w:hAnsi="Times New Roman" w:cs="Times New Roman"/>
                <w:sz w:val="24"/>
                <w:szCs w:val="24"/>
              </w:rPr>
              <w:t>2022. gada 31. martam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5D3CD19C" w14:textId="77777777" w:rsidR="006237D9" w:rsidRPr="00AE67E3" w:rsidRDefault="006237D9" w:rsidP="00AE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231EE" w14:textId="3E75C21C" w:rsidR="00011FEE" w:rsidRDefault="007F260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9</w:t>
      </w:r>
      <w:r w:rsidR="006237D9" w:rsidRPr="00AE67E3">
        <w:rPr>
          <w:rFonts w:ascii="Times New Roman" w:hAnsi="Times New Roman" w:cs="Times New Roman"/>
          <w:sz w:val="28"/>
          <w:szCs w:val="28"/>
        </w:rPr>
        <w:t xml:space="preserve">. </w:t>
      </w:r>
      <w:r w:rsidRPr="00AE67E3">
        <w:rPr>
          <w:rFonts w:ascii="Times New Roman" w:hAnsi="Times New Roman" w:cs="Times New Roman"/>
          <w:sz w:val="28"/>
          <w:szCs w:val="28"/>
        </w:rPr>
        <w:t>p</w:t>
      </w:r>
      <w:r w:rsidR="00011FEE" w:rsidRPr="00AE67E3">
        <w:rPr>
          <w:rFonts w:ascii="Times New Roman" w:hAnsi="Times New Roman" w:cs="Times New Roman"/>
          <w:sz w:val="28"/>
          <w:szCs w:val="28"/>
        </w:rPr>
        <w:t>apildināt 4.</w:t>
      </w:r>
      <w:r w:rsidR="00D23C97">
        <w:rPr>
          <w:rFonts w:ascii="Times New Roman" w:hAnsi="Times New Roman" w:cs="Times New Roman"/>
          <w:sz w:val="28"/>
          <w:szCs w:val="28"/>
        </w:rPr>
        <w:t> </w:t>
      </w:r>
      <w:r w:rsidR="00011FEE" w:rsidRPr="00AE67E3">
        <w:rPr>
          <w:rFonts w:ascii="Times New Roman" w:hAnsi="Times New Roman" w:cs="Times New Roman"/>
          <w:sz w:val="28"/>
          <w:szCs w:val="28"/>
        </w:rPr>
        <w:t>pielikumu ar 27.</w:t>
      </w:r>
      <w:r w:rsidR="00D23C97">
        <w:rPr>
          <w:rFonts w:ascii="Times New Roman" w:hAnsi="Times New Roman" w:cs="Times New Roman"/>
          <w:sz w:val="28"/>
          <w:szCs w:val="28"/>
        </w:rPr>
        <w:t> </w:t>
      </w:r>
      <w:r w:rsidR="00011FEE" w:rsidRPr="00AE67E3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2B53D795" w14:textId="77777777" w:rsidR="00AE67E3" w:rsidRPr="00AE67E3" w:rsidRDefault="00AE67E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4684"/>
        <w:gridCol w:w="3679"/>
      </w:tblGrid>
      <w:tr w:rsidR="00011FEE" w:rsidRPr="00BA3E10" w14:paraId="5A290226" w14:textId="77777777" w:rsidTr="00BA3E10">
        <w:tc>
          <w:tcPr>
            <w:tcW w:w="846" w:type="dxa"/>
          </w:tcPr>
          <w:p w14:paraId="63822C49" w14:textId="57952F60" w:rsidR="00011FEE" w:rsidRPr="00BA3E10" w:rsidRDefault="00AE67E3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11FEE" w:rsidRPr="00BA3E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4" w:type="dxa"/>
          </w:tcPr>
          <w:p w14:paraId="13E9C889" w14:textId="0D51978B" w:rsidR="00011FEE" w:rsidRPr="00BA3E10" w:rsidRDefault="00011FEE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Kadmijs </w:t>
            </w:r>
            <w:proofErr w:type="spellStart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starojumizturīgos</w:t>
            </w:r>
            <w:proofErr w:type="spellEnd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videokameru kineskopos, kas paredzēti kamerām, kuru izšķirtspēja centrā ir lielāka par 450 TVL un kuras izmanto vidē, kur tās eksponētas jonizējošam starojumam ar dozas jaudu, kas pārsniedz 100 Gy/h, un kopējo dozu, kas pārsniedz 100 </w:t>
            </w:r>
            <w:proofErr w:type="spellStart"/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kGy</w:t>
            </w:r>
            <w:proofErr w:type="spellEnd"/>
          </w:p>
        </w:tc>
        <w:tc>
          <w:tcPr>
            <w:tcW w:w="3679" w:type="dxa"/>
          </w:tcPr>
          <w:p w14:paraId="0ABEF0D0" w14:textId="3F935670" w:rsidR="00011FEE" w:rsidRPr="00BA3E10" w:rsidRDefault="00FD5C68" w:rsidP="00AE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Līdz 2027.</w:t>
            </w:r>
            <w:r w:rsidR="00D23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D23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martam p</w:t>
            </w:r>
            <w:r w:rsidR="00011FEE" w:rsidRPr="00BA3E10">
              <w:rPr>
                <w:rFonts w:ascii="Times New Roman" w:hAnsi="Times New Roman" w:cs="Times New Roman"/>
                <w:sz w:val="24"/>
                <w:szCs w:val="24"/>
              </w:rPr>
              <w:t>iemēro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šo noteikumu 2.</w:t>
            </w:r>
            <w:r w:rsidR="00E46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pielikumā minētajai</w:t>
            </w:r>
            <w:r w:rsidR="00011FEE"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E46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E10">
              <w:rPr>
                <w:rFonts w:ascii="Times New Roman" w:hAnsi="Times New Roman" w:cs="Times New Roman"/>
                <w:sz w:val="24"/>
                <w:szCs w:val="24"/>
              </w:rPr>
              <w:t>iekārtu</w:t>
            </w:r>
            <w:r w:rsidR="00524B02" w:rsidRPr="00BA3E10">
              <w:rPr>
                <w:rFonts w:ascii="Times New Roman" w:hAnsi="Times New Roman" w:cs="Times New Roman"/>
                <w:sz w:val="24"/>
                <w:szCs w:val="24"/>
              </w:rPr>
              <w:t xml:space="preserve"> kategorijai</w:t>
            </w:r>
            <w:r w:rsidR="00AE67E3" w:rsidRPr="00BA3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72445A8C" w14:textId="77777777" w:rsidR="00011FEE" w:rsidRPr="00BA3E10" w:rsidRDefault="00011FEE" w:rsidP="00AE6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29888" w14:textId="11461FDE" w:rsidR="00FD5C68" w:rsidRPr="00AE67E3" w:rsidRDefault="007F2603" w:rsidP="00E4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2</w:t>
      </w:r>
      <w:r w:rsidR="00FD5C68" w:rsidRPr="00AE67E3">
        <w:rPr>
          <w:rFonts w:ascii="Times New Roman" w:hAnsi="Times New Roman" w:cs="Times New Roman"/>
          <w:sz w:val="28"/>
          <w:szCs w:val="28"/>
        </w:rPr>
        <w:t xml:space="preserve">. Noteikumu </w:t>
      </w: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FD5C68" w:rsidRPr="00AE67E3">
        <w:rPr>
          <w:rFonts w:ascii="Times New Roman" w:hAnsi="Times New Roman" w:cs="Times New Roman"/>
          <w:sz w:val="28"/>
          <w:szCs w:val="28"/>
        </w:rPr>
        <w:t xml:space="preserve">2., </w:t>
      </w: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 xml:space="preserve">4., </w:t>
      </w: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5</w:t>
      </w:r>
      <w:r w:rsidR="00FD5C68" w:rsidRPr="00AE67E3">
        <w:rPr>
          <w:rFonts w:ascii="Times New Roman" w:hAnsi="Times New Roman" w:cs="Times New Roman"/>
          <w:sz w:val="28"/>
          <w:szCs w:val="28"/>
        </w:rPr>
        <w:t xml:space="preserve">., </w:t>
      </w: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7</w:t>
      </w:r>
      <w:r w:rsidR="00FD5C68" w:rsidRPr="00AE67E3">
        <w:rPr>
          <w:rFonts w:ascii="Times New Roman" w:hAnsi="Times New Roman" w:cs="Times New Roman"/>
          <w:sz w:val="28"/>
          <w:szCs w:val="28"/>
        </w:rPr>
        <w:t xml:space="preserve">. un </w:t>
      </w:r>
      <w:r w:rsidRPr="00AE67E3">
        <w:rPr>
          <w:rFonts w:ascii="Times New Roman" w:hAnsi="Times New Roman" w:cs="Times New Roman"/>
          <w:sz w:val="28"/>
          <w:szCs w:val="28"/>
        </w:rPr>
        <w:t>1.</w:t>
      </w:r>
      <w:r w:rsidR="0066675B" w:rsidRPr="00AE67E3">
        <w:rPr>
          <w:rFonts w:ascii="Times New Roman" w:hAnsi="Times New Roman" w:cs="Times New Roman"/>
          <w:sz w:val="28"/>
          <w:szCs w:val="28"/>
        </w:rPr>
        <w:t>8</w:t>
      </w:r>
      <w:r w:rsidR="00FD5C68" w:rsidRPr="00AE67E3">
        <w:rPr>
          <w:rFonts w:ascii="Times New Roman" w:hAnsi="Times New Roman" w:cs="Times New Roman"/>
          <w:sz w:val="28"/>
          <w:szCs w:val="28"/>
        </w:rPr>
        <w:t>.</w:t>
      </w:r>
      <w:r w:rsidR="00AE67E3">
        <w:rPr>
          <w:rFonts w:ascii="Times New Roman" w:hAnsi="Times New Roman" w:cs="Times New Roman"/>
          <w:sz w:val="28"/>
          <w:szCs w:val="28"/>
        </w:rPr>
        <w:t> </w:t>
      </w:r>
      <w:r w:rsidRPr="00AE67E3">
        <w:rPr>
          <w:rFonts w:ascii="Times New Roman" w:hAnsi="Times New Roman" w:cs="Times New Roman"/>
          <w:sz w:val="28"/>
          <w:szCs w:val="28"/>
        </w:rPr>
        <w:t>apakš</w:t>
      </w:r>
      <w:r w:rsidR="00FD5C68" w:rsidRPr="00AE67E3">
        <w:rPr>
          <w:rFonts w:ascii="Times New Roman" w:hAnsi="Times New Roman" w:cs="Times New Roman"/>
          <w:sz w:val="28"/>
          <w:szCs w:val="28"/>
        </w:rPr>
        <w:t>punkts stājas spēkā 2021.</w:t>
      </w:r>
      <w:r w:rsidR="00AE67E3">
        <w:rPr>
          <w:rFonts w:ascii="Times New Roman" w:hAnsi="Times New Roman" w:cs="Times New Roman"/>
          <w:sz w:val="28"/>
          <w:szCs w:val="28"/>
        </w:rPr>
        <w:t> </w:t>
      </w:r>
      <w:r w:rsidR="00FD5C68" w:rsidRPr="00AE67E3">
        <w:rPr>
          <w:rFonts w:ascii="Times New Roman" w:hAnsi="Times New Roman" w:cs="Times New Roman"/>
          <w:sz w:val="28"/>
          <w:szCs w:val="28"/>
        </w:rPr>
        <w:t>gada 1.</w:t>
      </w:r>
      <w:r w:rsidR="00AE67E3" w:rsidRPr="00AE67E3">
        <w:rPr>
          <w:rFonts w:ascii="Times New Roman" w:hAnsi="Times New Roman" w:cs="Times New Roman"/>
          <w:sz w:val="28"/>
          <w:szCs w:val="28"/>
        </w:rPr>
        <w:t> </w:t>
      </w:r>
      <w:r w:rsidR="00FD5C68" w:rsidRPr="00AE67E3">
        <w:rPr>
          <w:rFonts w:ascii="Times New Roman" w:hAnsi="Times New Roman" w:cs="Times New Roman"/>
          <w:sz w:val="28"/>
          <w:szCs w:val="28"/>
        </w:rPr>
        <w:t xml:space="preserve">aprīlī. </w:t>
      </w:r>
    </w:p>
    <w:p w14:paraId="4A2B5A7D" w14:textId="77777777" w:rsidR="00AE67E3" w:rsidRPr="00AE67E3" w:rsidRDefault="00AE67E3" w:rsidP="00AE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B5555" w14:textId="77777777" w:rsidR="00AE67E3" w:rsidRPr="00AE67E3" w:rsidRDefault="00AE67E3" w:rsidP="00AE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59B9D" w14:textId="77777777" w:rsidR="00AE67E3" w:rsidRPr="00AE67E3" w:rsidRDefault="00AE67E3" w:rsidP="00AE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F81B9" w14:textId="77777777" w:rsidR="00AE67E3" w:rsidRPr="00AE67E3" w:rsidRDefault="00AE67E3" w:rsidP="00AE67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Ministru prezidents</w:t>
      </w:r>
      <w:r w:rsidRPr="00AE67E3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38D045B6" w14:textId="77777777" w:rsidR="00AE67E3" w:rsidRPr="00AE67E3" w:rsidRDefault="00AE67E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F371A" w14:textId="77777777" w:rsidR="00AE67E3" w:rsidRPr="00AE67E3" w:rsidRDefault="00AE67E3" w:rsidP="00AE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1AE12" w14:textId="77777777" w:rsidR="00AE67E3" w:rsidRPr="00AE67E3" w:rsidRDefault="00AE67E3" w:rsidP="00AE67E3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FC945" w14:textId="77777777" w:rsidR="00AE67E3" w:rsidRPr="00AE67E3" w:rsidRDefault="00AE67E3" w:rsidP="00AE67E3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66194903" w14:textId="77777777" w:rsidR="00AE67E3" w:rsidRPr="00AE67E3" w:rsidRDefault="00AE67E3" w:rsidP="00AE67E3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E3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AE67E3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AE67E3" w:rsidRPr="00AE67E3" w:rsidSect="00280C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F394" w14:textId="77777777" w:rsidR="006172B6" w:rsidRDefault="006172B6">
      <w:pPr>
        <w:spacing w:after="0" w:line="240" w:lineRule="auto"/>
      </w:pPr>
      <w:r>
        <w:separator/>
      </w:r>
    </w:p>
  </w:endnote>
  <w:endnote w:type="continuationSeparator" w:id="0">
    <w:p w14:paraId="4FA374C6" w14:textId="77777777" w:rsidR="006172B6" w:rsidRDefault="006172B6">
      <w:pPr>
        <w:spacing w:after="0" w:line="240" w:lineRule="auto"/>
      </w:pPr>
      <w:r>
        <w:continuationSeparator/>
      </w:r>
    </w:p>
  </w:endnote>
  <w:endnote w:type="continuationNotice" w:id="1">
    <w:p w14:paraId="6BA46C47" w14:textId="77777777" w:rsidR="00C30885" w:rsidRDefault="00C30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CFEF" w14:textId="77777777" w:rsidR="00280C45" w:rsidRPr="00280C45" w:rsidRDefault="00280C45" w:rsidP="00280C4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N1560_0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F8EE" w14:textId="37ACF987" w:rsidR="00280C45" w:rsidRPr="00280C45" w:rsidRDefault="00280C4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N1560_0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D113" w14:textId="77777777" w:rsidR="006172B6" w:rsidRDefault="006172B6">
      <w:pPr>
        <w:spacing w:after="0" w:line="240" w:lineRule="auto"/>
      </w:pPr>
      <w:r>
        <w:separator/>
      </w:r>
    </w:p>
  </w:footnote>
  <w:footnote w:type="continuationSeparator" w:id="0">
    <w:p w14:paraId="16A40666" w14:textId="77777777" w:rsidR="006172B6" w:rsidRDefault="006172B6">
      <w:pPr>
        <w:spacing w:after="0" w:line="240" w:lineRule="auto"/>
      </w:pPr>
      <w:r>
        <w:continuationSeparator/>
      </w:r>
    </w:p>
  </w:footnote>
  <w:footnote w:type="continuationNotice" w:id="1">
    <w:p w14:paraId="487D8D22" w14:textId="77777777" w:rsidR="00C30885" w:rsidRDefault="00C30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14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E02CF7" w14:textId="39C83890" w:rsidR="006172B6" w:rsidRPr="00280C45" w:rsidRDefault="006172B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C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0C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0C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80C4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80C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5CC5" w14:textId="0E28A326" w:rsidR="00280C45" w:rsidRDefault="00280C45">
    <w:pPr>
      <w:pStyle w:val="Header"/>
      <w:rPr>
        <w:rFonts w:ascii="Times New Roman" w:hAnsi="Times New Roman" w:cs="Times New Roman"/>
        <w:sz w:val="24"/>
        <w:szCs w:val="24"/>
      </w:rPr>
    </w:pPr>
  </w:p>
  <w:p w14:paraId="5536367B" w14:textId="77777777" w:rsidR="00280C45" w:rsidRDefault="00280C45">
    <w:pPr>
      <w:pStyle w:val="Header"/>
    </w:pPr>
    <w:r>
      <w:rPr>
        <w:noProof/>
      </w:rPr>
      <w:drawing>
        <wp:inline distT="0" distB="0" distL="0" distR="0" wp14:anchorId="1BD502C6" wp14:editId="55D823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88C"/>
    <w:multiLevelType w:val="hybridMultilevel"/>
    <w:tmpl w:val="CFCC7C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F3C"/>
    <w:multiLevelType w:val="hybridMultilevel"/>
    <w:tmpl w:val="182C9CA4"/>
    <w:lvl w:ilvl="0" w:tplc="B5004B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4390"/>
    <w:multiLevelType w:val="hybridMultilevel"/>
    <w:tmpl w:val="588C6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108B2"/>
    <w:multiLevelType w:val="hybridMultilevel"/>
    <w:tmpl w:val="6FE056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7CBF"/>
    <w:multiLevelType w:val="hybridMultilevel"/>
    <w:tmpl w:val="2234A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C79"/>
    <w:multiLevelType w:val="hybridMultilevel"/>
    <w:tmpl w:val="6C78B2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15"/>
    <w:rsid w:val="00011FEE"/>
    <w:rsid w:val="00045518"/>
    <w:rsid w:val="00092943"/>
    <w:rsid w:val="000C1BFD"/>
    <w:rsid w:val="00147E0D"/>
    <w:rsid w:val="00165AB9"/>
    <w:rsid w:val="00193D12"/>
    <w:rsid w:val="001957E0"/>
    <w:rsid w:val="001A3BE6"/>
    <w:rsid w:val="00261AFF"/>
    <w:rsid w:val="00280C45"/>
    <w:rsid w:val="002B4D09"/>
    <w:rsid w:val="00301965"/>
    <w:rsid w:val="00312F9D"/>
    <w:rsid w:val="00333F89"/>
    <w:rsid w:val="00346356"/>
    <w:rsid w:val="00371815"/>
    <w:rsid w:val="0038637A"/>
    <w:rsid w:val="00432F56"/>
    <w:rsid w:val="004401F9"/>
    <w:rsid w:val="00446B78"/>
    <w:rsid w:val="00463D7D"/>
    <w:rsid w:val="004F6FB2"/>
    <w:rsid w:val="004F75B3"/>
    <w:rsid w:val="00524B02"/>
    <w:rsid w:val="005419BF"/>
    <w:rsid w:val="005766B9"/>
    <w:rsid w:val="006172B6"/>
    <w:rsid w:val="006237D9"/>
    <w:rsid w:val="006565F0"/>
    <w:rsid w:val="0066675B"/>
    <w:rsid w:val="00667B27"/>
    <w:rsid w:val="006754F0"/>
    <w:rsid w:val="006849A3"/>
    <w:rsid w:val="00704C57"/>
    <w:rsid w:val="007B6F2F"/>
    <w:rsid w:val="007C03AA"/>
    <w:rsid w:val="007F2603"/>
    <w:rsid w:val="0085573C"/>
    <w:rsid w:val="00881680"/>
    <w:rsid w:val="009906BF"/>
    <w:rsid w:val="009D211D"/>
    <w:rsid w:val="009E16F1"/>
    <w:rsid w:val="00A36A07"/>
    <w:rsid w:val="00A7281F"/>
    <w:rsid w:val="00A80A92"/>
    <w:rsid w:val="00A868CD"/>
    <w:rsid w:val="00A90FF0"/>
    <w:rsid w:val="00AE67E3"/>
    <w:rsid w:val="00AE701D"/>
    <w:rsid w:val="00B11FFA"/>
    <w:rsid w:val="00B86B37"/>
    <w:rsid w:val="00BA1731"/>
    <w:rsid w:val="00BA3E10"/>
    <w:rsid w:val="00BF2A33"/>
    <w:rsid w:val="00C03CC1"/>
    <w:rsid w:val="00C153D9"/>
    <w:rsid w:val="00C30885"/>
    <w:rsid w:val="00C60AF8"/>
    <w:rsid w:val="00C76D2C"/>
    <w:rsid w:val="00C969D6"/>
    <w:rsid w:val="00CB0A79"/>
    <w:rsid w:val="00CB6D8D"/>
    <w:rsid w:val="00CE01FF"/>
    <w:rsid w:val="00D0170F"/>
    <w:rsid w:val="00D14089"/>
    <w:rsid w:val="00D23C97"/>
    <w:rsid w:val="00D96F57"/>
    <w:rsid w:val="00DB76E1"/>
    <w:rsid w:val="00DC1CB5"/>
    <w:rsid w:val="00E02758"/>
    <w:rsid w:val="00E46563"/>
    <w:rsid w:val="00E97F57"/>
    <w:rsid w:val="00EA5E76"/>
    <w:rsid w:val="00EF4B9F"/>
    <w:rsid w:val="00F015F7"/>
    <w:rsid w:val="00F40231"/>
    <w:rsid w:val="00F60355"/>
    <w:rsid w:val="00F61F55"/>
    <w:rsid w:val="00F706A8"/>
    <w:rsid w:val="00F7691C"/>
    <w:rsid w:val="00F77330"/>
    <w:rsid w:val="00FB4A77"/>
    <w:rsid w:val="00FD244F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9D07"/>
  <w15:chartTrackingRefBased/>
  <w15:docId w15:val="{07D19869-0EE3-4E03-997B-9CA2E8C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815"/>
    <w:rPr>
      <w:b/>
      <w:bCs/>
    </w:rPr>
  </w:style>
  <w:style w:type="paragraph" w:customStyle="1" w:styleId="naislab">
    <w:name w:val="naislab"/>
    <w:basedOn w:val="Normal"/>
    <w:rsid w:val="003718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1815"/>
    <w:pPr>
      <w:ind w:left="720"/>
      <w:contextualSpacing/>
    </w:pPr>
  </w:style>
  <w:style w:type="character" w:customStyle="1" w:styleId="normaltextrun">
    <w:name w:val="normaltextrun"/>
    <w:rsid w:val="00371815"/>
  </w:style>
  <w:style w:type="character" w:customStyle="1" w:styleId="findhit">
    <w:name w:val="findhit"/>
    <w:rsid w:val="00371815"/>
  </w:style>
  <w:style w:type="character" w:customStyle="1" w:styleId="spellingerror">
    <w:name w:val="spellingerror"/>
    <w:rsid w:val="00371815"/>
  </w:style>
  <w:style w:type="table" w:styleId="TableGrid">
    <w:name w:val="Table Grid"/>
    <w:basedOn w:val="TableNormal"/>
    <w:uiPriority w:val="39"/>
    <w:rsid w:val="0037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15"/>
  </w:style>
  <w:style w:type="paragraph" w:styleId="Footer">
    <w:name w:val="footer"/>
    <w:basedOn w:val="Normal"/>
    <w:link w:val="FooterChar"/>
    <w:uiPriority w:val="99"/>
    <w:unhideWhenUsed/>
    <w:rsid w:val="00371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15"/>
  </w:style>
  <w:style w:type="character" w:styleId="Hyperlink">
    <w:name w:val="Hyperlink"/>
    <w:basedOn w:val="DefaultParagraphFont"/>
    <w:uiPriority w:val="99"/>
    <w:unhideWhenUsed/>
    <w:rsid w:val="00371815"/>
    <w:rPr>
      <w:color w:val="0563C1" w:themeColor="hyperlink"/>
      <w:u w:val="single"/>
    </w:rPr>
  </w:style>
  <w:style w:type="character" w:customStyle="1" w:styleId="super">
    <w:name w:val="super"/>
    <w:basedOn w:val="DefaultParagraphFont"/>
    <w:rsid w:val="00371815"/>
  </w:style>
  <w:style w:type="paragraph" w:customStyle="1" w:styleId="tvhtml">
    <w:name w:val="tv_html"/>
    <w:basedOn w:val="Normal"/>
    <w:rsid w:val="0037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70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0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704C57"/>
  </w:style>
  <w:style w:type="character" w:styleId="CommentReference">
    <w:name w:val="annotation reference"/>
    <w:basedOn w:val="DefaultParagraphFont"/>
    <w:uiPriority w:val="99"/>
    <w:semiHidden/>
    <w:unhideWhenUsed/>
    <w:rsid w:val="00A9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F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E01FF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01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E0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A66F-CB28-4F15-BA8B-0587E535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5664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5. februāra noteikumos Nr. 84 “Noteikumi par atsevišķu bīstamu ķīmisku vielu lietošanas ierobežojumiem elektriskajās un elektroniskajās iekārtās”</vt:lpstr>
    </vt:vector>
  </TitlesOfParts>
  <Company>Vides aizsardzības un reģionālās attīstības ministrija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5. februāra noteikumos Nr. 84 “Noteikumi par atsevišķu bīstamu ķīmisku vielu lietošanas ierobežojumiem elektriskajās un elektroniskajās iekārtās”</dc:title>
  <dc:subject>Ministru kabineta noteikumi</dc:subject>
  <dc:creator>Ilze Doniņa</dc:creator>
  <cp:keywords/>
  <dc:description>Doniņa 67026515_x000d_
Ilze.Donina@varam.gov.lv</dc:description>
  <cp:lastModifiedBy>Leontine Babkina</cp:lastModifiedBy>
  <cp:revision>9</cp:revision>
  <cp:lastPrinted>2020-08-31T07:26:00Z</cp:lastPrinted>
  <dcterms:created xsi:type="dcterms:W3CDTF">2020-08-18T07:08:00Z</dcterms:created>
  <dcterms:modified xsi:type="dcterms:W3CDTF">2020-09-07T05:24:00Z</dcterms:modified>
  <cp:category>Vides politika</cp:category>
</cp:coreProperties>
</file>