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660A" w14:textId="77777777" w:rsidR="00A468CE" w:rsidRPr="00272E6C" w:rsidRDefault="006531BC" w:rsidP="0063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</w:t>
      </w:r>
    </w:p>
    <w:p w14:paraId="4E367A5A" w14:textId="77777777" w:rsidR="00A468CE" w:rsidRPr="00272E6C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„Grozījumi Ministru kabineta 2004. gada 17. februāra noteikumos Nr. 83</w:t>
      </w:r>
    </w:p>
    <w:p w14:paraId="1B00BE0B" w14:textId="77777777" w:rsidR="00A468CE" w:rsidRPr="00272E6C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„Āfrikas cūku mēra likvidēšanas un d</w:t>
      </w:r>
      <w:bookmarkStart w:id="0" w:name="_GoBack"/>
      <w:bookmarkEnd w:id="0"/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raudu novēršanas kārtība””</w:t>
      </w:r>
    </w:p>
    <w:p w14:paraId="06875C54" w14:textId="77777777" w:rsidR="00A468CE" w:rsidRPr="00272E6C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14:paraId="11EDBC10" w14:textId="42717068" w:rsidR="002D171F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14:paraId="0B9E7873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4787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14:paraId="21132494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F99F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339F5" w14:textId="77777777"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766EFA8F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02CB3EDF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8F340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14:paraId="7EA9FA76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794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89D6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8A260" w14:textId="41413782" w:rsidR="00442A36" w:rsidRPr="0041461B" w:rsidRDefault="004F04BB" w:rsidP="0073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Komisijas </w:t>
            </w:r>
            <w:r w:rsidR="007308A3" w:rsidRPr="00730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2020. gada 10. augusta Īstenošanas lēmums (ES) 2020/1185, ar ko groza Īstenošanas lēmumu 2014/709/ES par dzīvnieku veselības kontroles pasākumiem saistībā ar Āfrikas cūku mēri dažās dalībvalstīs (turpmāk – </w:t>
            </w:r>
            <w:r w:rsidR="007308A3"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lēmums (ES) 2020/1</w:t>
            </w:r>
            <w:r w:rsidR="00730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</w:t>
            </w:r>
            <w:r w:rsidR="007308A3" w:rsidRPr="00730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730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BEF" w14:paraId="1FCD491B" w14:textId="77777777" w:rsidTr="004F04BB">
        <w:trPr>
          <w:trHeight w:val="658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A8CE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C8CD9" w14:textId="77777777"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2B4689B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DBAE0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728E5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8CD68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CDE0F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F9FAC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D4221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ED21D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AB138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DB238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CC507" w14:textId="7DFB4546" w:rsidR="000E0E57" w:rsidRDefault="006531BC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Āfrikas cūku mēra uzraudzības, kontroles un apkarošanas kārtība ir noteikta Ministru kabineta 2004. gada 17. februāra noteikumos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 „Āfrikas cūku mēra likvidēšanas un draudu novēršanas kārtība” (turpmāk – noteikumi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83), kuros ir jāizdara grozījumi, lai ietvertu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>ēmuma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43E06">
              <w:rPr>
                <w:rFonts w:ascii="Times New Roman" w:hAnsi="Times New Roman" w:cs="Times New Roman"/>
                <w:bCs/>
                <w:sz w:val="24"/>
                <w:szCs w:val="24"/>
              </w:rPr>
              <w:t>1185</w:t>
            </w:r>
            <w:r w:rsidR="00EB6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normas attiecībā uz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Latvijas</w:t>
            </w:r>
            <w:r w:rsidR="006D7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teritoriju 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>precizēšanu atbilstoši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Āfrikas cūku mēra </w:t>
            </w:r>
            <w:r w:rsidR="007872F1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</w:t>
            </w:r>
            <w:r w:rsidR="00B75D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ĀCM)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riska zonās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esošajai epidemioloģiskajai situācijai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C43815" w14:textId="5456671D" w:rsidR="004F04BB" w:rsidRPr="008300F7" w:rsidRDefault="00C00FC5" w:rsidP="008300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(ES) 20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DA7C24">
              <w:rPr>
                <w:rFonts w:ascii="Times New Roman" w:hAnsi="Times New Roman" w:cs="Times New Roman"/>
                <w:bCs/>
                <w:sz w:val="24"/>
                <w:szCs w:val="24"/>
              </w:rPr>
              <w:t>1185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hAnsi="Times New Roman" w:cs="Times New Roman"/>
                <w:sz w:val="24"/>
                <w:szCs w:val="24"/>
              </w:rPr>
              <w:t>pamatojumā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 norādīts, ka</w:t>
            </w:r>
            <w:r w:rsidR="006531BC"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DA7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>augustā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tika konstatēts viens 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uzliesmojums 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>savvaļas cūku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populācijā 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>Ventspils novadā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. Šis novads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patlaban </w:t>
            </w:r>
            <w:r w:rsidR="00B75DD3">
              <w:rPr>
                <w:rFonts w:ascii="Times New Roman" w:hAnsi="Times New Roman" w:cs="Times New Roman"/>
                <w:sz w:val="24"/>
                <w:szCs w:val="24"/>
              </w:rPr>
              <w:t>ietverts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0F7" w:rsidRPr="00830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Komisijas 2014. gada 9. oktobra Īstenošanas lēmuma </w:t>
            </w:r>
            <w:r w:rsidR="008300F7" w:rsidRPr="008300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2014/709/ES</w:t>
            </w:r>
            <w:r w:rsidR="008300F7" w:rsidRPr="00830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dzīvnieku veselības kontroles pasākumiem saistībā ar Āfrikas cūku mēri dažās dalībvalstīs un ar ko atceļ Īstenošanas lēmumu 2014/178/ES</w:t>
            </w:r>
            <w:r w:rsidR="0083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 xml:space="preserve">(turpmāk </w:t>
            </w:r>
            <w:r w:rsidR="00B75D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Īstenošanas lēmum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 xml:space="preserve">(ES)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2014/709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pielikuma I daļā. </w:t>
            </w:r>
          </w:p>
          <w:p w14:paraId="4682B7AD" w14:textId="2DB6FFE4" w:rsidR="00073A41" w:rsidRPr="009002F3" w:rsidRDefault="00B75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Minētais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uzliesmojum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>s savvaļas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cūku populācijā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aliel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slimības 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izplatī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šanās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risku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 uz citiem slimības neskartiem reģioniem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visā 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Eiropas Savienīb</w:t>
            </w:r>
            <w:r w:rsidR="00CE3BF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nesen 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apstiprināt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jaun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uzliesmojums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jānorāda Īstenošanas lēmuma 2014/709/ES pielikuma </w:t>
            </w:r>
            <w:r w:rsidR="00AA75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daļā, nevis tā I daļā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, ņemot vērā </w:t>
            </w:r>
            <w:r w:rsidR="008300F7" w:rsidRPr="009E4AFD">
              <w:rPr>
                <w:rFonts w:ascii="Times New Roman" w:hAnsi="Times New Roman" w:cs="Times New Roman"/>
                <w:sz w:val="24"/>
                <w:szCs w:val="24"/>
              </w:rPr>
              <w:t xml:space="preserve">Komisijas darba dokumentu </w:t>
            </w:r>
            <w:r w:rsidR="008300F7" w:rsidRPr="00517C7B">
              <w:rPr>
                <w:rFonts w:ascii="Times New Roman" w:hAnsi="Times New Roman" w:cs="Times New Roman"/>
                <w:sz w:val="24"/>
                <w:szCs w:val="24"/>
              </w:rPr>
              <w:t>SANTE/7112/2015,</w:t>
            </w:r>
            <w:r w:rsidR="008300F7" w:rsidRPr="009E4AFD">
              <w:rPr>
                <w:rFonts w:ascii="Times New Roman" w:hAnsi="Times New Roman" w:cs="Times New Roman"/>
                <w:sz w:val="24"/>
                <w:szCs w:val="24"/>
              </w:rPr>
              <w:t xml:space="preserve"> kas nosaka valstu teritoriju reģionalizācijas kritērijus pēc ĀCM uzliesmojuma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2BEF" w14:paraId="4A8808FE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A61C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7033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4081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14:paraId="399799BF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DC4A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D0B7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E7A53" w14:textId="77777777"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7F1F4D4" w14:textId="77777777"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7F6A5179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4A249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A62BEF" w14:paraId="2BF3817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49DF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100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9FF4B" w14:textId="00A3D60F" w:rsidR="00DD0087" w:rsidRPr="00173807" w:rsidRDefault="006531BC" w:rsidP="0017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lauksaimniecības dzīvnieku īpašniekiem un turētājiem, kas audzē un tur cūku sugas dzīvniekus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un veterināro dienestu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>Pēc Lauksaimniecības datu centra tīmekļvietnē pieejamās informācijas, Latvijā 20</w:t>
            </w:r>
            <w:r w:rsidR="00FE14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 1. janvārī </w:t>
            </w:r>
            <w:r w:rsidR="009C6C59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bija reģistrēt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3807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2956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807" w:rsidRPr="007A7939">
              <w:rPr>
                <w:rFonts w:ascii="Times New Roman" w:eastAsia="Times New Roman" w:hAnsi="Times New Roman" w:cs="Times New Roman"/>
                <w:sz w:val="24"/>
                <w:szCs w:val="24"/>
              </w:rPr>
              <w:t>cūku sugas dzīvnieku īpašnieki (novietnes, kurās dzīvnieki tiek turēti gan komerciālos nolūkos, gan pašpatēriņam)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. Kopējais cūku skaits 2020.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gada 1. janvār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</w:t>
            </w:r>
            <w:r w:rsidR="00173807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314 298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7C2BFFD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9917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D3C4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F70ED" w14:textId="77777777" w:rsidR="00561F23" w:rsidRPr="001C2B53" w:rsidRDefault="005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6E55EA3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31A2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FEB0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7DAE8" w14:textId="77777777"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2ABA0F62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65A0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7AA1D" w14:textId="77777777"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05D49A" w14:textId="77777777"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8CF81F5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CEAC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6EB3F" w14:textId="77777777"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B90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BB952DF" w14:textId="77777777"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14:paraId="19A75AD5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CF7B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14:paraId="72BA0733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457D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14:paraId="26380AE3" w14:textId="77777777" w:rsidTr="00A468CE">
        <w:tc>
          <w:tcPr>
            <w:tcW w:w="9366" w:type="dxa"/>
            <w:vAlign w:val="center"/>
          </w:tcPr>
          <w:p w14:paraId="65B32FA7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14:paraId="4458C5D5" w14:textId="77777777" w:rsidTr="00A468CE">
        <w:tc>
          <w:tcPr>
            <w:tcW w:w="9366" w:type="dxa"/>
            <w:vAlign w:val="center"/>
          </w:tcPr>
          <w:p w14:paraId="4F066B8C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CAA4C68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8F7A021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1E4F5" w14:textId="77777777" w:rsidR="00D47815" w:rsidRDefault="006531BC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  <w:p w14:paraId="16F9672B" w14:textId="77777777" w:rsidR="009A5D77" w:rsidRPr="001C2B53" w:rsidRDefault="009A5D77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BEF" w14:paraId="77D8A62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705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AAA1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7F0B12" w14:textId="246F6BC8" w:rsidR="00561F23" w:rsidRPr="00E12717" w:rsidRDefault="00277C29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lēmums (ES) 2020/1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A62BEF" w14:paraId="7964E0A8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A0BB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1441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AD74C0" w14:textId="77777777"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4FCFCE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B975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A172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753F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87FF3E7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3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1563"/>
        <w:gridCol w:w="586"/>
        <w:gridCol w:w="2348"/>
        <w:gridCol w:w="2410"/>
      </w:tblGrid>
      <w:tr w:rsidR="00A62BEF" w14:paraId="369E6DC5" w14:textId="77777777" w:rsidTr="00332A51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CBCA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14:paraId="707A1572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5F8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65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15EAE" w14:textId="04FB61D7" w:rsidR="00D47815" w:rsidRPr="001C2B53" w:rsidRDefault="00277C29" w:rsidP="0027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lēmums (ES) 2020/1185</w:t>
            </w:r>
          </w:p>
        </w:tc>
      </w:tr>
      <w:tr w:rsidR="00A62BEF" w14:paraId="77942173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5A74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E57B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8891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FD6E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14:paraId="13F3AE2B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4283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6E3E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vienība, kas pārņem vai ievieš katru šīs tabulas A ailē minēto ES tiesību akta vienību,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vai tiesību akts, kur attiecīgā ES tiesību akta vienība pārņemta vai ieviesta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1D14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Informācija par to, vai šīs tabulas A ailē minētās ES tiesību akta vienības tiek pārņemtas vai ieviestas pilnībā vai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7ACFA" w14:textId="77777777" w:rsidR="009A5D77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Informācija par to, vai šīs tabulas B ailē minētās projekta vienības paredz stingrākas prasības nekā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projekts satur 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F5C95" w14:paraId="49A62A8A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D55B5" w14:textId="3AE53971" w:rsidR="00AF5C95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</w:t>
            </w:r>
            <w:r w:rsidR="00277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</w:t>
            </w:r>
            <w:r w:rsidR="00B7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daļas </w:t>
            </w:r>
            <w:r w:rsidR="008B4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punkta </w:t>
            </w:r>
            <w:r w:rsidR="008B4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pirmā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DA911" w14:textId="25155214" w:rsidR="00AF5C95" w:rsidRPr="00AD508C" w:rsidRDefault="00CC532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 izteiktais noteikumu Nr. 83 3.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pielikuma </w:t>
            </w:r>
            <w:r w:rsidR="00C25B5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CBC061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FFC7D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779C25A6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BAD5E4" w14:textId="06D970B5" w:rsidR="00D47815" w:rsidRPr="001C2B53" w:rsidRDefault="00A4432F" w:rsidP="0065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</w:t>
            </w:r>
            <w:r w:rsidR="00A56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</w:t>
            </w:r>
            <w:r w:rsidR="00B7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punkt</w:t>
            </w:r>
            <w:r w:rsidR="008B4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C3291" w14:textId="4B2D54A6" w:rsidR="00D47815" w:rsidRPr="001C2B53" w:rsidRDefault="00B75DD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n</w:t>
            </w:r>
            <w:r w:rsidR="001E7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projekta </w:t>
            </w:r>
            <w:r w:rsid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352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2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svītrot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C25B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E7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Nr. 83 3.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7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pielikuma </w:t>
            </w:r>
            <w:r w:rsidR="00C25B5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1E7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7CF1"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CBAF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</w:rPr>
              <w:t>ES tiesību akta vienība tiek ieviesta pilnībā.</w:t>
            </w:r>
          </w:p>
        </w:tc>
        <w:tc>
          <w:tcPr>
            <w:tcW w:w="1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E85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EC462F" w14:paraId="41821B0D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D5AA6" w14:textId="113BAD5F" w:rsidR="00EC462F" w:rsidRPr="00A638E3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</w:t>
            </w:r>
            <w:r w:rsidR="00A56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</w:t>
            </w:r>
            <w:r w:rsidR="00B7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 punkta </w:t>
            </w:r>
            <w:r w:rsidR="00D3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simt septītā 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B6A32" w14:textId="5EE81CE5" w:rsidR="00EC462F" w:rsidRDefault="0025630E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 izteiktais noteikumu Nr.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83 3.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pielikuma 3.</w:t>
            </w:r>
            <w:r w:rsidR="00C25B5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D5DC7B" w14:textId="77777777" w:rsidR="00EC462F" w:rsidRPr="003C61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7805C5" w14:textId="77777777" w:rsidR="00EC462F" w:rsidRPr="00226B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901324" w14:paraId="5346A919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49C50" w14:textId="3976C0E5" w:rsidR="00901324" w:rsidRPr="00590C86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</w:t>
            </w:r>
            <w:r w:rsidR="00A56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</w:t>
            </w:r>
            <w:r w:rsidR="00B7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 punkt</w:t>
            </w:r>
            <w:r w:rsidR="00D3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sešdesmit astotā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D73B1" w14:textId="3D701FE3" w:rsidR="00901324" w:rsidRDefault="00B75DD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n</w:t>
            </w:r>
            <w:r w:rsidR="00CE7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projekta </w:t>
            </w:r>
            <w:r w:rsidR="00A72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1324"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5684B">
              <w:rPr>
                <w:rFonts w:ascii="Times New Roman" w:eastAsia="Times New Roman" w:hAnsi="Times New Roman" w:cs="Times New Roman"/>
                <w:sz w:val="24"/>
                <w:szCs w:val="24"/>
              </w:rPr>
              <w:t>un 5.</w:t>
            </w:r>
            <w:r w:rsid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BB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01324"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2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papildin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ātie</w:t>
            </w:r>
            <w:r w:rsidR="00CE7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Nr.</w:t>
            </w:r>
            <w:r w:rsid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BB1">
              <w:rPr>
                <w:rFonts w:ascii="Times New Roman" w:eastAsia="Times New Roman" w:hAnsi="Times New Roman" w:cs="Times New Roman"/>
                <w:sz w:val="24"/>
                <w:szCs w:val="24"/>
              </w:rPr>
              <w:t>83 3.</w:t>
            </w:r>
            <w:r w:rsid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BB1">
              <w:rPr>
                <w:rFonts w:ascii="Times New Roman" w:eastAsia="Times New Roman" w:hAnsi="Times New Roman" w:cs="Times New Roman"/>
                <w:sz w:val="24"/>
                <w:szCs w:val="24"/>
              </w:rPr>
              <w:t>pielikuma 3.10</w:t>
            </w:r>
            <w:r w:rsidR="00C25B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7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4.23.</w:t>
            </w:r>
            <w:r w:rsidR="008E6D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BB1"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C23D7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07E771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4D17C1DB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2161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Kā ir izmantota ES tiesību aktā paredzētā rīcības brīvība dalībvalstij pārņemt vai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ieviest noteiktas ES tiesību akta normas? Kādēļ?</w:t>
            </w:r>
          </w:p>
        </w:tc>
        <w:tc>
          <w:tcPr>
            <w:tcW w:w="365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78EA3" w14:textId="3BBE46C2" w:rsidR="00D47815" w:rsidRPr="00E61979" w:rsidRDefault="0041461B" w:rsidP="007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ēmumā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161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</w:t>
            </w:r>
            <w:r w:rsidR="00C2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dota rīcības brīvība dalībvalstij ieviest tiesību normas.</w:t>
            </w:r>
          </w:p>
        </w:tc>
      </w:tr>
      <w:tr w:rsidR="00A62BEF" w14:paraId="29ABC345" w14:textId="77777777" w:rsidTr="00332A51">
        <w:tc>
          <w:tcPr>
            <w:tcW w:w="21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4C2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82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E4C8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09C868C" w14:textId="77777777" w:rsidTr="00C25B58"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F062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5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D03ED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5FE26E77" w14:textId="77777777"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14:paraId="0D74A3F1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B4C19F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14:paraId="0513E236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20A59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6D9D7FA" w14:textId="77777777" w:rsidR="00595382" w:rsidRDefault="00595382" w:rsidP="00595382">
      <w:pPr>
        <w:spacing w:after="0" w:line="240" w:lineRule="auto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7D1C1D9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3F920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14:paraId="31CCF674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6A19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1C5C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CF77" w14:textId="46E57A37" w:rsidR="00E829BB" w:rsidRPr="001C2B53" w:rsidRDefault="006531BC" w:rsidP="0041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Diskusijas sabiedrībā par 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(ES) 20</w:t>
            </w:r>
            <w:r w:rsid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</w:t>
            </w:r>
            <w:r w:rsidR="00734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iekļautajām normām nav nepieciešamas, jo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A68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tehniski tiek pārņemtas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minēt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normas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3DB2F1C3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77B0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7D94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6ED1C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479A4AC1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18E3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9E60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A01F7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5C4959A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2A8C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1ABE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C1C40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1ABD9F5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14:paraId="51E3F0C6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D581D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14:paraId="67EB9D0E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8AE9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E24A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1000B" w14:textId="77777777"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F7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14:paraId="46CEE05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513F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0C3B4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A19D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75EECF2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063A3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B2062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623F9" w14:textId="77777777"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14:paraId="658E5193" w14:textId="7DD4530F"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C7402" w14:textId="22745872" w:rsidR="001C2B53" w:rsidRPr="006F305D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  <w:t>Zemkopības ministrs</w:t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355DD">
        <w:rPr>
          <w:rFonts w:ascii="Times New Roman" w:hAnsi="Times New Roman" w:cs="Times New Roman"/>
          <w:bCs/>
          <w:sz w:val="28"/>
          <w:szCs w:val="24"/>
        </w:rPr>
        <w:tab/>
      </w:r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 w:rsidR="000A775A">
        <w:rPr>
          <w:rFonts w:ascii="Times New Roman" w:hAnsi="Times New Roman" w:cs="Times New Roman"/>
          <w:bCs/>
          <w:sz w:val="28"/>
          <w:szCs w:val="24"/>
        </w:rPr>
        <w:t>.</w:t>
      </w:r>
      <w:r w:rsidR="00F9295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14:paraId="675B3103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3234B" w14:textId="2A125BD2" w:rsidR="001C2B53" w:rsidRPr="00272E6C" w:rsidRDefault="00332A51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6C">
        <w:rPr>
          <w:rFonts w:ascii="Times New Roman" w:hAnsi="Times New Roman" w:cs="Times New Roman"/>
          <w:sz w:val="24"/>
          <w:szCs w:val="24"/>
        </w:rPr>
        <w:t>Tauriņa</w:t>
      </w:r>
      <w:r w:rsidR="006531BC" w:rsidRPr="00272E6C">
        <w:rPr>
          <w:rFonts w:ascii="Times New Roman" w:hAnsi="Times New Roman" w:cs="Times New Roman"/>
          <w:sz w:val="24"/>
          <w:szCs w:val="24"/>
        </w:rPr>
        <w:t xml:space="preserve"> 67027</w:t>
      </w:r>
      <w:r w:rsidRPr="00272E6C">
        <w:rPr>
          <w:rFonts w:ascii="Times New Roman" w:hAnsi="Times New Roman" w:cs="Times New Roman"/>
          <w:sz w:val="24"/>
          <w:szCs w:val="24"/>
        </w:rPr>
        <w:t>064</w:t>
      </w:r>
    </w:p>
    <w:p w14:paraId="354A95A1" w14:textId="36C3FABC" w:rsidR="001C2B53" w:rsidRPr="00561F23" w:rsidRDefault="006355DD" w:rsidP="0027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2A51" w:rsidRPr="00272E6C">
          <w:rPr>
            <w:rStyle w:val="Hipersaite"/>
            <w:rFonts w:ascii="Times New Roman" w:hAnsi="Times New Roman" w:cs="Times New Roman"/>
            <w:sz w:val="24"/>
            <w:szCs w:val="24"/>
          </w:rPr>
          <w:t>Sigita.Taurina@zm.gov.lv</w:t>
        </w:r>
      </w:hyperlink>
      <w:r w:rsidR="00332A51" w:rsidRPr="00272E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2B53" w:rsidRPr="00561F23" w:rsidSect="006355DD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A5FB" w14:textId="77777777" w:rsidR="0010362C" w:rsidRDefault="0010362C">
      <w:pPr>
        <w:spacing w:after="0" w:line="240" w:lineRule="auto"/>
      </w:pPr>
      <w:r>
        <w:separator/>
      </w:r>
    </w:p>
  </w:endnote>
  <w:endnote w:type="continuationSeparator" w:id="0">
    <w:p w14:paraId="09B0FF8B" w14:textId="77777777" w:rsidR="0010362C" w:rsidRDefault="001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4FF1" w14:textId="42DC8F5A" w:rsidR="0064398A" w:rsidRPr="006355DD" w:rsidRDefault="006355DD" w:rsidP="006355DD">
    <w:pPr>
      <w:pStyle w:val="Kjene"/>
    </w:pPr>
    <w:r w:rsidRPr="006355DD">
      <w:rPr>
        <w:rFonts w:ascii="Times New Roman" w:hAnsi="Times New Roman" w:cs="Times New Roman"/>
        <w:sz w:val="20"/>
        <w:szCs w:val="20"/>
      </w:rPr>
      <w:t>ZManot_030920_afrikmeris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E4F4" w14:textId="6240B3DB" w:rsidR="0064398A" w:rsidRPr="006355DD" w:rsidRDefault="006355DD" w:rsidP="006355DD">
    <w:pPr>
      <w:pStyle w:val="Kjene"/>
    </w:pPr>
    <w:r w:rsidRPr="006355DD">
      <w:rPr>
        <w:rFonts w:ascii="Times New Roman" w:hAnsi="Times New Roman" w:cs="Times New Roman"/>
        <w:sz w:val="20"/>
        <w:szCs w:val="20"/>
      </w:rPr>
      <w:t>ZManot_030920_afrikmeris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5EFC" w14:textId="77777777" w:rsidR="0010362C" w:rsidRDefault="0010362C">
      <w:pPr>
        <w:spacing w:after="0" w:line="240" w:lineRule="auto"/>
      </w:pPr>
      <w:r>
        <w:separator/>
      </w:r>
    </w:p>
  </w:footnote>
  <w:footnote w:type="continuationSeparator" w:id="0">
    <w:p w14:paraId="2D1D1B47" w14:textId="77777777" w:rsidR="0010362C" w:rsidRDefault="0010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BDF38E" w14:textId="77777777"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DD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354BB9" w14:textId="77777777"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6367"/>
    <w:multiLevelType w:val="hybridMultilevel"/>
    <w:tmpl w:val="CE5A09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46CC"/>
    <w:multiLevelType w:val="hybridMultilevel"/>
    <w:tmpl w:val="5290E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21F0A"/>
    <w:rsid w:val="00026E3F"/>
    <w:rsid w:val="00027603"/>
    <w:rsid w:val="000306B3"/>
    <w:rsid w:val="00031136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2967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75A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362C"/>
    <w:rsid w:val="001046BF"/>
    <w:rsid w:val="0010601E"/>
    <w:rsid w:val="0011162C"/>
    <w:rsid w:val="00115B24"/>
    <w:rsid w:val="00115C10"/>
    <w:rsid w:val="0011614E"/>
    <w:rsid w:val="001249A6"/>
    <w:rsid w:val="001304DB"/>
    <w:rsid w:val="001305D0"/>
    <w:rsid w:val="00130921"/>
    <w:rsid w:val="00131431"/>
    <w:rsid w:val="00134730"/>
    <w:rsid w:val="0014219F"/>
    <w:rsid w:val="00142BA3"/>
    <w:rsid w:val="00142F92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141C"/>
    <w:rsid w:val="001641AF"/>
    <w:rsid w:val="00164A41"/>
    <w:rsid w:val="0016539A"/>
    <w:rsid w:val="00165CA0"/>
    <w:rsid w:val="00167E9F"/>
    <w:rsid w:val="001702D1"/>
    <w:rsid w:val="00171DE1"/>
    <w:rsid w:val="00173807"/>
    <w:rsid w:val="00173B8A"/>
    <w:rsid w:val="00181154"/>
    <w:rsid w:val="00183E32"/>
    <w:rsid w:val="00183F45"/>
    <w:rsid w:val="00184FF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03AC"/>
    <w:rsid w:val="001E0BCE"/>
    <w:rsid w:val="001E0C67"/>
    <w:rsid w:val="001E287E"/>
    <w:rsid w:val="001E488C"/>
    <w:rsid w:val="001E5408"/>
    <w:rsid w:val="001E7967"/>
    <w:rsid w:val="001E7CF1"/>
    <w:rsid w:val="001F23F0"/>
    <w:rsid w:val="001F3A1E"/>
    <w:rsid w:val="00200757"/>
    <w:rsid w:val="0020203F"/>
    <w:rsid w:val="002068A7"/>
    <w:rsid w:val="00206C9B"/>
    <w:rsid w:val="00207755"/>
    <w:rsid w:val="0021524A"/>
    <w:rsid w:val="00220607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52B85"/>
    <w:rsid w:val="00254531"/>
    <w:rsid w:val="0025630E"/>
    <w:rsid w:val="0026780B"/>
    <w:rsid w:val="00272D42"/>
    <w:rsid w:val="00272E6C"/>
    <w:rsid w:val="002748E2"/>
    <w:rsid w:val="00277C29"/>
    <w:rsid w:val="00281449"/>
    <w:rsid w:val="002817BB"/>
    <w:rsid w:val="00286293"/>
    <w:rsid w:val="002906A4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0EF4"/>
    <w:rsid w:val="002D171F"/>
    <w:rsid w:val="002D2A7C"/>
    <w:rsid w:val="002D51FB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73D"/>
    <w:rsid w:val="00330CF3"/>
    <w:rsid w:val="00332A51"/>
    <w:rsid w:val="00333E97"/>
    <w:rsid w:val="00335881"/>
    <w:rsid w:val="00335A90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411B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6E8"/>
    <w:rsid w:val="004A2DA0"/>
    <w:rsid w:val="004A3EF5"/>
    <w:rsid w:val="004B42D3"/>
    <w:rsid w:val="004B5964"/>
    <w:rsid w:val="004C0509"/>
    <w:rsid w:val="004C1784"/>
    <w:rsid w:val="004C651A"/>
    <w:rsid w:val="004C686E"/>
    <w:rsid w:val="004D0FB9"/>
    <w:rsid w:val="004D4303"/>
    <w:rsid w:val="004D4C78"/>
    <w:rsid w:val="004E14F8"/>
    <w:rsid w:val="004E28A5"/>
    <w:rsid w:val="004E39FC"/>
    <w:rsid w:val="004E4C19"/>
    <w:rsid w:val="004E4F63"/>
    <w:rsid w:val="004E532F"/>
    <w:rsid w:val="004E6FDA"/>
    <w:rsid w:val="004F04BB"/>
    <w:rsid w:val="004F16AA"/>
    <w:rsid w:val="004F4CA3"/>
    <w:rsid w:val="004F7D62"/>
    <w:rsid w:val="005020FD"/>
    <w:rsid w:val="00502DCF"/>
    <w:rsid w:val="005040AD"/>
    <w:rsid w:val="00510F37"/>
    <w:rsid w:val="00515AD4"/>
    <w:rsid w:val="00517C7B"/>
    <w:rsid w:val="00520238"/>
    <w:rsid w:val="00520F17"/>
    <w:rsid w:val="0052493E"/>
    <w:rsid w:val="00526527"/>
    <w:rsid w:val="00526733"/>
    <w:rsid w:val="00526CB5"/>
    <w:rsid w:val="0052764B"/>
    <w:rsid w:val="00527B65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4E1B"/>
    <w:rsid w:val="00564E4E"/>
    <w:rsid w:val="00565F6E"/>
    <w:rsid w:val="00565FD6"/>
    <w:rsid w:val="0056716E"/>
    <w:rsid w:val="005701B1"/>
    <w:rsid w:val="005704E0"/>
    <w:rsid w:val="00571FD2"/>
    <w:rsid w:val="00573F61"/>
    <w:rsid w:val="00577DC4"/>
    <w:rsid w:val="0058205C"/>
    <w:rsid w:val="005821A4"/>
    <w:rsid w:val="005824EF"/>
    <w:rsid w:val="00583390"/>
    <w:rsid w:val="00584F95"/>
    <w:rsid w:val="0059003F"/>
    <w:rsid w:val="00590C86"/>
    <w:rsid w:val="00591BC1"/>
    <w:rsid w:val="00595382"/>
    <w:rsid w:val="00597293"/>
    <w:rsid w:val="005973AB"/>
    <w:rsid w:val="005A3B9D"/>
    <w:rsid w:val="005A5578"/>
    <w:rsid w:val="005B20A2"/>
    <w:rsid w:val="005B4C1A"/>
    <w:rsid w:val="005C3295"/>
    <w:rsid w:val="005C7BA2"/>
    <w:rsid w:val="005C7D5B"/>
    <w:rsid w:val="005D0607"/>
    <w:rsid w:val="005D09ED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5F5E06"/>
    <w:rsid w:val="00601B2D"/>
    <w:rsid w:val="006020FE"/>
    <w:rsid w:val="00603C06"/>
    <w:rsid w:val="0060569B"/>
    <w:rsid w:val="00605834"/>
    <w:rsid w:val="00605838"/>
    <w:rsid w:val="00611203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55DD"/>
    <w:rsid w:val="00635B00"/>
    <w:rsid w:val="00636B2E"/>
    <w:rsid w:val="0063774E"/>
    <w:rsid w:val="0064398A"/>
    <w:rsid w:val="00644490"/>
    <w:rsid w:val="00650F4A"/>
    <w:rsid w:val="00650FBB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0EF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7E99"/>
    <w:rsid w:val="006F7F89"/>
    <w:rsid w:val="00706B8C"/>
    <w:rsid w:val="0070799E"/>
    <w:rsid w:val="00712B8E"/>
    <w:rsid w:val="00712C4A"/>
    <w:rsid w:val="007139EE"/>
    <w:rsid w:val="00714BD1"/>
    <w:rsid w:val="0071739D"/>
    <w:rsid w:val="007308A3"/>
    <w:rsid w:val="00731A60"/>
    <w:rsid w:val="00732DB4"/>
    <w:rsid w:val="0073488B"/>
    <w:rsid w:val="0073573A"/>
    <w:rsid w:val="00737BA5"/>
    <w:rsid w:val="00742761"/>
    <w:rsid w:val="00743017"/>
    <w:rsid w:val="00743E06"/>
    <w:rsid w:val="00744947"/>
    <w:rsid w:val="00744EE4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4A48"/>
    <w:rsid w:val="0080505F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00F7"/>
    <w:rsid w:val="00833013"/>
    <w:rsid w:val="00833A0E"/>
    <w:rsid w:val="008347AC"/>
    <w:rsid w:val="00834CB1"/>
    <w:rsid w:val="00835191"/>
    <w:rsid w:val="00837A68"/>
    <w:rsid w:val="00837E02"/>
    <w:rsid w:val="00840BAF"/>
    <w:rsid w:val="0084105E"/>
    <w:rsid w:val="00845A46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76BB"/>
    <w:rsid w:val="008819E1"/>
    <w:rsid w:val="00885DC9"/>
    <w:rsid w:val="008864F4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366D"/>
    <w:rsid w:val="008B453B"/>
    <w:rsid w:val="008B6E02"/>
    <w:rsid w:val="008C018D"/>
    <w:rsid w:val="008C2AAF"/>
    <w:rsid w:val="008C3E45"/>
    <w:rsid w:val="008C5448"/>
    <w:rsid w:val="008C78C0"/>
    <w:rsid w:val="008D3CC3"/>
    <w:rsid w:val="008E0490"/>
    <w:rsid w:val="008E3CE4"/>
    <w:rsid w:val="008E3D73"/>
    <w:rsid w:val="008E4323"/>
    <w:rsid w:val="008E6D73"/>
    <w:rsid w:val="008E71F4"/>
    <w:rsid w:val="008E7CD5"/>
    <w:rsid w:val="008F30A5"/>
    <w:rsid w:val="008F6A13"/>
    <w:rsid w:val="008F7823"/>
    <w:rsid w:val="009002F3"/>
    <w:rsid w:val="00901324"/>
    <w:rsid w:val="00902D96"/>
    <w:rsid w:val="0090318F"/>
    <w:rsid w:val="0090398E"/>
    <w:rsid w:val="00903A00"/>
    <w:rsid w:val="00903C8F"/>
    <w:rsid w:val="00904261"/>
    <w:rsid w:val="00907D9F"/>
    <w:rsid w:val="0091083E"/>
    <w:rsid w:val="00910B9D"/>
    <w:rsid w:val="00910BBB"/>
    <w:rsid w:val="00917512"/>
    <w:rsid w:val="00917D81"/>
    <w:rsid w:val="00923C60"/>
    <w:rsid w:val="00925AAC"/>
    <w:rsid w:val="0092689E"/>
    <w:rsid w:val="009268E3"/>
    <w:rsid w:val="00926C1D"/>
    <w:rsid w:val="00926E1C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0F17"/>
    <w:rsid w:val="00966D8F"/>
    <w:rsid w:val="00970510"/>
    <w:rsid w:val="0097112E"/>
    <w:rsid w:val="00972562"/>
    <w:rsid w:val="009738C2"/>
    <w:rsid w:val="00982740"/>
    <w:rsid w:val="00985520"/>
    <w:rsid w:val="009907F6"/>
    <w:rsid w:val="00993448"/>
    <w:rsid w:val="009949F9"/>
    <w:rsid w:val="009A1647"/>
    <w:rsid w:val="009A52C8"/>
    <w:rsid w:val="009A5D77"/>
    <w:rsid w:val="009A7C34"/>
    <w:rsid w:val="009B6A74"/>
    <w:rsid w:val="009C12D1"/>
    <w:rsid w:val="009C6C59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4AFD"/>
    <w:rsid w:val="009E597C"/>
    <w:rsid w:val="009F06F7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4011E"/>
    <w:rsid w:val="00A4084F"/>
    <w:rsid w:val="00A413F0"/>
    <w:rsid w:val="00A4432F"/>
    <w:rsid w:val="00A4554C"/>
    <w:rsid w:val="00A45952"/>
    <w:rsid w:val="00A45D5E"/>
    <w:rsid w:val="00A468CE"/>
    <w:rsid w:val="00A46C6E"/>
    <w:rsid w:val="00A50E47"/>
    <w:rsid w:val="00A514F5"/>
    <w:rsid w:val="00A52813"/>
    <w:rsid w:val="00A52F04"/>
    <w:rsid w:val="00A5556F"/>
    <w:rsid w:val="00A5684B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0DA"/>
    <w:rsid w:val="00A72E58"/>
    <w:rsid w:val="00A75693"/>
    <w:rsid w:val="00A81610"/>
    <w:rsid w:val="00A81A8A"/>
    <w:rsid w:val="00A820FA"/>
    <w:rsid w:val="00A847E5"/>
    <w:rsid w:val="00A91678"/>
    <w:rsid w:val="00A93050"/>
    <w:rsid w:val="00A96228"/>
    <w:rsid w:val="00A9639B"/>
    <w:rsid w:val="00AA05C1"/>
    <w:rsid w:val="00AA0CA1"/>
    <w:rsid w:val="00AA14E0"/>
    <w:rsid w:val="00AA210C"/>
    <w:rsid w:val="00AA5FD7"/>
    <w:rsid w:val="00AA63E1"/>
    <w:rsid w:val="00AA6CAE"/>
    <w:rsid w:val="00AA75D8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3DE"/>
    <w:rsid w:val="00AC2661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2D8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5AB5"/>
    <w:rsid w:val="00B161E8"/>
    <w:rsid w:val="00B20AC5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64D4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4E77"/>
    <w:rsid w:val="00B75DD3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921"/>
    <w:rsid w:val="00B9776C"/>
    <w:rsid w:val="00BA043E"/>
    <w:rsid w:val="00BA1360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05ACE"/>
    <w:rsid w:val="00C11187"/>
    <w:rsid w:val="00C118BD"/>
    <w:rsid w:val="00C12248"/>
    <w:rsid w:val="00C16EE4"/>
    <w:rsid w:val="00C17D70"/>
    <w:rsid w:val="00C21992"/>
    <w:rsid w:val="00C21CBA"/>
    <w:rsid w:val="00C237A8"/>
    <w:rsid w:val="00C23BE0"/>
    <w:rsid w:val="00C23CB0"/>
    <w:rsid w:val="00C25B58"/>
    <w:rsid w:val="00C264FA"/>
    <w:rsid w:val="00C26B20"/>
    <w:rsid w:val="00C27121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11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326"/>
    <w:rsid w:val="00CC5C47"/>
    <w:rsid w:val="00CD0EC5"/>
    <w:rsid w:val="00CD11A0"/>
    <w:rsid w:val="00CD3365"/>
    <w:rsid w:val="00CD3868"/>
    <w:rsid w:val="00CD5872"/>
    <w:rsid w:val="00CD5DD7"/>
    <w:rsid w:val="00CE27C8"/>
    <w:rsid w:val="00CE3BFD"/>
    <w:rsid w:val="00CE6B96"/>
    <w:rsid w:val="00CE7BB1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37D01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217A"/>
    <w:rsid w:val="00D9262F"/>
    <w:rsid w:val="00D949A6"/>
    <w:rsid w:val="00D958E0"/>
    <w:rsid w:val="00D9640A"/>
    <w:rsid w:val="00DA0D38"/>
    <w:rsid w:val="00DA6C36"/>
    <w:rsid w:val="00DA7C24"/>
    <w:rsid w:val="00DB06F1"/>
    <w:rsid w:val="00DB16AF"/>
    <w:rsid w:val="00DB23F5"/>
    <w:rsid w:val="00DB4925"/>
    <w:rsid w:val="00DB4E97"/>
    <w:rsid w:val="00DB51BE"/>
    <w:rsid w:val="00DB5459"/>
    <w:rsid w:val="00DB5D77"/>
    <w:rsid w:val="00DC02FE"/>
    <w:rsid w:val="00DC107E"/>
    <w:rsid w:val="00DC4BB6"/>
    <w:rsid w:val="00DC5D53"/>
    <w:rsid w:val="00DC5D55"/>
    <w:rsid w:val="00DC6D98"/>
    <w:rsid w:val="00DC75C4"/>
    <w:rsid w:val="00DC7DBB"/>
    <w:rsid w:val="00DD0087"/>
    <w:rsid w:val="00DE3315"/>
    <w:rsid w:val="00DE4518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5EE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3522"/>
    <w:rsid w:val="00EA5F89"/>
    <w:rsid w:val="00EA7899"/>
    <w:rsid w:val="00EA7F55"/>
    <w:rsid w:val="00EB49FC"/>
    <w:rsid w:val="00EB4C39"/>
    <w:rsid w:val="00EB4DA7"/>
    <w:rsid w:val="00EB4F15"/>
    <w:rsid w:val="00EB67C7"/>
    <w:rsid w:val="00EC0AE3"/>
    <w:rsid w:val="00EC0FA4"/>
    <w:rsid w:val="00EC1220"/>
    <w:rsid w:val="00EC35B7"/>
    <w:rsid w:val="00EC462F"/>
    <w:rsid w:val="00ED04E9"/>
    <w:rsid w:val="00ED1A42"/>
    <w:rsid w:val="00ED3028"/>
    <w:rsid w:val="00ED57CA"/>
    <w:rsid w:val="00ED7A1C"/>
    <w:rsid w:val="00EE0672"/>
    <w:rsid w:val="00EE2BAB"/>
    <w:rsid w:val="00EE3E79"/>
    <w:rsid w:val="00EE4C83"/>
    <w:rsid w:val="00EF218C"/>
    <w:rsid w:val="00EF4435"/>
    <w:rsid w:val="00EF5635"/>
    <w:rsid w:val="00EF59B0"/>
    <w:rsid w:val="00EF5B24"/>
    <w:rsid w:val="00EF5E5A"/>
    <w:rsid w:val="00EF742E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99A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7DBD"/>
    <w:rsid w:val="00F7012F"/>
    <w:rsid w:val="00F71F05"/>
    <w:rsid w:val="00F72FCB"/>
    <w:rsid w:val="00F80E6C"/>
    <w:rsid w:val="00F8362D"/>
    <w:rsid w:val="00F87236"/>
    <w:rsid w:val="00F87B17"/>
    <w:rsid w:val="00F90A6B"/>
    <w:rsid w:val="00F90D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5068"/>
    <w:rsid w:val="00FC2ED7"/>
    <w:rsid w:val="00FC31E9"/>
    <w:rsid w:val="00FC47F6"/>
    <w:rsid w:val="00FC5616"/>
    <w:rsid w:val="00FC688F"/>
    <w:rsid w:val="00FD5CAC"/>
    <w:rsid w:val="00FE14E2"/>
    <w:rsid w:val="00FE3723"/>
    <w:rsid w:val="00FE636F"/>
    <w:rsid w:val="00FF1557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CBD"/>
  <w15:docId w15:val="{15EAEB66-0D9A-41B5-B47F-AE61D69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3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7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9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ita.Taurina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5203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2004. gada 17. februāra noteikumos Nr. 83 „Āfrikas cūku mēra likvidēšanas un draudu novēršanas kārtība””</vt:lpstr>
      <vt:lpstr>Ministru kabineta noteikumu projekts „Grozījumi Ministru kabineta 2004. gada 17. februāra noteikumos Nr. 83 „Āfrikas cūku mēra likvidēšanas un draudu novēršanas kārtība””</vt:lpstr>
    </vt:vector>
  </TitlesOfParts>
  <Company>Zemkopības ministrija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2004. gada 17. februāra noteikumos Nr. 83 „Āfrikas cūku mēra likvidēšanas un draudu novēršanas kārtība””</dc:title>
  <dc:subject>Anotācija</dc:subject>
  <dc:creator>Sigita Tauriņa</dc:creator>
  <dc:description>Tauriņa 67027551 Sigita.Taurina@zm.gov.lv</dc:description>
  <cp:lastModifiedBy>Sanita Papinova</cp:lastModifiedBy>
  <cp:revision>3</cp:revision>
  <dcterms:created xsi:type="dcterms:W3CDTF">2020-09-03T10:19:00Z</dcterms:created>
  <dcterms:modified xsi:type="dcterms:W3CDTF">2020-09-03T11:29:00Z</dcterms:modified>
</cp:coreProperties>
</file>