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660A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Ministru kabineta noteikumu projekta</w:t>
      </w:r>
    </w:p>
    <w:p w14:paraId="4E367A5A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„Grozījumi Ministru kabineta 2004. gada 17. februāra noteikumos Nr. 83</w:t>
      </w:r>
    </w:p>
    <w:p w14:paraId="1B00BE0B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„Āfrikas cūku mēra likvidēšanas un draudu novēršanas kārtība””</w:t>
      </w:r>
    </w:p>
    <w:p w14:paraId="06875C54" w14:textId="77777777" w:rsidR="00A468CE" w:rsidRPr="00272E6C" w:rsidRDefault="006531BC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E6C">
        <w:rPr>
          <w:rFonts w:ascii="Times New Roman" w:eastAsia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11EDBC10" w14:textId="77777777"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62BEF" w14:paraId="0B9E7873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4787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62BEF" w14:paraId="21132494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F99F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339F5" w14:textId="77777777" w:rsidR="005A5578" w:rsidRPr="005A5578" w:rsidRDefault="00060A68" w:rsidP="005A55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766EFA8F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02CB3EDF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8F340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62BEF" w14:paraId="7EA9FA76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794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89D68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0FC13" w14:textId="77777777" w:rsidR="004F04BB" w:rsidRPr="004F04BB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Komisijas  2020. gada 9. jūlija Īstenošanas lēmums (ES) 2020/1005, ar ko groza pielikumu Īstenošanas lēmumam 2014/709/ES par dzīvnieku veselības kontroles pasākumiem saistībā ar Āfrikas cūku mēri dažās dalībvalstīs (turpmāk – Īstenošanas lēmums (ES) 2020/1005);</w:t>
            </w:r>
          </w:p>
          <w:p w14:paraId="33E8A260" w14:textId="10033694" w:rsidR="00442A36" w:rsidRPr="0041461B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Komisijas  2020. gada 27. jūlija Īstenošanas lēmums (ES) 2020/1107, ar ko groza pielikumu Īstenošanas lēmumam 2014/709/ES par dzīvnieku veselības kontroles pasākumiem saistībā ar Āfrikas cūku mēri dažās dalībvalstīs (turpmāk – Īstenošanas lēmums (ES) 2020/1107).</w:t>
            </w:r>
          </w:p>
        </w:tc>
      </w:tr>
      <w:tr w:rsidR="00A62BEF" w14:paraId="1FCD491B" w14:textId="77777777" w:rsidTr="004F04BB">
        <w:trPr>
          <w:trHeight w:val="658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FA8CE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FC8CD9" w14:textId="77777777" w:rsidR="006D77FB" w:rsidRPr="006D77FB" w:rsidRDefault="006531BC" w:rsidP="00D6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22B4689B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DBAE0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9728E5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8CD68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CDE0F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F9FAC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D4221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ED21D" w14:textId="77777777" w:rsidR="006D77FB" w:rsidRPr="006D77FB" w:rsidRDefault="006D77FB" w:rsidP="006D7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AB1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0DB238" w14:textId="77777777" w:rsidR="005D09ED" w:rsidRPr="005D09ED" w:rsidRDefault="005D09ED" w:rsidP="005D0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CC507" w14:textId="357409D8" w:rsidR="000E0E57" w:rsidRPr="001C2B53" w:rsidRDefault="006531BC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Āfrikas cūku mēra uzraudzības, kontroles un apkarošanas kārtība ir noteikta Ministru kabineta 2004. gada 17. februāra noteikumos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 „Āfrikas cūku mēra likvidēšanas un draudu novēršanas kārtība” (turpmāk – noteikumi Nr.</w:t>
            </w:r>
            <w:r w:rsidR="00C2712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83), kuros ir jāizdara grozījumi, lai ietvertu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>ēmuma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005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lēmuma (ES) 2020/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B6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normas attiecībā uz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Latvijas</w:t>
            </w:r>
            <w:r w:rsidR="006D7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3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teritoriju 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>precizēšanu atbilstoši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Āfrikas cūku mēra </w:t>
            </w:r>
            <w:r w:rsidR="0078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(turpmāk – ĀCM) </w:t>
            </w:r>
            <w:r w:rsidR="00DF21A8">
              <w:rPr>
                <w:rFonts w:ascii="Times New Roman" w:hAnsi="Times New Roman" w:cs="Times New Roman"/>
                <w:bCs/>
                <w:sz w:val="24"/>
                <w:szCs w:val="24"/>
              </w:rPr>
              <w:t>riska zonās</w:t>
            </w:r>
            <w:r w:rsidR="00B92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esošajai epidemioloģiskajai situācijai</w:t>
            </w:r>
            <w:r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2C43815" w14:textId="29C4A8DD" w:rsidR="004F04BB" w:rsidRPr="008300F7" w:rsidRDefault="00C00FC5" w:rsidP="00830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Īstenošanas lēmuma 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(ES) 20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1461B" w:rsidRPr="0041461B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  <w:r w:rsidR="004F04BB">
              <w:rPr>
                <w:rFonts w:ascii="Times New Roman" w:hAnsi="Times New Roman" w:cs="Times New Roman"/>
                <w:bCs/>
                <w:sz w:val="24"/>
                <w:szCs w:val="24"/>
              </w:rPr>
              <w:t>005</w:t>
            </w:r>
            <w:r w:rsidR="00414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hAnsi="Times New Roman" w:cs="Times New Roman"/>
                <w:sz w:val="24"/>
                <w:szCs w:val="24"/>
              </w:rPr>
              <w:t>pamatojumā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 xml:space="preserve"> norādīts, ka</w:t>
            </w:r>
            <w:r w:rsidR="006531BC"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2020. gada jūlijā tika konstatēts viens 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uzliesmojums mājas cūku populācijā Kuldīgas novadā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. Šis novads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patlaban norādīts </w:t>
            </w:r>
            <w:r w:rsidR="008300F7" w:rsidRPr="00830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Komisijas 2014. gada 9. oktobra Īstenošanas lēmuma </w:t>
            </w:r>
            <w:r w:rsidR="008300F7" w:rsidRPr="008300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2014/709/ES</w:t>
            </w:r>
            <w:r w:rsidR="008300F7" w:rsidRPr="00830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 dzīvnieku veselības kontroles pasākumiem saistībā ar Āfrikas cūku mēri dažās dalībvalstīs un ar ko atceļ Īstenošanas lēmumu 2014/178/ES</w:t>
            </w:r>
            <w:r w:rsidR="00830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 xml:space="preserve">(turpmāk -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Īstenošanas lēmum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 xml:space="preserve">(ES)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2014/709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pielikuma II daļā. </w:t>
            </w:r>
          </w:p>
          <w:p w14:paraId="5DF9A4A1" w14:textId="184B3355" w:rsidR="004F04BB" w:rsidRDefault="00A91678" w:rsidP="004F0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Īstenošanas lēmuma (ES) 2020/</w:t>
            </w:r>
            <w:r w:rsidR="00D92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2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pamatojumā</w:t>
            </w:r>
            <w:r w:rsidR="00845A46">
              <w:rPr>
                <w:rFonts w:ascii="Times New Roman" w:hAnsi="Times New Roman" w:cs="Times New Roman"/>
                <w:sz w:val="24"/>
                <w:szCs w:val="24"/>
              </w:rPr>
              <w:t xml:space="preserve"> norādīts,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>2020. gada jūlijā divi Ā</w:t>
            </w:r>
            <w:r w:rsidR="004F04BB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uzliesmojumi tika konstatēti mājas cūku populācijā Skrundas novadā Latvijā, apgabalā, kurš patlaban norādīts Īstenošanas lēmuma </w:t>
            </w:r>
            <w:r w:rsidR="008300F7">
              <w:rPr>
                <w:rFonts w:ascii="Times New Roman" w:hAnsi="Times New Roman" w:cs="Times New Roman"/>
                <w:sz w:val="24"/>
                <w:szCs w:val="24"/>
              </w:rPr>
              <w:t xml:space="preserve">(ES) </w:t>
            </w:r>
            <w:r w:rsidR="004F04BB"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2014/709 pielikuma II daļā. </w:t>
            </w:r>
          </w:p>
          <w:p w14:paraId="4682B7AD" w14:textId="1705DCE2" w:rsidR="00073A41" w:rsidRPr="009002F3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Šie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trīs 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uzliesmojumi mājas cūku populācijā paaugstina riska līmeni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izplatīt ĀCM uz citiem slimības neskartiem reģioniem Eiropas Savienības līmenī. Līdz ar to šīs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teritorijas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ās 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nesen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apstiprināti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 jaunie 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, tagad jānorāda Īstenošanas lēmuma 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2014/709/ES pielikuma III daļā, nevis tā II daļā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ņemot vērā </w:t>
            </w:r>
            <w:r w:rsidR="008300F7" w:rsidRPr="009E4AFD">
              <w:rPr>
                <w:rFonts w:ascii="Times New Roman" w:hAnsi="Times New Roman" w:cs="Times New Roman"/>
                <w:sz w:val="24"/>
                <w:szCs w:val="24"/>
              </w:rPr>
              <w:t>Komisijas darba dokumentu No. SANTE/7112/2015, kas nosaka valstu teritoriju reģionalizācijas kritērijus pēc ĀCM uzliesmojuma</w:t>
            </w:r>
            <w:r w:rsidRPr="004F04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2BEF" w14:paraId="4A8808FE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A61C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07033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4081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62BEF" w14:paraId="399799BF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DC4A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D0B7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AE7A53" w14:textId="77777777" w:rsidR="00D47815" w:rsidRPr="001C2B53" w:rsidRDefault="006F305D" w:rsidP="0006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7F1F4D4" w14:textId="77777777" w:rsidR="00060A68" w:rsidRPr="001C2B53" w:rsidRDefault="00060A68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62BEF" w14:paraId="7F6A5179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4A2495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62BEF" w14:paraId="2BF3817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49DFF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100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E9FF4B" w14:textId="00A3D60F" w:rsidR="00DD0087" w:rsidRPr="00173807" w:rsidRDefault="006531BC" w:rsidP="0017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tiesiskais regulējums attiecas uz lauksaimniecības dzīvnieku īpašniekiem un turētājiem, kas audzē un tur cūku sugas dzīvniekus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Pārtikas un veterināro dienestu</w:t>
            </w:r>
            <w:r w:rsidR="004146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F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Pēc Lauksaimniecības datu centra tīmekļvietnē pieejamās informācijas, Latvijā 20</w:t>
            </w:r>
            <w:r w:rsidR="00FE14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C59" w:rsidRPr="009C6C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 1. janvārī </w:t>
            </w:r>
            <w:r w:rsidR="009C6C59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bija reģistrēt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73807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2956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807" w:rsidRPr="007A7939">
              <w:rPr>
                <w:rFonts w:ascii="Times New Roman" w:eastAsia="Times New Roman" w:hAnsi="Times New Roman" w:cs="Times New Roman"/>
                <w:sz w:val="24"/>
                <w:szCs w:val="24"/>
              </w:rPr>
              <w:t>cūku sugas dzīvnieku īpašnieki (novietnes, kurās dzīvnieki tiek turēti gan komerciālos nolūkos, gan pašpatēriņam)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. Kopējais cūku skaits 2020.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gada 1. janvār</w:t>
            </w:r>
            <w:r w:rsidR="00C63111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bija </w:t>
            </w:r>
            <w:r w:rsidR="00173807" w:rsidRP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314 298</w:t>
            </w:r>
            <w:r w:rsidR="00173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7C2BFFD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B9917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0D3C4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F70ED" w14:textId="77777777" w:rsidR="00561F23" w:rsidRPr="001C2B53" w:rsidRDefault="005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6E55EA3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31A2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0FEB0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7DAE8" w14:textId="77777777" w:rsidR="00D47815" w:rsidRPr="001C2B53" w:rsidRDefault="006531BC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2ABA0F62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65A00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B7AA1D" w14:textId="77777777" w:rsidR="00060A68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5D49A" w14:textId="77777777" w:rsidR="008F7823" w:rsidRPr="001C2B53" w:rsidRDefault="006531BC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8CF81F5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ECEAC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F6EB3F" w14:textId="77777777" w:rsidR="00E61979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B90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BB952DF" w14:textId="77777777" w:rsidR="00A468CE" w:rsidRDefault="00A468CE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62BEF" w14:paraId="19A75AD5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ACF7B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62BEF" w14:paraId="72BA0733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5457D3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62BEF" w14:paraId="26380AE3" w14:textId="77777777" w:rsidTr="00A468CE">
        <w:tc>
          <w:tcPr>
            <w:tcW w:w="9366" w:type="dxa"/>
            <w:vAlign w:val="center"/>
          </w:tcPr>
          <w:p w14:paraId="65B32FA7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62BEF" w14:paraId="4458C5D5" w14:textId="77777777" w:rsidTr="00A468CE">
        <w:tc>
          <w:tcPr>
            <w:tcW w:w="9366" w:type="dxa"/>
            <w:vAlign w:val="center"/>
          </w:tcPr>
          <w:p w14:paraId="4F066B8C" w14:textId="77777777" w:rsidR="00A468CE" w:rsidRPr="001C2B53" w:rsidRDefault="006531BC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CAA4C68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8F7A021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1E4F5" w14:textId="77777777" w:rsidR="00D47815" w:rsidRDefault="006531BC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  <w:p w14:paraId="16F9672B" w14:textId="77777777" w:rsidR="009A5D77" w:rsidRPr="001C2B53" w:rsidRDefault="009A5D77" w:rsidP="001E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BEF" w14:paraId="77D8A62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7051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1AAA1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2CF72" w14:textId="77777777" w:rsidR="004F04BB" w:rsidRPr="004F04BB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Komisijas  2020. gada 9. jūlija Īstenošanas lēmums (ES) 2020/1005, ar ko groza pielikumu Īstenošanas lēmumam 2014/709/ES par dzīvnieku veselības kontroles pasākumiem saistībā ar Āfrikas cūku mēri dažās dalībvalstīs (turpmāk – Īstenošanas lēmums (ES) 2020/1005);</w:t>
            </w:r>
          </w:p>
          <w:p w14:paraId="6F7F0B12" w14:textId="236D0C9A" w:rsidR="00561F23" w:rsidRPr="00E12717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Komisijas  2020. gada 27. jūlija Īstenošanas lēmums (ES) 2020/1107, ar ko groza pielikumu Īstenošanas lēmumam 2014/709/ES par dzīvnieku veselības kontroles pasākumiem saistībā ar Āfrikas cūku mēri dažās dalībvalstīs (turpmāk – Īstenošanas lēmums (ES) 2020/1107).</w:t>
            </w:r>
          </w:p>
        </w:tc>
      </w:tr>
      <w:tr w:rsidR="00A62BEF" w14:paraId="7964E0A8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A0BB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1441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AD74C0" w14:textId="77777777" w:rsidR="00D67D33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4FCFCE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B975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A172A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753F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87FF3E7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3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4"/>
        <w:gridCol w:w="1563"/>
        <w:gridCol w:w="586"/>
        <w:gridCol w:w="2348"/>
        <w:gridCol w:w="2350"/>
        <w:gridCol w:w="60"/>
      </w:tblGrid>
      <w:tr w:rsidR="00A62BEF" w14:paraId="369E6DC5" w14:textId="77777777" w:rsidTr="00332A51">
        <w:trPr>
          <w:gridAfter w:val="1"/>
          <w:wAfter w:w="32" w:type="pct"/>
        </w:trPr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BCBCA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62BEF" w14:paraId="707A1572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5F86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62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8DF38" w14:textId="77777777" w:rsidR="004F04BB" w:rsidRPr="004F04BB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Komisijas  2020. gada 9. jūlija Īstenošanas lēmums (ES) 2020/1005, ar ko groza pielikumu Īstenošanas lēmumam 2014/709/ES par dzīvnieku veselības kontroles pasākumiem saistībā ar Āfrikas cūku mēri dažās dalībvalstīs (turpmāk – Īstenošanas lēmums (ES) 2020/1005);</w:t>
            </w:r>
          </w:p>
          <w:p w14:paraId="56615EAE" w14:textId="72A84407" w:rsidR="00D47815" w:rsidRPr="001C2B53" w:rsidRDefault="004F04BB" w:rsidP="004F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Komisijas  2020. gada 27. jūlija Īstenošanas lēmums (ES) 2020/1107, ar ko groza pielikumu Īstenošanas lēmumam 2014/709/ES par dzīvnieku veselības kontroles pasākumiem saistībā ar Āfrikas cūku mēri dažās dalībvalstīs (turpmāk – Īstenošanas lēmums (ES) 2020/1107).</w:t>
            </w:r>
          </w:p>
        </w:tc>
      </w:tr>
      <w:tr w:rsidR="00A62BEF" w14:paraId="77942173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95A742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3E57BC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B8891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FD6E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62BEF" w:rsidRPr="00F15332" w14:paraId="13F3AE2B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D42833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6E3E6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31D14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37ACFA" w14:textId="77777777" w:rsidR="009A5D77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 projekts satur 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Norāda iespējamās alternatīvas (t. sk. alternatīvas, kas neparedz tiesiskā regulējuma izstrādi) – kādos gadījumos būtu iespējams izvairīties no stingrāku prasību noteikšanas, nekā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paredzēts attiecīgajos ES tiesību aktos</w:t>
            </w:r>
          </w:p>
        </w:tc>
      </w:tr>
      <w:tr w:rsidR="00AF5C95" w14:paraId="49A62A8A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D55B5" w14:textId="33CC17BD" w:rsidR="00AF5C95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2020/1107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 daļas 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punkta divdesmitā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DA911" w14:textId="5F3CC922" w:rsidR="00AF5C95" w:rsidRPr="00AD508C" w:rsidRDefault="00CC532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 izteiktais noteikumu Nr. 83 3.pielikuma 3.93.apakšpunkts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CBC061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FFC7D" w14:textId="77777777" w:rsidR="00AF5C95" w:rsidRPr="0077127B" w:rsidRDefault="00AF5C9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C95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779C25A6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BAD5E4" w14:textId="034AFE6C" w:rsidR="00D47815" w:rsidRPr="001C2B53" w:rsidRDefault="00A4432F" w:rsidP="0065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2020/1107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 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 punkta sešdesmit ceturtā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C3291" w14:textId="3B9222B8" w:rsidR="00D47815" w:rsidRPr="001C2B53" w:rsidRDefault="001E7CF1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A352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 izteiktais noteikumu Nr. 83 3.pielikuma 3.99.apakšpunkts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CBAF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</w:rPr>
              <w:t>ES tiesību akta vienība tiek ieviesta pilnībā.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E85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EC462F" w14:paraId="41821B0D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D5AA6" w14:textId="06C09D27" w:rsidR="00EC462F" w:rsidRPr="00A638E3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2020/1107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 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 punkta otrā un septiņdesmit pirmā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B6A32" w14:textId="7F6D1C7A" w:rsidR="00EC462F" w:rsidRDefault="0025630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590C86" w:rsidRPr="00590C86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 izteiktais noteikumu Nr.83 3.pielikuma 3.103. un 3.104.apakšpunkts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D5DC7B" w14:textId="77777777" w:rsidR="00EC462F" w:rsidRPr="003C61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7805C5" w14:textId="77777777" w:rsidR="00EC462F" w:rsidRPr="00226BDE" w:rsidRDefault="00EC46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2F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901324" w14:paraId="5346A919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49C50" w14:textId="74BB78D5" w:rsidR="00901324" w:rsidRPr="00590C86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2020/1107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 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5. punkts 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D73B1" w14:textId="16A7DFE6" w:rsidR="00901324" w:rsidRDefault="00CE7BB1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A720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01324"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 svītrots noteikumu Nr.83 3.pielikuma 3.107.apakšpunkts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C23D7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07E771" w14:textId="77777777" w:rsidR="00901324" w:rsidRPr="00EC462F" w:rsidRDefault="00901324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324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D9217A" w14:paraId="4A8E914D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F4A89E" w14:textId="760DDCBE" w:rsidR="00D9217A" w:rsidRPr="00A4432F" w:rsidRDefault="00D9217A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lēmuma (ES) 2020/1107 pielikuma II daļas 5. punkt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otrā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F5874D" w14:textId="5C7A0563" w:rsidR="00D9217A" w:rsidRDefault="00D9217A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5. punkts papildina noteikumu Nr.83 3. pielikumu ar 4.22. apakšpunktu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54368B" w14:textId="6D992D55" w:rsidR="00D9217A" w:rsidRPr="00901324" w:rsidRDefault="00D9217A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D345C" w14:textId="33347B50" w:rsidR="00D9217A" w:rsidRPr="00901324" w:rsidRDefault="00D9217A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7A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16141C" w14:paraId="3E508B34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B3F0EA" w14:textId="221F75AD" w:rsidR="0016141C" w:rsidRPr="00901324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2020/1005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III 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punkta otrā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2E1B71" w14:textId="41452E1B" w:rsidR="0016141C" w:rsidRDefault="00FF1557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D92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6141C">
              <w:rPr>
                <w:rFonts w:ascii="Times New Roman" w:eastAsia="Times New Roman" w:hAnsi="Times New Roman" w:cs="Times New Roman"/>
                <w:sz w:val="24"/>
                <w:szCs w:val="24"/>
              </w:rPr>
              <w:t>. punkt</w:t>
            </w:r>
            <w:r w:rsidR="00A4432F">
              <w:rPr>
                <w:rFonts w:ascii="Times New Roman" w:eastAsia="Times New Roman" w:hAnsi="Times New Roman" w:cs="Times New Roman"/>
                <w:sz w:val="24"/>
                <w:szCs w:val="24"/>
              </w:rPr>
              <w:t>ā izteiktais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Nr.83 3.pielikuma</w:t>
            </w:r>
            <w:r w:rsidR="00A4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7.2. 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DFC779" w14:textId="220D1787" w:rsidR="0016141C" w:rsidRPr="00901324" w:rsidRDefault="0016141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F42586" w14:textId="16DF4E87" w:rsidR="0016141C" w:rsidRPr="00901324" w:rsidRDefault="0016141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41C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4432F" w14:paraId="5B7A0F0C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20E4AF" w14:textId="7E4E7F78" w:rsidR="00A4432F" w:rsidRPr="00901324" w:rsidRDefault="00A4432F" w:rsidP="007A41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A44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2020/1107</w:t>
            </w:r>
            <w:r w:rsidR="00C05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pielikuma III daļas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2. punkta pirmā, trešā</w:t>
            </w:r>
            <w:r w:rsidR="006D0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765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ceturtā un piektā atkāpe</w:t>
            </w:r>
          </w:p>
        </w:tc>
        <w:tc>
          <w:tcPr>
            <w:tcW w:w="113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1CF23" w14:textId="16069A74" w:rsidR="00A4432F" w:rsidRDefault="00F3499A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</w:t>
            </w:r>
            <w:r w:rsidR="00D92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432F">
              <w:rPr>
                <w:rFonts w:ascii="Times New Roman" w:eastAsia="Times New Roman" w:hAnsi="Times New Roman" w:cs="Times New Roman"/>
                <w:sz w:val="24"/>
                <w:szCs w:val="24"/>
              </w:rPr>
              <w:t>. punktā izteiktais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Nr.83 3.pielikuma</w:t>
            </w:r>
            <w:r w:rsidR="00A44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7.1., 7.3., 7.4., 7.5. un 8.1. apakšpunkts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A44914" w14:textId="4ABF6735" w:rsidR="00A4432F" w:rsidRPr="0016141C" w:rsidRDefault="00A443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947C88" w14:textId="237E53C9" w:rsidR="00A4432F" w:rsidRPr="0016141C" w:rsidRDefault="00A4432F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32F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62BEF" w14:paraId="4D17C1DB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2161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2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A78EA3" w14:textId="0DB0A486" w:rsidR="00D47815" w:rsidRPr="00E61979" w:rsidRDefault="0041461B" w:rsidP="00786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ēmumā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(ES) 20</w:t>
            </w:r>
            <w:r w:rsidR="00161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  <w:r w:rsidR="00161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Īstenošanas lēmumā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(ES) 2020/</w:t>
            </w:r>
            <w:r w:rsidR="00161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161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31BC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 dota rīcības brīvība dalībvalstij ieviest tiesību normas.</w:t>
            </w:r>
          </w:p>
        </w:tc>
      </w:tr>
      <w:tr w:rsidR="00A62BEF" w14:paraId="29ABC345" w14:textId="77777777" w:rsidTr="00332A51">
        <w:tc>
          <w:tcPr>
            <w:tcW w:w="21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4C2B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82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5E4C8E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109C868C" w14:textId="77777777" w:rsidTr="00332A51">
        <w:trPr>
          <w:gridAfter w:val="1"/>
          <w:wAfter w:w="32" w:type="pct"/>
        </w:trPr>
        <w:tc>
          <w:tcPr>
            <w:tcW w:w="13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F062F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622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D03ED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5FE26E77" w14:textId="77777777" w:rsidR="00D67D33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9"/>
      </w:tblGrid>
      <w:tr w:rsidR="00A62BEF" w14:paraId="0D74A3F1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B4C19F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A62BEF" w14:paraId="0513E236" w14:textId="77777777" w:rsidTr="00D67D33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20A59" w14:textId="77777777" w:rsidR="00D67D33" w:rsidRPr="001C2B53" w:rsidRDefault="006531BC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6D9D7FA" w14:textId="77777777" w:rsidR="00595382" w:rsidRDefault="00595382" w:rsidP="00595382">
      <w:pPr>
        <w:spacing w:after="0" w:line="240" w:lineRule="auto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62BEF" w14:paraId="77D1C1D9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3F920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62BEF" w14:paraId="31CCF674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6A196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1C5CB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CF77" w14:textId="3D322BD4" w:rsidR="00E829BB" w:rsidRPr="001C2B53" w:rsidRDefault="006531BC" w:rsidP="00414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</w:t>
            </w:r>
            <w:r w:rsid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(ES) 20</w:t>
            </w:r>
            <w:r w:rsid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073A41" w:rsidRPr="00414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  <w:r w:rsid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Īstenošanas lēmumā (ES) 2020/</w:t>
            </w:r>
            <w:r w:rsid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F0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iekļautajām normām nav nepieciešamas, jo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A68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</w:t>
            </w:r>
            <w:r w:rsidR="00B74E7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minēt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lēmum</w:t>
            </w:r>
            <w:r w:rsidR="00901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</w:t>
            </w:r>
            <w:r w:rsidR="00E61979" w:rsidRPr="00E619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2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BEF" w14:paraId="3DB2F1C3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77B0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D7D944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6ED1C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479A4AC1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18E39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9E60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2A01F7" w14:textId="77777777" w:rsidR="00D47815" w:rsidRPr="001C2B53" w:rsidRDefault="0041461B" w:rsidP="006F3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05C4959A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2A8C8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1ABE5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C1C40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1ABD9F5" w14:textId="77777777" w:rsidR="00D47815" w:rsidRPr="001C2B53" w:rsidRDefault="006531BC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4249"/>
        <w:gridCol w:w="4576"/>
      </w:tblGrid>
      <w:tr w:rsidR="00A62BEF" w14:paraId="51E3F0C6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D581DE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62BEF" w14:paraId="67EB9D0E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98AE94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E24A7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1000B" w14:textId="77777777" w:rsidR="00D47815" w:rsidRPr="001C2B53" w:rsidRDefault="006531BC" w:rsidP="00F9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F72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2BEF" w14:paraId="46CEE051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513FA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0C3B41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A19DC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62BEF" w14:paraId="75EECF29" w14:textId="77777777" w:rsidTr="001E03AC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8063A3" w14:textId="77777777" w:rsidR="00D47815" w:rsidRPr="001C2B53" w:rsidRDefault="006531BC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B2062" w14:textId="77777777" w:rsidR="00D47815" w:rsidRPr="001C2B53" w:rsidRDefault="006531BC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623F9" w14:textId="77777777" w:rsidR="00D47815" w:rsidRPr="001C2B53" w:rsidRDefault="006531BC" w:rsidP="00AB0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658E5193" w14:textId="7DD4530F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EBBFC" w14:textId="77777777" w:rsidR="00272E6C" w:rsidRDefault="00272E6C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C7402" w14:textId="4B301044" w:rsidR="001C2B53" w:rsidRPr="006F305D" w:rsidRDefault="006531BC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305D">
        <w:rPr>
          <w:rFonts w:ascii="Times New Roman" w:hAnsi="Times New Roman" w:cs="Times New Roman"/>
          <w:bCs/>
          <w:sz w:val="28"/>
          <w:szCs w:val="24"/>
        </w:rPr>
        <w:tab/>
        <w:t>Zemkopības ministrs</w:t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Pr="006F305D">
        <w:rPr>
          <w:rFonts w:ascii="Times New Roman" w:hAnsi="Times New Roman" w:cs="Times New Roman"/>
          <w:bCs/>
          <w:sz w:val="28"/>
          <w:szCs w:val="24"/>
        </w:rPr>
        <w:tab/>
      </w:r>
      <w:r w:rsidR="001E03AC">
        <w:rPr>
          <w:rFonts w:ascii="Times New Roman" w:hAnsi="Times New Roman" w:cs="Times New Roman"/>
          <w:bCs/>
          <w:sz w:val="28"/>
          <w:szCs w:val="24"/>
        </w:rPr>
        <w:t>K</w:t>
      </w:r>
      <w:r w:rsidR="000A775A">
        <w:rPr>
          <w:rFonts w:ascii="Times New Roman" w:hAnsi="Times New Roman" w:cs="Times New Roman"/>
          <w:bCs/>
          <w:sz w:val="28"/>
          <w:szCs w:val="24"/>
        </w:rPr>
        <w:t>.</w:t>
      </w:r>
      <w:r w:rsidR="00F9295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E03AC">
        <w:rPr>
          <w:rFonts w:ascii="Times New Roman" w:hAnsi="Times New Roman" w:cs="Times New Roman"/>
          <w:bCs/>
          <w:sz w:val="28"/>
          <w:szCs w:val="24"/>
        </w:rPr>
        <w:t>Gerhards</w:t>
      </w:r>
    </w:p>
    <w:p w14:paraId="675B3103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31901" w14:textId="77777777"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13234B" w14:textId="2A125BD2" w:rsidR="001C2B53" w:rsidRPr="00272E6C" w:rsidRDefault="00332A51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6C">
        <w:rPr>
          <w:rFonts w:ascii="Times New Roman" w:hAnsi="Times New Roman" w:cs="Times New Roman"/>
          <w:sz w:val="24"/>
          <w:szCs w:val="24"/>
        </w:rPr>
        <w:t>Tauriņa</w:t>
      </w:r>
      <w:r w:rsidR="006531BC" w:rsidRPr="00272E6C">
        <w:rPr>
          <w:rFonts w:ascii="Times New Roman" w:hAnsi="Times New Roman" w:cs="Times New Roman"/>
          <w:sz w:val="24"/>
          <w:szCs w:val="24"/>
        </w:rPr>
        <w:t xml:space="preserve"> 67027</w:t>
      </w:r>
      <w:r w:rsidRPr="00272E6C">
        <w:rPr>
          <w:rFonts w:ascii="Times New Roman" w:hAnsi="Times New Roman" w:cs="Times New Roman"/>
          <w:sz w:val="24"/>
          <w:szCs w:val="24"/>
        </w:rPr>
        <w:t>064</w:t>
      </w:r>
    </w:p>
    <w:p w14:paraId="354A95A1" w14:textId="36C3FABC" w:rsidR="001C2B53" w:rsidRPr="00561F23" w:rsidRDefault="004B5964" w:rsidP="0027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2A51" w:rsidRPr="00272E6C">
          <w:rPr>
            <w:rStyle w:val="Hipersaite"/>
            <w:rFonts w:ascii="Times New Roman" w:hAnsi="Times New Roman" w:cs="Times New Roman"/>
            <w:sz w:val="24"/>
            <w:szCs w:val="24"/>
          </w:rPr>
          <w:t>Sigita.Taurina@zm.gov.lv</w:t>
        </w:r>
      </w:hyperlink>
      <w:r w:rsidR="00332A51" w:rsidRPr="00272E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2B53" w:rsidRPr="00561F23" w:rsidSect="003C61DE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F453" w14:textId="77777777" w:rsidR="00F87236" w:rsidRDefault="00F87236">
      <w:pPr>
        <w:spacing w:after="0" w:line="240" w:lineRule="auto"/>
      </w:pPr>
      <w:r>
        <w:separator/>
      </w:r>
    </w:p>
  </w:endnote>
  <w:endnote w:type="continuationSeparator" w:id="0">
    <w:p w14:paraId="783B4043" w14:textId="77777777" w:rsidR="00F87236" w:rsidRDefault="00F8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4FF1" w14:textId="4544A7B8" w:rsidR="0064398A" w:rsidRPr="004B5964" w:rsidRDefault="004B5964" w:rsidP="004B5964">
    <w:pPr>
      <w:pStyle w:val="Kjene"/>
    </w:pPr>
    <w:r w:rsidRPr="004B5964">
      <w:rPr>
        <w:rFonts w:ascii="Times New Roman" w:hAnsi="Times New Roman" w:cs="Times New Roman"/>
        <w:sz w:val="20"/>
        <w:szCs w:val="20"/>
      </w:rPr>
      <w:t>ZManot_120820_afrikmeris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E4F4" w14:textId="1A879B10" w:rsidR="0064398A" w:rsidRPr="004B5964" w:rsidRDefault="004B5964" w:rsidP="004B5964">
    <w:pPr>
      <w:pStyle w:val="Kjene"/>
    </w:pPr>
    <w:r w:rsidRPr="004B5964">
      <w:rPr>
        <w:rFonts w:ascii="Times New Roman" w:hAnsi="Times New Roman" w:cs="Times New Roman"/>
        <w:sz w:val="20"/>
        <w:szCs w:val="20"/>
      </w:rPr>
      <w:t>ZManot_120820_afrikmeris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8D76" w14:textId="77777777" w:rsidR="00F87236" w:rsidRDefault="00F87236">
      <w:pPr>
        <w:spacing w:after="0" w:line="240" w:lineRule="auto"/>
      </w:pPr>
      <w:r>
        <w:separator/>
      </w:r>
    </w:p>
  </w:footnote>
  <w:footnote w:type="continuationSeparator" w:id="0">
    <w:p w14:paraId="1CC36063" w14:textId="77777777" w:rsidR="00F87236" w:rsidRDefault="00F8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44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BDF38E" w14:textId="77777777" w:rsidR="0064398A" w:rsidRPr="00E13AEC" w:rsidRDefault="0064398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5AB5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354BB9" w14:textId="77777777" w:rsidR="0064398A" w:rsidRDefault="0064398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33A"/>
    <w:multiLevelType w:val="hybridMultilevel"/>
    <w:tmpl w:val="EED88604"/>
    <w:lvl w:ilvl="0" w:tplc="BBFC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F01F56" w:tentative="1">
      <w:start w:val="1"/>
      <w:numFmt w:val="lowerLetter"/>
      <w:lvlText w:val="%2."/>
      <w:lvlJc w:val="left"/>
      <w:pPr>
        <w:ind w:left="1440" w:hanging="360"/>
      </w:pPr>
    </w:lvl>
    <w:lvl w:ilvl="2" w:tplc="70E80562" w:tentative="1">
      <w:start w:val="1"/>
      <w:numFmt w:val="lowerRoman"/>
      <w:lvlText w:val="%3."/>
      <w:lvlJc w:val="right"/>
      <w:pPr>
        <w:ind w:left="2160" w:hanging="180"/>
      </w:pPr>
    </w:lvl>
    <w:lvl w:ilvl="3" w:tplc="031EE8CC" w:tentative="1">
      <w:start w:val="1"/>
      <w:numFmt w:val="decimal"/>
      <w:lvlText w:val="%4."/>
      <w:lvlJc w:val="left"/>
      <w:pPr>
        <w:ind w:left="2880" w:hanging="360"/>
      </w:pPr>
    </w:lvl>
    <w:lvl w:ilvl="4" w:tplc="5D4C8ECE" w:tentative="1">
      <w:start w:val="1"/>
      <w:numFmt w:val="lowerLetter"/>
      <w:lvlText w:val="%5."/>
      <w:lvlJc w:val="left"/>
      <w:pPr>
        <w:ind w:left="3600" w:hanging="360"/>
      </w:pPr>
    </w:lvl>
    <w:lvl w:ilvl="5" w:tplc="147C59A2" w:tentative="1">
      <w:start w:val="1"/>
      <w:numFmt w:val="lowerRoman"/>
      <w:lvlText w:val="%6."/>
      <w:lvlJc w:val="right"/>
      <w:pPr>
        <w:ind w:left="4320" w:hanging="180"/>
      </w:pPr>
    </w:lvl>
    <w:lvl w:ilvl="6" w:tplc="012C70FE" w:tentative="1">
      <w:start w:val="1"/>
      <w:numFmt w:val="decimal"/>
      <w:lvlText w:val="%7."/>
      <w:lvlJc w:val="left"/>
      <w:pPr>
        <w:ind w:left="5040" w:hanging="360"/>
      </w:pPr>
    </w:lvl>
    <w:lvl w:ilvl="7" w:tplc="2FE01CB4" w:tentative="1">
      <w:start w:val="1"/>
      <w:numFmt w:val="lowerLetter"/>
      <w:lvlText w:val="%8."/>
      <w:lvlJc w:val="left"/>
      <w:pPr>
        <w:ind w:left="5760" w:hanging="360"/>
      </w:pPr>
    </w:lvl>
    <w:lvl w:ilvl="8" w:tplc="6C28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444"/>
    <w:multiLevelType w:val="hybridMultilevel"/>
    <w:tmpl w:val="12A0CD84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C1F"/>
    <w:multiLevelType w:val="hybridMultilevel"/>
    <w:tmpl w:val="48DC73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6CC"/>
    <w:multiLevelType w:val="hybridMultilevel"/>
    <w:tmpl w:val="5290E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C3E6A"/>
    <w:multiLevelType w:val="hybridMultilevel"/>
    <w:tmpl w:val="F912BE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6DA1"/>
    <w:multiLevelType w:val="hybridMultilevel"/>
    <w:tmpl w:val="616AA8F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42A74"/>
    <w:multiLevelType w:val="hybridMultilevel"/>
    <w:tmpl w:val="4E462F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15"/>
    <w:rsid w:val="00000321"/>
    <w:rsid w:val="00000548"/>
    <w:rsid w:val="00003198"/>
    <w:rsid w:val="00006A37"/>
    <w:rsid w:val="000110E4"/>
    <w:rsid w:val="0001121B"/>
    <w:rsid w:val="00011DE3"/>
    <w:rsid w:val="000139B8"/>
    <w:rsid w:val="00016550"/>
    <w:rsid w:val="00021F0A"/>
    <w:rsid w:val="00026E3F"/>
    <w:rsid w:val="00027603"/>
    <w:rsid w:val="00031136"/>
    <w:rsid w:val="0003238C"/>
    <w:rsid w:val="00040C93"/>
    <w:rsid w:val="000427C5"/>
    <w:rsid w:val="00042FB7"/>
    <w:rsid w:val="000463E3"/>
    <w:rsid w:val="00046D0A"/>
    <w:rsid w:val="0004749E"/>
    <w:rsid w:val="00050BDE"/>
    <w:rsid w:val="00051AEB"/>
    <w:rsid w:val="00052A33"/>
    <w:rsid w:val="00052FC5"/>
    <w:rsid w:val="00053C35"/>
    <w:rsid w:val="00060A68"/>
    <w:rsid w:val="00062967"/>
    <w:rsid w:val="00063C20"/>
    <w:rsid w:val="00066DA8"/>
    <w:rsid w:val="00073289"/>
    <w:rsid w:val="00073A41"/>
    <w:rsid w:val="00076003"/>
    <w:rsid w:val="00077104"/>
    <w:rsid w:val="00081884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0B02"/>
    <w:rsid w:val="000A211C"/>
    <w:rsid w:val="000A25A1"/>
    <w:rsid w:val="000A3B36"/>
    <w:rsid w:val="000A6A26"/>
    <w:rsid w:val="000A7127"/>
    <w:rsid w:val="000A775A"/>
    <w:rsid w:val="000A7C26"/>
    <w:rsid w:val="000B46A1"/>
    <w:rsid w:val="000B4A6F"/>
    <w:rsid w:val="000B61C7"/>
    <w:rsid w:val="000C7475"/>
    <w:rsid w:val="000C7FDA"/>
    <w:rsid w:val="000D19AD"/>
    <w:rsid w:val="000D5CDC"/>
    <w:rsid w:val="000D6DC2"/>
    <w:rsid w:val="000E0E57"/>
    <w:rsid w:val="000E1629"/>
    <w:rsid w:val="000E5EC2"/>
    <w:rsid w:val="000E6460"/>
    <w:rsid w:val="000E7E6B"/>
    <w:rsid w:val="000F1637"/>
    <w:rsid w:val="000F3927"/>
    <w:rsid w:val="000F3A77"/>
    <w:rsid w:val="000F45D3"/>
    <w:rsid w:val="000F6BD7"/>
    <w:rsid w:val="000F7AB0"/>
    <w:rsid w:val="001011F5"/>
    <w:rsid w:val="00101860"/>
    <w:rsid w:val="00102323"/>
    <w:rsid w:val="001046BF"/>
    <w:rsid w:val="0010601E"/>
    <w:rsid w:val="0011162C"/>
    <w:rsid w:val="00115B24"/>
    <w:rsid w:val="00115C10"/>
    <w:rsid w:val="0011614E"/>
    <w:rsid w:val="001249A6"/>
    <w:rsid w:val="001304DB"/>
    <w:rsid w:val="00130921"/>
    <w:rsid w:val="00131431"/>
    <w:rsid w:val="00134730"/>
    <w:rsid w:val="0014219F"/>
    <w:rsid w:val="00142BA3"/>
    <w:rsid w:val="00142F92"/>
    <w:rsid w:val="00146237"/>
    <w:rsid w:val="00150364"/>
    <w:rsid w:val="001516D1"/>
    <w:rsid w:val="0015233F"/>
    <w:rsid w:val="0015338C"/>
    <w:rsid w:val="00153CC4"/>
    <w:rsid w:val="00153D2B"/>
    <w:rsid w:val="00154D56"/>
    <w:rsid w:val="00156290"/>
    <w:rsid w:val="0016141C"/>
    <w:rsid w:val="001641AF"/>
    <w:rsid w:val="00164A41"/>
    <w:rsid w:val="0016539A"/>
    <w:rsid w:val="00165CA0"/>
    <w:rsid w:val="00167E9F"/>
    <w:rsid w:val="001702D1"/>
    <w:rsid w:val="00171DE1"/>
    <w:rsid w:val="00173807"/>
    <w:rsid w:val="00173B8A"/>
    <w:rsid w:val="00181154"/>
    <w:rsid w:val="00183E32"/>
    <w:rsid w:val="00183F45"/>
    <w:rsid w:val="00184FFB"/>
    <w:rsid w:val="00186995"/>
    <w:rsid w:val="001900E0"/>
    <w:rsid w:val="00191E09"/>
    <w:rsid w:val="001935B1"/>
    <w:rsid w:val="00193990"/>
    <w:rsid w:val="001939C5"/>
    <w:rsid w:val="00193DAC"/>
    <w:rsid w:val="00193E9E"/>
    <w:rsid w:val="00194860"/>
    <w:rsid w:val="001A28C3"/>
    <w:rsid w:val="001A7CCD"/>
    <w:rsid w:val="001B1142"/>
    <w:rsid w:val="001B1342"/>
    <w:rsid w:val="001B5788"/>
    <w:rsid w:val="001B6561"/>
    <w:rsid w:val="001B76A7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03AC"/>
    <w:rsid w:val="001E0BCE"/>
    <w:rsid w:val="001E0C67"/>
    <w:rsid w:val="001E287E"/>
    <w:rsid w:val="001E488C"/>
    <w:rsid w:val="001E5408"/>
    <w:rsid w:val="001E7967"/>
    <w:rsid w:val="001E7CF1"/>
    <w:rsid w:val="001F23F0"/>
    <w:rsid w:val="001F3A1E"/>
    <w:rsid w:val="00200757"/>
    <w:rsid w:val="0020203F"/>
    <w:rsid w:val="002068A7"/>
    <w:rsid w:val="00206C9B"/>
    <w:rsid w:val="00207755"/>
    <w:rsid w:val="0021524A"/>
    <w:rsid w:val="0022127C"/>
    <w:rsid w:val="00221EE3"/>
    <w:rsid w:val="00224457"/>
    <w:rsid w:val="002247D8"/>
    <w:rsid w:val="00225C23"/>
    <w:rsid w:val="00226BDE"/>
    <w:rsid w:val="00227650"/>
    <w:rsid w:val="00227BFE"/>
    <w:rsid w:val="00230F54"/>
    <w:rsid w:val="00231346"/>
    <w:rsid w:val="002327F5"/>
    <w:rsid w:val="00233406"/>
    <w:rsid w:val="002335B2"/>
    <w:rsid w:val="00234D2D"/>
    <w:rsid w:val="0024011C"/>
    <w:rsid w:val="002405AE"/>
    <w:rsid w:val="00252B85"/>
    <w:rsid w:val="00254531"/>
    <w:rsid w:val="0025630E"/>
    <w:rsid w:val="0026780B"/>
    <w:rsid w:val="00272D42"/>
    <w:rsid w:val="00272E6C"/>
    <w:rsid w:val="002748E2"/>
    <w:rsid w:val="00281449"/>
    <w:rsid w:val="002817BB"/>
    <w:rsid w:val="00286293"/>
    <w:rsid w:val="002906A4"/>
    <w:rsid w:val="00293B2E"/>
    <w:rsid w:val="00295DDA"/>
    <w:rsid w:val="002A5FA8"/>
    <w:rsid w:val="002B4544"/>
    <w:rsid w:val="002B5A97"/>
    <w:rsid w:val="002B6EFB"/>
    <w:rsid w:val="002B7464"/>
    <w:rsid w:val="002C3FBC"/>
    <w:rsid w:val="002C49CB"/>
    <w:rsid w:val="002C5A86"/>
    <w:rsid w:val="002C7884"/>
    <w:rsid w:val="002D0EF4"/>
    <w:rsid w:val="002D171F"/>
    <w:rsid w:val="002D2A7C"/>
    <w:rsid w:val="002D51FB"/>
    <w:rsid w:val="002D565E"/>
    <w:rsid w:val="002D6529"/>
    <w:rsid w:val="002E03A3"/>
    <w:rsid w:val="002E0434"/>
    <w:rsid w:val="002E233F"/>
    <w:rsid w:val="002E2538"/>
    <w:rsid w:val="002E4388"/>
    <w:rsid w:val="002E4955"/>
    <w:rsid w:val="002F2056"/>
    <w:rsid w:val="002F347D"/>
    <w:rsid w:val="002F356E"/>
    <w:rsid w:val="00303110"/>
    <w:rsid w:val="00305201"/>
    <w:rsid w:val="0030668D"/>
    <w:rsid w:val="0030726C"/>
    <w:rsid w:val="003116C6"/>
    <w:rsid w:val="00312D58"/>
    <w:rsid w:val="003153D4"/>
    <w:rsid w:val="0031731C"/>
    <w:rsid w:val="0032194E"/>
    <w:rsid w:val="00324E1A"/>
    <w:rsid w:val="00326EFB"/>
    <w:rsid w:val="0033073D"/>
    <w:rsid w:val="00330CF3"/>
    <w:rsid w:val="00332A51"/>
    <w:rsid w:val="00333E97"/>
    <w:rsid w:val="00335881"/>
    <w:rsid w:val="00335A90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76F20"/>
    <w:rsid w:val="00384234"/>
    <w:rsid w:val="00386352"/>
    <w:rsid w:val="0038711F"/>
    <w:rsid w:val="0039138F"/>
    <w:rsid w:val="003932E6"/>
    <w:rsid w:val="0039391D"/>
    <w:rsid w:val="003A732B"/>
    <w:rsid w:val="003B411B"/>
    <w:rsid w:val="003B5FDC"/>
    <w:rsid w:val="003B69E9"/>
    <w:rsid w:val="003B6D0E"/>
    <w:rsid w:val="003B715C"/>
    <w:rsid w:val="003C3632"/>
    <w:rsid w:val="003C36AE"/>
    <w:rsid w:val="003C5DE6"/>
    <w:rsid w:val="003C61DE"/>
    <w:rsid w:val="003C64FE"/>
    <w:rsid w:val="003C6BFE"/>
    <w:rsid w:val="003D0E01"/>
    <w:rsid w:val="003D0FF1"/>
    <w:rsid w:val="003D1A10"/>
    <w:rsid w:val="003D4298"/>
    <w:rsid w:val="003E673A"/>
    <w:rsid w:val="003F2572"/>
    <w:rsid w:val="003F426A"/>
    <w:rsid w:val="003F68E8"/>
    <w:rsid w:val="003F6E97"/>
    <w:rsid w:val="0040098E"/>
    <w:rsid w:val="00403916"/>
    <w:rsid w:val="00405AB8"/>
    <w:rsid w:val="00405AFB"/>
    <w:rsid w:val="00406FAF"/>
    <w:rsid w:val="004105A7"/>
    <w:rsid w:val="004136E3"/>
    <w:rsid w:val="0041461B"/>
    <w:rsid w:val="00414EAE"/>
    <w:rsid w:val="00415FEE"/>
    <w:rsid w:val="00416B7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2A36"/>
    <w:rsid w:val="004443DC"/>
    <w:rsid w:val="00446396"/>
    <w:rsid w:val="00447BC6"/>
    <w:rsid w:val="00447DE3"/>
    <w:rsid w:val="004603B9"/>
    <w:rsid w:val="00460889"/>
    <w:rsid w:val="00461D6B"/>
    <w:rsid w:val="0046260B"/>
    <w:rsid w:val="00462CDC"/>
    <w:rsid w:val="004637DD"/>
    <w:rsid w:val="00464789"/>
    <w:rsid w:val="00466493"/>
    <w:rsid w:val="004720CA"/>
    <w:rsid w:val="00473BAE"/>
    <w:rsid w:val="00475C57"/>
    <w:rsid w:val="004762F0"/>
    <w:rsid w:val="004777E7"/>
    <w:rsid w:val="00480476"/>
    <w:rsid w:val="00487FA5"/>
    <w:rsid w:val="00490B39"/>
    <w:rsid w:val="004921AC"/>
    <w:rsid w:val="004929BD"/>
    <w:rsid w:val="00495E79"/>
    <w:rsid w:val="004A010C"/>
    <w:rsid w:val="004A16E8"/>
    <w:rsid w:val="004A2DA0"/>
    <w:rsid w:val="004A3EF5"/>
    <w:rsid w:val="004B42D3"/>
    <w:rsid w:val="004B5964"/>
    <w:rsid w:val="004C0509"/>
    <w:rsid w:val="004C1784"/>
    <w:rsid w:val="004C651A"/>
    <w:rsid w:val="004C686E"/>
    <w:rsid w:val="004D0FB9"/>
    <w:rsid w:val="004D4303"/>
    <w:rsid w:val="004D4C78"/>
    <w:rsid w:val="004E14F8"/>
    <w:rsid w:val="004E28A5"/>
    <w:rsid w:val="004E39FC"/>
    <w:rsid w:val="004E4C19"/>
    <w:rsid w:val="004E4F63"/>
    <w:rsid w:val="004E532F"/>
    <w:rsid w:val="004E6FDA"/>
    <w:rsid w:val="004F04BB"/>
    <w:rsid w:val="004F16AA"/>
    <w:rsid w:val="004F4CA3"/>
    <w:rsid w:val="004F7D62"/>
    <w:rsid w:val="005020FD"/>
    <w:rsid w:val="00502DCF"/>
    <w:rsid w:val="005040AD"/>
    <w:rsid w:val="00510F37"/>
    <w:rsid w:val="00515AD4"/>
    <w:rsid w:val="00520238"/>
    <w:rsid w:val="0052493E"/>
    <w:rsid w:val="00526527"/>
    <w:rsid w:val="00526733"/>
    <w:rsid w:val="00526CB5"/>
    <w:rsid w:val="0052764B"/>
    <w:rsid w:val="00527B65"/>
    <w:rsid w:val="0053082A"/>
    <w:rsid w:val="00535401"/>
    <w:rsid w:val="00537976"/>
    <w:rsid w:val="0054082E"/>
    <w:rsid w:val="005415F8"/>
    <w:rsid w:val="0054355B"/>
    <w:rsid w:val="00545FB3"/>
    <w:rsid w:val="0054668D"/>
    <w:rsid w:val="005536E9"/>
    <w:rsid w:val="00561F23"/>
    <w:rsid w:val="00564E1B"/>
    <w:rsid w:val="00564E4E"/>
    <w:rsid w:val="00565F6E"/>
    <w:rsid w:val="00565FD6"/>
    <w:rsid w:val="0056716E"/>
    <w:rsid w:val="005701B1"/>
    <w:rsid w:val="005704E0"/>
    <w:rsid w:val="00571FD2"/>
    <w:rsid w:val="00573F61"/>
    <w:rsid w:val="00577DC4"/>
    <w:rsid w:val="005821A4"/>
    <w:rsid w:val="005824EF"/>
    <w:rsid w:val="00583390"/>
    <w:rsid w:val="00584F95"/>
    <w:rsid w:val="0059003F"/>
    <w:rsid w:val="00590C86"/>
    <w:rsid w:val="00591BC1"/>
    <w:rsid w:val="00595382"/>
    <w:rsid w:val="00597293"/>
    <w:rsid w:val="005973AB"/>
    <w:rsid w:val="005A3B9D"/>
    <w:rsid w:val="005A5578"/>
    <w:rsid w:val="005B20A2"/>
    <w:rsid w:val="005B4C1A"/>
    <w:rsid w:val="005C3295"/>
    <w:rsid w:val="005C7BA2"/>
    <w:rsid w:val="005C7D5B"/>
    <w:rsid w:val="005D0607"/>
    <w:rsid w:val="005D09ED"/>
    <w:rsid w:val="005D2006"/>
    <w:rsid w:val="005D23AC"/>
    <w:rsid w:val="005D63B2"/>
    <w:rsid w:val="005E0DB5"/>
    <w:rsid w:val="005E1A6A"/>
    <w:rsid w:val="005E6BC6"/>
    <w:rsid w:val="005E72F6"/>
    <w:rsid w:val="005F1523"/>
    <w:rsid w:val="005F227C"/>
    <w:rsid w:val="005F4CA8"/>
    <w:rsid w:val="005F5E06"/>
    <w:rsid w:val="00601B2D"/>
    <w:rsid w:val="006020FE"/>
    <w:rsid w:val="00603C06"/>
    <w:rsid w:val="0060569B"/>
    <w:rsid w:val="00605834"/>
    <w:rsid w:val="00605838"/>
    <w:rsid w:val="00611203"/>
    <w:rsid w:val="006211AF"/>
    <w:rsid w:val="00622FD4"/>
    <w:rsid w:val="0062462E"/>
    <w:rsid w:val="0062590D"/>
    <w:rsid w:val="0062635D"/>
    <w:rsid w:val="00630008"/>
    <w:rsid w:val="0063136C"/>
    <w:rsid w:val="006332D8"/>
    <w:rsid w:val="00633A3D"/>
    <w:rsid w:val="00635B00"/>
    <w:rsid w:val="00636B2E"/>
    <w:rsid w:val="0063774E"/>
    <w:rsid w:val="0064398A"/>
    <w:rsid w:val="00644490"/>
    <w:rsid w:val="00650F4A"/>
    <w:rsid w:val="00650FBB"/>
    <w:rsid w:val="00651CBE"/>
    <w:rsid w:val="006531BC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318F"/>
    <w:rsid w:val="00683597"/>
    <w:rsid w:val="00685114"/>
    <w:rsid w:val="0068647E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4AF3"/>
    <w:rsid w:val="006C6216"/>
    <w:rsid w:val="006C7794"/>
    <w:rsid w:val="006C7C96"/>
    <w:rsid w:val="006D00EF"/>
    <w:rsid w:val="006D0CFB"/>
    <w:rsid w:val="006D6E3F"/>
    <w:rsid w:val="006D7551"/>
    <w:rsid w:val="006D77FB"/>
    <w:rsid w:val="006E0CA8"/>
    <w:rsid w:val="006E11D3"/>
    <w:rsid w:val="006E6E4F"/>
    <w:rsid w:val="006E7F63"/>
    <w:rsid w:val="006F16EC"/>
    <w:rsid w:val="006F299D"/>
    <w:rsid w:val="006F305D"/>
    <w:rsid w:val="006F31C7"/>
    <w:rsid w:val="006F3BA0"/>
    <w:rsid w:val="006F401E"/>
    <w:rsid w:val="006F5301"/>
    <w:rsid w:val="006F678E"/>
    <w:rsid w:val="006F7E99"/>
    <w:rsid w:val="006F7F89"/>
    <w:rsid w:val="00706B8C"/>
    <w:rsid w:val="0070799E"/>
    <w:rsid w:val="00712B8E"/>
    <w:rsid w:val="00712C4A"/>
    <w:rsid w:val="007139EE"/>
    <w:rsid w:val="00714BD1"/>
    <w:rsid w:val="0071739D"/>
    <w:rsid w:val="00731A60"/>
    <w:rsid w:val="00732DB4"/>
    <w:rsid w:val="0073573A"/>
    <w:rsid w:val="00737BA5"/>
    <w:rsid w:val="00742761"/>
    <w:rsid w:val="00743017"/>
    <w:rsid w:val="00744947"/>
    <w:rsid w:val="00744EE4"/>
    <w:rsid w:val="00751045"/>
    <w:rsid w:val="00752018"/>
    <w:rsid w:val="00755164"/>
    <w:rsid w:val="007569FF"/>
    <w:rsid w:val="00765BB4"/>
    <w:rsid w:val="00765F6B"/>
    <w:rsid w:val="00770C50"/>
    <w:rsid w:val="0077127B"/>
    <w:rsid w:val="00772EA7"/>
    <w:rsid w:val="00773835"/>
    <w:rsid w:val="00773B32"/>
    <w:rsid w:val="00775A15"/>
    <w:rsid w:val="0078159F"/>
    <w:rsid w:val="00781F49"/>
    <w:rsid w:val="00782150"/>
    <w:rsid w:val="00782B10"/>
    <w:rsid w:val="00783A96"/>
    <w:rsid w:val="00783DD4"/>
    <w:rsid w:val="0078570F"/>
    <w:rsid w:val="007866BB"/>
    <w:rsid w:val="00786803"/>
    <w:rsid w:val="007872F1"/>
    <w:rsid w:val="007874DB"/>
    <w:rsid w:val="00791F83"/>
    <w:rsid w:val="00795518"/>
    <w:rsid w:val="0079620D"/>
    <w:rsid w:val="00796623"/>
    <w:rsid w:val="007A36AA"/>
    <w:rsid w:val="007A3D08"/>
    <w:rsid w:val="007A412C"/>
    <w:rsid w:val="007A41F1"/>
    <w:rsid w:val="007A5D9F"/>
    <w:rsid w:val="007B05D7"/>
    <w:rsid w:val="007B0AFD"/>
    <w:rsid w:val="007B2350"/>
    <w:rsid w:val="007B2AD1"/>
    <w:rsid w:val="007B2C23"/>
    <w:rsid w:val="007B307E"/>
    <w:rsid w:val="007B427A"/>
    <w:rsid w:val="007B5BCD"/>
    <w:rsid w:val="007B5E78"/>
    <w:rsid w:val="007B65C3"/>
    <w:rsid w:val="007B7977"/>
    <w:rsid w:val="007C1BAC"/>
    <w:rsid w:val="007C2891"/>
    <w:rsid w:val="007C47BB"/>
    <w:rsid w:val="007D0282"/>
    <w:rsid w:val="007D1056"/>
    <w:rsid w:val="007D1390"/>
    <w:rsid w:val="007D4C13"/>
    <w:rsid w:val="007D539F"/>
    <w:rsid w:val="007D59ED"/>
    <w:rsid w:val="007D7F87"/>
    <w:rsid w:val="007E041F"/>
    <w:rsid w:val="007E32B5"/>
    <w:rsid w:val="007E3967"/>
    <w:rsid w:val="007F05B6"/>
    <w:rsid w:val="007F135A"/>
    <w:rsid w:val="007F17FD"/>
    <w:rsid w:val="007F2796"/>
    <w:rsid w:val="007F3195"/>
    <w:rsid w:val="007F341C"/>
    <w:rsid w:val="007F4F8F"/>
    <w:rsid w:val="007F5AC5"/>
    <w:rsid w:val="007F7ED4"/>
    <w:rsid w:val="00800A56"/>
    <w:rsid w:val="00801EC9"/>
    <w:rsid w:val="00801FD0"/>
    <w:rsid w:val="00804A48"/>
    <w:rsid w:val="0080505F"/>
    <w:rsid w:val="00806986"/>
    <w:rsid w:val="00806F2B"/>
    <w:rsid w:val="0081008A"/>
    <w:rsid w:val="00810AF8"/>
    <w:rsid w:val="00820AFA"/>
    <w:rsid w:val="0082397C"/>
    <w:rsid w:val="00823B7A"/>
    <w:rsid w:val="00823CAC"/>
    <w:rsid w:val="008257B2"/>
    <w:rsid w:val="0082651B"/>
    <w:rsid w:val="00827D4E"/>
    <w:rsid w:val="008300F7"/>
    <w:rsid w:val="00833013"/>
    <w:rsid w:val="00833A0E"/>
    <w:rsid w:val="008347AC"/>
    <w:rsid w:val="00834CB1"/>
    <w:rsid w:val="00835191"/>
    <w:rsid w:val="00837A68"/>
    <w:rsid w:val="00837E02"/>
    <w:rsid w:val="00840BAF"/>
    <w:rsid w:val="0084105E"/>
    <w:rsid w:val="00845A46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2A"/>
    <w:rsid w:val="00862B6B"/>
    <w:rsid w:val="0086506D"/>
    <w:rsid w:val="008741E7"/>
    <w:rsid w:val="008776BB"/>
    <w:rsid w:val="008819E1"/>
    <w:rsid w:val="00885DC9"/>
    <w:rsid w:val="008864F4"/>
    <w:rsid w:val="00890A7D"/>
    <w:rsid w:val="00890B2D"/>
    <w:rsid w:val="00892488"/>
    <w:rsid w:val="00893ADE"/>
    <w:rsid w:val="008A01BC"/>
    <w:rsid w:val="008A3211"/>
    <w:rsid w:val="008A5A81"/>
    <w:rsid w:val="008A65CC"/>
    <w:rsid w:val="008B3300"/>
    <w:rsid w:val="008B366D"/>
    <w:rsid w:val="008B6E02"/>
    <w:rsid w:val="008C018D"/>
    <w:rsid w:val="008C2AAF"/>
    <w:rsid w:val="008C3E45"/>
    <w:rsid w:val="008C5448"/>
    <w:rsid w:val="008C78C0"/>
    <w:rsid w:val="008D3CC3"/>
    <w:rsid w:val="008E0490"/>
    <w:rsid w:val="008E3CE4"/>
    <w:rsid w:val="008E3D73"/>
    <w:rsid w:val="008E4323"/>
    <w:rsid w:val="008E71F4"/>
    <w:rsid w:val="008E7CD5"/>
    <w:rsid w:val="008F30A5"/>
    <w:rsid w:val="008F6A13"/>
    <w:rsid w:val="008F7823"/>
    <w:rsid w:val="009002F3"/>
    <w:rsid w:val="00901324"/>
    <w:rsid w:val="00902D96"/>
    <w:rsid w:val="0090318F"/>
    <w:rsid w:val="0090398E"/>
    <w:rsid w:val="00903A00"/>
    <w:rsid w:val="00903C8F"/>
    <w:rsid w:val="00904261"/>
    <w:rsid w:val="00907D9F"/>
    <w:rsid w:val="0091083E"/>
    <w:rsid w:val="00910B9D"/>
    <w:rsid w:val="00910BBB"/>
    <w:rsid w:val="00917512"/>
    <w:rsid w:val="00917D81"/>
    <w:rsid w:val="00923C60"/>
    <w:rsid w:val="0092689E"/>
    <w:rsid w:val="009268E3"/>
    <w:rsid w:val="00926C1D"/>
    <w:rsid w:val="00926E1C"/>
    <w:rsid w:val="00927C65"/>
    <w:rsid w:val="00930A5D"/>
    <w:rsid w:val="00931C3F"/>
    <w:rsid w:val="00936D0B"/>
    <w:rsid w:val="00936D7E"/>
    <w:rsid w:val="00944702"/>
    <w:rsid w:val="00947054"/>
    <w:rsid w:val="00950EEB"/>
    <w:rsid w:val="00950FED"/>
    <w:rsid w:val="00960F17"/>
    <w:rsid w:val="00966D8F"/>
    <w:rsid w:val="00970510"/>
    <w:rsid w:val="0097112E"/>
    <w:rsid w:val="00972562"/>
    <w:rsid w:val="009738C2"/>
    <w:rsid w:val="00982740"/>
    <w:rsid w:val="00985520"/>
    <w:rsid w:val="009907F6"/>
    <w:rsid w:val="00993448"/>
    <w:rsid w:val="009949F9"/>
    <w:rsid w:val="009A1647"/>
    <w:rsid w:val="009A52C8"/>
    <w:rsid w:val="009A5D77"/>
    <w:rsid w:val="009B6A74"/>
    <w:rsid w:val="009C12D1"/>
    <w:rsid w:val="009C6C59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4985"/>
    <w:rsid w:val="009E4AFD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3BA1"/>
    <w:rsid w:val="00A34AA7"/>
    <w:rsid w:val="00A34DFF"/>
    <w:rsid w:val="00A36A83"/>
    <w:rsid w:val="00A37238"/>
    <w:rsid w:val="00A4011E"/>
    <w:rsid w:val="00A4084F"/>
    <w:rsid w:val="00A413F0"/>
    <w:rsid w:val="00A4432F"/>
    <w:rsid w:val="00A4554C"/>
    <w:rsid w:val="00A45952"/>
    <w:rsid w:val="00A45D5E"/>
    <w:rsid w:val="00A468CE"/>
    <w:rsid w:val="00A46C6E"/>
    <w:rsid w:val="00A50E47"/>
    <w:rsid w:val="00A514F5"/>
    <w:rsid w:val="00A52813"/>
    <w:rsid w:val="00A52F04"/>
    <w:rsid w:val="00A5556F"/>
    <w:rsid w:val="00A56921"/>
    <w:rsid w:val="00A6045F"/>
    <w:rsid w:val="00A60618"/>
    <w:rsid w:val="00A61945"/>
    <w:rsid w:val="00A61989"/>
    <w:rsid w:val="00A62BEF"/>
    <w:rsid w:val="00A638E3"/>
    <w:rsid w:val="00A6472D"/>
    <w:rsid w:val="00A6594B"/>
    <w:rsid w:val="00A673C2"/>
    <w:rsid w:val="00A720DA"/>
    <w:rsid w:val="00A72E58"/>
    <w:rsid w:val="00A75693"/>
    <w:rsid w:val="00A81610"/>
    <w:rsid w:val="00A81A8A"/>
    <w:rsid w:val="00A820FA"/>
    <w:rsid w:val="00A847E5"/>
    <w:rsid w:val="00A91678"/>
    <w:rsid w:val="00A93050"/>
    <w:rsid w:val="00A96228"/>
    <w:rsid w:val="00A9639B"/>
    <w:rsid w:val="00AA05C1"/>
    <w:rsid w:val="00AA0CA1"/>
    <w:rsid w:val="00AA14E0"/>
    <w:rsid w:val="00AA210C"/>
    <w:rsid w:val="00AA5FD7"/>
    <w:rsid w:val="00AA63E1"/>
    <w:rsid w:val="00AA6CAE"/>
    <w:rsid w:val="00AB019B"/>
    <w:rsid w:val="00AB229E"/>
    <w:rsid w:val="00AB232A"/>
    <w:rsid w:val="00AB3F62"/>
    <w:rsid w:val="00AB41F9"/>
    <w:rsid w:val="00AB43F2"/>
    <w:rsid w:val="00AB5836"/>
    <w:rsid w:val="00AB7DDB"/>
    <w:rsid w:val="00AC1CAF"/>
    <w:rsid w:val="00AC1FC1"/>
    <w:rsid w:val="00AC23DE"/>
    <w:rsid w:val="00AC2661"/>
    <w:rsid w:val="00AC4641"/>
    <w:rsid w:val="00AC4DF1"/>
    <w:rsid w:val="00AD293E"/>
    <w:rsid w:val="00AD37D9"/>
    <w:rsid w:val="00AD4FAF"/>
    <w:rsid w:val="00AD508C"/>
    <w:rsid w:val="00AD56CA"/>
    <w:rsid w:val="00AD654E"/>
    <w:rsid w:val="00AE2594"/>
    <w:rsid w:val="00AE2CDF"/>
    <w:rsid w:val="00AE2D8F"/>
    <w:rsid w:val="00AE37BC"/>
    <w:rsid w:val="00AE3E01"/>
    <w:rsid w:val="00AE4048"/>
    <w:rsid w:val="00AF0BB1"/>
    <w:rsid w:val="00AF20F0"/>
    <w:rsid w:val="00AF2123"/>
    <w:rsid w:val="00AF55C1"/>
    <w:rsid w:val="00AF5C95"/>
    <w:rsid w:val="00B0019E"/>
    <w:rsid w:val="00B025D1"/>
    <w:rsid w:val="00B0346B"/>
    <w:rsid w:val="00B03B53"/>
    <w:rsid w:val="00B06A12"/>
    <w:rsid w:val="00B11107"/>
    <w:rsid w:val="00B1187F"/>
    <w:rsid w:val="00B12510"/>
    <w:rsid w:val="00B14051"/>
    <w:rsid w:val="00B15AB5"/>
    <w:rsid w:val="00B161E8"/>
    <w:rsid w:val="00B20AC5"/>
    <w:rsid w:val="00B232D7"/>
    <w:rsid w:val="00B253F6"/>
    <w:rsid w:val="00B25F7E"/>
    <w:rsid w:val="00B30C78"/>
    <w:rsid w:val="00B32DD8"/>
    <w:rsid w:val="00B36466"/>
    <w:rsid w:val="00B3647B"/>
    <w:rsid w:val="00B40551"/>
    <w:rsid w:val="00B4522C"/>
    <w:rsid w:val="00B464D4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4E77"/>
    <w:rsid w:val="00B76A92"/>
    <w:rsid w:val="00B80643"/>
    <w:rsid w:val="00B818E6"/>
    <w:rsid w:val="00B825BB"/>
    <w:rsid w:val="00B83C00"/>
    <w:rsid w:val="00B83C3D"/>
    <w:rsid w:val="00B84138"/>
    <w:rsid w:val="00B846E4"/>
    <w:rsid w:val="00B86790"/>
    <w:rsid w:val="00B872C2"/>
    <w:rsid w:val="00B90109"/>
    <w:rsid w:val="00B925DA"/>
    <w:rsid w:val="00B92623"/>
    <w:rsid w:val="00B9305D"/>
    <w:rsid w:val="00B96921"/>
    <w:rsid w:val="00B9776C"/>
    <w:rsid w:val="00BA043E"/>
    <w:rsid w:val="00BA1360"/>
    <w:rsid w:val="00BA469C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0F96"/>
    <w:rsid w:val="00BD143B"/>
    <w:rsid w:val="00BD1B46"/>
    <w:rsid w:val="00BD2342"/>
    <w:rsid w:val="00BD3AB4"/>
    <w:rsid w:val="00BD5EC3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0FC5"/>
    <w:rsid w:val="00C01D2F"/>
    <w:rsid w:val="00C030DE"/>
    <w:rsid w:val="00C05ACE"/>
    <w:rsid w:val="00C11187"/>
    <w:rsid w:val="00C118BD"/>
    <w:rsid w:val="00C12248"/>
    <w:rsid w:val="00C16EE4"/>
    <w:rsid w:val="00C17D70"/>
    <w:rsid w:val="00C21992"/>
    <w:rsid w:val="00C21CBA"/>
    <w:rsid w:val="00C237A8"/>
    <w:rsid w:val="00C23BE0"/>
    <w:rsid w:val="00C23CB0"/>
    <w:rsid w:val="00C264FA"/>
    <w:rsid w:val="00C26B20"/>
    <w:rsid w:val="00C27121"/>
    <w:rsid w:val="00C304B9"/>
    <w:rsid w:val="00C334BA"/>
    <w:rsid w:val="00C34360"/>
    <w:rsid w:val="00C358ED"/>
    <w:rsid w:val="00C35F5A"/>
    <w:rsid w:val="00C40218"/>
    <w:rsid w:val="00C40727"/>
    <w:rsid w:val="00C53204"/>
    <w:rsid w:val="00C55C9D"/>
    <w:rsid w:val="00C608A5"/>
    <w:rsid w:val="00C62195"/>
    <w:rsid w:val="00C62695"/>
    <w:rsid w:val="00C63111"/>
    <w:rsid w:val="00C63158"/>
    <w:rsid w:val="00C634F1"/>
    <w:rsid w:val="00C7027D"/>
    <w:rsid w:val="00C70858"/>
    <w:rsid w:val="00C717FF"/>
    <w:rsid w:val="00C739BD"/>
    <w:rsid w:val="00C73F09"/>
    <w:rsid w:val="00C771CA"/>
    <w:rsid w:val="00C80762"/>
    <w:rsid w:val="00C81E17"/>
    <w:rsid w:val="00C821B1"/>
    <w:rsid w:val="00C82D98"/>
    <w:rsid w:val="00C860A8"/>
    <w:rsid w:val="00C87137"/>
    <w:rsid w:val="00C91F3C"/>
    <w:rsid w:val="00C96B67"/>
    <w:rsid w:val="00C9716E"/>
    <w:rsid w:val="00CA0523"/>
    <w:rsid w:val="00CA2484"/>
    <w:rsid w:val="00CA35BD"/>
    <w:rsid w:val="00CA388B"/>
    <w:rsid w:val="00CA58E2"/>
    <w:rsid w:val="00CA6B3B"/>
    <w:rsid w:val="00CB2415"/>
    <w:rsid w:val="00CC1650"/>
    <w:rsid w:val="00CC1AD3"/>
    <w:rsid w:val="00CC4860"/>
    <w:rsid w:val="00CC5326"/>
    <w:rsid w:val="00CC5C47"/>
    <w:rsid w:val="00CD0EC5"/>
    <w:rsid w:val="00CD11A0"/>
    <w:rsid w:val="00CD3365"/>
    <w:rsid w:val="00CD3868"/>
    <w:rsid w:val="00CD5872"/>
    <w:rsid w:val="00CD5DD7"/>
    <w:rsid w:val="00CE27C8"/>
    <w:rsid w:val="00CE6B96"/>
    <w:rsid w:val="00CE7BB1"/>
    <w:rsid w:val="00CF24F5"/>
    <w:rsid w:val="00CF2EDB"/>
    <w:rsid w:val="00CF354B"/>
    <w:rsid w:val="00CF72CD"/>
    <w:rsid w:val="00D01033"/>
    <w:rsid w:val="00D0288B"/>
    <w:rsid w:val="00D047E0"/>
    <w:rsid w:val="00D06369"/>
    <w:rsid w:val="00D06607"/>
    <w:rsid w:val="00D100EC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1A76"/>
    <w:rsid w:val="00D52344"/>
    <w:rsid w:val="00D56880"/>
    <w:rsid w:val="00D569D2"/>
    <w:rsid w:val="00D5745D"/>
    <w:rsid w:val="00D60679"/>
    <w:rsid w:val="00D60787"/>
    <w:rsid w:val="00D630FC"/>
    <w:rsid w:val="00D64431"/>
    <w:rsid w:val="00D644AD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217A"/>
    <w:rsid w:val="00D9262F"/>
    <w:rsid w:val="00D949A6"/>
    <w:rsid w:val="00D958E0"/>
    <w:rsid w:val="00D9640A"/>
    <w:rsid w:val="00DA0D38"/>
    <w:rsid w:val="00DA6C36"/>
    <w:rsid w:val="00DB06F1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5D55"/>
    <w:rsid w:val="00DC6D98"/>
    <w:rsid w:val="00DC75C4"/>
    <w:rsid w:val="00DC7DBB"/>
    <w:rsid w:val="00DD0087"/>
    <w:rsid w:val="00DE3315"/>
    <w:rsid w:val="00DE4518"/>
    <w:rsid w:val="00DE511C"/>
    <w:rsid w:val="00DF0358"/>
    <w:rsid w:val="00DF0B18"/>
    <w:rsid w:val="00DF21A8"/>
    <w:rsid w:val="00DF2866"/>
    <w:rsid w:val="00DF361E"/>
    <w:rsid w:val="00DF374B"/>
    <w:rsid w:val="00DF3F5F"/>
    <w:rsid w:val="00E00263"/>
    <w:rsid w:val="00E00A67"/>
    <w:rsid w:val="00E02180"/>
    <w:rsid w:val="00E02A3F"/>
    <w:rsid w:val="00E04251"/>
    <w:rsid w:val="00E11DD2"/>
    <w:rsid w:val="00E12717"/>
    <w:rsid w:val="00E13340"/>
    <w:rsid w:val="00E13AEC"/>
    <w:rsid w:val="00E164C5"/>
    <w:rsid w:val="00E1768C"/>
    <w:rsid w:val="00E17A2B"/>
    <w:rsid w:val="00E20E08"/>
    <w:rsid w:val="00E2448A"/>
    <w:rsid w:val="00E301DB"/>
    <w:rsid w:val="00E34F90"/>
    <w:rsid w:val="00E358AB"/>
    <w:rsid w:val="00E402C1"/>
    <w:rsid w:val="00E40AF4"/>
    <w:rsid w:val="00E421BB"/>
    <w:rsid w:val="00E45E05"/>
    <w:rsid w:val="00E47553"/>
    <w:rsid w:val="00E4755D"/>
    <w:rsid w:val="00E51C41"/>
    <w:rsid w:val="00E53A6D"/>
    <w:rsid w:val="00E567D1"/>
    <w:rsid w:val="00E5682B"/>
    <w:rsid w:val="00E57D86"/>
    <w:rsid w:val="00E60384"/>
    <w:rsid w:val="00E61979"/>
    <w:rsid w:val="00E6300F"/>
    <w:rsid w:val="00E67F56"/>
    <w:rsid w:val="00E72367"/>
    <w:rsid w:val="00E765EE"/>
    <w:rsid w:val="00E7693C"/>
    <w:rsid w:val="00E8053B"/>
    <w:rsid w:val="00E829BB"/>
    <w:rsid w:val="00E8450A"/>
    <w:rsid w:val="00E85A45"/>
    <w:rsid w:val="00E87196"/>
    <w:rsid w:val="00E87692"/>
    <w:rsid w:val="00E90C70"/>
    <w:rsid w:val="00E925A2"/>
    <w:rsid w:val="00E9267F"/>
    <w:rsid w:val="00E93BA5"/>
    <w:rsid w:val="00EA1363"/>
    <w:rsid w:val="00EA1EAF"/>
    <w:rsid w:val="00EA3522"/>
    <w:rsid w:val="00EA5F89"/>
    <w:rsid w:val="00EA7899"/>
    <w:rsid w:val="00EA7F55"/>
    <w:rsid w:val="00EB49FC"/>
    <w:rsid w:val="00EB4C39"/>
    <w:rsid w:val="00EB4DA7"/>
    <w:rsid w:val="00EB4F15"/>
    <w:rsid w:val="00EB67C7"/>
    <w:rsid w:val="00EC0AE3"/>
    <w:rsid w:val="00EC0FA4"/>
    <w:rsid w:val="00EC1220"/>
    <w:rsid w:val="00EC35B7"/>
    <w:rsid w:val="00EC462F"/>
    <w:rsid w:val="00ED04E9"/>
    <w:rsid w:val="00ED3028"/>
    <w:rsid w:val="00ED57CA"/>
    <w:rsid w:val="00ED7A1C"/>
    <w:rsid w:val="00EE0672"/>
    <w:rsid w:val="00EE2BAB"/>
    <w:rsid w:val="00EE3E79"/>
    <w:rsid w:val="00EE4C83"/>
    <w:rsid w:val="00EF218C"/>
    <w:rsid w:val="00EF4435"/>
    <w:rsid w:val="00EF5635"/>
    <w:rsid w:val="00EF59B0"/>
    <w:rsid w:val="00EF5B24"/>
    <w:rsid w:val="00EF5E5A"/>
    <w:rsid w:val="00EF742E"/>
    <w:rsid w:val="00EF7781"/>
    <w:rsid w:val="00F04052"/>
    <w:rsid w:val="00F0512C"/>
    <w:rsid w:val="00F10DFC"/>
    <w:rsid w:val="00F15332"/>
    <w:rsid w:val="00F2108B"/>
    <w:rsid w:val="00F23FEF"/>
    <w:rsid w:val="00F27A67"/>
    <w:rsid w:val="00F30B8F"/>
    <w:rsid w:val="00F315C9"/>
    <w:rsid w:val="00F328A5"/>
    <w:rsid w:val="00F3351D"/>
    <w:rsid w:val="00F3499A"/>
    <w:rsid w:val="00F34E19"/>
    <w:rsid w:val="00F356FA"/>
    <w:rsid w:val="00F409F7"/>
    <w:rsid w:val="00F40A91"/>
    <w:rsid w:val="00F42D22"/>
    <w:rsid w:val="00F4405D"/>
    <w:rsid w:val="00F44705"/>
    <w:rsid w:val="00F448E6"/>
    <w:rsid w:val="00F4648D"/>
    <w:rsid w:val="00F5192C"/>
    <w:rsid w:val="00F5263D"/>
    <w:rsid w:val="00F53A07"/>
    <w:rsid w:val="00F54D4A"/>
    <w:rsid w:val="00F60596"/>
    <w:rsid w:val="00F67DBD"/>
    <w:rsid w:val="00F7012F"/>
    <w:rsid w:val="00F71F05"/>
    <w:rsid w:val="00F72FCB"/>
    <w:rsid w:val="00F80E6C"/>
    <w:rsid w:val="00F8362D"/>
    <w:rsid w:val="00F87236"/>
    <w:rsid w:val="00F87B17"/>
    <w:rsid w:val="00F90A6B"/>
    <w:rsid w:val="00F90DF7"/>
    <w:rsid w:val="00F92958"/>
    <w:rsid w:val="00F9413E"/>
    <w:rsid w:val="00F94C47"/>
    <w:rsid w:val="00F96499"/>
    <w:rsid w:val="00F97BB1"/>
    <w:rsid w:val="00FA1055"/>
    <w:rsid w:val="00FA144A"/>
    <w:rsid w:val="00FA2450"/>
    <w:rsid w:val="00FA2724"/>
    <w:rsid w:val="00FA30AB"/>
    <w:rsid w:val="00FA56D5"/>
    <w:rsid w:val="00FA7E58"/>
    <w:rsid w:val="00FB200C"/>
    <w:rsid w:val="00FB202C"/>
    <w:rsid w:val="00FB5068"/>
    <w:rsid w:val="00FC2ED7"/>
    <w:rsid w:val="00FC31E9"/>
    <w:rsid w:val="00FC47F6"/>
    <w:rsid w:val="00FC5616"/>
    <w:rsid w:val="00FC688F"/>
    <w:rsid w:val="00FD5CAC"/>
    <w:rsid w:val="00FE14E2"/>
    <w:rsid w:val="00FE3723"/>
    <w:rsid w:val="00FE636F"/>
    <w:rsid w:val="00FF1557"/>
    <w:rsid w:val="00FF2321"/>
    <w:rsid w:val="00FF483A"/>
    <w:rsid w:val="00FF64FD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CCBD"/>
  <w15:docId w15:val="{15EAEB66-0D9A-41B5-B47F-AE61D69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605834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33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54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5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4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25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5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7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6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4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7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17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497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9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25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2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61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7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08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45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2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475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8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98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2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24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9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57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0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0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3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2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99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533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ita.Taurina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6847</Words>
  <Characters>3903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2004. gada 17. februāra noteikumos Nr. 83 „Āfrikas cūku mēra likvidēšanas un draudu novēršanas kārtība””</dc:title>
  <dc:subject>Anotācija</dc:subject>
  <dc:creator>Sigita Tauriņa</dc:creator>
  <dc:description>Tauriņa 67027551 Sigita.Taurina@zm.gov.lv</dc:description>
  <cp:lastModifiedBy>Sanita Papinova</cp:lastModifiedBy>
  <cp:revision>4</cp:revision>
  <dcterms:created xsi:type="dcterms:W3CDTF">2020-08-10T06:08:00Z</dcterms:created>
  <dcterms:modified xsi:type="dcterms:W3CDTF">2020-08-13T06:55:00Z</dcterms:modified>
</cp:coreProperties>
</file>