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70"/>
        <w:tblW w:w="9708" w:type="dxa"/>
        <w:tblLayout w:type="fixed"/>
        <w:tblLook w:val="04A0" w:firstRow="1" w:lastRow="0" w:firstColumn="1" w:lastColumn="0" w:noHBand="0" w:noVBand="1"/>
      </w:tblPr>
      <w:tblGrid>
        <w:gridCol w:w="1483"/>
        <w:gridCol w:w="659"/>
        <w:gridCol w:w="602"/>
        <w:gridCol w:w="2761"/>
        <w:gridCol w:w="1260"/>
        <w:gridCol w:w="2943"/>
      </w:tblGrid>
      <w:tr w:rsidR="00ED6185" w:rsidRPr="00273EFC" w14:paraId="67E0B30A" w14:textId="77777777" w:rsidTr="0020669F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A2A0" w14:textId="77777777" w:rsidR="00ED6185" w:rsidRPr="002E5714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7CD1" w14:textId="77777777" w:rsidR="00ED6185" w:rsidRPr="002E5714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7B06033D" w14:textId="77777777" w:rsidR="00ED6185" w:rsidRPr="002E5714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30B72689" w14:textId="77777777" w:rsidR="00ED6185" w:rsidRPr="002E5714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7D4E147B" w14:textId="77777777" w:rsidR="00ED6185" w:rsidRPr="002E5714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3774B429" w14:textId="77777777" w:rsidR="00ED6185" w:rsidRPr="002E5714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35E04D67" w14:textId="77777777" w:rsidR="00DB24C4" w:rsidRDefault="00DB24C4" w:rsidP="00DB24C4">
            <w:pPr>
              <w:spacing w:after="0" w:line="240" w:lineRule="auto"/>
              <w:ind w:right="-1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00E0A760" w14:textId="77777777" w:rsidR="00DB24C4" w:rsidRDefault="00DB24C4" w:rsidP="00DB24C4">
            <w:pPr>
              <w:spacing w:after="0" w:line="240" w:lineRule="auto"/>
              <w:ind w:right="-1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1E8FE39C" w14:textId="77777777" w:rsidR="00DB24C4" w:rsidRDefault="00DB24C4" w:rsidP="00DB24C4">
            <w:pPr>
              <w:spacing w:after="0" w:line="240" w:lineRule="auto"/>
              <w:ind w:right="-1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6D8CEABC" w14:textId="77777777" w:rsidR="00DB24C4" w:rsidRDefault="00DB24C4" w:rsidP="00DB24C4">
            <w:pPr>
              <w:spacing w:after="0" w:line="240" w:lineRule="auto"/>
              <w:ind w:right="-1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3639AABC" w14:textId="77777777" w:rsidR="00DB24C4" w:rsidRDefault="00DB24C4" w:rsidP="00DB24C4">
            <w:pPr>
              <w:spacing w:after="0" w:line="240" w:lineRule="auto"/>
              <w:ind w:right="-1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0C0A53DD" w14:textId="77777777" w:rsidR="00DB24C4" w:rsidRDefault="00DB24C4" w:rsidP="00DB24C4">
            <w:pPr>
              <w:spacing w:after="0" w:line="240" w:lineRule="auto"/>
              <w:ind w:right="-1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398010B0" w14:textId="77777777" w:rsidR="00DB24C4" w:rsidRDefault="00DB24C4" w:rsidP="00DB24C4">
            <w:pPr>
              <w:spacing w:after="0" w:line="240" w:lineRule="auto"/>
              <w:ind w:right="-1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6B0676EE" w14:textId="77777777" w:rsidR="00DB24C4" w:rsidRDefault="00DB24C4" w:rsidP="00DB24C4">
            <w:pPr>
              <w:spacing w:after="0" w:line="240" w:lineRule="auto"/>
              <w:ind w:right="-1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14:paraId="13305DF1" w14:textId="773D5993" w:rsidR="00ED6185" w:rsidRPr="002E5714" w:rsidRDefault="00ED6185" w:rsidP="00DB24C4">
            <w:pPr>
              <w:spacing w:after="0" w:line="240" w:lineRule="auto"/>
              <w:ind w:right="-1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E5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Maksas pakalpojuma izcenojuma</w:t>
            </w:r>
            <w:r w:rsidR="002E5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Pr="002E5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aprēķins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220C3" w14:textId="77777777" w:rsidR="0020669F" w:rsidRPr="0020669F" w:rsidRDefault="0020669F" w:rsidP="002066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bookmarkStart w:id="0" w:name="piel1"/>
            <w:bookmarkEnd w:id="0"/>
            <w:r w:rsidRPr="0020669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 pielikums</w:t>
            </w:r>
          </w:p>
          <w:p w14:paraId="257FBCB9" w14:textId="77777777" w:rsidR="0020669F" w:rsidRPr="0020669F" w:rsidRDefault="0020669F" w:rsidP="0020669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20669F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Ministru kabineta</w:t>
            </w:r>
          </w:p>
          <w:p w14:paraId="3077BDA1" w14:textId="33F956F0" w:rsidR="0020669F" w:rsidRPr="0020669F" w:rsidRDefault="0020669F" w:rsidP="0020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lv-LV"/>
              </w:rPr>
            </w:pPr>
            <w:r w:rsidRPr="0020669F">
              <w:rPr>
                <w:rFonts w:ascii="Times New Roman" w:eastAsia="Times New Roman" w:hAnsi="Times New Roman" w:cs="Times New Roman"/>
                <w:sz w:val="28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lang w:eastAsia="lv-LV"/>
              </w:rPr>
              <w:t>20</w:t>
            </w:r>
            <w:r w:rsidRPr="0020669F">
              <w:rPr>
                <w:rFonts w:ascii="Times New Roman" w:eastAsia="Times New Roman" w:hAnsi="Times New Roman" w:cs="Times New Roman"/>
                <w:sz w:val="28"/>
                <w:lang w:eastAsia="lv-LV"/>
              </w:rPr>
              <w:t>. gada      </w:t>
            </w:r>
            <w:r w:rsidRPr="0020669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augusta</w:t>
            </w:r>
            <w:bookmarkStart w:id="1" w:name="_GoBack"/>
            <w:bookmarkEnd w:id="1"/>
          </w:p>
          <w:p w14:paraId="7CB29AB5" w14:textId="77777777" w:rsidR="0020669F" w:rsidRPr="0020669F" w:rsidRDefault="0020669F" w:rsidP="0020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0669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noteikumiem Nr.     </w:t>
            </w:r>
          </w:p>
          <w:p w14:paraId="6FD8B690" w14:textId="31824EB4" w:rsidR="00ED6185" w:rsidRPr="002E5714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D6185" w:rsidRPr="00314F79" w14:paraId="2F76DD61" w14:textId="77777777" w:rsidTr="00DB24C4">
        <w:trPr>
          <w:trHeight w:val="60"/>
        </w:trPr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62DF" w14:textId="7D3CE297" w:rsidR="00DB24C4" w:rsidRPr="002E5714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E57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 augu aizsardzības dienests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ACF7E" w14:textId="77777777" w:rsidR="00ED6185" w:rsidRPr="002E5714" w:rsidRDefault="00ED6185" w:rsidP="00DB24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D6185" w:rsidRPr="00105437" w14:paraId="6D3FAC4A" w14:textId="77777777" w:rsidTr="00DB24C4">
        <w:trPr>
          <w:trHeight w:val="795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D6F1D" w14:textId="6A97E923" w:rsidR="00ED6185" w:rsidRPr="002E5714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2E5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Novērtējuma sagatavošana lēmuma pieņemšanai par mēslošanas līdzekļa un</w:t>
            </w:r>
            <w:r w:rsidR="002E5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2E5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substrāta, kam paredzēts lietot norādi “Atļauts lietot bioloģiskajā lauksaimniecībā”, atbilstību regulas Nr. 889/2008 </w:t>
            </w:r>
            <w:r w:rsidR="0098658B" w:rsidRPr="002E5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I </w:t>
            </w:r>
            <w:r w:rsidRPr="002E5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pielikuma prasībām</w:t>
            </w:r>
          </w:p>
          <w:p w14:paraId="7E17AC73" w14:textId="1C26C62D" w:rsidR="00ED6185" w:rsidRPr="002E5714" w:rsidRDefault="00ED6185" w:rsidP="00DB24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185" w:rsidRPr="00314F79" w14:paraId="200FA8F4" w14:textId="77777777" w:rsidTr="00DB24C4">
        <w:trPr>
          <w:trHeight w:val="458"/>
        </w:trPr>
        <w:tc>
          <w:tcPr>
            <w:tcW w:w="9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7E1B" w14:textId="77777777" w:rsidR="00ED6185" w:rsidRPr="002E5714" w:rsidRDefault="00ED6185" w:rsidP="00DB2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lv-LV"/>
              </w:rPr>
            </w:pPr>
            <w:r w:rsidRPr="002E57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Laikposms: pakalpojuma sniegšanas laiks</w:t>
            </w:r>
          </w:p>
        </w:tc>
      </w:tr>
      <w:tr w:rsidR="00ED6185" w:rsidRPr="00273EFC" w14:paraId="0450F1F1" w14:textId="77777777" w:rsidTr="00DB24C4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55A3" w14:textId="77777777" w:rsidR="00ED6185" w:rsidRPr="00273EFC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C25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Izcenojuma aprēķins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FE8A" w14:textId="77777777" w:rsidR="00ED6185" w:rsidRPr="00273EFC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6185" w:rsidRPr="00273EFC" w14:paraId="2DABC74E" w14:textId="77777777" w:rsidTr="00DB24C4">
        <w:trPr>
          <w:trHeight w:val="822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5D21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Izdevumu klasifikācijas kods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85C5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94AF" w14:textId="61FF7B96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Izmaksu 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mērs</w:t>
            </w: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noteiktā laikposmā viena maksas pakalpojuma veida nodrošināšanai (</w:t>
            </w:r>
            <w:proofErr w:type="spellStart"/>
            <w:r w:rsidR="005B5792" w:rsidRPr="00EF2F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ED6185" w:rsidRPr="00273EFC" w14:paraId="0E75F1E8" w14:textId="77777777" w:rsidTr="00DB24C4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CAFC" w14:textId="77777777" w:rsidR="00ED6185" w:rsidRPr="00273EFC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029C" w14:textId="619DB761" w:rsidR="00ED6185" w:rsidRPr="00273EFC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514" w14:textId="77777777" w:rsidR="00ED6185" w:rsidRPr="00273EFC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6185" w:rsidRPr="00273EFC" w14:paraId="29FAF6C8" w14:textId="77777777" w:rsidTr="00DB24C4">
        <w:trPr>
          <w:trHeight w:val="1049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B938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5FF2" w14:textId="77777777" w:rsidR="00B27140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Novērtējuma sagatavošana</w:t>
            </w:r>
            <w:r w:rsidR="00B271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: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766882FD" w14:textId="0CCA4327" w:rsidR="00ED6185" w:rsidRPr="00273EFC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vecākā inspektora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(amatu saime 35.III līmenis, </w:t>
            </w:r>
            <w:r w:rsidR="00B271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10.mēnešalgu grupa,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mēnešalga </w:t>
            </w:r>
            <w:r w:rsidR="00B271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1287</w:t>
            </w:r>
            <w:r w:rsidR="005B57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B5792" w:rsidRPr="00EF2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 w:rsidR="00B271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4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</w:t>
            </w:r>
            <w:r w:rsidR="00B271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7,74</w:t>
            </w:r>
            <w:r w:rsidR="005B57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B5792" w:rsidRPr="00EF2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2876" w14:textId="1EB1D056" w:rsidR="00ED6185" w:rsidRPr="00273EFC" w:rsidRDefault="00B27140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30,9</w:t>
            </w:r>
            <w:r w:rsidR="00476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B27140" w:rsidRPr="00273EFC" w14:paraId="0AB9C3BC" w14:textId="77777777" w:rsidTr="00DB24C4">
        <w:trPr>
          <w:trHeight w:val="3086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1182" w14:textId="3085C652" w:rsidR="00B27140" w:rsidRPr="00273EFC" w:rsidRDefault="00B27140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53F3" w14:textId="77777777" w:rsidR="00B27140" w:rsidRDefault="00B27140" w:rsidP="00DB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Lēmuma pieņemšana un iekļaušana sarakstā:</w:t>
            </w:r>
          </w:p>
          <w:p w14:paraId="328683F4" w14:textId="0F2B0A33" w:rsidR="00B27140" w:rsidRDefault="00B27140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vecākā inspektora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(amatu saime 35.III līmenis, 10.mēnešalgu grupa, mēnešalga 1287</w:t>
            </w:r>
            <w:r w:rsidR="005B57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B5792" w:rsidRPr="00EF2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0,5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7,74</w:t>
            </w:r>
            <w:r w:rsidR="005B57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B5792" w:rsidRPr="00EF2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  <w:p w14:paraId="3EC276C0" w14:textId="01330240" w:rsidR="00B27140" w:rsidRDefault="00B27140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departamenta direktora (amatu saime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35.V līmenis, 13.mēnešalgu grupa, mēnešalga 1917</w:t>
            </w:r>
            <w:r w:rsidR="001C08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C0890" w:rsidRPr="00EF2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darba samaksa 0,25 stundas x 11,53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997B" w14:textId="77777777" w:rsidR="00B27140" w:rsidRDefault="00B27140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B293C4" w14:textId="77777777" w:rsidR="00B27140" w:rsidRDefault="00B27140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823179" w14:textId="77777777" w:rsidR="00B27140" w:rsidRDefault="00B27140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3,87</w:t>
            </w:r>
          </w:p>
          <w:p w14:paraId="4CB5048A" w14:textId="77777777" w:rsidR="00B27140" w:rsidRDefault="00B27140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A5612F0" w14:textId="77777777" w:rsidR="00B27140" w:rsidRDefault="00B27140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824CA1" w14:textId="77777777" w:rsidR="00B27140" w:rsidRDefault="00B27140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D56DD5" w14:textId="77777777" w:rsidR="00B27140" w:rsidRDefault="00B27140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823AFD" w14:textId="77777777" w:rsidR="00B27140" w:rsidRDefault="00B27140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528B60" w14:textId="7401EE22" w:rsidR="00B27140" w:rsidRDefault="00B27140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2,88</w:t>
            </w:r>
          </w:p>
        </w:tc>
      </w:tr>
      <w:tr w:rsidR="00ED6185" w:rsidRPr="00273EFC" w14:paraId="5DC2AFCB" w14:textId="77777777" w:rsidTr="00DB24C4">
        <w:trPr>
          <w:trHeight w:val="577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2E2D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1210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2DD2" w14:textId="2FD747F7" w:rsidR="00ED6185" w:rsidRPr="00273EFC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iemaksas </w:t>
            </w:r>
            <w:r w:rsidR="00B271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24,09</w:t>
            </w: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90FB" w14:textId="22E4B792" w:rsidR="00ED6185" w:rsidRPr="00273EFC" w:rsidRDefault="00B27140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9,08</w:t>
            </w:r>
          </w:p>
        </w:tc>
      </w:tr>
      <w:tr w:rsidR="00ED6185" w:rsidRPr="00273EFC" w14:paraId="02E61932" w14:textId="77777777" w:rsidTr="00DB24C4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19FA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47C3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Pakalpojuma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tiešās </w:t>
            </w: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izmaksas kopā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E9AB" w14:textId="23E13526" w:rsidR="00ED6185" w:rsidRPr="00273EFC" w:rsidRDefault="008044DB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46,79</w:t>
            </w:r>
          </w:p>
        </w:tc>
      </w:tr>
      <w:tr w:rsidR="00ED6185" w14:paraId="037A406C" w14:textId="77777777" w:rsidTr="00DB24C4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13EFF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AA072" w14:textId="7A90F334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FDCC" w14:textId="77777777" w:rsidR="00ED6185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7696C" w14:paraId="15F3164F" w14:textId="77777777" w:rsidTr="00DB24C4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096F5" w14:textId="6030EB16" w:rsidR="0047696C" w:rsidRPr="0047696C" w:rsidRDefault="0047696C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69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  <w:r w:rsidR="00260D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C1F67" w14:textId="3DA8A3C2" w:rsidR="0047696C" w:rsidRDefault="0047696C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9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Kultūraugu uzraudzības valsts informācijas sistēmas (KUVIS)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uzturēšanas izmaksas:</w:t>
            </w:r>
            <w:r w:rsidRPr="0039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lai uzturētu </w:t>
            </w:r>
            <w:r w:rsidRPr="0039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“</w:t>
            </w:r>
            <w:r w:rsidRPr="0039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Mēslošanas līdzekļu un substrātu sarakst</w:t>
            </w:r>
            <w:r w:rsidR="00961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Pr="0039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”, kas ir vien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39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 KUVIS moduļiem, 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urš</w:t>
            </w:r>
            <w:r w:rsidRPr="0039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reģistra veidā pieejams publiski </w:t>
            </w:r>
            <w:r w:rsidRPr="00F96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Valsts augu aizsardzības dienesta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vietnē, </w:t>
            </w:r>
            <w:r w:rsidRPr="00F96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gadā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nepieciešams </w:t>
            </w:r>
            <w:r w:rsidRPr="00F96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vidēji vien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F96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cilvēkmēnesi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F96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 tā izmaksas </w:t>
            </w:r>
            <w:r w:rsidRPr="00F96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gadā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veido </w:t>
            </w:r>
            <w:r w:rsidRPr="00F96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6034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F96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88 </w:t>
            </w:r>
            <w:proofErr w:type="spellStart"/>
            <w:r w:rsidRPr="00EF2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F96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(ārpakalpojums 166,25 h x 36,30 </w:t>
            </w:r>
            <w:proofErr w:type="spellStart"/>
            <w:r w:rsidRPr="00EF2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F96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  <w:r w:rsidRPr="0039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Tiek p</w:t>
            </w:r>
            <w:r w:rsidRPr="0039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ieņem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ts</w:t>
            </w:r>
            <w:r w:rsidRPr="0039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ka uz papildinājumiem, kas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attiecas uz </w:t>
            </w:r>
            <w:r w:rsidRPr="0039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informācijas ietveršanu saistībā ar normatīvo aktu prasībām par </w:t>
            </w:r>
            <w:r w:rsidRPr="0039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lietojumiem bioloģiskajā lauksaimniecībā, ir attiecināms 1% no šīs gada summas,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un tas </w:t>
            </w:r>
            <w:r w:rsidR="00961D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veido</w:t>
            </w:r>
            <w:r w:rsidRPr="0039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60,35 </w:t>
            </w:r>
            <w:proofErr w:type="spellStart"/>
            <w:r w:rsidRPr="00EF2FA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39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gadā, attiecīgi vidēji uz 20 gadījumiem </w:t>
            </w:r>
            <w:r w:rsidR="00961D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  <w:r w:rsidRPr="003919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3,02 </w:t>
            </w:r>
            <w:proofErr w:type="spellStart"/>
            <w:r w:rsidRPr="00EF2FA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898F" w14:textId="2BB94E3E" w:rsidR="0047696C" w:rsidRPr="008044DB" w:rsidRDefault="008044DB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44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3,02</w:t>
            </w:r>
          </w:p>
        </w:tc>
      </w:tr>
      <w:tr w:rsidR="00260D94" w14:paraId="2EA9CA60" w14:textId="77777777" w:rsidTr="00DB24C4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7B38F" w14:textId="491E43E8" w:rsidR="00260D94" w:rsidRPr="0047696C" w:rsidRDefault="00260D94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2235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03C5B" w14:textId="2108D264" w:rsidR="00260D94" w:rsidRPr="00391936" w:rsidRDefault="00260D94" w:rsidP="00DB24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Izmaksas apmācīb</w:t>
            </w:r>
            <w:r w:rsidR="00961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mēslošanas līdzekļu un substrātu reģistrācijas jomā gadā vidēji </w:t>
            </w:r>
            <w:r w:rsidR="00961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veido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760</w:t>
            </w:r>
            <w:r w:rsidR="004A2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2A0C" w:rsidRPr="00EF2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961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1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ieņemot, ka uz konkrēto novērtējum</w:t>
            </w:r>
            <w:r w:rsidR="00334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veidu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 tām varētu attiecināt 0,5%, kas </w:t>
            </w:r>
            <w:r w:rsidR="00961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3,8</w:t>
            </w:r>
            <w:r w:rsidR="004A2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2A0C" w:rsidRPr="00EF2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Uz 1 novērtējumu</w:t>
            </w:r>
            <w:r w:rsidR="00961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3,8</w:t>
            </w:r>
            <w:r w:rsidR="004A2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2A0C" w:rsidRPr="00EF2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</w:t>
            </w:r>
            <w:r w:rsidR="00961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 0,19</w:t>
            </w:r>
            <w:r w:rsidR="00961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4A2A0C" w:rsidRPr="00EF2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84CDE" w14:textId="397315A9" w:rsidR="00260D94" w:rsidRPr="008044DB" w:rsidRDefault="00260D94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0,19</w:t>
            </w:r>
          </w:p>
        </w:tc>
      </w:tr>
      <w:tr w:rsidR="00ED6185" w:rsidRPr="001D6BB3" w14:paraId="082AB220" w14:textId="77777777" w:rsidTr="00DB24C4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0FB5" w14:textId="77777777" w:rsidR="00ED6185" w:rsidRPr="00806D35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F688D" w14:textId="77777777" w:rsidR="00ED6185" w:rsidRPr="001D6BB3" w:rsidRDefault="00ED6185" w:rsidP="00D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A9BE1" w14:textId="6D33AF80" w:rsidR="00ED6185" w:rsidRPr="001D6BB3" w:rsidRDefault="008044DB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3,21</w:t>
            </w:r>
            <w:r w:rsidR="00ED6185"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D6185" w:rsidRPr="001D6BB3" w14:paraId="3AA79AC0" w14:textId="77777777" w:rsidTr="00DB24C4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02F9E" w14:textId="77777777" w:rsidR="00ED6185" w:rsidRPr="00806D35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B0DE" w14:textId="77777777" w:rsidR="00ED6185" w:rsidRPr="001D6BB3" w:rsidRDefault="00ED6185" w:rsidP="00DB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00C7" w14:textId="1A1C3722" w:rsidR="00ED6185" w:rsidRPr="001D6BB3" w:rsidRDefault="0047696C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50,00</w:t>
            </w:r>
          </w:p>
        </w:tc>
      </w:tr>
      <w:tr w:rsidR="00ED6185" w:rsidRPr="00273EFC" w14:paraId="551DD6EF" w14:textId="77777777" w:rsidTr="00DB24C4">
        <w:trPr>
          <w:gridAfter w:val="3"/>
          <w:wAfter w:w="6964" w:type="dxa"/>
          <w:trHeight w:val="315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8407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D6185" w:rsidRPr="00273EFC" w14:paraId="1CED339B" w14:textId="77777777" w:rsidTr="00DB24C4">
        <w:trPr>
          <w:trHeight w:val="6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B7938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56D9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A643" w14:textId="39CFBA8C" w:rsidR="00ED6185" w:rsidRPr="00273EFC" w:rsidRDefault="008044DB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D6185" w:rsidRPr="00273EFC" w14:paraId="57DAC443" w14:textId="77777777" w:rsidTr="00DB24C4">
        <w:trPr>
          <w:trHeight w:val="94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17DED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C4EA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1A59" w14:textId="53769E7B" w:rsidR="00ED6185" w:rsidRPr="00273EFC" w:rsidRDefault="008044DB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ED6185" w:rsidRPr="00273EFC" w14:paraId="1B0F91AA" w14:textId="77777777" w:rsidTr="00DB24C4">
        <w:trPr>
          <w:trHeight w:val="6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828F6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516B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26A6" w14:textId="6074F3B2" w:rsidR="00ED6185" w:rsidRPr="00273EFC" w:rsidRDefault="008044DB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ED6185" w:rsidRPr="00273EFC" w14:paraId="50B42FC4" w14:textId="77777777" w:rsidTr="00DB24C4">
        <w:trPr>
          <w:trHeight w:val="836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D4B0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4B0B" w14:textId="77777777" w:rsidR="00ED6185" w:rsidRPr="00273EFC" w:rsidRDefault="00ED6185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9614" w14:textId="792D4C55" w:rsidR="00ED6185" w:rsidRPr="00273EFC" w:rsidRDefault="008044DB" w:rsidP="00D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1000,00</w:t>
            </w:r>
          </w:p>
        </w:tc>
      </w:tr>
      <w:tr w:rsidR="00ED6185" w:rsidRPr="00314F79" w14:paraId="3579B77A" w14:textId="77777777" w:rsidTr="00DB24C4">
        <w:trPr>
          <w:gridAfter w:val="3"/>
          <w:wAfter w:w="6964" w:type="dxa"/>
          <w:trHeight w:val="315"/>
        </w:trPr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5C61" w14:textId="77777777" w:rsidR="00ED6185" w:rsidRPr="00314F79" w:rsidRDefault="00ED6185" w:rsidP="00DB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B0D5987" w14:textId="77777777" w:rsidR="002E5714" w:rsidRDefault="002E5714">
      <w:pPr>
        <w:rPr>
          <w:rFonts w:ascii="Times New Roman" w:hAnsi="Times New Roman" w:cs="Times New Roman"/>
          <w:sz w:val="28"/>
          <w:szCs w:val="28"/>
        </w:rPr>
      </w:pPr>
    </w:p>
    <w:p w14:paraId="48331479" w14:textId="77777777" w:rsidR="001C3ED0" w:rsidRDefault="002E5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B9FCAEA" w14:textId="50666FC7" w:rsidR="001064FD" w:rsidRPr="002E5714" w:rsidRDefault="001C3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313" w:rsidRPr="002E5714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="00526313" w:rsidRPr="002E5714">
        <w:rPr>
          <w:rFonts w:ascii="Times New Roman" w:hAnsi="Times New Roman" w:cs="Times New Roman"/>
          <w:sz w:val="28"/>
          <w:szCs w:val="28"/>
        </w:rPr>
        <w:tab/>
      </w:r>
      <w:r w:rsidR="00526313" w:rsidRPr="002E5714">
        <w:rPr>
          <w:rFonts w:ascii="Times New Roman" w:hAnsi="Times New Roman" w:cs="Times New Roman"/>
          <w:sz w:val="28"/>
          <w:szCs w:val="28"/>
        </w:rPr>
        <w:tab/>
      </w:r>
      <w:r w:rsidR="00526313" w:rsidRPr="002E5714">
        <w:rPr>
          <w:rFonts w:ascii="Times New Roman" w:hAnsi="Times New Roman" w:cs="Times New Roman"/>
          <w:sz w:val="28"/>
          <w:szCs w:val="28"/>
        </w:rPr>
        <w:tab/>
      </w:r>
      <w:r w:rsidR="00526313" w:rsidRPr="002E5714">
        <w:rPr>
          <w:rFonts w:ascii="Times New Roman" w:hAnsi="Times New Roman" w:cs="Times New Roman"/>
          <w:sz w:val="28"/>
          <w:szCs w:val="28"/>
        </w:rPr>
        <w:tab/>
      </w:r>
      <w:r w:rsidR="00526313" w:rsidRPr="002E5714">
        <w:rPr>
          <w:rFonts w:ascii="Times New Roman" w:hAnsi="Times New Roman" w:cs="Times New Roman"/>
          <w:sz w:val="28"/>
          <w:szCs w:val="28"/>
        </w:rPr>
        <w:tab/>
      </w:r>
      <w:r w:rsidR="00526313" w:rsidRPr="002E5714">
        <w:rPr>
          <w:rFonts w:ascii="Times New Roman" w:hAnsi="Times New Roman" w:cs="Times New Roman"/>
          <w:sz w:val="28"/>
          <w:szCs w:val="28"/>
        </w:rPr>
        <w:tab/>
      </w:r>
      <w:r w:rsidR="002E5714">
        <w:rPr>
          <w:rFonts w:ascii="Times New Roman" w:hAnsi="Times New Roman" w:cs="Times New Roman"/>
          <w:sz w:val="28"/>
          <w:szCs w:val="28"/>
        </w:rPr>
        <w:tab/>
      </w:r>
      <w:r w:rsidR="00526313" w:rsidRPr="002E5714">
        <w:rPr>
          <w:rFonts w:ascii="Times New Roman" w:hAnsi="Times New Roman" w:cs="Times New Roman"/>
          <w:sz w:val="28"/>
          <w:szCs w:val="28"/>
        </w:rPr>
        <w:t>K.</w:t>
      </w:r>
      <w:r w:rsidR="005B295C" w:rsidRPr="002E5714">
        <w:rPr>
          <w:rFonts w:ascii="Times New Roman" w:hAnsi="Times New Roman" w:cs="Times New Roman"/>
          <w:sz w:val="28"/>
          <w:szCs w:val="28"/>
        </w:rPr>
        <w:t> </w:t>
      </w:r>
      <w:r w:rsidR="00526313" w:rsidRPr="002E5714">
        <w:rPr>
          <w:rFonts w:ascii="Times New Roman" w:hAnsi="Times New Roman" w:cs="Times New Roman"/>
          <w:sz w:val="28"/>
          <w:szCs w:val="28"/>
        </w:rPr>
        <w:t>Gerhards</w:t>
      </w:r>
    </w:p>
    <w:p w14:paraId="1C0B3A72" w14:textId="77777777" w:rsidR="00526313" w:rsidRDefault="00526313" w:rsidP="00526313">
      <w:pPr>
        <w:pStyle w:val="Bezatstarpm"/>
        <w:rPr>
          <w:rFonts w:ascii="Times New Roman" w:hAnsi="Times New Roman"/>
          <w:sz w:val="20"/>
          <w:szCs w:val="20"/>
        </w:rPr>
      </w:pPr>
    </w:p>
    <w:p w14:paraId="2A4CEBBB" w14:textId="7397B6A2" w:rsidR="00526313" w:rsidRPr="002E5714" w:rsidRDefault="00526313" w:rsidP="00290FA2">
      <w:pPr>
        <w:pStyle w:val="Bezatstarpm"/>
        <w:rPr>
          <w:sz w:val="24"/>
          <w:szCs w:val="24"/>
        </w:rPr>
      </w:pPr>
    </w:p>
    <w:sectPr w:rsidR="00526313" w:rsidRPr="002E5714" w:rsidSect="001C3ED0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F50A" w14:textId="77777777" w:rsidR="00ED7F8D" w:rsidRDefault="00ED7F8D" w:rsidP="00526313">
      <w:pPr>
        <w:spacing w:after="0" w:line="240" w:lineRule="auto"/>
      </w:pPr>
      <w:r>
        <w:separator/>
      </w:r>
    </w:p>
  </w:endnote>
  <w:endnote w:type="continuationSeparator" w:id="0">
    <w:p w14:paraId="466A991A" w14:textId="77777777" w:rsidR="00ED7F8D" w:rsidRDefault="00ED7F8D" w:rsidP="0052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933C" w14:textId="583FA4D6" w:rsidR="00526313" w:rsidRPr="0020669F" w:rsidRDefault="0020669F" w:rsidP="0020669F">
    <w:pPr>
      <w:pStyle w:val="Kjene"/>
    </w:pPr>
    <w:r w:rsidRPr="0020669F">
      <w:rPr>
        <w:rFonts w:ascii="Times New Roman" w:hAnsi="Times New Roman" w:cs="Times New Roman"/>
        <w:sz w:val="20"/>
      </w:rPr>
      <w:t>ZManotp1_110820_VAAD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619D" w14:textId="47BAC3E7" w:rsidR="00C21FB8" w:rsidRPr="0020669F" w:rsidRDefault="0020669F" w:rsidP="0020669F">
    <w:pPr>
      <w:pStyle w:val="Kjene"/>
    </w:pPr>
    <w:r w:rsidRPr="0020669F">
      <w:rPr>
        <w:rFonts w:ascii="Times New Roman" w:hAnsi="Times New Roman" w:cs="Times New Roman"/>
        <w:sz w:val="20"/>
      </w:rPr>
      <w:t>ZManotp1_110820_VAAD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6174" w14:textId="77777777" w:rsidR="00ED7F8D" w:rsidRDefault="00ED7F8D" w:rsidP="00526313">
      <w:pPr>
        <w:spacing w:after="0" w:line="240" w:lineRule="auto"/>
      </w:pPr>
      <w:r>
        <w:separator/>
      </w:r>
    </w:p>
  </w:footnote>
  <w:footnote w:type="continuationSeparator" w:id="0">
    <w:p w14:paraId="149EAC9F" w14:textId="77777777" w:rsidR="00ED7F8D" w:rsidRDefault="00ED7F8D" w:rsidP="0052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64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1A1B09" w14:textId="2761A504" w:rsidR="001C3ED0" w:rsidRPr="001C3ED0" w:rsidRDefault="001C3ED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3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3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3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C3ED0">
          <w:rPr>
            <w:rFonts w:ascii="Times New Roman" w:hAnsi="Times New Roman" w:cs="Times New Roman"/>
            <w:sz w:val="24"/>
            <w:szCs w:val="24"/>
          </w:rPr>
          <w:t>2</w:t>
        </w:r>
        <w:r w:rsidRPr="001C3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91356C" w14:textId="77777777" w:rsidR="001C3ED0" w:rsidRDefault="001C3ED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857"/>
    <w:multiLevelType w:val="hybridMultilevel"/>
    <w:tmpl w:val="352A1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3F53"/>
    <w:multiLevelType w:val="hybridMultilevel"/>
    <w:tmpl w:val="C4406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3966"/>
    <w:multiLevelType w:val="multilevel"/>
    <w:tmpl w:val="CCBA9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6D67F4"/>
    <w:multiLevelType w:val="hybridMultilevel"/>
    <w:tmpl w:val="DBBEAFE2"/>
    <w:lvl w:ilvl="0" w:tplc="D55495E4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3D954FE2"/>
    <w:multiLevelType w:val="hybridMultilevel"/>
    <w:tmpl w:val="F37EB526"/>
    <w:lvl w:ilvl="0" w:tplc="4EEA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43342"/>
    <w:multiLevelType w:val="hybridMultilevel"/>
    <w:tmpl w:val="170ED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85"/>
    <w:rsid w:val="00001B1E"/>
    <w:rsid w:val="001064FD"/>
    <w:rsid w:val="001C0890"/>
    <w:rsid w:val="001C3ED0"/>
    <w:rsid w:val="0020669F"/>
    <w:rsid w:val="00241B6B"/>
    <w:rsid w:val="00260D94"/>
    <w:rsid w:val="00290FA2"/>
    <w:rsid w:val="002E5714"/>
    <w:rsid w:val="003346B0"/>
    <w:rsid w:val="0047696C"/>
    <w:rsid w:val="004A2A0C"/>
    <w:rsid w:val="00526313"/>
    <w:rsid w:val="005659AF"/>
    <w:rsid w:val="005B295C"/>
    <w:rsid w:val="005B5792"/>
    <w:rsid w:val="005E385A"/>
    <w:rsid w:val="00647B60"/>
    <w:rsid w:val="006A3B37"/>
    <w:rsid w:val="006E73EF"/>
    <w:rsid w:val="008044DB"/>
    <w:rsid w:val="0089301A"/>
    <w:rsid w:val="0092426E"/>
    <w:rsid w:val="009324F2"/>
    <w:rsid w:val="00961DF0"/>
    <w:rsid w:val="0098658B"/>
    <w:rsid w:val="009C4277"/>
    <w:rsid w:val="00A32562"/>
    <w:rsid w:val="00AB6A2D"/>
    <w:rsid w:val="00B27140"/>
    <w:rsid w:val="00B9527B"/>
    <w:rsid w:val="00C21FB8"/>
    <w:rsid w:val="00D12EF4"/>
    <w:rsid w:val="00DB24C4"/>
    <w:rsid w:val="00DB58DD"/>
    <w:rsid w:val="00E578CD"/>
    <w:rsid w:val="00ED6185"/>
    <w:rsid w:val="00ED7F8D"/>
    <w:rsid w:val="00EF2FAD"/>
    <w:rsid w:val="00F01539"/>
    <w:rsid w:val="00F022FC"/>
    <w:rsid w:val="00F356C2"/>
    <w:rsid w:val="00F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99F9EA"/>
  <w15:docId w15:val="{11BE09DB-0ADA-4FA3-B1D9-8CFAAB7C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D618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6185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ED6185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ED6185"/>
  </w:style>
  <w:style w:type="paragraph" w:styleId="Bezatstarpm">
    <w:name w:val="No Spacing"/>
    <w:uiPriority w:val="99"/>
    <w:qFormat/>
    <w:rsid w:val="00526313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Hipersaite">
    <w:name w:val="Hyperlink"/>
    <w:basedOn w:val="Noklusjumarindkopasfonts"/>
    <w:uiPriority w:val="99"/>
    <w:rsid w:val="00526313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2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26313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6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59AF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CE17-225E-483E-BB64-4F2E696A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1707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2012. gada 10. jūlija noteikumos Nr.493 „Valsts augu aizsardzības dienesta maksas pakalpojumu cenrādis””</dc:title>
  <dc:subject>1.pielikums</dc:subject>
  <dc:creator>Kristīne Lifānova</dc:creator>
  <dc:description>Lifānova 67027098_x000d_
kristine.lifanova@vaad.gov.lv</dc:description>
  <cp:lastModifiedBy>Sanita Papinova</cp:lastModifiedBy>
  <cp:revision>3</cp:revision>
  <dcterms:created xsi:type="dcterms:W3CDTF">2020-08-11T11:24:00Z</dcterms:created>
  <dcterms:modified xsi:type="dcterms:W3CDTF">2020-08-17T07:52:00Z</dcterms:modified>
</cp:coreProperties>
</file>