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682B1" w14:textId="46F2897C" w:rsidR="00E43995" w:rsidRDefault="00E43995" w:rsidP="006D398D">
      <w:pPr>
        <w:spacing w:before="120" w:after="120" w:line="240" w:lineRule="auto"/>
        <w:ind w:firstLine="301"/>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Likumprojekta “Grozījumi likumā “Par akcīzes nodokli”</w:t>
      </w:r>
      <w:r w:rsidR="00202FFE">
        <w:rPr>
          <w:rFonts w:ascii="Times New Roman" w:eastAsia="Times New Roman" w:hAnsi="Times New Roman" w:cs="Times New Roman"/>
          <w:b/>
          <w:bCs/>
          <w:sz w:val="26"/>
          <w:szCs w:val="26"/>
          <w:lang w:eastAsia="lv-LV"/>
        </w:rPr>
        <w:t>”</w:t>
      </w:r>
      <w:r>
        <w:rPr>
          <w:rFonts w:ascii="Times New Roman" w:eastAsia="Times New Roman" w:hAnsi="Times New Roman" w:cs="Times New Roman"/>
          <w:b/>
          <w:bCs/>
          <w:sz w:val="26"/>
          <w:szCs w:val="26"/>
          <w:lang w:eastAsia="lv-LV"/>
        </w:rPr>
        <w:t xml:space="preserve"> sākotnējās ietekmes novērtējuma ziņojums</w:t>
      </w:r>
      <w:r>
        <w:rPr>
          <w:rFonts w:ascii="Times New Roman" w:eastAsia="Times New Roman" w:hAnsi="Times New Roman" w:cs="Times New Roman"/>
          <w:b/>
          <w:bCs/>
          <w:sz w:val="26"/>
          <w:szCs w:val="26"/>
          <w:lang w:eastAsia="lv-LV"/>
        </w:rPr>
        <w:br/>
        <w:t>(anotācija)</w:t>
      </w:r>
    </w:p>
    <w:p w14:paraId="1F0086A9" w14:textId="77777777" w:rsidR="00987784" w:rsidRDefault="00987784" w:rsidP="006D398D">
      <w:pPr>
        <w:spacing w:before="120" w:after="12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800"/>
      </w:tblGrid>
      <w:tr w:rsidR="00987784" w:rsidRPr="00294E3E" w14:paraId="54729B91" w14:textId="77777777" w:rsidTr="00987784">
        <w:trPr>
          <w:cantSplit/>
        </w:trPr>
        <w:tc>
          <w:tcPr>
            <w:tcW w:w="9061" w:type="dxa"/>
            <w:gridSpan w:val="2"/>
            <w:shd w:val="clear" w:color="auto" w:fill="FFFFFF"/>
            <w:vAlign w:val="center"/>
            <w:hideMark/>
          </w:tcPr>
          <w:p w14:paraId="723ACA5F" w14:textId="77777777" w:rsidR="00987784" w:rsidRPr="00294E3E" w:rsidRDefault="00987784" w:rsidP="006D398D">
            <w:pPr>
              <w:spacing w:before="120" w:after="120" w:line="240" w:lineRule="auto"/>
              <w:jc w:val="center"/>
              <w:rPr>
                <w:rFonts w:ascii="Times New Roman" w:hAnsi="Times New Roman" w:cs="Times New Roman"/>
                <w:b/>
                <w:iCs/>
                <w:sz w:val="24"/>
                <w:szCs w:val="24"/>
              </w:rPr>
            </w:pPr>
            <w:r w:rsidRPr="00294E3E">
              <w:rPr>
                <w:rFonts w:ascii="Times New Roman" w:hAnsi="Times New Roman" w:cs="Times New Roman"/>
                <w:b/>
                <w:iCs/>
                <w:sz w:val="24"/>
                <w:szCs w:val="24"/>
              </w:rPr>
              <w:t>Tiesību akta projekta anotācijas kopsavilkums</w:t>
            </w:r>
          </w:p>
        </w:tc>
      </w:tr>
      <w:tr w:rsidR="00987784" w:rsidRPr="00294E3E" w14:paraId="770C7DCD" w14:textId="77777777" w:rsidTr="00987784">
        <w:trPr>
          <w:cantSplit/>
        </w:trPr>
        <w:tc>
          <w:tcPr>
            <w:tcW w:w="3261" w:type="dxa"/>
            <w:shd w:val="clear" w:color="auto" w:fill="FFFFFF"/>
            <w:hideMark/>
          </w:tcPr>
          <w:p w14:paraId="4BC6E9A9" w14:textId="77777777" w:rsidR="00987784" w:rsidRPr="00294E3E" w:rsidRDefault="00987784" w:rsidP="006D398D">
            <w:pPr>
              <w:spacing w:before="120" w:after="120" w:line="240" w:lineRule="auto"/>
              <w:rPr>
                <w:rFonts w:ascii="Times New Roman" w:hAnsi="Times New Roman" w:cs="Times New Roman"/>
                <w:iCs/>
                <w:sz w:val="24"/>
                <w:szCs w:val="24"/>
              </w:rPr>
            </w:pPr>
            <w:r w:rsidRPr="00294E3E">
              <w:rPr>
                <w:rFonts w:ascii="Times New Roman" w:hAnsi="Times New Roman" w:cs="Times New Roman"/>
                <w:iCs/>
                <w:sz w:val="24"/>
                <w:szCs w:val="24"/>
              </w:rPr>
              <w:t>Mērķis, risinājums un projekta spēkā stāšanās laiks (500 zīmes bez atstarpēm)</w:t>
            </w:r>
          </w:p>
        </w:tc>
        <w:tc>
          <w:tcPr>
            <w:tcW w:w="5800" w:type="dxa"/>
            <w:shd w:val="clear" w:color="auto" w:fill="FFFFFF"/>
            <w:hideMark/>
          </w:tcPr>
          <w:p w14:paraId="5A226C37" w14:textId="13FD1E5B" w:rsidR="00BF27D6" w:rsidRDefault="00E43995" w:rsidP="00E056C6">
            <w:pPr>
              <w:spacing w:before="120" w:after="120" w:line="240" w:lineRule="auto"/>
              <w:ind w:left="109" w:right="110"/>
              <w:jc w:val="both"/>
              <w:rPr>
                <w:rFonts w:ascii="Times New Roman" w:hAnsi="Times New Roman" w:cs="Times New Roman"/>
                <w:sz w:val="24"/>
                <w:szCs w:val="24"/>
              </w:rPr>
            </w:pPr>
            <w:r>
              <w:rPr>
                <w:rFonts w:ascii="Times New Roman" w:hAnsi="Times New Roman" w:cs="Times New Roman"/>
                <w:sz w:val="24"/>
                <w:szCs w:val="24"/>
              </w:rPr>
              <w:t xml:space="preserve">Likumprojekta “Grozījumi likumā “Par akcīzes nodokli”” (turpmāk </w:t>
            </w:r>
            <w:r w:rsidRPr="00C14386">
              <w:rPr>
                <w:rFonts w:ascii="Times New Roman" w:hAnsi="Times New Roman" w:cs="Times New Roman"/>
                <w:sz w:val="24"/>
                <w:szCs w:val="24"/>
              </w:rPr>
              <w:t xml:space="preserve">– </w:t>
            </w:r>
            <w:r w:rsidR="006E5015" w:rsidRPr="00C14386">
              <w:rPr>
                <w:rFonts w:ascii="Times New Roman" w:hAnsi="Times New Roman" w:cs="Times New Roman"/>
                <w:sz w:val="24"/>
                <w:szCs w:val="24"/>
              </w:rPr>
              <w:t>l</w:t>
            </w:r>
            <w:r w:rsidRPr="00C14386">
              <w:rPr>
                <w:rFonts w:ascii="Times New Roman" w:hAnsi="Times New Roman" w:cs="Times New Roman"/>
                <w:sz w:val="24"/>
                <w:szCs w:val="24"/>
              </w:rPr>
              <w:t xml:space="preserve">ikumprojekts) mērķis ir </w:t>
            </w:r>
            <w:r w:rsidR="00CA66CD" w:rsidRPr="00C14386">
              <w:rPr>
                <w:rFonts w:ascii="Times New Roman" w:hAnsi="Times New Roman" w:cs="Times New Roman"/>
                <w:sz w:val="24"/>
                <w:szCs w:val="24"/>
              </w:rPr>
              <w:t>sekmēt</w:t>
            </w:r>
            <w:r w:rsidRPr="00C14386">
              <w:rPr>
                <w:rFonts w:ascii="Times New Roman" w:hAnsi="Times New Roman" w:cs="Times New Roman"/>
                <w:sz w:val="24"/>
                <w:szCs w:val="24"/>
              </w:rPr>
              <w:t xml:space="preserve"> </w:t>
            </w:r>
            <w:r w:rsidR="00CA66CD">
              <w:rPr>
                <w:rFonts w:ascii="Times New Roman" w:hAnsi="Times New Roman" w:cs="Times New Roman"/>
                <w:sz w:val="24"/>
                <w:szCs w:val="24"/>
              </w:rPr>
              <w:t>siltumnīcefekta gāzu emisiju samazināšanu transportā</w:t>
            </w:r>
            <w:r w:rsidR="00CA66CD" w:rsidRPr="00C14386" w:rsidDel="00731B54">
              <w:rPr>
                <w:rFonts w:ascii="Times New Roman" w:hAnsi="Times New Roman" w:cs="Times New Roman"/>
                <w:sz w:val="24"/>
                <w:szCs w:val="24"/>
              </w:rPr>
              <w:t xml:space="preserve"> </w:t>
            </w:r>
            <w:r w:rsidR="00CA66CD">
              <w:rPr>
                <w:rFonts w:ascii="Times New Roman" w:hAnsi="Times New Roman" w:cs="Times New Roman"/>
                <w:sz w:val="24"/>
                <w:szCs w:val="24"/>
              </w:rPr>
              <w:t xml:space="preserve"> </w:t>
            </w:r>
            <w:r w:rsidR="00FE0C31">
              <w:rPr>
                <w:rFonts w:ascii="Times New Roman" w:hAnsi="Times New Roman" w:cs="Times New Roman"/>
                <w:sz w:val="24"/>
                <w:szCs w:val="24"/>
              </w:rPr>
              <w:t>un pakāpenisku pāreju uz videi draudzīgākas un gaisa kvalitāti mazāk ietekmējošas degvielas izmantošanu</w:t>
            </w:r>
            <w:r w:rsidR="00CA66CD">
              <w:rPr>
                <w:rFonts w:ascii="Times New Roman" w:hAnsi="Times New Roman" w:cs="Times New Roman"/>
                <w:sz w:val="24"/>
                <w:szCs w:val="24"/>
              </w:rPr>
              <w:t xml:space="preserve">, veicinot </w:t>
            </w:r>
            <w:r w:rsidR="00CA66CD" w:rsidRPr="00C14386">
              <w:rPr>
                <w:rFonts w:ascii="Times New Roman" w:hAnsi="Times New Roman" w:cs="Times New Roman"/>
                <w:sz w:val="24"/>
                <w:szCs w:val="24"/>
              </w:rPr>
              <w:t xml:space="preserve">dabasgāzes </w:t>
            </w:r>
            <w:proofErr w:type="spellStart"/>
            <w:r w:rsidR="00CA66CD">
              <w:rPr>
                <w:rFonts w:ascii="Times New Roman" w:hAnsi="Times New Roman" w:cs="Times New Roman"/>
                <w:sz w:val="24"/>
                <w:szCs w:val="24"/>
              </w:rPr>
              <w:t>uzpildes</w:t>
            </w:r>
            <w:proofErr w:type="spellEnd"/>
            <w:r w:rsidR="00CA66CD">
              <w:rPr>
                <w:rFonts w:ascii="Times New Roman" w:hAnsi="Times New Roman" w:cs="Times New Roman"/>
                <w:sz w:val="24"/>
                <w:szCs w:val="24"/>
              </w:rPr>
              <w:t xml:space="preserve"> punktu izveidi  transportlīdzekļiem, kuros kā degvielu izmanto dabasgāzi</w:t>
            </w:r>
            <w:r w:rsidR="00BF27D6">
              <w:rPr>
                <w:rFonts w:ascii="Times New Roman" w:hAnsi="Times New Roman" w:cs="Times New Roman"/>
                <w:sz w:val="24"/>
                <w:szCs w:val="24"/>
              </w:rPr>
              <w:t>,</w:t>
            </w:r>
            <w:r w:rsidR="00CA66CD">
              <w:rPr>
                <w:rFonts w:ascii="Times New Roman" w:hAnsi="Times New Roman" w:cs="Times New Roman"/>
                <w:sz w:val="24"/>
                <w:szCs w:val="24"/>
              </w:rPr>
              <w:t xml:space="preserve"> un infrastruktūras attīstību</w:t>
            </w:r>
            <w:r w:rsidR="00FE0C31">
              <w:rPr>
                <w:rFonts w:ascii="Times New Roman" w:hAnsi="Times New Roman" w:cs="Times New Roman"/>
                <w:sz w:val="24"/>
                <w:szCs w:val="24"/>
              </w:rPr>
              <w:t>.</w:t>
            </w:r>
            <w:r w:rsidR="00AF26FB" w:rsidRPr="00C14386">
              <w:rPr>
                <w:rFonts w:ascii="Times New Roman" w:hAnsi="Times New Roman" w:cs="Times New Roman"/>
                <w:sz w:val="24"/>
                <w:szCs w:val="24"/>
              </w:rPr>
              <w:t xml:space="preserve"> </w:t>
            </w:r>
            <w:r w:rsidR="00CA66CD">
              <w:rPr>
                <w:rFonts w:ascii="Times New Roman" w:hAnsi="Times New Roman" w:cs="Times New Roman"/>
                <w:sz w:val="24"/>
                <w:szCs w:val="24"/>
              </w:rPr>
              <w:t>Lai to panāktu</w:t>
            </w:r>
            <w:r w:rsidR="00ED36CE">
              <w:rPr>
                <w:rFonts w:ascii="Times New Roman" w:hAnsi="Times New Roman" w:cs="Times New Roman"/>
                <w:sz w:val="24"/>
                <w:szCs w:val="24"/>
              </w:rPr>
              <w:t>,</w:t>
            </w:r>
            <w:r w:rsidR="005E64E3">
              <w:rPr>
                <w:rFonts w:ascii="Times New Roman" w:hAnsi="Times New Roman" w:cs="Times New Roman"/>
                <w:sz w:val="24"/>
                <w:szCs w:val="24"/>
              </w:rPr>
              <w:t xml:space="preserve"> </w:t>
            </w:r>
            <w:r w:rsidR="00BF27D6">
              <w:rPr>
                <w:rFonts w:ascii="Times New Roman" w:hAnsi="Times New Roman" w:cs="Times New Roman"/>
                <w:sz w:val="24"/>
                <w:szCs w:val="24"/>
              </w:rPr>
              <w:t xml:space="preserve">likumprojekts paredz </w:t>
            </w:r>
            <w:r w:rsidR="000D145E">
              <w:rPr>
                <w:rFonts w:ascii="Times New Roman" w:hAnsi="Times New Roman" w:cs="Times New Roman"/>
                <w:sz w:val="24"/>
                <w:szCs w:val="24"/>
              </w:rPr>
              <w:t>terminēti samazināt</w:t>
            </w:r>
            <w:r w:rsidR="005E64E3">
              <w:rPr>
                <w:rFonts w:ascii="Times New Roman" w:hAnsi="Times New Roman" w:cs="Times New Roman"/>
                <w:sz w:val="24"/>
                <w:szCs w:val="24"/>
              </w:rPr>
              <w:t xml:space="preserve"> akcīzes nodokli dabasgāzei, kuru izmanto </w:t>
            </w:r>
            <w:r w:rsidR="000D145E">
              <w:rPr>
                <w:rFonts w:ascii="Times New Roman" w:hAnsi="Times New Roman" w:cs="Times New Roman"/>
                <w:sz w:val="24"/>
                <w:szCs w:val="24"/>
              </w:rPr>
              <w:t xml:space="preserve">transportā, </w:t>
            </w:r>
            <w:r w:rsidR="00BF27D6">
              <w:rPr>
                <w:rFonts w:ascii="Times New Roman" w:hAnsi="Times New Roman" w:cs="Times New Roman"/>
                <w:sz w:val="24"/>
                <w:szCs w:val="24"/>
              </w:rPr>
              <w:t>nosakot</w:t>
            </w:r>
            <w:r w:rsidR="000D145E">
              <w:rPr>
                <w:rFonts w:ascii="Times New Roman" w:hAnsi="Times New Roman" w:cs="Times New Roman"/>
                <w:sz w:val="24"/>
                <w:szCs w:val="24"/>
              </w:rPr>
              <w:t>, ka no 2021.gada līdz 2025.gadam akcīzes nodokļa likme dabasgāzei kā transporta degvielai</w:t>
            </w:r>
            <w:r w:rsidR="005E64E3">
              <w:rPr>
                <w:rFonts w:ascii="Times New Roman" w:hAnsi="Times New Roman" w:cs="Times New Roman"/>
                <w:sz w:val="24"/>
                <w:szCs w:val="24"/>
              </w:rPr>
              <w:t xml:space="preserve"> </w:t>
            </w:r>
            <w:r w:rsidR="00F44322">
              <w:rPr>
                <w:rFonts w:ascii="Times New Roman" w:hAnsi="Times New Roman" w:cs="Times New Roman"/>
                <w:sz w:val="24"/>
                <w:szCs w:val="24"/>
              </w:rPr>
              <w:t xml:space="preserve">ir  1,91 </w:t>
            </w:r>
            <w:proofErr w:type="spellStart"/>
            <w:r w:rsidR="00F44322">
              <w:rPr>
                <w:rFonts w:ascii="Times New Roman" w:hAnsi="Times New Roman" w:cs="Times New Roman"/>
                <w:sz w:val="24"/>
                <w:szCs w:val="24"/>
              </w:rPr>
              <w:t>euro</w:t>
            </w:r>
            <w:proofErr w:type="spellEnd"/>
            <w:r w:rsidR="00F44322">
              <w:rPr>
                <w:rFonts w:ascii="Times New Roman" w:hAnsi="Times New Roman" w:cs="Times New Roman"/>
                <w:sz w:val="24"/>
                <w:szCs w:val="24"/>
              </w:rPr>
              <w:t xml:space="preserve"> par 1 </w:t>
            </w:r>
            <w:proofErr w:type="spellStart"/>
            <w:r w:rsidR="00F44322">
              <w:rPr>
                <w:rFonts w:ascii="Times New Roman" w:hAnsi="Times New Roman" w:cs="Times New Roman"/>
                <w:sz w:val="24"/>
                <w:szCs w:val="24"/>
              </w:rPr>
              <w:t>MWh</w:t>
            </w:r>
            <w:proofErr w:type="spellEnd"/>
            <w:r w:rsidR="00F44322">
              <w:rPr>
                <w:rFonts w:ascii="Times New Roman" w:hAnsi="Times New Roman" w:cs="Times New Roman"/>
                <w:sz w:val="24"/>
                <w:szCs w:val="24"/>
              </w:rPr>
              <w:t xml:space="preserve"> jeb 20 </w:t>
            </w:r>
            <w:proofErr w:type="spellStart"/>
            <w:r w:rsidR="00F44322">
              <w:rPr>
                <w:rFonts w:ascii="Times New Roman" w:hAnsi="Times New Roman" w:cs="Times New Roman"/>
                <w:sz w:val="24"/>
                <w:szCs w:val="24"/>
              </w:rPr>
              <w:t>euro</w:t>
            </w:r>
            <w:proofErr w:type="spellEnd"/>
            <w:r w:rsidR="00F44322">
              <w:rPr>
                <w:rFonts w:ascii="Times New Roman" w:hAnsi="Times New Roman" w:cs="Times New Roman"/>
                <w:sz w:val="24"/>
                <w:szCs w:val="24"/>
              </w:rPr>
              <w:t xml:space="preserve"> par 1000 m</w:t>
            </w:r>
            <w:r w:rsidR="006B2327" w:rsidRPr="00661F14">
              <w:rPr>
                <w:rFonts w:ascii="Times New Roman" w:hAnsi="Times New Roman"/>
                <w:sz w:val="28"/>
                <w:szCs w:val="28"/>
                <w:vertAlign w:val="superscript"/>
              </w:rPr>
              <w:t>3</w:t>
            </w:r>
            <w:r w:rsidR="00BF27D6">
              <w:rPr>
                <w:rFonts w:ascii="Times New Roman" w:hAnsi="Times New Roman" w:cs="Times New Roman"/>
                <w:sz w:val="24"/>
                <w:szCs w:val="24"/>
              </w:rPr>
              <w:t>.</w:t>
            </w:r>
            <w:r w:rsidR="00F44322">
              <w:rPr>
                <w:rFonts w:ascii="Times New Roman" w:hAnsi="Times New Roman" w:cs="Times New Roman"/>
                <w:sz w:val="24"/>
                <w:szCs w:val="24"/>
              </w:rPr>
              <w:t xml:space="preserve"> </w:t>
            </w:r>
            <w:r w:rsidR="00BF27D6">
              <w:rPr>
                <w:rFonts w:ascii="Times New Roman" w:hAnsi="Times New Roman" w:cs="Times New Roman"/>
                <w:sz w:val="24"/>
                <w:szCs w:val="24"/>
              </w:rPr>
              <w:t>V</w:t>
            </w:r>
            <w:r w:rsidR="00F44322">
              <w:rPr>
                <w:rFonts w:ascii="Times New Roman" w:hAnsi="Times New Roman" w:cs="Times New Roman"/>
                <w:sz w:val="24"/>
                <w:szCs w:val="24"/>
              </w:rPr>
              <w:t xml:space="preserve">ienlaikus </w:t>
            </w:r>
            <w:r w:rsidR="00BF27D6">
              <w:rPr>
                <w:rFonts w:ascii="Times New Roman" w:hAnsi="Times New Roman" w:cs="Times New Roman"/>
                <w:sz w:val="24"/>
                <w:szCs w:val="24"/>
              </w:rPr>
              <w:t>likumprojekts paredz</w:t>
            </w:r>
            <w:r w:rsidR="00F44322">
              <w:rPr>
                <w:rFonts w:ascii="Times New Roman" w:hAnsi="Times New Roman" w:cs="Times New Roman"/>
                <w:sz w:val="24"/>
                <w:szCs w:val="24"/>
              </w:rPr>
              <w:t xml:space="preserve">, ka no 2026.gada akcīzes nodokļa likme dabasgāzei (kā transporta degvielai) tiktu palielināta uz 10 </w:t>
            </w:r>
            <w:proofErr w:type="spellStart"/>
            <w:r w:rsidR="00F44322">
              <w:rPr>
                <w:rFonts w:ascii="Times New Roman" w:hAnsi="Times New Roman" w:cs="Times New Roman"/>
                <w:sz w:val="24"/>
                <w:szCs w:val="24"/>
              </w:rPr>
              <w:t>euro</w:t>
            </w:r>
            <w:proofErr w:type="spellEnd"/>
            <w:r w:rsidR="00F44322">
              <w:rPr>
                <w:rFonts w:ascii="Times New Roman" w:hAnsi="Times New Roman" w:cs="Times New Roman"/>
                <w:sz w:val="24"/>
                <w:szCs w:val="24"/>
              </w:rPr>
              <w:t xml:space="preserve"> par 1 </w:t>
            </w:r>
            <w:proofErr w:type="spellStart"/>
            <w:r w:rsidR="00F44322">
              <w:rPr>
                <w:rFonts w:ascii="Times New Roman" w:hAnsi="Times New Roman" w:cs="Times New Roman"/>
                <w:sz w:val="24"/>
                <w:szCs w:val="24"/>
              </w:rPr>
              <w:t>MWh</w:t>
            </w:r>
            <w:proofErr w:type="spellEnd"/>
            <w:r w:rsidR="00F44322">
              <w:rPr>
                <w:rFonts w:ascii="Times New Roman" w:hAnsi="Times New Roman" w:cs="Times New Roman"/>
                <w:sz w:val="24"/>
                <w:szCs w:val="24"/>
              </w:rPr>
              <w:t xml:space="preserve"> jeb 105 </w:t>
            </w:r>
            <w:proofErr w:type="spellStart"/>
            <w:r w:rsidR="00F44322">
              <w:rPr>
                <w:rFonts w:ascii="Times New Roman" w:hAnsi="Times New Roman" w:cs="Times New Roman"/>
                <w:sz w:val="24"/>
                <w:szCs w:val="24"/>
              </w:rPr>
              <w:t>euro</w:t>
            </w:r>
            <w:proofErr w:type="spellEnd"/>
            <w:r w:rsidR="00F44322">
              <w:rPr>
                <w:rFonts w:ascii="Times New Roman" w:hAnsi="Times New Roman" w:cs="Times New Roman"/>
                <w:sz w:val="24"/>
                <w:szCs w:val="24"/>
              </w:rPr>
              <w:t xml:space="preserve"> par 1000 m</w:t>
            </w:r>
            <w:r w:rsidR="006B2327" w:rsidRPr="00661F14">
              <w:rPr>
                <w:rFonts w:ascii="Times New Roman" w:hAnsi="Times New Roman"/>
                <w:sz w:val="28"/>
                <w:szCs w:val="28"/>
                <w:vertAlign w:val="superscript"/>
              </w:rPr>
              <w:t>3</w:t>
            </w:r>
            <w:r w:rsidR="00F44322">
              <w:rPr>
                <w:rFonts w:ascii="Times New Roman" w:hAnsi="Times New Roman" w:cs="Times New Roman"/>
                <w:sz w:val="24"/>
                <w:szCs w:val="24"/>
              </w:rPr>
              <w:t xml:space="preserve">. </w:t>
            </w:r>
          </w:p>
          <w:p w14:paraId="28FEC606" w14:textId="4C404EF8" w:rsidR="00EC61F5" w:rsidRDefault="00C14386" w:rsidP="00E056C6">
            <w:pPr>
              <w:spacing w:before="120" w:after="120" w:line="240" w:lineRule="auto"/>
              <w:ind w:left="109" w:right="110"/>
              <w:jc w:val="both"/>
              <w:rPr>
                <w:rFonts w:ascii="Times New Roman" w:hAnsi="Times New Roman" w:cs="Times New Roman"/>
                <w:sz w:val="24"/>
                <w:szCs w:val="24"/>
              </w:rPr>
            </w:pPr>
            <w:r>
              <w:rPr>
                <w:rFonts w:ascii="Times New Roman" w:hAnsi="Times New Roman" w:cs="Times New Roman"/>
                <w:sz w:val="24"/>
                <w:szCs w:val="24"/>
              </w:rPr>
              <w:t>Likumprojekts</w:t>
            </w:r>
            <w:r w:rsidR="000D17E1" w:rsidRPr="000D17E1">
              <w:rPr>
                <w:rFonts w:ascii="Times New Roman" w:hAnsi="Times New Roman" w:cs="Times New Roman"/>
                <w:sz w:val="24"/>
                <w:szCs w:val="24"/>
              </w:rPr>
              <w:t xml:space="preserve"> stāsies spēkā vispārējā kārtībā atbilstoši Oficiālo publikāciju un tiesiskās informācijas likumam.</w:t>
            </w:r>
          </w:p>
          <w:p w14:paraId="50FF8E8C" w14:textId="77777777" w:rsidR="00987784" w:rsidRPr="00294E3E" w:rsidRDefault="00987784" w:rsidP="006D398D">
            <w:pPr>
              <w:spacing w:before="120" w:after="120" w:line="240" w:lineRule="auto"/>
              <w:jc w:val="both"/>
              <w:rPr>
                <w:rFonts w:ascii="Times New Roman" w:hAnsi="Times New Roman" w:cs="Times New Roman"/>
                <w:i/>
                <w:iCs/>
                <w:sz w:val="24"/>
                <w:szCs w:val="24"/>
              </w:rPr>
            </w:pPr>
          </w:p>
        </w:tc>
      </w:tr>
    </w:tbl>
    <w:p w14:paraId="354325B9" w14:textId="750799E3" w:rsidR="00071810" w:rsidRPr="00A71A5A" w:rsidRDefault="00071810" w:rsidP="006D398D">
      <w:pPr>
        <w:pStyle w:val="Title"/>
        <w:spacing w:before="120" w:after="120"/>
        <w:ind w:firstLine="539"/>
        <w:jc w:val="both"/>
        <w:rPr>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87784" w:rsidRPr="00294E3E" w14:paraId="7B56ECAB" w14:textId="77777777" w:rsidTr="00071810">
        <w:tc>
          <w:tcPr>
            <w:tcW w:w="5000" w:type="pct"/>
            <w:gridSpan w:val="3"/>
            <w:vAlign w:val="center"/>
            <w:hideMark/>
          </w:tcPr>
          <w:p w14:paraId="6C0AF49C" w14:textId="77777777" w:rsidR="00987784" w:rsidRPr="00294E3E" w:rsidRDefault="00987784" w:rsidP="00071810">
            <w:pPr>
              <w:spacing w:before="120" w:after="120" w:line="240" w:lineRule="auto"/>
              <w:jc w:val="center"/>
              <w:rPr>
                <w:rFonts w:ascii="Times New Roman" w:hAnsi="Times New Roman" w:cs="Times New Roman"/>
                <w:b/>
                <w:bCs/>
                <w:sz w:val="24"/>
                <w:szCs w:val="24"/>
              </w:rPr>
            </w:pPr>
            <w:r w:rsidRPr="00294E3E">
              <w:rPr>
                <w:rFonts w:ascii="Times New Roman" w:hAnsi="Times New Roman" w:cs="Times New Roman"/>
                <w:b/>
                <w:bCs/>
                <w:sz w:val="24"/>
                <w:szCs w:val="24"/>
              </w:rPr>
              <w:t>I. Tiesību akta projekta izstrādes nepieciešamība</w:t>
            </w:r>
          </w:p>
        </w:tc>
      </w:tr>
      <w:tr w:rsidR="00987784" w:rsidRPr="00294E3E" w14:paraId="5CDD656A" w14:textId="77777777" w:rsidTr="00071810">
        <w:tc>
          <w:tcPr>
            <w:tcW w:w="311" w:type="pct"/>
            <w:hideMark/>
          </w:tcPr>
          <w:p w14:paraId="50C260D2" w14:textId="77777777" w:rsidR="00987784" w:rsidRPr="00294E3E" w:rsidRDefault="00987784" w:rsidP="00071810">
            <w:pPr>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1.</w:t>
            </w:r>
          </w:p>
        </w:tc>
        <w:tc>
          <w:tcPr>
            <w:tcW w:w="1479" w:type="pct"/>
            <w:hideMark/>
          </w:tcPr>
          <w:p w14:paraId="4C092624" w14:textId="77777777" w:rsidR="00987784" w:rsidRPr="00294E3E" w:rsidRDefault="00987784" w:rsidP="00071810">
            <w:pPr>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Pamatojums</w:t>
            </w:r>
          </w:p>
        </w:tc>
        <w:tc>
          <w:tcPr>
            <w:tcW w:w="3210" w:type="pct"/>
            <w:hideMark/>
          </w:tcPr>
          <w:p w14:paraId="7BA0A4C0" w14:textId="126E3AB7" w:rsidR="00C51CC4" w:rsidRPr="00CA152D" w:rsidRDefault="00C51CC4" w:rsidP="00A71A5A">
            <w:pPr>
              <w:spacing w:before="120" w:after="120" w:line="240" w:lineRule="auto"/>
              <w:ind w:right="252"/>
              <w:jc w:val="both"/>
              <w:rPr>
                <w:rFonts w:ascii="Times New Roman" w:hAnsi="Times New Roman" w:cs="Times New Roman"/>
                <w:sz w:val="24"/>
                <w:szCs w:val="24"/>
              </w:rPr>
            </w:pPr>
            <w:r>
              <w:rPr>
                <w:rFonts w:ascii="Times New Roman" w:hAnsi="Times New Roman" w:cs="Times New Roman"/>
                <w:sz w:val="24"/>
                <w:szCs w:val="24"/>
              </w:rPr>
              <w:t xml:space="preserve">Ministru kabineta 2020.gada 2.septembra sēdes protokola Nr.54 </w:t>
            </w:r>
            <w:r w:rsidRPr="00C51CC4">
              <w:rPr>
                <w:rFonts w:ascii="Times New Roman" w:hAnsi="Times New Roman" w:cs="Times New Roman"/>
                <w:sz w:val="24"/>
                <w:szCs w:val="24"/>
              </w:rPr>
              <w:t>45.§</w:t>
            </w:r>
            <w:r w:rsidR="00736107">
              <w:rPr>
                <w:rFonts w:ascii="Times New Roman" w:hAnsi="Times New Roman" w:cs="Times New Roman"/>
                <w:sz w:val="24"/>
                <w:szCs w:val="24"/>
              </w:rPr>
              <w:t xml:space="preserve"> “</w:t>
            </w:r>
            <w:r w:rsidR="00736107" w:rsidRPr="00736107">
              <w:rPr>
                <w:rFonts w:ascii="Times New Roman" w:hAnsi="Times New Roman" w:cs="Times New Roman"/>
                <w:sz w:val="24"/>
                <w:szCs w:val="24"/>
              </w:rPr>
              <w:t>Informatīvais ziņojums "Par nodokļu politikas attīstības virzieniem, valsts sociālās ilgtspējas un ekonomikas konkurētspējas veicināšanai"</w:t>
            </w:r>
            <w:r w:rsidR="00202FFE">
              <w:rPr>
                <w:rFonts w:ascii="Times New Roman" w:hAnsi="Times New Roman" w:cs="Times New Roman"/>
                <w:sz w:val="24"/>
                <w:szCs w:val="24"/>
              </w:rPr>
              <w:t>”</w:t>
            </w:r>
            <w:r w:rsidR="00736107" w:rsidRPr="00736107">
              <w:rPr>
                <w:rFonts w:ascii="Times New Roman" w:hAnsi="Times New Roman" w:cs="Times New Roman"/>
                <w:sz w:val="24"/>
                <w:szCs w:val="24"/>
              </w:rPr>
              <w:t xml:space="preserve"> </w:t>
            </w:r>
            <w:r>
              <w:rPr>
                <w:rFonts w:ascii="Times New Roman" w:hAnsi="Times New Roman" w:cs="Times New Roman"/>
                <w:sz w:val="24"/>
                <w:szCs w:val="24"/>
              </w:rPr>
              <w:t>3.punkts.</w:t>
            </w:r>
          </w:p>
        </w:tc>
      </w:tr>
      <w:tr w:rsidR="00987784" w:rsidRPr="00294E3E" w14:paraId="52DB9876" w14:textId="77777777" w:rsidTr="00071810">
        <w:tc>
          <w:tcPr>
            <w:tcW w:w="311" w:type="pct"/>
            <w:hideMark/>
          </w:tcPr>
          <w:p w14:paraId="34888387" w14:textId="77777777" w:rsidR="00987784" w:rsidRPr="00294E3E" w:rsidRDefault="00987784" w:rsidP="00071810">
            <w:pPr>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2.</w:t>
            </w:r>
          </w:p>
        </w:tc>
        <w:tc>
          <w:tcPr>
            <w:tcW w:w="1479" w:type="pct"/>
            <w:hideMark/>
          </w:tcPr>
          <w:p w14:paraId="742A9AB8" w14:textId="77777777" w:rsidR="00987784" w:rsidRPr="00294E3E" w:rsidRDefault="00987784" w:rsidP="00071810">
            <w:pPr>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Pašreizējā situācija un problēmas, kuru risināšanai tiesību akta projekts izstrādāts, tiesiskā regulējuma mērķis un būtība</w:t>
            </w:r>
          </w:p>
        </w:tc>
        <w:tc>
          <w:tcPr>
            <w:tcW w:w="3210" w:type="pct"/>
          </w:tcPr>
          <w:p w14:paraId="7344FD00" w14:textId="45DBE1DC" w:rsidR="00C51CC4" w:rsidRDefault="00BF27D6" w:rsidP="00A71A5A">
            <w:pPr>
              <w:spacing w:before="120" w:after="120" w:line="240" w:lineRule="auto"/>
              <w:ind w:right="110"/>
              <w:jc w:val="both"/>
              <w:rPr>
                <w:rFonts w:ascii="Times New Roman" w:hAnsi="Times New Roman" w:cs="Times New Roman"/>
                <w:sz w:val="24"/>
                <w:szCs w:val="24"/>
              </w:rPr>
            </w:pPr>
            <w:r w:rsidRPr="00AC69B4">
              <w:rPr>
                <w:rFonts w:ascii="Times New Roman" w:hAnsi="Times New Roman" w:cs="Times New Roman"/>
                <w:sz w:val="24"/>
                <w:szCs w:val="24"/>
                <w:u w:val="single"/>
              </w:rPr>
              <w:t xml:space="preserve">Likumprojekts paredz </w:t>
            </w:r>
            <w:r w:rsidR="00C51CC4" w:rsidRPr="00AC69B4">
              <w:rPr>
                <w:rFonts w:ascii="Times New Roman" w:hAnsi="Times New Roman" w:cs="Times New Roman"/>
                <w:sz w:val="24"/>
                <w:szCs w:val="24"/>
                <w:u w:val="single"/>
              </w:rPr>
              <w:t xml:space="preserve">terminēti samazināt akcīzes nodokli dabasgāzei, kuru izmanto transportā, </w:t>
            </w:r>
            <w:r w:rsidRPr="00AC69B4">
              <w:rPr>
                <w:rFonts w:ascii="Times New Roman" w:hAnsi="Times New Roman" w:cs="Times New Roman"/>
                <w:sz w:val="24"/>
                <w:szCs w:val="24"/>
                <w:u w:val="single"/>
              </w:rPr>
              <w:t>nosakot</w:t>
            </w:r>
            <w:r w:rsidR="00C51CC4" w:rsidRPr="00AC69B4">
              <w:rPr>
                <w:rFonts w:ascii="Times New Roman" w:hAnsi="Times New Roman" w:cs="Times New Roman"/>
                <w:sz w:val="24"/>
                <w:szCs w:val="24"/>
                <w:u w:val="single"/>
              </w:rPr>
              <w:t xml:space="preserve">, ka no 2021.gada līdz 2025.gadam akcīzes nodokļa likme dabasgāzei (kā transporta degvielai) ir  1,91 </w:t>
            </w:r>
            <w:proofErr w:type="spellStart"/>
            <w:r w:rsidR="00C51CC4" w:rsidRPr="00AC69B4">
              <w:rPr>
                <w:rFonts w:ascii="Times New Roman" w:hAnsi="Times New Roman" w:cs="Times New Roman"/>
                <w:sz w:val="24"/>
                <w:szCs w:val="24"/>
                <w:u w:val="single"/>
              </w:rPr>
              <w:t>euro</w:t>
            </w:r>
            <w:proofErr w:type="spellEnd"/>
            <w:r w:rsidR="00C51CC4" w:rsidRPr="00AC69B4">
              <w:rPr>
                <w:rFonts w:ascii="Times New Roman" w:hAnsi="Times New Roman" w:cs="Times New Roman"/>
                <w:sz w:val="24"/>
                <w:szCs w:val="24"/>
                <w:u w:val="single"/>
              </w:rPr>
              <w:t xml:space="preserve"> par 1 </w:t>
            </w:r>
            <w:proofErr w:type="spellStart"/>
            <w:r w:rsidR="00C51CC4" w:rsidRPr="00AC69B4">
              <w:rPr>
                <w:rFonts w:ascii="Times New Roman" w:hAnsi="Times New Roman" w:cs="Times New Roman"/>
                <w:sz w:val="24"/>
                <w:szCs w:val="24"/>
                <w:u w:val="single"/>
              </w:rPr>
              <w:t>MWh</w:t>
            </w:r>
            <w:proofErr w:type="spellEnd"/>
            <w:r w:rsidR="00C51CC4" w:rsidRPr="00AC69B4">
              <w:rPr>
                <w:rFonts w:ascii="Times New Roman" w:hAnsi="Times New Roman" w:cs="Times New Roman"/>
                <w:sz w:val="24"/>
                <w:szCs w:val="24"/>
                <w:u w:val="single"/>
              </w:rPr>
              <w:t xml:space="preserve"> jeb 20 </w:t>
            </w:r>
            <w:proofErr w:type="spellStart"/>
            <w:r w:rsidR="00C51CC4" w:rsidRPr="00AC69B4">
              <w:rPr>
                <w:rFonts w:ascii="Times New Roman" w:hAnsi="Times New Roman" w:cs="Times New Roman"/>
                <w:sz w:val="24"/>
                <w:szCs w:val="24"/>
                <w:u w:val="single"/>
              </w:rPr>
              <w:t>euro</w:t>
            </w:r>
            <w:proofErr w:type="spellEnd"/>
            <w:r w:rsidR="00C51CC4" w:rsidRPr="00AC69B4">
              <w:rPr>
                <w:rFonts w:ascii="Times New Roman" w:hAnsi="Times New Roman" w:cs="Times New Roman"/>
                <w:sz w:val="24"/>
                <w:szCs w:val="24"/>
                <w:u w:val="single"/>
              </w:rPr>
              <w:t xml:space="preserve"> par 1000 m</w:t>
            </w:r>
            <w:r w:rsidR="00C51CC4" w:rsidRPr="00AC69B4">
              <w:rPr>
                <w:rFonts w:ascii="Times New Roman" w:hAnsi="Times New Roman" w:cs="Times New Roman"/>
                <w:sz w:val="24"/>
                <w:szCs w:val="24"/>
                <w:u w:val="single"/>
                <w:vertAlign w:val="superscript"/>
              </w:rPr>
              <w:t>3</w:t>
            </w:r>
            <w:r w:rsidR="00C51CC4" w:rsidRPr="00AC69B4">
              <w:rPr>
                <w:rFonts w:ascii="Times New Roman" w:hAnsi="Times New Roman" w:cs="Times New Roman"/>
                <w:sz w:val="24"/>
                <w:szCs w:val="24"/>
                <w:u w:val="single"/>
              </w:rPr>
              <w:t xml:space="preserve">, vienlaikus paredzot, ka no 2026.gada akcīzes nodokļa likme dabasgāzei (kā transporta degvielai) tiktu palielināta uz 10 </w:t>
            </w:r>
            <w:proofErr w:type="spellStart"/>
            <w:r w:rsidR="00C51CC4" w:rsidRPr="00AC69B4">
              <w:rPr>
                <w:rFonts w:ascii="Times New Roman" w:hAnsi="Times New Roman" w:cs="Times New Roman"/>
                <w:sz w:val="24"/>
                <w:szCs w:val="24"/>
                <w:u w:val="single"/>
              </w:rPr>
              <w:t>euro</w:t>
            </w:r>
            <w:proofErr w:type="spellEnd"/>
            <w:r w:rsidR="00C51CC4" w:rsidRPr="00AC69B4">
              <w:rPr>
                <w:rFonts w:ascii="Times New Roman" w:hAnsi="Times New Roman" w:cs="Times New Roman"/>
                <w:sz w:val="24"/>
                <w:szCs w:val="24"/>
                <w:u w:val="single"/>
              </w:rPr>
              <w:t xml:space="preserve"> par 1 </w:t>
            </w:r>
            <w:proofErr w:type="spellStart"/>
            <w:r w:rsidR="00C51CC4" w:rsidRPr="00AC69B4">
              <w:rPr>
                <w:rFonts w:ascii="Times New Roman" w:hAnsi="Times New Roman" w:cs="Times New Roman"/>
                <w:sz w:val="24"/>
                <w:szCs w:val="24"/>
                <w:u w:val="single"/>
              </w:rPr>
              <w:t>MWh</w:t>
            </w:r>
            <w:proofErr w:type="spellEnd"/>
            <w:r w:rsidR="00C51CC4" w:rsidRPr="00AC69B4">
              <w:rPr>
                <w:rFonts w:ascii="Times New Roman" w:hAnsi="Times New Roman" w:cs="Times New Roman"/>
                <w:sz w:val="24"/>
                <w:szCs w:val="24"/>
                <w:u w:val="single"/>
              </w:rPr>
              <w:t xml:space="preserve"> jeb 105 </w:t>
            </w:r>
            <w:proofErr w:type="spellStart"/>
            <w:r w:rsidR="00C51CC4" w:rsidRPr="00AC69B4">
              <w:rPr>
                <w:rFonts w:ascii="Times New Roman" w:hAnsi="Times New Roman" w:cs="Times New Roman"/>
                <w:sz w:val="24"/>
                <w:szCs w:val="24"/>
                <w:u w:val="single"/>
              </w:rPr>
              <w:t>euro</w:t>
            </w:r>
            <w:proofErr w:type="spellEnd"/>
            <w:r w:rsidR="00C51CC4" w:rsidRPr="00AC69B4">
              <w:rPr>
                <w:rFonts w:ascii="Times New Roman" w:hAnsi="Times New Roman" w:cs="Times New Roman"/>
                <w:sz w:val="24"/>
                <w:szCs w:val="24"/>
                <w:u w:val="single"/>
              </w:rPr>
              <w:t xml:space="preserve"> par 1000 m3. </w:t>
            </w:r>
          </w:p>
          <w:p w14:paraId="53EE7CB3" w14:textId="59523E27" w:rsidR="00650FB4" w:rsidRDefault="00650FB4" w:rsidP="00A71A5A">
            <w:pPr>
              <w:spacing w:before="120" w:after="120" w:line="240" w:lineRule="auto"/>
              <w:ind w:right="110"/>
              <w:jc w:val="both"/>
              <w:rPr>
                <w:rFonts w:ascii="Times New Roman" w:hAnsi="Times New Roman" w:cs="Times New Roman"/>
                <w:sz w:val="24"/>
                <w:szCs w:val="24"/>
              </w:rPr>
            </w:pPr>
            <w:r w:rsidRPr="00A71A5A">
              <w:rPr>
                <w:rFonts w:ascii="Times New Roman" w:hAnsi="Times New Roman" w:cs="Times New Roman"/>
                <w:sz w:val="24"/>
                <w:szCs w:val="24"/>
              </w:rPr>
              <w:t>Šobrīd likuma “Par akcīzes nodokli” (turpmāk – likums) 15.</w:t>
            </w:r>
            <w:r w:rsidRPr="00A71A5A">
              <w:rPr>
                <w:rFonts w:ascii="Times New Roman" w:hAnsi="Times New Roman" w:cs="Times New Roman"/>
                <w:sz w:val="24"/>
                <w:szCs w:val="24"/>
                <w:vertAlign w:val="superscript"/>
              </w:rPr>
              <w:t>1</w:t>
            </w:r>
            <w:r w:rsidRPr="00A71A5A">
              <w:rPr>
                <w:rFonts w:ascii="Times New Roman" w:hAnsi="Times New Roman" w:cs="Times New Roman"/>
                <w:sz w:val="24"/>
                <w:szCs w:val="24"/>
              </w:rPr>
              <w:t xml:space="preserve"> panta otrā daļa noteic, ka akcīzes nodoklis dabasgāzei kā degvielas veidam ir 9,64 EUR/</w:t>
            </w:r>
            <w:proofErr w:type="spellStart"/>
            <w:r w:rsidRPr="00A71A5A">
              <w:rPr>
                <w:rFonts w:ascii="Times New Roman" w:hAnsi="Times New Roman" w:cs="Times New Roman"/>
                <w:sz w:val="24"/>
                <w:szCs w:val="24"/>
              </w:rPr>
              <w:t>MWh</w:t>
            </w:r>
            <w:proofErr w:type="spellEnd"/>
            <w:r w:rsidRPr="00A71A5A">
              <w:rPr>
                <w:rFonts w:ascii="Times New Roman" w:hAnsi="Times New Roman" w:cs="Times New Roman"/>
                <w:sz w:val="24"/>
                <w:szCs w:val="24"/>
              </w:rPr>
              <w:t xml:space="preserve">, savukārt citās Eiropas Savienības valstīs kā viens no atbalsta </w:t>
            </w:r>
            <w:r w:rsidRPr="00A71A5A">
              <w:rPr>
                <w:rFonts w:ascii="Times New Roman" w:hAnsi="Times New Roman" w:cs="Times New Roman"/>
                <w:sz w:val="24"/>
                <w:szCs w:val="24"/>
              </w:rPr>
              <w:lastRenderedPageBreak/>
              <w:t xml:space="preserve">mehānismiem ir šāda nodokļa ievērojama samazināšana, kā piemēram, Lietuvā vai Polijā. </w:t>
            </w:r>
          </w:p>
          <w:p w14:paraId="0BA9A58E" w14:textId="18407F57" w:rsidR="00BF27D6" w:rsidRPr="00650FB4" w:rsidRDefault="00BF27D6" w:rsidP="00A71A5A">
            <w:pPr>
              <w:spacing w:before="120" w:after="120" w:line="240" w:lineRule="auto"/>
              <w:ind w:right="110"/>
              <w:jc w:val="both"/>
              <w:rPr>
                <w:rFonts w:ascii="Times New Roman" w:hAnsi="Times New Roman" w:cs="Times New Roman"/>
                <w:sz w:val="24"/>
                <w:szCs w:val="24"/>
              </w:rPr>
            </w:pPr>
          </w:p>
          <w:tbl>
            <w:tblPr>
              <w:tblW w:w="5742" w:type="dxa"/>
              <w:tblCellMar>
                <w:left w:w="0" w:type="dxa"/>
                <w:right w:w="0" w:type="dxa"/>
              </w:tblCellMar>
              <w:tblLook w:val="04A0" w:firstRow="1" w:lastRow="0" w:firstColumn="1" w:lastColumn="0" w:noHBand="0" w:noVBand="1"/>
            </w:tblPr>
            <w:tblGrid>
              <w:gridCol w:w="1247"/>
              <w:gridCol w:w="998"/>
              <w:gridCol w:w="1230"/>
              <w:gridCol w:w="1316"/>
              <w:gridCol w:w="951"/>
            </w:tblGrid>
            <w:tr w:rsidR="00BF27D6" w:rsidRPr="00650FB4" w14:paraId="2BEE5FF1" w14:textId="419F042E" w:rsidTr="00AC69B4">
              <w:trPr>
                <w:trHeight w:val="489"/>
              </w:trPr>
              <w:tc>
                <w:tcPr>
                  <w:tcW w:w="2245" w:type="dxa"/>
                  <w:gridSpan w:val="2"/>
                  <w:tcBorders>
                    <w:top w:val="single" w:sz="8" w:space="0" w:color="auto"/>
                    <w:left w:val="single" w:sz="8" w:space="0" w:color="auto"/>
                    <w:bottom w:val="single" w:sz="8" w:space="0" w:color="auto"/>
                    <w:right w:val="single" w:sz="4" w:space="0" w:color="FFFFFF" w:themeColor="background1"/>
                  </w:tcBorders>
                  <w:shd w:val="clear" w:color="auto" w:fill="002060"/>
                  <w:tcMar>
                    <w:top w:w="0" w:type="dxa"/>
                    <w:left w:w="108" w:type="dxa"/>
                    <w:bottom w:w="0" w:type="dxa"/>
                    <w:right w:w="108" w:type="dxa"/>
                  </w:tcMar>
                </w:tcPr>
                <w:p w14:paraId="4C62B2FB" w14:textId="77777777" w:rsidR="00BF27D6" w:rsidRPr="00AC69B4" w:rsidRDefault="00BF27D6" w:rsidP="00BF27D6">
                  <w:pPr>
                    <w:jc w:val="center"/>
                    <w:rPr>
                      <w:rFonts w:ascii="Times New Roman" w:hAnsi="Times New Roman" w:cs="Times New Roman"/>
                      <w:i/>
                      <w:sz w:val="21"/>
                      <w:szCs w:val="21"/>
                    </w:rPr>
                  </w:pPr>
                </w:p>
              </w:tc>
              <w:tc>
                <w:tcPr>
                  <w:tcW w:w="1230"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Mar>
                    <w:top w:w="0" w:type="dxa"/>
                    <w:left w:w="108" w:type="dxa"/>
                    <w:bottom w:w="0" w:type="dxa"/>
                    <w:right w:w="108" w:type="dxa"/>
                  </w:tcMar>
                  <w:hideMark/>
                </w:tcPr>
                <w:p w14:paraId="0179376E" w14:textId="77777777" w:rsidR="00BF27D6" w:rsidRPr="00AC69B4" w:rsidRDefault="00BF27D6" w:rsidP="00BF27D6">
                  <w:pPr>
                    <w:jc w:val="center"/>
                    <w:rPr>
                      <w:rFonts w:ascii="Times New Roman" w:hAnsi="Times New Roman" w:cs="Times New Roman"/>
                      <w:sz w:val="21"/>
                      <w:szCs w:val="21"/>
                    </w:rPr>
                  </w:pPr>
                  <w:r w:rsidRPr="00AC69B4">
                    <w:rPr>
                      <w:rFonts w:ascii="Times New Roman" w:hAnsi="Times New Roman" w:cs="Times New Roman"/>
                      <w:sz w:val="21"/>
                      <w:szCs w:val="21"/>
                    </w:rPr>
                    <w:t xml:space="preserve">Esošā likme </w:t>
                  </w:r>
                </w:p>
                <w:p w14:paraId="22502E2F" w14:textId="77777777" w:rsidR="00BF27D6" w:rsidRPr="00AC69B4" w:rsidRDefault="00BF27D6" w:rsidP="00BF27D6">
                  <w:pPr>
                    <w:jc w:val="center"/>
                    <w:rPr>
                      <w:rFonts w:ascii="Times New Roman" w:hAnsi="Times New Roman" w:cs="Times New Roman"/>
                      <w:b/>
                      <w:i/>
                      <w:sz w:val="21"/>
                      <w:szCs w:val="21"/>
                    </w:rPr>
                  </w:pPr>
                  <w:r w:rsidRPr="00AC69B4">
                    <w:rPr>
                      <w:rFonts w:ascii="Times New Roman" w:hAnsi="Times New Roman" w:cs="Times New Roman"/>
                      <w:b/>
                      <w:sz w:val="21"/>
                      <w:szCs w:val="21"/>
                    </w:rPr>
                    <w:t>2020.gadā</w:t>
                  </w:r>
                </w:p>
              </w:tc>
              <w:tc>
                <w:tcPr>
                  <w:tcW w:w="1316"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Mar>
                    <w:top w:w="0" w:type="dxa"/>
                    <w:left w:w="108" w:type="dxa"/>
                    <w:bottom w:w="0" w:type="dxa"/>
                    <w:right w:w="108" w:type="dxa"/>
                  </w:tcMar>
                  <w:hideMark/>
                </w:tcPr>
                <w:p w14:paraId="596B48D8" w14:textId="77777777" w:rsidR="00BF27D6" w:rsidRPr="00AC69B4" w:rsidRDefault="00BF27D6" w:rsidP="00BF27D6">
                  <w:pPr>
                    <w:jc w:val="center"/>
                    <w:rPr>
                      <w:rFonts w:ascii="Times New Roman" w:hAnsi="Times New Roman" w:cs="Times New Roman"/>
                      <w:i/>
                      <w:sz w:val="21"/>
                      <w:szCs w:val="21"/>
                    </w:rPr>
                  </w:pPr>
                  <w:r w:rsidRPr="00AC69B4">
                    <w:rPr>
                      <w:rFonts w:ascii="Times New Roman" w:hAnsi="Times New Roman" w:cs="Times New Roman"/>
                      <w:b/>
                      <w:sz w:val="21"/>
                      <w:szCs w:val="21"/>
                    </w:rPr>
                    <w:t>2021. – 2025.g.</w:t>
                  </w:r>
                </w:p>
              </w:tc>
              <w:tc>
                <w:tcPr>
                  <w:tcW w:w="951"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Pr>
                <w:p w14:paraId="0C702092" w14:textId="3D469007" w:rsidR="00BF27D6" w:rsidRPr="00AC69B4" w:rsidRDefault="00650FB4" w:rsidP="00BF27D6">
                  <w:pPr>
                    <w:jc w:val="center"/>
                    <w:rPr>
                      <w:rFonts w:ascii="Times New Roman" w:hAnsi="Times New Roman" w:cs="Times New Roman"/>
                      <w:b/>
                      <w:sz w:val="21"/>
                      <w:szCs w:val="21"/>
                    </w:rPr>
                  </w:pPr>
                  <w:r w:rsidRPr="00AC69B4">
                    <w:rPr>
                      <w:rFonts w:ascii="Times New Roman" w:hAnsi="Times New Roman" w:cs="Times New Roman"/>
                      <w:b/>
                      <w:sz w:val="21"/>
                      <w:szCs w:val="21"/>
                    </w:rPr>
                    <w:t>Sākot ar 2026.g.</w:t>
                  </w:r>
                </w:p>
              </w:tc>
            </w:tr>
            <w:tr w:rsidR="00BF27D6" w:rsidRPr="00650FB4" w14:paraId="4E807869" w14:textId="449E3BEF" w:rsidTr="00AC69B4">
              <w:trPr>
                <w:trHeight w:val="267"/>
              </w:trPr>
              <w:tc>
                <w:tcPr>
                  <w:tcW w:w="1247"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72E372D2" w14:textId="77777777" w:rsidR="00BF27D6" w:rsidRPr="00AC69B4" w:rsidRDefault="00BF27D6" w:rsidP="00BF27D6">
                  <w:pPr>
                    <w:jc w:val="both"/>
                    <w:rPr>
                      <w:rFonts w:ascii="Times New Roman" w:hAnsi="Times New Roman" w:cs="Times New Roman"/>
                      <w:sz w:val="21"/>
                      <w:szCs w:val="21"/>
                    </w:rPr>
                  </w:pPr>
                </w:p>
                <w:p w14:paraId="1AB8CD11" w14:textId="77777777" w:rsidR="00BF27D6" w:rsidRPr="00AC69B4" w:rsidRDefault="00BF27D6" w:rsidP="00BF27D6">
                  <w:pPr>
                    <w:jc w:val="both"/>
                    <w:rPr>
                      <w:rFonts w:ascii="Times New Roman" w:hAnsi="Times New Roman" w:cs="Times New Roman"/>
                      <w:sz w:val="21"/>
                      <w:szCs w:val="21"/>
                    </w:rPr>
                  </w:pPr>
                  <w:r w:rsidRPr="00AC69B4">
                    <w:rPr>
                      <w:rFonts w:ascii="Times New Roman" w:hAnsi="Times New Roman" w:cs="Times New Roman"/>
                      <w:sz w:val="21"/>
                      <w:szCs w:val="21"/>
                    </w:rPr>
                    <w:t>Dabasgāze kā degviela</w:t>
                  </w:r>
                </w:p>
              </w:tc>
              <w:tc>
                <w:tcPr>
                  <w:tcW w:w="998" w:type="dxa"/>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3E9FB282" w14:textId="77777777" w:rsidR="00BF27D6" w:rsidRPr="00AC69B4" w:rsidRDefault="00BF27D6" w:rsidP="00BF27D6">
                  <w:pPr>
                    <w:jc w:val="center"/>
                    <w:rPr>
                      <w:rFonts w:ascii="Times New Roman" w:hAnsi="Times New Roman" w:cs="Times New Roman"/>
                      <w:i/>
                      <w:sz w:val="20"/>
                      <w:szCs w:val="20"/>
                    </w:rPr>
                  </w:pPr>
                  <w:r w:rsidRPr="00AC69B4">
                    <w:rPr>
                      <w:rFonts w:ascii="Times New Roman" w:hAnsi="Times New Roman" w:cs="Times New Roman"/>
                      <w:i/>
                      <w:sz w:val="20"/>
                      <w:szCs w:val="20"/>
                    </w:rPr>
                    <w:t>par 1000 m</w:t>
                  </w:r>
                  <w:r w:rsidRPr="00AC69B4">
                    <w:rPr>
                      <w:rFonts w:ascii="Times New Roman" w:eastAsia="Times New Roman" w:hAnsi="Times New Roman" w:cs="Times New Roman"/>
                      <w:sz w:val="20"/>
                      <w:szCs w:val="20"/>
                      <w:vertAlign w:val="superscript"/>
                      <w:lang w:eastAsia="lv-LV"/>
                    </w:rPr>
                    <w:t>3</w:t>
                  </w:r>
                </w:p>
              </w:tc>
              <w:tc>
                <w:tcPr>
                  <w:tcW w:w="123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F8FFAF3" w14:textId="77777777" w:rsidR="00BF27D6" w:rsidRPr="00AC69B4" w:rsidRDefault="00BF27D6" w:rsidP="00BF27D6">
                  <w:pPr>
                    <w:jc w:val="center"/>
                    <w:rPr>
                      <w:rFonts w:ascii="Times New Roman" w:hAnsi="Times New Roman" w:cs="Times New Roman"/>
                      <w:b/>
                      <w:sz w:val="21"/>
                      <w:szCs w:val="21"/>
                    </w:rPr>
                  </w:pPr>
                  <w:r w:rsidRPr="00AC69B4">
                    <w:rPr>
                      <w:rFonts w:ascii="Times New Roman" w:hAnsi="Times New Roman" w:cs="Times New Roman"/>
                      <w:b/>
                      <w:sz w:val="21"/>
                      <w:szCs w:val="21"/>
                    </w:rPr>
                    <w:t>101</w:t>
                  </w:r>
                </w:p>
              </w:tc>
              <w:tc>
                <w:tcPr>
                  <w:tcW w:w="1316" w:type="dxa"/>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219AE7F6" w14:textId="77777777" w:rsidR="00BF27D6" w:rsidRPr="00AC69B4" w:rsidRDefault="00BF27D6" w:rsidP="00BF27D6">
                  <w:pPr>
                    <w:jc w:val="center"/>
                    <w:rPr>
                      <w:rFonts w:ascii="Times New Roman" w:hAnsi="Times New Roman" w:cs="Times New Roman"/>
                      <w:b/>
                      <w:color w:val="FF0000"/>
                      <w:sz w:val="21"/>
                      <w:szCs w:val="21"/>
                    </w:rPr>
                  </w:pPr>
                  <w:r w:rsidRPr="00AC69B4">
                    <w:rPr>
                      <w:rFonts w:ascii="Times New Roman" w:hAnsi="Times New Roman" w:cs="Times New Roman"/>
                      <w:b/>
                      <w:color w:val="FF0000"/>
                      <w:sz w:val="21"/>
                      <w:szCs w:val="21"/>
                    </w:rPr>
                    <w:t>20,00</w:t>
                  </w:r>
                </w:p>
              </w:tc>
              <w:tc>
                <w:tcPr>
                  <w:tcW w:w="951" w:type="dxa"/>
                  <w:tcBorders>
                    <w:top w:val="single" w:sz="8" w:space="0" w:color="auto"/>
                    <w:left w:val="nil"/>
                    <w:bottom w:val="single" w:sz="4" w:space="0" w:color="auto"/>
                    <w:right w:val="single" w:sz="8" w:space="0" w:color="auto"/>
                  </w:tcBorders>
                  <w:shd w:val="clear" w:color="auto" w:fill="FFFFFF" w:themeFill="background1"/>
                </w:tcPr>
                <w:p w14:paraId="056E10D3" w14:textId="0A28B9C2" w:rsidR="00BF27D6" w:rsidRPr="00AC69B4" w:rsidRDefault="00650FB4" w:rsidP="00BF27D6">
                  <w:pPr>
                    <w:jc w:val="center"/>
                    <w:rPr>
                      <w:rFonts w:ascii="Times New Roman" w:hAnsi="Times New Roman" w:cs="Times New Roman"/>
                      <w:b/>
                      <w:color w:val="FF0000"/>
                      <w:sz w:val="21"/>
                      <w:szCs w:val="21"/>
                    </w:rPr>
                  </w:pPr>
                  <w:r w:rsidRPr="00AC69B4">
                    <w:rPr>
                      <w:rFonts w:ascii="Times New Roman" w:hAnsi="Times New Roman" w:cs="Times New Roman"/>
                      <w:b/>
                      <w:color w:val="FF0000"/>
                      <w:sz w:val="21"/>
                      <w:szCs w:val="21"/>
                    </w:rPr>
                    <w:t>105</w:t>
                  </w:r>
                </w:p>
              </w:tc>
            </w:tr>
            <w:tr w:rsidR="00BF27D6" w:rsidRPr="00650FB4" w14:paraId="29C0C8FE" w14:textId="6A882FB0" w:rsidTr="00AC69B4">
              <w:trPr>
                <w:trHeight w:val="267"/>
              </w:trPr>
              <w:tc>
                <w:tcPr>
                  <w:tcW w:w="1247" w:type="dxa"/>
                  <w:vMerge/>
                  <w:tcBorders>
                    <w:left w:val="single" w:sz="8" w:space="0" w:color="auto"/>
                    <w:bottom w:val="single" w:sz="4" w:space="0" w:color="auto"/>
                    <w:right w:val="single" w:sz="8" w:space="0" w:color="auto"/>
                  </w:tcBorders>
                  <w:tcMar>
                    <w:top w:w="0" w:type="dxa"/>
                    <w:left w:w="108" w:type="dxa"/>
                    <w:bottom w:w="0" w:type="dxa"/>
                    <w:right w:w="108" w:type="dxa"/>
                  </w:tcMar>
                  <w:hideMark/>
                </w:tcPr>
                <w:p w14:paraId="31983208" w14:textId="77777777" w:rsidR="00BF27D6" w:rsidRPr="00AC69B4" w:rsidRDefault="00BF27D6" w:rsidP="00BF27D6">
                  <w:pPr>
                    <w:rPr>
                      <w:rFonts w:ascii="Times New Roman" w:hAnsi="Times New Roman" w:cs="Times New Roman"/>
                      <w:sz w:val="21"/>
                      <w:szCs w:val="21"/>
                    </w:rPr>
                  </w:pPr>
                </w:p>
              </w:tc>
              <w:tc>
                <w:tcPr>
                  <w:tcW w:w="998"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36C4273C" w14:textId="77777777" w:rsidR="00BF27D6" w:rsidRPr="00AC69B4" w:rsidRDefault="00BF27D6" w:rsidP="00BF27D6">
                  <w:pPr>
                    <w:jc w:val="center"/>
                    <w:rPr>
                      <w:rFonts w:ascii="Times New Roman" w:hAnsi="Times New Roman" w:cs="Times New Roman"/>
                      <w:i/>
                      <w:sz w:val="20"/>
                      <w:szCs w:val="20"/>
                    </w:rPr>
                  </w:pPr>
                  <w:r w:rsidRPr="00AC69B4">
                    <w:rPr>
                      <w:rFonts w:ascii="Times New Roman" w:hAnsi="Times New Roman" w:cs="Times New Roman"/>
                      <w:i/>
                      <w:sz w:val="20"/>
                      <w:szCs w:val="20"/>
                    </w:rPr>
                    <w:t xml:space="preserve">par  1 </w:t>
                  </w:r>
                  <w:proofErr w:type="spellStart"/>
                  <w:r w:rsidRPr="00AC69B4">
                    <w:rPr>
                      <w:rFonts w:ascii="Times New Roman" w:hAnsi="Times New Roman" w:cs="Times New Roman"/>
                      <w:i/>
                      <w:sz w:val="20"/>
                      <w:szCs w:val="20"/>
                    </w:rPr>
                    <w:t>MWh</w:t>
                  </w:r>
                  <w:proofErr w:type="spellEnd"/>
                </w:p>
              </w:tc>
              <w:tc>
                <w:tcPr>
                  <w:tcW w:w="12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E2209D5" w14:textId="77777777" w:rsidR="00BF27D6" w:rsidRPr="00AC69B4" w:rsidRDefault="00BF27D6" w:rsidP="00BF27D6">
                  <w:pPr>
                    <w:jc w:val="center"/>
                    <w:rPr>
                      <w:rFonts w:ascii="Times New Roman" w:hAnsi="Times New Roman" w:cs="Times New Roman"/>
                      <w:b/>
                      <w:sz w:val="20"/>
                      <w:szCs w:val="20"/>
                    </w:rPr>
                  </w:pPr>
                  <w:r w:rsidRPr="00AC69B4">
                    <w:rPr>
                      <w:rFonts w:ascii="Times New Roman" w:hAnsi="Times New Roman" w:cs="Times New Roman"/>
                      <w:b/>
                      <w:sz w:val="20"/>
                      <w:szCs w:val="20"/>
                    </w:rPr>
                    <w:t>9,64</w:t>
                  </w:r>
                </w:p>
              </w:tc>
              <w:tc>
                <w:tcPr>
                  <w:tcW w:w="1316"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1ADFEC79" w14:textId="77777777" w:rsidR="00BF27D6" w:rsidRPr="00AC69B4" w:rsidRDefault="00BF27D6" w:rsidP="00BF27D6">
                  <w:pPr>
                    <w:jc w:val="center"/>
                    <w:rPr>
                      <w:rFonts w:ascii="Times New Roman" w:hAnsi="Times New Roman" w:cs="Times New Roman"/>
                      <w:b/>
                      <w:color w:val="FF0000"/>
                      <w:sz w:val="21"/>
                      <w:szCs w:val="21"/>
                    </w:rPr>
                  </w:pPr>
                  <w:r w:rsidRPr="00AC69B4">
                    <w:rPr>
                      <w:rFonts w:ascii="Times New Roman" w:hAnsi="Times New Roman" w:cs="Times New Roman"/>
                      <w:b/>
                      <w:color w:val="FF0000"/>
                      <w:sz w:val="21"/>
                      <w:szCs w:val="21"/>
                    </w:rPr>
                    <w:t>1,91</w:t>
                  </w:r>
                </w:p>
              </w:tc>
              <w:tc>
                <w:tcPr>
                  <w:tcW w:w="951" w:type="dxa"/>
                  <w:tcBorders>
                    <w:top w:val="single" w:sz="4" w:space="0" w:color="auto"/>
                    <w:left w:val="nil"/>
                    <w:bottom w:val="single" w:sz="4" w:space="0" w:color="auto"/>
                    <w:right w:val="single" w:sz="4" w:space="0" w:color="auto"/>
                  </w:tcBorders>
                  <w:shd w:val="clear" w:color="auto" w:fill="FFFFFF" w:themeFill="background1"/>
                </w:tcPr>
                <w:p w14:paraId="059A6642" w14:textId="2605A820" w:rsidR="00BF27D6" w:rsidRPr="00AC69B4" w:rsidRDefault="00650FB4" w:rsidP="00BF27D6">
                  <w:pPr>
                    <w:jc w:val="center"/>
                    <w:rPr>
                      <w:rFonts w:ascii="Times New Roman" w:hAnsi="Times New Roman" w:cs="Times New Roman"/>
                      <w:b/>
                      <w:color w:val="FF0000"/>
                      <w:sz w:val="21"/>
                      <w:szCs w:val="21"/>
                    </w:rPr>
                  </w:pPr>
                  <w:r w:rsidRPr="00AC69B4">
                    <w:rPr>
                      <w:rFonts w:ascii="Times New Roman" w:hAnsi="Times New Roman" w:cs="Times New Roman"/>
                      <w:b/>
                      <w:color w:val="FF0000"/>
                      <w:sz w:val="21"/>
                      <w:szCs w:val="21"/>
                    </w:rPr>
                    <w:t>10</w:t>
                  </w:r>
                </w:p>
              </w:tc>
            </w:tr>
          </w:tbl>
          <w:p w14:paraId="464F4AFB" w14:textId="6CA277DB" w:rsidR="00BF27D6" w:rsidRDefault="00BF27D6" w:rsidP="00A71A5A">
            <w:pPr>
              <w:spacing w:before="120" w:after="120" w:line="240" w:lineRule="auto"/>
              <w:ind w:right="110"/>
              <w:jc w:val="both"/>
              <w:rPr>
                <w:rFonts w:ascii="Times New Roman" w:hAnsi="Times New Roman" w:cs="Times New Roman"/>
                <w:sz w:val="24"/>
                <w:szCs w:val="24"/>
              </w:rPr>
            </w:pPr>
          </w:p>
          <w:p w14:paraId="4C6ADB97" w14:textId="77777777" w:rsidR="00650FB4" w:rsidRPr="00A71A5A" w:rsidRDefault="00650FB4" w:rsidP="00650FB4">
            <w:pPr>
              <w:spacing w:before="120" w:after="120" w:line="240" w:lineRule="auto"/>
              <w:ind w:right="110"/>
              <w:jc w:val="both"/>
              <w:rPr>
                <w:rFonts w:ascii="Times New Roman" w:hAnsi="Times New Roman" w:cs="Times New Roman"/>
                <w:sz w:val="24"/>
                <w:szCs w:val="24"/>
              </w:rPr>
            </w:pPr>
            <w:r w:rsidRPr="00A71A5A">
              <w:rPr>
                <w:rFonts w:ascii="Times New Roman" w:hAnsi="Times New Roman" w:cs="Times New Roman"/>
                <w:sz w:val="24"/>
                <w:szCs w:val="24"/>
              </w:rPr>
              <w:t xml:space="preserve">2017.gada 25.aprīļa Ministru kabineta rīkojumā Nr.202 “Par Alternatīvo degvielu attīstības plānu 2017.-2020.gadam” (turpmāk – Attīstības plāns) norādīts, ka Latvijā reģistrēts mazs skaits transportlīdzekļu, kuri kā degvielu var izmantot dabasgāzi. Latvijā ir aptuveni 160 šādi transportlīdzekļi, Lietuvā – 380, Igaunijā – 400, Polijā – 3600 (2019.gada dati).  Lai arī šādu transportlīdzekļu radītās  emisijas ir būtiski zemākas (līdz pat 25%), nekā dīzeļdegvielai, šie transportlīdzekļi nav izplatīti, jo tiem nepieciešamā infrastruktūra Latvijā nav attīstīta. </w:t>
            </w:r>
            <w:r>
              <w:rPr>
                <w:rFonts w:ascii="Times New Roman" w:hAnsi="Times New Roman" w:cs="Times New Roman"/>
                <w:sz w:val="24"/>
                <w:szCs w:val="24"/>
              </w:rPr>
              <w:t>Tāpat Attīstības plānā konstatēts, ka d</w:t>
            </w:r>
            <w:r w:rsidRPr="00861358">
              <w:rPr>
                <w:rFonts w:ascii="Times New Roman" w:hAnsi="Times New Roman" w:cs="Times New Roman"/>
                <w:sz w:val="24"/>
                <w:szCs w:val="24"/>
              </w:rPr>
              <w:t xml:space="preserve">abasgāzei kā alternatīvās degvielas veidam </w:t>
            </w:r>
            <w:r>
              <w:rPr>
                <w:rFonts w:ascii="Times New Roman" w:hAnsi="Times New Roman" w:cs="Times New Roman"/>
                <w:sz w:val="24"/>
                <w:szCs w:val="24"/>
              </w:rPr>
              <w:t>uzmanību pievērsuši</w:t>
            </w:r>
            <w:r w:rsidRPr="00861358">
              <w:rPr>
                <w:rFonts w:ascii="Times New Roman" w:hAnsi="Times New Roman" w:cs="Times New Roman"/>
                <w:sz w:val="24"/>
                <w:szCs w:val="24"/>
              </w:rPr>
              <w:t xml:space="preserve"> Eiropas vadošie autoražotāji. </w:t>
            </w:r>
            <w:r>
              <w:rPr>
                <w:rFonts w:ascii="Times New Roman" w:hAnsi="Times New Roman" w:cs="Times New Roman"/>
                <w:sz w:val="24"/>
                <w:szCs w:val="24"/>
              </w:rPr>
              <w:t>Jau 2017.gadā</w:t>
            </w:r>
            <w:r w:rsidRPr="00861358">
              <w:rPr>
                <w:rFonts w:ascii="Times New Roman" w:hAnsi="Times New Roman" w:cs="Times New Roman"/>
                <w:sz w:val="24"/>
                <w:szCs w:val="24"/>
              </w:rPr>
              <w:t xml:space="preserve"> ar </w:t>
            </w:r>
            <w:r>
              <w:rPr>
                <w:rFonts w:ascii="Times New Roman" w:hAnsi="Times New Roman" w:cs="Times New Roman"/>
                <w:sz w:val="24"/>
                <w:szCs w:val="24"/>
              </w:rPr>
              <w:t xml:space="preserve">saspiestās </w:t>
            </w:r>
            <w:r w:rsidRPr="00C14386">
              <w:rPr>
                <w:rFonts w:ascii="Times New Roman" w:hAnsi="Times New Roman" w:cs="Times New Roman"/>
                <w:sz w:val="24"/>
                <w:szCs w:val="24"/>
              </w:rPr>
              <w:t xml:space="preserve">dabasgāzes </w:t>
            </w:r>
            <w:r>
              <w:rPr>
                <w:rFonts w:ascii="Times New Roman" w:hAnsi="Times New Roman" w:cs="Times New Roman"/>
                <w:sz w:val="24"/>
                <w:szCs w:val="24"/>
              </w:rPr>
              <w:t xml:space="preserve">(turpmāk – CNG) </w:t>
            </w:r>
            <w:r w:rsidRPr="00861358">
              <w:rPr>
                <w:rFonts w:ascii="Times New Roman" w:hAnsi="Times New Roman" w:cs="Times New Roman"/>
                <w:sz w:val="24"/>
                <w:szCs w:val="24"/>
              </w:rPr>
              <w:t xml:space="preserve">darbināmu transportlīdzekļu piedāvājumā </w:t>
            </w:r>
            <w:r>
              <w:rPr>
                <w:rFonts w:ascii="Times New Roman" w:hAnsi="Times New Roman" w:cs="Times New Roman"/>
                <w:sz w:val="24"/>
                <w:szCs w:val="24"/>
              </w:rPr>
              <w:t>bija</w:t>
            </w:r>
            <w:r w:rsidRPr="00861358">
              <w:rPr>
                <w:rFonts w:ascii="Times New Roman" w:hAnsi="Times New Roman" w:cs="Times New Roman"/>
                <w:sz w:val="24"/>
                <w:szCs w:val="24"/>
              </w:rPr>
              <w:t xml:space="preserve"> vairāk kā 50 pasažieru transportlīdzekļi un vieglie </w:t>
            </w:r>
            <w:proofErr w:type="spellStart"/>
            <w:r w:rsidRPr="00861358">
              <w:rPr>
                <w:rFonts w:ascii="Times New Roman" w:hAnsi="Times New Roman" w:cs="Times New Roman"/>
                <w:sz w:val="24"/>
                <w:szCs w:val="24"/>
              </w:rPr>
              <w:t>komerctransportlīdzekļi</w:t>
            </w:r>
            <w:proofErr w:type="spellEnd"/>
            <w:r w:rsidRPr="00861358">
              <w:rPr>
                <w:rFonts w:ascii="Times New Roman" w:hAnsi="Times New Roman" w:cs="Times New Roman"/>
                <w:sz w:val="24"/>
                <w:szCs w:val="24"/>
              </w:rPr>
              <w:t xml:space="preserve"> (Fiat, </w:t>
            </w:r>
            <w:proofErr w:type="spellStart"/>
            <w:r w:rsidRPr="00861358">
              <w:rPr>
                <w:rFonts w:ascii="Times New Roman" w:hAnsi="Times New Roman" w:cs="Times New Roman"/>
                <w:sz w:val="24"/>
                <w:szCs w:val="24"/>
              </w:rPr>
              <w:t>Lancia</w:t>
            </w:r>
            <w:proofErr w:type="spellEnd"/>
            <w:r w:rsidRPr="00861358">
              <w:rPr>
                <w:rFonts w:ascii="Times New Roman" w:hAnsi="Times New Roman" w:cs="Times New Roman"/>
                <w:sz w:val="24"/>
                <w:szCs w:val="24"/>
              </w:rPr>
              <w:t xml:space="preserve">, </w:t>
            </w:r>
            <w:proofErr w:type="spellStart"/>
            <w:r w:rsidRPr="00861358">
              <w:rPr>
                <w:rFonts w:ascii="Times New Roman" w:hAnsi="Times New Roman" w:cs="Times New Roman"/>
                <w:sz w:val="24"/>
                <w:szCs w:val="24"/>
              </w:rPr>
              <w:t>Mercedes</w:t>
            </w:r>
            <w:proofErr w:type="spellEnd"/>
            <w:r w:rsidRPr="00861358">
              <w:rPr>
                <w:rFonts w:ascii="Times New Roman" w:hAnsi="Times New Roman" w:cs="Times New Roman"/>
                <w:sz w:val="24"/>
                <w:szCs w:val="24"/>
              </w:rPr>
              <w:t xml:space="preserve">, Iveco, </w:t>
            </w:r>
            <w:proofErr w:type="spellStart"/>
            <w:r w:rsidRPr="00861358">
              <w:rPr>
                <w:rFonts w:ascii="Times New Roman" w:hAnsi="Times New Roman" w:cs="Times New Roman"/>
                <w:sz w:val="24"/>
                <w:szCs w:val="24"/>
              </w:rPr>
              <w:t>Volkswagen</w:t>
            </w:r>
            <w:proofErr w:type="spellEnd"/>
            <w:r w:rsidRPr="00861358">
              <w:rPr>
                <w:rFonts w:ascii="Times New Roman" w:hAnsi="Times New Roman" w:cs="Times New Roman"/>
                <w:sz w:val="24"/>
                <w:szCs w:val="24"/>
              </w:rPr>
              <w:t xml:space="preserve">, Audi, </w:t>
            </w:r>
            <w:proofErr w:type="spellStart"/>
            <w:r w:rsidRPr="00861358">
              <w:rPr>
                <w:rFonts w:ascii="Times New Roman" w:hAnsi="Times New Roman" w:cs="Times New Roman"/>
                <w:sz w:val="24"/>
                <w:szCs w:val="24"/>
              </w:rPr>
              <w:t>Seat</w:t>
            </w:r>
            <w:proofErr w:type="spellEnd"/>
            <w:r w:rsidRPr="00861358">
              <w:rPr>
                <w:rFonts w:ascii="Times New Roman" w:hAnsi="Times New Roman" w:cs="Times New Roman"/>
                <w:sz w:val="24"/>
                <w:szCs w:val="24"/>
              </w:rPr>
              <w:t xml:space="preserve">, Skoda, </w:t>
            </w:r>
            <w:proofErr w:type="spellStart"/>
            <w:r w:rsidRPr="00861358">
              <w:rPr>
                <w:rFonts w:ascii="Times New Roman" w:hAnsi="Times New Roman" w:cs="Times New Roman"/>
                <w:sz w:val="24"/>
                <w:szCs w:val="24"/>
              </w:rPr>
              <w:t>Opel</w:t>
            </w:r>
            <w:proofErr w:type="spellEnd"/>
            <w:r w:rsidRPr="00861358">
              <w:rPr>
                <w:rFonts w:ascii="Times New Roman" w:hAnsi="Times New Roman" w:cs="Times New Roman"/>
                <w:sz w:val="24"/>
                <w:szCs w:val="24"/>
              </w:rPr>
              <w:t xml:space="preserve"> un Volvo).</w:t>
            </w:r>
            <w:r>
              <w:rPr>
                <w:rFonts w:ascii="Times New Roman" w:hAnsi="Times New Roman" w:cs="Times New Roman"/>
                <w:sz w:val="24"/>
                <w:szCs w:val="24"/>
              </w:rPr>
              <w:t xml:space="preserve"> </w:t>
            </w:r>
            <w:r w:rsidRPr="00A71A5A">
              <w:rPr>
                <w:rFonts w:ascii="Times New Roman" w:hAnsi="Times New Roman" w:cs="Times New Roman"/>
                <w:sz w:val="24"/>
                <w:szCs w:val="24"/>
              </w:rPr>
              <w:t>Attīstības plānā arī ir secināts, ka Latvijā dabasgāzes izmantošana transportā ir maz attīstīta, jo nav pietiekams valsts atbalsts. Šobrīd Latvijā ekspluatācijā nodotas  div</w:t>
            </w:r>
            <w:r>
              <w:rPr>
                <w:rFonts w:ascii="Times New Roman" w:hAnsi="Times New Roman" w:cs="Times New Roman"/>
                <w:sz w:val="24"/>
                <w:szCs w:val="24"/>
              </w:rPr>
              <w:t>i</w:t>
            </w:r>
            <w:r w:rsidRPr="00A71A5A">
              <w:rPr>
                <w:rFonts w:ascii="Times New Roman" w:hAnsi="Times New Roman" w:cs="Times New Roman"/>
                <w:sz w:val="24"/>
                <w:szCs w:val="24"/>
              </w:rPr>
              <w:t xml:space="preserve"> publiski pieejam</w:t>
            </w:r>
            <w:r>
              <w:rPr>
                <w:rFonts w:ascii="Times New Roman" w:hAnsi="Times New Roman" w:cs="Times New Roman"/>
                <w:sz w:val="24"/>
                <w:szCs w:val="24"/>
              </w:rPr>
              <w:t>ie</w:t>
            </w:r>
            <w:r w:rsidRPr="00A71A5A">
              <w:rPr>
                <w:rFonts w:ascii="Times New Roman" w:hAnsi="Times New Roman" w:cs="Times New Roman"/>
                <w:sz w:val="24"/>
                <w:szCs w:val="24"/>
              </w:rPr>
              <w:t xml:space="preserve"> CNG  un viens privātais CNG </w:t>
            </w:r>
            <w:proofErr w:type="spellStart"/>
            <w:r w:rsidRPr="00A71A5A">
              <w:rPr>
                <w:rFonts w:ascii="Times New Roman" w:hAnsi="Times New Roman" w:cs="Times New Roman"/>
                <w:sz w:val="24"/>
                <w:szCs w:val="24"/>
              </w:rPr>
              <w:t>uzpildes</w:t>
            </w:r>
            <w:proofErr w:type="spellEnd"/>
            <w:r w:rsidRPr="00A71A5A">
              <w:rPr>
                <w:rFonts w:ascii="Times New Roman" w:hAnsi="Times New Roman" w:cs="Times New Roman"/>
                <w:sz w:val="24"/>
                <w:szCs w:val="24"/>
              </w:rPr>
              <w:t xml:space="preserve"> punkts, savukārt kaimiņvalstīs ir jau attīstīti publisko staciju tīkli.   </w:t>
            </w:r>
          </w:p>
          <w:p w14:paraId="0698C25D" w14:textId="77777777" w:rsidR="00650FB4" w:rsidRDefault="00650FB4" w:rsidP="00650FB4">
            <w:pPr>
              <w:spacing w:before="120" w:after="120" w:line="240" w:lineRule="auto"/>
              <w:ind w:right="110"/>
              <w:jc w:val="both"/>
              <w:rPr>
                <w:rFonts w:ascii="Times New Roman" w:hAnsi="Times New Roman" w:cs="Times New Roman"/>
                <w:sz w:val="24"/>
                <w:szCs w:val="24"/>
              </w:rPr>
            </w:pPr>
            <w:r>
              <w:rPr>
                <w:rFonts w:ascii="Times New Roman" w:hAnsi="Times New Roman" w:cs="Times New Roman"/>
                <w:sz w:val="24"/>
                <w:szCs w:val="24"/>
              </w:rPr>
              <w:t xml:space="preserve">Likumprojektā paredzētā regulējuma pieņemšana ir nepieciešama, lai </w:t>
            </w:r>
            <w:r w:rsidRPr="005E64E3">
              <w:rPr>
                <w:rFonts w:ascii="Times New Roman" w:hAnsi="Times New Roman" w:cs="Times New Roman"/>
                <w:sz w:val="24"/>
                <w:szCs w:val="24"/>
              </w:rPr>
              <w:t>veicināt</w:t>
            </w:r>
            <w:r>
              <w:rPr>
                <w:rFonts w:ascii="Times New Roman" w:hAnsi="Times New Roman" w:cs="Times New Roman"/>
                <w:sz w:val="24"/>
                <w:szCs w:val="24"/>
              </w:rPr>
              <w:t>u</w:t>
            </w:r>
            <w:r w:rsidRPr="005E64E3">
              <w:rPr>
                <w:rFonts w:ascii="Times New Roman" w:hAnsi="Times New Roman" w:cs="Times New Roman"/>
                <w:sz w:val="24"/>
                <w:szCs w:val="24"/>
              </w:rPr>
              <w:t xml:space="preserve"> </w:t>
            </w:r>
            <w:r>
              <w:rPr>
                <w:rFonts w:ascii="Times New Roman" w:hAnsi="Times New Roman" w:cs="Times New Roman"/>
                <w:sz w:val="24"/>
                <w:szCs w:val="24"/>
              </w:rPr>
              <w:t xml:space="preserve">CNG </w:t>
            </w:r>
            <w:proofErr w:type="spellStart"/>
            <w:r>
              <w:rPr>
                <w:rFonts w:ascii="Times New Roman" w:hAnsi="Times New Roman" w:cs="Times New Roman"/>
                <w:sz w:val="24"/>
                <w:szCs w:val="24"/>
              </w:rPr>
              <w:t>uzpildes</w:t>
            </w:r>
            <w:proofErr w:type="spellEnd"/>
            <w:r>
              <w:rPr>
                <w:rFonts w:ascii="Times New Roman" w:hAnsi="Times New Roman" w:cs="Times New Roman"/>
                <w:sz w:val="24"/>
                <w:szCs w:val="24"/>
              </w:rPr>
              <w:t xml:space="preserve"> punktu izveidi Latvijas teritorijā transportlīdzekļiem, kuros kā degvielu izmanto dabasgāzi, un siltumnīcefekta gāzu emisiju samazināšanu transportā, kā arī lai veicinātu pakāpenisku pāreju uz videi draudzīgākas un gaisa kvalitāti mazāk ietekmējošas degvielas izmantošanu</w:t>
            </w:r>
            <w:r w:rsidRPr="00C14386">
              <w:rPr>
                <w:rFonts w:ascii="Times New Roman" w:hAnsi="Times New Roman" w:cs="Times New Roman"/>
                <w:sz w:val="24"/>
                <w:szCs w:val="24"/>
              </w:rPr>
              <w:t xml:space="preserve">. </w:t>
            </w:r>
            <w:r w:rsidRPr="005E64E3">
              <w:rPr>
                <w:rFonts w:ascii="Times New Roman" w:hAnsi="Times New Roman" w:cs="Times New Roman"/>
                <w:sz w:val="24"/>
                <w:szCs w:val="24"/>
              </w:rPr>
              <w:t>Viens no risinājumiem</w:t>
            </w:r>
            <w:r>
              <w:rPr>
                <w:rFonts w:ascii="Times New Roman" w:hAnsi="Times New Roman" w:cs="Times New Roman"/>
                <w:sz w:val="24"/>
                <w:szCs w:val="24"/>
              </w:rPr>
              <w:t xml:space="preserve">, </w:t>
            </w:r>
            <w:r w:rsidRPr="005E64E3">
              <w:rPr>
                <w:rFonts w:ascii="Times New Roman" w:hAnsi="Times New Roman" w:cs="Times New Roman"/>
                <w:sz w:val="24"/>
                <w:szCs w:val="24"/>
              </w:rPr>
              <w:t>kā izvirzīto mērķi sasniegt</w:t>
            </w:r>
            <w:r>
              <w:rPr>
                <w:rFonts w:ascii="Times New Roman" w:hAnsi="Times New Roman" w:cs="Times New Roman"/>
                <w:sz w:val="24"/>
                <w:szCs w:val="24"/>
              </w:rPr>
              <w:t>,</w:t>
            </w:r>
            <w:r w:rsidRPr="005E64E3">
              <w:rPr>
                <w:rFonts w:ascii="Times New Roman" w:hAnsi="Times New Roman" w:cs="Times New Roman"/>
                <w:sz w:val="24"/>
                <w:szCs w:val="24"/>
              </w:rPr>
              <w:t xml:space="preserve"> ir </w:t>
            </w:r>
            <w:r>
              <w:rPr>
                <w:rFonts w:ascii="Times New Roman" w:hAnsi="Times New Roman" w:cs="Times New Roman"/>
                <w:sz w:val="24"/>
                <w:szCs w:val="24"/>
              </w:rPr>
              <w:t xml:space="preserve">ievērojams terminētais </w:t>
            </w:r>
            <w:r w:rsidRPr="005E64E3">
              <w:rPr>
                <w:rFonts w:ascii="Times New Roman" w:hAnsi="Times New Roman" w:cs="Times New Roman"/>
                <w:sz w:val="24"/>
                <w:szCs w:val="24"/>
              </w:rPr>
              <w:t xml:space="preserve">akcīzes nodokļa </w:t>
            </w:r>
            <w:r>
              <w:rPr>
                <w:rFonts w:ascii="Times New Roman" w:hAnsi="Times New Roman" w:cs="Times New Roman"/>
                <w:sz w:val="24"/>
                <w:szCs w:val="24"/>
              </w:rPr>
              <w:t>samazinājums</w:t>
            </w:r>
            <w:r w:rsidRPr="005E64E3">
              <w:rPr>
                <w:rFonts w:ascii="Times New Roman" w:hAnsi="Times New Roman" w:cs="Times New Roman"/>
                <w:sz w:val="24"/>
                <w:szCs w:val="24"/>
              </w:rPr>
              <w:t xml:space="preserve"> dabasgāzei, kuru izmanto kā transporta degvielu. </w:t>
            </w:r>
            <w:r>
              <w:rPr>
                <w:rFonts w:ascii="Times New Roman" w:hAnsi="Times New Roman" w:cs="Times New Roman"/>
                <w:sz w:val="24"/>
                <w:szCs w:val="24"/>
              </w:rPr>
              <w:t xml:space="preserve"> </w:t>
            </w:r>
          </w:p>
          <w:p w14:paraId="2FDD008D" w14:textId="73906A31" w:rsidR="00650FB4" w:rsidRDefault="0042647B" w:rsidP="00C764FD">
            <w:pPr>
              <w:tabs>
                <w:tab w:val="left" w:pos="1140"/>
              </w:tabs>
              <w:spacing w:before="120" w:after="120" w:line="240" w:lineRule="auto"/>
              <w:ind w:right="110"/>
              <w:jc w:val="both"/>
              <w:rPr>
                <w:rFonts w:ascii="Times New Roman" w:hAnsi="Times New Roman" w:cs="Times New Roman"/>
                <w:sz w:val="24"/>
                <w:szCs w:val="24"/>
              </w:rPr>
            </w:pPr>
            <w:r>
              <w:rPr>
                <w:rFonts w:ascii="Times New Roman" w:hAnsi="Times New Roman" w:cs="Times New Roman"/>
                <w:sz w:val="24"/>
                <w:szCs w:val="24"/>
              </w:rPr>
              <w:tab/>
            </w:r>
          </w:p>
          <w:p w14:paraId="38AADBA4" w14:textId="68F16ABF" w:rsidR="00C51CC4" w:rsidRDefault="00C51CC4" w:rsidP="00C51CC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Lai nodrošinātu Eiropas Parlamenta un Padomes Direktīvas 2014/94/ES (2014. gada 22. oktobris) par </w:t>
            </w:r>
            <w:r w:rsidRPr="00D542A9">
              <w:rPr>
                <w:rFonts w:ascii="Times New Roman" w:hAnsi="Times New Roman" w:cs="Times New Roman"/>
                <w:sz w:val="24"/>
                <w:szCs w:val="24"/>
              </w:rPr>
              <w:t xml:space="preserve">alternatīvo degvielas infrastruktūras ieviešanu (turpmāk </w:t>
            </w:r>
            <w:r>
              <w:rPr>
                <w:rFonts w:ascii="Times New Roman" w:hAnsi="Times New Roman" w:cs="Times New Roman"/>
                <w:sz w:val="24"/>
                <w:szCs w:val="24"/>
              </w:rPr>
              <w:t>–</w:t>
            </w:r>
            <w:r w:rsidRPr="00D542A9">
              <w:rPr>
                <w:rFonts w:ascii="Times New Roman" w:hAnsi="Times New Roman" w:cs="Times New Roman"/>
                <w:sz w:val="24"/>
                <w:szCs w:val="24"/>
              </w:rPr>
              <w:t xml:space="preserve"> Direktīva) 6. pantā dalībvalstij noteikto infrastruktūras attīstības prasību īstenošanu, kā arī, lai samazinātu gaisa piesārņojumu</w:t>
            </w:r>
            <w:r>
              <w:rPr>
                <w:rFonts w:ascii="Times New Roman" w:hAnsi="Times New Roman" w:cs="Times New Roman"/>
                <w:sz w:val="24"/>
                <w:szCs w:val="24"/>
              </w:rPr>
              <w:t xml:space="preserve"> un uzlabotu </w:t>
            </w:r>
            <w:r w:rsidRPr="006E5015">
              <w:rPr>
                <w:rFonts w:ascii="Times New Roman" w:hAnsi="Times New Roman" w:cs="Times New Roman"/>
                <w:sz w:val="24"/>
                <w:szCs w:val="24"/>
              </w:rPr>
              <w:t xml:space="preserve">gaisa kvalitāti pilsētās, palīdzot virzīties pretī </w:t>
            </w:r>
            <w:r w:rsidRPr="0024268E">
              <w:rPr>
                <w:rFonts w:ascii="Times New Roman" w:hAnsi="Times New Roman" w:cs="Times New Roman"/>
                <w:sz w:val="24"/>
                <w:szCs w:val="24"/>
              </w:rPr>
              <w:t>Eiropas Savienības klimata</w:t>
            </w:r>
            <w:r w:rsidRPr="006E5015">
              <w:rPr>
                <w:rFonts w:ascii="Times New Roman" w:hAnsi="Times New Roman" w:cs="Times New Roman"/>
                <w:sz w:val="24"/>
                <w:szCs w:val="24"/>
              </w:rPr>
              <w:t xml:space="preserve"> mērķiem.</w:t>
            </w:r>
            <w:r>
              <w:rPr>
                <w:rFonts w:ascii="Times New Roman" w:hAnsi="Times New Roman" w:cs="Times New Roman"/>
                <w:sz w:val="24"/>
                <w:szCs w:val="24"/>
              </w:rPr>
              <w:t xml:space="preserve"> </w:t>
            </w:r>
            <w:r w:rsidRPr="00E06132">
              <w:rPr>
                <w:rFonts w:ascii="Times New Roman" w:hAnsi="Times New Roman" w:cs="Times New Roman"/>
                <w:sz w:val="24"/>
                <w:szCs w:val="24"/>
              </w:rPr>
              <w:t xml:space="preserve">CNG ir viena no labākajām alternatīvām dīzeļdegvielai, lai </w:t>
            </w:r>
            <w:proofErr w:type="spellStart"/>
            <w:r w:rsidRPr="00E06132">
              <w:rPr>
                <w:rFonts w:ascii="Times New Roman" w:hAnsi="Times New Roman" w:cs="Times New Roman"/>
                <w:sz w:val="24"/>
                <w:szCs w:val="24"/>
              </w:rPr>
              <w:t>dekarbonizētu</w:t>
            </w:r>
            <w:proofErr w:type="spellEnd"/>
            <w:r w:rsidRPr="00E06132">
              <w:rPr>
                <w:rFonts w:ascii="Times New Roman" w:hAnsi="Times New Roman" w:cs="Times New Roman"/>
                <w:sz w:val="24"/>
                <w:szCs w:val="24"/>
              </w:rPr>
              <w:t xml:space="preserve"> kravas transportlīdzekļu segmentu, kura dekarbonizācija ar citiem instrumentiem vidējā termiņā nebūs iespējama, bet ir atbildīga par aptuveni 50% no visām </w:t>
            </w:r>
            <w:r>
              <w:rPr>
                <w:rFonts w:ascii="Times New Roman" w:hAnsi="Times New Roman" w:cs="Times New Roman"/>
                <w:sz w:val="24"/>
                <w:szCs w:val="24"/>
              </w:rPr>
              <w:t>SEG</w:t>
            </w:r>
            <w:r w:rsidRPr="00E06132">
              <w:rPr>
                <w:rFonts w:ascii="Times New Roman" w:hAnsi="Times New Roman" w:cs="Times New Roman"/>
                <w:sz w:val="24"/>
                <w:szCs w:val="24"/>
              </w:rPr>
              <w:t xml:space="preserve"> emisijām, kas radītas ceļu transportā.</w:t>
            </w:r>
          </w:p>
          <w:p w14:paraId="31C46906" w14:textId="77777777" w:rsidR="00C51CC4" w:rsidRPr="00477F5E" w:rsidRDefault="00C51CC4" w:rsidP="00C51CC4">
            <w:pPr>
              <w:spacing w:before="120" w:after="120" w:line="240" w:lineRule="auto"/>
              <w:ind w:right="110"/>
              <w:jc w:val="both"/>
              <w:rPr>
                <w:rFonts w:ascii="Times New Roman" w:hAnsi="Times New Roman" w:cs="Times New Roman"/>
                <w:sz w:val="24"/>
                <w:szCs w:val="24"/>
              </w:rPr>
            </w:pPr>
            <w:r w:rsidRPr="00477F5E">
              <w:rPr>
                <w:rFonts w:ascii="Times New Roman" w:hAnsi="Times New Roman" w:cs="Times New Roman"/>
                <w:sz w:val="24"/>
                <w:szCs w:val="24"/>
              </w:rPr>
              <w:t xml:space="preserve">Lai izpildītu Direktīvā noteiktās prasības, kā viens no pasākumiem dabasgāzes kā degvielas izmantošanas veicināšanai Latvijā ir dabasgāzei, kuru izmanto kā transporta degvielu, akcīzes nodokļa samazinājums. </w:t>
            </w:r>
          </w:p>
          <w:p w14:paraId="0DB8F920" w14:textId="1F74A145" w:rsidR="00C51CC4" w:rsidRPr="00E06132" w:rsidRDefault="00650FB4" w:rsidP="00A71A5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Papildus</w:t>
            </w:r>
            <w:r w:rsidR="00C51CC4">
              <w:rPr>
                <w:rFonts w:ascii="Times New Roman" w:hAnsi="Times New Roman" w:cs="Times New Roman"/>
                <w:sz w:val="24"/>
                <w:szCs w:val="24"/>
              </w:rPr>
              <w:t xml:space="preserve">, likumprojekta ieviešana nepieciešama, lai īstenotu 2019.gada janvāra Deklarācijas par Artura Krišjāņa Kariņa vadītā Ministru kabineta iecerēto darbību 36.punktā izvirzīto mērķi un veicinātu infrastruktūras attīstību preču un cilvēku mobilitātei. </w:t>
            </w:r>
            <w:r w:rsidR="00C51CC4" w:rsidRPr="00E06132">
              <w:rPr>
                <w:rFonts w:ascii="Times New Roman" w:hAnsi="Times New Roman" w:cs="Times New Roman"/>
                <w:sz w:val="24"/>
                <w:szCs w:val="24"/>
              </w:rPr>
              <w:t xml:space="preserve">Alternatīvo degvielu infrastruktūra Eiropas Savienības mērogā netiek attīstīta saskaņoti. Ir jāizbūvē jauni infrastruktūras tīkli, piemēram, elektroenerģijai, dabasgāzei un attiecīgos gadījumos </w:t>
            </w:r>
            <w:r w:rsidR="00C51CC4">
              <w:rPr>
                <w:rFonts w:ascii="Times New Roman" w:hAnsi="Times New Roman" w:cs="Times New Roman"/>
                <w:sz w:val="24"/>
                <w:szCs w:val="24"/>
              </w:rPr>
              <w:t xml:space="preserve">- </w:t>
            </w:r>
            <w:r w:rsidR="00C51CC4" w:rsidRPr="00E06132">
              <w:rPr>
                <w:rFonts w:ascii="Times New Roman" w:hAnsi="Times New Roman" w:cs="Times New Roman"/>
                <w:sz w:val="24"/>
                <w:szCs w:val="24"/>
              </w:rPr>
              <w:t xml:space="preserve">ūdeņradim. Ir svarīgi atzīt katras degvielas tehnoloģijas un ar to saistītās infrastruktūras attīstības dažādos posmus, tostarp uzņēmējdarbības modeļu briedumu saistībā ar privātajiem ieguldītājiem un alternatīvo degvielu pieejamību un </w:t>
            </w:r>
            <w:proofErr w:type="spellStart"/>
            <w:r w:rsidR="00C51CC4" w:rsidRPr="00E06132">
              <w:rPr>
                <w:rFonts w:ascii="Times New Roman" w:hAnsi="Times New Roman" w:cs="Times New Roman"/>
                <w:sz w:val="24"/>
                <w:szCs w:val="24"/>
              </w:rPr>
              <w:t>pieņemamību</w:t>
            </w:r>
            <w:proofErr w:type="spellEnd"/>
            <w:r w:rsidR="00C51CC4" w:rsidRPr="00E06132">
              <w:rPr>
                <w:rFonts w:ascii="Times New Roman" w:hAnsi="Times New Roman" w:cs="Times New Roman"/>
                <w:sz w:val="24"/>
                <w:szCs w:val="24"/>
              </w:rPr>
              <w:t xml:space="preserve"> lietotājiem. Būtu jānodrošina tehnoloģiskā neitralitāte, un valsts politikas regulējumos būtu pienācīgi jāņem vērā prasība atbalstīt alternatīvo degvielu komerciālo attīstību. </w:t>
            </w:r>
          </w:p>
          <w:p w14:paraId="0C39EC3D" w14:textId="77777777" w:rsidR="00C51CC4" w:rsidRPr="00E06132" w:rsidRDefault="00C51CC4" w:rsidP="00A71A5A">
            <w:pPr>
              <w:spacing w:before="120" w:after="120" w:line="240" w:lineRule="auto"/>
              <w:jc w:val="both"/>
              <w:rPr>
                <w:rFonts w:ascii="Times New Roman" w:hAnsi="Times New Roman" w:cs="Times New Roman"/>
                <w:sz w:val="24"/>
                <w:szCs w:val="24"/>
              </w:rPr>
            </w:pPr>
            <w:r w:rsidRPr="00E06132">
              <w:rPr>
                <w:rFonts w:ascii="Times New Roman" w:hAnsi="Times New Roman" w:cs="Times New Roman"/>
                <w:sz w:val="24"/>
                <w:szCs w:val="24"/>
              </w:rPr>
              <w:t xml:space="preserve">Dabasgāzes izmantošana  transportā sniedz būtiskas priekšrocības vides aizsardzības kontekstā, jo īpaši tad, kad tā tiek lietota kombinācijā ar </w:t>
            </w:r>
            <w:proofErr w:type="spellStart"/>
            <w:r w:rsidRPr="00E06132">
              <w:rPr>
                <w:rFonts w:ascii="Times New Roman" w:hAnsi="Times New Roman" w:cs="Times New Roman"/>
                <w:sz w:val="24"/>
                <w:szCs w:val="24"/>
              </w:rPr>
              <w:t>biometānu</w:t>
            </w:r>
            <w:proofErr w:type="spellEnd"/>
            <w:r w:rsidRPr="00E06132">
              <w:rPr>
                <w:rFonts w:ascii="Times New Roman" w:hAnsi="Times New Roman" w:cs="Times New Roman"/>
                <w:sz w:val="24"/>
                <w:szCs w:val="24"/>
              </w:rPr>
              <w:t xml:space="preserve">, kas ievērojami ļauj samazināt SEG emisijas un paaugstināt atjaunojamo energoresursu īpatsvaru transporta sektora </w:t>
            </w:r>
            <w:proofErr w:type="spellStart"/>
            <w:r w:rsidRPr="00E06132">
              <w:rPr>
                <w:rFonts w:ascii="Times New Roman" w:hAnsi="Times New Roman" w:cs="Times New Roman"/>
                <w:sz w:val="24"/>
                <w:szCs w:val="24"/>
              </w:rPr>
              <w:t>galapatēriņā</w:t>
            </w:r>
            <w:proofErr w:type="spellEnd"/>
            <w:r w:rsidRPr="00E06132">
              <w:rPr>
                <w:rFonts w:ascii="Times New Roman" w:hAnsi="Times New Roman" w:cs="Times New Roman"/>
                <w:sz w:val="24"/>
                <w:szCs w:val="24"/>
              </w:rPr>
              <w:t xml:space="preserve">. Atbilstoši 2018.gada 21.decembra Eiropas Parlamenta un Padomes </w:t>
            </w:r>
            <w:r>
              <w:rPr>
                <w:rFonts w:ascii="Times New Roman" w:hAnsi="Times New Roman" w:cs="Times New Roman"/>
                <w:sz w:val="24"/>
                <w:szCs w:val="24"/>
              </w:rPr>
              <w:t>D</w:t>
            </w:r>
            <w:r w:rsidRPr="00E06132">
              <w:rPr>
                <w:rFonts w:ascii="Times New Roman" w:hAnsi="Times New Roman" w:cs="Times New Roman"/>
                <w:sz w:val="24"/>
                <w:szCs w:val="24"/>
              </w:rPr>
              <w:t>irektīvai Nr.2018/2001 par no atjaunojamajiem energoresursiem iegūtas enerģijas izmantošanas veicināšanu 25.panta prasībām</w:t>
            </w:r>
            <w:r>
              <w:rPr>
                <w:rFonts w:ascii="Times New Roman" w:hAnsi="Times New Roman" w:cs="Times New Roman"/>
                <w:sz w:val="24"/>
                <w:szCs w:val="24"/>
              </w:rPr>
              <w:t>,</w:t>
            </w:r>
            <w:r w:rsidRPr="00E06132">
              <w:rPr>
                <w:rFonts w:ascii="Times New Roman" w:hAnsi="Times New Roman" w:cs="Times New Roman"/>
                <w:sz w:val="24"/>
                <w:szCs w:val="24"/>
              </w:rPr>
              <w:t xml:space="preserve"> Latvijai no 2022.gada būs jānodrošina zināms tā saucamo moderno biodegvielu (piemēram, </w:t>
            </w:r>
            <w:proofErr w:type="spellStart"/>
            <w:r w:rsidRPr="00E06132">
              <w:rPr>
                <w:rFonts w:ascii="Times New Roman" w:hAnsi="Times New Roman" w:cs="Times New Roman"/>
                <w:sz w:val="24"/>
                <w:szCs w:val="24"/>
              </w:rPr>
              <w:t>biometāna</w:t>
            </w:r>
            <w:proofErr w:type="spellEnd"/>
            <w:r w:rsidRPr="00E06132">
              <w:rPr>
                <w:rFonts w:ascii="Times New Roman" w:hAnsi="Times New Roman" w:cs="Times New Roman"/>
                <w:sz w:val="24"/>
                <w:szCs w:val="24"/>
              </w:rPr>
              <w:t xml:space="preserve">) patēriņš, tam pieaugot līdz 3,5% 2030.gadā. </w:t>
            </w:r>
          </w:p>
          <w:p w14:paraId="252888B3" w14:textId="578CB4C7" w:rsidR="00C51CC4" w:rsidRDefault="00C51CC4" w:rsidP="00A71A5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Pr="00E06132">
              <w:rPr>
                <w:rFonts w:ascii="Times New Roman" w:hAnsi="Times New Roman" w:cs="Times New Roman"/>
                <w:sz w:val="24"/>
                <w:szCs w:val="24"/>
              </w:rPr>
              <w:t>ttīstoties CNG infrastruktūrai</w:t>
            </w:r>
            <w:r>
              <w:rPr>
                <w:rFonts w:ascii="Times New Roman" w:hAnsi="Times New Roman" w:cs="Times New Roman"/>
                <w:sz w:val="24"/>
                <w:szCs w:val="24"/>
              </w:rPr>
              <w:t>,</w:t>
            </w:r>
            <w:r w:rsidRPr="00E06132">
              <w:rPr>
                <w:rFonts w:ascii="Times New Roman" w:hAnsi="Times New Roman" w:cs="Times New Roman"/>
                <w:sz w:val="24"/>
                <w:szCs w:val="24"/>
              </w:rPr>
              <w:t xml:space="preserve"> </w:t>
            </w:r>
            <w:r>
              <w:rPr>
                <w:rFonts w:ascii="Times New Roman" w:hAnsi="Times New Roman" w:cs="Times New Roman"/>
                <w:sz w:val="24"/>
                <w:szCs w:val="24"/>
              </w:rPr>
              <w:t xml:space="preserve">tiktu nodrošināta siltumnīcefekta gāzu un gaisa piesārņojošo vielu emisiju samazināšana, kā arī netieši tiktu sekmēta </w:t>
            </w:r>
            <w:r w:rsidRPr="00E06132">
              <w:rPr>
                <w:rFonts w:ascii="Times New Roman" w:hAnsi="Times New Roman" w:cs="Times New Roman"/>
                <w:sz w:val="24"/>
                <w:szCs w:val="24"/>
              </w:rPr>
              <w:t>atjaunojamo energoresursu izmantošanas mērķu sasniegšana</w:t>
            </w:r>
            <w:r>
              <w:rPr>
                <w:rFonts w:ascii="Times New Roman" w:hAnsi="Times New Roman" w:cs="Times New Roman"/>
                <w:sz w:val="24"/>
                <w:szCs w:val="24"/>
              </w:rPr>
              <w:t xml:space="preserve">, jo potenciāli nākotnē CNG infrastruktūra būs izmantojama arī </w:t>
            </w:r>
            <w:r>
              <w:rPr>
                <w:rFonts w:ascii="Times New Roman" w:hAnsi="Times New Roman" w:cs="Times New Roman"/>
                <w:sz w:val="24"/>
                <w:szCs w:val="24"/>
              </w:rPr>
              <w:lastRenderedPageBreak/>
              <w:t>ne-emisiju degvielu (</w:t>
            </w:r>
            <w:proofErr w:type="spellStart"/>
            <w:r>
              <w:rPr>
                <w:rFonts w:ascii="Times New Roman" w:hAnsi="Times New Roman" w:cs="Times New Roman"/>
                <w:sz w:val="24"/>
                <w:szCs w:val="24"/>
              </w:rPr>
              <w:t>biometāns</w:t>
            </w:r>
            <w:proofErr w:type="spellEnd"/>
            <w:r>
              <w:rPr>
                <w:rFonts w:ascii="Times New Roman" w:hAnsi="Times New Roman" w:cs="Times New Roman"/>
                <w:sz w:val="24"/>
                <w:szCs w:val="24"/>
              </w:rPr>
              <w:t xml:space="preserve">, ūdeņradis, sintētiskā gāze) piegādei </w:t>
            </w:r>
            <w:proofErr w:type="spellStart"/>
            <w:r>
              <w:rPr>
                <w:rFonts w:ascii="Times New Roman" w:hAnsi="Times New Roman" w:cs="Times New Roman"/>
                <w:sz w:val="24"/>
                <w:szCs w:val="24"/>
              </w:rPr>
              <w:t>galapatēriņā</w:t>
            </w:r>
            <w:proofErr w:type="spellEnd"/>
            <w:r>
              <w:rPr>
                <w:rFonts w:ascii="Times New Roman" w:hAnsi="Times New Roman" w:cs="Times New Roman"/>
                <w:sz w:val="24"/>
                <w:szCs w:val="24"/>
              </w:rPr>
              <w:t xml:space="preserve"> transportā</w:t>
            </w:r>
            <w:r w:rsidRPr="00E06132">
              <w:rPr>
                <w:rFonts w:ascii="Times New Roman" w:hAnsi="Times New Roman" w:cs="Times New Roman"/>
                <w:sz w:val="24"/>
                <w:szCs w:val="24"/>
              </w:rPr>
              <w:t xml:space="preserve">. </w:t>
            </w:r>
          </w:p>
          <w:p w14:paraId="566A8C16" w14:textId="29CF4058" w:rsidR="00C51CC4" w:rsidRDefault="00C51CC4" w:rsidP="00A71A5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Lai no 2026.gada izvairītos no akcīzes nodokļa ieņēmumu samazinājuma</w:t>
            </w:r>
            <w:r w:rsidR="00202FFE">
              <w:rPr>
                <w:rFonts w:ascii="Times New Roman" w:hAnsi="Times New Roman" w:cs="Times New Roman"/>
                <w:sz w:val="24"/>
                <w:szCs w:val="24"/>
              </w:rPr>
              <w:t>,</w:t>
            </w:r>
            <w:r>
              <w:rPr>
                <w:rFonts w:ascii="Times New Roman" w:hAnsi="Times New Roman" w:cs="Times New Roman"/>
                <w:sz w:val="24"/>
                <w:szCs w:val="24"/>
              </w:rPr>
              <w:t xml:space="preserve"> kā arī, lai novērstu komercdarbības atbalsta sniegšanu neierobežotā laikā,  būtiski ir paredzēt, ka no 2026.gada akcīzes nodokļa likme tiek </w:t>
            </w:r>
            <w:proofErr w:type="spellStart"/>
            <w:r>
              <w:rPr>
                <w:rFonts w:ascii="Times New Roman" w:hAnsi="Times New Roman" w:cs="Times New Roman"/>
                <w:sz w:val="24"/>
                <w:szCs w:val="24"/>
              </w:rPr>
              <w:t>paugstināta</w:t>
            </w:r>
            <w:proofErr w:type="spellEnd"/>
            <w:r>
              <w:rPr>
                <w:rFonts w:ascii="Times New Roman" w:hAnsi="Times New Roman" w:cs="Times New Roman"/>
                <w:sz w:val="24"/>
                <w:szCs w:val="24"/>
              </w:rPr>
              <w:t>. Akcīzes nodokļa samazināšana uz laiku CNG, kuru izmanto transportā, tiek prognozēta kā pietiekams atbalsts tirgum, lai tā dalībnieki uzskatītu par ekonomiski pamatotu un izdevīgu savas infrastruktūras attīstīšanu Latvijas teritorijā, kas savukārt novērš papildu nepieciešamību veikt ieguldījumus no valsts budžeta infrastruktūras attīstībā, lai nodrošinātu Direktīvas 6.panta prasību izpildi.</w:t>
            </w:r>
          </w:p>
          <w:p w14:paraId="7ECC4BD3" w14:textId="77777777" w:rsidR="008F2193" w:rsidRPr="00AC69B4" w:rsidRDefault="00C51CC4" w:rsidP="00AC69B4">
            <w:pPr>
              <w:spacing w:before="120" w:after="120" w:line="240" w:lineRule="auto"/>
              <w:jc w:val="both"/>
              <w:rPr>
                <w:rFonts w:ascii="Times New Roman" w:hAnsi="Times New Roman" w:cs="Times New Roman"/>
                <w:sz w:val="24"/>
                <w:szCs w:val="24"/>
                <w:u w:val="single"/>
              </w:rPr>
            </w:pPr>
            <w:r w:rsidRPr="00AC69B4">
              <w:rPr>
                <w:rFonts w:ascii="Times New Roman" w:hAnsi="Times New Roman" w:cs="Times New Roman"/>
                <w:sz w:val="24"/>
                <w:szCs w:val="24"/>
                <w:u w:val="single"/>
              </w:rPr>
              <w:t>Plānotā tiesiskā regulējuma mērķis ir mazināt finansiālos apgrūtinājumus tirgus dalībniekiem, kuri vēlas tirgot dabasgāzi kā transporta degvielu, lai īstenotu dabasgāzes infrastruktūras attīstību, izpildot Direktīvas prasības, kā arī samazinātu transporta sektora radītās emisijas, tostarp, uzlabotu gaisa kvalitāti pilsētās.</w:t>
            </w:r>
          </w:p>
          <w:p w14:paraId="77BD2796" w14:textId="271B5A72" w:rsidR="00650FB4" w:rsidRPr="00966E1C" w:rsidRDefault="00650FB4" w:rsidP="00AC69B4">
            <w:pPr>
              <w:spacing w:before="120" w:after="120" w:line="240" w:lineRule="auto"/>
              <w:jc w:val="both"/>
              <w:rPr>
                <w:rFonts w:ascii="Times New Roman" w:hAnsi="Times New Roman" w:cs="Times New Roman"/>
                <w:sz w:val="24"/>
                <w:szCs w:val="24"/>
              </w:rPr>
            </w:pPr>
            <w:r w:rsidRPr="00AC69B4">
              <w:rPr>
                <w:rFonts w:ascii="Times New Roman" w:hAnsi="Times New Roman" w:cs="Times New Roman"/>
                <w:sz w:val="24"/>
                <w:szCs w:val="24"/>
                <w:u w:val="single"/>
              </w:rPr>
              <w:t xml:space="preserve">Likumprojekts paredz kā </w:t>
            </w:r>
            <w:r w:rsidR="004439AA">
              <w:rPr>
                <w:rFonts w:ascii="Times New Roman" w:hAnsi="Times New Roman" w:cs="Times New Roman"/>
                <w:sz w:val="24"/>
                <w:szCs w:val="24"/>
                <w:u w:val="single"/>
              </w:rPr>
              <w:t xml:space="preserve">minēto atbalstu nodokļa maksātājam Būvniecības valsts kontroles </w:t>
            </w:r>
            <w:r w:rsidR="0084018B">
              <w:rPr>
                <w:rFonts w:ascii="Times New Roman" w:hAnsi="Times New Roman" w:cs="Times New Roman"/>
                <w:sz w:val="24"/>
                <w:szCs w:val="24"/>
                <w:u w:val="single"/>
              </w:rPr>
              <w:t xml:space="preserve">birojs </w:t>
            </w:r>
            <w:r w:rsidR="004439AA">
              <w:rPr>
                <w:rFonts w:ascii="Times New Roman" w:hAnsi="Times New Roman" w:cs="Times New Roman"/>
                <w:sz w:val="24"/>
                <w:szCs w:val="24"/>
                <w:u w:val="single"/>
              </w:rPr>
              <w:t xml:space="preserve">piešķir kā </w:t>
            </w:r>
            <w:proofErr w:type="spellStart"/>
            <w:r w:rsidRPr="00AC69B4">
              <w:rPr>
                <w:rFonts w:ascii="Times New Roman" w:hAnsi="Times New Roman" w:cs="Times New Roman"/>
                <w:i/>
                <w:iCs/>
                <w:sz w:val="24"/>
                <w:szCs w:val="24"/>
                <w:u w:val="single"/>
              </w:rPr>
              <w:t>de</w:t>
            </w:r>
            <w:proofErr w:type="spellEnd"/>
            <w:r w:rsidRPr="00AC69B4">
              <w:rPr>
                <w:rFonts w:ascii="Times New Roman" w:hAnsi="Times New Roman" w:cs="Times New Roman"/>
                <w:i/>
                <w:iCs/>
                <w:sz w:val="24"/>
                <w:szCs w:val="24"/>
                <w:u w:val="single"/>
              </w:rPr>
              <w:t xml:space="preserve"> </w:t>
            </w:r>
            <w:proofErr w:type="spellStart"/>
            <w:r w:rsidRPr="00AC69B4">
              <w:rPr>
                <w:rFonts w:ascii="Times New Roman" w:hAnsi="Times New Roman" w:cs="Times New Roman"/>
                <w:i/>
                <w:iCs/>
                <w:sz w:val="24"/>
                <w:szCs w:val="24"/>
                <w:u w:val="single"/>
              </w:rPr>
              <w:t>minimis</w:t>
            </w:r>
            <w:proofErr w:type="spellEnd"/>
            <w:r w:rsidRPr="00AC69B4">
              <w:rPr>
                <w:rFonts w:ascii="Times New Roman" w:hAnsi="Times New Roman" w:cs="Times New Roman"/>
                <w:sz w:val="24"/>
                <w:szCs w:val="24"/>
                <w:u w:val="single"/>
              </w:rPr>
              <w:t xml:space="preserve"> atbalstu, ievērojot Komisijas 2013. gada 18. decembra regulas (ES) Nr. 1407/2013 par Līguma par Eiropas Savienības darbību 107. un 108. panta piemērošanu </w:t>
            </w:r>
            <w:proofErr w:type="spellStart"/>
            <w:r w:rsidRPr="00AC69B4">
              <w:rPr>
                <w:rFonts w:ascii="Times New Roman" w:hAnsi="Times New Roman" w:cs="Times New Roman"/>
                <w:i/>
                <w:iCs/>
                <w:sz w:val="24"/>
                <w:szCs w:val="24"/>
                <w:u w:val="single"/>
              </w:rPr>
              <w:t>de</w:t>
            </w:r>
            <w:proofErr w:type="spellEnd"/>
            <w:r w:rsidRPr="00AC69B4">
              <w:rPr>
                <w:rFonts w:ascii="Times New Roman" w:hAnsi="Times New Roman" w:cs="Times New Roman"/>
                <w:i/>
                <w:iCs/>
                <w:sz w:val="24"/>
                <w:szCs w:val="24"/>
                <w:u w:val="single"/>
              </w:rPr>
              <w:t xml:space="preserve"> </w:t>
            </w:r>
            <w:proofErr w:type="spellStart"/>
            <w:r w:rsidRPr="00AC69B4">
              <w:rPr>
                <w:rFonts w:ascii="Times New Roman" w:hAnsi="Times New Roman" w:cs="Times New Roman"/>
                <w:i/>
                <w:iCs/>
                <w:sz w:val="24"/>
                <w:szCs w:val="24"/>
                <w:u w:val="single"/>
              </w:rPr>
              <w:t>minimis</w:t>
            </w:r>
            <w:proofErr w:type="spellEnd"/>
            <w:r w:rsidRPr="00AC69B4">
              <w:rPr>
                <w:rFonts w:ascii="Times New Roman" w:hAnsi="Times New Roman" w:cs="Times New Roman"/>
                <w:sz w:val="24"/>
                <w:szCs w:val="24"/>
                <w:u w:val="single"/>
              </w:rPr>
              <w:t xml:space="preserve"> atbalstam</w:t>
            </w:r>
            <w:r w:rsidR="004439AA">
              <w:rPr>
                <w:rFonts w:ascii="Times New Roman" w:hAnsi="Times New Roman" w:cs="Times New Roman"/>
                <w:sz w:val="24"/>
                <w:szCs w:val="24"/>
                <w:u w:val="single"/>
              </w:rPr>
              <w:t xml:space="preserve"> </w:t>
            </w:r>
            <w:r w:rsidR="004439AA" w:rsidRPr="004439AA">
              <w:rPr>
                <w:rFonts w:ascii="Times New Roman" w:hAnsi="Times New Roman" w:cs="Times New Roman"/>
                <w:sz w:val="24"/>
                <w:szCs w:val="24"/>
                <w:u w:val="single"/>
              </w:rPr>
              <w:t xml:space="preserve">nosacījumus par </w:t>
            </w:r>
            <w:proofErr w:type="spellStart"/>
            <w:r w:rsidR="004439AA" w:rsidRPr="00AC69B4">
              <w:rPr>
                <w:rFonts w:ascii="Times New Roman" w:hAnsi="Times New Roman" w:cs="Times New Roman"/>
                <w:i/>
                <w:iCs/>
                <w:sz w:val="24"/>
                <w:szCs w:val="24"/>
                <w:u w:val="single"/>
              </w:rPr>
              <w:t>de</w:t>
            </w:r>
            <w:proofErr w:type="spellEnd"/>
            <w:r w:rsidR="004439AA" w:rsidRPr="00AC69B4">
              <w:rPr>
                <w:rFonts w:ascii="Times New Roman" w:hAnsi="Times New Roman" w:cs="Times New Roman"/>
                <w:i/>
                <w:iCs/>
                <w:sz w:val="24"/>
                <w:szCs w:val="24"/>
                <w:u w:val="single"/>
              </w:rPr>
              <w:t xml:space="preserve"> </w:t>
            </w:r>
            <w:proofErr w:type="spellStart"/>
            <w:r w:rsidR="004439AA" w:rsidRPr="00AC69B4">
              <w:rPr>
                <w:rFonts w:ascii="Times New Roman" w:hAnsi="Times New Roman" w:cs="Times New Roman"/>
                <w:i/>
                <w:iCs/>
                <w:sz w:val="24"/>
                <w:szCs w:val="24"/>
                <w:u w:val="single"/>
              </w:rPr>
              <w:t>minimis</w:t>
            </w:r>
            <w:proofErr w:type="spellEnd"/>
            <w:r w:rsidR="004439AA" w:rsidRPr="004439AA">
              <w:rPr>
                <w:rFonts w:ascii="Times New Roman" w:hAnsi="Times New Roman" w:cs="Times New Roman"/>
                <w:sz w:val="24"/>
                <w:szCs w:val="24"/>
                <w:u w:val="single"/>
              </w:rPr>
              <w:t xml:space="preserve"> atbalsta uzskaites un piešķiršanas kārtību.</w:t>
            </w:r>
            <w:r w:rsidR="00966E1C" w:rsidRPr="00966E1C">
              <w:rPr>
                <w:rFonts w:ascii="Times New Roman" w:hAnsi="Times New Roman" w:cs="Times New Roman"/>
                <w:sz w:val="24"/>
                <w:szCs w:val="24"/>
              </w:rPr>
              <w:t xml:space="preserve"> Ņemot vērā to, ka Komisijas regulas Nr. 1407/2013 darbības termiņš, ievērojot pagarinājumu, ir līdz 2023. gada 31. decembrim ar pārejas periodu līdz 2024. gada 30. jūnijam, līdz ar to likumprojekts paredz norādi uz regulu, kas nākotnē varētu to aizstāt.</w:t>
            </w:r>
          </w:p>
          <w:p w14:paraId="65856593" w14:textId="197F16D4" w:rsidR="002F67FA" w:rsidRDefault="0005248C" w:rsidP="00AC69B4">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Veicot piemērojama atbalsta veida izvērtēšanu</w:t>
            </w:r>
            <w:r w:rsidR="00261601">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tika ņemta vērā Finanšu ministrijas </w:t>
            </w:r>
            <w:r w:rsidR="00202FFE">
              <w:rPr>
                <w:rFonts w:ascii="Times New Roman" w:eastAsia="Times New Roman" w:hAnsi="Times New Roman" w:cs="Times New Roman"/>
                <w:color w:val="000000"/>
                <w:sz w:val="24"/>
                <w:szCs w:val="24"/>
                <w:lang w:eastAsia="lv-LV"/>
              </w:rPr>
              <w:t>i</w:t>
            </w:r>
            <w:r w:rsidR="00650FB4">
              <w:rPr>
                <w:rFonts w:ascii="Times New Roman" w:eastAsia="Times New Roman" w:hAnsi="Times New Roman" w:cs="Times New Roman"/>
                <w:color w:val="000000"/>
                <w:sz w:val="24"/>
                <w:szCs w:val="24"/>
                <w:lang w:eastAsia="lv-LV"/>
              </w:rPr>
              <w:t>nfo</w:t>
            </w:r>
            <w:r w:rsidR="00202FFE">
              <w:rPr>
                <w:rFonts w:ascii="Times New Roman" w:eastAsia="Times New Roman" w:hAnsi="Times New Roman" w:cs="Times New Roman"/>
                <w:color w:val="000000"/>
                <w:sz w:val="24"/>
                <w:szCs w:val="24"/>
                <w:lang w:eastAsia="lv-LV"/>
              </w:rPr>
              <w:t>r</w:t>
            </w:r>
            <w:r w:rsidR="00650FB4">
              <w:rPr>
                <w:rFonts w:ascii="Times New Roman" w:eastAsia="Times New Roman" w:hAnsi="Times New Roman" w:cs="Times New Roman"/>
                <w:color w:val="000000"/>
                <w:sz w:val="24"/>
                <w:szCs w:val="24"/>
                <w:lang w:eastAsia="lv-LV"/>
              </w:rPr>
              <w:t>m</w:t>
            </w:r>
            <w:r w:rsidR="00202FFE">
              <w:rPr>
                <w:rFonts w:ascii="Times New Roman" w:eastAsia="Times New Roman" w:hAnsi="Times New Roman" w:cs="Times New Roman"/>
                <w:color w:val="000000"/>
                <w:sz w:val="24"/>
                <w:szCs w:val="24"/>
                <w:lang w:eastAsia="lv-LV"/>
              </w:rPr>
              <w:t>a</w:t>
            </w:r>
            <w:r w:rsidR="00650FB4">
              <w:rPr>
                <w:rFonts w:ascii="Times New Roman" w:eastAsia="Times New Roman" w:hAnsi="Times New Roman" w:cs="Times New Roman"/>
                <w:color w:val="000000"/>
                <w:sz w:val="24"/>
                <w:szCs w:val="24"/>
                <w:lang w:eastAsia="lv-LV"/>
              </w:rPr>
              <w:t>tīvajā</w:t>
            </w:r>
            <w:r w:rsidR="00650FB4" w:rsidRPr="009C07B4">
              <w:rPr>
                <w:rFonts w:ascii="Times New Roman" w:eastAsia="Times New Roman" w:hAnsi="Times New Roman" w:cs="Times New Roman"/>
                <w:color w:val="000000"/>
                <w:sz w:val="24"/>
                <w:szCs w:val="24"/>
                <w:lang w:eastAsia="lv-LV"/>
              </w:rPr>
              <w:t xml:space="preserve"> </w:t>
            </w:r>
            <w:r w:rsidR="00650FB4">
              <w:rPr>
                <w:rFonts w:ascii="Times New Roman" w:eastAsia="Times New Roman" w:hAnsi="Times New Roman" w:cs="Times New Roman"/>
                <w:color w:val="000000"/>
                <w:sz w:val="24"/>
                <w:szCs w:val="24"/>
                <w:lang w:eastAsia="lv-LV"/>
              </w:rPr>
              <w:t xml:space="preserve">ziņojumā </w:t>
            </w:r>
            <w:r w:rsidR="009C07B4">
              <w:rPr>
                <w:rFonts w:ascii="Times New Roman" w:eastAsia="Times New Roman" w:hAnsi="Times New Roman" w:cs="Times New Roman"/>
                <w:color w:val="000000"/>
                <w:sz w:val="24"/>
                <w:szCs w:val="24"/>
                <w:lang w:eastAsia="lv-LV"/>
              </w:rPr>
              <w:t>“</w:t>
            </w:r>
            <w:r w:rsidR="009C07B4" w:rsidRPr="009C07B4">
              <w:rPr>
                <w:rFonts w:ascii="Times New Roman" w:eastAsia="Times New Roman" w:hAnsi="Times New Roman" w:cs="Times New Roman"/>
                <w:color w:val="000000"/>
                <w:sz w:val="24"/>
                <w:szCs w:val="24"/>
                <w:lang w:eastAsia="lv-LV"/>
              </w:rPr>
              <w:t>Par nodokļu politikas attīstības virzieniem, valsts sociālās ilgtspējas un ekonomikas konkurētspējas veicināšanai</w:t>
            </w:r>
            <w:r w:rsidR="009C07B4">
              <w:rPr>
                <w:rFonts w:ascii="Times New Roman" w:eastAsia="Times New Roman" w:hAnsi="Times New Roman" w:cs="Times New Roman"/>
                <w:color w:val="000000"/>
                <w:sz w:val="24"/>
                <w:szCs w:val="24"/>
                <w:lang w:eastAsia="lv-LV"/>
              </w:rPr>
              <w:t>”</w:t>
            </w:r>
            <w:r w:rsidR="00AB130B">
              <w:rPr>
                <w:rFonts w:ascii="Times New Roman" w:eastAsia="Times New Roman" w:hAnsi="Times New Roman" w:cs="Times New Roman"/>
                <w:color w:val="000000"/>
                <w:sz w:val="24"/>
                <w:szCs w:val="24"/>
                <w:lang w:eastAsia="lv-LV"/>
              </w:rPr>
              <w:t xml:space="preserve"> (apstiprināts Ministru kabinetā 2020.gada 2.septembrī) </w:t>
            </w:r>
            <w:r w:rsidR="009C07B4">
              <w:rPr>
                <w:rFonts w:ascii="Times New Roman" w:eastAsia="Times New Roman" w:hAnsi="Times New Roman" w:cs="Times New Roman"/>
                <w:color w:val="000000"/>
                <w:sz w:val="24"/>
                <w:szCs w:val="24"/>
                <w:lang w:eastAsia="lv-LV"/>
              </w:rPr>
              <w:t>6.punktā</w:t>
            </w:r>
            <w:r w:rsidR="002F67FA">
              <w:rPr>
                <w:rFonts w:ascii="Times New Roman" w:eastAsia="Times New Roman" w:hAnsi="Times New Roman" w:cs="Times New Roman"/>
                <w:color w:val="000000"/>
                <w:sz w:val="24"/>
                <w:szCs w:val="24"/>
                <w:lang w:eastAsia="lv-LV"/>
              </w:rPr>
              <w:t xml:space="preserve"> “Akcīzes nodokļa likmes samazināšana dabasgāzei (izmantošanai transportā)” norādītā akcīzes nodokļa samazināšanas dabasgāzei kā transporta degvielai </w:t>
            </w:r>
            <w:r w:rsidR="002F67FA" w:rsidRPr="00AC69B4">
              <w:rPr>
                <w:rFonts w:ascii="Times New Roman" w:eastAsia="Times New Roman" w:hAnsi="Times New Roman" w:cs="Times New Roman"/>
                <w:color w:val="000000"/>
                <w:sz w:val="24"/>
                <w:szCs w:val="24"/>
                <w:u w:val="single"/>
                <w:lang w:eastAsia="lv-LV"/>
              </w:rPr>
              <w:t xml:space="preserve">indikatīvā 0,0213 milj. </w:t>
            </w:r>
            <w:proofErr w:type="spellStart"/>
            <w:r w:rsidR="002F67FA" w:rsidRPr="00AC69B4">
              <w:rPr>
                <w:rFonts w:ascii="Times New Roman" w:eastAsia="Times New Roman" w:hAnsi="Times New Roman" w:cs="Times New Roman"/>
                <w:color w:val="000000"/>
                <w:sz w:val="24"/>
                <w:szCs w:val="24"/>
                <w:u w:val="single"/>
                <w:lang w:eastAsia="lv-LV"/>
              </w:rPr>
              <w:t>euro</w:t>
            </w:r>
            <w:proofErr w:type="spellEnd"/>
            <w:r w:rsidR="002F67FA" w:rsidRPr="00AC69B4">
              <w:rPr>
                <w:rFonts w:ascii="Times New Roman" w:eastAsia="Times New Roman" w:hAnsi="Times New Roman" w:cs="Times New Roman"/>
                <w:color w:val="000000"/>
                <w:sz w:val="24"/>
                <w:szCs w:val="24"/>
                <w:u w:val="single"/>
                <w:lang w:eastAsia="lv-LV"/>
              </w:rPr>
              <w:t xml:space="preserve"> fiskālā ietekme 3 gadiem</w:t>
            </w:r>
            <w:r w:rsidR="002F67FA">
              <w:rPr>
                <w:rFonts w:ascii="Times New Roman" w:eastAsia="Times New Roman" w:hAnsi="Times New Roman" w:cs="Times New Roman"/>
                <w:color w:val="000000"/>
                <w:sz w:val="24"/>
                <w:szCs w:val="24"/>
                <w:lang w:eastAsia="lv-LV"/>
              </w:rPr>
              <w:t xml:space="preserve">, kas dod pamatojumu piemērot  ierosinātiem atbalsta pasākumiem </w:t>
            </w:r>
            <w:proofErr w:type="spellStart"/>
            <w:r w:rsidR="00650FB4">
              <w:rPr>
                <w:rFonts w:ascii="Times New Roman" w:eastAsia="Times New Roman" w:hAnsi="Times New Roman" w:cs="Times New Roman"/>
                <w:i/>
                <w:iCs/>
                <w:color w:val="000000"/>
                <w:sz w:val="24"/>
                <w:szCs w:val="24"/>
                <w:lang w:eastAsia="lv-LV"/>
              </w:rPr>
              <w:t>d</w:t>
            </w:r>
            <w:r w:rsidR="002F67FA" w:rsidRPr="00A71A5A">
              <w:rPr>
                <w:rFonts w:ascii="Times New Roman" w:eastAsia="Times New Roman" w:hAnsi="Times New Roman" w:cs="Times New Roman"/>
                <w:i/>
                <w:iCs/>
                <w:color w:val="000000"/>
                <w:sz w:val="24"/>
                <w:szCs w:val="24"/>
                <w:lang w:eastAsia="lv-LV"/>
              </w:rPr>
              <w:t>e</w:t>
            </w:r>
            <w:proofErr w:type="spellEnd"/>
            <w:r w:rsidR="002F67FA" w:rsidRPr="00A71A5A">
              <w:rPr>
                <w:rFonts w:ascii="Times New Roman" w:eastAsia="Times New Roman" w:hAnsi="Times New Roman" w:cs="Times New Roman"/>
                <w:i/>
                <w:iCs/>
                <w:color w:val="000000"/>
                <w:sz w:val="24"/>
                <w:szCs w:val="24"/>
                <w:lang w:eastAsia="lv-LV"/>
              </w:rPr>
              <w:t xml:space="preserve"> </w:t>
            </w:r>
            <w:proofErr w:type="spellStart"/>
            <w:r w:rsidR="002F67FA" w:rsidRPr="00A71A5A">
              <w:rPr>
                <w:rFonts w:ascii="Times New Roman" w:eastAsia="Times New Roman" w:hAnsi="Times New Roman" w:cs="Times New Roman"/>
                <w:i/>
                <w:iCs/>
                <w:color w:val="000000"/>
                <w:sz w:val="24"/>
                <w:szCs w:val="24"/>
                <w:lang w:eastAsia="lv-LV"/>
              </w:rPr>
              <w:t>minimis</w:t>
            </w:r>
            <w:proofErr w:type="spellEnd"/>
            <w:r w:rsidR="002F67FA">
              <w:rPr>
                <w:rFonts w:ascii="Times New Roman" w:eastAsia="Times New Roman" w:hAnsi="Times New Roman" w:cs="Times New Roman"/>
                <w:color w:val="000000"/>
                <w:sz w:val="24"/>
                <w:szCs w:val="24"/>
                <w:lang w:eastAsia="lv-LV"/>
              </w:rPr>
              <w:t xml:space="preserve"> regulējumu, kas </w:t>
            </w:r>
            <w:r w:rsidR="00650FB4">
              <w:rPr>
                <w:rFonts w:ascii="Times New Roman" w:eastAsia="Times New Roman" w:hAnsi="Times New Roman" w:cs="Times New Roman"/>
                <w:color w:val="000000"/>
                <w:sz w:val="24"/>
                <w:szCs w:val="24"/>
                <w:lang w:eastAsia="lv-LV"/>
              </w:rPr>
              <w:t xml:space="preserve">neparedz </w:t>
            </w:r>
            <w:r w:rsidR="002F67FA">
              <w:rPr>
                <w:rFonts w:ascii="Times New Roman" w:eastAsia="Times New Roman" w:hAnsi="Times New Roman" w:cs="Times New Roman"/>
                <w:color w:val="000000"/>
                <w:sz w:val="24"/>
                <w:szCs w:val="24"/>
                <w:lang w:eastAsia="lv-LV"/>
              </w:rPr>
              <w:t>atbalsta pasākumu saskaņošanas ar Eiropas Komisiju pienākumu.</w:t>
            </w:r>
          </w:p>
          <w:p w14:paraId="01206551" w14:textId="1F682E8E" w:rsidR="00C51CC4" w:rsidRPr="00EE6343" w:rsidRDefault="00C51CC4" w:rsidP="00AC69B4">
            <w:pPr>
              <w:shd w:val="clear" w:color="auto" w:fill="FFFFFF"/>
              <w:spacing w:before="100" w:beforeAutospacing="1" w:after="0" w:line="240" w:lineRule="auto"/>
              <w:ind w:firstLine="235"/>
              <w:jc w:val="both"/>
            </w:pPr>
          </w:p>
        </w:tc>
      </w:tr>
      <w:tr w:rsidR="00987784" w:rsidRPr="00294E3E" w14:paraId="528B691B" w14:textId="77777777" w:rsidTr="00071810">
        <w:tc>
          <w:tcPr>
            <w:tcW w:w="311" w:type="pct"/>
            <w:hideMark/>
          </w:tcPr>
          <w:p w14:paraId="4D74BE02" w14:textId="77777777" w:rsidR="00987784" w:rsidRPr="00294E3E" w:rsidRDefault="00987784" w:rsidP="00071810">
            <w:pPr>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lastRenderedPageBreak/>
              <w:t>3.</w:t>
            </w:r>
          </w:p>
        </w:tc>
        <w:tc>
          <w:tcPr>
            <w:tcW w:w="1479" w:type="pct"/>
            <w:hideMark/>
          </w:tcPr>
          <w:p w14:paraId="12AA418C" w14:textId="77777777" w:rsidR="00987784" w:rsidRPr="00294E3E" w:rsidRDefault="00987784" w:rsidP="00071810">
            <w:pPr>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 xml:space="preserve">Projekta izstrādē iesaistītās institūcijas un publiskas </w:t>
            </w:r>
            <w:r w:rsidRPr="00294E3E">
              <w:rPr>
                <w:rFonts w:ascii="Times New Roman" w:hAnsi="Times New Roman" w:cs="Times New Roman"/>
                <w:sz w:val="24"/>
                <w:szCs w:val="24"/>
              </w:rPr>
              <w:lastRenderedPageBreak/>
              <w:t>personas kapitālsabiedrības</w:t>
            </w:r>
          </w:p>
        </w:tc>
        <w:tc>
          <w:tcPr>
            <w:tcW w:w="3210" w:type="pct"/>
            <w:hideMark/>
          </w:tcPr>
          <w:p w14:paraId="28A16423" w14:textId="7F03CFC4" w:rsidR="000D4B64" w:rsidRPr="00294E3E" w:rsidRDefault="004D5939" w:rsidP="0007181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Ekonomikas ministrija, </w:t>
            </w:r>
            <w:r w:rsidR="00660B1B">
              <w:rPr>
                <w:rFonts w:ascii="Times New Roman" w:hAnsi="Times New Roman" w:cs="Times New Roman"/>
                <w:sz w:val="24"/>
                <w:szCs w:val="24"/>
              </w:rPr>
              <w:t xml:space="preserve">Finanšu ministrija, </w:t>
            </w:r>
            <w:r w:rsidR="0024268E">
              <w:rPr>
                <w:rFonts w:ascii="Times New Roman" w:hAnsi="Times New Roman" w:cs="Times New Roman"/>
                <w:sz w:val="24"/>
                <w:szCs w:val="24"/>
              </w:rPr>
              <w:t>Satiksmes ministrija,</w:t>
            </w:r>
            <w:r w:rsidR="0024781F">
              <w:rPr>
                <w:rFonts w:ascii="Times New Roman" w:hAnsi="Times New Roman" w:cs="Times New Roman"/>
                <w:sz w:val="24"/>
                <w:szCs w:val="24"/>
              </w:rPr>
              <w:t xml:space="preserve"> </w:t>
            </w:r>
            <w:r w:rsidR="00E63FEA">
              <w:rPr>
                <w:rFonts w:ascii="Times New Roman" w:hAnsi="Times New Roman" w:cs="Times New Roman"/>
                <w:sz w:val="24"/>
                <w:szCs w:val="24"/>
              </w:rPr>
              <w:t xml:space="preserve">Vides aizsardzības un reģionālās attīstības </w:t>
            </w:r>
            <w:r w:rsidR="00E63FEA">
              <w:rPr>
                <w:rFonts w:ascii="Times New Roman" w:hAnsi="Times New Roman" w:cs="Times New Roman"/>
                <w:sz w:val="24"/>
                <w:szCs w:val="24"/>
              </w:rPr>
              <w:lastRenderedPageBreak/>
              <w:t>ministrija,</w:t>
            </w:r>
            <w:r w:rsidR="0024268E">
              <w:rPr>
                <w:rFonts w:ascii="Times New Roman" w:hAnsi="Times New Roman" w:cs="Times New Roman"/>
                <w:sz w:val="24"/>
                <w:szCs w:val="24"/>
              </w:rPr>
              <w:t xml:space="preserve"> dabasgāzes sadales sistēmas operators AS</w:t>
            </w:r>
            <w:r w:rsidR="00316E0D">
              <w:rPr>
                <w:rFonts w:ascii="Times New Roman" w:hAnsi="Times New Roman" w:cs="Times New Roman"/>
                <w:sz w:val="24"/>
                <w:szCs w:val="24"/>
              </w:rPr>
              <w:t> </w:t>
            </w:r>
            <w:r w:rsidR="0024268E">
              <w:rPr>
                <w:rFonts w:ascii="Times New Roman" w:hAnsi="Times New Roman" w:cs="Times New Roman"/>
                <w:sz w:val="24"/>
                <w:szCs w:val="24"/>
              </w:rPr>
              <w:t>“</w:t>
            </w:r>
            <w:proofErr w:type="spellStart"/>
            <w:r w:rsidR="0024268E">
              <w:rPr>
                <w:rFonts w:ascii="Times New Roman" w:hAnsi="Times New Roman" w:cs="Times New Roman"/>
                <w:sz w:val="24"/>
                <w:szCs w:val="24"/>
              </w:rPr>
              <w:t>Gaso</w:t>
            </w:r>
            <w:proofErr w:type="spellEnd"/>
            <w:r w:rsidR="0084018B">
              <w:rPr>
                <w:rFonts w:ascii="Times New Roman" w:hAnsi="Times New Roman" w:cs="Times New Roman"/>
                <w:sz w:val="24"/>
                <w:szCs w:val="24"/>
              </w:rPr>
              <w:t xml:space="preserve">” un </w:t>
            </w:r>
            <w:r w:rsidR="004439AA">
              <w:rPr>
                <w:rFonts w:ascii="Times New Roman" w:hAnsi="Times New Roman" w:cs="Times New Roman"/>
                <w:sz w:val="24"/>
                <w:szCs w:val="24"/>
              </w:rPr>
              <w:t>Būvniecības valsts kontroles biro</w:t>
            </w:r>
            <w:r w:rsidR="00AC69B4">
              <w:rPr>
                <w:rFonts w:ascii="Times New Roman" w:hAnsi="Times New Roman" w:cs="Times New Roman"/>
                <w:sz w:val="24"/>
                <w:szCs w:val="24"/>
              </w:rPr>
              <w:t>j</w:t>
            </w:r>
            <w:r w:rsidR="004439AA">
              <w:rPr>
                <w:rFonts w:ascii="Times New Roman" w:hAnsi="Times New Roman" w:cs="Times New Roman"/>
                <w:sz w:val="24"/>
                <w:szCs w:val="24"/>
              </w:rPr>
              <w:t>s</w:t>
            </w:r>
            <w:r w:rsidR="00AC69B4">
              <w:rPr>
                <w:rFonts w:ascii="Times New Roman" w:hAnsi="Times New Roman" w:cs="Times New Roman"/>
                <w:sz w:val="24"/>
                <w:szCs w:val="24"/>
              </w:rPr>
              <w:t>.</w:t>
            </w:r>
          </w:p>
        </w:tc>
      </w:tr>
      <w:tr w:rsidR="00987784" w:rsidRPr="00294E3E" w14:paraId="14AE5DA8" w14:textId="77777777" w:rsidTr="00071810">
        <w:tc>
          <w:tcPr>
            <w:tcW w:w="311" w:type="pct"/>
            <w:hideMark/>
          </w:tcPr>
          <w:p w14:paraId="494C1B35" w14:textId="77777777" w:rsidR="00987784" w:rsidRPr="00294E3E" w:rsidRDefault="00987784" w:rsidP="00071810">
            <w:pPr>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lastRenderedPageBreak/>
              <w:t>4.</w:t>
            </w:r>
          </w:p>
        </w:tc>
        <w:tc>
          <w:tcPr>
            <w:tcW w:w="1479" w:type="pct"/>
            <w:hideMark/>
          </w:tcPr>
          <w:p w14:paraId="07BC9766" w14:textId="77777777" w:rsidR="00987784" w:rsidRPr="00294E3E" w:rsidRDefault="00987784" w:rsidP="00071810">
            <w:pPr>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Cita informācija</w:t>
            </w:r>
          </w:p>
        </w:tc>
        <w:tc>
          <w:tcPr>
            <w:tcW w:w="3210" w:type="pct"/>
            <w:hideMark/>
          </w:tcPr>
          <w:p w14:paraId="6908E10B" w14:textId="65C3601D" w:rsidR="00987784" w:rsidRPr="00294E3E" w:rsidRDefault="00E9541E" w:rsidP="0007181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Nav</w:t>
            </w:r>
            <w:r w:rsidR="00AC69B4">
              <w:rPr>
                <w:rFonts w:ascii="Times New Roman" w:hAnsi="Times New Roman" w:cs="Times New Roman"/>
                <w:sz w:val="24"/>
                <w:szCs w:val="24"/>
              </w:rPr>
              <w:t>.</w:t>
            </w:r>
          </w:p>
        </w:tc>
      </w:tr>
      <w:tr w:rsidR="00987784" w:rsidRPr="00294E3E" w14:paraId="73AF7B01" w14:textId="77777777" w:rsidTr="00071810">
        <w:tc>
          <w:tcPr>
            <w:tcW w:w="5000" w:type="pct"/>
            <w:gridSpan w:val="3"/>
            <w:vAlign w:val="center"/>
            <w:hideMark/>
          </w:tcPr>
          <w:p w14:paraId="004BB6C6" w14:textId="77777777" w:rsidR="00987784" w:rsidRPr="00244B73" w:rsidRDefault="00987784" w:rsidP="006D398D">
            <w:pPr>
              <w:keepNext/>
              <w:spacing w:before="120" w:after="120" w:line="240" w:lineRule="auto"/>
              <w:jc w:val="center"/>
              <w:rPr>
                <w:rFonts w:ascii="Times New Roman" w:hAnsi="Times New Roman" w:cs="Times New Roman"/>
                <w:sz w:val="24"/>
                <w:szCs w:val="24"/>
              </w:rPr>
            </w:pPr>
            <w:r w:rsidRPr="00294E3E">
              <w:rPr>
                <w:rFonts w:ascii="Times New Roman" w:hAnsi="Times New Roman" w:cs="Times New Roman"/>
                <w:b/>
                <w:bCs/>
                <w:sz w:val="24"/>
                <w:szCs w:val="24"/>
              </w:rPr>
              <w:t>II. Tiesību akta projekta ietekme uz sabiedrību, tautsaimniecības attīstību un administratīvo slogu</w:t>
            </w:r>
          </w:p>
        </w:tc>
      </w:tr>
      <w:tr w:rsidR="00987784" w:rsidRPr="00294E3E" w14:paraId="680F3835" w14:textId="77777777" w:rsidTr="00071810">
        <w:tc>
          <w:tcPr>
            <w:tcW w:w="311" w:type="pct"/>
            <w:hideMark/>
          </w:tcPr>
          <w:p w14:paraId="2E0ED498" w14:textId="77777777" w:rsidR="00987784" w:rsidRPr="00294E3E" w:rsidRDefault="00987784" w:rsidP="006D398D">
            <w:pPr>
              <w:keepNext/>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1.</w:t>
            </w:r>
          </w:p>
        </w:tc>
        <w:tc>
          <w:tcPr>
            <w:tcW w:w="1479" w:type="pct"/>
            <w:hideMark/>
          </w:tcPr>
          <w:p w14:paraId="09FE9D6B" w14:textId="77777777" w:rsidR="00987784" w:rsidRPr="00244B73" w:rsidRDefault="00987784" w:rsidP="006D398D">
            <w:pPr>
              <w:keepNext/>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 xml:space="preserve">Sabiedrības </w:t>
            </w:r>
            <w:proofErr w:type="spellStart"/>
            <w:r w:rsidRPr="00294E3E">
              <w:rPr>
                <w:rFonts w:ascii="Times New Roman" w:hAnsi="Times New Roman" w:cs="Times New Roman"/>
                <w:sz w:val="24"/>
                <w:szCs w:val="24"/>
              </w:rPr>
              <w:t>mērķgrupas</w:t>
            </w:r>
            <w:proofErr w:type="spellEnd"/>
            <w:r w:rsidRPr="00294E3E">
              <w:rPr>
                <w:rFonts w:ascii="Times New Roman" w:hAnsi="Times New Roman" w:cs="Times New Roman"/>
                <w:sz w:val="24"/>
                <w:szCs w:val="24"/>
              </w:rPr>
              <w:t>, kuras tiesiskais regulējums ietekmē vai varētu ietekmēt</w:t>
            </w:r>
          </w:p>
        </w:tc>
        <w:tc>
          <w:tcPr>
            <w:tcW w:w="3210" w:type="pct"/>
            <w:hideMark/>
          </w:tcPr>
          <w:p w14:paraId="07E9CF51" w14:textId="48540242" w:rsidR="0082272E" w:rsidRPr="0082272E" w:rsidRDefault="0082272E" w:rsidP="00A71A5A">
            <w:pPr>
              <w:keepNext/>
              <w:spacing w:before="120" w:after="120" w:line="240" w:lineRule="auto"/>
              <w:jc w:val="both"/>
              <w:rPr>
                <w:rFonts w:ascii="Times New Roman" w:hAnsi="Times New Roman" w:cs="Times New Roman"/>
                <w:sz w:val="24"/>
                <w:szCs w:val="24"/>
              </w:rPr>
            </w:pPr>
            <w:r w:rsidRPr="0082272E">
              <w:rPr>
                <w:rFonts w:ascii="Times New Roman" w:hAnsi="Times New Roman" w:cs="Times New Roman"/>
                <w:sz w:val="24"/>
                <w:szCs w:val="24"/>
              </w:rPr>
              <w:t xml:space="preserve">Likumprojekta pieņemšana attiecas uz komersantiem un personām, kas atbilstoši likumā </w:t>
            </w:r>
            <w:r w:rsidR="004439AA">
              <w:rPr>
                <w:rFonts w:ascii="Times New Roman" w:hAnsi="Times New Roman" w:cs="Times New Roman"/>
                <w:sz w:val="24"/>
                <w:szCs w:val="24"/>
              </w:rPr>
              <w:t xml:space="preserve">“Par akcīzes nodokli” </w:t>
            </w:r>
            <w:r w:rsidRPr="0082272E">
              <w:rPr>
                <w:rFonts w:ascii="Times New Roman" w:hAnsi="Times New Roman" w:cs="Times New Roman"/>
                <w:sz w:val="24"/>
                <w:szCs w:val="24"/>
              </w:rPr>
              <w:t>noteiktajām prasībām ir akcīzes nodokļa maksātāji.</w:t>
            </w:r>
          </w:p>
          <w:p w14:paraId="2FC307CE" w14:textId="77777777" w:rsidR="00987784" w:rsidRPr="00294E3E" w:rsidRDefault="0082272E" w:rsidP="00A71A5A">
            <w:pPr>
              <w:keepNext/>
              <w:spacing w:before="120" w:after="120" w:line="240" w:lineRule="auto"/>
              <w:jc w:val="both"/>
              <w:rPr>
                <w:rFonts w:ascii="Times New Roman" w:hAnsi="Times New Roman" w:cs="Times New Roman"/>
                <w:sz w:val="24"/>
                <w:szCs w:val="24"/>
              </w:rPr>
            </w:pPr>
            <w:r w:rsidRPr="0082272E">
              <w:rPr>
                <w:rFonts w:ascii="Times New Roman" w:hAnsi="Times New Roman" w:cs="Times New Roman"/>
                <w:sz w:val="24"/>
                <w:szCs w:val="24"/>
              </w:rPr>
              <w:t xml:space="preserve">Likumprojekts attiecas uz komersantiem, kas veic darbības ar </w:t>
            </w:r>
            <w:r>
              <w:rPr>
                <w:rFonts w:ascii="Times New Roman" w:hAnsi="Times New Roman" w:cs="Times New Roman"/>
                <w:sz w:val="24"/>
                <w:szCs w:val="24"/>
              </w:rPr>
              <w:t>dabasgāzi, kuru izmanto kā transporta degvielu</w:t>
            </w:r>
            <w:r w:rsidRPr="0082272E">
              <w:rPr>
                <w:rFonts w:ascii="Times New Roman" w:hAnsi="Times New Roman" w:cs="Times New Roman"/>
                <w:sz w:val="24"/>
                <w:szCs w:val="24"/>
              </w:rPr>
              <w:t>.</w:t>
            </w:r>
            <w:r w:rsidR="00064B37">
              <w:rPr>
                <w:rFonts w:ascii="Times New Roman" w:hAnsi="Times New Roman" w:cs="Times New Roman"/>
                <w:sz w:val="24"/>
                <w:szCs w:val="24"/>
              </w:rPr>
              <w:t xml:space="preserve"> Likumprojekts ir saistošs a</w:t>
            </w:r>
            <w:r w:rsidR="00B06107">
              <w:rPr>
                <w:rFonts w:ascii="Times New Roman" w:hAnsi="Times New Roman" w:cs="Times New Roman"/>
                <w:sz w:val="24"/>
                <w:szCs w:val="24"/>
              </w:rPr>
              <w:t>utomobiļu lietotāji</w:t>
            </w:r>
            <w:r w:rsidR="00064B37">
              <w:rPr>
                <w:rFonts w:ascii="Times New Roman" w:hAnsi="Times New Roman" w:cs="Times New Roman"/>
                <w:sz w:val="24"/>
                <w:szCs w:val="24"/>
              </w:rPr>
              <w:t>em</w:t>
            </w:r>
            <w:r w:rsidR="00B06107">
              <w:rPr>
                <w:rFonts w:ascii="Times New Roman" w:hAnsi="Times New Roman" w:cs="Times New Roman"/>
                <w:sz w:val="24"/>
                <w:szCs w:val="24"/>
              </w:rPr>
              <w:t>, automobiļu tirgotāji</w:t>
            </w:r>
            <w:r w:rsidR="00064B37">
              <w:rPr>
                <w:rFonts w:ascii="Times New Roman" w:hAnsi="Times New Roman" w:cs="Times New Roman"/>
                <w:sz w:val="24"/>
                <w:szCs w:val="24"/>
              </w:rPr>
              <w:t>em</w:t>
            </w:r>
            <w:r w:rsidR="00B06107">
              <w:rPr>
                <w:rFonts w:ascii="Times New Roman" w:hAnsi="Times New Roman" w:cs="Times New Roman"/>
                <w:sz w:val="24"/>
                <w:szCs w:val="24"/>
              </w:rPr>
              <w:t xml:space="preserve">, </w:t>
            </w:r>
            <w:r w:rsidR="00113FE4">
              <w:rPr>
                <w:rFonts w:ascii="Times New Roman" w:hAnsi="Times New Roman" w:cs="Times New Roman"/>
                <w:sz w:val="24"/>
                <w:szCs w:val="24"/>
              </w:rPr>
              <w:t>dabasgāzes tirgotāji</w:t>
            </w:r>
            <w:r w:rsidR="00064B37">
              <w:rPr>
                <w:rFonts w:ascii="Times New Roman" w:hAnsi="Times New Roman" w:cs="Times New Roman"/>
                <w:sz w:val="24"/>
                <w:szCs w:val="24"/>
              </w:rPr>
              <w:t xml:space="preserve">em un dabasgāzes infrastruktūras operatoriem. </w:t>
            </w:r>
          </w:p>
        </w:tc>
      </w:tr>
      <w:tr w:rsidR="00987784" w:rsidRPr="00294E3E" w14:paraId="742B11DA" w14:textId="77777777" w:rsidTr="00071810">
        <w:tc>
          <w:tcPr>
            <w:tcW w:w="311" w:type="pct"/>
            <w:hideMark/>
          </w:tcPr>
          <w:p w14:paraId="2AEC494F" w14:textId="77777777" w:rsidR="00987784" w:rsidRPr="00294E3E" w:rsidRDefault="00987784" w:rsidP="006D398D">
            <w:pPr>
              <w:keepNext/>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2.</w:t>
            </w:r>
          </w:p>
        </w:tc>
        <w:tc>
          <w:tcPr>
            <w:tcW w:w="1479" w:type="pct"/>
            <w:hideMark/>
          </w:tcPr>
          <w:p w14:paraId="45C51F6F" w14:textId="77777777" w:rsidR="00987784" w:rsidRPr="00244B73" w:rsidRDefault="00987784" w:rsidP="006D398D">
            <w:pPr>
              <w:keepNext/>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Tiesiskā regulējuma ietekme uz tautsaimniecību un administratīvo slogu</w:t>
            </w:r>
          </w:p>
        </w:tc>
        <w:tc>
          <w:tcPr>
            <w:tcW w:w="3210" w:type="pct"/>
            <w:hideMark/>
          </w:tcPr>
          <w:p w14:paraId="3653C6F5" w14:textId="5F6989A6" w:rsidR="00B06107" w:rsidRDefault="00113FE4"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Tiesiskais regulējums </w:t>
            </w:r>
            <w:r w:rsidR="00B06107">
              <w:rPr>
                <w:rFonts w:ascii="Times New Roman" w:hAnsi="Times New Roman" w:cs="Times New Roman"/>
                <w:sz w:val="24"/>
                <w:szCs w:val="24"/>
              </w:rPr>
              <w:t>ne</w:t>
            </w:r>
            <w:r w:rsidR="00C51CC4">
              <w:rPr>
                <w:rFonts w:ascii="Times New Roman" w:hAnsi="Times New Roman" w:cs="Times New Roman"/>
                <w:sz w:val="24"/>
                <w:szCs w:val="24"/>
              </w:rPr>
              <w:t>radīs</w:t>
            </w:r>
            <w:r w:rsidR="00B06107">
              <w:rPr>
                <w:rFonts w:ascii="Times New Roman" w:hAnsi="Times New Roman" w:cs="Times New Roman"/>
                <w:sz w:val="24"/>
                <w:szCs w:val="24"/>
              </w:rPr>
              <w:t xml:space="preserve"> </w:t>
            </w:r>
            <w:r w:rsidR="00736107">
              <w:rPr>
                <w:rFonts w:ascii="Times New Roman" w:hAnsi="Times New Roman" w:cs="Times New Roman"/>
                <w:sz w:val="24"/>
                <w:szCs w:val="24"/>
              </w:rPr>
              <w:t xml:space="preserve">būtisku </w:t>
            </w:r>
            <w:r w:rsidR="00B06107">
              <w:rPr>
                <w:rFonts w:ascii="Times New Roman" w:hAnsi="Times New Roman" w:cs="Times New Roman"/>
                <w:sz w:val="24"/>
                <w:szCs w:val="24"/>
              </w:rPr>
              <w:t>negatīvu ietekmi</w:t>
            </w:r>
            <w:r>
              <w:rPr>
                <w:rFonts w:ascii="Times New Roman" w:hAnsi="Times New Roman" w:cs="Times New Roman"/>
                <w:sz w:val="24"/>
                <w:szCs w:val="24"/>
              </w:rPr>
              <w:t xml:space="preserve"> uz tautsaimniecību</w:t>
            </w:r>
            <w:r w:rsidR="00B06107">
              <w:rPr>
                <w:rFonts w:ascii="Times New Roman" w:hAnsi="Times New Roman" w:cs="Times New Roman"/>
                <w:sz w:val="24"/>
                <w:szCs w:val="24"/>
              </w:rPr>
              <w:t xml:space="preserve">, jo Latvijā </w:t>
            </w:r>
            <w:r w:rsidR="00ED36CE">
              <w:rPr>
                <w:rFonts w:ascii="Times New Roman" w:hAnsi="Times New Roman" w:cs="Times New Roman"/>
                <w:sz w:val="24"/>
                <w:szCs w:val="24"/>
              </w:rPr>
              <w:t>2019.gadā</w:t>
            </w:r>
            <w:r w:rsidR="00B06107">
              <w:rPr>
                <w:rFonts w:ascii="Times New Roman" w:hAnsi="Times New Roman" w:cs="Times New Roman"/>
                <w:sz w:val="24"/>
                <w:szCs w:val="24"/>
              </w:rPr>
              <w:t xml:space="preserve"> </w:t>
            </w:r>
            <w:r w:rsidR="00736107">
              <w:rPr>
                <w:rFonts w:ascii="Times New Roman" w:hAnsi="Times New Roman" w:cs="Times New Roman"/>
                <w:sz w:val="24"/>
                <w:szCs w:val="24"/>
              </w:rPr>
              <w:t>ceļa transportā izmantotais dabasgāzes apjoms, lai gan ar pieaugošu tendenci, tomēr ir tikai 0.018% no ceļa transportā izmantotā transporta enerģijas apjoma</w:t>
            </w:r>
            <w:r w:rsidR="00B06107">
              <w:rPr>
                <w:rFonts w:ascii="Times New Roman" w:hAnsi="Times New Roman" w:cs="Times New Roman"/>
                <w:sz w:val="24"/>
                <w:szCs w:val="24"/>
              </w:rPr>
              <w:t xml:space="preserve">. </w:t>
            </w:r>
          </w:p>
          <w:p w14:paraId="4704727B" w14:textId="77777777" w:rsidR="00113FE4" w:rsidRDefault="00113FE4"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Tiesiskais regulējums neietekmēs Nacionālās attīstības plāna 2014</w:t>
            </w:r>
            <w:r w:rsidR="003928EB">
              <w:rPr>
                <w:rFonts w:ascii="Times New Roman" w:hAnsi="Times New Roman" w:cs="Times New Roman"/>
                <w:sz w:val="24"/>
                <w:szCs w:val="24"/>
              </w:rPr>
              <w:t xml:space="preserve">. </w:t>
            </w:r>
            <w:r>
              <w:rPr>
                <w:rFonts w:ascii="Times New Roman" w:hAnsi="Times New Roman" w:cs="Times New Roman"/>
                <w:sz w:val="24"/>
                <w:szCs w:val="24"/>
              </w:rPr>
              <w:t>-</w:t>
            </w:r>
            <w:r w:rsidR="00E63FEA">
              <w:rPr>
                <w:rFonts w:ascii="Times New Roman" w:hAnsi="Times New Roman" w:cs="Times New Roman"/>
                <w:sz w:val="24"/>
                <w:szCs w:val="24"/>
              </w:rPr>
              <w:t xml:space="preserve"> </w:t>
            </w:r>
            <w:r>
              <w:rPr>
                <w:rFonts w:ascii="Times New Roman" w:hAnsi="Times New Roman" w:cs="Times New Roman"/>
                <w:sz w:val="24"/>
                <w:szCs w:val="24"/>
              </w:rPr>
              <w:t>2020</w:t>
            </w:r>
            <w:r w:rsidR="003928EB">
              <w:rPr>
                <w:rFonts w:ascii="Times New Roman" w:hAnsi="Times New Roman" w:cs="Times New Roman"/>
                <w:sz w:val="24"/>
                <w:szCs w:val="24"/>
              </w:rPr>
              <w:t>.</w:t>
            </w:r>
            <w:r>
              <w:rPr>
                <w:rFonts w:ascii="Times New Roman" w:hAnsi="Times New Roman" w:cs="Times New Roman"/>
                <w:sz w:val="24"/>
                <w:szCs w:val="24"/>
              </w:rPr>
              <w:t xml:space="preserve"> rādītājus </w:t>
            </w:r>
            <w:proofErr w:type="spellStart"/>
            <w:r>
              <w:rPr>
                <w:rFonts w:ascii="Times New Roman" w:hAnsi="Times New Roman" w:cs="Times New Roman"/>
                <w:sz w:val="24"/>
                <w:szCs w:val="24"/>
              </w:rPr>
              <w:t>mikrolīmenī</w:t>
            </w:r>
            <w:proofErr w:type="spellEnd"/>
            <w:r>
              <w:rPr>
                <w:rFonts w:ascii="Times New Roman" w:hAnsi="Times New Roman" w:cs="Times New Roman"/>
                <w:sz w:val="24"/>
                <w:szCs w:val="24"/>
              </w:rPr>
              <w:t xml:space="preserve"> vai </w:t>
            </w:r>
            <w:proofErr w:type="spellStart"/>
            <w:r>
              <w:rPr>
                <w:rFonts w:ascii="Times New Roman" w:hAnsi="Times New Roman" w:cs="Times New Roman"/>
                <w:sz w:val="24"/>
                <w:szCs w:val="24"/>
              </w:rPr>
              <w:t>makrolīmenī</w:t>
            </w:r>
            <w:proofErr w:type="spellEnd"/>
            <w:r>
              <w:rPr>
                <w:rFonts w:ascii="Times New Roman" w:hAnsi="Times New Roman" w:cs="Times New Roman"/>
                <w:sz w:val="24"/>
                <w:szCs w:val="24"/>
              </w:rPr>
              <w:t>.</w:t>
            </w:r>
          </w:p>
          <w:p w14:paraId="10A8AB7C" w14:textId="77777777" w:rsidR="00113FE4" w:rsidRDefault="00BC4BFB"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Tiesiskais regulējums neietekmēs</w:t>
            </w:r>
            <w:r w:rsidR="003928EB">
              <w:rPr>
                <w:rFonts w:ascii="Times New Roman" w:hAnsi="Times New Roman" w:cs="Times New Roman"/>
                <w:sz w:val="24"/>
                <w:szCs w:val="24"/>
              </w:rPr>
              <w:t xml:space="preserve"> negatīvi</w:t>
            </w:r>
            <w:r w:rsidR="00F041A7">
              <w:rPr>
                <w:rFonts w:ascii="Times New Roman" w:hAnsi="Times New Roman" w:cs="Times New Roman"/>
                <w:sz w:val="24"/>
                <w:szCs w:val="24"/>
              </w:rPr>
              <w:t xml:space="preserve"> konkurenci.</w:t>
            </w:r>
          </w:p>
          <w:p w14:paraId="31C75C82" w14:textId="77777777" w:rsidR="00F041A7" w:rsidRDefault="00F041A7"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Tiesiskais regulējums </w:t>
            </w:r>
            <w:r w:rsidR="003928EB">
              <w:rPr>
                <w:rFonts w:ascii="Times New Roman" w:hAnsi="Times New Roman" w:cs="Times New Roman"/>
                <w:sz w:val="24"/>
                <w:szCs w:val="24"/>
              </w:rPr>
              <w:t>pozitīvi ietekmēs</w:t>
            </w:r>
            <w:r>
              <w:rPr>
                <w:rFonts w:ascii="Times New Roman" w:hAnsi="Times New Roman" w:cs="Times New Roman"/>
                <w:sz w:val="24"/>
                <w:szCs w:val="24"/>
              </w:rPr>
              <w:t xml:space="preserve"> vidi</w:t>
            </w:r>
            <w:r w:rsidR="003928EB">
              <w:rPr>
                <w:rFonts w:ascii="Times New Roman" w:hAnsi="Times New Roman" w:cs="Times New Roman"/>
                <w:sz w:val="24"/>
                <w:szCs w:val="24"/>
              </w:rPr>
              <w:t>, jo palielinoties transportlīdzekļu skaitam, kuri izmanto CNG, samazināsies radītās CO</w:t>
            </w:r>
            <w:r w:rsidR="003928EB" w:rsidRPr="003928EB">
              <w:rPr>
                <w:rFonts w:ascii="Times New Roman" w:hAnsi="Times New Roman" w:cs="Times New Roman"/>
                <w:sz w:val="24"/>
                <w:szCs w:val="24"/>
                <w:vertAlign w:val="subscript"/>
              </w:rPr>
              <w:t>2</w:t>
            </w:r>
            <w:r w:rsidR="003928EB">
              <w:rPr>
                <w:rFonts w:ascii="Times New Roman" w:hAnsi="Times New Roman" w:cs="Times New Roman"/>
                <w:sz w:val="24"/>
                <w:szCs w:val="24"/>
              </w:rPr>
              <w:t xml:space="preserve"> emisijas</w:t>
            </w:r>
            <w:r>
              <w:rPr>
                <w:rFonts w:ascii="Times New Roman" w:hAnsi="Times New Roman" w:cs="Times New Roman"/>
                <w:sz w:val="24"/>
                <w:szCs w:val="24"/>
              </w:rPr>
              <w:t>.</w:t>
            </w:r>
          </w:p>
          <w:p w14:paraId="4834C45D" w14:textId="5599FDA8" w:rsidR="00F041A7" w:rsidRDefault="00F041A7"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Tiesiskais regulējums neietekmēs veselību</w:t>
            </w:r>
            <w:r w:rsidR="003928EB">
              <w:rPr>
                <w:rFonts w:ascii="Times New Roman" w:hAnsi="Times New Roman" w:cs="Times New Roman"/>
                <w:sz w:val="24"/>
                <w:szCs w:val="24"/>
              </w:rPr>
              <w:t xml:space="preserve"> vai ietekmēs to pozitīvi</w:t>
            </w:r>
            <w:r w:rsidR="00736107">
              <w:rPr>
                <w:rFonts w:ascii="Times New Roman" w:hAnsi="Times New Roman" w:cs="Times New Roman"/>
                <w:sz w:val="24"/>
                <w:szCs w:val="24"/>
              </w:rPr>
              <w:t>,</w:t>
            </w:r>
            <w:r w:rsidR="003928EB">
              <w:rPr>
                <w:rFonts w:ascii="Times New Roman" w:hAnsi="Times New Roman" w:cs="Times New Roman"/>
                <w:sz w:val="24"/>
                <w:szCs w:val="24"/>
              </w:rPr>
              <w:t xml:space="preserve"> uzlabojoties gaisa kvalitātei pilsētās ilgtermiņā</w:t>
            </w:r>
            <w:r>
              <w:rPr>
                <w:rFonts w:ascii="Times New Roman" w:hAnsi="Times New Roman" w:cs="Times New Roman"/>
                <w:sz w:val="24"/>
                <w:szCs w:val="24"/>
              </w:rPr>
              <w:t>.</w:t>
            </w:r>
          </w:p>
          <w:p w14:paraId="2B5DF529" w14:textId="77777777" w:rsidR="00F041A7" w:rsidRDefault="00F041A7"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Tiesiskais regulējums neietekmēs nevalstiskās organizācijas.</w:t>
            </w:r>
          </w:p>
          <w:p w14:paraId="4E92E369" w14:textId="77777777" w:rsidR="00F041A7" w:rsidRPr="00294E3E" w:rsidRDefault="00F041A7"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Tiesiskais regulējums </w:t>
            </w:r>
            <w:r w:rsidR="0082272E">
              <w:rPr>
                <w:rFonts w:ascii="Times New Roman" w:hAnsi="Times New Roman" w:cs="Times New Roman"/>
                <w:sz w:val="24"/>
                <w:szCs w:val="24"/>
              </w:rPr>
              <w:t>neietekmēs</w:t>
            </w:r>
            <w:r>
              <w:rPr>
                <w:rFonts w:ascii="Times New Roman" w:hAnsi="Times New Roman" w:cs="Times New Roman"/>
                <w:sz w:val="24"/>
                <w:szCs w:val="24"/>
              </w:rPr>
              <w:t xml:space="preserve"> administratīvo slogu</w:t>
            </w:r>
            <w:r w:rsidR="003928EB">
              <w:rPr>
                <w:rFonts w:ascii="Times New Roman" w:hAnsi="Times New Roman" w:cs="Times New Roman"/>
                <w:sz w:val="24"/>
                <w:szCs w:val="24"/>
              </w:rPr>
              <w:t>.</w:t>
            </w:r>
          </w:p>
        </w:tc>
      </w:tr>
      <w:tr w:rsidR="00987784" w:rsidRPr="00294E3E" w14:paraId="24506576" w14:textId="77777777" w:rsidTr="00071810">
        <w:tc>
          <w:tcPr>
            <w:tcW w:w="311" w:type="pct"/>
            <w:hideMark/>
          </w:tcPr>
          <w:p w14:paraId="3358C8D0" w14:textId="77777777" w:rsidR="00987784" w:rsidRPr="00294E3E" w:rsidRDefault="00987784" w:rsidP="006D398D">
            <w:pPr>
              <w:keepNext/>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3.</w:t>
            </w:r>
          </w:p>
        </w:tc>
        <w:tc>
          <w:tcPr>
            <w:tcW w:w="1479" w:type="pct"/>
            <w:hideMark/>
          </w:tcPr>
          <w:p w14:paraId="701CADB3" w14:textId="77777777" w:rsidR="00987784" w:rsidRPr="00244B73" w:rsidRDefault="00987784" w:rsidP="006D398D">
            <w:pPr>
              <w:keepNext/>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Administratīvo izmaksu monetārs novērtējums</w:t>
            </w:r>
          </w:p>
        </w:tc>
        <w:tc>
          <w:tcPr>
            <w:tcW w:w="3210" w:type="pct"/>
            <w:hideMark/>
          </w:tcPr>
          <w:p w14:paraId="17409993" w14:textId="3DADBA10" w:rsidR="00987784" w:rsidRPr="00294E3E" w:rsidRDefault="0084018B" w:rsidP="00A71A5A">
            <w:pPr>
              <w:keepNext/>
              <w:spacing w:before="120" w:after="120" w:line="240" w:lineRule="auto"/>
              <w:jc w:val="both"/>
              <w:rPr>
                <w:rFonts w:ascii="Times New Roman" w:hAnsi="Times New Roman" w:cs="Times New Roman"/>
                <w:sz w:val="24"/>
                <w:szCs w:val="24"/>
              </w:rPr>
            </w:pPr>
            <w:r w:rsidRPr="00AA543A">
              <w:rPr>
                <w:rFonts w:ascii="Times New Roman" w:hAnsi="Times New Roman" w:cs="Times New Roman"/>
                <w:color w:val="000000" w:themeColor="text1"/>
                <w:sz w:val="24"/>
                <w:szCs w:val="24"/>
              </w:rPr>
              <w:t>Pr</w:t>
            </w:r>
            <w:r>
              <w:rPr>
                <w:rFonts w:ascii="Times New Roman" w:hAnsi="Times New Roman" w:cs="Times New Roman"/>
                <w:color w:val="000000" w:themeColor="text1"/>
                <w:sz w:val="24"/>
                <w:szCs w:val="24"/>
              </w:rPr>
              <w:t>ojekts šo jomu neskar.</w:t>
            </w:r>
          </w:p>
        </w:tc>
      </w:tr>
      <w:tr w:rsidR="00987784" w:rsidRPr="00294E3E" w14:paraId="0F9B56AA" w14:textId="77777777" w:rsidTr="00071810">
        <w:tc>
          <w:tcPr>
            <w:tcW w:w="311" w:type="pct"/>
            <w:hideMark/>
          </w:tcPr>
          <w:p w14:paraId="3B51172A" w14:textId="77777777" w:rsidR="00987784" w:rsidRPr="00294E3E" w:rsidRDefault="00987784" w:rsidP="006D398D">
            <w:pPr>
              <w:keepNext/>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4.</w:t>
            </w:r>
          </w:p>
        </w:tc>
        <w:tc>
          <w:tcPr>
            <w:tcW w:w="1479" w:type="pct"/>
            <w:hideMark/>
          </w:tcPr>
          <w:p w14:paraId="30F2820C" w14:textId="77777777" w:rsidR="00987784" w:rsidRPr="00294E3E" w:rsidRDefault="00987784" w:rsidP="006D398D">
            <w:pPr>
              <w:keepNext/>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Atbilstības izmaksu monetārs novērtējums</w:t>
            </w:r>
          </w:p>
        </w:tc>
        <w:tc>
          <w:tcPr>
            <w:tcW w:w="3210" w:type="pct"/>
            <w:hideMark/>
          </w:tcPr>
          <w:p w14:paraId="6273CD64" w14:textId="2A411424" w:rsidR="00987784" w:rsidRPr="00294E3E" w:rsidRDefault="0084018B" w:rsidP="00A71A5A">
            <w:pPr>
              <w:keepNext/>
              <w:spacing w:before="120" w:after="120" w:line="240" w:lineRule="auto"/>
              <w:jc w:val="both"/>
              <w:rPr>
                <w:rFonts w:ascii="Times New Roman" w:hAnsi="Times New Roman" w:cs="Times New Roman"/>
                <w:sz w:val="24"/>
                <w:szCs w:val="24"/>
              </w:rPr>
            </w:pPr>
            <w:r w:rsidRPr="00AA543A">
              <w:rPr>
                <w:rFonts w:ascii="Times New Roman" w:hAnsi="Times New Roman" w:cs="Times New Roman"/>
                <w:color w:val="000000" w:themeColor="text1"/>
                <w:sz w:val="24"/>
                <w:szCs w:val="24"/>
              </w:rPr>
              <w:t>Pr</w:t>
            </w:r>
            <w:r>
              <w:rPr>
                <w:rFonts w:ascii="Times New Roman" w:hAnsi="Times New Roman" w:cs="Times New Roman"/>
                <w:color w:val="000000" w:themeColor="text1"/>
                <w:sz w:val="24"/>
                <w:szCs w:val="24"/>
              </w:rPr>
              <w:t>ojekts šo jomu neskar.</w:t>
            </w:r>
          </w:p>
        </w:tc>
      </w:tr>
      <w:tr w:rsidR="00987784" w:rsidRPr="00294E3E" w14:paraId="74AE5EB3" w14:textId="77777777" w:rsidTr="00071810">
        <w:tc>
          <w:tcPr>
            <w:tcW w:w="311" w:type="pct"/>
            <w:hideMark/>
          </w:tcPr>
          <w:p w14:paraId="5558695C" w14:textId="77777777" w:rsidR="00987784" w:rsidRPr="00294E3E" w:rsidRDefault="00987784" w:rsidP="006D398D">
            <w:pPr>
              <w:keepNext/>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5.</w:t>
            </w:r>
          </w:p>
        </w:tc>
        <w:tc>
          <w:tcPr>
            <w:tcW w:w="1479" w:type="pct"/>
            <w:hideMark/>
          </w:tcPr>
          <w:p w14:paraId="3BCED1B4" w14:textId="77777777" w:rsidR="00987784" w:rsidRPr="00294E3E" w:rsidRDefault="00987784" w:rsidP="006D398D">
            <w:pPr>
              <w:keepNext/>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Cita informācija</w:t>
            </w:r>
          </w:p>
        </w:tc>
        <w:tc>
          <w:tcPr>
            <w:tcW w:w="3210" w:type="pct"/>
            <w:hideMark/>
          </w:tcPr>
          <w:p w14:paraId="084FB3B8" w14:textId="03A3DE8A" w:rsidR="00294E3E" w:rsidRPr="00294E3E" w:rsidRDefault="000D5A02"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Nav</w:t>
            </w:r>
            <w:r w:rsidR="00AC69B4">
              <w:rPr>
                <w:rFonts w:ascii="Times New Roman" w:hAnsi="Times New Roman" w:cs="Times New Roman"/>
                <w:sz w:val="24"/>
                <w:szCs w:val="24"/>
              </w:rPr>
              <w:t>.</w:t>
            </w:r>
          </w:p>
        </w:tc>
      </w:tr>
    </w:tbl>
    <w:p w14:paraId="6073F675" w14:textId="77777777" w:rsidR="00EE6343" w:rsidRDefault="00EE6343" w:rsidP="006D398D">
      <w:pPr>
        <w:pStyle w:val="Title"/>
        <w:spacing w:before="120" w:after="120"/>
        <w:ind w:firstLine="539"/>
        <w:jc w:val="both"/>
        <w:rPr>
          <w:sz w:val="24"/>
          <w:szCs w:val="24"/>
        </w:rPr>
      </w:pPr>
    </w:p>
    <w:p w14:paraId="5BC2C30A" w14:textId="77777777" w:rsidR="00071810" w:rsidRDefault="00071810" w:rsidP="006D398D">
      <w:pPr>
        <w:pStyle w:val="Title"/>
        <w:spacing w:before="120" w:after="120"/>
        <w:ind w:firstLine="539"/>
        <w:jc w:val="both"/>
        <w:rPr>
          <w:sz w:val="24"/>
          <w:szCs w:val="24"/>
        </w:rPr>
      </w:pPr>
    </w:p>
    <w:p w14:paraId="59C13CFC" w14:textId="77777777" w:rsidR="00071810" w:rsidRPr="00294E3E" w:rsidRDefault="00071810" w:rsidP="006D398D">
      <w:pPr>
        <w:pStyle w:val="Title"/>
        <w:spacing w:before="120" w:after="120"/>
        <w:ind w:firstLine="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74"/>
        <w:gridCol w:w="1065"/>
        <w:gridCol w:w="1073"/>
        <w:gridCol w:w="1065"/>
        <w:gridCol w:w="1073"/>
        <w:gridCol w:w="1065"/>
        <w:gridCol w:w="1073"/>
        <w:gridCol w:w="1073"/>
      </w:tblGrid>
      <w:tr w:rsidR="00987784" w:rsidRPr="00294E3E" w14:paraId="6683049E" w14:textId="77777777" w:rsidTr="00C764FD">
        <w:trPr>
          <w:cantSplit/>
        </w:trPr>
        <w:tc>
          <w:tcPr>
            <w:tcW w:w="9061" w:type="dxa"/>
            <w:gridSpan w:val="8"/>
            <w:shd w:val="clear" w:color="auto" w:fill="auto"/>
            <w:vAlign w:val="center"/>
            <w:hideMark/>
          </w:tcPr>
          <w:p w14:paraId="654D6E08" w14:textId="77777777" w:rsidR="00987784" w:rsidRPr="00294E3E" w:rsidRDefault="00987784" w:rsidP="006D398D">
            <w:pPr>
              <w:spacing w:before="120" w:after="120" w:line="240" w:lineRule="auto"/>
              <w:jc w:val="center"/>
              <w:rPr>
                <w:rFonts w:ascii="Times New Roman" w:hAnsi="Times New Roman" w:cs="Times New Roman"/>
                <w:b/>
                <w:bCs/>
                <w:sz w:val="24"/>
                <w:szCs w:val="24"/>
              </w:rPr>
            </w:pPr>
            <w:r w:rsidRPr="00294E3E">
              <w:rPr>
                <w:rFonts w:ascii="Times New Roman" w:hAnsi="Times New Roman" w:cs="Times New Roman"/>
                <w:b/>
                <w:bCs/>
                <w:sz w:val="24"/>
                <w:szCs w:val="24"/>
              </w:rPr>
              <w:lastRenderedPageBreak/>
              <w:t>III. Tiesību akta projekta ietekme uz valsts budžetu un pašvaldību budžetiem</w:t>
            </w:r>
          </w:p>
        </w:tc>
      </w:tr>
      <w:tr w:rsidR="00E0008B" w:rsidRPr="003C0EC2" w14:paraId="3A3FC0C1"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4FA6E"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Rādītāji</w:t>
            </w:r>
          </w:p>
        </w:tc>
        <w:tc>
          <w:tcPr>
            <w:tcW w:w="2138"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80E8C"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n-gads</w:t>
            </w:r>
          </w:p>
        </w:tc>
        <w:tc>
          <w:tcPr>
            <w:tcW w:w="5349"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300BB"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Turpmākie trīs gadi (</w:t>
            </w:r>
            <w:proofErr w:type="spellStart"/>
            <w:r w:rsidRPr="00C764FD">
              <w:rPr>
                <w:rFonts w:ascii="Times New Roman" w:eastAsia="Times New Roman" w:hAnsi="Times New Roman" w:cs="Times New Roman"/>
                <w:i/>
                <w:iCs/>
                <w:color w:val="414142"/>
                <w:sz w:val="24"/>
                <w:szCs w:val="24"/>
                <w:lang w:eastAsia="lv-LV"/>
              </w:rPr>
              <w:t>euro</w:t>
            </w:r>
            <w:proofErr w:type="spellEnd"/>
            <w:r w:rsidRPr="00C764FD">
              <w:rPr>
                <w:rFonts w:ascii="Times New Roman" w:eastAsia="Times New Roman" w:hAnsi="Times New Roman" w:cs="Times New Roman"/>
                <w:color w:val="414142"/>
                <w:sz w:val="24"/>
                <w:szCs w:val="24"/>
                <w:lang w:eastAsia="lv-LV"/>
              </w:rPr>
              <w:t>)</w:t>
            </w:r>
          </w:p>
        </w:tc>
      </w:tr>
      <w:tr w:rsidR="00E0008B" w:rsidRPr="003C0EC2" w14:paraId="403002A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27625"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p>
        </w:tc>
        <w:tc>
          <w:tcPr>
            <w:tcW w:w="2138"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B2E9A"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p>
        </w:tc>
        <w:tc>
          <w:tcPr>
            <w:tcW w:w="213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079686"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n+1</w:t>
            </w:r>
          </w:p>
        </w:tc>
        <w:tc>
          <w:tcPr>
            <w:tcW w:w="213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265E96"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n+2</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07540A"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n+3</w:t>
            </w:r>
          </w:p>
        </w:tc>
      </w:tr>
      <w:tr w:rsidR="00E0008B" w:rsidRPr="003C0EC2" w14:paraId="6FB6362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E1FC90"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A2CF84"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saskaņā ar valsts budžetu kārtējam gadam</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FE56E"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izmaiņas kārtējā gadā, salīdzinot ar valsts budžetu kārtējam gadam</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1164B5"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saskaņā ar vidēja termiņa budžeta ietvaru</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152FC"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izmaiņas, salīdzinot ar vidēja termiņa budžeta ietvaru n+1 gadam</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E98895"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saskaņā ar vidēja termiņa budžeta ietvaru</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9797E"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izmaiņas, salīdzinot ar vidēja termiņa budžeta ietvaru n+2 gadam</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6CDE9"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izmaiņas, salīdzinot ar vidēja termiņa budžeta ietvaru n+2 gadam</w:t>
            </w:r>
          </w:p>
        </w:tc>
      </w:tr>
      <w:tr w:rsidR="00E0008B" w:rsidRPr="003C0EC2" w14:paraId="11CBB3A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7DC65"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1</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DED5F3"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2</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C29B27"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3</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6F2C6"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4</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5C53F9"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5</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E3A38"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6</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DC4A1E"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7</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14173A"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8</w:t>
            </w:r>
          </w:p>
        </w:tc>
      </w:tr>
      <w:tr w:rsidR="00411E23" w:rsidRPr="003C0EC2" w14:paraId="22D5FC72"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4EB72418"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1. Budžeta ieņēmumi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F0892E" w14:textId="186144FC"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CB8918" w14:textId="66A0329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B574053" w14:textId="629B898A"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4B8B7E" w14:textId="03F86733"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33245D" w14:textId="6B9BD0DD"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06B11E" w14:textId="53A8971C"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C5A19D" w14:textId="05B9EB83"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w:t>
            </w:r>
          </w:p>
        </w:tc>
      </w:tr>
      <w:tr w:rsidR="00E0008B" w:rsidRPr="003C0EC2" w14:paraId="3B9372D1"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0642775C"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1.1. valsts pamatbudžets, tai skaitā ieņēmumi no maksas pakalpojumiem un citi pašu ieņēmumi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9C503" w14:textId="618B7B0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7CD99" w14:textId="78C2700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hAnsi="Times New Roman" w:cs="Times New Roman"/>
                <w:color w:val="414142"/>
                <w:shd w:val="clear" w:color="auto" w:fill="FFFFFF"/>
              </w:rPr>
              <w:t>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D72153" w14:textId="2B85BE1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hAnsi="Times New Roman" w:cs="Times New Roman"/>
                <w:color w:val="414142"/>
                <w:shd w:val="clear" w:color="auto" w:fill="FFFFFF"/>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65694" w14:textId="672C16E8"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hAnsi="Times New Roman" w:cs="Times New Roman"/>
                <w:color w:val="414142"/>
                <w:shd w:val="clear" w:color="auto" w:fill="FFFFFF"/>
              </w:rPr>
              <w:t>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4350D" w14:textId="09C69818"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hAnsi="Times New Roman" w:cs="Times New Roman"/>
                <w:color w:val="414142"/>
                <w:shd w:val="clear" w:color="auto" w:fill="FFFFFF"/>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03D990" w14:textId="4173894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hAnsi="Times New Roman" w:cs="Times New Roman"/>
                <w:color w:val="414142"/>
                <w:shd w:val="clear" w:color="auto" w:fill="FFFFFF"/>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E38BD" w14:textId="7247D79A"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hAnsi="Times New Roman" w:cs="Times New Roman"/>
                <w:color w:val="414142"/>
                <w:shd w:val="clear" w:color="auto" w:fill="FFFFFF"/>
              </w:rPr>
              <w:t>nav precīzi aprēķināms</w:t>
            </w:r>
          </w:p>
        </w:tc>
      </w:tr>
      <w:tr w:rsidR="00E0008B" w:rsidRPr="003C0EC2" w14:paraId="5EB186FA"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22A892B2"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1.2. valsts speciālais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10772E" w14:textId="2F7BE59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B8E23F" w14:textId="3F239238"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C701D" w14:textId="52AD494E"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F5F196" w14:textId="5CE222CE"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1D44B" w14:textId="6A5E212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7A220E" w14:textId="382A0F8F"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940A2" w14:textId="40A3C49B"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15F595A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5B941609"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1.3. pašvaldību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1E42B7" w14:textId="65BA381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F25274" w14:textId="3407872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1FC2B" w14:textId="1FD8BC1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43B0CD" w14:textId="58B548F3"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E25E46" w14:textId="3DBC76C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4766F0" w14:textId="0224BA36"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4F846" w14:textId="560852E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715694C6"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097A3987"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2. Budžeta izdevumi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DA312"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65B7C5"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7A5F5"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B673FB"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C4511"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271B2"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108F4F"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r>
      <w:tr w:rsidR="00E0008B" w:rsidRPr="003C0EC2" w14:paraId="1BCC99E6"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21967049"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2.1. valsts pamatbudžets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5E59D7" w14:textId="488CA80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A96538" w14:textId="5715F6AB"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9D068F" w14:textId="00A4E2D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118778" w14:textId="509E9749"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6F99B" w14:textId="6F1EB52B"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2A88B" w14:textId="08191C46"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A8B24B" w14:textId="465E616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1424EFC8"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1338DE4E"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2.2. valsts speciālais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B51056" w14:textId="2DCB7A3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056FC" w14:textId="721B9878"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5CDAC" w14:textId="27B5184D"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C02E4D" w14:textId="6971FA3E"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BD329D" w14:textId="549A062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4B876E" w14:textId="33EBA42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74AFF" w14:textId="7205EBD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608F0989"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680F88A5"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2.3. pašvaldību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FA1C9A" w14:textId="6834CE33"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2800AF" w14:textId="4CD75E8E"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AF1103" w14:textId="7D535A3B"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2C9F52" w14:textId="01B971D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D0C1" w14:textId="424FED16"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9D25ED" w14:textId="0F474B8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4B636" w14:textId="3D282433"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03193F40"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6A6DB764"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3. Finansiālā ietekme</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16361"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E30DE"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D58A12"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1E8AB7"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C4E79"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B3014"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104AFA"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r>
      <w:tr w:rsidR="00E0008B" w:rsidRPr="003C0EC2" w14:paraId="23E5B739"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7A9C3956"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3.1. valsts pamatbudžets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09633" w14:textId="1FEE191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9EF9F7" w14:textId="66CB1ADA"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877F6" w14:textId="62100A01"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EDC53" w14:textId="2C60DBE1"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6752B1" w14:textId="3DC0C7BF"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DC116A" w14:textId="63BF3818"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94E36E" w14:textId="683A8D65"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r>
      <w:tr w:rsidR="00E0008B" w:rsidRPr="003C0EC2" w14:paraId="5B3603EE"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3EB2CB64"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3.2. speciālais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319251" w14:textId="294F5B5F"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C72935" w14:textId="64711E3B"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84B2CB" w14:textId="62A1ABA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CBD5BD" w14:textId="6F4306E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36BC8" w14:textId="796D8318"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DAB35D" w14:textId="794B1731" w:rsidR="003C0EC2" w:rsidRPr="00C764FD" w:rsidRDefault="00411E23"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0</w:t>
            </w:r>
            <w:r w:rsidR="003C0EC2"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200394" w14:textId="50C5AD28" w:rsidR="003C0EC2" w:rsidRPr="00C764FD" w:rsidRDefault="00411E23"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0</w:t>
            </w:r>
            <w:r w:rsidR="003C0EC2" w:rsidRPr="00C764FD">
              <w:rPr>
                <w:rFonts w:ascii="Times New Roman" w:eastAsia="Times New Roman" w:hAnsi="Times New Roman" w:cs="Times New Roman"/>
                <w:color w:val="414142"/>
                <w:lang w:eastAsia="lv-LV"/>
              </w:rPr>
              <w:t> </w:t>
            </w:r>
          </w:p>
        </w:tc>
      </w:tr>
      <w:tr w:rsidR="00E0008B" w:rsidRPr="003C0EC2" w14:paraId="43F7F51D"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4241A005"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lastRenderedPageBreak/>
              <w:t>3.3. pašvaldību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A4C27F" w14:textId="4A90C93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C66471" w14:textId="2F83720F"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828E1" w14:textId="60BB7CB1"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513D0" w14:textId="13AB8AF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A5BE65" w14:textId="36FDDD99"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860C7F" w14:textId="442B0A3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A3BE0" w14:textId="42333BA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4A4713CD"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1A833360"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4. Finanšu līdzekļi papildu izdevumu finansēšanai (kompensējošu izdevumu samazinājumu norāda ar "+" zīmi)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56BB8C" w14:textId="4283D8BF" w:rsidR="003C0EC2" w:rsidRPr="00C764FD" w:rsidRDefault="00411E23"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0</w:t>
            </w:r>
            <w:r w:rsidR="003C0EC2"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65C340" w14:textId="571EECE1"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003C7A" w14:textId="5872573E"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CE013" w14:textId="3589C7C1"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CD04E2" w14:textId="01C115FA"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10CA0" w14:textId="6774C9A5"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8E0449" w14:textId="0668B72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1F34B991"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23CF6A8E"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5. Precizēta finansiālā ietekme</w:t>
            </w:r>
          </w:p>
        </w:tc>
        <w:tc>
          <w:tcPr>
            <w:tcW w:w="106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77D36"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B603A"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6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376238"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FCD52"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6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4877F"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F02A1"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54BF1F"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r>
      <w:tr w:rsidR="003C0EC2" w:rsidRPr="003C0EC2" w14:paraId="1E4F0E2D"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44BFB715"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5.1. valsts pamatbudžets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F7E71"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027869" w14:textId="2747AF6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D2394D"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CFAB0" w14:textId="0B7086ED"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A2939"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C5024" w14:textId="34923019"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B4626" w14:textId="385B551D"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r>
      <w:tr w:rsidR="003C0EC2" w:rsidRPr="003C0EC2" w14:paraId="57388D60"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59DF9D40"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5.2. speciālais budžets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09656"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B44546" w14:textId="0420489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D254CA"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0B925E" w14:textId="747D646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AD07A"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1CB83B" w14:textId="51F29FD1"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48D2B" w14:textId="20B0446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3C0EC2" w:rsidRPr="003C0EC2" w14:paraId="0537826B"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2F948527"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5.3. pašvaldību budžets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C4E482"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F4A08" w14:textId="658D008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480A06"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5380F" w14:textId="0981C1C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473EA"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F9C7D" w14:textId="63E9F03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3685D" w14:textId="253D94B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43647A90"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3D92F30D"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7487"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30BB2" w14:textId="14EBD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r>
      <w:tr w:rsidR="00E0008B" w:rsidRPr="003C0EC2" w14:paraId="633DE184"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00BECA6C"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6.1. detalizēts ieņēmumu aprēķins</w:t>
            </w:r>
          </w:p>
        </w:tc>
        <w:tc>
          <w:tcPr>
            <w:tcW w:w="7487"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83820"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r>
      <w:tr w:rsidR="00E0008B" w:rsidRPr="003C0EC2" w14:paraId="0286397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58016BA4"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6.2. detalizēts izdevumu aprēķins</w:t>
            </w:r>
          </w:p>
        </w:tc>
        <w:tc>
          <w:tcPr>
            <w:tcW w:w="7487"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B5D47"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r>
      <w:tr w:rsidR="00E0008B" w:rsidRPr="003C0EC2" w14:paraId="550A2014"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72569D48"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7. Amata vietu skaita izmaiņas</w:t>
            </w:r>
          </w:p>
        </w:tc>
        <w:tc>
          <w:tcPr>
            <w:tcW w:w="7487"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03230EB" w14:textId="77777777" w:rsidR="003C0EC2" w:rsidRDefault="00240AAE" w:rsidP="003C0EC2">
            <w:pPr>
              <w:spacing w:after="0" w:line="240" w:lineRule="auto"/>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p w14:paraId="7FDCCF50" w14:textId="0416F7EF" w:rsidR="00240AAE" w:rsidRPr="00C764FD" w:rsidRDefault="00240AAE" w:rsidP="003C0EC2">
            <w:pPr>
              <w:spacing w:after="0" w:line="240" w:lineRule="auto"/>
              <w:rPr>
                <w:rFonts w:ascii="Times New Roman" w:eastAsia="Times New Roman" w:hAnsi="Times New Roman" w:cs="Times New Roman"/>
                <w:color w:val="414142"/>
                <w:lang w:eastAsia="lv-LV"/>
              </w:rPr>
            </w:pPr>
          </w:p>
        </w:tc>
      </w:tr>
      <w:tr w:rsidR="00E0008B" w:rsidRPr="003C0EC2" w14:paraId="13040B07"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007D8E63"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8. Cita informācija</w:t>
            </w:r>
          </w:p>
        </w:tc>
        <w:tc>
          <w:tcPr>
            <w:tcW w:w="7487"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FB553FA" w14:textId="77777777" w:rsidR="00DC6915" w:rsidRDefault="00E0008B" w:rsidP="00E0008B">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xml:space="preserve">Akcīzes nodokļa atcelšana dabasgāzei, kuru izmanto kā degvielu transportā neatstās būtisku negatīvu ietekmi uz valsts budžeta ieņēmumiem. 2018.gadā ieņēmumi valsts budžetā no akcīzes nodokļa par dabasgāzi, kuru izmanto transportā, veidoja 6703,97 </w:t>
            </w:r>
            <w:proofErr w:type="spellStart"/>
            <w:r w:rsidRPr="00C764FD">
              <w:rPr>
                <w:rFonts w:ascii="Times New Roman" w:eastAsia="Times New Roman" w:hAnsi="Times New Roman" w:cs="Times New Roman"/>
                <w:color w:val="414142"/>
                <w:lang w:eastAsia="lv-LV"/>
              </w:rPr>
              <w:t>euro</w:t>
            </w:r>
            <w:proofErr w:type="spellEnd"/>
            <w:r w:rsidRPr="00C764FD">
              <w:rPr>
                <w:rFonts w:ascii="Times New Roman" w:eastAsia="Times New Roman" w:hAnsi="Times New Roman" w:cs="Times New Roman"/>
                <w:color w:val="414142"/>
                <w:lang w:eastAsia="lv-LV"/>
              </w:rPr>
              <w:t xml:space="preserve">. </w:t>
            </w:r>
          </w:p>
          <w:p w14:paraId="1FABDA5A" w14:textId="25F0404C" w:rsidR="00966E1C" w:rsidRDefault="00E0008B" w:rsidP="00E0008B">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xml:space="preserve">Informatīvajā ziņojumā "Par nodokļu politikas attīstības virzieniem, valsts sociālās ilgtspējas un ekonomikas konkurētspējas veicināšanai" (apstiprināts ar Ministru kabineta 2020.gada 2.septembra sēdē) ir prognozēta 0,0213 milj. </w:t>
            </w:r>
            <w:proofErr w:type="spellStart"/>
            <w:r w:rsidRPr="00C764FD">
              <w:rPr>
                <w:rFonts w:ascii="Times New Roman" w:eastAsia="Times New Roman" w:hAnsi="Times New Roman" w:cs="Times New Roman"/>
                <w:color w:val="414142"/>
                <w:lang w:eastAsia="lv-LV"/>
              </w:rPr>
              <w:t>euro</w:t>
            </w:r>
            <w:proofErr w:type="spellEnd"/>
            <w:r w:rsidRPr="00C764FD">
              <w:rPr>
                <w:rFonts w:ascii="Times New Roman" w:eastAsia="Times New Roman" w:hAnsi="Times New Roman" w:cs="Times New Roman"/>
                <w:color w:val="414142"/>
                <w:lang w:eastAsia="lv-LV"/>
              </w:rPr>
              <w:t xml:space="preserve"> negatīva fiskālā ietekme, kura ir aprēķināta 3 gadiem.  </w:t>
            </w:r>
            <w:r w:rsidR="00DC6915">
              <w:rPr>
                <w:rFonts w:ascii="Times New Roman" w:eastAsia="Times New Roman" w:hAnsi="Times New Roman" w:cs="Times New Roman"/>
                <w:color w:val="414142"/>
                <w:lang w:eastAsia="lv-LV"/>
              </w:rPr>
              <w:t xml:space="preserve">Vienlaikus, Finanšu ministrija norāda, </w:t>
            </w:r>
            <w:r w:rsidR="00DC6915">
              <w:rPr>
                <w:rFonts w:ascii="Times New Roman" w:eastAsia="Times New Roman" w:hAnsi="Times New Roman" w:cs="Times New Roman"/>
                <w:color w:val="414142"/>
                <w:lang w:eastAsia="lv-LV"/>
              </w:rPr>
              <w:lastRenderedPageBreak/>
              <w:t xml:space="preserve">ka </w:t>
            </w:r>
            <w:r w:rsidR="00DC6915" w:rsidRPr="00DC6915">
              <w:rPr>
                <w:rFonts w:ascii="Times New Roman" w:eastAsia="Times New Roman" w:hAnsi="Times New Roman" w:cs="Times New Roman"/>
                <w:color w:val="414142"/>
                <w:lang w:eastAsia="lv-LV"/>
              </w:rPr>
              <w:t xml:space="preserve">ņemot vērā aktualizētos datus par dabasgāzes kā transporta degvielas patēriņu, negatīvā fiskālā ietekme 2021.gadā būs </w:t>
            </w:r>
            <w:r w:rsidR="00DC6915">
              <w:rPr>
                <w:rFonts w:ascii="Times New Roman" w:eastAsia="Times New Roman" w:hAnsi="Times New Roman" w:cs="Times New Roman"/>
                <w:color w:val="414142"/>
                <w:lang w:eastAsia="lv-LV"/>
              </w:rPr>
              <w:t>aptuveni</w:t>
            </w:r>
            <w:r w:rsidR="00DC6915" w:rsidRPr="00DC6915">
              <w:rPr>
                <w:rFonts w:ascii="Times New Roman" w:eastAsia="Times New Roman" w:hAnsi="Times New Roman" w:cs="Times New Roman"/>
                <w:color w:val="414142"/>
                <w:lang w:eastAsia="lv-LV"/>
              </w:rPr>
              <w:t xml:space="preserve"> 72 tūkst. </w:t>
            </w:r>
            <w:proofErr w:type="spellStart"/>
            <w:r w:rsidR="00DC6915" w:rsidRPr="00DC6915">
              <w:rPr>
                <w:rFonts w:ascii="Times New Roman" w:eastAsia="Times New Roman" w:hAnsi="Times New Roman" w:cs="Times New Roman"/>
                <w:color w:val="414142"/>
                <w:lang w:eastAsia="lv-LV"/>
              </w:rPr>
              <w:t>euro</w:t>
            </w:r>
            <w:proofErr w:type="spellEnd"/>
            <w:r w:rsidR="00DC6915" w:rsidRPr="00DC6915">
              <w:rPr>
                <w:rFonts w:ascii="Times New Roman" w:eastAsia="Times New Roman" w:hAnsi="Times New Roman" w:cs="Times New Roman"/>
                <w:color w:val="414142"/>
                <w:lang w:eastAsia="lv-LV"/>
              </w:rPr>
              <w:t xml:space="preserve"> (ieskaitot pievienotās vērtības nodokli). </w:t>
            </w:r>
            <w:r w:rsidR="00807F42">
              <w:rPr>
                <w:rFonts w:ascii="Times New Roman" w:eastAsia="Times New Roman" w:hAnsi="Times New Roman" w:cs="Times New Roman"/>
                <w:color w:val="414142"/>
                <w:lang w:eastAsia="lv-LV"/>
              </w:rPr>
              <w:t>T</w:t>
            </w:r>
            <w:r w:rsidR="00DC6915" w:rsidRPr="00DC6915">
              <w:rPr>
                <w:rFonts w:ascii="Times New Roman" w:eastAsia="Times New Roman" w:hAnsi="Times New Roman" w:cs="Times New Roman"/>
                <w:color w:val="414142"/>
                <w:lang w:eastAsia="lv-LV"/>
              </w:rPr>
              <w:t>urpmākajos gados (2022. un 2023.gadā) negatīvā fiskālā ietekme varētu būt lielāka, jo dabasgāzes patēriņš pieaugs, bet citu naftas produktu patēriņš attiecīgi samazināsies.</w:t>
            </w:r>
          </w:p>
          <w:p w14:paraId="399D3044" w14:textId="5E516C74" w:rsidR="00966E1C" w:rsidRDefault="00966E1C" w:rsidP="00E0008B">
            <w:pPr>
              <w:spacing w:after="0" w:line="240" w:lineRule="auto"/>
              <w:rPr>
                <w:rFonts w:ascii="Times New Roman" w:eastAsia="Times New Roman" w:hAnsi="Times New Roman" w:cs="Times New Roman"/>
                <w:color w:val="414142"/>
                <w:lang w:eastAsia="lv-LV"/>
              </w:rPr>
            </w:pPr>
          </w:p>
          <w:p w14:paraId="74BA907A" w14:textId="77777777" w:rsidR="00966E1C" w:rsidRDefault="00966E1C" w:rsidP="00E0008B">
            <w:pPr>
              <w:spacing w:after="0" w:line="240" w:lineRule="auto"/>
              <w:rPr>
                <w:rFonts w:ascii="Times New Roman" w:eastAsia="Times New Roman" w:hAnsi="Times New Roman" w:cs="Times New Roman"/>
                <w:color w:val="414142"/>
                <w:lang w:eastAsia="lv-LV"/>
              </w:rPr>
            </w:pPr>
          </w:p>
          <w:p w14:paraId="7455765C" w14:textId="77777777" w:rsidR="00966E1C" w:rsidRPr="00C764FD" w:rsidRDefault="00966E1C" w:rsidP="00E0008B">
            <w:pPr>
              <w:spacing w:after="0" w:line="240" w:lineRule="auto"/>
              <w:rPr>
                <w:rFonts w:ascii="Times New Roman" w:eastAsia="Times New Roman" w:hAnsi="Times New Roman" w:cs="Times New Roman"/>
                <w:color w:val="414142"/>
                <w:lang w:eastAsia="lv-LV"/>
              </w:rPr>
            </w:pPr>
          </w:p>
          <w:p w14:paraId="6BCC2DC0" w14:textId="4FC82E06" w:rsidR="003C0EC2" w:rsidRPr="00C764FD" w:rsidRDefault="003C0EC2" w:rsidP="00E0008B">
            <w:pPr>
              <w:spacing w:after="0" w:line="240" w:lineRule="auto"/>
              <w:rPr>
                <w:rFonts w:ascii="Times New Roman" w:eastAsia="Times New Roman" w:hAnsi="Times New Roman" w:cs="Times New Roman"/>
                <w:color w:val="414142"/>
                <w:lang w:eastAsia="lv-LV"/>
              </w:rPr>
            </w:pPr>
          </w:p>
        </w:tc>
      </w:tr>
    </w:tbl>
    <w:p w14:paraId="4C796DDB" w14:textId="77777777" w:rsidR="00F44F14" w:rsidRPr="00294E3E" w:rsidRDefault="00F44F14" w:rsidP="006D398D">
      <w:pPr>
        <w:spacing w:before="120" w:after="120" w:line="240" w:lineRule="auto"/>
        <w:rPr>
          <w:rFonts w:ascii="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987784" w:rsidRPr="00294E3E" w14:paraId="471B40C2" w14:textId="77777777" w:rsidTr="00987784">
        <w:trPr>
          <w:cantSplit/>
        </w:trPr>
        <w:tc>
          <w:tcPr>
            <w:tcW w:w="9065" w:type="dxa"/>
            <w:vAlign w:val="center"/>
            <w:hideMark/>
          </w:tcPr>
          <w:p w14:paraId="69784C7D" w14:textId="77777777" w:rsidR="00987784" w:rsidRPr="00294E3E" w:rsidRDefault="00987784" w:rsidP="006D398D">
            <w:pPr>
              <w:spacing w:before="120" w:after="120" w:line="240" w:lineRule="auto"/>
              <w:jc w:val="center"/>
              <w:rPr>
                <w:rFonts w:ascii="Times New Roman" w:hAnsi="Times New Roman" w:cs="Times New Roman"/>
                <w:b/>
                <w:bCs/>
                <w:sz w:val="24"/>
                <w:szCs w:val="24"/>
              </w:rPr>
            </w:pPr>
            <w:r w:rsidRPr="00294E3E">
              <w:rPr>
                <w:rFonts w:ascii="Times New Roman" w:hAnsi="Times New Roman" w:cs="Times New Roman"/>
                <w:b/>
                <w:bCs/>
                <w:sz w:val="24"/>
                <w:szCs w:val="24"/>
              </w:rPr>
              <w:t>IV. Tiesību akta projekta ietekme uz spēkā esošo tiesību normu sistēmu</w:t>
            </w:r>
          </w:p>
        </w:tc>
      </w:tr>
      <w:tr w:rsidR="00AA543A" w:rsidRPr="004F02C8" w14:paraId="673A177D" w14:textId="77777777" w:rsidTr="00AA543A">
        <w:trPr>
          <w:cantSplit/>
        </w:trPr>
        <w:tc>
          <w:tcPr>
            <w:tcW w:w="9065" w:type="dxa"/>
            <w:vAlign w:val="center"/>
          </w:tcPr>
          <w:p w14:paraId="7B903B26" w14:textId="0C24E638" w:rsidR="00AA543A" w:rsidRPr="001B5800" w:rsidRDefault="00AA543A" w:rsidP="00AA543A">
            <w:pPr>
              <w:spacing w:before="120" w:after="120" w:line="240" w:lineRule="auto"/>
              <w:ind w:left="134" w:right="110"/>
              <w:jc w:val="center"/>
              <w:rPr>
                <w:rFonts w:ascii="Times New Roman" w:hAnsi="Times New Roman" w:cs="Times New Roman"/>
                <w:color w:val="000000" w:themeColor="text1"/>
                <w:sz w:val="24"/>
                <w:szCs w:val="24"/>
              </w:rPr>
            </w:pPr>
            <w:r w:rsidRPr="00AA543A">
              <w:rPr>
                <w:rFonts w:ascii="Times New Roman" w:hAnsi="Times New Roman" w:cs="Times New Roman"/>
                <w:color w:val="000000" w:themeColor="text1"/>
                <w:sz w:val="24"/>
                <w:szCs w:val="24"/>
              </w:rPr>
              <w:t>Pr</w:t>
            </w:r>
            <w:r>
              <w:rPr>
                <w:rFonts w:ascii="Times New Roman" w:hAnsi="Times New Roman" w:cs="Times New Roman"/>
                <w:color w:val="000000" w:themeColor="text1"/>
                <w:sz w:val="24"/>
                <w:szCs w:val="24"/>
              </w:rPr>
              <w:t>ojekts šo jomu neskar</w:t>
            </w:r>
            <w:r w:rsidR="00A411D8">
              <w:rPr>
                <w:rFonts w:ascii="Times New Roman" w:hAnsi="Times New Roman" w:cs="Times New Roman"/>
                <w:color w:val="000000" w:themeColor="text1"/>
                <w:sz w:val="24"/>
                <w:szCs w:val="24"/>
              </w:rPr>
              <w:t>.</w:t>
            </w:r>
          </w:p>
        </w:tc>
      </w:tr>
    </w:tbl>
    <w:p w14:paraId="3AA40BD3" w14:textId="77777777" w:rsidR="00987784" w:rsidRPr="004F02C8" w:rsidRDefault="00987784" w:rsidP="006D398D">
      <w:pPr>
        <w:pStyle w:val="Title"/>
        <w:spacing w:before="120" w:after="120"/>
        <w:ind w:firstLine="539"/>
        <w:jc w:val="both"/>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969"/>
        <w:gridCol w:w="1711"/>
        <w:gridCol w:w="709"/>
        <w:gridCol w:w="2887"/>
        <w:gridCol w:w="2222"/>
      </w:tblGrid>
      <w:tr w:rsidR="004F02C8" w:rsidRPr="004F02C8" w14:paraId="6DE3A6E3" w14:textId="77777777" w:rsidTr="00341051">
        <w:trPr>
          <w:cantSplit/>
        </w:trPr>
        <w:tc>
          <w:tcPr>
            <w:tcW w:w="5000" w:type="pct"/>
            <w:gridSpan w:val="6"/>
            <w:vAlign w:val="center"/>
            <w:hideMark/>
          </w:tcPr>
          <w:p w14:paraId="42666955" w14:textId="77777777" w:rsidR="00987784" w:rsidRPr="001B5800" w:rsidRDefault="00987784" w:rsidP="006D398D">
            <w:pPr>
              <w:spacing w:before="120" w:after="120" w:line="240" w:lineRule="auto"/>
              <w:jc w:val="center"/>
              <w:rPr>
                <w:rFonts w:ascii="Times New Roman" w:hAnsi="Times New Roman" w:cs="Times New Roman"/>
                <w:b/>
                <w:bCs/>
                <w:color w:val="000000" w:themeColor="text1"/>
                <w:sz w:val="24"/>
                <w:szCs w:val="24"/>
              </w:rPr>
            </w:pPr>
            <w:r w:rsidRPr="001B5800">
              <w:rPr>
                <w:rFonts w:ascii="Times New Roman" w:hAnsi="Times New Roman" w:cs="Times New Roman"/>
                <w:b/>
                <w:bCs/>
                <w:color w:val="000000" w:themeColor="text1"/>
                <w:sz w:val="24"/>
                <w:szCs w:val="24"/>
              </w:rPr>
              <w:t>V. Tiesību akta projekta atbilstība Latvijas Republikas starptautiskajām saistībām</w:t>
            </w:r>
          </w:p>
        </w:tc>
      </w:tr>
      <w:tr w:rsidR="004F02C8" w:rsidRPr="004F02C8" w14:paraId="581DB756" w14:textId="77777777" w:rsidTr="00341051">
        <w:trPr>
          <w:cantSplit/>
        </w:trPr>
        <w:tc>
          <w:tcPr>
            <w:tcW w:w="311" w:type="pct"/>
            <w:hideMark/>
          </w:tcPr>
          <w:p w14:paraId="51863778" w14:textId="77777777" w:rsidR="00987784" w:rsidRPr="001B5800" w:rsidRDefault="00987784" w:rsidP="006D398D">
            <w:pPr>
              <w:spacing w:before="120" w:after="120" w:line="240" w:lineRule="auto"/>
              <w:jc w:val="center"/>
              <w:rPr>
                <w:rFonts w:ascii="Times New Roman" w:hAnsi="Times New Roman" w:cs="Times New Roman"/>
                <w:color w:val="000000" w:themeColor="text1"/>
                <w:sz w:val="24"/>
                <w:szCs w:val="24"/>
              </w:rPr>
            </w:pPr>
            <w:r w:rsidRPr="001B5800">
              <w:rPr>
                <w:rFonts w:ascii="Times New Roman" w:hAnsi="Times New Roman" w:cs="Times New Roman"/>
                <w:color w:val="000000" w:themeColor="text1"/>
                <w:sz w:val="24"/>
                <w:szCs w:val="24"/>
              </w:rPr>
              <w:t>1.</w:t>
            </w:r>
          </w:p>
        </w:tc>
        <w:tc>
          <w:tcPr>
            <w:tcW w:w="1479" w:type="pct"/>
            <w:gridSpan w:val="2"/>
            <w:hideMark/>
          </w:tcPr>
          <w:p w14:paraId="250ACABD" w14:textId="77777777" w:rsidR="00987784" w:rsidRPr="001B5800" w:rsidRDefault="00987784" w:rsidP="006D398D">
            <w:pPr>
              <w:spacing w:before="120" w:after="120" w:line="240" w:lineRule="auto"/>
              <w:rPr>
                <w:rFonts w:ascii="Times New Roman" w:hAnsi="Times New Roman" w:cs="Times New Roman"/>
                <w:color w:val="000000" w:themeColor="text1"/>
                <w:sz w:val="24"/>
                <w:szCs w:val="24"/>
              </w:rPr>
            </w:pPr>
            <w:r w:rsidRPr="001B5800">
              <w:rPr>
                <w:rFonts w:ascii="Times New Roman" w:hAnsi="Times New Roman" w:cs="Times New Roman"/>
                <w:color w:val="000000" w:themeColor="text1"/>
                <w:sz w:val="24"/>
                <w:szCs w:val="24"/>
              </w:rPr>
              <w:t>Saistības pret Eiropas Savienību</w:t>
            </w:r>
          </w:p>
        </w:tc>
        <w:tc>
          <w:tcPr>
            <w:tcW w:w="3210" w:type="pct"/>
            <w:gridSpan w:val="3"/>
            <w:hideMark/>
          </w:tcPr>
          <w:p w14:paraId="2A108DD4" w14:textId="0461B0DF" w:rsidR="00987784" w:rsidRPr="001B5800" w:rsidRDefault="00D663E6" w:rsidP="00C764FD">
            <w:pPr>
              <w:spacing w:before="120" w:after="120" w:line="240" w:lineRule="auto"/>
              <w:jc w:val="both"/>
              <w:rPr>
                <w:rFonts w:ascii="Times New Roman" w:hAnsi="Times New Roman" w:cs="Times New Roman"/>
                <w:color w:val="000000" w:themeColor="text1"/>
                <w:sz w:val="24"/>
                <w:szCs w:val="24"/>
              </w:rPr>
            </w:pPr>
            <w:r w:rsidRPr="00D663E6">
              <w:rPr>
                <w:rFonts w:ascii="Times New Roman" w:hAnsi="Times New Roman" w:cs="Times New Roman"/>
                <w:color w:val="000000" w:themeColor="text1"/>
                <w:sz w:val="24"/>
                <w:szCs w:val="24"/>
              </w:rPr>
              <w:t>Likumprojekt</w:t>
            </w:r>
            <w:r w:rsidR="00F079BA">
              <w:rPr>
                <w:rFonts w:ascii="Times New Roman" w:hAnsi="Times New Roman" w:cs="Times New Roman"/>
                <w:color w:val="000000" w:themeColor="text1"/>
                <w:sz w:val="24"/>
                <w:szCs w:val="24"/>
              </w:rPr>
              <w:t xml:space="preserve">s veicinās </w:t>
            </w:r>
            <w:r w:rsidRPr="00D663E6">
              <w:rPr>
                <w:rFonts w:ascii="Times New Roman" w:hAnsi="Times New Roman" w:cs="Times New Roman"/>
                <w:color w:val="000000" w:themeColor="text1"/>
                <w:sz w:val="24"/>
                <w:szCs w:val="24"/>
              </w:rPr>
              <w:t xml:space="preserve"> Eiropas Parlamenta un Padomes 2014.gada 22.oktobra Direktīvas 2014/94/ES par alternatīvo degvielu infrastruktūras </w:t>
            </w:r>
            <w:r w:rsidR="00F079BA">
              <w:rPr>
                <w:rFonts w:ascii="Times New Roman" w:hAnsi="Times New Roman" w:cs="Times New Roman"/>
                <w:color w:val="000000" w:themeColor="text1"/>
                <w:sz w:val="24"/>
                <w:szCs w:val="24"/>
              </w:rPr>
              <w:t xml:space="preserve">iekļauto normu </w:t>
            </w:r>
            <w:r w:rsidRPr="00D663E6">
              <w:rPr>
                <w:rFonts w:ascii="Times New Roman" w:hAnsi="Times New Roman" w:cs="Times New Roman"/>
                <w:color w:val="000000" w:themeColor="text1"/>
                <w:sz w:val="24"/>
                <w:szCs w:val="24"/>
              </w:rPr>
              <w:t>ieviešanu</w:t>
            </w:r>
            <w:r>
              <w:rPr>
                <w:rFonts w:ascii="Times New Roman" w:hAnsi="Times New Roman" w:cs="Times New Roman"/>
                <w:color w:val="000000" w:themeColor="text1"/>
                <w:sz w:val="24"/>
                <w:szCs w:val="24"/>
              </w:rPr>
              <w:t>.</w:t>
            </w:r>
          </w:p>
        </w:tc>
      </w:tr>
      <w:tr w:rsidR="004F02C8" w:rsidRPr="004F02C8" w14:paraId="46BD877F" w14:textId="77777777" w:rsidTr="00341051">
        <w:trPr>
          <w:cantSplit/>
        </w:trPr>
        <w:tc>
          <w:tcPr>
            <w:tcW w:w="311" w:type="pct"/>
            <w:hideMark/>
          </w:tcPr>
          <w:p w14:paraId="070F365D" w14:textId="77777777" w:rsidR="00987784" w:rsidRPr="001B5800" w:rsidRDefault="00987784" w:rsidP="006D398D">
            <w:pPr>
              <w:spacing w:before="120" w:after="120" w:line="240" w:lineRule="auto"/>
              <w:jc w:val="center"/>
              <w:rPr>
                <w:rFonts w:ascii="Times New Roman" w:hAnsi="Times New Roman" w:cs="Times New Roman"/>
                <w:color w:val="000000" w:themeColor="text1"/>
                <w:sz w:val="24"/>
                <w:szCs w:val="24"/>
              </w:rPr>
            </w:pPr>
            <w:r w:rsidRPr="001B5800">
              <w:rPr>
                <w:rFonts w:ascii="Times New Roman" w:hAnsi="Times New Roman" w:cs="Times New Roman"/>
                <w:color w:val="000000" w:themeColor="text1"/>
                <w:sz w:val="24"/>
                <w:szCs w:val="24"/>
              </w:rPr>
              <w:t>2.</w:t>
            </w:r>
          </w:p>
        </w:tc>
        <w:tc>
          <w:tcPr>
            <w:tcW w:w="1479" w:type="pct"/>
            <w:gridSpan w:val="2"/>
            <w:hideMark/>
          </w:tcPr>
          <w:p w14:paraId="6DA53246" w14:textId="77777777" w:rsidR="00987784" w:rsidRPr="001B5800" w:rsidRDefault="00987784" w:rsidP="006D398D">
            <w:pPr>
              <w:spacing w:before="120" w:after="120" w:line="240" w:lineRule="auto"/>
              <w:rPr>
                <w:rFonts w:ascii="Times New Roman" w:hAnsi="Times New Roman" w:cs="Times New Roman"/>
                <w:color w:val="000000" w:themeColor="text1"/>
                <w:sz w:val="24"/>
                <w:szCs w:val="24"/>
              </w:rPr>
            </w:pPr>
            <w:r w:rsidRPr="001B5800">
              <w:rPr>
                <w:rFonts w:ascii="Times New Roman" w:hAnsi="Times New Roman" w:cs="Times New Roman"/>
                <w:color w:val="000000" w:themeColor="text1"/>
                <w:sz w:val="24"/>
                <w:szCs w:val="24"/>
              </w:rPr>
              <w:t>Citas starptautiskās saistības</w:t>
            </w:r>
          </w:p>
        </w:tc>
        <w:tc>
          <w:tcPr>
            <w:tcW w:w="3210" w:type="pct"/>
            <w:gridSpan w:val="3"/>
            <w:hideMark/>
          </w:tcPr>
          <w:p w14:paraId="758692E0" w14:textId="3E00C1B1" w:rsidR="00987784" w:rsidRPr="001B5800" w:rsidRDefault="00AA543A" w:rsidP="00A71A5A">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Projekts šo jomu neskar</w:t>
            </w:r>
            <w:r w:rsidR="00A411D8">
              <w:rPr>
                <w:rFonts w:ascii="Times New Roman" w:hAnsi="Times New Roman" w:cs="Times New Roman"/>
                <w:color w:val="000000" w:themeColor="text1"/>
                <w:sz w:val="24"/>
                <w:szCs w:val="24"/>
              </w:rPr>
              <w:t>.</w:t>
            </w:r>
          </w:p>
        </w:tc>
      </w:tr>
      <w:tr w:rsidR="00987784" w:rsidRPr="004F02C8" w14:paraId="5A297794" w14:textId="77777777" w:rsidTr="00341051">
        <w:trPr>
          <w:cantSplit/>
        </w:trPr>
        <w:tc>
          <w:tcPr>
            <w:tcW w:w="311" w:type="pct"/>
            <w:hideMark/>
          </w:tcPr>
          <w:p w14:paraId="7003F12B" w14:textId="77777777" w:rsidR="00987784" w:rsidRPr="001B5800" w:rsidRDefault="00987784" w:rsidP="006D398D">
            <w:pPr>
              <w:spacing w:before="120" w:after="120" w:line="240" w:lineRule="auto"/>
              <w:jc w:val="center"/>
              <w:rPr>
                <w:rFonts w:ascii="Times New Roman" w:hAnsi="Times New Roman" w:cs="Times New Roman"/>
                <w:color w:val="000000" w:themeColor="text1"/>
                <w:sz w:val="24"/>
                <w:szCs w:val="24"/>
              </w:rPr>
            </w:pPr>
            <w:r w:rsidRPr="001B5800">
              <w:rPr>
                <w:rFonts w:ascii="Times New Roman" w:hAnsi="Times New Roman" w:cs="Times New Roman"/>
                <w:color w:val="000000" w:themeColor="text1"/>
                <w:sz w:val="24"/>
                <w:szCs w:val="24"/>
              </w:rPr>
              <w:t>3.</w:t>
            </w:r>
          </w:p>
        </w:tc>
        <w:tc>
          <w:tcPr>
            <w:tcW w:w="1479" w:type="pct"/>
            <w:gridSpan w:val="2"/>
            <w:hideMark/>
          </w:tcPr>
          <w:p w14:paraId="6247FD40" w14:textId="77777777" w:rsidR="00987784" w:rsidRPr="001B5800" w:rsidRDefault="00987784" w:rsidP="006D398D">
            <w:pPr>
              <w:spacing w:before="120" w:after="120" w:line="240" w:lineRule="auto"/>
              <w:rPr>
                <w:rFonts w:ascii="Times New Roman" w:hAnsi="Times New Roman" w:cs="Times New Roman"/>
                <w:color w:val="000000" w:themeColor="text1"/>
                <w:sz w:val="24"/>
                <w:szCs w:val="24"/>
              </w:rPr>
            </w:pPr>
            <w:r w:rsidRPr="001B5800">
              <w:rPr>
                <w:rFonts w:ascii="Times New Roman" w:hAnsi="Times New Roman" w:cs="Times New Roman"/>
                <w:color w:val="000000" w:themeColor="text1"/>
                <w:sz w:val="24"/>
                <w:szCs w:val="24"/>
              </w:rPr>
              <w:t>Cita informācija</w:t>
            </w:r>
          </w:p>
        </w:tc>
        <w:tc>
          <w:tcPr>
            <w:tcW w:w="3210" w:type="pct"/>
            <w:gridSpan w:val="3"/>
            <w:hideMark/>
          </w:tcPr>
          <w:p w14:paraId="7ECB5930" w14:textId="3E137965" w:rsidR="00987784" w:rsidRPr="001B5800" w:rsidRDefault="00333BFE" w:rsidP="00A71A5A">
            <w:pPr>
              <w:spacing w:before="120" w:after="120" w:line="240" w:lineRule="auto"/>
              <w:rPr>
                <w:rFonts w:ascii="Times New Roman" w:hAnsi="Times New Roman" w:cs="Times New Roman"/>
                <w:color w:val="000000" w:themeColor="text1"/>
                <w:sz w:val="24"/>
                <w:szCs w:val="24"/>
              </w:rPr>
            </w:pPr>
            <w:r w:rsidRPr="001B5800">
              <w:rPr>
                <w:rFonts w:ascii="Times New Roman" w:hAnsi="Times New Roman" w:cs="Times New Roman"/>
                <w:color w:val="000000" w:themeColor="text1"/>
                <w:sz w:val="24"/>
                <w:szCs w:val="24"/>
              </w:rPr>
              <w:t>Nav</w:t>
            </w:r>
            <w:r w:rsidR="00A411D8">
              <w:rPr>
                <w:rFonts w:ascii="Times New Roman" w:hAnsi="Times New Roman" w:cs="Times New Roman"/>
                <w:color w:val="000000" w:themeColor="text1"/>
                <w:sz w:val="24"/>
                <w:szCs w:val="24"/>
              </w:rPr>
              <w:t>.</w:t>
            </w:r>
          </w:p>
        </w:tc>
      </w:tr>
      <w:tr w:rsidR="00B6105A" w:rsidRPr="00B6105A" w14:paraId="5BEEF35B" w14:textId="77777777" w:rsidTr="006D398D">
        <w:trPr>
          <w:cantSplit/>
        </w:trPr>
        <w:tc>
          <w:tcPr>
            <w:tcW w:w="5000" w:type="pct"/>
            <w:gridSpan w:val="6"/>
            <w:vAlign w:val="center"/>
            <w:hideMark/>
          </w:tcPr>
          <w:p w14:paraId="03DD4D66" w14:textId="77777777" w:rsidR="00987784" w:rsidRPr="00B6105A" w:rsidRDefault="00987784" w:rsidP="006D398D">
            <w:pPr>
              <w:spacing w:before="120" w:after="120" w:line="240" w:lineRule="auto"/>
              <w:jc w:val="center"/>
              <w:rPr>
                <w:rFonts w:ascii="Times New Roman" w:hAnsi="Times New Roman" w:cs="Times New Roman"/>
                <w:b/>
                <w:bCs/>
                <w:color w:val="000000" w:themeColor="text1"/>
                <w:sz w:val="24"/>
                <w:szCs w:val="24"/>
              </w:rPr>
            </w:pPr>
            <w:r w:rsidRPr="00B6105A">
              <w:rPr>
                <w:rFonts w:ascii="Times New Roman" w:hAnsi="Times New Roman" w:cs="Times New Roman"/>
                <w:b/>
                <w:bCs/>
                <w:color w:val="000000" w:themeColor="text1"/>
                <w:sz w:val="24"/>
                <w:szCs w:val="24"/>
              </w:rPr>
              <w:t>1. tabula</w:t>
            </w:r>
            <w:r w:rsidRPr="00B6105A">
              <w:rPr>
                <w:rFonts w:ascii="Times New Roman" w:hAnsi="Times New Roman" w:cs="Times New Roman"/>
                <w:b/>
                <w:bCs/>
                <w:color w:val="000000" w:themeColor="text1"/>
                <w:sz w:val="24"/>
                <w:szCs w:val="24"/>
              </w:rPr>
              <w:br/>
              <w:t>Tiesību akta projekta atbilstība ES tiesību aktiem</w:t>
            </w:r>
          </w:p>
        </w:tc>
      </w:tr>
      <w:tr w:rsidR="00B6105A" w:rsidRPr="00B6105A" w14:paraId="311D3161" w14:textId="77777777" w:rsidTr="006D398D">
        <w:trPr>
          <w:cantSplit/>
        </w:trPr>
        <w:tc>
          <w:tcPr>
            <w:tcW w:w="846" w:type="pct"/>
            <w:gridSpan w:val="2"/>
            <w:hideMark/>
          </w:tcPr>
          <w:p w14:paraId="78FAD7D3" w14:textId="77777777" w:rsidR="00987784" w:rsidRPr="00B6105A" w:rsidRDefault="00D663E6" w:rsidP="006D398D">
            <w:pPr>
              <w:spacing w:before="120" w:after="120" w:line="240" w:lineRule="auto"/>
              <w:rPr>
                <w:rFonts w:ascii="Times New Roman" w:hAnsi="Times New Roman" w:cs="Times New Roman"/>
                <w:color w:val="000000" w:themeColor="text1"/>
                <w:sz w:val="24"/>
                <w:szCs w:val="24"/>
              </w:rPr>
            </w:pPr>
            <w:r w:rsidRPr="00D663E6">
              <w:rPr>
                <w:rFonts w:ascii="Times New Roman" w:hAnsi="Times New Roman" w:cs="Times New Roman"/>
                <w:color w:val="000000" w:themeColor="text1"/>
                <w:sz w:val="24"/>
                <w:szCs w:val="24"/>
              </w:rPr>
              <w:t>Attiecīgā ES tiesību akta datums, numurs un nosaukums</w:t>
            </w:r>
          </w:p>
        </w:tc>
        <w:tc>
          <w:tcPr>
            <w:tcW w:w="4154" w:type="pct"/>
            <w:gridSpan w:val="4"/>
            <w:hideMark/>
          </w:tcPr>
          <w:p w14:paraId="4A36BDD3" w14:textId="7EA0B39A" w:rsidR="00987784" w:rsidRPr="00B6105A" w:rsidRDefault="00D663E6" w:rsidP="00C764FD">
            <w:pPr>
              <w:spacing w:before="120" w:after="120" w:line="240" w:lineRule="auto"/>
              <w:ind w:left="136" w:right="110"/>
              <w:jc w:val="both"/>
              <w:rPr>
                <w:rFonts w:ascii="Times New Roman" w:hAnsi="Times New Roman" w:cs="Times New Roman"/>
                <w:color w:val="000000" w:themeColor="text1"/>
                <w:sz w:val="24"/>
                <w:szCs w:val="24"/>
              </w:rPr>
            </w:pPr>
            <w:r w:rsidRPr="00D663E6">
              <w:rPr>
                <w:rFonts w:ascii="Times New Roman" w:hAnsi="Times New Roman" w:cs="Times New Roman"/>
                <w:color w:val="000000" w:themeColor="text1"/>
                <w:sz w:val="24"/>
                <w:szCs w:val="24"/>
              </w:rPr>
              <w:t>Eiropas Parlamenta un Padomes 2014. gada 22. oktobra Direktīvas 2014/94/ES par alternatīvo degvielu infrastruktūras ieviešanu</w:t>
            </w:r>
            <w:r w:rsidR="00A411D8">
              <w:rPr>
                <w:rFonts w:ascii="Times New Roman" w:hAnsi="Times New Roman" w:cs="Times New Roman"/>
                <w:color w:val="000000" w:themeColor="text1"/>
                <w:sz w:val="24"/>
                <w:szCs w:val="24"/>
              </w:rPr>
              <w:t>.</w:t>
            </w:r>
          </w:p>
        </w:tc>
      </w:tr>
      <w:tr w:rsidR="00B6105A" w:rsidRPr="00B6105A" w14:paraId="703FE6D1" w14:textId="77777777" w:rsidTr="006D398D">
        <w:trPr>
          <w:cantSplit/>
        </w:trPr>
        <w:tc>
          <w:tcPr>
            <w:tcW w:w="846" w:type="pct"/>
            <w:gridSpan w:val="2"/>
            <w:vAlign w:val="center"/>
            <w:hideMark/>
          </w:tcPr>
          <w:p w14:paraId="47FC1507"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A</w:t>
            </w:r>
          </w:p>
        </w:tc>
        <w:tc>
          <w:tcPr>
            <w:tcW w:w="1335" w:type="pct"/>
            <w:gridSpan w:val="2"/>
            <w:vAlign w:val="center"/>
            <w:hideMark/>
          </w:tcPr>
          <w:p w14:paraId="2CBF8FA0"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B</w:t>
            </w:r>
          </w:p>
        </w:tc>
        <w:tc>
          <w:tcPr>
            <w:tcW w:w="1593" w:type="pct"/>
            <w:vAlign w:val="center"/>
            <w:hideMark/>
          </w:tcPr>
          <w:p w14:paraId="4BF5BE0C"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C</w:t>
            </w:r>
          </w:p>
        </w:tc>
        <w:tc>
          <w:tcPr>
            <w:tcW w:w="1226" w:type="pct"/>
            <w:vAlign w:val="center"/>
            <w:hideMark/>
          </w:tcPr>
          <w:p w14:paraId="2D88B2CB"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D</w:t>
            </w:r>
          </w:p>
        </w:tc>
      </w:tr>
      <w:tr w:rsidR="00B6105A" w:rsidRPr="00B6105A" w14:paraId="1702A719" w14:textId="77777777" w:rsidTr="006D398D">
        <w:trPr>
          <w:cantSplit/>
        </w:trPr>
        <w:tc>
          <w:tcPr>
            <w:tcW w:w="846" w:type="pct"/>
            <w:gridSpan w:val="2"/>
            <w:hideMark/>
          </w:tcPr>
          <w:p w14:paraId="5E86CE4B"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lastRenderedPageBreak/>
              <w:t>Attiecīgā ES tiesību akta panta numurs (uzskaitot katru tiesību akta vienību – pantu, daļu, punktu, apakšpunktu)</w:t>
            </w:r>
          </w:p>
        </w:tc>
        <w:tc>
          <w:tcPr>
            <w:tcW w:w="1335" w:type="pct"/>
            <w:gridSpan w:val="2"/>
            <w:hideMark/>
          </w:tcPr>
          <w:p w14:paraId="74A50283"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Projekta vienība, kas pārņem vai ievieš katru šīs tabulas A ailē minēto ES tiesību akta vienību, vai tiesību akts, kur attiecīgā ES tiesību akta vienība pārņemta vai ieviesta</w:t>
            </w:r>
          </w:p>
        </w:tc>
        <w:tc>
          <w:tcPr>
            <w:tcW w:w="1593" w:type="pct"/>
            <w:hideMark/>
          </w:tcPr>
          <w:p w14:paraId="795E51AC"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Informācija par to, vai šīs tabulas A ailē minētās ES tiesību akta vienības tiek pārņemtas vai ieviestas pilnībā vai daļēji.</w:t>
            </w:r>
            <w:r w:rsidRPr="00B6105A">
              <w:rPr>
                <w:rFonts w:ascii="Times New Roman" w:hAnsi="Times New Roman" w:cs="Times New Roman"/>
                <w:color w:val="000000" w:themeColor="text1"/>
                <w:sz w:val="24"/>
                <w:szCs w:val="24"/>
              </w:rPr>
              <w:br/>
              <w:t>Ja attiecīgā ES tiesību akta vienība tiek pārņemta vai ieviesta daļēji, sniedz attiecīgu skaidrojumu, kā arī precīzi norāda, kad un kādā veidā ES tiesību akta vienība tiks pārņemta vai ieviesta pilnībā.</w:t>
            </w:r>
            <w:r w:rsidRPr="00B6105A">
              <w:rPr>
                <w:rFonts w:ascii="Times New Roman" w:hAnsi="Times New Roman" w:cs="Times New Roman"/>
                <w:color w:val="000000" w:themeColor="text1"/>
                <w:sz w:val="24"/>
                <w:szCs w:val="24"/>
              </w:rPr>
              <w:br/>
              <w:t>Norāda institūciju, kas ir atbildīga par šo saistību izpildi pilnībā</w:t>
            </w:r>
          </w:p>
        </w:tc>
        <w:tc>
          <w:tcPr>
            <w:tcW w:w="1226" w:type="pct"/>
            <w:hideMark/>
          </w:tcPr>
          <w:p w14:paraId="32703DE1"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Informācija par to, vai šīs tabulas B ailē minētās projekta vienības paredz stingrākas prasības nekā šīs tabulas A ailē minētās ES tiesību akta vienības.</w:t>
            </w:r>
            <w:r w:rsidRPr="00B6105A">
              <w:rPr>
                <w:rFonts w:ascii="Times New Roman" w:hAnsi="Times New Roman" w:cs="Times New Roman"/>
                <w:color w:val="000000" w:themeColor="text1"/>
                <w:sz w:val="24"/>
                <w:szCs w:val="24"/>
              </w:rPr>
              <w:br/>
              <w:t>Ja projekts satur stingrākas prasības nekā attiecīgais ES tiesību akts, norāda pamatojumu un samērīgumu.</w:t>
            </w:r>
            <w:r w:rsidRPr="00B6105A">
              <w:rPr>
                <w:rFonts w:ascii="Times New Roman" w:hAnsi="Times New Roman" w:cs="Times New Roman"/>
                <w:color w:val="000000" w:themeColor="text1"/>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8324B7" w:rsidRPr="00B6105A" w14:paraId="56D1878A" w14:textId="77777777" w:rsidTr="006D398D">
        <w:trPr>
          <w:cantSplit/>
        </w:trPr>
        <w:tc>
          <w:tcPr>
            <w:tcW w:w="846" w:type="pct"/>
            <w:gridSpan w:val="2"/>
          </w:tcPr>
          <w:p w14:paraId="5BD13310" w14:textId="77777777" w:rsidR="008324B7" w:rsidRPr="00B6105A" w:rsidRDefault="008324B7" w:rsidP="006D398D">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Direktīvas 6. panta 7.</w:t>
            </w:r>
            <w:r w:rsidR="0073694D">
              <w:rPr>
                <w:rFonts w:ascii="Times New Roman" w:hAnsi="Times New Roman" w:cs="Times New Roman"/>
                <w:color w:val="000000" w:themeColor="text1"/>
                <w:sz w:val="24"/>
                <w:szCs w:val="24"/>
              </w:rPr>
              <w:t xml:space="preserve"> </w:t>
            </w:r>
            <w:r w:rsidR="00D663E6">
              <w:rPr>
                <w:rFonts w:ascii="Times New Roman" w:hAnsi="Times New Roman" w:cs="Times New Roman"/>
                <w:color w:val="000000" w:themeColor="text1"/>
                <w:sz w:val="24"/>
                <w:szCs w:val="24"/>
              </w:rPr>
              <w:t xml:space="preserve"> </w:t>
            </w:r>
            <w:r w:rsidR="0073694D">
              <w:rPr>
                <w:rFonts w:ascii="Times New Roman" w:hAnsi="Times New Roman" w:cs="Times New Roman"/>
                <w:color w:val="000000" w:themeColor="text1"/>
                <w:sz w:val="24"/>
                <w:szCs w:val="24"/>
              </w:rPr>
              <w:t xml:space="preserve">un 8. </w:t>
            </w:r>
            <w:r>
              <w:rPr>
                <w:rFonts w:ascii="Times New Roman" w:hAnsi="Times New Roman" w:cs="Times New Roman"/>
                <w:color w:val="000000" w:themeColor="text1"/>
                <w:sz w:val="24"/>
                <w:szCs w:val="24"/>
              </w:rPr>
              <w:t>punkts</w:t>
            </w:r>
          </w:p>
        </w:tc>
        <w:tc>
          <w:tcPr>
            <w:tcW w:w="1335" w:type="pct"/>
            <w:gridSpan w:val="2"/>
          </w:tcPr>
          <w:p w14:paraId="03A0C382" w14:textId="77777777" w:rsidR="008324B7" w:rsidRPr="00B6105A" w:rsidRDefault="008324B7" w:rsidP="006D398D">
            <w:pPr>
              <w:spacing w:before="120" w:after="120" w:line="240" w:lineRule="auto"/>
              <w:jc w:val="both"/>
              <w:rPr>
                <w:rFonts w:ascii="Times New Roman" w:hAnsi="Times New Roman" w:cs="Times New Roman"/>
                <w:color w:val="000000" w:themeColor="text1"/>
                <w:sz w:val="24"/>
                <w:szCs w:val="24"/>
              </w:rPr>
            </w:pPr>
          </w:p>
        </w:tc>
        <w:tc>
          <w:tcPr>
            <w:tcW w:w="1593" w:type="pct"/>
          </w:tcPr>
          <w:p w14:paraId="49790BC5" w14:textId="77777777" w:rsidR="008324B7" w:rsidRDefault="0073694D" w:rsidP="006D398D">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Nav pārņemts.</w:t>
            </w:r>
          </w:p>
          <w:p w14:paraId="43C57196" w14:textId="77777777" w:rsidR="008324B7" w:rsidRDefault="008324B7" w:rsidP="006D398D">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Prasīb</w:t>
            </w:r>
            <w:r w:rsidR="0073694D">
              <w:rPr>
                <w:rFonts w:ascii="Times New Roman" w:hAnsi="Times New Roman" w:cs="Times New Roman"/>
                <w:color w:val="000000" w:themeColor="text1"/>
                <w:sz w:val="24"/>
                <w:szCs w:val="24"/>
              </w:rPr>
              <w:t xml:space="preserve">u pārņemšanu veicinās šī </w:t>
            </w:r>
            <w:r>
              <w:rPr>
                <w:rFonts w:ascii="Times New Roman" w:hAnsi="Times New Roman" w:cs="Times New Roman"/>
                <w:color w:val="000000" w:themeColor="text1"/>
                <w:sz w:val="24"/>
                <w:szCs w:val="24"/>
              </w:rPr>
              <w:t>likumprojekt</w:t>
            </w:r>
            <w:r w:rsidR="0073694D">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Pr="008324B7">
              <w:rPr>
                <w:rFonts w:ascii="Times New Roman" w:hAnsi="Times New Roman" w:cs="Times New Roman"/>
                <w:color w:val="000000" w:themeColor="text1"/>
                <w:sz w:val="24"/>
                <w:szCs w:val="24"/>
              </w:rPr>
              <w:t>Grozījumi likumā „Par akcīzes nodokli”</w:t>
            </w:r>
            <w:r>
              <w:rPr>
                <w:rFonts w:ascii="Times New Roman" w:hAnsi="Times New Roman" w:cs="Times New Roman"/>
                <w:color w:val="000000" w:themeColor="text1"/>
                <w:sz w:val="24"/>
                <w:szCs w:val="24"/>
              </w:rPr>
              <w:t>”</w:t>
            </w:r>
            <w:r w:rsidR="0073694D">
              <w:rPr>
                <w:rFonts w:ascii="Times New Roman" w:hAnsi="Times New Roman" w:cs="Times New Roman"/>
                <w:color w:val="000000" w:themeColor="text1"/>
                <w:sz w:val="24"/>
                <w:szCs w:val="24"/>
              </w:rPr>
              <w:t xml:space="preserve"> īstenošana.</w:t>
            </w:r>
          </w:p>
          <w:p w14:paraId="08A36C59" w14:textId="76172329" w:rsidR="008324B7" w:rsidRPr="00B6105A" w:rsidRDefault="008324B7" w:rsidP="006D398D">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Atbildīgā Satiksmes ministrija</w:t>
            </w:r>
            <w:r w:rsidR="00A411D8">
              <w:rPr>
                <w:rFonts w:ascii="Times New Roman" w:hAnsi="Times New Roman" w:cs="Times New Roman"/>
                <w:color w:val="000000" w:themeColor="text1"/>
                <w:sz w:val="24"/>
                <w:szCs w:val="24"/>
              </w:rPr>
              <w:t>.</w:t>
            </w:r>
          </w:p>
        </w:tc>
        <w:tc>
          <w:tcPr>
            <w:tcW w:w="1226" w:type="pct"/>
          </w:tcPr>
          <w:p w14:paraId="0080588B" w14:textId="77777777" w:rsidR="008324B7" w:rsidRPr="00B6105A" w:rsidRDefault="008324B7" w:rsidP="006D398D">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Neparedz stingrākas prasības</w:t>
            </w:r>
          </w:p>
        </w:tc>
      </w:tr>
      <w:tr w:rsidR="00B6105A" w:rsidRPr="00B6105A" w14:paraId="294DB428" w14:textId="77777777" w:rsidTr="006D398D">
        <w:trPr>
          <w:cantSplit/>
        </w:trPr>
        <w:tc>
          <w:tcPr>
            <w:tcW w:w="846" w:type="pct"/>
            <w:gridSpan w:val="2"/>
            <w:hideMark/>
          </w:tcPr>
          <w:p w14:paraId="3F499812"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Kā ir izmantota ES tiesību aktā paredzētā rīcības brīvība dalībvalstij pārņemt vai ieviest noteiktas ES tiesību akta normas? Kādēļ?</w:t>
            </w:r>
          </w:p>
        </w:tc>
        <w:tc>
          <w:tcPr>
            <w:tcW w:w="4154" w:type="pct"/>
            <w:gridSpan w:val="4"/>
            <w:hideMark/>
          </w:tcPr>
          <w:p w14:paraId="055BAECD" w14:textId="70ACE4C9" w:rsidR="00987784" w:rsidRPr="00B6105A" w:rsidRDefault="00AA543A" w:rsidP="00503E46">
            <w:pPr>
              <w:spacing w:before="120" w:after="120" w:line="240" w:lineRule="auto"/>
              <w:ind w:firstLine="138"/>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v-LV"/>
              </w:rPr>
              <w:t>Projekts šo jomu neskar</w:t>
            </w:r>
            <w:r w:rsidR="00A411D8">
              <w:rPr>
                <w:rFonts w:ascii="Times New Roman" w:eastAsia="Times New Roman" w:hAnsi="Times New Roman" w:cs="Times New Roman"/>
                <w:color w:val="000000" w:themeColor="text1"/>
                <w:sz w:val="24"/>
                <w:szCs w:val="24"/>
                <w:lang w:eastAsia="lv-LV"/>
              </w:rPr>
              <w:t>.</w:t>
            </w:r>
          </w:p>
        </w:tc>
      </w:tr>
      <w:tr w:rsidR="00B6105A" w:rsidRPr="00B6105A" w14:paraId="4BF05E9E" w14:textId="77777777" w:rsidTr="006D398D">
        <w:trPr>
          <w:cantSplit/>
        </w:trPr>
        <w:tc>
          <w:tcPr>
            <w:tcW w:w="846" w:type="pct"/>
            <w:gridSpan w:val="2"/>
            <w:hideMark/>
          </w:tcPr>
          <w:p w14:paraId="25053986"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54" w:type="pct"/>
            <w:gridSpan w:val="4"/>
            <w:hideMark/>
          </w:tcPr>
          <w:p w14:paraId="547C9F19" w14:textId="33D1EDD4" w:rsidR="00987784" w:rsidRPr="00B6105A" w:rsidRDefault="00AA543A" w:rsidP="00503E46">
            <w:pPr>
              <w:spacing w:before="120" w:after="120" w:line="240" w:lineRule="auto"/>
              <w:ind w:firstLine="138"/>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v-LV"/>
              </w:rPr>
              <w:t>Projekts šo jomu neskar</w:t>
            </w:r>
            <w:r w:rsidR="00A411D8">
              <w:rPr>
                <w:rFonts w:ascii="Times New Roman" w:eastAsia="Times New Roman" w:hAnsi="Times New Roman" w:cs="Times New Roman"/>
                <w:color w:val="000000" w:themeColor="text1"/>
                <w:sz w:val="24"/>
                <w:szCs w:val="24"/>
                <w:lang w:eastAsia="lv-LV"/>
              </w:rPr>
              <w:t>.</w:t>
            </w:r>
          </w:p>
        </w:tc>
      </w:tr>
      <w:tr w:rsidR="00B6105A" w:rsidRPr="00B6105A" w14:paraId="63EEAE82" w14:textId="77777777" w:rsidTr="006D398D">
        <w:trPr>
          <w:cantSplit/>
        </w:trPr>
        <w:tc>
          <w:tcPr>
            <w:tcW w:w="846" w:type="pct"/>
            <w:gridSpan w:val="2"/>
            <w:hideMark/>
          </w:tcPr>
          <w:p w14:paraId="5F6AB9C0"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Cita informācija</w:t>
            </w:r>
          </w:p>
        </w:tc>
        <w:tc>
          <w:tcPr>
            <w:tcW w:w="4154" w:type="pct"/>
            <w:gridSpan w:val="4"/>
            <w:hideMark/>
          </w:tcPr>
          <w:p w14:paraId="1C64D93D" w14:textId="179DACC5" w:rsidR="00987784" w:rsidRPr="00B6105A" w:rsidRDefault="00B6105A" w:rsidP="00503E46">
            <w:pPr>
              <w:spacing w:before="120" w:after="120" w:line="240" w:lineRule="auto"/>
              <w:ind w:firstLine="138"/>
              <w:jc w:val="both"/>
              <w:rPr>
                <w:rFonts w:ascii="Times New Roman"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Nav</w:t>
            </w:r>
            <w:r w:rsidR="00A411D8">
              <w:rPr>
                <w:rFonts w:ascii="Times New Roman" w:eastAsiaTheme="minorEastAsia" w:hAnsi="Times New Roman" w:cs="Times New Roman"/>
                <w:color w:val="000000" w:themeColor="text1"/>
                <w:sz w:val="24"/>
                <w:szCs w:val="24"/>
              </w:rPr>
              <w:t>.</w:t>
            </w:r>
          </w:p>
        </w:tc>
      </w:tr>
      <w:tr w:rsidR="00B6105A" w:rsidRPr="00B6105A" w14:paraId="432BC71F" w14:textId="77777777" w:rsidTr="006D398D">
        <w:trPr>
          <w:cantSplit/>
        </w:trPr>
        <w:tc>
          <w:tcPr>
            <w:tcW w:w="5000" w:type="pct"/>
            <w:gridSpan w:val="6"/>
            <w:vAlign w:val="center"/>
            <w:hideMark/>
          </w:tcPr>
          <w:p w14:paraId="56A997A7" w14:textId="77777777" w:rsidR="00987784" w:rsidRPr="00B6105A" w:rsidRDefault="00987784" w:rsidP="006D398D">
            <w:pPr>
              <w:spacing w:before="120" w:after="120" w:line="240" w:lineRule="auto"/>
              <w:jc w:val="center"/>
              <w:rPr>
                <w:rFonts w:ascii="Times New Roman" w:hAnsi="Times New Roman" w:cs="Times New Roman"/>
                <w:b/>
                <w:bCs/>
                <w:color w:val="000000" w:themeColor="text1"/>
                <w:sz w:val="24"/>
                <w:szCs w:val="24"/>
              </w:rPr>
            </w:pPr>
            <w:r w:rsidRPr="00B6105A">
              <w:rPr>
                <w:rFonts w:ascii="Times New Roman" w:hAnsi="Times New Roman" w:cs="Times New Roman"/>
                <w:b/>
                <w:bCs/>
                <w:color w:val="000000" w:themeColor="text1"/>
                <w:sz w:val="24"/>
                <w:szCs w:val="24"/>
              </w:rPr>
              <w:t>2. tabula</w:t>
            </w:r>
            <w:r w:rsidRPr="00B6105A">
              <w:rPr>
                <w:rFonts w:ascii="Times New Roman" w:hAnsi="Times New Roman" w:cs="Times New Roman"/>
                <w:b/>
                <w:bCs/>
                <w:color w:val="000000" w:themeColor="text1"/>
                <w:sz w:val="24"/>
                <w:szCs w:val="24"/>
              </w:rPr>
              <w:br/>
              <w:t>Ar tiesību akta projektu izpildītās vai uzņemtās saistības, kas izriet no starptautiskajiem tiesību aktiem vai starptautiskas institūcijas vai organizācijas dokumentiem.</w:t>
            </w:r>
            <w:r w:rsidRPr="00B6105A">
              <w:rPr>
                <w:rFonts w:ascii="Times New Roman" w:hAnsi="Times New Roman" w:cs="Times New Roman"/>
                <w:b/>
                <w:bCs/>
                <w:color w:val="000000" w:themeColor="text1"/>
                <w:sz w:val="24"/>
                <w:szCs w:val="24"/>
              </w:rPr>
              <w:br/>
              <w:t>Pasākumi šo saistību izpildei</w:t>
            </w:r>
          </w:p>
        </w:tc>
      </w:tr>
      <w:tr w:rsidR="00B6105A" w:rsidRPr="00B6105A" w14:paraId="1139DD00" w14:textId="77777777" w:rsidTr="006D398D">
        <w:trPr>
          <w:cantSplit/>
        </w:trPr>
        <w:tc>
          <w:tcPr>
            <w:tcW w:w="5000" w:type="pct"/>
            <w:gridSpan w:val="6"/>
          </w:tcPr>
          <w:p w14:paraId="0182C7DB" w14:textId="16F9B160" w:rsidR="00461FEE" w:rsidRPr="00B6105A" w:rsidRDefault="00AA543A" w:rsidP="006D398D">
            <w:pPr>
              <w:spacing w:before="120" w:after="120" w:line="240" w:lineRule="auto"/>
              <w:jc w:val="cente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Projekts šo jomu neskar</w:t>
            </w:r>
            <w:r w:rsidR="00A411D8">
              <w:rPr>
                <w:rFonts w:ascii="Times New Roman" w:hAnsi="Times New Roman" w:cs="Times New Roman"/>
                <w:bCs/>
                <w:color w:val="000000" w:themeColor="text1"/>
                <w:sz w:val="24"/>
                <w:szCs w:val="24"/>
              </w:rPr>
              <w:t>.</w:t>
            </w:r>
          </w:p>
        </w:tc>
      </w:tr>
    </w:tbl>
    <w:p w14:paraId="73E00491" w14:textId="77777777" w:rsidR="00987784" w:rsidRPr="004F02C8" w:rsidRDefault="00987784" w:rsidP="006D398D">
      <w:pPr>
        <w:pStyle w:val="Title"/>
        <w:spacing w:before="120" w:after="120"/>
        <w:ind w:firstLine="539"/>
        <w:jc w:val="both"/>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6105A" w:rsidRPr="00B6105A" w14:paraId="768BC30A" w14:textId="77777777" w:rsidTr="00341051">
        <w:trPr>
          <w:cantSplit/>
        </w:trPr>
        <w:tc>
          <w:tcPr>
            <w:tcW w:w="5000" w:type="pct"/>
            <w:gridSpan w:val="3"/>
            <w:vAlign w:val="center"/>
            <w:hideMark/>
          </w:tcPr>
          <w:p w14:paraId="741C2386" w14:textId="77777777" w:rsidR="00987784" w:rsidRPr="00B6105A" w:rsidRDefault="00987784" w:rsidP="006D398D">
            <w:pPr>
              <w:spacing w:before="120" w:after="120" w:line="240" w:lineRule="auto"/>
              <w:jc w:val="center"/>
              <w:rPr>
                <w:rFonts w:ascii="Times New Roman" w:hAnsi="Times New Roman" w:cs="Times New Roman"/>
                <w:b/>
                <w:bCs/>
                <w:color w:val="000000" w:themeColor="text1"/>
                <w:sz w:val="24"/>
                <w:szCs w:val="24"/>
              </w:rPr>
            </w:pPr>
            <w:r w:rsidRPr="00B6105A">
              <w:rPr>
                <w:rFonts w:ascii="Times New Roman" w:hAnsi="Times New Roman" w:cs="Times New Roman"/>
                <w:b/>
                <w:bCs/>
                <w:color w:val="000000" w:themeColor="text1"/>
                <w:sz w:val="24"/>
                <w:szCs w:val="24"/>
              </w:rPr>
              <w:t>VI. Sabiedrības līdzdalība un komunikācijas aktivitātes</w:t>
            </w:r>
          </w:p>
        </w:tc>
      </w:tr>
      <w:tr w:rsidR="00B6105A" w:rsidRPr="00B6105A" w14:paraId="283004A1" w14:textId="77777777" w:rsidTr="00341051">
        <w:trPr>
          <w:cantSplit/>
        </w:trPr>
        <w:tc>
          <w:tcPr>
            <w:tcW w:w="311" w:type="pct"/>
            <w:hideMark/>
          </w:tcPr>
          <w:p w14:paraId="6AC63E1B"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1.</w:t>
            </w:r>
          </w:p>
        </w:tc>
        <w:tc>
          <w:tcPr>
            <w:tcW w:w="1479" w:type="pct"/>
            <w:hideMark/>
          </w:tcPr>
          <w:p w14:paraId="52498C2A"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Plānotās sabiedrības līdzdalības un komunikācijas aktivitātes saistībā ar projektu</w:t>
            </w:r>
          </w:p>
        </w:tc>
        <w:tc>
          <w:tcPr>
            <w:tcW w:w="3210" w:type="pct"/>
            <w:hideMark/>
          </w:tcPr>
          <w:p w14:paraId="6A9318EC" w14:textId="492976D4" w:rsidR="006A44E0" w:rsidRPr="00B6105A" w:rsidRDefault="00D003CB" w:rsidP="00A71A5A">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Pēc šā likumprojekta apstiprināšanas tiek plānots informēt  mediju pārstāvjus par iespējam piedalīties jaunu CNG </w:t>
            </w:r>
            <w:proofErr w:type="spellStart"/>
            <w:r>
              <w:rPr>
                <w:rFonts w:ascii="Times New Roman" w:hAnsi="Times New Roman" w:cs="Times New Roman"/>
                <w:color w:val="000000" w:themeColor="text1"/>
                <w:sz w:val="24"/>
                <w:szCs w:val="24"/>
              </w:rPr>
              <w:t>uzpildes</w:t>
            </w:r>
            <w:proofErr w:type="spellEnd"/>
            <w:r>
              <w:rPr>
                <w:rFonts w:ascii="Times New Roman" w:hAnsi="Times New Roman" w:cs="Times New Roman"/>
                <w:color w:val="000000" w:themeColor="text1"/>
                <w:sz w:val="24"/>
                <w:szCs w:val="24"/>
              </w:rPr>
              <w:t xml:space="preserve"> staciju atklāšanas pasākumos, tādejādi nodrošinot pozitīvu publicitāti CNG staciju tīkla izveidei Latvijā. </w:t>
            </w:r>
          </w:p>
        </w:tc>
      </w:tr>
      <w:tr w:rsidR="00B6105A" w:rsidRPr="00B6105A" w14:paraId="0347717A" w14:textId="77777777" w:rsidTr="00341051">
        <w:trPr>
          <w:cantSplit/>
        </w:trPr>
        <w:tc>
          <w:tcPr>
            <w:tcW w:w="311" w:type="pct"/>
            <w:hideMark/>
          </w:tcPr>
          <w:p w14:paraId="552E67BC"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lastRenderedPageBreak/>
              <w:t>2.</w:t>
            </w:r>
          </w:p>
        </w:tc>
        <w:tc>
          <w:tcPr>
            <w:tcW w:w="1479" w:type="pct"/>
            <w:hideMark/>
          </w:tcPr>
          <w:p w14:paraId="704E6991"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Sabiedrības līdzdalība projekta izstrādē</w:t>
            </w:r>
          </w:p>
        </w:tc>
        <w:tc>
          <w:tcPr>
            <w:tcW w:w="3210" w:type="pct"/>
            <w:hideMark/>
          </w:tcPr>
          <w:p w14:paraId="0B34CA74" w14:textId="5A5940B0" w:rsidR="00987784" w:rsidRPr="00B6105A" w:rsidRDefault="00D003CB" w:rsidP="00A71A5A">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2019.gada 10.janvārī Ekonomikas ministrijā norisinājās diskusija par dabasgāzes kā transporta degvielas izmantošanas veicināšanu, kuras dalībnieki demonstrēja pozitīvu attieksmi pret ierosinājumu samazināt akcīzes nodokli dabasgāzei kā transporta degvielai. Minēt</w:t>
            </w:r>
            <w:r w:rsidR="00202FFE">
              <w:rPr>
                <w:rFonts w:ascii="Times New Roman" w:hAnsi="Times New Roman" w:cs="Times New Roman"/>
                <w:color w:val="000000" w:themeColor="text1"/>
                <w:sz w:val="24"/>
                <w:szCs w:val="24"/>
              </w:rPr>
              <w:t>ā</w:t>
            </w:r>
            <w:r>
              <w:rPr>
                <w:rFonts w:ascii="Times New Roman" w:hAnsi="Times New Roman" w:cs="Times New Roman"/>
                <w:color w:val="000000" w:themeColor="text1"/>
                <w:sz w:val="24"/>
                <w:szCs w:val="24"/>
              </w:rPr>
              <w:t>s diskusijas dalībnieks - AS “</w:t>
            </w:r>
            <w:proofErr w:type="spellStart"/>
            <w:r>
              <w:rPr>
                <w:rFonts w:ascii="Times New Roman" w:hAnsi="Times New Roman" w:cs="Times New Roman"/>
                <w:color w:val="000000" w:themeColor="text1"/>
                <w:sz w:val="24"/>
                <w:szCs w:val="24"/>
              </w:rPr>
              <w:t>Gaso</w:t>
            </w:r>
            <w:proofErr w:type="spellEnd"/>
            <w:r>
              <w:rPr>
                <w:rFonts w:ascii="Times New Roman" w:hAnsi="Times New Roman" w:cs="Times New Roman"/>
                <w:color w:val="000000" w:themeColor="text1"/>
                <w:sz w:val="24"/>
                <w:szCs w:val="24"/>
              </w:rPr>
              <w:t xml:space="preserve">” pauda atbalstu </w:t>
            </w:r>
            <w:bookmarkStart w:id="0" w:name="_GoBack"/>
            <w:bookmarkEnd w:id="0"/>
            <w:r>
              <w:rPr>
                <w:rFonts w:ascii="Times New Roman" w:hAnsi="Times New Roman" w:cs="Times New Roman"/>
                <w:color w:val="000000" w:themeColor="text1"/>
                <w:sz w:val="24"/>
                <w:szCs w:val="24"/>
              </w:rPr>
              <w:t xml:space="preserve">ierosinājumam samazināt akcīzes nodokli dabasgāzei kā transporta degvielai.  </w:t>
            </w:r>
          </w:p>
        </w:tc>
      </w:tr>
      <w:tr w:rsidR="00B6105A" w:rsidRPr="00B6105A" w14:paraId="057B04BC" w14:textId="77777777" w:rsidTr="00341051">
        <w:trPr>
          <w:cantSplit/>
        </w:trPr>
        <w:tc>
          <w:tcPr>
            <w:tcW w:w="311" w:type="pct"/>
            <w:hideMark/>
          </w:tcPr>
          <w:p w14:paraId="66D904AC"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3.</w:t>
            </w:r>
          </w:p>
        </w:tc>
        <w:tc>
          <w:tcPr>
            <w:tcW w:w="1479" w:type="pct"/>
            <w:hideMark/>
          </w:tcPr>
          <w:p w14:paraId="2E9532E6"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Sabiedrības līdzdalības rezultāti</w:t>
            </w:r>
          </w:p>
        </w:tc>
        <w:tc>
          <w:tcPr>
            <w:tcW w:w="3210" w:type="pct"/>
            <w:hideMark/>
          </w:tcPr>
          <w:p w14:paraId="2CCE6810" w14:textId="00F4B3A8" w:rsidR="00987784" w:rsidRPr="00B6105A" w:rsidRDefault="00811E48" w:rsidP="00A71A5A">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“GASO” </w:t>
            </w:r>
            <w:r w:rsidR="00402DA0">
              <w:rPr>
                <w:rFonts w:ascii="Times New Roman" w:hAnsi="Times New Roman" w:cs="Times New Roman"/>
                <w:color w:val="000000" w:themeColor="text1"/>
                <w:sz w:val="24"/>
                <w:szCs w:val="24"/>
              </w:rPr>
              <w:t xml:space="preserve">savā Interneta mājas vietnē </w:t>
            </w:r>
            <w:r>
              <w:rPr>
                <w:rFonts w:ascii="Times New Roman" w:hAnsi="Times New Roman" w:cs="Times New Roman"/>
                <w:color w:val="000000" w:themeColor="text1"/>
                <w:sz w:val="24"/>
                <w:szCs w:val="24"/>
              </w:rPr>
              <w:t>ir</w:t>
            </w:r>
            <w:r w:rsidR="00402DA0">
              <w:rPr>
                <w:rFonts w:ascii="Times New Roman" w:hAnsi="Times New Roman" w:cs="Times New Roman"/>
                <w:color w:val="000000" w:themeColor="text1"/>
                <w:sz w:val="24"/>
                <w:szCs w:val="24"/>
              </w:rPr>
              <w:t xml:space="preserve"> izvietojis rakstu, kurā tiek pausts atbalsts iecerei stimulēt </w:t>
            </w:r>
            <w:r w:rsidR="00402DA0" w:rsidRPr="00402DA0">
              <w:rPr>
                <w:rFonts w:ascii="Times New Roman" w:hAnsi="Times New Roman" w:cs="Times New Roman"/>
                <w:color w:val="000000" w:themeColor="text1"/>
                <w:sz w:val="24"/>
                <w:szCs w:val="24"/>
              </w:rPr>
              <w:t>CNG nozares attīstību Latvijā</w:t>
            </w:r>
            <w:r w:rsidR="00402DA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2B0C14">
              <w:rPr>
                <w:rFonts w:ascii="Times New Roman" w:hAnsi="Times New Roman" w:cs="Times New Roman"/>
                <w:color w:val="000000" w:themeColor="text1"/>
                <w:sz w:val="24"/>
                <w:szCs w:val="24"/>
              </w:rPr>
              <w:t xml:space="preserve"> </w:t>
            </w:r>
          </w:p>
        </w:tc>
      </w:tr>
      <w:tr w:rsidR="00B6105A" w:rsidRPr="00B6105A" w14:paraId="07B8EFA7" w14:textId="77777777" w:rsidTr="00341051">
        <w:trPr>
          <w:cantSplit/>
        </w:trPr>
        <w:tc>
          <w:tcPr>
            <w:tcW w:w="311" w:type="pct"/>
            <w:hideMark/>
          </w:tcPr>
          <w:p w14:paraId="5B714862"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4.</w:t>
            </w:r>
          </w:p>
        </w:tc>
        <w:tc>
          <w:tcPr>
            <w:tcW w:w="1479" w:type="pct"/>
            <w:hideMark/>
          </w:tcPr>
          <w:p w14:paraId="23F2B843"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Cita informācija</w:t>
            </w:r>
          </w:p>
        </w:tc>
        <w:tc>
          <w:tcPr>
            <w:tcW w:w="3210" w:type="pct"/>
            <w:hideMark/>
          </w:tcPr>
          <w:p w14:paraId="3193A1F5" w14:textId="04165F02" w:rsidR="00987784" w:rsidRPr="00B6105A" w:rsidRDefault="00987784" w:rsidP="00503E46">
            <w:pPr>
              <w:spacing w:before="120" w:after="120" w:line="240" w:lineRule="auto"/>
              <w:ind w:firstLine="128"/>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Nav</w:t>
            </w:r>
            <w:r w:rsidR="00A411D8">
              <w:rPr>
                <w:rFonts w:ascii="Times New Roman" w:hAnsi="Times New Roman" w:cs="Times New Roman"/>
                <w:color w:val="000000" w:themeColor="text1"/>
                <w:sz w:val="24"/>
                <w:szCs w:val="24"/>
              </w:rPr>
              <w:t>.</w:t>
            </w:r>
          </w:p>
        </w:tc>
      </w:tr>
    </w:tbl>
    <w:p w14:paraId="5CCE7D42" w14:textId="77777777" w:rsidR="00987784" w:rsidRPr="004F02C8" w:rsidRDefault="00987784" w:rsidP="006D398D">
      <w:pPr>
        <w:pStyle w:val="Title"/>
        <w:spacing w:before="120" w:after="120"/>
        <w:ind w:firstLine="539"/>
        <w:jc w:val="both"/>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6105A" w:rsidRPr="00B6105A" w14:paraId="6780FF1A" w14:textId="77777777" w:rsidTr="00341051">
        <w:trPr>
          <w:cantSplit/>
        </w:trPr>
        <w:tc>
          <w:tcPr>
            <w:tcW w:w="5000" w:type="pct"/>
            <w:vAlign w:val="center"/>
            <w:hideMark/>
          </w:tcPr>
          <w:p w14:paraId="78A83187" w14:textId="77777777" w:rsidR="00987784" w:rsidRPr="00B6105A" w:rsidRDefault="00987784" w:rsidP="006D398D">
            <w:pPr>
              <w:spacing w:before="120" w:after="120" w:line="240" w:lineRule="auto"/>
              <w:jc w:val="center"/>
              <w:rPr>
                <w:rFonts w:ascii="Times New Roman" w:hAnsi="Times New Roman" w:cs="Times New Roman"/>
                <w:b/>
                <w:bCs/>
                <w:color w:val="000000" w:themeColor="text1"/>
                <w:sz w:val="24"/>
                <w:szCs w:val="24"/>
              </w:rPr>
            </w:pPr>
            <w:r w:rsidRPr="00B6105A">
              <w:rPr>
                <w:rFonts w:ascii="Times New Roman" w:hAnsi="Times New Roman" w:cs="Times New Roman"/>
                <w:b/>
                <w:bCs/>
                <w:color w:val="000000" w:themeColor="text1"/>
                <w:sz w:val="24"/>
                <w:szCs w:val="24"/>
              </w:rPr>
              <w:t>VII. Tiesību akta projekta izpildes nodrošināšana un tās ietekme uz institūcijām</w:t>
            </w:r>
          </w:p>
        </w:tc>
      </w:tr>
      <w:tr w:rsidR="00AA543A" w:rsidRPr="00B6105A" w14:paraId="31AFF28D" w14:textId="77777777" w:rsidTr="00AA543A">
        <w:trPr>
          <w:cantSplit/>
        </w:trPr>
        <w:tc>
          <w:tcPr>
            <w:tcW w:w="5000" w:type="pct"/>
            <w:vAlign w:val="center"/>
          </w:tcPr>
          <w:p w14:paraId="5AC77A69" w14:textId="69478CDE" w:rsidR="00AA543A" w:rsidRPr="00B6105A" w:rsidRDefault="00AA543A" w:rsidP="00AA543A">
            <w:pPr>
              <w:spacing w:before="120" w:after="120" w:line="240" w:lineRule="auto"/>
              <w:ind w:left="121" w:right="11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Projekts šo jomu neskar</w:t>
            </w:r>
            <w:r w:rsidR="00A411D8">
              <w:rPr>
                <w:rFonts w:ascii="Times New Roman" w:hAnsi="Times New Roman" w:cs="Times New Roman"/>
                <w:color w:val="000000" w:themeColor="text1"/>
                <w:sz w:val="24"/>
                <w:szCs w:val="24"/>
              </w:rPr>
              <w:t>.</w:t>
            </w:r>
          </w:p>
        </w:tc>
      </w:tr>
    </w:tbl>
    <w:p w14:paraId="1195D01E" w14:textId="77777777" w:rsidR="00B6105A" w:rsidRPr="00B6105A" w:rsidRDefault="00B6105A" w:rsidP="006D398D">
      <w:pPr>
        <w:spacing w:before="120" w:after="120" w:line="240" w:lineRule="auto"/>
        <w:rPr>
          <w:rFonts w:ascii="Times New Roman" w:hAnsi="Times New Roman" w:cs="Times New Roman"/>
          <w:color w:val="000000" w:themeColor="text1"/>
          <w:sz w:val="24"/>
          <w:szCs w:val="24"/>
        </w:rPr>
      </w:pPr>
    </w:p>
    <w:p w14:paraId="3B5DB689" w14:textId="2BDB7B79" w:rsidR="00D542A9" w:rsidRDefault="00680EF7" w:rsidP="006D398D">
      <w:pPr>
        <w:spacing w:before="120" w:after="12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Ekonomikas</w:t>
      </w:r>
      <w:r w:rsidR="00B6105A" w:rsidRPr="00B6105A">
        <w:rPr>
          <w:rFonts w:ascii="Times New Roman" w:hAnsi="Times New Roman" w:cs="Times New Roman"/>
          <w:color w:val="000000" w:themeColor="text1"/>
          <w:sz w:val="26"/>
          <w:szCs w:val="26"/>
        </w:rPr>
        <w:t xml:space="preserve"> ministrs</w:t>
      </w:r>
      <w:r w:rsidR="00B6105A" w:rsidRPr="00B6105A">
        <w:rPr>
          <w:rFonts w:ascii="Times New Roman" w:hAnsi="Times New Roman" w:cs="Times New Roman"/>
          <w:color w:val="000000" w:themeColor="text1"/>
          <w:sz w:val="26"/>
          <w:szCs w:val="26"/>
        </w:rPr>
        <w:tab/>
        <w:t xml:space="preserve">                                                                  </w:t>
      </w:r>
      <w:r>
        <w:rPr>
          <w:rFonts w:ascii="Times New Roman" w:hAnsi="Times New Roman" w:cs="Times New Roman"/>
          <w:color w:val="000000" w:themeColor="text1"/>
          <w:sz w:val="26"/>
          <w:szCs w:val="26"/>
        </w:rPr>
        <w:t xml:space="preserve">  </w:t>
      </w:r>
      <w:r w:rsidR="00E1252E">
        <w:rPr>
          <w:rFonts w:ascii="Times New Roman" w:hAnsi="Times New Roman" w:cs="Times New Roman"/>
          <w:color w:val="000000" w:themeColor="text1"/>
          <w:sz w:val="26"/>
          <w:szCs w:val="26"/>
        </w:rPr>
        <w:t xml:space="preserve">Jānis </w:t>
      </w:r>
      <w:proofErr w:type="spellStart"/>
      <w:r w:rsidR="00E1252E">
        <w:rPr>
          <w:rFonts w:ascii="Times New Roman" w:hAnsi="Times New Roman" w:cs="Times New Roman"/>
          <w:color w:val="000000" w:themeColor="text1"/>
          <w:sz w:val="26"/>
          <w:szCs w:val="26"/>
        </w:rPr>
        <w:t>Vitenbergs</w:t>
      </w:r>
      <w:proofErr w:type="spellEnd"/>
    </w:p>
    <w:p w14:paraId="1E1C8A5B" w14:textId="47F47DC7" w:rsidR="00012B61" w:rsidRDefault="00012B61" w:rsidP="006D398D">
      <w:pPr>
        <w:spacing w:before="120" w:after="120" w:line="240" w:lineRule="auto"/>
        <w:rPr>
          <w:rFonts w:ascii="Times New Roman" w:hAnsi="Times New Roman" w:cs="Times New Roman"/>
          <w:color w:val="000000" w:themeColor="text1"/>
          <w:sz w:val="26"/>
          <w:szCs w:val="26"/>
        </w:rPr>
      </w:pPr>
    </w:p>
    <w:p w14:paraId="38237BEB" w14:textId="77777777" w:rsidR="00012B61" w:rsidRPr="00012B61" w:rsidRDefault="00012B61" w:rsidP="00012B61">
      <w:pPr>
        <w:spacing w:after="0" w:line="240" w:lineRule="auto"/>
        <w:jc w:val="both"/>
        <w:rPr>
          <w:rFonts w:ascii="Times New Roman" w:eastAsia="Times New Roman" w:hAnsi="Times New Roman" w:cs="Times New Roman"/>
          <w:sz w:val="26"/>
          <w:szCs w:val="26"/>
        </w:rPr>
      </w:pPr>
      <w:r w:rsidRPr="00012B61">
        <w:rPr>
          <w:rFonts w:ascii="Times New Roman" w:eastAsia="Times New Roman" w:hAnsi="Times New Roman" w:cs="Times New Roman"/>
          <w:sz w:val="26"/>
          <w:szCs w:val="26"/>
        </w:rPr>
        <w:t>Vīza:</w:t>
      </w:r>
    </w:p>
    <w:p w14:paraId="4455BBDD" w14:textId="77777777" w:rsidR="00012B61" w:rsidRPr="00012B61" w:rsidRDefault="00012B61" w:rsidP="00012B61">
      <w:pPr>
        <w:tabs>
          <w:tab w:val="right" w:pos="9071"/>
        </w:tabs>
        <w:spacing w:after="0" w:line="240" w:lineRule="auto"/>
        <w:jc w:val="both"/>
        <w:rPr>
          <w:rFonts w:ascii="Times New Roman" w:eastAsia="Times New Roman" w:hAnsi="Times New Roman" w:cs="Times New Roman"/>
          <w:color w:val="000000"/>
          <w:sz w:val="26"/>
          <w:szCs w:val="26"/>
        </w:rPr>
      </w:pPr>
      <w:r w:rsidRPr="00012B61">
        <w:rPr>
          <w:rFonts w:ascii="Times New Roman" w:eastAsia="Times New Roman" w:hAnsi="Times New Roman" w:cs="Times New Roman"/>
          <w:sz w:val="26"/>
          <w:szCs w:val="26"/>
        </w:rPr>
        <w:t xml:space="preserve">Valsts sekretārs </w:t>
      </w:r>
      <w:r w:rsidRPr="00012B61">
        <w:rPr>
          <w:rFonts w:ascii="Times New Roman" w:eastAsia="Times New Roman" w:hAnsi="Times New Roman" w:cs="Times New Roman"/>
          <w:sz w:val="26"/>
          <w:szCs w:val="26"/>
        </w:rPr>
        <w:tab/>
      </w:r>
      <w:proofErr w:type="spellStart"/>
      <w:r w:rsidRPr="00012B61">
        <w:rPr>
          <w:rFonts w:ascii="Times New Roman" w:eastAsia="Times New Roman" w:hAnsi="Times New Roman" w:cs="Times New Roman"/>
          <w:sz w:val="26"/>
          <w:szCs w:val="26"/>
        </w:rPr>
        <w:t>E.Valantis</w:t>
      </w:r>
      <w:proofErr w:type="spellEnd"/>
    </w:p>
    <w:p w14:paraId="2814F0CB" w14:textId="4B3AE7D3" w:rsidR="00012B61" w:rsidRDefault="00012B61" w:rsidP="00012B61">
      <w:pPr>
        <w:rPr>
          <w:rFonts w:ascii="Times New Roman" w:hAnsi="Times New Roman" w:cs="Times New Roman"/>
          <w:sz w:val="26"/>
          <w:szCs w:val="26"/>
        </w:rPr>
      </w:pPr>
    </w:p>
    <w:p w14:paraId="2DDC6F1B" w14:textId="77777777" w:rsidR="006C1EF7" w:rsidRPr="00012B61" w:rsidRDefault="006C1EF7" w:rsidP="00012B61">
      <w:pPr>
        <w:rPr>
          <w:rFonts w:ascii="Times New Roman" w:hAnsi="Times New Roman" w:cs="Times New Roman"/>
          <w:sz w:val="26"/>
          <w:szCs w:val="26"/>
        </w:rPr>
      </w:pPr>
    </w:p>
    <w:p w14:paraId="4666579D" w14:textId="463A9162" w:rsidR="00012B61" w:rsidRDefault="006C1EF7" w:rsidP="00012B61">
      <w:pPr>
        <w:rPr>
          <w:rFonts w:ascii="Times New Roman" w:hAnsi="Times New Roman" w:cs="Times New Roman"/>
          <w:sz w:val="20"/>
          <w:szCs w:val="20"/>
        </w:rPr>
      </w:pPr>
      <w:r w:rsidRPr="00C764FD">
        <w:rPr>
          <w:rFonts w:ascii="Times New Roman" w:hAnsi="Times New Roman" w:cs="Times New Roman"/>
          <w:sz w:val="20"/>
          <w:szCs w:val="20"/>
        </w:rPr>
        <w:t>Rozītis, 67013272</w:t>
      </w:r>
    </w:p>
    <w:p w14:paraId="4FE847E6" w14:textId="77777777" w:rsidR="000C30BE" w:rsidRPr="00C764FD" w:rsidRDefault="000C30BE" w:rsidP="00012B61">
      <w:pPr>
        <w:rPr>
          <w:rFonts w:ascii="Times New Roman" w:hAnsi="Times New Roman" w:cs="Times New Roman"/>
          <w:sz w:val="20"/>
          <w:szCs w:val="20"/>
        </w:rPr>
      </w:pPr>
    </w:p>
    <w:p w14:paraId="098A2864" w14:textId="77777777" w:rsidR="00012B61" w:rsidRPr="00071810" w:rsidRDefault="00012B61" w:rsidP="006D398D">
      <w:pPr>
        <w:spacing w:before="120" w:after="120" w:line="240" w:lineRule="auto"/>
        <w:rPr>
          <w:rFonts w:ascii="Times New Roman" w:hAnsi="Times New Roman" w:cs="Times New Roman"/>
          <w:color w:val="000000" w:themeColor="text1"/>
          <w:sz w:val="26"/>
          <w:szCs w:val="26"/>
        </w:rPr>
      </w:pPr>
    </w:p>
    <w:sectPr w:rsidR="00012B61" w:rsidRPr="00071810" w:rsidSect="004E5A2B">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DC306" w14:textId="77777777" w:rsidR="00E67C79" w:rsidRDefault="00E67C79" w:rsidP="00C15CEE">
      <w:pPr>
        <w:spacing w:after="0" w:line="240" w:lineRule="auto"/>
      </w:pPr>
      <w:r>
        <w:separator/>
      </w:r>
    </w:p>
  </w:endnote>
  <w:endnote w:type="continuationSeparator" w:id="0">
    <w:p w14:paraId="266106D1" w14:textId="77777777" w:rsidR="00E67C79" w:rsidRDefault="00E67C79" w:rsidP="00C1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3D1C" w14:textId="3B9D34DA" w:rsidR="00C15CEE" w:rsidRPr="0024268E" w:rsidRDefault="00C15CEE">
    <w:pPr>
      <w:pStyle w:val="Footer"/>
      <w:jc w:val="center"/>
      <w:rPr>
        <w:rFonts w:ascii="Times New Roman" w:hAnsi="Times New Roman" w:cs="Times New Roman"/>
        <w:sz w:val="24"/>
      </w:rPr>
    </w:pPr>
  </w:p>
  <w:p w14:paraId="30F79DCB" w14:textId="77777777" w:rsidR="007D00F4" w:rsidRDefault="007D00F4" w:rsidP="007D00F4">
    <w:pPr>
      <w:pStyle w:val="Footer"/>
    </w:pPr>
    <w:r>
      <w:t>EMAnot_30092020_Akcīze</w:t>
    </w:r>
  </w:p>
  <w:p w14:paraId="693E47D1" w14:textId="77777777" w:rsidR="00C15CEE" w:rsidRPr="0024268E" w:rsidRDefault="00C15CEE">
    <w:pPr>
      <w:pStyle w:val="Footer"/>
      <w:rPr>
        <w:rFonts w:ascii="Times New Roman" w:hAnsi="Times New Roman" w:cs="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3BFF" w14:textId="74143B93" w:rsidR="00716037" w:rsidRDefault="00716037">
    <w:pPr>
      <w:pStyle w:val="Footer"/>
    </w:pPr>
    <w:r>
      <w:t>EMAnot_30092020_Akcīze</w:t>
    </w:r>
  </w:p>
  <w:p w14:paraId="0B86B414" w14:textId="66041CFE" w:rsidR="00716037" w:rsidRDefault="00716037">
    <w:pPr>
      <w:pStyle w:val="Footer"/>
    </w:pPr>
  </w:p>
  <w:p w14:paraId="46D92F83" w14:textId="77777777" w:rsidR="007D6747" w:rsidRDefault="007D6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5DCC4" w14:textId="77777777" w:rsidR="00E67C79" w:rsidRDefault="00E67C79" w:rsidP="00C15CEE">
      <w:pPr>
        <w:spacing w:after="0" w:line="240" w:lineRule="auto"/>
      </w:pPr>
      <w:r>
        <w:separator/>
      </w:r>
    </w:p>
  </w:footnote>
  <w:footnote w:type="continuationSeparator" w:id="0">
    <w:p w14:paraId="60D60F3F" w14:textId="77777777" w:rsidR="00E67C79" w:rsidRDefault="00E67C79" w:rsidP="00C1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094496"/>
      <w:docPartObj>
        <w:docPartGallery w:val="Page Numbers (Top of Page)"/>
        <w:docPartUnique/>
      </w:docPartObj>
    </w:sdtPr>
    <w:sdtEndPr>
      <w:rPr>
        <w:noProof/>
      </w:rPr>
    </w:sdtEndPr>
    <w:sdtContent>
      <w:p w14:paraId="20D6F91A" w14:textId="2E966F30" w:rsidR="00E32CC7" w:rsidRDefault="00E32CC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08CF0EA" w14:textId="77777777" w:rsidR="00716037" w:rsidRDefault="00716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12C631C"/>
    <w:lvl w:ilvl="0">
      <w:numFmt w:val="bullet"/>
      <w:lvlText w:val="*"/>
      <w:lvlJc w:val="left"/>
    </w:lvl>
  </w:abstractNum>
  <w:abstractNum w:abstractNumId="1" w15:restartNumberingAfterBreak="0">
    <w:nsid w:val="407F0001"/>
    <w:multiLevelType w:val="hybridMultilevel"/>
    <w:tmpl w:val="FD1E29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C94656E"/>
    <w:multiLevelType w:val="hybridMultilevel"/>
    <w:tmpl w:val="49AA5402"/>
    <w:lvl w:ilvl="0" w:tplc="62D4E1D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84"/>
    <w:rsid w:val="00007A9D"/>
    <w:rsid w:val="00012B61"/>
    <w:rsid w:val="00014036"/>
    <w:rsid w:val="00014735"/>
    <w:rsid w:val="00034BEF"/>
    <w:rsid w:val="000504EC"/>
    <w:rsid w:val="0005248C"/>
    <w:rsid w:val="00054A38"/>
    <w:rsid w:val="000618C8"/>
    <w:rsid w:val="00064B37"/>
    <w:rsid w:val="00071810"/>
    <w:rsid w:val="000835DB"/>
    <w:rsid w:val="000923C8"/>
    <w:rsid w:val="00097CB1"/>
    <w:rsid w:val="000A3742"/>
    <w:rsid w:val="000C0112"/>
    <w:rsid w:val="000C1E21"/>
    <w:rsid w:val="000C30BE"/>
    <w:rsid w:val="000D145E"/>
    <w:rsid w:val="000D17E1"/>
    <w:rsid w:val="000D376D"/>
    <w:rsid w:val="000D4B64"/>
    <w:rsid w:val="000D5A02"/>
    <w:rsid w:val="000E3FAB"/>
    <w:rsid w:val="000F014C"/>
    <w:rsid w:val="000F1E78"/>
    <w:rsid w:val="00102DC6"/>
    <w:rsid w:val="00113414"/>
    <w:rsid w:val="00113FE4"/>
    <w:rsid w:val="00125B81"/>
    <w:rsid w:val="00162775"/>
    <w:rsid w:val="00174B01"/>
    <w:rsid w:val="00177630"/>
    <w:rsid w:val="001A4027"/>
    <w:rsid w:val="001A45C6"/>
    <w:rsid w:val="001A528E"/>
    <w:rsid w:val="001A77D9"/>
    <w:rsid w:val="001B45E6"/>
    <w:rsid w:val="001B5800"/>
    <w:rsid w:val="001C14D9"/>
    <w:rsid w:val="001C68AE"/>
    <w:rsid w:val="001C7793"/>
    <w:rsid w:val="001E205A"/>
    <w:rsid w:val="001E4661"/>
    <w:rsid w:val="001F2BF3"/>
    <w:rsid w:val="0020292D"/>
    <w:rsid w:val="002029F5"/>
    <w:rsid w:val="00202FFE"/>
    <w:rsid w:val="0021213D"/>
    <w:rsid w:val="002153C9"/>
    <w:rsid w:val="00232BE6"/>
    <w:rsid w:val="00240AAE"/>
    <w:rsid w:val="0024268E"/>
    <w:rsid w:val="00244B73"/>
    <w:rsid w:val="0024781F"/>
    <w:rsid w:val="00261601"/>
    <w:rsid w:val="00275474"/>
    <w:rsid w:val="00285840"/>
    <w:rsid w:val="00294E3E"/>
    <w:rsid w:val="002B0C14"/>
    <w:rsid w:val="002B2B42"/>
    <w:rsid w:val="002B3537"/>
    <w:rsid w:val="002B6663"/>
    <w:rsid w:val="002C3398"/>
    <w:rsid w:val="002C7D4C"/>
    <w:rsid w:val="002D1949"/>
    <w:rsid w:val="002E0353"/>
    <w:rsid w:val="002E6903"/>
    <w:rsid w:val="002E6CA7"/>
    <w:rsid w:val="002F1C50"/>
    <w:rsid w:val="002F1EDD"/>
    <w:rsid w:val="002F227D"/>
    <w:rsid w:val="002F2D3D"/>
    <w:rsid w:val="002F67FA"/>
    <w:rsid w:val="00312D7D"/>
    <w:rsid w:val="0031412A"/>
    <w:rsid w:val="00316E0D"/>
    <w:rsid w:val="00325C9D"/>
    <w:rsid w:val="00333BFE"/>
    <w:rsid w:val="0034092C"/>
    <w:rsid w:val="00345837"/>
    <w:rsid w:val="00355EAD"/>
    <w:rsid w:val="003627A7"/>
    <w:rsid w:val="00370CBA"/>
    <w:rsid w:val="00381CC0"/>
    <w:rsid w:val="00385617"/>
    <w:rsid w:val="00391986"/>
    <w:rsid w:val="003928EB"/>
    <w:rsid w:val="00397466"/>
    <w:rsid w:val="003A1871"/>
    <w:rsid w:val="003A3A2A"/>
    <w:rsid w:val="003A5EB8"/>
    <w:rsid w:val="003B3584"/>
    <w:rsid w:val="003C0EC2"/>
    <w:rsid w:val="003C610A"/>
    <w:rsid w:val="003D379C"/>
    <w:rsid w:val="003D6FCA"/>
    <w:rsid w:val="003E3F5D"/>
    <w:rsid w:val="003F178B"/>
    <w:rsid w:val="003F22A9"/>
    <w:rsid w:val="00401C92"/>
    <w:rsid w:val="00402DA0"/>
    <w:rsid w:val="004044CA"/>
    <w:rsid w:val="00407416"/>
    <w:rsid w:val="0041064D"/>
    <w:rsid w:val="00411E23"/>
    <w:rsid w:val="004145E3"/>
    <w:rsid w:val="00421AF0"/>
    <w:rsid w:val="00422F3E"/>
    <w:rsid w:val="0042647B"/>
    <w:rsid w:val="00430392"/>
    <w:rsid w:val="00440339"/>
    <w:rsid w:val="004439AA"/>
    <w:rsid w:val="00451499"/>
    <w:rsid w:val="00461FEE"/>
    <w:rsid w:val="004716D1"/>
    <w:rsid w:val="00471D81"/>
    <w:rsid w:val="004727E9"/>
    <w:rsid w:val="004728D5"/>
    <w:rsid w:val="004812ED"/>
    <w:rsid w:val="00484C53"/>
    <w:rsid w:val="004919EC"/>
    <w:rsid w:val="0049482D"/>
    <w:rsid w:val="004A7DC7"/>
    <w:rsid w:val="004B136F"/>
    <w:rsid w:val="004C6AE8"/>
    <w:rsid w:val="004D1BA6"/>
    <w:rsid w:val="004D5939"/>
    <w:rsid w:val="004E5A2B"/>
    <w:rsid w:val="004F02C8"/>
    <w:rsid w:val="004F660C"/>
    <w:rsid w:val="00500633"/>
    <w:rsid w:val="00503E46"/>
    <w:rsid w:val="00514226"/>
    <w:rsid w:val="00523DFA"/>
    <w:rsid w:val="005314D8"/>
    <w:rsid w:val="00534CF0"/>
    <w:rsid w:val="0055264D"/>
    <w:rsid w:val="00555707"/>
    <w:rsid w:val="00563846"/>
    <w:rsid w:val="00566A04"/>
    <w:rsid w:val="0057347A"/>
    <w:rsid w:val="005861DF"/>
    <w:rsid w:val="0058779F"/>
    <w:rsid w:val="00597119"/>
    <w:rsid w:val="00597143"/>
    <w:rsid w:val="005A4CAE"/>
    <w:rsid w:val="005D54CD"/>
    <w:rsid w:val="005D6191"/>
    <w:rsid w:val="005D7442"/>
    <w:rsid w:val="005E64E3"/>
    <w:rsid w:val="005F464C"/>
    <w:rsid w:val="00602D7B"/>
    <w:rsid w:val="0060678D"/>
    <w:rsid w:val="006345B0"/>
    <w:rsid w:val="00647B6C"/>
    <w:rsid w:val="00650FB4"/>
    <w:rsid w:val="00660B1B"/>
    <w:rsid w:val="006656E4"/>
    <w:rsid w:val="0067101C"/>
    <w:rsid w:val="00674F47"/>
    <w:rsid w:val="00680EF7"/>
    <w:rsid w:val="00693E8E"/>
    <w:rsid w:val="00697DFA"/>
    <w:rsid w:val="006A44E0"/>
    <w:rsid w:val="006A5B1D"/>
    <w:rsid w:val="006B2327"/>
    <w:rsid w:val="006B5EC0"/>
    <w:rsid w:val="006C10D0"/>
    <w:rsid w:val="006C1EF7"/>
    <w:rsid w:val="006D398D"/>
    <w:rsid w:val="006D6232"/>
    <w:rsid w:val="006E5015"/>
    <w:rsid w:val="00707123"/>
    <w:rsid w:val="00707E80"/>
    <w:rsid w:val="00716037"/>
    <w:rsid w:val="007175DB"/>
    <w:rsid w:val="00731B54"/>
    <w:rsid w:val="00732E45"/>
    <w:rsid w:val="00736107"/>
    <w:rsid w:val="0073694D"/>
    <w:rsid w:val="00741A4F"/>
    <w:rsid w:val="007479FF"/>
    <w:rsid w:val="00755BDE"/>
    <w:rsid w:val="00777034"/>
    <w:rsid w:val="00783EB8"/>
    <w:rsid w:val="007972DD"/>
    <w:rsid w:val="00797AB6"/>
    <w:rsid w:val="007A4695"/>
    <w:rsid w:val="007A6118"/>
    <w:rsid w:val="007B1440"/>
    <w:rsid w:val="007B55E6"/>
    <w:rsid w:val="007C24DB"/>
    <w:rsid w:val="007D00F4"/>
    <w:rsid w:val="007D1D68"/>
    <w:rsid w:val="007D6747"/>
    <w:rsid w:val="007E62FA"/>
    <w:rsid w:val="007F2520"/>
    <w:rsid w:val="00807F42"/>
    <w:rsid w:val="00810AD7"/>
    <w:rsid w:val="00811E48"/>
    <w:rsid w:val="0082222A"/>
    <w:rsid w:val="0082272E"/>
    <w:rsid w:val="00831CF0"/>
    <w:rsid w:val="008324B7"/>
    <w:rsid w:val="0084018B"/>
    <w:rsid w:val="00840744"/>
    <w:rsid w:val="00840B90"/>
    <w:rsid w:val="0084248C"/>
    <w:rsid w:val="008424F9"/>
    <w:rsid w:val="00851426"/>
    <w:rsid w:val="00854C66"/>
    <w:rsid w:val="00861358"/>
    <w:rsid w:val="00861D83"/>
    <w:rsid w:val="00865347"/>
    <w:rsid w:val="008749D0"/>
    <w:rsid w:val="00876264"/>
    <w:rsid w:val="008A1358"/>
    <w:rsid w:val="008A6032"/>
    <w:rsid w:val="008B05CC"/>
    <w:rsid w:val="008B63B6"/>
    <w:rsid w:val="008C560E"/>
    <w:rsid w:val="008E12AC"/>
    <w:rsid w:val="008E6EDD"/>
    <w:rsid w:val="008E7CAF"/>
    <w:rsid w:val="008F2193"/>
    <w:rsid w:val="008F4430"/>
    <w:rsid w:val="008F5B79"/>
    <w:rsid w:val="009049DB"/>
    <w:rsid w:val="009172E2"/>
    <w:rsid w:val="009204A6"/>
    <w:rsid w:val="0092157E"/>
    <w:rsid w:val="00926083"/>
    <w:rsid w:val="00933C8C"/>
    <w:rsid w:val="00934A18"/>
    <w:rsid w:val="00953BCD"/>
    <w:rsid w:val="00954577"/>
    <w:rsid w:val="00966E1C"/>
    <w:rsid w:val="009735D0"/>
    <w:rsid w:val="00987784"/>
    <w:rsid w:val="00990F57"/>
    <w:rsid w:val="009A075D"/>
    <w:rsid w:val="009A7FB9"/>
    <w:rsid w:val="009C07B4"/>
    <w:rsid w:val="009C3944"/>
    <w:rsid w:val="009C4125"/>
    <w:rsid w:val="009D0CB7"/>
    <w:rsid w:val="009D5937"/>
    <w:rsid w:val="009E074E"/>
    <w:rsid w:val="009E576F"/>
    <w:rsid w:val="009F4964"/>
    <w:rsid w:val="00A13FF4"/>
    <w:rsid w:val="00A23F3B"/>
    <w:rsid w:val="00A243C1"/>
    <w:rsid w:val="00A32B4F"/>
    <w:rsid w:val="00A35C82"/>
    <w:rsid w:val="00A411D8"/>
    <w:rsid w:val="00A66630"/>
    <w:rsid w:val="00A71A5A"/>
    <w:rsid w:val="00A7595C"/>
    <w:rsid w:val="00A801A0"/>
    <w:rsid w:val="00A96422"/>
    <w:rsid w:val="00A96C9B"/>
    <w:rsid w:val="00AA02C4"/>
    <w:rsid w:val="00AA0324"/>
    <w:rsid w:val="00AA543A"/>
    <w:rsid w:val="00AA6BDA"/>
    <w:rsid w:val="00AB130B"/>
    <w:rsid w:val="00AB20C5"/>
    <w:rsid w:val="00AC69B4"/>
    <w:rsid w:val="00AD400D"/>
    <w:rsid w:val="00AE08CE"/>
    <w:rsid w:val="00AE228D"/>
    <w:rsid w:val="00AE656E"/>
    <w:rsid w:val="00AF26FB"/>
    <w:rsid w:val="00AF39C0"/>
    <w:rsid w:val="00B06107"/>
    <w:rsid w:val="00B313C1"/>
    <w:rsid w:val="00B44611"/>
    <w:rsid w:val="00B6105A"/>
    <w:rsid w:val="00BA1BB2"/>
    <w:rsid w:val="00BA66A7"/>
    <w:rsid w:val="00BB4E7F"/>
    <w:rsid w:val="00BB6697"/>
    <w:rsid w:val="00BC4BFB"/>
    <w:rsid w:val="00BD6FC2"/>
    <w:rsid w:val="00BD7D6F"/>
    <w:rsid w:val="00BE1785"/>
    <w:rsid w:val="00BE7DF7"/>
    <w:rsid w:val="00BF27D6"/>
    <w:rsid w:val="00C024FE"/>
    <w:rsid w:val="00C035B9"/>
    <w:rsid w:val="00C14386"/>
    <w:rsid w:val="00C15CEE"/>
    <w:rsid w:val="00C21120"/>
    <w:rsid w:val="00C3158B"/>
    <w:rsid w:val="00C31E01"/>
    <w:rsid w:val="00C51CC4"/>
    <w:rsid w:val="00C56F19"/>
    <w:rsid w:val="00C57CF5"/>
    <w:rsid w:val="00C647F9"/>
    <w:rsid w:val="00C764FD"/>
    <w:rsid w:val="00C82BAB"/>
    <w:rsid w:val="00C83E0A"/>
    <w:rsid w:val="00C84426"/>
    <w:rsid w:val="00CA152D"/>
    <w:rsid w:val="00CA66CD"/>
    <w:rsid w:val="00CE1108"/>
    <w:rsid w:val="00CE30A1"/>
    <w:rsid w:val="00CF6658"/>
    <w:rsid w:val="00D003CB"/>
    <w:rsid w:val="00D173D3"/>
    <w:rsid w:val="00D23022"/>
    <w:rsid w:val="00D306DF"/>
    <w:rsid w:val="00D37526"/>
    <w:rsid w:val="00D52677"/>
    <w:rsid w:val="00D542A9"/>
    <w:rsid w:val="00D610F3"/>
    <w:rsid w:val="00D663E6"/>
    <w:rsid w:val="00D863F1"/>
    <w:rsid w:val="00DA3BFD"/>
    <w:rsid w:val="00DA7869"/>
    <w:rsid w:val="00DC6915"/>
    <w:rsid w:val="00DD6F0E"/>
    <w:rsid w:val="00DE6559"/>
    <w:rsid w:val="00DF2937"/>
    <w:rsid w:val="00DF5C39"/>
    <w:rsid w:val="00DF7045"/>
    <w:rsid w:val="00DF71C8"/>
    <w:rsid w:val="00E0008B"/>
    <w:rsid w:val="00E00A7C"/>
    <w:rsid w:val="00E03D4D"/>
    <w:rsid w:val="00E056C6"/>
    <w:rsid w:val="00E06132"/>
    <w:rsid w:val="00E10828"/>
    <w:rsid w:val="00E1252E"/>
    <w:rsid w:val="00E13CCB"/>
    <w:rsid w:val="00E1556E"/>
    <w:rsid w:val="00E2159A"/>
    <w:rsid w:val="00E32CC7"/>
    <w:rsid w:val="00E3522B"/>
    <w:rsid w:val="00E43995"/>
    <w:rsid w:val="00E513EB"/>
    <w:rsid w:val="00E524A5"/>
    <w:rsid w:val="00E61F85"/>
    <w:rsid w:val="00E63D39"/>
    <w:rsid w:val="00E63FEA"/>
    <w:rsid w:val="00E67C79"/>
    <w:rsid w:val="00E80ADB"/>
    <w:rsid w:val="00E835DC"/>
    <w:rsid w:val="00E9541E"/>
    <w:rsid w:val="00E95DB7"/>
    <w:rsid w:val="00EB5600"/>
    <w:rsid w:val="00EB5AD7"/>
    <w:rsid w:val="00EB5D86"/>
    <w:rsid w:val="00EC61F5"/>
    <w:rsid w:val="00ED36CE"/>
    <w:rsid w:val="00EE6343"/>
    <w:rsid w:val="00EF4885"/>
    <w:rsid w:val="00EF6291"/>
    <w:rsid w:val="00F041A7"/>
    <w:rsid w:val="00F05FC8"/>
    <w:rsid w:val="00F079BA"/>
    <w:rsid w:val="00F16256"/>
    <w:rsid w:val="00F2066B"/>
    <w:rsid w:val="00F27D9C"/>
    <w:rsid w:val="00F35F9A"/>
    <w:rsid w:val="00F37768"/>
    <w:rsid w:val="00F43379"/>
    <w:rsid w:val="00F44322"/>
    <w:rsid w:val="00F44F14"/>
    <w:rsid w:val="00F477DA"/>
    <w:rsid w:val="00F53B5F"/>
    <w:rsid w:val="00F6105E"/>
    <w:rsid w:val="00F722E6"/>
    <w:rsid w:val="00F80436"/>
    <w:rsid w:val="00FA38B9"/>
    <w:rsid w:val="00FD2BD4"/>
    <w:rsid w:val="00FE0C31"/>
    <w:rsid w:val="00FE1B00"/>
    <w:rsid w:val="00FF05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D64C"/>
  <w15:chartTrackingRefBased/>
  <w15:docId w15:val="{435A76B0-0B0A-4D57-9E1C-71B819C6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78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987784"/>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A13FF4"/>
    <w:rPr>
      <w:sz w:val="16"/>
      <w:szCs w:val="16"/>
    </w:rPr>
  </w:style>
  <w:style w:type="paragraph" w:styleId="CommentText">
    <w:name w:val="annotation text"/>
    <w:basedOn w:val="Normal"/>
    <w:link w:val="CommentTextChar"/>
    <w:uiPriority w:val="99"/>
    <w:unhideWhenUsed/>
    <w:rsid w:val="00A13FF4"/>
    <w:pPr>
      <w:spacing w:line="240" w:lineRule="auto"/>
    </w:pPr>
    <w:rPr>
      <w:sz w:val="20"/>
      <w:szCs w:val="20"/>
    </w:rPr>
  </w:style>
  <w:style w:type="character" w:customStyle="1" w:styleId="CommentTextChar">
    <w:name w:val="Comment Text Char"/>
    <w:basedOn w:val="DefaultParagraphFont"/>
    <w:link w:val="CommentText"/>
    <w:uiPriority w:val="99"/>
    <w:rsid w:val="00A13FF4"/>
    <w:rPr>
      <w:sz w:val="20"/>
      <w:szCs w:val="20"/>
    </w:rPr>
  </w:style>
  <w:style w:type="paragraph" w:styleId="CommentSubject">
    <w:name w:val="annotation subject"/>
    <w:basedOn w:val="CommentText"/>
    <w:next w:val="CommentText"/>
    <w:link w:val="CommentSubjectChar"/>
    <w:uiPriority w:val="99"/>
    <w:semiHidden/>
    <w:unhideWhenUsed/>
    <w:rsid w:val="00A13FF4"/>
    <w:rPr>
      <w:b/>
      <w:bCs/>
    </w:rPr>
  </w:style>
  <w:style w:type="character" w:customStyle="1" w:styleId="CommentSubjectChar">
    <w:name w:val="Comment Subject Char"/>
    <w:basedOn w:val="CommentTextChar"/>
    <w:link w:val="CommentSubject"/>
    <w:uiPriority w:val="99"/>
    <w:semiHidden/>
    <w:rsid w:val="00A13FF4"/>
    <w:rPr>
      <w:b/>
      <w:bCs/>
      <w:sz w:val="20"/>
      <w:szCs w:val="20"/>
    </w:rPr>
  </w:style>
  <w:style w:type="paragraph" w:styleId="BalloonText">
    <w:name w:val="Balloon Text"/>
    <w:basedOn w:val="Normal"/>
    <w:link w:val="BalloonTextChar"/>
    <w:uiPriority w:val="99"/>
    <w:semiHidden/>
    <w:unhideWhenUsed/>
    <w:rsid w:val="00A13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FF4"/>
    <w:rPr>
      <w:rFonts w:ascii="Segoe UI" w:hAnsi="Segoe UI" w:cs="Segoe UI"/>
      <w:sz w:val="18"/>
      <w:szCs w:val="18"/>
    </w:rPr>
  </w:style>
  <w:style w:type="character" w:styleId="Hyperlink">
    <w:name w:val="Hyperlink"/>
    <w:basedOn w:val="DefaultParagraphFont"/>
    <w:uiPriority w:val="99"/>
    <w:unhideWhenUsed/>
    <w:rsid w:val="00953BCD"/>
    <w:rPr>
      <w:color w:val="0563C1" w:themeColor="hyperlink"/>
      <w:u w:val="single"/>
    </w:rPr>
  </w:style>
  <w:style w:type="paragraph" w:styleId="Header">
    <w:name w:val="header"/>
    <w:basedOn w:val="Normal"/>
    <w:link w:val="HeaderChar"/>
    <w:uiPriority w:val="99"/>
    <w:unhideWhenUsed/>
    <w:rsid w:val="00C15C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CEE"/>
  </w:style>
  <w:style w:type="paragraph" w:styleId="Footer">
    <w:name w:val="footer"/>
    <w:basedOn w:val="Normal"/>
    <w:link w:val="FooterChar"/>
    <w:uiPriority w:val="99"/>
    <w:unhideWhenUsed/>
    <w:rsid w:val="00C15C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CEE"/>
  </w:style>
  <w:style w:type="paragraph" w:styleId="ListParagraph">
    <w:name w:val="List Paragraph"/>
    <w:basedOn w:val="Normal"/>
    <w:uiPriority w:val="34"/>
    <w:qFormat/>
    <w:rsid w:val="009C3944"/>
    <w:pPr>
      <w:ind w:left="720"/>
      <w:contextualSpacing/>
    </w:pPr>
  </w:style>
  <w:style w:type="paragraph" w:styleId="Revision">
    <w:name w:val="Revision"/>
    <w:hidden/>
    <w:uiPriority w:val="99"/>
    <w:semiHidden/>
    <w:rsid w:val="00731B54"/>
    <w:pPr>
      <w:spacing w:after="0" w:line="240" w:lineRule="auto"/>
    </w:pPr>
  </w:style>
  <w:style w:type="character" w:styleId="UnresolvedMention">
    <w:name w:val="Unresolved Mention"/>
    <w:basedOn w:val="DefaultParagraphFont"/>
    <w:uiPriority w:val="99"/>
    <w:semiHidden/>
    <w:unhideWhenUsed/>
    <w:rsid w:val="0005248C"/>
    <w:rPr>
      <w:color w:val="605E5C"/>
      <w:shd w:val="clear" w:color="auto" w:fill="E1DFDD"/>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Char,f,ft"/>
    <w:basedOn w:val="Normal"/>
    <w:link w:val="FootnoteTextChar"/>
    <w:uiPriority w:val="99"/>
    <w:unhideWhenUsed/>
    <w:qFormat/>
    <w:rsid w:val="00BF27D6"/>
    <w:pPr>
      <w:spacing w:after="0" w:line="240" w:lineRule="auto"/>
    </w:pPr>
    <w:rPr>
      <w:rFonts w:ascii="Times New Roman" w:hAnsi="Times New Roman"/>
      <w:sz w:val="20"/>
      <w:szCs w:val="20"/>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Char Char,f Char,ft Char"/>
    <w:basedOn w:val="DefaultParagraphFont"/>
    <w:link w:val="FootnoteText"/>
    <w:uiPriority w:val="99"/>
    <w:rsid w:val="00BF27D6"/>
    <w:rPr>
      <w:rFonts w:ascii="Times New Roman" w:hAnsi="Times New Roman"/>
      <w:sz w:val="20"/>
      <w:szCs w:val="20"/>
    </w:rPr>
  </w:style>
  <w:style w:type="character" w:styleId="FootnoteReference">
    <w:name w:val="footnote reference"/>
    <w:aliases w:val="Footnote Reference Number,Footnote symbol,Footnote Reference Superscript,SUPERS,ftref,Footnote Refernece,stylish,BVI fnr,Fußnotenzeichen_Raxen,callout,Stinking Styles22,number,Footnote symboFußnotenzeichen,Footnote sign,Times 10 Point"/>
    <w:basedOn w:val="DefaultParagraphFont"/>
    <w:link w:val="Char2"/>
    <w:uiPriority w:val="99"/>
    <w:unhideWhenUsed/>
    <w:qFormat/>
    <w:rsid w:val="00BF27D6"/>
    <w:rPr>
      <w:vertAlign w:val="superscript"/>
    </w:rPr>
  </w:style>
  <w:style w:type="paragraph" w:customStyle="1" w:styleId="Char2">
    <w:name w:val="Char2"/>
    <w:aliases w:val="Char Char Char Char"/>
    <w:basedOn w:val="Normal"/>
    <w:next w:val="Normal"/>
    <w:link w:val="FootnoteReference"/>
    <w:uiPriority w:val="99"/>
    <w:rsid w:val="00BF27D6"/>
    <w:pPr>
      <w:spacing w:line="240" w:lineRule="exact"/>
      <w:jc w:val="both"/>
      <w:textAlignment w:val="baseline"/>
    </w:pPr>
    <w:rPr>
      <w:vertAlign w:val="superscript"/>
    </w:rPr>
  </w:style>
  <w:style w:type="paragraph" w:customStyle="1" w:styleId="tvhtml">
    <w:name w:val="tv_html"/>
    <w:basedOn w:val="Normal"/>
    <w:rsid w:val="003C0EC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8362">
      <w:bodyDiv w:val="1"/>
      <w:marLeft w:val="0"/>
      <w:marRight w:val="0"/>
      <w:marTop w:val="0"/>
      <w:marBottom w:val="0"/>
      <w:divBdr>
        <w:top w:val="none" w:sz="0" w:space="0" w:color="auto"/>
        <w:left w:val="none" w:sz="0" w:space="0" w:color="auto"/>
        <w:bottom w:val="none" w:sz="0" w:space="0" w:color="auto"/>
        <w:right w:val="none" w:sz="0" w:space="0" w:color="auto"/>
      </w:divBdr>
    </w:div>
    <w:div w:id="260769829">
      <w:bodyDiv w:val="1"/>
      <w:marLeft w:val="0"/>
      <w:marRight w:val="0"/>
      <w:marTop w:val="0"/>
      <w:marBottom w:val="0"/>
      <w:divBdr>
        <w:top w:val="none" w:sz="0" w:space="0" w:color="auto"/>
        <w:left w:val="none" w:sz="0" w:space="0" w:color="auto"/>
        <w:bottom w:val="none" w:sz="0" w:space="0" w:color="auto"/>
        <w:right w:val="none" w:sz="0" w:space="0" w:color="auto"/>
      </w:divBdr>
    </w:div>
    <w:div w:id="667514286">
      <w:bodyDiv w:val="1"/>
      <w:marLeft w:val="0"/>
      <w:marRight w:val="0"/>
      <w:marTop w:val="0"/>
      <w:marBottom w:val="0"/>
      <w:divBdr>
        <w:top w:val="none" w:sz="0" w:space="0" w:color="auto"/>
        <w:left w:val="none" w:sz="0" w:space="0" w:color="auto"/>
        <w:bottom w:val="none" w:sz="0" w:space="0" w:color="auto"/>
        <w:right w:val="none" w:sz="0" w:space="0" w:color="auto"/>
      </w:divBdr>
    </w:div>
    <w:div w:id="1505703810">
      <w:bodyDiv w:val="1"/>
      <w:marLeft w:val="0"/>
      <w:marRight w:val="0"/>
      <w:marTop w:val="0"/>
      <w:marBottom w:val="0"/>
      <w:divBdr>
        <w:top w:val="none" w:sz="0" w:space="0" w:color="auto"/>
        <w:left w:val="none" w:sz="0" w:space="0" w:color="auto"/>
        <w:bottom w:val="none" w:sz="0" w:space="0" w:color="auto"/>
        <w:right w:val="none" w:sz="0" w:space="0" w:color="auto"/>
      </w:divBdr>
    </w:div>
    <w:div w:id="1829058950">
      <w:bodyDiv w:val="1"/>
      <w:marLeft w:val="0"/>
      <w:marRight w:val="0"/>
      <w:marTop w:val="0"/>
      <w:marBottom w:val="0"/>
      <w:divBdr>
        <w:top w:val="none" w:sz="0" w:space="0" w:color="auto"/>
        <w:left w:val="none" w:sz="0" w:space="0" w:color="auto"/>
        <w:bottom w:val="none" w:sz="0" w:space="0" w:color="auto"/>
        <w:right w:val="none" w:sz="0" w:space="0" w:color="auto"/>
      </w:divBdr>
    </w:div>
    <w:div w:id="1852837677">
      <w:bodyDiv w:val="1"/>
      <w:marLeft w:val="0"/>
      <w:marRight w:val="0"/>
      <w:marTop w:val="0"/>
      <w:marBottom w:val="0"/>
      <w:divBdr>
        <w:top w:val="none" w:sz="0" w:space="0" w:color="auto"/>
        <w:left w:val="none" w:sz="0" w:space="0" w:color="auto"/>
        <w:bottom w:val="none" w:sz="0" w:space="0" w:color="auto"/>
        <w:right w:val="none" w:sz="0" w:space="0" w:color="auto"/>
      </w:divBdr>
    </w:div>
    <w:div w:id="1861703119">
      <w:bodyDiv w:val="1"/>
      <w:marLeft w:val="0"/>
      <w:marRight w:val="0"/>
      <w:marTop w:val="0"/>
      <w:marBottom w:val="0"/>
      <w:divBdr>
        <w:top w:val="none" w:sz="0" w:space="0" w:color="auto"/>
        <w:left w:val="none" w:sz="0" w:space="0" w:color="auto"/>
        <w:bottom w:val="none" w:sz="0" w:space="0" w:color="auto"/>
        <w:right w:val="none" w:sz="0" w:space="0" w:color="auto"/>
      </w:divBdr>
    </w:div>
    <w:div w:id="19942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11618</Words>
  <Characters>6623</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Likumprojekta “Grozījumi likumā “Par akcīzes nodokli” sākotnējās ietekmes novērtējuma ziņojums</vt:lpstr>
    </vt:vector>
  </TitlesOfParts>
  <Company>Ekonomikas ministrija</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akcīzes nodokli” sākotnējās ietekmes novērtējuma ziņojums</dc:title>
  <dc:subject>Likumprojekts</dc:subject>
  <dc:creator>Jānis Rozītis</dc:creator>
  <cp:keywords/>
  <dc:description>67013272, janis.rozitis@em.gov.lv</dc:description>
  <cp:lastModifiedBy>Jānis Rozītis</cp:lastModifiedBy>
  <cp:revision>10</cp:revision>
  <dcterms:created xsi:type="dcterms:W3CDTF">2020-09-30T13:11:00Z</dcterms:created>
  <dcterms:modified xsi:type="dcterms:W3CDTF">2020-10-02T06:57:00Z</dcterms:modified>
</cp:coreProperties>
</file>