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D2DDB0" w14:textId="77777777" w:rsidR="006C699A" w:rsidRDefault="006C699A" w:rsidP="006C699A">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065ED7">
        <w:rPr>
          <w:rFonts w:ascii="Times New Roman" w:eastAsia="Times New Roman" w:hAnsi="Times New Roman" w:cs="Times New Roman"/>
          <w:b/>
          <w:bCs/>
          <w:color w:val="414142"/>
          <w:sz w:val="28"/>
          <w:szCs w:val="24"/>
          <w:lang w:eastAsia="lv-LV"/>
        </w:rPr>
        <w:t>Likumprojekta “Grozījumi Informācijas sabiedrības pakalpojumu likumā” sākotnējās ietekmes novērtējuma ziņojums (anotācija)</w:t>
      </w:r>
    </w:p>
    <w:p w14:paraId="478F7CDB" w14:textId="77777777" w:rsidR="006C699A" w:rsidRPr="00667396" w:rsidRDefault="006C699A" w:rsidP="006C699A">
      <w:pPr>
        <w:shd w:val="clear" w:color="auto" w:fill="FFFFFF"/>
        <w:spacing w:after="0" w:line="240" w:lineRule="auto"/>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6C699A" w:rsidRPr="00667396" w14:paraId="66CD78C1" w14:textId="77777777" w:rsidTr="001A0F6E">
        <w:trPr>
          <w:tblCellSpacing w:w="15" w:type="dxa"/>
        </w:trPr>
        <w:tc>
          <w:tcPr>
            <w:tcW w:w="0" w:type="auto"/>
            <w:gridSpan w:val="2"/>
            <w:vAlign w:val="center"/>
            <w:hideMark/>
          </w:tcPr>
          <w:p w14:paraId="66B5C82E" w14:textId="77777777" w:rsidR="006C699A" w:rsidRPr="00667396" w:rsidRDefault="006C699A" w:rsidP="001A0F6E">
            <w:pPr>
              <w:spacing w:after="0" w:line="240" w:lineRule="auto"/>
              <w:jc w:val="center"/>
              <w:rPr>
                <w:rFonts w:ascii="Times New Roman" w:eastAsia="Times New Roman" w:hAnsi="Times New Roman" w:cs="Times New Roman"/>
                <w:b/>
                <w:bCs/>
                <w:iCs/>
                <w:color w:val="414142"/>
                <w:sz w:val="24"/>
                <w:szCs w:val="24"/>
                <w:lang w:eastAsia="lv-LV"/>
              </w:rPr>
            </w:pPr>
            <w:r w:rsidRPr="00124E61">
              <w:rPr>
                <w:rFonts w:ascii="Times New Roman" w:eastAsia="Times New Roman" w:hAnsi="Times New Roman" w:cs="Times New Roman"/>
                <w:b/>
                <w:bCs/>
                <w:iCs/>
                <w:sz w:val="24"/>
                <w:szCs w:val="24"/>
                <w:lang w:eastAsia="lv-LV"/>
              </w:rPr>
              <w:t>Tiesību akta projekta anotācijas kopsavilkums</w:t>
            </w:r>
          </w:p>
        </w:tc>
      </w:tr>
      <w:tr w:rsidR="006C699A" w:rsidRPr="00667396" w14:paraId="4D14317A" w14:textId="77777777" w:rsidTr="001A0F6E">
        <w:trPr>
          <w:tblCellSpacing w:w="15" w:type="dxa"/>
        </w:trPr>
        <w:tc>
          <w:tcPr>
            <w:tcW w:w="1980" w:type="pct"/>
            <w:hideMark/>
          </w:tcPr>
          <w:p w14:paraId="739E8177" w14:textId="77777777" w:rsidR="006C699A" w:rsidRPr="00667396" w:rsidRDefault="006C699A" w:rsidP="001A0F6E">
            <w:pPr>
              <w:spacing w:after="0" w:line="240" w:lineRule="auto"/>
              <w:jc w:val="both"/>
              <w:rPr>
                <w:rFonts w:ascii="Times New Roman" w:eastAsia="Times New Roman" w:hAnsi="Times New Roman" w:cs="Times New Roman"/>
                <w:iCs/>
                <w:color w:val="414142"/>
                <w:sz w:val="24"/>
                <w:szCs w:val="24"/>
                <w:lang w:eastAsia="lv-LV"/>
              </w:rPr>
            </w:pPr>
            <w:r w:rsidRPr="00124E6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hideMark/>
          </w:tcPr>
          <w:p w14:paraId="22D9AE04" w14:textId="77777777" w:rsidR="006C699A" w:rsidRPr="007C3CB2" w:rsidRDefault="006C699A" w:rsidP="001A0F6E">
            <w:pPr>
              <w:spacing w:after="0" w:line="240" w:lineRule="auto"/>
              <w:jc w:val="both"/>
              <w:rPr>
                <w:rFonts w:ascii="Times New Roman" w:eastAsia="Times New Roman" w:hAnsi="Times New Roman" w:cs="Times New Roman"/>
                <w:iCs/>
                <w:sz w:val="24"/>
                <w:szCs w:val="24"/>
                <w:lang w:eastAsia="lv-LV"/>
              </w:rPr>
            </w:pPr>
            <w:r w:rsidRPr="007C3CB2">
              <w:rPr>
                <w:rFonts w:ascii="Times New Roman" w:eastAsia="Times New Roman" w:hAnsi="Times New Roman" w:cs="Times New Roman"/>
                <w:iCs/>
                <w:sz w:val="24"/>
                <w:szCs w:val="24"/>
                <w:lang w:eastAsia="lv-LV"/>
              </w:rPr>
              <w:t>Likumprojekts “Grozījumi Informācijas sabiedrības pakalpojumu likumā” (turpmāk – likumprojekts) ir izstrādāts</w:t>
            </w:r>
            <w:r>
              <w:rPr>
                <w:rFonts w:ascii="Times New Roman" w:eastAsia="Times New Roman" w:hAnsi="Times New Roman" w:cs="Times New Roman"/>
                <w:iCs/>
                <w:sz w:val="24"/>
                <w:szCs w:val="24"/>
                <w:lang w:eastAsia="lv-LV"/>
              </w:rPr>
              <w:t>,</w:t>
            </w:r>
            <w:r w:rsidRPr="007C3CB2">
              <w:rPr>
                <w:rFonts w:ascii="Times New Roman" w:eastAsia="Times New Roman" w:hAnsi="Times New Roman" w:cs="Times New Roman"/>
                <w:iCs/>
                <w:sz w:val="24"/>
                <w:szCs w:val="24"/>
                <w:lang w:eastAsia="lv-LV"/>
              </w:rPr>
              <w:t xml:space="preserve"> lai nodrošinātu komerciālo vai korporatīvo tīmekļ</w:t>
            </w:r>
            <w:r>
              <w:rPr>
                <w:rFonts w:ascii="Times New Roman" w:eastAsia="Times New Roman" w:hAnsi="Times New Roman" w:cs="Times New Roman"/>
                <w:iCs/>
                <w:sz w:val="24"/>
                <w:szCs w:val="24"/>
                <w:lang w:eastAsia="lv-LV"/>
              </w:rPr>
              <w:t>v</w:t>
            </w:r>
            <w:r w:rsidRPr="007C3CB2">
              <w:rPr>
                <w:rFonts w:ascii="Times New Roman" w:eastAsia="Times New Roman" w:hAnsi="Times New Roman" w:cs="Times New Roman"/>
                <w:iCs/>
                <w:sz w:val="24"/>
                <w:szCs w:val="24"/>
                <w:lang w:eastAsia="lv-LV"/>
              </w:rPr>
              <w:t xml:space="preserve">ietņu lietotāju tiesību aizsardzību; noteiktu kārtību, kādā biedrības un nodibinājumi var iegūt tiesības pārstāvēt komerciālo vai korporatīvo tīmekļvietņu lietotāju tiesvedībā; noteiktu uzraudzības iestādi, tās tiesības un pienākumus. </w:t>
            </w:r>
          </w:p>
          <w:p w14:paraId="13F585A1" w14:textId="77777777" w:rsidR="006C699A" w:rsidRPr="005D6A63" w:rsidRDefault="006C699A" w:rsidP="001A0F6E">
            <w:pPr>
              <w:spacing w:after="0" w:line="240" w:lineRule="auto"/>
              <w:jc w:val="both"/>
              <w:rPr>
                <w:rFonts w:ascii="Times New Roman" w:eastAsia="Times New Roman" w:hAnsi="Times New Roman" w:cs="Times New Roman"/>
                <w:iCs/>
                <w:sz w:val="24"/>
                <w:szCs w:val="24"/>
                <w:highlight w:val="yellow"/>
                <w:lang w:eastAsia="lv-LV"/>
              </w:rPr>
            </w:pPr>
            <w:r w:rsidRPr="007C3CB2">
              <w:rPr>
                <w:rFonts w:ascii="Times New Roman" w:eastAsia="Times New Roman" w:hAnsi="Times New Roman" w:cs="Times New Roman"/>
                <w:iCs/>
                <w:sz w:val="24"/>
                <w:szCs w:val="24"/>
                <w:lang w:eastAsia="lv-LV"/>
              </w:rPr>
              <w:t xml:space="preserve">Likums stāsies spēkā </w:t>
            </w:r>
            <w:proofErr w:type="gramStart"/>
            <w:r>
              <w:rPr>
                <w:rFonts w:ascii="Times New Roman" w:eastAsia="Times New Roman" w:hAnsi="Times New Roman" w:cs="Times New Roman"/>
                <w:iCs/>
                <w:sz w:val="24"/>
                <w:szCs w:val="24"/>
                <w:lang w:eastAsia="lv-LV"/>
              </w:rPr>
              <w:t>2021.gada</w:t>
            </w:r>
            <w:proofErr w:type="gramEnd"/>
            <w:r>
              <w:rPr>
                <w:rFonts w:ascii="Times New Roman" w:eastAsia="Times New Roman" w:hAnsi="Times New Roman" w:cs="Times New Roman"/>
                <w:iCs/>
                <w:sz w:val="24"/>
                <w:szCs w:val="24"/>
                <w:lang w:eastAsia="lv-LV"/>
              </w:rPr>
              <w:t xml:space="preserve"> 1.janvārī</w:t>
            </w:r>
            <w:r w:rsidRPr="007C3CB2">
              <w:rPr>
                <w:rFonts w:ascii="Times New Roman" w:eastAsia="Times New Roman" w:hAnsi="Times New Roman" w:cs="Times New Roman"/>
                <w:iCs/>
                <w:sz w:val="24"/>
                <w:szCs w:val="24"/>
                <w:lang w:eastAsia="lv-LV"/>
              </w:rPr>
              <w:t>.</w:t>
            </w:r>
          </w:p>
        </w:tc>
      </w:tr>
    </w:tbl>
    <w:p w14:paraId="1ABAF3CF" w14:textId="77777777" w:rsidR="006C699A" w:rsidRPr="00667396" w:rsidRDefault="006C699A" w:rsidP="006C699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699A" w:rsidRPr="00667396" w14:paraId="46D03E49" w14:textId="77777777" w:rsidTr="001A0F6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128018D" w14:textId="77777777" w:rsidR="006C699A" w:rsidRPr="009A1C7A" w:rsidRDefault="006C699A" w:rsidP="001A0F6E">
            <w:pPr>
              <w:spacing w:after="0" w:line="240" w:lineRule="auto"/>
              <w:jc w:val="center"/>
              <w:rPr>
                <w:rFonts w:ascii="Times New Roman" w:eastAsia="Times New Roman" w:hAnsi="Times New Roman" w:cs="Times New Roman"/>
                <w:b/>
                <w:bCs/>
                <w:iCs/>
                <w:sz w:val="24"/>
                <w:szCs w:val="24"/>
                <w:lang w:eastAsia="lv-LV"/>
              </w:rPr>
            </w:pPr>
            <w:r w:rsidRPr="009A1C7A">
              <w:rPr>
                <w:rFonts w:ascii="Times New Roman" w:eastAsia="Times New Roman" w:hAnsi="Times New Roman" w:cs="Times New Roman"/>
                <w:b/>
                <w:bCs/>
                <w:iCs/>
                <w:sz w:val="24"/>
                <w:szCs w:val="24"/>
                <w:lang w:eastAsia="lv-LV"/>
              </w:rPr>
              <w:t>I. Tiesību akta projekta izstrādes nepieciešamība</w:t>
            </w:r>
          </w:p>
        </w:tc>
      </w:tr>
      <w:tr w:rsidR="006C699A" w:rsidRPr="00E46193" w14:paraId="65B93CD3"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F25BF9"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5BF370D"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3AFAE2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13162C">
              <w:rPr>
                <w:rFonts w:ascii="Times New Roman" w:eastAsia="Times New Roman" w:hAnsi="Times New Roman" w:cs="Times New Roman"/>
                <w:iCs/>
                <w:sz w:val="24"/>
                <w:szCs w:val="24"/>
                <w:lang w:eastAsia="lv-LV"/>
              </w:rPr>
              <w:t xml:space="preserve">Likumprojekta grozījumi izstrādāti pēc Ekonomikas ministrijas iniciatīvas, lai īstenotu Eiropas Parlamenta un Padomes </w:t>
            </w:r>
            <w:proofErr w:type="gramStart"/>
            <w:r>
              <w:rPr>
                <w:rFonts w:ascii="Times New Roman" w:eastAsia="Times New Roman" w:hAnsi="Times New Roman" w:cs="Times New Roman"/>
                <w:iCs/>
                <w:sz w:val="24"/>
                <w:szCs w:val="24"/>
                <w:lang w:eastAsia="lv-LV"/>
              </w:rPr>
              <w:t>2019.gada</w:t>
            </w:r>
            <w:proofErr w:type="gramEnd"/>
            <w:r>
              <w:rPr>
                <w:rFonts w:ascii="Times New Roman" w:eastAsia="Times New Roman" w:hAnsi="Times New Roman" w:cs="Times New Roman"/>
                <w:iCs/>
                <w:sz w:val="24"/>
                <w:szCs w:val="24"/>
                <w:lang w:eastAsia="lv-LV"/>
              </w:rPr>
              <w:t xml:space="preserve"> 20.jūnija </w:t>
            </w:r>
            <w:r w:rsidRPr="0013162C">
              <w:rPr>
                <w:rFonts w:ascii="Times New Roman" w:eastAsia="Times New Roman" w:hAnsi="Times New Roman" w:cs="Times New Roman"/>
                <w:iCs/>
                <w:sz w:val="24"/>
                <w:szCs w:val="24"/>
                <w:lang w:eastAsia="lv-LV"/>
              </w:rPr>
              <w:t>Regulas (ES) 2019/1150 par taisnīguma un pārredzamības veicināšanu komerciālajiem lietotājiem paredzētos tiešsaistes starpniecības pakalpojumos (turpmāk – Regula (ES) 2019/1150) prasības.</w:t>
            </w:r>
          </w:p>
        </w:tc>
      </w:tr>
      <w:tr w:rsidR="006C699A" w:rsidRPr="00E46193" w14:paraId="3F05D1A9"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5F5401"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A266CAC"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2F23F92C"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2019. gada 20. jūnijā tika pieņemta Regula (ES) 2019/1150, izveidojot vienotus nosacījumus tiešsaistes starpniecības pakalpojumu sniedzējiem Eiropas Savienībā (turpmāk – ES) un Eiropas Ekonomiskajā zonā. Regulā (ES) 2019/1150 ir noteiktas detalizētas prasības, kādas ir jāievēro </w:t>
            </w:r>
            <w:proofErr w:type="gramStart"/>
            <w:r w:rsidRPr="00E46193">
              <w:rPr>
                <w:rFonts w:ascii="Times New Roman" w:eastAsia="Times New Roman" w:hAnsi="Times New Roman" w:cs="Times New Roman"/>
                <w:iCs/>
                <w:sz w:val="24"/>
                <w:szCs w:val="24"/>
                <w:lang w:eastAsia="lv-LV"/>
              </w:rPr>
              <w:t>tiešsaistes starpniecību platformu pakalpojumu sniedzējiem, piemēram</w:t>
            </w:r>
            <w:proofErr w:type="gramEnd"/>
            <w:r w:rsidRPr="00E46193">
              <w:rPr>
                <w:rFonts w:ascii="Times New Roman" w:eastAsia="Times New Roman" w:hAnsi="Times New Roman" w:cs="Times New Roman"/>
                <w:iCs/>
                <w:sz w:val="24"/>
                <w:szCs w:val="24"/>
                <w:lang w:eastAsia="lv-LV"/>
              </w:rPr>
              <w:t xml:space="preserve">, tiešsaistes starpniecības platformu pakalpojumu sniedzēji nodrošina, ka to platformu lietošanas noteikumi ir viegli pieejami, pārredzami, sagatavoti vienkāršā un saprotamā valodā, tajos tiek izklāstīti galvenie parametri, pēc kuriem nosaka ranžējumu u.c. </w:t>
            </w:r>
          </w:p>
          <w:p w14:paraId="121ADC0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Tāpat Regulas (ES) 2019/1150 14. pantā ir paredzēts, ka attiecīgajām prasībām atbilstošās biedrības, nodibinājumi vai publiskās iestādes var vērsties ES dalībvalstu tiesās ar prasību pret tiešsaistes starpniecības platformu pakalpojumu sniedzēju, ja tiek konstatēts Regulas prasību pārkāpums. Sarakstu ar šādām iestādēm izveido un publicē Eiropas Komisija (turpmāk – EK) sadarbībā ar ES dalībvalstīm. Prasībām atbilstošās iestādes varēs brīvprātīgi pieteikties Ekonomikas ministrijā, kas būs atbildīga par tālāko sadarbību ar EK, lai iestādes tiktu iekļautas sarakstā.</w:t>
            </w:r>
          </w:p>
          <w:p w14:paraId="2B7810F3"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Regula (ES) 2019/1150 uzliek par pienākumu ES dalībvalstīm izstrādāt noteikumus, kuros tiek paredzēti </w:t>
            </w:r>
            <w:r w:rsidRPr="00E46193">
              <w:rPr>
                <w:rFonts w:ascii="Times New Roman" w:eastAsia="Times New Roman" w:hAnsi="Times New Roman" w:cs="Times New Roman"/>
                <w:iCs/>
                <w:sz w:val="24"/>
                <w:szCs w:val="24"/>
                <w:lang w:eastAsia="lv-LV"/>
              </w:rPr>
              <w:lastRenderedPageBreak/>
              <w:t xml:space="preserve">pasākumi, kas piemērojami tās neievērošanas gadījumā. </w:t>
            </w:r>
          </w:p>
          <w:p w14:paraId="382EFF4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Ņemot vērā, ka šobrīd Latvijā nav tāda tiesiskā regulējuma, kas noteiktu uzraudzību pār tiešsaistes starpniecības platformu pakalpojumu sniedzējiem, kā arī nav regulēts jautājums, kā biedrības un nodibinājumi var iegūt tiesības pārstāvēt komerciālo vai korporatīvo tīmekļ</w:t>
            </w:r>
            <w:r>
              <w:rPr>
                <w:rFonts w:ascii="Times New Roman" w:eastAsia="Times New Roman" w:hAnsi="Times New Roman" w:cs="Times New Roman"/>
                <w:iCs/>
                <w:sz w:val="24"/>
                <w:szCs w:val="24"/>
                <w:lang w:eastAsia="lv-LV"/>
              </w:rPr>
              <w:t>v</w:t>
            </w:r>
            <w:r w:rsidRPr="00E46193">
              <w:rPr>
                <w:rFonts w:ascii="Times New Roman" w:eastAsia="Times New Roman" w:hAnsi="Times New Roman" w:cs="Times New Roman"/>
                <w:iCs/>
                <w:sz w:val="24"/>
                <w:szCs w:val="24"/>
                <w:lang w:eastAsia="lv-LV"/>
              </w:rPr>
              <w:t xml:space="preserve">ietņu lietotāju tiesvedībā, ir nepieciešams veikt grozījumus Informācijas sabiedrības pakalpojumu likumā </w:t>
            </w:r>
            <w:proofErr w:type="gramStart"/>
            <w:r w:rsidRPr="00E46193">
              <w:rPr>
                <w:rFonts w:ascii="Times New Roman" w:eastAsia="Times New Roman" w:hAnsi="Times New Roman" w:cs="Times New Roman"/>
                <w:iCs/>
                <w:sz w:val="24"/>
                <w:szCs w:val="24"/>
                <w:lang w:eastAsia="lv-LV"/>
              </w:rPr>
              <w:t>(</w:t>
            </w:r>
            <w:proofErr w:type="gramEnd"/>
            <w:r w:rsidRPr="00E46193">
              <w:rPr>
                <w:rFonts w:ascii="Times New Roman" w:eastAsia="Times New Roman" w:hAnsi="Times New Roman" w:cs="Times New Roman"/>
                <w:iCs/>
                <w:sz w:val="24"/>
                <w:szCs w:val="24"/>
                <w:lang w:eastAsia="lv-LV"/>
              </w:rPr>
              <w:t>turpmāk – ISPL), tajā nosakot kārtību, kādā biedrības un nodibinājumi var iegūt tiesības pārstāvēt komerciālo vai korporatīvo tīmek</w:t>
            </w:r>
            <w:r>
              <w:rPr>
                <w:rFonts w:ascii="Times New Roman" w:eastAsia="Times New Roman" w:hAnsi="Times New Roman" w:cs="Times New Roman"/>
                <w:iCs/>
                <w:sz w:val="24"/>
                <w:szCs w:val="24"/>
                <w:lang w:eastAsia="lv-LV"/>
              </w:rPr>
              <w:t>ļv</w:t>
            </w:r>
            <w:r w:rsidRPr="00E46193">
              <w:rPr>
                <w:rFonts w:ascii="Times New Roman" w:eastAsia="Times New Roman" w:hAnsi="Times New Roman" w:cs="Times New Roman"/>
                <w:iCs/>
                <w:sz w:val="24"/>
                <w:szCs w:val="24"/>
                <w:lang w:eastAsia="lv-LV"/>
              </w:rPr>
              <w:t>ietņu lietotāju tiesvedībā, kā arī noteikt uzraudzības iestādi un tās tiesības un pienākumus, lai tiktu īstenota no Regulas (ES) 2019/1150 izrietošo saistību izpilde.</w:t>
            </w:r>
          </w:p>
          <w:p w14:paraId="7E047885" w14:textId="77777777" w:rsidR="006C699A" w:rsidRPr="00E46193" w:rsidRDefault="006C699A" w:rsidP="001A0F6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1. pants paredz izdarīt grozījumus ISPL </w:t>
            </w:r>
            <w:proofErr w:type="gramStart"/>
            <w:r w:rsidRPr="00E46193">
              <w:rPr>
                <w:rFonts w:ascii="Times New Roman" w:eastAsia="Times New Roman" w:hAnsi="Times New Roman" w:cs="Times New Roman"/>
                <w:b/>
                <w:iCs/>
                <w:sz w:val="24"/>
                <w:szCs w:val="24"/>
                <w:lang w:eastAsia="lv-LV"/>
              </w:rPr>
              <w:t>1.panta</w:t>
            </w:r>
            <w:proofErr w:type="gramEnd"/>
            <w:r w:rsidRPr="00E46193">
              <w:rPr>
                <w:rFonts w:ascii="Times New Roman" w:eastAsia="Times New Roman" w:hAnsi="Times New Roman" w:cs="Times New Roman"/>
                <w:b/>
                <w:iCs/>
                <w:sz w:val="24"/>
                <w:szCs w:val="24"/>
                <w:lang w:eastAsia="lv-LV"/>
              </w:rPr>
              <w:t xml:space="preserve"> pirmās daļas </w:t>
            </w:r>
            <w:r>
              <w:rPr>
                <w:rFonts w:ascii="Times New Roman" w:eastAsia="Times New Roman" w:hAnsi="Times New Roman" w:cs="Times New Roman"/>
                <w:b/>
                <w:iCs/>
                <w:sz w:val="24"/>
                <w:szCs w:val="24"/>
                <w:lang w:eastAsia="lv-LV"/>
              </w:rPr>
              <w:t>2. </w:t>
            </w:r>
            <w:r w:rsidRPr="00E46193">
              <w:rPr>
                <w:rFonts w:ascii="Times New Roman" w:eastAsia="Times New Roman" w:hAnsi="Times New Roman" w:cs="Times New Roman"/>
                <w:b/>
                <w:iCs/>
                <w:sz w:val="24"/>
                <w:szCs w:val="24"/>
                <w:lang w:eastAsia="lv-LV"/>
              </w:rPr>
              <w:t>punktā</w:t>
            </w:r>
            <w:r w:rsidRPr="00E46193">
              <w:rPr>
                <w:rFonts w:ascii="Times New Roman" w:eastAsia="Times New Roman" w:hAnsi="Times New Roman" w:cs="Times New Roman"/>
                <w:iCs/>
                <w:sz w:val="24"/>
                <w:szCs w:val="24"/>
                <w:lang w:eastAsia="lv-LV"/>
              </w:rPr>
              <w:t>, papildinot, ka informācijas sabiedrības pakalpojumi ietver arī tiešsaistes starpniecības platformu pakalpojumus, kā vienu no starpnieku pakalpojumu veidiem.</w:t>
            </w:r>
          </w:p>
          <w:p w14:paraId="0C9080D4" w14:textId="77777777" w:rsidR="006C699A" w:rsidRPr="00E224A4" w:rsidRDefault="006C699A" w:rsidP="001A0F6E">
            <w:pPr>
              <w:pStyle w:val="ListParagraph"/>
              <w:spacing w:before="100" w:beforeAutospacing="1" w:after="0" w:afterAutospacing="1" w:line="240" w:lineRule="auto"/>
              <w:ind w:left="360"/>
              <w:jc w:val="both"/>
              <w:rPr>
                <w:rFonts w:ascii="Times New Roman" w:eastAsia="Times New Roman" w:hAnsi="Times New Roman" w:cs="Times New Roman"/>
                <w:bCs/>
                <w:iCs/>
                <w:sz w:val="24"/>
                <w:szCs w:val="24"/>
                <w:lang w:eastAsia="lv-LV"/>
              </w:rPr>
            </w:pPr>
            <w:r w:rsidRPr="00E46193">
              <w:rPr>
                <w:rFonts w:ascii="Times New Roman" w:eastAsia="Times New Roman" w:hAnsi="Times New Roman" w:cs="Times New Roman"/>
                <w:iCs/>
                <w:sz w:val="24"/>
                <w:szCs w:val="24"/>
                <w:lang w:eastAsia="lv-LV"/>
              </w:rPr>
              <w:t xml:space="preserve">Tāpat likumprojekta 1. pants paredz izdarīt grozījumus ISPL </w:t>
            </w:r>
            <w:proofErr w:type="gramStart"/>
            <w:r w:rsidRPr="00E46193">
              <w:rPr>
                <w:rFonts w:ascii="Times New Roman" w:eastAsia="Times New Roman" w:hAnsi="Times New Roman" w:cs="Times New Roman"/>
                <w:b/>
                <w:iCs/>
                <w:sz w:val="24"/>
                <w:szCs w:val="24"/>
                <w:lang w:eastAsia="lv-LV"/>
              </w:rPr>
              <w:t>1.panta</w:t>
            </w:r>
            <w:proofErr w:type="gramEnd"/>
            <w:r w:rsidRPr="00E46193">
              <w:rPr>
                <w:rFonts w:ascii="Times New Roman" w:eastAsia="Times New Roman" w:hAnsi="Times New Roman" w:cs="Times New Roman"/>
                <w:b/>
                <w:iCs/>
                <w:sz w:val="24"/>
                <w:szCs w:val="24"/>
                <w:lang w:eastAsia="lv-LV"/>
              </w:rPr>
              <w:t xml:space="preserve"> otrajā daļā, </w:t>
            </w:r>
            <w:r w:rsidRPr="00E46193">
              <w:rPr>
                <w:rFonts w:ascii="Times New Roman" w:eastAsia="Times New Roman" w:hAnsi="Times New Roman" w:cs="Times New Roman"/>
                <w:bCs/>
                <w:iCs/>
                <w:sz w:val="24"/>
                <w:szCs w:val="24"/>
                <w:lang w:eastAsia="lv-LV"/>
              </w:rPr>
              <w:t>kura pared</w:t>
            </w:r>
            <w:r>
              <w:rPr>
                <w:rFonts w:ascii="Times New Roman" w:eastAsia="Times New Roman" w:hAnsi="Times New Roman" w:cs="Times New Roman"/>
                <w:bCs/>
                <w:iCs/>
                <w:sz w:val="24"/>
                <w:szCs w:val="24"/>
                <w:lang w:eastAsia="lv-LV"/>
              </w:rPr>
              <w:t>z</w:t>
            </w:r>
            <w:r w:rsidRPr="00E46193">
              <w:rPr>
                <w:rFonts w:ascii="Times New Roman" w:eastAsia="Times New Roman" w:hAnsi="Times New Roman" w:cs="Times New Roman"/>
                <w:bCs/>
                <w:iCs/>
                <w:sz w:val="24"/>
                <w:szCs w:val="24"/>
                <w:lang w:eastAsia="lv-LV"/>
              </w:rPr>
              <w:t xml:space="preserve">  ISPL lietotos terminus papildināt ar terminiem </w:t>
            </w:r>
            <w:r w:rsidRPr="00147343">
              <w:rPr>
                <w:rFonts w:ascii="Times New Roman" w:eastAsia="Times New Roman" w:hAnsi="Times New Roman" w:cs="Times New Roman"/>
                <w:bCs/>
                <w:iCs/>
                <w:sz w:val="24"/>
                <w:szCs w:val="24"/>
                <w:lang w:eastAsia="lv-LV"/>
              </w:rPr>
              <w:t>"biedrība" un "nodibinājums"</w:t>
            </w:r>
            <w:r>
              <w:rPr>
                <w:rFonts w:ascii="Times New Roman" w:eastAsia="Times New Roman" w:hAnsi="Times New Roman" w:cs="Times New Roman"/>
                <w:bCs/>
                <w:iCs/>
                <w:sz w:val="24"/>
                <w:szCs w:val="24"/>
                <w:lang w:eastAsia="lv-LV"/>
              </w:rPr>
              <w:t>, jo Regulā (ES) 2019/1150 ir minēti termini “organizācija” vai “apvienība”, savukārt, Latvijā “organizācijām” vai “apvienībām” tiesiskais statuss ir “biedrība” vai “nodibinājums”. Minētie grozījumi ir nepieciešami, lai veicinātu personu izpratni par atbilstošu terminu lietojumu likumprojektā.</w:t>
            </w:r>
          </w:p>
          <w:p w14:paraId="1EAAF7E5"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iCs/>
                <w:sz w:val="24"/>
                <w:szCs w:val="24"/>
                <w:lang w:eastAsia="lv-LV"/>
              </w:rPr>
              <w:t xml:space="preserve">Tāpat likumprojekts paredz ISPL lietotos terminus papildināt ar terminiem </w:t>
            </w:r>
            <w:r w:rsidRPr="00E46193">
              <w:rPr>
                <w:rFonts w:ascii="Times New Roman" w:eastAsia="Times New Roman" w:hAnsi="Times New Roman" w:cs="Times New Roman"/>
                <w:bCs/>
                <w:iCs/>
                <w:sz w:val="24"/>
                <w:szCs w:val="24"/>
                <w:lang w:eastAsia="lv-LV"/>
              </w:rPr>
              <w:t>“komerciālais lietotājs” un “korporatīvo tīmekļ</w:t>
            </w:r>
            <w:r>
              <w:rPr>
                <w:rFonts w:ascii="Times New Roman" w:eastAsia="Times New Roman" w:hAnsi="Times New Roman" w:cs="Times New Roman"/>
                <w:bCs/>
                <w:iCs/>
                <w:sz w:val="24"/>
                <w:szCs w:val="24"/>
                <w:lang w:eastAsia="lv-LV"/>
              </w:rPr>
              <w:t>v</w:t>
            </w:r>
            <w:r w:rsidRPr="00E46193">
              <w:rPr>
                <w:rFonts w:ascii="Times New Roman" w:eastAsia="Times New Roman" w:hAnsi="Times New Roman" w:cs="Times New Roman"/>
                <w:bCs/>
                <w:iCs/>
                <w:sz w:val="24"/>
                <w:szCs w:val="24"/>
                <w:lang w:eastAsia="lv-LV"/>
              </w:rPr>
              <w:t>ietņu lietotājs”, kuri atbilst Regula</w:t>
            </w:r>
            <w:r>
              <w:rPr>
                <w:rFonts w:ascii="Times New Roman" w:eastAsia="Times New Roman" w:hAnsi="Times New Roman" w:cs="Times New Roman"/>
                <w:bCs/>
                <w:iCs/>
                <w:sz w:val="24"/>
                <w:szCs w:val="24"/>
                <w:lang w:eastAsia="lv-LV"/>
              </w:rPr>
              <w:t>s</w:t>
            </w:r>
            <w:r w:rsidRPr="00E46193">
              <w:rPr>
                <w:rFonts w:ascii="Times New Roman" w:eastAsia="Times New Roman" w:hAnsi="Times New Roman" w:cs="Times New Roman"/>
                <w:bCs/>
                <w:iCs/>
                <w:sz w:val="24"/>
                <w:szCs w:val="24"/>
                <w:lang w:eastAsia="lv-LV"/>
              </w:rPr>
              <w:t xml:space="preserve"> (ES) 2019/1150</w:t>
            </w:r>
            <w:r>
              <w:rPr>
                <w:rFonts w:ascii="Times New Roman" w:eastAsia="Times New Roman" w:hAnsi="Times New Roman" w:cs="Times New Roman"/>
                <w:bCs/>
                <w:iCs/>
                <w:sz w:val="24"/>
                <w:szCs w:val="24"/>
                <w:lang w:eastAsia="lv-LV"/>
              </w:rPr>
              <w:t xml:space="preserve"> lietotajiem terminiem</w:t>
            </w:r>
            <w:r w:rsidRPr="00E46193">
              <w:rPr>
                <w:rFonts w:ascii="Times New Roman" w:eastAsia="Times New Roman" w:hAnsi="Times New Roman" w:cs="Times New Roman"/>
                <w:bCs/>
                <w:iCs/>
                <w:sz w:val="24"/>
                <w:szCs w:val="24"/>
                <w:lang w:eastAsia="lv-LV"/>
              </w:rPr>
              <w:t xml:space="preserve">, kā arī </w:t>
            </w:r>
            <w:r>
              <w:rPr>
                <w:rFonts w:ascii="Times New Roman" w:eastAsia="Times New Roman" w:hAnsi="Times New Roman" w:cs="Times New Roman"/>
                <w:bCs/>
                <w:iCs/>
                <w:sz w:val="24"/>
                <w:szCs w:val="24"/>
                <w:lang w:eastAsia="lv-LV"/>
              </w:rPr>
              <w:t xml:space="preserve">ar </w:t>
            </w:r>
            <w:r w:rsidRPr="00E46193">
              <w:rPr>
                <w:rFonts w:ascii="Times New Roman" w:eastAsia="Times New Roman" w:hAnsi="Times New Roman" w:cs="Times New Roman"/>
                <w:bCs/>
                <w:iCs/>
                <w:sz w:val="24"/>
                <w:szCs w:val="24"/>
                <w:lang w:eastAsia="lv-LV"/>
              </w:rPr>
              <w:t>terminu “tiešsaistes starpniecības platformu pakalpojumu sniedzējs”, kas atbilst Regulas (ES) 2019/1150 lietotajam terminam “tiešsaistes starpniecības pakalpojumu sniedzējs.” Grozījumi ir nepieciešami, lai veicinātu personu izpratni par terminu lietojumu definīcijām</w:t>
            </w:r>
            <w:r>
              <w:rPr>
                <w:rFonts w:ascii="Times New Roman" w:eastAsia="Times New Roman" w:hAnsi="Times New Roman" w:cs="Times New Roman"/>
                <w:bCs/>
                <w:iCs/>
                <w:sz w:val="24"/>
                <w:szCs w:val="24"/>
                <w:lang w:eastAsia="lv-LV"/>
              </w:rPr>
              <w:t xml:space="preserve">, jo ISPL ir norādīts, ka termins “lietotājs” atbilst </w:t>
            </w:r>
            <w:r w:rsidRPr="00AB25C9">
              <w:rPr>
                <w:rFonts w:ascii="Times New Roman" w:eastAsia="Times New Roman" w:hAnsi="Times New Roman" w:cs="Times New Roman"/>
                <w:bCs/>
                <w:iCs/>
                <w:sz w:val="24"/>
                <w:szCs w:val="24"/>
                <w:lang w:eastAsia="lv-LV"/>
              </w:rPr>
              <w:t>Elektronisko sakaru likumā lietotaj</w:t>
            </w:r>
            <w:r>
              <w:rPr>
                <w:rFonts w:ascii="Times New Roman" w:eastAsia="Times New Roman" w:hAnsi="Times New Roman" w:cs="Times New Roman"/>
                <w:bCs/>
                <w:iCs/>
                <w:sz w:val="24"/>
                <w:szCs w:val="24"/>
                <w:lang w:eastAsia="lv-LV"/>
              </w:rPr>
              <w:t>am</w:t>
            </w:r>
            <w:r w:rsidRPr="00AB25C9">
              <w:rPr>
                <w:rFonts w:ascii="Times New Roman" w:eastAsia="Times New Roman" w:hAnsi="Times New Roman" w:cs="Times New Roman"/>
                <w:bCs/>
                <w:iCs/>
                <w:sz w:val="24"/>
                <w:szCs w:val="24"/>
                <w:lang w:eastAsia="lv-LV"/>
              </w:rPr>
              <w:t xml:space="preserve"> termin</w:t>
            </w:r>
            <w:r>
              <w:rPr>
                <w:rFonts w:ascii="Times New Roman" w:eastAsia="Times New Roman" w:hAnsi="Times New Roman" w:cs="Times New Roman"/>
                <w:bCs/>
                <w:iCs/>
                <w:sz w:val="24"/>
                <w:szCs w:val="24"/>
                <w:lang w:eastAsia="lv-LV"/>
              </w:rPr>
              <w:t xml:space="preserve">am, savukārt, ISPL grozījumos tiek minēti precīzāki termini – komerciālais lietotājs un korporatīvo tīmekļvietņu lietotājs. </w:t>
            </w:r>
          </w:p>
          <w:p w14:paraId="1FF4CC7B" w14:textId="77777777" w:rsidR="006C699A" w:rsidRDefault="006C699A" w:rsidP="001A0F6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2. pants paredz izdarīt grozījumus ISPL </w:t>
            </w:r>
            <w:proofErr w:type="gramStart"/>
            <w:r w:rsidRPr="00E46193">
              <w:rPr>
                <w:rFonts w:ascii="Times New Roman" w:eastAsia="Times New Roman" w:hAnsi="Times New Roman" w:cs="Times New Roman"/>
                <w:b/>
                <w:iCs/>
                <w:sz w:val="24"/>
                <w:szCs w:val="24"/>
                <w:lang w:eastAsia="lv-LV"/>
              </w:rPr>
              <w:t>2.panta</w:t>
            </w:r>
            <w:proofErr w:type="gramEnd"/>
            <w:r w:rsidRPr="00E46193">
              <w:rPr>
                <w:rFonts w:ascii="Times New Roman" w:eastAsia="Times New Roman" w:hAnsi="Times New Roman" w:cs="Times New Roman"/>
                <w:b/>
                <w:iCs/>
                <w:sz w:val="24"/>
                <w:szCs w:val="24"/>
                <w:lang w:eastAsia="lv-LV"/>
              </w:rPr>
              <w:t xml:space="preserve"> pirmajā daļā</w:t>
            </w:r>
            <w:r w:rsidRPr="00E46193">
              <w:rPr>
                <w:rFonts w:ascii="Times New Roman" w:eastAsia="Times New Roman" w:hAnsi="Times New Roman" w:cs="Times New Roman"/>
                <w:iCs/>
                <w:sz w:val="24"/>
                <w:szCs w:val="24"/>
                <w:lang w:eastAsia="lv-LV"/>
              </w:rPr>
              <w:t xml:space="preserve"> papildinot, ka ISPL mērķis ir arī nodrošināt</w:t>
            </w:r>
            <w:r w:rsidRPr="00E46193">
              <w:rPr>
                <w:rFonts w:ascii="Times New Roman" w:eastAsia="Times New Roman" w:hAnsi="Times New Roman" w:cs="Times New Roman"/>
                <w:sz w:val="24"/>
                <w:szCs w:val="24"/>
                <w:lang w:eastAsia="lv-LV"/>
              </w:rPr>
              <w:t xml:space="preserve"> pārredzamību par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sniedzēju piedāvātajiem līgumattiecību </w:t>
            </w:r>
            <w:r w:rsidRPr="00E46193">
              <w:rPr>
                <w:rFonts w:ascii="Times New Roman" w:eastAsia="Times New Roman" w:hAnsi="Times New Roman" w:cs="Times New Roman"/>
                <w:sz w:val="24"/>
                <w:szCs w:val="24"/>
                <w:lang w:eastAsia="lv-LV"/>
              </w:rPr>
              <w:lastRenderedPageBreak/>
              <w:t xml:space="preserve">noteikumiem. </w:t>
            </w:r>
            <w:r w:rsidRPr="00E46193">
              <w:rPr>
                <w:rFonts w:ascii="Times New Roman" w:eastAsia="Times New Roman" w:hAnsi="Times New Roman" w:cs="Times New Roman"/>
                <w:iCs/>
                <w:sz w:val="24"/>
                <w:szCs w:val="24"/>
                <w:lang w:eastAsia="lv-LV"/>
              </w:rPr>
              <w:t xml:space="preserve">Grozījumi ir nepieciešami, </w:t>
            </w:r>
            <w:r w:rsidRPr="00E46193">
              <w:rPr>
                <w:rFonts w:ascii="Times New Roman" w:eastAsia="Times New Roman" w:hAnsi="Times New Roman" w:cs="Times New Roman"/>
                <w:sz w:val="24"/>
                <w:szCs w:val="24"/>
                <w:lang w:eastAsia="lv-LV"/>
              </w:rPr>
              <w:t xml:space="preserve">ņemot vērā, ka ISPL tiek ieviestas tiesību normas, jo ieviešot jaunas normas, kas attiecas uz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sniedzēju uzraudzību, un komerciālo un korporatīvo tīmekļvietņu interešu aizsardzību, maina likuma mērķi.</w:t>
            </w:r>
          </w:p>
          <w:p w14:paraId="0D555EAE" w14:textId="77777777" w:rsidR="006C699A" w:rsidRPr="00E46193" w:rsidRDefault="006C699A" w:rsidP="001A0F6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3. pants paredz papildināt ISPL ar jaunu </w:t>
            </w:r>
            <w:r w:rsidRPr="00E46193">
              <w:rPr>
                <w:rFonts w:ascii="Times New Roman" w:eastAsia="Times New Roman" w:hAnsi="Times New Roman" w:cs="Times New Roman"/>
                <w:b/>
                <w:bCs/>
                <w:sz w:val="24"/>
                <w:szCs w:val="24"/>
                <w:lang w:eastAsia="lv-LV"/>
              </w:rPr>
              <w:t>IV</w:t>
            </w:r>
            <w:r w:rsidRPr="00E46193">
              <w:rPr>
                <w:rFonts w:ascii="Times New Roman" w:eastAsia="Times New Roman" w:hAnsi="Times New Roman" w:cs="Times New Roman"/>
                <w:b/>
                <w:bCs/>
                <w:sz w:val="24"/>
                <w:szCs w:val="24"/>
                <w:vertAlign w:val="superscript"/>
                <w:lang w:eastAsia="lv-LV"/>
              </w:rPr>
              <w:t>1</w:t>
            </w:r>
            <w:r w:rsidRPr="00E46193">
              <w:rPr>
                <w:rFonts w:ascii="Times New Roman" w:eastAsia="Times New Roman" w:hAnsi="Times New Roman" w:cs="Times New Roman"/>
                <w:b/>
                <w:bCs/>
                <w:sz w:val="24"/>
                <w:szCs w:val="24"/>
                <w:lang w:eastAsia="lv-LV"/>
              </w:rPr>
              <w:t xml:space="preserve"> nodaļu „Komerciālo vai korporatīvo tīmekļvietņu lietotāju interešu pārstāvības reģistra uzturēšana un administrēšana” </w:t>
            </w:r>
            <w:r w:rsidRPr="00E46193">
              <w:rPr>
                <w:rFonts w:ascii="Times New Roman" w:eastAsia="Times New Roman" w:hAnsi="Times New Roman" w:cs="Times New Roman"/>
                <w:sz w:val="24"/>
                <w:szCs w:val="24"/>
                <w:lang w:eastAsia="lv-LV"/>
              </w:rPr>
              <w:t xml:space="preserve">ar diviem </w:t>
            </w:r>
            <w:r w:rsidRPr="00E46193">
              <w:rPr>
                <w:rFonts w:ascii="Times New Roman" w:eastAsia="Times New Roman" w:hAnsi="Times New Roman" w:cs="Times New Roman"/>
                <w:bCs/>
                <w:sz w:val="24"/>
                <w:szCs w:val="24"/>
                <w:lang w:eastAsia="lv-LV"/>
              </w:rPr>
              <w:t>pantiem –</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pantu</w:t>
            </w:r>
            <w:r w:rsidRPr="00E46193">
              <w:rPr>
                <w:rFonts w:ascii="Times New Roman" w:eastAsia="Times New Roman" w:hAnsi="Times New Roman" w:cs="Times New Roman"/>
                <w:bCs/>
                <w:sz w:val="24"/>
                <w:szCs w:val="24"/>
                <w:lang w:eastAsia="lv-LV"/>
              </w:rPr>
              <w:t xml:space="preserve"> un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2</w:t>
            </w:r>
            <w:r w:rsidRPr="00E46193">
              <w:rPr>
                <w:rFonts w:ascii="Times New Roman" w:eastAsia="Times New Roman" w:hAnsi="Times New Roman" w:cs="Times New Roman"/>
                <w:b/>
                <w:bCs/>
                <w:sz w:val="24"/>
                <w:szCs w:val="24"/>
                <w:lang w:eastAsia="lv-LV"/>
              </w:rPr>
              <w:t xml:space="preserve"> pantu</w:t>
            </w:r>
            <w:r w:rsidRPr="00E46193">
              <w:rPr>
                <w:rFonts w:ascii="Times New Roman" w:eastAsia="Times New Roman" w:hAnsi="Times New Roman" w:cs="Times New Roman"/>
                <w:bCs/>
                <w:sz w:val="24"/>
                <w:szCs w:val="24"/>
                <w:lang w:eastAsia="lv-LV"/>
              </w:rPr>
              <w:t>.</w:t>
            </w:r>
          </w:p>
          <w:p w14:paraId="1F1E0471"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bCs/>
                <w:sz w:val="24"/>
                <w:szCs w:val="24"/>
                <w:lang w:eastAsia="lv-LV"/>
              </w:rPr>
            </w:pPr>
            <w:r w:rsidRPr="00E46193">
              <w:rPr>
                <w:rFonts w:ascii="Times New Roman" w:eastAsia="Times New Roman" w:hAnsi="Times New Roman" w:cs="Times New Roman"/>
                <w:bCs/>
                <w:sz w:val="24"/>
                <w:szCs w:val="24"/>
                <w:lang w:eastAsia="lv-LV"/>
              </w:rPr>
              <w:t>ISPL</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pantā</w:t>
            </w:r>
            <w:r w:rsidRPr="00E46193">
              <w:rPr>
                <w:rFonts w:ascii="Times New Roman" w:eastAsia="Times New Roman" w:hAnsi="Times New Roman" w:cs="Times New Roman"/>
                <w:bCs/>
                <w:sz w:val="24"/>
                <w:szCs w:val="24"/>
                <w:lang w:eastAsia="lv-LV"/>
              </w:rPr>
              <w:t xml:space="preserve"> tiek noteikti biedrību un nodibinājumu tiesības un pienākumi. ISPL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panta pirmā daļa</w:t>
            </w:r>
            <w:r w:rsidRPr="00E46193">
              <w:rPr>
                <w:rFonts w:ascii="Times New Roman" w:eastAsia="Times New Roman" w:hAnsi="Times New Roman" w:cs="Times New Roman"/>
                <w:bCs/>
                <w:sz w:val="24"/>
                <w:szCs w:val="24"/>
                <w:lang w:eastAsia="lv-LV"/>
              </w:rPr>
              <w:t xml:space="preserve"> paredz iesniedzamo dokumentāciju un kārtību, kādā biedrības un nodibinājumi var iegūt tiesības pārstāvēt komerciālo vai korporatīvo tīmekļvietņu lietotāju tiesvedībā. Šādi grozījumi ir nepieciešami, lai </w:t>
            </w:r>
            <w:proofErr w:type="gramStart"/>
            <w:r w:rsidRPr="00E46193">
              <w:rPr>
                <w:rFonts w:ascii="Times New Roman" w:eastAsia="Times New Roman" w:hAnsi="Times New Roman" w:cs="Times New Roman"/>
                <w:bCs/>
                <w:sz w:val="24"/>
                <w:szCs w:val="24"/>
                <w:lang w:eastAsia="lv-LV"/>
              </w:rPr>
              <w:t xml:space="preserve">ieviestu Regulas </w:t>
            </w:r>
            <w:r w:rsidRPr="00E46193">
              <w:rPr>
                <w:rFonts w:ascii="Times New Roman" w:eastAsia="Times New Roman" w:hAnsi="Times New Roman" w:cs="Times New Roman"/>
                <w:sz w:val="24"/>
                <w:szCs w:val="24"/>
                <w:lang w:eastAsia="lv-LV"/>
              </w:rPr>
              <w:t>(ES) 2019/1150 14. panta 1. punkta</w:t>
            </w:r>
            <w:proofErr w:type="gramEnd"/>
            <w:r w:rsidRPr="00E46193">
              <w:rPr>
                <w:rFonts w:ascii="Times New Roman" w:eastAsia="Times New Roman" w:hAnsi="Times New Roman" w:cs="Times New Roman"/>
                <w:sz w:val="24"/>
                <w:szCs w:val="24"/>
                <w:lang w:eastAsia="lv-LV"/>
              </w:rPr>
              <w:t xml:space="preserve">, un 14. panta 5. punkta a) apakšpunkta prasības. </w:t>
            </w:r>
          </w:p>
          <w:p w14:paraId="5D9D249D" w14:textId="77777777" w:rsidR="006C699A"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proofErr w:type="gramStart"/>
            <w:r w:rsidRPr="00E46193">
              <w:rPr>
                <w:rFonts w:ascii="Times New Roman" w:eastAsia="Times New Roman" w:hAnsi="Times New Roman" w:cs="Times New Roman"/>
                <w:bCs/>
                <w:sz w:val="24"/>
                <w:szCs w:val="24"/>
                <w:lang w:eastAsia="lv-LV"/>
              </w:rPr>
              <w:t>Savukārt,</w:t>
            </w:r>
            <w:proofErr w:type="gramEnd"/>
            <w:r w:rsidRPr="00E46193">
              <w:rPr>
                <w:rFonts w:ascii="Times New Roman" w:eastAsia="Times New Roman" w:hAnsi="Times New Roman" w:cs="Times New Roman"/>
                <w:bCs/>
                <w:sz w:val="24"/>
                <w:szCs w:val="24"/>
                <w:lang w:eastAsia="lv-LV"/>
              </w:rPr>
              <w:t xml:space="preserve"> ISPL </w:t>
            </w:r>
            <w:r w:rsidRPr="00E46193">
              <w:rPr>
                <w:rFonts w:ascii="Times New Roman" w:eastAsia="Times New Roman" w:hAnsi="Times New Roman" w:cs="Times New Roman"/>
                <w:b/>
                <w:bCs/>
                <w:sz w:val="24"/>
                <w:szCs w:val="24"/>
                <w:lang w:eastAsia="lv-LV"/>
              </w:rPr>
              <w:t>11.</w:t>
            </w:r>
            <w:r w:rsidRPr="00E46193">
              <w:rPr>
                <w:rFonts w:ascii="Times New Roman" w:eastAsia="Times New Roman" w:hAnsi="Times New Roman" w:cs="Times New Roman"/>
                <w:b/>
                <w:bCs/>
                <w:sz w:val="24"/>
                <w:szCs w:val="24"/>
                <w:vertAlign w:val="superscript"/>
                <w:lang w:eastAsia="lv-LV"/>
              </w:rPr>
              <w:t>1 </w:t>
            </w:r>
            <w:r w:rsidRPr="00E46193">
              <w:rPr>
                <w:rFonts w:ascii="Times New Roman" w:eastAsia="Times New Roman" w:hAnsi="Times New Roman" w:cs="Times New Roman"/>
                <w:b/>
                <w:bCs/>
                <w:sz w:val="24"/>
                <w:szCs w:val="24"/>
                <w:lang w:eastAsia="lv-LV"/>
              </w:rPr>
              <w:t xml:space="preserve">panta otrā daļā </w:t>
            </w:r>
            <w:r w:rsidRPr="00E46193">
              <w:rPr>
                <w:rFonts w:ascii="Times New Roman" w:eastAsia="Times New Roman" w:hAnsi="Times New Roman" w:cs="Times New Roman"/>
                <w:bCs/>
                <w:sz w:val="24"/>
                <w:szCs w:val="24"/>
                <w:lang w:eastAsia="lv-LV"/>
              </w:rPr>
              <w:t xml:space="preserve">tiek noteikti gadījumi, ja biedrība vai nodibinājums ir izdarījis izmaiņas tās darbībā, kuru dēļ tā neatbilst vai varētu neatbilst Regulas </w:t>
            </w:r>
            <w:r w:rsidRPr="00E46193">
              <w:rPr>
                <w:rFonts w:ascii="Times New Roman" w:eastAsia="Times New Roman" w:hAnsi="Times New Roman" w:cs="Times New Roman"/>
                <w:sz w:val="24"/>
                <w:szCs w:val="24"/>
                <w:lang w:eastAsia="lv-LV"/>
              </w:rPr>
              <w:t>(ES) 2019/1150 14. panta 3. punktā noteiktajiem nosacījumiem, vai arī biedrība vai nodibinājums vēlas atsaukt savu interesi pārstāvēt komerciālo vai korporatīvo tīmekļvietņu lietotāju tiesvedībā, par to nekavējoties ir jāinformē Ekonomikas ministrija. Minētā norma ir nepieciešama, lai Ekonomikas ministrija varētu informētu EK par izmaiņām paziņoto biedrību un nodibinājumu sarakstā, kas atbilst Regulas (ES) 2019/1150 14. panta 6. punkta prasībām. Ņemot vērā to, ka biedrībām un nodibinājumiem ir tiesības brīvprātīgi izvēlēties, vai tās vēlas pārstāvēt komerciālo vai korporatīvo tīmekļvietņu lietotāju tiesvedībā, ir izstrādāta norma, k</w:t>
            </w:r>
            <w:r>
              <w:rPr>
                <w:rFonts w:ascii="Times New Roman" w:eastAsia="Times New Roman" w:hAnsi="Times New Roman" w:cs="Times New Roman"/>
                <w:sz w:val="24"/>
                <w:szCs w:val="24"/>
                <w:lang w:eastAsia="lv-LV"/>
              </w:rPr>
              <w:t>as</w:t>
            </w:r>
            <w:r w:rsidRPr="00E46193">
              <w:rPr>
                <w:rFonts w:ascii="Times New Roman" w:eastAsia="Times New Roman" w:hAnsi="Times New Roman" w:cs="Times New Roman"/>
                <w:sz w:val="24"/>
                <w:szCs w:val="24"/>
                <w:lang w:eastAsia="lv-LV"/>
              </w:rPr>
              <w:t xml:space="preserve"> paredz biedrībām vai nodibinājumiem tiesības atteikties pārstāvēt komerciālo vai korporatīvo tīmekļvietņu lietotāju tiesvedībā. </w:t>
            </w:r>
          </w:p>
          <w:p w14:paraId="70927266" w14:textId="77777777" w:rsidR="006C699A" w:rsidRPr="00A15C9C"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F51651">
              <w:rPr>
                <w:rFonts w:ascii="Times New Roman" w:eastAsia="Times New Roman" w:hAnsi="Times New Roman" w:cs="Times New Roman"/>
                <w:bCs/>
                <w:sz w:val="24"/>
                <w:szCs w:val="24"/>
                <w:lang w:eastAsia="lv-LV"/>
              </w:rPr>
              <w:t xml:space="preserve">ISPL </w:t>
            </w:r>
            <w:r w:rsidRPr="00F51651">
              <w:rPr>
                <w:rFonts w:ascii="Times New Roman" w:eastAsia="Times New Roman" w:hAnsi="Times New Roman" w:cs="Times New Roman"/>
                <w:b/>
                <w:bCs/>
                <w:sz w:val="24"/>
                <w:szCs w:val="24"/>
                <w:lang w:eastAsia="lv-LV"/>
              </w:rPr>
              <w:t>11.</w:t>
            </w:r>
            <w:r w:rsidRPr="00F51651">
              <w:rPr>
                <w:rFonts w:ascii="Times New Roman" w:eastAsia="Times New Roman" w:hAnsi="Times New Roman" w:cs="Times New Roman"/>
                <w:b/>
                <w:bCs/>
                <w:sz w:val="24"/>
                <w:szCs w:val="24"/>
                <w:vertAlign w:val="superscript"/>
                <w:lang w:eastAsia="lv-LV"/>
              </w:rPr>
              <w:t>1 </w:t>
            </w:r>
            <w:r w:rsidRPr="00F51651">
              <w:rPr>
                <w:rFonts w:ascii="Times New Roman" w:eastAsia="Times New Roman" w:hAnsi="Times New Roman" w:cs="Times New Roman"/>
                <w:b/>
                <w:bCs/>
                <w:sz w:val="24"/>
                <w:szCs w:val="24"/>
                <w:lang w:eastAsia="lv-LV"/>
              </w:rPr>
              <w:t xml:space="preserve">panta </w:t>
            </w:r>
            <w:r>
              <w:rPr>
                <w:rFonts w:ascii="Times New Roman" w:eastAsia="Times New Roman" w:hAnsi="Times New Roman" w:cs="Times New Roman"/>
                <w:b/>
                <w:bCs/>
                <w:sz w:val="24"/>
                <w:szCs w:val="24"/>
                <w:lang w:eastAsia="lv-LV"/>
              </w:rPr>
              <w:t>trešajā</w:t>
            </w:r>
            <w:r w:rsidRPr="00F51651">
              <w:rPr>
                <w:rFonts w:ascii="Times New Roman" w:eastAsia="Times New Roman" w:hAnsi="Times New Roman" w:cs="Times New Roman"/>
                <w:b/>
                <w:bCs/>
                <w:sz w:val="24"/>
                <w:szCs w:val="24"/>
                <w:lang w:eastAsia="lv-LV"/>
              </w:rPr>
              <w:t xml:space="preserve"> daļā</w:t>
            </w:r>
            <w:r>
              <w:rPr>
                <w:rFonts w:ascii="Times New Roman" w:eastAsia="Times New Roman" w:hAnsi="Times New Roman" w:cs="Times New Roman"/>
                <w:b/>
                <w:bCs/>
                <w:sz w:val="24"/>
                <w:szCs w:val="24"/>
                <w:lang w:eastAsia="lv-LV"/>
              </w:rPr>
              <w:t xml:space="preserve"> </w:t>
            </w:r>
            <w:r w:rsidRPr="00826293">
              <w:rPr>
                <w:rFonts w:ascii="Times New Roman" w:eastAsia="Times New Roman" w:hAnsi="Times New Roman" w:cs="Times New Roman"/>
                <w:sz w:val="24"/>
                <w:szCs w:val="24"/>
                <w:lang w:eastAsia="lv-LV"/>
              </w:rPr>
              <w:t xml:space="preserve">tiek paredzēts, ka biedrība vai nodibinājums, </w:t>
            </w:r>
            <w:r w:rsidRPr="00A15C9C">
              <w:rPr>
                <w:rFonts w:ascii="Times New Roman" w:eastAsia="Times New Roman" w:hAnsi="Times New Roman" w:cs="Times New Roman"/>
                <w:sz w:val="24"/>
                <w:szCs w:val="24"/>
                <w:lang w:eastAsia="lv-LV"/>
              </w:rPr>
              <w:t>dokumentus, kas parakstīti ar drošu elektronisko parakstu un satur laika zīmogu – iesniegumu ar apliecinājumu par atbilstību regulas (ES) 2019/1150 14. panta 3. punkta prasībām</w:t>
            </w:r>
            <w:proofErr w:type="gramStart"/>
            <w:r w:rsidRPr="00A15C9C">
              <w:rPr>
                <w:rFonts w:ascii="Times New Roman" w:eastAsia="Times New Roman" w:hAnsi="Times New Roman" w:cs="Times New Roman"/>
                <w:sz w:val="24"/>
                <w:szCs w:val="24"/>
                <w:lang w:eastAsia="lv-LV"/>
              </w:rPr>
              <w:t>, vai veiktās izmaiņas biedrības vai nodibinājuma darbībā</w:t>
            </w:r>
            <w:proofErr w:type="gramEnd"/>
            <w:r w:rsidRPr="00A15C9C">
              <w:rPr>
                <w:rFonts w:ascii="Times New Roman" w:eastAsia="Times New Roman" w:hAnsi="Times New Roman" w:cs="Times New Roman"/>
                <w:sz w:val="24"/>
                <w:szCs w:val="24"/>
                <w:lang w:eastAsia="lv-LV"/>
              </w:rPr>
              <w:t xml:space="preserve">, kuru dēļ biedrība vai nodibinājums neatbilst vai var neatbilst regulas (ES) 2019/1150 14. panta 3. punkta prasībām, vai </w:t>
            </w:r>
            <w:r w:rsidRPr="00A15C9C">
              <w:rPr>
                <w:rFonts w:ascii="Times New Roman" w:eastAsia="Times New Roman" w:hAnsi="Times New Roman" w:cs="Times New Roman"/>
                <w:sz w:val="24"/>
                <w:szCs w:val="24"/>
                <w:lang w:eastAsia="lv-LV"/>
              </w:rPr>
              <w:lastRenderedPageBreak/>
              <w:t xml:space="preserve">arī atsaukumu pārstāvēt komerciālo vai korporatīvo tīmekļvietņu lietotāju tiesvedībā, iesniedz Ekonomikas ministrijai elektroniski (izmantojot iestādes oficiālo elektronisko adresi, elektroniskā pasta adresi vai valsts pārvaldes pakalpojumu portālu </w:t>
            </w:r>
            <w:proofErr w:type="spellStart"/>
            <w:r w:rsidRPr="00A15C9C">
              <w:rPr>
                <w:rFonts w:ascii="Times New Roman" w:eastAsia="Times New Roman" w:hAnsi="Times New Roman" w:cs="Times New Roman"/>
                <w:sz w:val="24"/>
                <w:szCs w:val="24"/>
                <w:lang w:eastAsia="lv-LV"/>
              </w:rPr>
              <w:t>Latvija.lv</w:t>
            </w:r>
            <w:proofErr w:type="spellEnd"/>
            <w:r w:rsidRPr="00A15C9C">
              <w:rPr>
                <w:rFonts w:ascii="Times New Roman" w:eastAsia="Times New Roman" w:hAnsi="Times New Roman" w:cs="Times New Roman"/>
                <w:sz w:val="24"/>
                <w:szCs w:val="24"/>
                <w:lang w:eastAsia="lv-LV"/>
              </w:rPr>
              <w:t>.). Oficiālās elektroniskās adreses likuma 12. pants paredz, ka oficiālā elektroniskā adrese tiek izmantota kā prioritārais saziņas kanāls, ja tā ir aktivizēta, savukārt valsts iestādei oficiālās elektroniskās adreses izmantošana ir obligāta. Ņemot vēra minēto, oficiālā elektroniskā adrese tiek paredzēta kā primārais saziņas kanāls gadījumā, ja persona ir to aktivizējusi.</w:t>
            </w:r>
          </w:p>
          <w:p w14:paraId="3D3BAB51" w14:textId="77777777" w:rsidR="006C699A" w:rsidRPr="00DA5E99"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sz w:val="24"/>
                <w:szCs w:val="24"/>
                <w:lang w:eastAsia="lv-LV"/>
              </w:rPr>
              <w:t>11.</w:t>
            </w:r>
            <w:r w:rsidRPr="00E46193">
              <w:rPr>
                <w:rFonts w:ascii="Times New Roman" w:eastAsia="Times New Roman" w:hAnsi="Times New Roman" w:cs="Times New Roman"/>
                <w:b/>
                <w:sz w:val="24"/>
                <w:szCs w:val="24"/>
                <w:vertAlign w:val="superscript"/>
                <w:lang w:eastAsia="lv-LV"/>
              </w:rPr>
              <w:t>2 </w:t>
            </w:r>
            <w:r w:rsidRPr="00E46193">
              <w:rPr>
                <w:rFonts w:ascii="Times New Roman" w:eastAsia="Times New Roman" w:hAnsi="Times New Roman" w:cs="Times New Roman"/>
                <w:b/>
                <w:sz w:val="24"/>
                <w:szCs w:val="24"/>
                <w:lang w:eastAsia="lv-LV"/>
              </w:rPr>
              <w:t>panta pirmā daļa</w:t>
            </w:r>
            <w:r w:rsidRPr="00E46193">
              <w:rPr>
                <w:rFonts w:ascii="Times New Roman" w:eastAsia="Times New Roman" w:hAnsi="Times New Roman" w:cs="Times New Roman"/>
                <w:sz w:val="24"/>
                <w:szCs w:val="24"/>
                <w:lang w:eastAsia="lv-LV"/>
              </w:rPr>
              <w:t xml:space="preserve"> paredz Ekonomikas ministrijai izskatīt biedrības vai nodibinājuma iesniegto </w:t>
            </w:r>
            <w:r>
              <w:rPr>
                <w:rFonts w:ascii="Times New Roman" w:eastAsia="Times New Roman" w:hAnsi="Times New Roman" w:cs="Times New Roman"/>
                <w:sz w:val="24"/>
                <w:szCs w:val="24"/>
                <w:lang w:eastAsia="lv-LV"/>
              </w:rPr>
              <w:t>iesniegumu ar apliecinājumu</w:t>
            </w:r>
            <w:proofErr w:type="gramStart"/>
            <w:r>
              <w:rPr>
                <w:rFonts w:ascii="Times New Roman" w:eastAsia="Times New Roman" w:hAnsi="Times New Roman" w:cs="Times New Roman"/>
                <w:sz w:val="24"/>
                <w:szCs w:val="24"/>
                <w:lang w:eastAsia="lv-LV"/>
              </w:rPr>
              <w:t xml:space="preserve">, </w:t>
            </w:r>
            <w:r w:rsidRPr="00E46193">
              <w:rPr>
                <w:rFonts w:ascii="Times New Roman" w:eastAsia="Times New Roman" w:hAnsi="Times New Roman" w:cs="Times New Roman"/>
                <w:sz w:val="24"/>
                <w:szCs w:val="24"/>
                <w:lang w:eastAsia="lv-LV"/>
              </w:rPr>
              <w:t>un izvērtēt</w:t>
            </w:r>
            <w:proofErr w:type="gramEnd"/>
            <w:r w:rsidRPr="00E46193">
              <w:rPr>
                <w:rFonts w:ascii="Times New Roman" w:eastAsia="Times New Roman" w:hAnsi="Times New Roman" w:cs="Times New Roman"/>
                <w:sz w:val="24"/>
                <w:szCs w:val="24"/>
                <w:lang w:eastAsia="lv-LV"/>
              </w:rPr>
              <w:t xml:space="preserve"> vai biedrība vai nodibinājums atbilst Regulas (ES) 2019/1150 14. panta 3. punkta prasībām. </w:t>
            </w:r>
            <w:r>
              <w:rPr>
                <w:rFonts w:ascii="Times New Roman" w:eastAsia="Times New Roman" w:hAnsi="Times New Roman" w:cs="Times New Roman"/>
                <w:sz w:val="24"/>
                <w:szCs w:val="24"/>
                <w:lang w:eastAsia="lv-LV"/>
              </w:rPr>
              <w:t xml:space="preserve">Ja biedrība vai nodibinājums atbilst Regulas (ES) 2019/1150 prasībām, Ekonomikas ministrija ziņas par biedrību vai nodibinājumu ieraksta </w:t>
            </w:r>
            <w:r w:rsidRPr="00E46193">
              <w:rPr>
                <w:rFonts w:ascii="Times New Roman" w:eastAsia="Times New Roman" w:hAnsi="Times New Roman" w:cs="Times New Roman"/>
                <w:bCs/>
                <w:sz w:val="24"/>
                <w:szCs w:val="24"/>
                <w:lang w:eastAsia="lv-LV"/>
              </w:rPr>
              <w:t>komerciālo vai korporatīvo tīmekļvietņu lietotāju interešu</w:t>
            </w:r>
            <w:r>
              <w:rPr>
                <w:rFonts w:ascii="Times New Roman" w:eastAsia="Times New Roman" w:hAnsi="Times New Roman" w:cs="Times New Roman"/>
                <w:bCs/>
                <w:sz w:val="24"/>
                <w:szCs w:val="24"/>
                <w:lang w:eastAsia="lv-LV"/>
              </w:rPr>
              <w:t xml:space="preserve"> </w:t>
            </w:r>
            <w:r w:rsidRPr="00E46193">
              <w:rPr>
                <w:rFonts w:ascii="Times New Roman" w:eastAsia="Times New Roman" w:hAnsi="Times New Roman" w:cs="Times New Roman"/>
                <w:bCs/>
                <w:sz w:val="24"/>
                <w:szCs w:val="24"/>
                <w:lang w:eastAsia="lv-LV"/>
              </w:rPr>
              <w:t>pārstāvības reģistr</w:t>
            </w:r>
            <w:r>
              <w:rPr>
                <w:rFonts w:ascii="Times New Roman" w:eastAsia="Times New Roman" w:hAnsi="Times New Roman" w:cs="Times New Roman"/>
                <w:bCs/>
                <w:sz w:val="24"/>
                <w:szCs w:val="24"/>
                <w:lang w:eastAsia="lv-LV"/>
              </w:rPr>
              <w:t xml:space="preserve">ā. </w:t>
            </w:r>
            <w:r w:rsidRPr="00E46193">
              <w:rPr>
                <w:rFonts w:ascii="Times New Roman" w:eastAsia="Times New Roman" w:hAnsi="Times New Roman" w:cs="Times New Roman"/>
                <w:bCs/>
                <w:sz w:val="24"/>
                <w:szCs w:val="24"/>
                <w:lang w:eastAsia="lv-LV"/>
              </w:rPr>
              <w:t xml:space="preserve">Ekonomikas ministrija ir atbildīga par </w:t>
            </w:r>
            <w:r w:rsidRPr="00E46193">
              <w:rPr>
                <w:rFonts w:ascii="Times New Roman" w:eastAsia="Times New Roman" w:hAnsi="Times New Roman" w:cs="Times New Roman"/>
                <w:sz w:val="24"/>
                <w:szCs w:val="24"/>
                <w:lang w:eastAsia="lv-LV"/>
              </w:rPr>
              <w:t>Regulas (ES) 2019/1150 ieviešanu Latvijā, tāpēc Ekonomikas ministrijai tiek noteikts pienākums izvērtēt biedrību vai nodibinājumu atbilstību Regulas (ES) 2019/1150 14. panta 3. punkta prasībām.</w:t>
            </w:r>
            <w:r>
              <w:rPr>
                <w:rFonts w:ascii="Times New Roman" w:eastAsia="Times New Roman" w:hAnsi="Times New Roman" w:cs="Times New Roman"/>
                <w:sz w:val="24"/>
                <w:szCs w:val="24"/>
                <w:lang w:eastAsia="lv-LV"/>
              </w:rPr>
              <w:t xml:space="preserve"> </w:t>
            </w:r>
          </w:p>
          <w:p w14:paraId="35280A6F" w14:textId="77777777" w:rsidR="006C699A" w:rsidRDefault="006C699A" w:rsidP="001A0F6E">
            <w:pPr>
              <w:pStyle w:val="ListParagraph"/>
              <w:spacing w:after="0" w:line="240" w:lineRule="auto"/>
              <w:ind w:left="360"/>
              <w:jc w:val="both"/>
              <w:rPr>
                <w:rFonts w:ascii="Times New Roman" w:eastAsia="Times New Roman" w:hAnsi="Times New Roman" w:cs="Times New Roman"/>
                <w:bCs/>
                <w:sz w:val="24"/>
                <w:szCs w:val="24"/>
                <w:lang w:eastAsia="lv-LV"/>
              </w:rPr>
            </w:pPr>
            <w:r w:rsidRPr="00E46193">
              <w:rPr>
                <w:rFonts w:ascii="Times New Roman" w:eastAsia="Times New Roman" w:hAnsi="Times New Roman" w:cs="Times New Roman"/>
                <w:sz w:val="24"/>
                <w:szCs w:val="24"/>
                <w:lang w:eastAsia="lv-LV"/>
              </w:rPr>
              <w:t>ISPL</w:t>
            </w:r>
            <w:r w:rsidRPr="00E46193">
              <w:rPr>
                <w:rFonts w:ascii="Times New Roman" w:eastAsia="Times New Roman" w:hAnsi="Times New Roman" w:cs="Times New Roman"/>
                <w:b/>
                <w:bCs/>
                <w:sz w:val="24"/>
                <w:szCs w:val="24"/>
                <w:lang w:eastAsia="lv-LV"/>
              </w:rPr>
              <w:t xml:space="preserve"> 11.</w:t>
            </w:r>
            <w:r w:rsidRPr="00E46193">
              <w:rPr>
                <w:rFonts w:ascii="Times New Roman" w:eastAsia="Times New Roman" w:hAnsi="Times New Roman" w:cs="Times New Roman"/>
                <w:b/>
                <w:bCs/>
                <w:sz w:val="24"/>
                <w:szCs w:val="24"/>
                <w:vertAlign w:val="superscript"/>
                <w:lang w:eastAsia="lv-LV"/>
              </w:rPr>
              <w:t>2 </w:t>
            </w:r>
            <w:r w:rsidRPr="00E46193">
              <w:rPr>
                <w:rFonts w:ascii="Times New Roman" w:eastAsia="Times New Roman" w:hAnsi="Times New Roman" w:cs="Times New Roman"/>
                <w:b/>
                <w:bCs/>
                <w:sz w:val="24"/>
                <w:szCs w:val="24"/>
                <w:lang w:eastAsia="lv-LV"/>
              </w:rPr>
              <w:t>panta otrā daļa</w:t>
            </w:r>
            <w:r w:rsidRPr="00E46193">
              <w:rPr>
                <w:rFonts w:ascii="Times New Roman" w:eastAsia="Times New Roman" w:hAnsi="Times New Roman" w:cs="Times New Roman"/>
                <w:bCs/>
                <w:sz w:val="24"/>
                <w:szCs w:val="24"/>
                <w:lang w:eastAsia="lv-LV"/>
              </w:rPr>
              <w:t xml:space="preserve"> paredz, ka Ekonomikas ministrija izveido un uztur komerciālo vai korporatīvo tīmekļvietņu lietotāju interešu</w:t>
            </w:r>
            <w:r>
              <w:rPr>
                <w:rFonts w:ascii="Times New Roman" w:eastAsia="Times New Roman" w:hAnsi="Times New Roman" w:cs="Times New Roman"/>
                <w:bCs/>
                <w:sz w:val="24"/>
                <w:szCs w:val="24"/>
                <w:lang w:eastAsia="lv-LV"/>
              </w:rPr>
              <w:t xml:space="preserve"> </w:t>
            </w:r>
            <w:r w:rsidRPr="00E46193">
              <w:rPr>
                <w:rFonts w:ascii="Times New Roman" w:eastAsia="Times New Roman" w:hAnsi="Times New Roman" w:cs="Times New Roman"/>
                <w:bCs/>
                <w:sz w:val="24"/>
                <w:szCs w:val="24"/>
                <w:lang w:eastAsia="lv-LV"/>
              </w:rPr>
              <w:t xml:space="preserve">pārstāvības reģistru (turpmāk – reģistrs) par biedrībām vai nodibinājumiem, kuriem ir tiesības pārstāvēt komerciālo vai korporatīvo tīmekļvietņu lietotājus tiesvedībā, kā arī to, ka Ekonomikas ministrija informē EK par tām biedrībām vai nodibinājumiem, kurām ir tiesības pārstāvēt komerciālo vai korporatīvo tīmekļvietņu lietotāju tiesvedībā. </w:t>
            </w:r>
          </w:p>
          <w:p w14:paraId="5C250D27" w14:textId="77777777" w:rsidR="006C699A" w:rsidRPr="00F73AA8"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lang w:eastAsia="lv-LV"/>
              </w:rPr>
              <w:t>Biedrība vai nodibinājums, kas vēlas pārstāvēt komerciālos vai korporatīvo tīmekļvietņu lietotājus tiesvedībā, iesniedz Ekonomikas ministrijai informāciju ar tās nosaukumu, laiku</w:t>
            </w:r>
            <w:proofErr w:type="gramStart"/>
            <w:r>
              <w:rPr>
                <w:rFonts w:ascii="Times New Roman" w:eastAsia="Times New Roman" w:hAnsi="Times New Roman" w:cs="Times New Roman"/>
                <w:bCs/>
                <w:sz w:val="24"/>
                <w:szCs w:val="24"/>
                <w:lang w:eastAsia="lv-LV"/>
              </w:rPr>
              <w:t xml:space="preserve"> </w:t>
            </w:r>
            <w:r w:rsidRPr="005E68FA">
              <w:rPr>
                <w:rFonts w:ascii="Times New Roman" w:eastAsia="Times New Roman" w:hAnsi="Times New Roman" w:cs="Times New Roman"/>
                <w:sz w:val="24"/>
                <w:szCs w:val="24"/>
                <w:lang w:eastAsia="lv-LV"/>
              </w:rPr>
              <w:t>kad biedrība vai nodibinājums ir ierakstīts biedrību un nodibinājumu reģistrā</w:t>
            </w:r>
            <w:proofErr w:type="gramEnd"/>
            <w:r w:rsidRPr="005E68FA">
              <w:rPr>
                <w:rFonts w:ascii="Times New Roman" w:eastAsia="Times New Roman" w:hAnsi="Times New Roman" w:cs="Times New Roman"/>
                <w:sz w:val="24"/>
                <w:szCs w:val="24"/>
                <w:lang w:eastAsia="lv-LV"/>
              </w:rPr>
              <w:t>, biedrības vai nodibinājuma reģistrācijas numur</w:t>
            </w:r>
            <w:r>
              <w:rPr>
                <w:rFonts w:ascii="Times New Roman" w:eastAsia="Times New Roman" w:hAnsi="Times New Roman" w:cs="Times New Roman"/>
                <w:sz w:val="24"/>
                <w:szCs w:val="24"/>
                <w:lang w:eastAsia="lv-LV"/>
              </w:rPr>
              <w:t>u</w:t>
            </w:r>
            <w:r w:rsidRPr="005E68FA">
              <w:rPr>
                <w:rFonts w:ascii="Times New Roman" w:eastAsia="Times New Roman" w:hAnsi="Times New Roman" w:cs="Times New Roman"/>
                <w:sz w:val="24"/>
                <w:szCs w:val="24"/>
                <w:lang w:eastAsia="lv-LV"/>
              </w:rPr>
              <w:t xml:space="preserve"> un juridisk</w:t>
            </w:r>
            <w:r>
              <w:rPr>
                <w:rFonts w:ascii="Times New Roman" w:eastAsia="Times New Roman" w:hAnsi="Times New Roman" w:cs="Times New Roman"/>
                <w:sz w:val="24"/>
                <w:szCs w:val="24"/>
                <w:lang w:eastAsia="lv-LV"/>
              </w:rPr>
              <w:t>o</w:t>
            </w:r>
            <w:r w:rsidRPr="005E68FA">
              <w:rPr>
                <w:rFonts w:ascii="Times New Roman" w:eastAsia="Times New Roman" w:hAnsi="Times New Roman" w:cs="Times New Roman"/>
                <w:sz w:val="24"/>
                <w:szCs w:val="24"/>
                <w:lang w:eastAsia="lv-LV"/>
              </w:rPr>
              <w:t xml:space="preserve"> adres</w:t>
            </w:r>
            <w:r>
              <w:rPr>
                <w:rFonts w:ascii="Times New Roman" w:eastAsia="Times New Roman" w:hAnsi="Times New Roman" w:cs="Times New Roman"/>
                <w:sz w:val="24"/>
                <w:szCs w:val="24"/>
                <w:lang w:eastAsia="lv-LV"/>
              </w:rPr>
              <w:t>i, kā arī apliecinājumu, ka atbilst</w:t>
            </w:r>
            <w:r w:rsidRPr="009322EF">
              <w:rPr>
                <w:rFonts w:ascii="Times New Roman" w:eastAsia="Times New Roman" w:hAnsi="Times New Roman" w:cs="Times New Roman"/>
                <w:sz w:val="24"/>
                <w:szCs w:val="24"/>
                <w:lang w:eastAsia="lv-LV"/>
              </w:rPr>
              <w:t xml:space="preserve"> Regulas (ES) 2019/1150 14. panta 3. punkta</w:t>
            </w:r>
            <w:r>
              <w:rPr>
                <w:rFonts w:ascii="Times New Roman" w:eastAsia="Times New Roman" w:hAnsi="Times New Roman" w:cs="Times New Roman"/>
                <w:sz w:val="24"/>
                <w:szCs w:val="24"/>
                <w:lang w:eastAsia="lv-LV"/>
              </w:rPr>
              <w:t xml:space="preserve"> d) apakšpunktam.</w:t>
            </w:r>
          </w:p>
          <w:p w14:paraId="1476804A" w14:textId="77777777" w:rsidR="006C699A" w:rsidRPr="00A20F02"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bCs/>
                <w:sz w:val="24"/>
                <w:szCs w:val="24"/>
                <w:lang w:eastAsia="lv-LV"/>
              </w:rPr>
              <w:t xml:space="preserve">Ņemot vērā, ka Ekonomikas ministrija ir atbildīga par </w:t>
            </w:r>
            <w:r w:rsidRPr="00E46193">
              <w:rPr>
                <w:rFonts w:ascii="Times New Roman" w:eastAsia="Times New Roman" w:hAnsi="Times New Roman" w:cs="Times New Roman"/>
                <w:sz w:val="24"/>
                <w:szCs w:val="24"/>
                <w:lang w:eastAsia="lv-LV"/>
              </w:rPr>
              <w:t xml:space="preserve">Regulas (ES) 2019/1150 ieviešanu Latvijā, tā arī izvērtē biedrību vai nodibinājumu atbilstību </w:t>
            </w:r>
            <w:r w:rsidRPr="00E46193">
              <w:rPr>
                <w:rFonts w:ascii="Times New Roman" w:eastAsia="Times New Roman" w:hAnsi="Times New Roman" w:cs="Times New Roman"/>
                <w:sz w:val="24"/>
                <w:szCs w:val="24"/>
                <w:lang w:eastAsia="lv-LV"/>
              </w:rPr>
              <w:lastRenderedPageBreak/>
              <w:t xml:space="preserve">Regulas (ES) 2019/1150 14. panta 3. punkta prasībām. Saistībā ar to Ekonomikas ministrijai tiek uzdots izveidot un uzturēt reģistru, kurā tiktu turētas ziņas par Latvijas biedrībām un nodibinājumiem, kuriem ir tiesības pārstāvēt komerciālo vai korporatīvo tīmekļvietņu lietotāju tiesvedībā. </w:t>
            </w:r>
            <w:r w:rsidRPr="005E68FA">
              <w:rPr>
                <w:rFonts w:ascii="Times New Roman" w:eastAsia="Times New Roman" w:hAnsi="Times New Roman" w:cs="Times New Roman"/>
                <w:sz w:val="24"/>
                <w:szCs w:val="24"/>
                <w:lang w:eastAsia="lv-LV"/>
              </w:rPr>
              <w:t>Minēto informāciju par biedrību vai nodibinājumu, Ekonomikas ministrija publicēs reģistrā</w:t>
            </w:r>
            <w:r>
              <w:rPr>
                <w:rFonts w:ascii="Times New Roman" w:eastAsia="Times New Roman" w:hAnsi="Times New Roman" w:cs="Times New Roman"/>
                <w:sz w:val="24"/>
                <w:szCs w:val="24"/>
                <w:lang w:eastAsia="lv-LV"/>
              </w:rPr>
              <w:t xml:space="preserve">, kas </w:t>
            </w:r>
            <w:r w:rsidRPr="005E68FA">
              <w:rPr>
                <w:rFonts w:ascii="Times New Roman" w:eastAsia="Times New Roman" w:hAnsi="Times New Roman" w:cs="Times New Roman"/>
                <w:sz w:val="24"/>
                <w:szCs w:val="24"/>
                <w:lang w:eastAsia="lv-LV"/>
              </w:rPr>
              <w:t xml:space="preserve">tiks uzturēts Ekonomikas ministrijas tīmekļvietnē: </w:t>
            </w:r>
            <w:hyperlink r:id="rId8" w:history="1">
              <w:r w:rsidRPr="005E68FA">
                <w:rPr>
                  <w:rStyle w:val="Hyperlink"/>
                  <w:rFonts w:ascii="Times New Roman" w:eastAsia="Times New Roman" w:hAnsi="Times New Roman" w:cs="Times New Roman"/>
                  <w:sz w:val="24"/>
                  <w:szCs w:val="24"/>
                  <w:lang w:eastAsia="lv-LV"/>
                </w:rPr>
                <w:t>www.em.gov.lv</w:t>
              </w:r>
            </w:hyperlink>
            <w:r w:rsidRPr="005E68FA">
              <w:rPr>
                <w:rFonts w:ascii="Times New Roman" w:eastAsia="Times New Roman" w:hAnsi="Times New Roman" w:cs="Times New Roman"/>
                <w:sz w:val="24"/>
                <w:szCs w:val="24"/>
                <w:lang w:eastAsia="lv-LV"/>
              </w:rPr>
              <w:t xml:space="preserve">. Reģistrā publicētās ziņas būs publiskas. </w:t>
            </w:r>
            <w:r w:rsidRPr="00A20F02">
              <w:rPr>
                <w:rFonts w:ascii="Times New Roman" w:eastAsia="Times New Roman" w:hAnsi="Times New Roman" w:cs="Times New Roman"/>
                <w:sz w:val="24"/>
                <w:szCs w:val="24"/>
                <w:lang w:eastAsia="lv-LV"/>
              </w:rPr>
              <w:t xml:space="preserve">Tiek paredzēts, ka valsts pārvaldes pakalpojumu portālā </w:t>
            </w:r>
            <w:proofErr w:type="spellStart"/>
            <w:r w:rsidRPr="00A20F02">
              <w:rPr>
                <w:rFonts w:ascii="Times New Roman" w:eastAsia="Times New Roman" w:hAnsi="Times New Roman" w:cs="Times New Roman"/>
                <w:sz w:val="24"/>
                <w:szCs w:val="24"/>
                <w:lang w:eastAsia="lv-LV"/>
              </w:rPr>
              <w:t>latvija.lv</w:t>
            </w:r>
            <w:proofErr w:type="spellEnd"/>
            <w:r w:rsidRPr="00A20F02">
              <w:rPr>
                <w:rFonts w:ascii="Times New Roman" w:eastAsia="Times New Roman" w:hAnsi="Times New Roman" w:cs="Times New Roman"/>
                <w:sz w:val="24"/>
                <w:szCs w:val="24"/>
                <w:lang w:eastAsia="lv-LV"/>
              </w:rPr>
              <w:t xml:space="preserve"> tiks izveidota pakalpojumu kartīte "Biedrību vai nodibinājumu reģistrācija komerciālo un korporatīvo tīmekļvietņu lietotāju pārstāvība</w:t>
            </w:r>
            <w:r>
              <w:rPr>
                <w:rFonts w:ascii="Times New Roman" w:eastAsia="Times New Roman" w:hAnsi="Times New Roman" w:cs="Times New Roman"/>
                <w:sz w:val="24"/>
                <w:szCs w:val="24"/>
                <w:lang w:eastAsia="lv-LV"/>
              </w:rPr>
              <w:t>i</w:t>
            </w:r>
            <w:r w:rsidRPr="00A20F02">
              <w:rPr>
                <w:rFonts w:ascii="Times New Roman" w:eastAsia="Times New Roman" w:hAnsi="Times New Roman" w:cs="Times New Roman"/>
                <w:sz w:val="24"/>
                <w:szCs w:val="24"/>
                <w:lang w:eastAsia="lv-LV"/>
              </w:rPr>
              <w:t xml:space="preserve"> tiesvedībā reģistrā". Papildus paredzēts, ka biedrība vai nodibinājums nepieciešamo informāciju par biedrības vai nodibinājuma reģistrēšanu reģistrā, ziņu labošanu vai dzēšanu, </w:t>
            </w:r>
            <w:r w:rsidRPr="00A15C9C">
              <w:rPr>
                <w:rFonts w:ascii="Times New Roman" w:eastAsia="Times New Roman" w:hAnsi="Times New Roman" w:cs="Times New Roman"/>
                <w:sz w:val="24"/>
                <w:szCs w:val="24"/>
                <w:lang w:eastAsia="lv-LV"/>
              </w:rPr>
              <w:t>var iesniegt, izmantojot iestādes oficiālo elektronisko adresi vai elektroniskā pasta adresi.</w:t>
            </w:r>
          </w:p>
          <w:p w14:paraId="212458AC"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Reģistru ir nepieciešams arī izveidot un uzturēt, lai Latvijas tiesu darbiniekiem būtu iespējams uzzināt aktuālāko informāciju par biedrībām un nodibinājumiem, kuriem ir piešķirtas tiesības pārstāvēt komerciālo vai korporatīvo tīmekļvietņu lietotāju tiesvedībā. </w:t>
            </w:r>
          </w:p>
          <w:p w14:paraId="0A6A8465" w14:textId="77777777" w:rsidR="006C699A" w:rsidRPr="00E46193" w:rsidRDefault="006C699A" w:rsidP="001A0F6E">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4. pants paredz papildināt ISPL ar jaunu </w:t>
            </w:r>
            <w:r w:rsidRPr="00E46193">
              <w:rPr>
                <w:rFonts w:ascii="Times New Roman" w:eastAsia="Times New Roman" w:hAnsi="Times New Roman" w:cs="Times New Roman"/>
                <w:b/>
                <w:iCs/>
                <w:sz w:val="24"/>
                <w:szCs w:val="24"/>
                <w:lang w:eastAsia="lv-LV"/>
              </w:rPr>
              <w:t>VI nodaļu „Tiešsaistes starpniecības platformu pakalpojumu sniedzēju uzraudzība”</w:t>
            </w:r>
            <w:r w:rsidRPr="00E46193">
              <w:rPr>
                <w:rFonts w:ascii="Times New Roman" w:eastAsia="Times New Roman" w:hAnsi="Times New Roman" w:cs="Times New Roman"/>
                <w:iCs/>
                <w:sz w:val="24"/>
                <w:szCs w:val="24"/>
                <w:lang w:eastAsia="lv-LV"/>
              </w:rPr>
              <w:t xml:space="preserve"> ar četriem pantiem – 14., 15., 16., un 17. pantu. </w:t>
            </w:r>
          </w:p>
          <w:p w14:paraId="3365DC3A"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proofErr w:type="gramStart"/>
            <w:r w:rsidRPr="00E46193">
              <w:rPr>
                <w:rFonts w:ascii="Times New Roman" w:eastAsia="Times New Roman" w:hAnsi="Times New Roman" w:cs="Times New Roman"/>
                <w:b/>
                <w:iCs/>
                <w:sz w:val="24"/>
                <w:szCs w:val="24"/>
                <w:lang w:eastAsia="lv-LV"/>
              </w:rPr>
              <w:t>14.panta</w:t>
            </w:r>
            <w:proofErr w:type="gramEnd"/>
            <w:r w:rsidRPr="00E46193">
              <w:rPr>
                <w:rFonts w:ascii="Times New Roman" w:eastAsia="Times New Roman" w:hAnsi="Times New Roman" w:cs="Times New Roman"/>
                <w:b/>
                <w:iCs/>
                <w:sz w:val="24"/>
                <w:szCs w:val="24"/>
                <w:lang w:eastAsia="lv-LV"/>
              </w:rPr>
              <w:t xml:space="preserve"> pirmajā daļā</w:t>
            </w:r>
            <w:r w:rsidRPr="00E46193">
              <w:rPr>
                <w:rFonts w:ascii="Times New Roman" w:eastAsia="Times New Roman" w:hAnsi="Times New Roman" w:cs="Times New Roman"/>
                <w:iCs/>
                <w:sz w:val="24"/>
                <w:szCs w:val="24"/>
                <w:lang w:eastAsia="lv-LV"/>
              </w:rPr>
              <w:t xml:space="preserve"> tiek paredzēts, ka to, vai tiešsaistes starpniecības platformu pakalpojumu sniedzēji ir pienācīgi izpildījuši Regulas (ES) 2019/1150 prasības, nodrošinās Patērētāju tiesību aizsardzības centrs (turpmāk – PTAC). </w:t>
            </w:r>
          </w:p>
          <w:p w14:paraId="65BE6620"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r w:rsidRPr="00E46193">
              <w:rPr>
                <w:rFonts w:ascii="Times New Roman" w:eastAsia="Times New Roman" w:hAnsi="Times New Roman" w:cs="Times New Roman"/>
                <w:b/>
                <w:iCs/>
                <w:sz w:val="24"/>
                <w:szCs w:val="24"/>
                <w:lang w:eastAsia="lv-LV"/>
              </w:rPr>
              <w:t>14. panta otrā daļa</w:t>
            </w:r>
            <w:r w:rsidRPr="00E46193">
              <w:rPr>
                <w:rFonts w:ascii="Times New Roman" w:eastAsia="Times New Roman" w:hAnsi="Times New Roman" w:cs="Times New Roman"/>
                <w:iCs/>
                <w:sz w:val="24"/>
                <w:szCs w:val="24"/>
                <w:lang w:eastAsia="lv-LV"/>
              </w:rPr>
              <w:t xml:space="preserve"> paredz nosacījumus, saskaņā ar kuriem PTAC uzraudzīs tiešsaistes starpniecības platformu pakalpojumu sniedzējus. Likumprojektā ir paredzēts, ka uzraudzība tiks īstenota pēc 1) PTAC iniciatīvas; 2) </w:t>
            </w:r>
            <w:r w:rsidRPr="00E46193">
              <w:rPr>
                <w:rFonts w:ascii="Times New Roman" w:eastAsia="Times New Roman" w:hAnsi="Times New Roman" w:cs="Times New Roman"/>
                <w:sz w:val="24"/>
                <w:szCs w:val="24"/>
                <w:lang w:eastAsia="lv-LV"/>
              </w:rPr>
              <w:t xml:space="preserve">komerciālā vai korporatīvo tīmekļvietņu lietotāja vai minēto lietotāju kolektīvā iesnieguma </w:t>
            </w:r>
            <w:r w:rsidRPr="00E46193">
              <w:rPr>
                <w:rFonts w:ascii="Times New Roman" w:eastAsia="Times New Roman" w:hAnsi="Times New Roman" w:cs="Times New Roman"/>
                <w:iCs/>
                <w:sz w:val="24"/>
                <w:szCs w:val="24"/>
                <w:lang w:eastAsia="lv-LV"/>
              </w:rPr>
              <w:t xml:space="preserve">vai 3) </w:t>
            </w:r>
            <w:r w:rsidRPr="00E46193">
              <w:rPr>
                <w:rFonts w:ascii="Times New Roman" w:eastAsia="Times New Roman" w:hAnsi="Times New Roman" w:cs="Times New Roman"/>
                <w:sz w:val="24"/>
                <w:szCs w:val="24"/>
                <w:lang w:eastAsia="lv-LV"/>
              </w:rPr>
              <w:t xml:space="preserve">pamatojoties uz iesniegumu, kuru iesniegusi ES dalībvalstu iestāde, </w:t>
            </w:r>
            <w:r>
              <w:rPr>
                <w:rFonts w:ascii="Times New Roman" w:eastAsia="Times New Roman" w:hAnsi="Times New Roman" w:cs="Times New Roman"/>
                <w:sz w:val="24"/>
                <w:szCs w:val="24"/>
                <w:lang w:eastAsia="lv-LV"/>
              </w:rPr>
              <w:t>biedrība vai nodibinājums</w:t>
            </w:r>
            <w:r w:rsidRPr="00E46193">
              <w:rPr>
                <w:rFonts w:ascii="Times New Roman" w:eastAsia="Times New Roman" w:hAnsi="Times New Roman" w:cs="Times New Roman"/>
                <w:sz w:val="24"/>
                <w:szCs w:val="24"/>
                <w:lang w:eastAsia="lv-LV"/>
              </w:rPr>
              <w:t xml:space="preserve"> Regulas (ES) 2019/1150 14. panta 6. punkt</w:t>
            </w:r>
            <w:r>
              <w:rPr>
                <w:rFonts w:ascii="Times New Roman" w:eastAsia="Times New Roman" w:hAnsi="Times New Roman" w:cs="Times New Roman"/>
                <w:sz w:val="24"/>
                <w:szCs w:val="24"/>
                <w:lang w:eastAsia="lv-LV"/>
              </w:rPr>
              <w:t>a izpratnē</w:t>
            </w:r>
            <w:r w:rsidRPr="00E46193">
              <w:rPr>
                <w:rFonts w:ascii="Times New Roman" w:eastAsia="Times New Roman" w:hAnsi="Times New Roman" w:cs="Times New Roman"/>
                <w:sz w:val="24"/>
                <w:szCs w:val="24"/>
                <w:lang w:eastAsia="lv-LV"/>
              </w:rPr>
              <w:t xml:space="preserve">. Grozījumi ir nepieciešami, lai būtu skaidrs, uz kāda pamata PTAC var pieņemt lēmumu par attiecīgā tiešsaistes starpniecības platformu pakalpojuma sniedzēja pārbaudes uzsākšanu, kā arī, lai ieviestu Regulas (ES) 2019/1150 15. panta 1. punkta prasības. </w:t>
            </w:r>
          </w:p>
          <w:p w14:paraId="5460B749" w14:textId="77777777" w:rsidR="006C699A" w:rsidRPr="00125CC4" w:rsidRDefault="006C699A" w:rsidP="001A0F6E">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 xml:space="preserve">ISPL </w:t>
            </w:r>
            <w:proofErr w:type="gramStart"/>
            <w:r w:rsidRPr="00E46193">
              <w:rPr>
                <w:rFonts w:ascii="Times New Roman" w:eastAsia="Times New Roman" w:hAnsi="Times New Roman" w:cs="Times New Roman"/>
                <w:b/>
                <w:iCs/>
                <w:sz w:val="24"/>
                <w:szCs w:val="24"/>
                <w:lang w:eastAsia="lv-LV"/>
              </w:rPr>
              <w:t>15.panta</w:t>
            </w:r>
            <w:proofErr w:type="gramEnd"/>
            <w:r w:rsidRPr="00E46193">
              <w:rPr>
                <w:rFonts w:ascii="Times New Roman" w:eastAsia="Times New Roman" w:hAnsi="Times New Roman" w:cs="Times New Roman"/>
                <w:b/>
                <w:iCs/>
                <w:sz w:val="24"/>
                <w:szCs w:val="24"/>
                <w:lang w:eastAsia="lv-LV"/>
              </w:rPr>
              <w:t xml:space="preserve"> pirmā daļa</w:t>
            </w:r>
            <w:r w:rsidRPr="00E46193">
              <w:rPr>
                <w:rFonts w:ascii="Times New Roman" w:eastAsia="Times New Roman" w:hAnsi="Times New Roman" w:cs="Times New Roman"/>
                <w:iCs/>
                <w:sz w:val="24"/>
                <w:szCs w:val="24"/>
                <w:lang w:eastAsia="lv-LV"/>
              </w:rPr>
              <w:t xml:space="preserve"> paredz, ka PTAC ir tiesības </w:t>
            </w:r>
            <w:r w:rsidRPr="00125CC4">
              <w:rPr>
                <w:rFonts w:ascii="Times New Roman" w:eastAsia="Times New Roman" w:hAnsi="Times New Roman" w:cs="Times New Roman"/>
                <w:iCs/>
                <w:sz w:val="24"/>
                <w:szCs w:val="24"/>
                <w:lang w:eastAsia="lv-LV"/>
              </w:rPr>
              <w:t xml:space="preserve">pieņemt vienu vai vairākus </w:t>
            </w:r>
            <w:r>
              <w:rPr>
                <w:rFonts w:ascii="Times New Roman" w:eastAsia="Times New Roman" w:hAnsi="Times New Roman" w:cs="Times New Roman"/>
                <w:iCs/>
                <w:sz w:val="24"/>
                <w:szCs w:val="24"/>
                <w:lang w:eastAsia="lv-LV"/>
              </w:rPr>
              <w:t xml:space="preserve">lēmumus </w:t>
            </w:r>
            <w:r w:rsidRPr="00E46193">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 </w:t>
            </w:r>
            <w:r w:rsidRPr="00E46193">
              <w:rPr>
                <w:rFonts w:ascii="Times New Roman" w:eastAsia="Times New Roman" w:hAnsi="Times New Roman" w:cs="Times New Roman"/>
                <w:iCs/>
                <w:sz w:val="24"/>
                <w:szCs w:val="24"/>
                <w:lang w:eastAsia="lv-LV"/>
              </w:rPr>
              <w:t>pieprasīt un saņemt visu uzraudzībai nepieciešamo informāciju; 2) uzlikt pienākumu</w:t>
            </w:r>
            <w:r>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Cs/>
                <w:sz w:val="24"/>
                <w:szCs w:val="24"/>
                <w:lang w:eastAsia="lv-LV"/>
              </w:rPr>
              <w:t xml:space="preserve">novērst Regulas (ES) 2019/1150 pārkāpumu, kā arī noteikt darbību izpildes termiņu; 3) piemērot soda naudu, gadījumā, ja ir konstatēts Regulas (ES) 2019/1150 pārkāpums. Minētie grozījumi ir nepieciešami, lai PTAC varētu efektīvi īstenot Regulas (ES) 2019/1150 prasību izpildes uzraudzību. </w:t>
            </w:r>
          </w:p>
          <w:p w14:paraId="1D64474F" w14:textId="77777777" w:rsidR="006C699A" w:rsidRPr="002452C0" w:rsidRDefault="006C699A" w:rsidP="001A0F6E">
            <w:pPr>
              <w:pStyle w:val="ListParagraph"/>
              <w:spacing w:before="100" w:beforeAutospacing="1" w:after="0" w:afterAutospacing="1" w:line="240" w:lineRule="auto"/>
              <w:ind w:left="360"/>
              <w:jc w:val="both"/>
              <w:rPr>
                <w:rFonts w:ascii="Times New Roman" w:eastAsia="Times New Roman" w:hAnsi="Times New Roman" w:cs="Times New Roman"/>
                <w:iCs/>
                <w:sz w:val="24"/>
                <w:szCs w:val="24"/>
                <w:lang w:eastAsia="lv-LV"/>
              </w:rPr>
            </w:pPr>
            <w:r w:rsidRPr="002452C0">
              <w:rPr>
                <w:rFonts w:ascii="Times New Roman" w:eastAsia="Times New Roman" w:hAnsi="Times New Roman" w:cs="Times New Roman"/>
                <w:iCs/>
                <w:sz w:val="24"/>
                <w:szCs w:val="24"/>
                <w:lang w:eastAsia="lv-LV"/>
              </w:rPr>
              <w:t>Minētie grozījumi ir nepieciešami, lai PTAC varētu efektīvi īstenot Regulas (ES) 2019/1150 prasību izpildes uzraudzību</w:t>
            </w:r>
            <w:r>
              <w:rPr>
                <w:rFonts w:ascii="Times New Roman" w:eastAsia="Times New Roman" w:hAnsi="Times New Roman" w:cs="Times New Roman"/>
                <w:iCs/>
                <w:sz w:val="24"/>
                <w:szCs w:val="24"/>
                <w:lang w:eastAsia="lv-LV"/>
              </w:rPr>
              <w:t xml:space="preserve">. Atkarībā no pārkāpuma rakstura </w:t>
            </w:r>
            <w:r w:rsidRPr="002452C0">
              <w:rPr>
                <w:rFonts w:ascii="Times New Roman" w:eastAsia="Times New Roman" w:hAnsi="Times New Roman" w:cs="Times New Roman"/>
                <w:iCs/>
                <w:sz w:val="24"/>
                <w:szCs w:val="24"/>
                <w:lang w:eastAsia="lv-LV"/>
              </w:rPr>
              <w:t xml:space="preserve">PTAC tiešsaistes starpniecību platformu pakalpojumu sniedzējiem </w:t>
            </w:r>
            <w:r>
              <w:rPr>
                <w:rFonts w:ascii="Times New Roman" w:eastAsia="Times New Roman" w:hAnsi="Times New Roman" w:cs="Times New Roman"/>
                <w:iCs/>
                <w:sz w:val="24"/>
                <w:szCs w:val="24"/>
                <w:lang w:eastAsia="lv-LV"/>
              </w:rPr>
              <w:t>ir tiesīgs uzlikt</w:t>
            </w:r>
            <w:r w:rsidRPr="002452C0">
              <w:rPr>
                <w:rFonts w:ascii="Times New Roman" w:eastAsia="Times New Roman" w:hAnsi="Times New Roman" w:cs="Times New Roman"/>
                <w:iCs/>
                <w:sz w:val="24"/>
                <w:szCs w:val="24"/>
                <w:lang w:eastAsia="lv-LV"/>
              </w:rPr>
              <w:t xml:space="preserve"> pienākumu novērst Regulas (ES) 201</w:t>
            </w:r>
            <w:r>
              <w:rPr>
                <w:rFonts w:ascii="Times New Roman" w:eastAsia="Times New Roman" w:hAnsi="Times New Roman" w:cs="Times New Roman"/>
                <w:iCs/>
                <w:sz w:val="24"/>
                <w:szCs w:val="24"/>
                <w:lang w:eastAsia="lv-LV"/>
              </w:rPr>
              <w:t>9/1150 pārkāpumu, kā arī noteikt darbības</w:t>
            </w:r>
            <w:r w:rsidRPr="002452C0">
              <w:rPr>
                <w:rFonts w:ascii="Times New Roman" w:eastAsia="Times New Roman" w:hAnsi="Times New Roman" w:cs="Times New Roman"/>
                <w:iCs/>
                <w:sz w:val="24"/>
                <w:szCs w:val="24"/>
                <w:lang w:eastAsia="lv-LV"/>
              </w:rPr>
              <w:t xml:space="preserve"> izpildes termiņu</w:t>
            </w:r>
            <w:proofErr w:type="gramStart"/>
            <w:r w:rsidRPr="002452C0">
              <w:rPr>
                <w:rFonts w:ascii="Times New Roman" w:eastAsia="Times New Roman" w:hAnsi="Times New Roman" w:cs="Times New Roman"/>
                <w:iCs/>
                <w:sz w:val="24"/>
                <w:szCs w:val="24"/>
                <w:lang w:eastAsia="lv-LV"/>
              </w:rPr>
              <w:t>, gadījumos</w:t>
            </w:r>
            <w:proofErr w:type="gramEnd"/>
            <w:r w:rsidRPr="002452C0">
              <w:rPr>
                <w:rFonts w:ascii="Times New Roman" w:eastAsia="Times New Roman" w:hAnsi="Times New Roman" w:cs="Times New Roman"/>
                <w:iCs/>
                <w:sz w:val="24"/>
                <w:szCs w:val="24"/>
                <w:lang w:eastAsia="lv-LV"/>
              </w:rPr>
              <w:t xml:space="preserve">, kad tiešsaistes starpniecību </w:t>
            </w:r>
            <w:r>
              <w:rPr>
                <w:rFonts w:ascii="Times New Roman" w:eastAsia="Times New Roman" w:hAnsi="Times New Roman" w:cs="Times New Roman"/>
                <w:iCs/>
                <w:sz w:val="24"/>
                <w:szCs w:val="24"/>
                <w:lang w:eastAsia="lv-LV"/>
              </w:rPr>
              <w:t xml:space="preserve">platformu </w:t>
            </w:r>
            <w:r w:rsidRPr="002452C0">
              <w:rPr>
                <w:rFonts w:ascii="Times New Roman" w:eastAsia="Times New Roman" w:hAnsi="Times New Roman" w:cs="Times New Roman"/>
                <w:iCs/>
                <w:sz w:val="24"/>
                <w:szCs w:val="24"/>
                <w:lang w:eastAsia="lv-LV"/>
              </w:rPr>
              <w:t xml:space="preserve">pakalpojumu sniedzējs iepriekš nav veicis Regulas (ES) 2019/1150 prasību pārkāpumus, pārkāpums nav radījis materiālu zaudējumu komerciālajam vai korporatīvo tīmekļvietņu lietotājam, vai arī, ja materiālais kaitējums ir nodarīts, bet tiešsaistes starpniecību platformu pakalpojumu sniedzējs ir labprātīgi apņēmies atlīdzināt nodarītos zaudējumus u.c. </w:t>
            </w:r>
          </w:p>
          <w:p w14:paraId="2B1068BC" w14:textId="77777777" w:rsidR="006C699A" w:rsidRDefault="006C699A" w:rsidP="001A0F6E">
            <w:pPr>
              <w:pStyle w:val="ListParagraph"/>
              <w:spacing w:before="100" w:beforeAutospacing="1" w:after="0" w:afterAutospacing="1" w:line="240" w:lineRule="auto"/>
              <w:ind w:left="360"/>
              <w:jc w:val="both"/>
              <w:rPr>
                <w:rFonts w:ascii="Times New Roman" w:eastAsia="Times New Roman" w:hAnsi="Times New Roman" w:cs="Times New Roman"/>
                <w:iCs/>
                <w:sz w:val="24"/>
                <w:szCs w:val="24"/>
                <w:lang w:eastAsia="lv-LV"/>
              </w:rPr>
            </w:pPr>
            <w:r w:rsidRPr="00114500">
              <w:rPr>
                <w:rFonts w:ascii="Times New Roman" w:eastAsia="Times New Roman" w:hAnsi="Times New Roman" w:cs="Times New Roman"/>
                <w:iCs/>
                <w:sz w:val="24"/>
                <w:szCs w:val="24"/>
                <w:lang w:eastAsia="lv-LV"/>
              </w:rPr>
              <w:t xml:space="preserve">PTAC ir tiesīgs </w:t>
            </w:r>
            <w:proofErr w:type="gramStart"/>
            <w:r w:rsidRPr="00114500">
              <w:rPr>
                <w:rFonts w:ascii="Times New Roman" w:eastAsia="Times New Roman" w:hAnsi="Times New Roman" w:cs="Times New Roman"/>
                <w:iCs/>
                <w:sz w:val="24"/>
                <w:szCs w:val="24"/>
                <w:lang w:eastAsia="lv-LV"/>
              </w:rPr>
              <w:t>arī piemērot tiešsaistes starpniecību platformu pakalpojumu sniedzējiem</w:t>
            </w:r>
            <w:proofErr w:type="gramEnd"/>
            <w:r w:rsidRPr="00114500">
              <w:rPr>
                <w:rFonts w:ascii="Times New Roman" w:eastAsia="Times New Roman" w:hAnsi="Times New Roman" w:cs="Times New Roman"/>
                <w:iCs/>
                <w:sz w:val="24"/>
                <w:szCs w:val="24"/>
                <w:lang w:eastAsia="lv-LV"/>
              </w:rPr>
              <w:t xml:space="preserve"> soda naudu, ja konstatētais pārkāpums ir būtisks vai ir radījis komerciālajam vai korporatīvo tīmekļvietņu lietotājam materiālus zaudējumus, kas nav atlīdzināti, vai ir konstatēts, ka tiešsaistes starpniecības platformu pakalpojumu sniedzējs </w:t>
            </w:r>
            <w:r>
              <w:rPr>
                <w:rFonts w:ascii="Times New Roman" w:eastAsia="Times New Roman" w:hAnsi="Times New Roman" w:cs="Times New Roman"/>
                <w:iCs/>
                <w:sz w:val="24"/>
                <w:szCs w:val="24"/>
                <w:lang w:eastAsia="lv-LV"/>
              </w:rPr>
              <w:t xml:space="preserve">atkārtoti </w:t>
            </w:r>
            <w:r w:rsidRPr="00114500">
              <w:rPr>
                <w:rFonts w:ascii="Times New Roman" w:eastAsia="Times New Roman" w:hAnsi="Times New Roman" w:cs="Times New Roman"/>
                <w:iCs/>
                <w:sz w:val="24"/>
                <w:szCs w:val="24"/>
                <w:lang w:eastAsia="lv-LV"/>
              </w:rPr>
              <w:t xml:space="preserve">ir veicis Regulas (ES) 2019/1150 prasību pārkāpumu u.c. </w:t>
            </w:r>
          </w:p>
          <w:p w14:paraId="2F8EAF44" w14:textId="77777777" w:rsidR="006C699A" w:rsidRPr="00114500" w:rsidRDefault="006C699A" w:rsidP="001A0F6E">
            <w:pPr>
              <w:pStyle w:val="ListParagraph"/>
              <w:spacing w:before="100" w:beforeAutospacing="1" w:after="0" w:afterAutospacing="1" w:line="240" w:lineRule="auto"/>
              <w:ind w:left="360"/>
              <w:jc w:val="both"/>
              <w:rPr>
                <w:rFonts w:ascii="Times New Roman" w:eastAsia="Times New Roman" w:hAnsi="Times New Roman" w:cs="Times New Roman"/>
                <w:iCs/>
                <w:sz w:val="24"/>
                <w:szCs w:val="24"/>
                <w:lang w:eastAsia="lv-LV"/>
              </w:rPr>
            </w:pPr>
            <w:r w:rsidRPr="00114500">
              <w:rPr>
                <w:rFonts w:ascii="Times New Roman" w:eastAsia="Times New Roman" w:hAnsi="Times New Roman" w:cs="Times New Roman"/>
                <w:iCs/>
                <w:sz w:val="24"/>
                <w:szCs w:val="24"/>
                <w:lang w:eastAsia="lv-LV"/>
              </w:rPr>
              <w:t xml:space="preserve">Tāpat PTAC ir tiesīgs </w:t>
            </w:r>
            <w:proofErr w:type="gramStart"/>
            <w:r w:rsidRPr="00114500">
              <w:rPr>
                <w:rFonts w:ascii="Times New Roman" w:eastAsia="Times New Roman" w:hAnsi="Times New Roman" w:cs="Times New Roman"/>
                <w:iCs/>
                <w:sz w:val="24"/>
                <w:szCs w:val="24"/>
                <w:lang w:eastAsia="lv-LV"/>
              </w:rPr>
              <w:t>piemērot tiešsaistes starpniecību platformu pakalpojumu sniedzējam</w:t>
            </w:r>
            <w:proofErr w:type="gramEnd"/>
            <w:r w:rsidRPr="00114500">
              <w:rPr>
                <w:rFonts w:ascii="Times New Roman" w:eastAsia="Times New Roman" w:hAnsi="Times New Roman" w:cs="Times New Roman"/>
                <w:iCs/>
                <w:sz w:val="24"/>
                <w:szCs w:val="24"/>
                <w:lang w:eastAsia="lv-LV"/>
              </w:rPr>
              <w:t xml:space="preserve"> soda naudu, ja tiešsaistes starpniecības platformu pakalpojumu sniedzējs </w:t>
            </w:r>
            <w:r>
              <w:rPr>
                <w:rFonts w:ascii="Times New Roman" w:eastAsia="Times New Roman" w:hAnsi="Times New Roman" w:cs="Times New Roman"/>
                <w:iCs/>
                <w:sz w:val="24"/>
                <w:szCs w:val="24"/>
                <w:lang w:eastAsia="lv-LV"/>
              </w:rPr>
              <w:t xml:space="preserve">noteiktajā termiņā </w:t>
            </w:r>
            <w:r w:rsidRPr="00114500">
              <w:rPr>
                <w:rFonts w:ascii="Times New Roman" w:eastAsia="Times New Roman" w:hAnsi="Times New Roman" w:cs="Times New Roman"/>
                <w:iCs/>
                <w:sz w:val="24"/>
                <w:szCs w:val="24"/>
                <w:lang w:eastAsia="lv-LV"/>
              </w:rPr>
              <w:t>nav novērsis Regulas (ES) 2019/1150 prasību pārkāpum</w:t>
            </w:r>
            <w:r>
              <w:rPr>
                <w:rFonts w:ascii="Times New Roman" w:eastAsia="Times New Roman" w:hAnsi="Times New Roman" w:cs="Times New Roman"/>
                <w:iCs/>
                <w:sz w:val="24"/>
                <w:szCs w:val="24"/>
                <w:lang w:eastAsia="lv-LV"/>
              </w:rPr>
              <w:t>u</w:t>
            </w:r>
            <w:r w:rsidRPr="00114500">
              <w:rPr>
                <w:rFonts w:ascii="Times New Roman" w:eastAsia="Times New Roman" w:hAnsi="Times New Roman" w:cs="Times New Roman"/>
                <w:iCs/>
                <w:sz w:val="24"/>
                <w:szCs w:val="24"/>
                <w:lang w:eastAsia="lv-LV"/>
              </w:rPr>
              <w:t xml:space="preserve"> vai ir veicis vairākus būtiskus Regulas (ES) 2019/1150 prasību pārkāpumus vienlaikus. </w:t>
            </w:r>
          </w:p>
          <w:p w14:paraId="0FE69BAC" w14:textId="77777777" w:rsidR="006C699A" w:rsidRPr="00125CC4" w:rsidRDefault="006C699A" w:rsidP="001A0F6E">
            <w:pPr>
              <w:pStyle w:val="ListParagraph"/>
              <w:spacing w:before="100" w:beforeAutospacing="1" w:after="0" w:afterAutospacing="1" w:line="240" w:lineRule="auto"/>
              <w:ind w:left="360"/>
              <w:jc w:val="both"/>
              <w:rPr>
                <w:rFonts w:ascii="Times New Roman" w:eastAsia="Times New Roman" w:hAnsi="Times New Roman" w:cs="Times New Roman"/>
                <w:iCs/>
                <w:sz w:val="24"/>
                <w:szCs w:val="24"/>
                <w:lang w:eastAsia="lv-LV"/>
              </w:rPr>
            </w:pPr>
            <w:r w:rsidRPr="001A4153">
              <w:rPr>
                <w:rFonts w:ascii="Times New Roman" w:eastAsia="Times New Roman" w:hAnsi="Times New Roman" w:cs="Times New Roman"/>
                <w:iCs/>
                <w:sz w:val="24"/>
                <w:szCs w:val="24"/>
                <w:lang w:eastAsia="lv-LV"/>
              </w:rPr>
              <w:t>Pirms PTAC lem</w:t>
            </w:r>
            <w:r>
              <w:rPr>
                <w:rFonts w:ascii="Times New Roman" w:eastAsia="Times New Roman" w:hAnsi="Times New Roman" w:cs="Times New Roman"/>
                <w:iCs/>
                <w:sz w:val="24"/>
                <w:szCs w:val="24"/>
                <w:lang w:eastAsia="lv-LV"/>
              </w:rPr>
              <w:t>s</w:t>
            </w:r>
            <w:r w:rsidRPr="001A4153">
              <w:rPr>
                <w:rFonts w:ascii="Times New Roman" w:eastAsia="Times New Roman" w:hAnsi="Times New Roman" w:cs="Times New Roman"/>
                <w:iCs/>
                <w:sz w:val="24"/>
                <w:szCs w:val="24"/>
                <w:lang w:eastAsia="lv-LV"/>
              </w:rPr>
              <w:t xml:space="preserve"> par</w:t>
            </w:r>
            <w:r>
              <w:rPr>
                <w:rFonts w:ascii="Times New Roman" w:eastAsia="Times New Roman" w:hAnsi="Times New Roman" w:cs="Times New Roman"/>
                <w:iCs/>
                <w:sz w:val="24"/>
                <w:szCs w:val="24"/>
                <w:lang w:eastAsia="lv-LV"/>
              </w:rPr>
              <w:t xml:space="preserve"> piemērotāko lēmumu Regulas (ES) 2019/1150 prasību pārkāpumu novēršanai,</w:t>
            </w:r>
            <w:proofErr w:type="gramStart"/>
            <w:r>
              <w:rPr>
                <w:rFonts w:ascii="Times New Roman" w:eastAsia="Times New Roman" w:hAnsi="Times New Roman" w:cs="Times New Roman"/>
                <w:iCs/>
                <w:sz w:val="24"/>
                <w:szCs w:val="24"/>
                <w:lang w:eastAsia="lv-LV"/>
              </w:rPr>
              <w:t xml:space="preserve"> </w:t>
            </w:r>
            <w:r w:rsidRPr="001A4153">
              <w:rPr>
                <w:rFonts w:ascii="Times New Roman" w:eastAsia="Times New Roman" w:hAnsi="Times New Roman" w:cs="Times New Roman"/>
                <w:iCs/>
                <w:sz w:val="24"/>
                <w:szCs w:val="24"/>
                <w:lang w:eastAsia="lv-LV"/>
              </w:rPr>
              <w:t xml:space="preserve"> </w:t>
            </w:r>
            <w:proofErr w:type="gramEnd"/>
            <w:r w:rsidRPr="00114500">
              <w:rPr>
                <w:rFonts w:ascii="Times New Roman" w:eastAsia="Times New Roman" w:hAnsi="Times New Roman" w:cs="Times New Roman"/>
                <w:iCs/>
                <w:sz w:val="24"/>
                <w:szCs w:val="24"/>
                <w:lang w:eastAsia="lv-LV"/>
              </w:rPr>
              <w:t>PTAC vērtēs tiešsaistes starpniecības platformu pakalpojuma sniedzēja Regulas (ES) 2019/1150 prasību pārkāpuma būtību,</w:t>
            </w:r>
            <w:r>
              <w:rPr>
                <w:rFonts w:ascii="Times New Roman" w:eastAsia="Times New Roman" w:hAnsi="Times New Roman" w:cs="Times New Roman"/>
                <w:iCs/>
                <w:sz w:val="24"/>
                <w:szCs w:val="24"/>
                <w:lang w:eastAsia="lv-LV"/>
              </w:rPr>
              <w:t xml:space="preserve"> raksturu, ilgumu, </w:t>
            </w:r>
            <w:r w:rsidRPr="00114500">
              <w:rPr>
                <w:rFonts w:ascii="Times New Roman" w:eastAsia="Times New Roman" w:hAnsi="Times New Roman" w:cs="Times New Roman"/>
                <w:iCs/>
                <w:sz w:val="24"/>
                <w:szCs w:val="24"/>
                <w:lang w:eastAsia="lv-LV"/>
              </w:rPr>
              <w:t xml:space="preserve">pārkāpuma </w:t>
            </w:r>
            <w:r>
              <w:rPr>
                <w:rFonts w:ascii="Times New Roman" w:eastAsia="Times New Roman" w:hAnsi="Times New Roman" w:cs="Times New Roman"/>
                <w:iCs/>
                <w:sz w:val="24"/>
                <w:szCs w:val="24"/>
                <w:lang w:eastAsia="lv-LV"/>
              </w:rPr>
              <w:t>smagumu</w:t>
            </w:r>
            <w:r w:rsidRPr="00114500">
              <w:rPr>
                <w:rFonts w:ascii="Times New Roman" w:eastAsia="Times New Roman" w:hAnsi="Times New Roman" w:cs="Times New Roman"/>
                <w:iCs/>
                <w:sz w:val="24"/>
                <w:szCs w:val="24"/>
                <w:lang w:eastAsia="lv-LV"/>
              </w:rPr>
              <w:t xml:space="preserve">, to vai ir nodarīti materiāli zaudējumi komerciālajam vai korporatīvo tīmekļvietņu lietotājam, vai tiešsaistes starpniecību </w:t>
            </w:r>
            <w:r w:rsidRPr="00114500">
              <w:rPr>
                <w:rFonts w:ascii="Times New Roman" w:eastAsia="Times New Roman" w:hAnsi="Times New Roman" w:cs="Times New Roman"/>
                <w:iCs/>
                <w:sz w:val="24"/>
                <w:szCs w:val="24"/>
                <w:lang w:eastAsia="lv-LV"/>
              </w:rPr>
              <w:lastRenderedPageBreak/>
              <w:t xml:space="preserve">platformu pakalpojumu sniedzējs sadarbojas ar uzraudzības iestādi, vai pārkāpums novērsts noteiktajos termiņos </w:t>
            </w:r>
            <w:r>
              <w:rPr>
                <w:rFonts w:ascii="Times New Roman" w:eastAsia="Times New Roman" w:hAnsi="Times New Roman" w:cs="Times New Roman"/>
                <w:iCs/>
                <w:sz w:val="24"/>
                <w:szCs w:val="24"/>
                <w:lang w:eastAsia="lv-LV"/>
              </w:rPr>
              <w:t>un citus</w:t>
            </w:r>
            <w:r w:rsidRPr="001A4153">
              <w:rPr>
                <w:rFonts w:ascii="Times New Roman" w:eastAsia="Times New Roman" w:hAnsi="Times New Roman" w:cs="Times New Roman"/>
                <w:iCs/>
                <w:sz w:val="24"/>
                <w:szCs w:val="24"/>
                <w:lang w:eastAsia="lv-LV"/>
              </w:rPr>
              <w:t xml:space="preserve"> lietderības apsvērumus.</w:t>
            </w:r>
            <w:r>
              <w:rPr>
                <w:rFonts w:ascii="Times New Roman" w:eastAsia="Times New Roman" w:hAnsi="Times New Roman" w:cs="Times New Roman"/>
                <w:iCs/>
                <w:sz w:val="24"/>
                <w:szCs w:val="24"/>
                <w:lang w:eastAsia="lv-LV"/>
              </w:rPr>
              <w:t xml:space="preserve"> Ir būtiski, lai </w:t>
            </w:r>
            <w:r w:rsidRPr="00114500">
              <w:rPr>
                <w:rFonts w:ascii="Times New Roman" w:eastAsia="Times New Roman" w:hAnsi="Times New Roman" w:cs="Times New Roman"/>
                <w:iCs/>
                <w:sz w:val="24"/>
                <w:szCs w:val="24"/>
                <w:lang w:eastAsia="lv-LV"/>
              </w:rPr>
              <w:t xml:space="preserve">PTAC viena administratīvā procesa ietvaros </w:t>
            </w:r>
            <w:r>
              <w:rPr>
                <w:rFonts w:ascii="Times New Roman" w:eastAsia="Times New Roman" w:hAnsi="Times New Roman" w:cs="Times New Roman"/>
                <w:iCs/>
                <w:sz w:val="24"/>
                <w:szCs w:val="24"/>
                <w:lang w:eastAsia="lv-LV"/>
              </w:rPr>
              <w:t>būtu</w:t>
            </w:r>
            <w:r w:rsidRPr="00114500">
              <w:rPr>
                <w:rFonts w:ascii="Times New Roman" w:eastAsia="Times New Roman" w:hAnsi="Times New Roman" w:cs="Times New Roman"/>
                <w:iCs/>
                <w:sz w:val="24"/>
                <w:szCs w:val="24"/>
                <w:lang w:eastAsia="lv-LV"/>
              </w:rPr>
              <w:t xml:space="preserve"> iespējams  panākt </w:t>
            </w:r>
            <w:r>
              <w:rPr>
                <w:rFonts w:ascii="Times New Roman" w:eastAsia="Times New Roman" w:hAnsi="Times New Roman" w:cs="Times New Roman"/>
                <w:iCs/>
                <w:sz w:val="24"/>
                <w:szCs w:val="24"/>
                <w:lang w:eastAsia="lv-LV"/>
              </w:rPr>
              <w:t xml:space="preserve">gan </w:t>
            </w:r>
            <w:r w:rsidRPr="00114500">
              <w:rPr>
                <w:rFonts w:ascii="Times New Roman" w:eastAsia="Times New Roman" w:hAnsi="Times New Roman" w:cs="Times New Roman"/>
                <w:iCs/>
                <w:sz w:val="24"/>
                <w:szCs w:val="24"/>
                <w:lang w:eastAsia="lv-LV"/>
              </w:rPr>
              <w:t>to, ka tiešsaistes starpniecību platformu pakalpojumu sniedzējs novērš Regulas (ES) 2019/1150 prasību pārkāpumu, gan arī piemērot soda naudu</w:t>
            </w:r>
            <w:r>
              <w:rPr>
                <w:rFonts w:ascii="Times New Roman" w:eastAsia="Times New Roman" w:hAnsi="Times New Roman" w:cs="Times New Roman"/>
                <w:iCs/>
                <w:sz w:val="24"/>
                <w:szCs w:val="24"/>
                <w:lang w:eastAsia="lv-LV"/>
              </w:rPr>
              <w:t>, kā tas šobrīd ir noteikts citās patērētāju tiesību aizsardzības jomās, piemēram, Reklāmas likumā un Negodīgas komercprakses aizlieguma likumā.</w:t>
            </w:r>
          </w:p>
          <w:p w14:paraId="1CEED267"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ISPL </w:t>
            </w:r>
            <w:proofErr w:type="gramStart"/>
            <w:r w:rsidRPr="00E46193">
              <w:rPr>
                <w:rFonts w:ascii="Times New Roman" w:eastAsia="Times New Roman" w:hAnsi="Times New Roman" w:cs="Times New Roman"/>
                <w:b/>
                <w:iCs/>
                <w:sz w:val="24"/>
                <w:szCs w:val="24"/>
                <w:lang w:eastAsia="lv-LV"/>
              </w:rPr>
              <w:t>15.panta</w:t>
            </w:r>
            <w:proofErr w:type="gramEnd"/>
            <w:r w:rsidRPr="00E46193">
              <w:rPr>
                <w:rFonts w:ascii="Times New Roman" w:eastAsia="Times New Roman" w:hAnsi="Times New Roman" w:cs="Times New Roman"/>
                <w:b/>
                <w:iCs/>
                <w:sz w:val="24"/>
                <w:szCs w:val="24"/>
                <w:lang w:eastAsia="lv-LV"/>
              </w:rPr>
              <w:t xml:space="preserve"> otrajā daļā</w:t>
            </w:r>
            <w:r w:rsidRPr="00E46193">
              <w:rPr>
                <w:rFonts w:ascii="Times New Roman" w:eastAsia="Times New Roman" w:hAnsi="Times New Roman" w:cs="Times New Roman"/>
                <w:iCs/>
                <w:sz w:val="24"/>
                <w:szCs w:val="24"/>
                <w:lang w:eastAsia="lv-LV"/>
              </w:rPr>
              <w:t xml:space="preserve"> tiek noteikts termiņš, kādā PTAC ir jāpieņem lēmums par to, vai tiešsaistes starpniecības platformu pakalpojumu sniedzējs ir vai nav pārkāpis Regulas (ES) 2019/1150 prasības. Sešu mēnešu termiņš ir noteikts, lai PTAC būtu iespējams iegūt visu nepieciešamo informāciju lietas būtības noskaidrošanai, kā arī, lai varētu izvērtēt vai ir noticis Regulas (ES) 2019/1150 prasību pārkāpums, kā arī izvērtēt pārkāpuma ilgumu, pārkāpuma radītās sekas u.c. Savukārt, ja kāda no lietā iesaistītajām personām nesniedz PTAC pieprasīto informāciju vai kāda cita iemesla dēļ, kuru rezultātā PTAC nevar noskaidrot lietas būtību un izvērtēt</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vai ir noticis Regulas (ES) 2019/1150 prasību pārkāpums, kā arī izvērtēt pārkāpuma ilgumu un pārkāpuma radītās sekas, PTAC ir tiesīgs pagarināt lēmuma pieņemšanas termiņu, kas nav ilgāks par diviem gadiem. Divu gadu termiņš tiktu piemērots situācijās, kad tiešsaistes starpniecības platformu pakalpojumu sniedzējs objektīvu iemeslu dēļ nevar iesniegt PTAC pieprasīto informāciju, vai sniedz to nepilnīgi, tādējādi tiek kavēta lietas būtības noskaidrošana, vai tiešsaistes starpniecības platformu pakalpojumu sniedzējs kavējas ar Regulas (ES) 2019/1150 pārkāpuma novēršanu, pārrobežu strīdu gadījumos, kā arī citādi no izmeklēšanas un pārkāpuma pierādīšanas viedokļa sarežģītās situācijās.</w:t>
            </w:r>
          </w:p>
          <w:p w14:paraId="110A86BF" w14:textId="77777777" w:rsidR="006C699A" w:rsidRPr="00044B90" w:rsidRDefault="006C699A" w:rsidP="001A0F6E">
            <w:pPr>
              <w:pStyle w:val="ListParagraph"/>
              <w:spacing w:after="0" w:line="240" w:lineRule="auto"/>
              <w:ind w:left="360"/>
              <w:jc w:val="both"/>
              <w:rPr>
                <w:rFonts w:ascii="Times New Roman" w:eastAsia="Times New Roman" w:hAnsi="Times New Roman" w:cs="Times New Roman"/>
                <w:iCs/>
                <w:sz w:val="24"/>
                <w:szCs w:val="24"/>
                <w:highlight w:val="yellow"/>
                <w:lang w:eastAsia="lv-LV"/>
              </w:rPr>
            </w:pPr>
            <w:bookmarkStart w:id="0" w:name="_Hlk42516870"/>
            <w:r w:rsidRPr="00E46193">
              <w:rPr>
                <w:rFonts w:ascii="Times New Roman" w:eastAsia="Times New Roman" w:hAnsi="Times New Roman" w:cs="Times New Roman"/>
                <w:iCs/>
                <w:sz w:val="24"/>
                <w:szCs w:val="24"/>
                <w:lang w:eastAsia="lv-LV"/>
              </w:rPr>
              <w:t xml:space="preserve">ISPL </w:t>
            </w:r>
            <w:proofErr w:type="gramStart"/>
            <w:r w:rsidRPr="00E46193">
              <w:rPr>
                <w:rFonts w:ascii="Times New Roman" w:eastAsia="Times New Roman" w:hAnsi="Times New Roman" w:cs="Times New Roman"/>
                <w:b/>
                <w:iCs/>
                <w:sz w:val="24"/>
                <w:szCs w:val="24"/>
                <w:lang w:eastAsia="lv-LV"/>
              </w:rPr>
              <w:t>16.panta</w:t>
            </w:r>
            <w:proofErr w:type="gramEnd"/>
            <w:r w:rsidRPr="00E46193">
              <w:rPr>
                <w:rFonts w:ascii="Times New Roman" w:eastAsia="Times New Roman" w:hAnsi="Times New Roman" w:cs="Times New Roman"/>
                <w:b/>
                <w:iCs/>
                <w:sz w:val="24"/>
                <w:szCs w:val="24"/>
                <w:lang w:eastAsia="lv-LV"/>
              </w:rPr>
              <w:t xml:space="preserve"> pirmā daļa</w:t>
            </w:r>
            <w:r w:rsidRPr="00E46193">
              <w:rPr>
                <w:rFonts w:ascii="Times New Roman" w:eastAsia="Times New Roman" w:hAnsi="Times New Roman" w:cs="Times New Roman"/>
                <w:iCs/>
                <w:sz w:val="24"/>
                <w:szCs w:val="24"/>
                <w:lang w:eastAsia="lv-LV"/>
              </w:rPr>
              <w:t xml:space="preserve"> paredz soda naudas piemērošanu par Regulas (ES) 2019/1150 prasību pārkāpumu līdz 14 000 </w:t>
            </w:r>
            <w:proofErr w:type="spellStart"/>
            <w:r w:rsidRPr="007E46B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Maksimālais soda naudas apmērs ir noteikts atbilstoši Reklāmas likumam, ņemot vērā, ka pārkāpumi reklāmas jomā un Regulas (ES) 2019/1150 pārkāpumi no uzraudzības un pārkāpumu novēršanas sistēmas viedokļa varētu būt līdzīgi. Ņemot vērā minēto, ir pamats uzskatīt, </w:t>
            </w:r>
            <w:proofErr w:type="gramStart"/>
            <w:r w:rsidRPr="00E46193">
              <w:rPr>
                <w:rFonts w:ascii="Times New Roman" w:eastAsia="Times New Roman" w:hAnsi="Times New Roman" w:cs="Times New Roman"/>
                <w:iCs/>
                <w:sz w:val="24"/>
                <w:szCs w:val="24"/>
                <w:lang w:eastAsia="lv-LV"/>
              </w:rPr>
              <w:t>ka soda naudas apmērs</w:t>
            </w:r>
            <w:proofErr w:type="gramEnd"/>
            <w:r w:rsidRPr="00E46193">
              <w:rPr>
                <w:rFonts w:ascii="Times New Roman" w:eastAsia="Times New Roman" w:hAnsi="Times New Roman" w:cs="Times New Roman"/>
                <w:iCs/>
                <w:sz w:val="24"/>
                <w:szCs w:val="24"/>
                <w:lang w:eastAsia="lv-LV"/>
              </w:rPr>
              <w:t xml:space="preserve"> līdz 14 000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ir iedarbīgs, samērīgs un atturošs. </w:t>
            </w:r>
          </w:p>
          <w:bookmarkEnd w:id="0"/>
          <w:p w14:paraId="5BE0123F"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iCs/>
                <w:sz w:val="24"/>
                <w:szCs w:val="24"/>
                <w:lang w:eastAsia="lv-LV"/>
              </w:rPr>
              <w:lastRenderedPageBreak/>
              <w:t xml:space="preserve">ISPL </w:t>
            </w:r>
            <w:proofErr w:type="gramStart"/>
            <w:r w:rsidRPr="00E46193">
              <w:rPr>
                <w:rFonts w:ascii="Times New Roman" w:eastAsia="Times New Roman" w:hAnsi="Times New Roman" w:cs="Times New Roman"/>
                <w:b/>
                <w:bCs/>
                <w:iCs/>
                <w:sz w:val="24"/>
                <w:szCs w:val="24"/>
                <w:lang w:eastAsia="lv-LV"/>
              </w:rPr>
              <w:t>16.panta</w:t>
            </w:r>
            <w:proofErr w:type="gramEnd"/>
            <w:r w:rsidRPr="00E46193">
              <w:rPr>
                <w:rFonts w:ascii="Times New Roman" w:eastAsia="Times New Roman" w:hAnsi="Times New Roman" w:cs="Times New Roman"/>
                <w:b/>
                <w:bCs/>
                <w:iCs/>
                <w:sz w:val="24"/>
                <w:szCs w:val="24"/>
                <w:lang w:eastAsia="lv-LV"/>
              </w:rPr>
              <w:t xml:space="preserve"> otrā daļa</w:t>
            </w:r>
            <w:r w:rsidRPr="00E46193">
              <w:rPr>
                <w:rFonts w:ascii="Times New Roman" w:eastAsia="Times New Roman" w:hAnsi="Times New Roman" w:cs="Times New Roman"/>
                <w:iCs/>
                <w:sz w:val="24"/>
                <w:szCs w:val="24"/>
                <w:lang w:eastAsia="lv-LV"/>
              </w:rPr>
              <w:t xml:space="preserve"> paredz, ka PTAC, lemjot par soda naudas piemērošanu un tās apmēru, vērtē dažādus apstākļus: 1) </w:t>
            </w:r>
            <w:r w:rsidRPr="00E46193">
              <w:rPr>
                <w:rFonts w:ascii="Times New Roman" w:eastAsia="Times New Roman" w:hAnsi="Times New Roman" w:cs="Times New Roman"/>
                <w:sz w:val="24"/>
                <w:szCs w:val="24"/>
                <w:lang w:eastAsia="lv-LV"/>
              </w:rPr>
              <w:t xml:space="preserve">pieļautā pārkāpuma raksturu un ilgumu, pārkāpuma radīto ietekmi (zaudējumi komerciālajam lietotājam vai korporatīvo tīmekļvietņu lietotājam), </w:t>
            </w:r>
            <w:r w:rsidRPr="00E46193">
              <w:rPr>
                <w:rFonts w:ascii="Times New Roman" w:eastAsia="Times New Roman" w:hAnsi="Times New Roman" w:cs="Times New Roman"/>
                <w:iCs/>
                <w:sz w:val="24"/>
                <w:szCs w:val="24"/>
                <w:lang w:eastAsia="lv-LV"/>
              </w:rPr>
              <w:t>pārkāpuma</w:t>
            </w:r>
            <w:r w:rsidRPr="00E46193">
              <w:rPr>
                <w:rFonts w:ascii="Times New Roman" w:eastAsia="Times New Roman" w:hAnsi="Times New Roman" w:cs="Times New Roman"/>
                <w:sz w:val="24"/>
                <w:szCs w:val="24"/>
                <w:lang w:eastAsia="lv-LV"/>
              </w:rPr>
              <w:t xml:space="preserve"> izdarīšanas apstākļus, pārkāpēja lomu pārkāpumā un pārkāpuma apjomu; 2) vai tiešsaistes starpniecības platformu pakalpojumu sniedzējs līdz lēmuma pieņemšanas dienai ir atlīdzinājis vai sācis atlīdzināt komerciālajam lietotājam vai korporatīvo tīmekļvietņu lietotājam nodarītos zaudējumus; 3) vai pārkāpums pārtraukts pēc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sniedzēja iniciatīvas; 4)</w:t>
            </w:r>
            <w:r w:rsidRPr="00E46193">
              <w:rPr>
                <w:rFonts w:ascii="Arial" w:eastAsia="Times New Roman" w:hAnsi="Arial" w:cs="Arial"/>
                <w:sz w:val="20"/>
                <w:szCs w:val="20"/>
                <w:lang w:eastAsia="lv-LV"/>
              </w:rPr>
              <w:t xml:space="preserve"> </w:t>
            </w:r>
            <w:r w:rsidRPr="00E46193">
              <w:rPr>
                <w:rFonts w:ascii="Times New Roman" w:eastAsia="Times New Roman" w:hAnsi="Times New Roman" w:cs="Times New Roman"/>
                <w:sz w:val="24"/>
                <w:szCs w:val="24"/>
                <w:lang w:eastAsia="lv-LV"/>
              </w:rPr>
              <w:t>vai</w:t>
            </w:r>
            <w:r w:rsidRPr="00E46193">
              <w:rPr>
                <w:rFonts w:ascii="Arial" w:eastAsia="Times New Roman" w:hAnsi="Arial" w:cs="Arial"/>
                <w:sz w:val="20"/>
                <w:szCs w:val="20"/>
                <w:lang w:eastAsia="lv-LV"/>
              </w:rPr>
              <w:t xml:space="preserve"> </w:t>
            </w:r>
            <w:r w:rsidRPr="00E46193">
              <w:rPr>
                <w:rFonts w:ascii="Times New Roman" w:eastAsia="Times New Roman" w:hAnsi="Times New Roman" w:cs="Times New Roman"/>
                <w:sz w:val="24"/>
                <w:szCs w:val="24"/>
                <w:lang w:eastAsia="lv-LV"/>
              </w:rPr>
              <w:t xml:space="preserve">tiešsaistes starpniecības platformu pakalpojumu sniedzējs izdarījis atkārtotu Regulas (ES) 2019/1150 pārkāpumu pēdējo divu gadu laikā, un tas konstatēts ar PTAC lēmumu; 5) vai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sniedzējs ir kavējis lietas izskatīšanu vai slēpis izdarīto pārkāpumu. </w:t>
            </w:r>
          </w:p>
          <w:p w14:paraId="3E28D1F4"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proofErr w:type="gramStart"/>
            <w:r w:rsidRPr="00E46193">
              <w:rPr>
                <w:rFonts w:ascii="Times New Roman" w:eastAsia="Times New Roman" w:hAnsi="Times New Roman" w:cs="Times New Roman"/>
                <w:b/>
                <w:bCs/>
                <w:sz w:val="24"/>
                <w:szCs w:val="24"/>
                <w:lang w:eastAsia="lv-LV"/>
              </w:rPr>
              <w:t>16.panta</w:t>
            </w:r>
            <w:proofErr w:type="gramEnd"/>
            <w:r w:rsidRPr="00E46193">
              <w:rPr>
                <w:rFonts w:ascii="Times New Roman" w:eastAsia="Times New Roman" w:hAnsi="Times New Roman" w:cs="Times New Roman"/>
                <w:b/>
                <w:bCs/>
                <w:sz w:val="24"/>
                <w:szCs w:val="24"/>
                <w:lang w:eastAsia="lv-LV"/>
              </w:rPr>
              <w:t xml:space="preserve"> trešā daļa</w:t>
            </w:r>
            <w:r w:rsidRPr="00E46193">
              <w:rPr>
                <w:rFonts w:ascii="Times New Roman" w:eastAsia="Times New Roman" w:hAnsi="Times New Roman" w:cs="Times New Roman"/>
                <w:sz w:val="24"/>
                <w:szCs w:val="24"/>
                <w:lang w:eastAsia="lv-LV"/>
              </w:rPr>
              <w:t xml:space="preserve"> paredz laika periodu, kādā tiešsaistes starpniecības </w:t>
            </w:r>
            <w:r w:rsidRPr="00E46193">
              <w:rPr>
                <w:rFonts w:ascii="Times New Roman" w:eastAsia="Times New Roman" w:hAnsi="Times New Roman" w:cs="Times New Roman"/>
                <w:iCs/>
                <w:sz w:val="24"/>
                <w:szCs w:val="24"/>
                <w:lang w:eastAsia="lv-LV"/>
              </w:rPr>
              <w:t>platformu</w:t>
            </w:r>
            <w:r w:rsidRPr="00E46193">
              <w:rPr>
                <w:rFonts w:ascii="Times New Roman" w:eastAsia="Times New Roman" w:hAnsi="Times New Roman" w:cs="Times New Roman"/>
                <w:sz w:val="24"/>
                <w:szCs w:val="24"/>
                <w:lang w:eastAsia="lv-LV"/>
              </w:rPr>
              <w:t xml:space="preserve"> pakalpojumu </w:t>
            </w:r>
            <w:r w:rsidRPr="00E46193">
              <w:rPr>
                <w:rFonts w:ascii="Times New Roman" w:eastAsia="Times New Roman" w:hAnsi="Times New Roman" w:cs="Times New Roman"/>
                <w:iCs/>
                <w:sz w:val="24"/>
                <w:szCs w:val="24"/>
                <w:lang w:eastAsia="lv-LV"/>
              </w:rPr>
              <w:t>sniedzējs</w:t>
            </w:r>
            <w:r w:rsidRPr="00E46193">
              <w:rPr>
                <w:rFonts w:ascii="Times New Roman" w:eastAsia="Times New Roman" w:hAnsi="Times New Roman" w:cs="Times New Roman"/>
                <w:sz w:val="24"/>
                <w:szCs w:val="24"/>
                <w:lang w:eastAsia="lv-LV"/>
              </w:rPr>
              <w:t xml:space="preserve"> samaksā tam piemēroto soda naudu.</w:t>
            </w:r>
          </w:p>
          <w:p w14:paraId="3F0B5A07"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r w:rsidRPr="00E46193">
              <w:rPr>
                <w:rFonts w:ascii="Times New Roman" w:eastAsia="Times New Roman" w:hAnsi="Times New Roman" w:cs="Times New Roman"/>
                <w:b/>
                <w:bCs/>
                <w:sz w:val="24"/>
                <w:szCs w:val="24"/>
                <w:lang w:eastAsia="lv-LV"/>
              </w:rPr>
              <w:t>16. panta ceturtā daļa</w:t>
            </w:r>
            <w:r w:rsidRPr="00E46193">
              <w:rPr>
                <w:rFonts w:ascii="Times New Roman" w:eastAsia="Times New Roman" w:hAnsi="Times New Roman" w:cs="Times New Roman"/>
                <w:sz w:val="24"/>
                <w:szCs w:val="24"/>
                <w:lang w:eastAsia="lv-LV"/>
              </w:rPr>
              <w:t xml:space="preserve"> paredz, ka, ja PTAC pieņemtie lēmumi netiek izpildīti labprātīgi, tad PTAC ir tiesīgs piemērot piespiedu naudu vienā reizē ne vairāk kā 2800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sz w:val="24"/>
                <w:szCs w:val="24"/>
                <w:lang w:eastAsia="lv-LV"/>
              </w:rPr>
              <w:t xml:space="preserve">. </w:t>
            </w:r>
            <w:r w:rsidRPr="00E46193">
              <w:rPr>
                <w:rFonts w:ascii="Times New Roman" w:eastAsia="Times New Roman" w:hAnsi="Times New Roman" w:cs="Times New Roman"/>
                <w:iCs/>
                <w:sz w:val="24"/>
                <w:szCs w:val="24"/>
                <w:lang w:eastAsia="lv-LV"/>
              </w:rPr>
              <w:t xml:space="preserve">Maksimālais piespiedu naudas apmērs ir noteikts atbilstoši Reklāmas likumam, jo pārkāpumi reklāmas jomā un Regulas (ES) 2019/1150 pārkāpumi no uzraudzības un pārkāpumu novēršanas sistēmas viedokļa varētu būt līdzīgi. Līdz ar to ir pamats uzskatīt, ka piespiedu nauda minētajā apmērā ir uzskatāma par samērīgu un atbilstošu tam, lai motivētu tiešsaistes starpniecības platformu pakalpojumu sniedzējus izbeigt Regulas (ES) 2019/1150 pārkāpumu. </w:t>
            </w:r>
          </w:p>
          <w:p w14:paraId="318996F6"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proofErr w:type="gramStart"/>
            <w:r w:rsidRPr="00E46193">
              <w:rPr>
                <w:rFonts w:ascii="Times New Roman" w:eastAsia="Times New Roman" w:hAnsi="Times New Roman" w:cs="Times New Roman"/>
                <w:b/>
                <w:bCs/>
                <w:sz w:val="24"/>
                <w:szCs w:val="24"/>
                <w:lang w:eastAsia="lv-LV"/>
              </w:rPr>
              <w:t>16.panta</w:t>
            </w:r>
            <w:proofErr w:type="gramEnd"/>
            <w:r w:rsidRPr="00E46193">
              <w:rPr>
                <w:rFonts w:ascii="Times New Roman" w:eastAsia="Times New Roman" w:hAnsi="Times New Roman" w:cs="Times New Roman"/>
                <w:b/>
                <w:bCs/>
                <w:sz w:val="24"/>
                <w:szCs w:val="24"/>
                <w:lang w:eastAsia="lv-LV"/>
              </w:rPr>
              <w:t xml:space="preserve"> piektā daļa</w:t>
            </w:r>
            <w:r w:rsidRPr="00E46193">
              <w:rPr>
                <w:rFonts w:ascii="Times New Roman" w:eastAsia="Times New Roman" w:hAnsi="Times New Roman" w:cs="Times New Roman"/>
                <w:sz w:val="24"/>
                <w:szCs w:val="24"/>
                <w:lang w:eastAsia="lv-LV"/>
              </w:rPr>
              <w:t xml:space="preserve">, atsaucoties uz ISPL 15.panta pirmās daļas 2.punktu, nosaka </w:t>
            </w:r>
            <w:r w:rsidRPr="00E46193">
              <w:rPr>
                <w:rFonts w:ascii="Times New Roman" w:eastAsia="Times New Roman" w:hAnsi="Times New Roman" w:cs="Times New Roman"/>
                <w:iCs/>
                <w:sz w:val="24"/>
                <w:szCs w:val="24"/>
                <w:lang w:eastAsia="lv-LV"/>
              </w:rPr>
              <w:t>kārtību</w:t>
            </w:r>
            <w:r w:rsidRPr="00E46193">
              <w:rPr>
                <w:rFonts w:ascii="Times New Roman" w:eastAsia="Times New Roman" w:hAnsi="Times New Roman" w:cs="Times New Roman"/>
                <w:sz w:val="24"/>
                <w:szCs w:val="24"/>
                <w:lang w:eastAsia="lv-LV"/>
              </w:rPr>
              <w:t>, kādā nosakāms piespiedu naudas apmērs.</w:t>
            </w:r>
          </w:p>
          <w:p w14:paraId="06711BBC"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proofErr w:type="gramStart"/>
            <w:r w:rsidRPr="00E46193">
              <w:rPr>
                <w:rFonts w:ascii="Times New Roman" w:eastAsia="Times New Roman" w:hAnsi="Times New Roman" w:cs="Times New Roman"/>
                <w:b/>
                <w:bCs/>
                <w:sz w:val="24"/>
                <w:szCs w:val="24"/>
                <w:lang w:eastAsia="lv-LV"/>
              </w:rPr>
              <w:t>16.panta</w:t>
            </w:r>
            <w:proofErr w:type="gramEnd"/>
            <w:r w:rsidRPr="00E46193">
              <w:rPr>
                <w:rFonts w:ascii="Times New Roman" w:eastAsia="Times New Roman" w:hAnsi="Times New Roman" w:cs="Times New Roman"/>
                <w:b/>
                <w:bCs/>
                <w:sz w:val="24"/>
                <w:szCs w:val="24"/>
                <w:lang w:eastAsia="lv-LV"/>
              </w:rPr>
              <w:t xml:space="preserve"> sestā daļa </w:t>
            </w:r>
            <w:r w:rsidRPr="00E46193">
              <w:rPr>
                <w:rFonts w:ascii="Times New Roman" w:eastAsia="Times New Roman" w:hAnsi="Times New Roman" w:cs="Times New Roman"/>
                <w:sz w:val="24"/>
                <w:szCs w:val="24"/>
                <w:lang w:eastAsia="lv-LV"/>
              </w:rPr>
              <w:t>nosaka, ka piemērotā soda nauda vai piespiedu nauda ir ieskaitāma valsts pamatbudžetā.</w:t>
            </w:r>
          </w:p>
          <w:p w14:paraId="3C41AFE6" w14:textId="77777777" w:rsidR="006C699A" w:rsidRPr="00E46193" w:rsidRDefault="006C699A" w:rsidP="001A0F6E">
            <w:pPr>
              <w:pStyle w:val="ListParagraph"/>
              <w:spacing w:after="0" w:line="240" w:lineRule="auto"/>
              <w:ind w:left="360"/>
              <w:jc w:val="both"/>
              <w:rPr>
                <w:rFonts w:ascii="Times New Roman" w:eastAsia="Times New Roman" w:hAnsi="Times New Roman" w:cs="Times New Roman"/>
                <w:sz w:val="24"/>
                <w:szCs w:val="24"/>
                <w:lang w:eastAsia="lv-LV"/>
              </w:rPr>
            </w:pPr>
            <w:r w:rsidRPr="00E46193">
              <w:rPr>
                <w:rFonts w:ascii="Times New Roman" w:eastAsia="Times New Roman" w:hAnsi="Times New Roman" w:cs="Times New Roman"/>
                <w:sz w:val="24"/>
                <w:szCs w:val="24"/>
                <w:lang w:eastAsia="lv-LV"/>
              </w:rPr>
              <w:t xml:space="preserve">ISPL </w:t>
            </w:r>
            <w:proofErr w:type="gramStart"/>
            <w:r w:rsidRPr="00E46193">
              <w:rPr>
                <w:rFonts w:ascii="Times New Roman" w:eastAsia="Times New Roman" w:hAnsi="Times New Roman" w:cs="Times New Roman"/>
                <w:b/>
                <w:sz w:val="24"/>
                <w:szCs w:val="24"/>
                <w:lang w:eastAsia="lv-LV"/>
              </w:rPr>
              <w:t>17.pantā</w:t>
            </w:r>
            <w:proofErr w:type="gramEnd"/>
            <w:r w:rsidRPr="00E46193">
              <w:rPr>
                <w:rFonts w:ascii="Times New Roman" w:eastAsia="Times New Roman" w:hAnsi="Times New Roman" w:cs="Times New Roman"/>
                <w:sz w:val="24"/>
                <w:szCs w:val="24"/>
                <w:lang w:eastAsia="lv-LV"/>
              </w:rPr>
              <w:t xml:space="preserve"> tiek noteikta kārtība kādā ir pārsūdzams PTAC lēmums un, ka lēmuma </w:t>
            </w:r>
            <w:r w:rsidRPr="00E46193">
              <w:rPr>
                <w:rFonts w:ascii="Times New Roman" w:eastAsia="Times New Roman" w:hAnsi="Times New Roman" w:cs="Times New Roman"/>
                <w:iCs/>
                <w:sz w:val="24"/>
                <w:szCs w:val="24"/>
                <w:lang w:eastAsia="lv-LV"/>
              </w:rPr>
              <w:t>pārsūdzēšana</w:t>
            </w:r>
            <w:r w:rsidRPr="00E46193">
              <w:rPr>
                <w:rFonts w:ascii="Times New Roman" w:eastAsia="Times New Roman" w:hAnsi="Times New Roman" w:cs="Times New Roman"/>
                <w:sz w:val="24"/>
                <w:szCs w:val="24"/>
                <w:lang w:eastAsia="lv-LV"/>
              </w:rPr>
              <w:t xml:space="preserve"> neaptur tā darbību, izņemot PTAC lēmumu par soda naudu.</w:t>
            </w:r>
          </w:p>
        </w:tc>
      </w:tr>
      <w:tr w:rsidR="006C699A" w:rsidRPr="00E46193" w14:paraId="311615E8"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4928B1"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AAB088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6E7246E1"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Ekonomikas ministrija un Patērētāju tiesību aizsardzības centrs.</w:t>
            </w:r>
          </w:p>
        </w:tc>
      </w:tr>
      <w:tr w:rsidR="006C699A" w:rsidRPr="00E46193" w14:paraId="642586B0"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533BF9"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F309F5E"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75E9FCE"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w:t>
            </w:r>
          </w:p>
        </w:tc>
      </w:tr>
    </w:tbl>
    <w:p w14:paraId="0EACFA83" w14:textId="77777777" w:rsidR="006C699A" w:rsidRPr="00E46193" w:rsidRDefault="006C699A" w:rsidP="006C699A">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699A" w:rsidRPr="00E46193" w14:paraId="03F0DBCA" w14:textId="77777777" w:rsidTr="001A0F6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D132EA3" w14:textId="77777777" w:rsidR="006C699A" w:rsidRPr="00E46193" w:rsidRDefault="006C699A" w:rsidP="001A0F6E">
            <w:pPr>
              <w:spacing w:after="0" w:line="240" w:lineRule="auto"/>
              <w:jc w:val="center"/>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6C699A" w:rsidRPr="00E46193" w14:paraId="28E00BDE"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A2C8D2E"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30EB6A"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Sabiedrības mērķgrupas, kuras tiesiskais regulējums ietekmē</w:t>
            </w:r>
            <w:proofErr w:type="gramStart"/>
            <w:r w:rsidRPr="00E46193">
              <w:rPr>
                <w:rFonts w:ascii="Times New Roman" w:eastAsia="Times New Roman" w:hAnsi="Times New Roman" w:cs="Times New Roman"/>
                <w:iCs/>
                <w:sz w:val="24"/>
                <w:szCs w:val="24"/>
                <w:lang w:eastAsia="lv-LV"/>
              </w:rPr>
              <w:t xml:space="preserve"> vai varētu ietekmēt</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31C402D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Likumprojekts attiecas uz tiešsaistes tirdzniecības platformām un komersantu sniegtajiem pakalpojumiem – tirdzniecību šajās platformās. Šī likumprojekta izpratnē tiešsaistes tirdzniecības platformas </w:t>
            </w:r>
            <w:r w:rsidRPr="00E46193">
              <w:rPr>
                <w:rFonts w:ascii="Times New Roman" w:eastAsia="Times New Roman" w:hAnsi="Times New Roman" w:cs="Times New Roman"/>
                <w:b/>
                <w:bCs/>
                <w:iCs/>
                <w:sz w:val="24"/>
                <w:szCs w:val="24"/>
                <w:lang w:eastAsia="lv-LV"/>
              </w:rPr>
              <w:t>ir</w:t>
            </w:r>
            <w:r w:rsidRPr="00E46193">
              <w:rPr>
                <w:rFonts w:ascii="Times New Roman" w:eastAsia="Times New Roman" w:hAnsi="Times New Roman" w:cs="Times New Roman"/>
                <w:iCs/>
                <w:sz w:val="24"/>
                <w:szCs w:val="24"/>
                <w:lang w:eastAsia="lv-LV"/>
              </w:rPr>
              <w:t xml:space="preserve"> tiešsaistes tirdzniecības vietas, tiešsaistes lietojumprogrammu tirdzniecības vietas un sociālie mediji, kā arī tiešsaistes meklētājprogrammas, neatkarīgi no to reģistrācijas vietas, ciktāl tie sniedz pakalpojumus ES reģistrētiem komerciālajiem lietotājiem </w:t>
            </w:r>
            <w:proofErr w:type="gramStart"/>
            <w:r w:rsidRPr="00E46193">
              <w:rPr>
                <w:rFonts w:ascii="Times New Roman" w:eastAsia="Times New Roman" w:hAnsi="Times New Roman" w:cs="Times New Roman"/>
                <w:iCs/>
                <w:sz w:val="24"/>
                <w:szCs w:val="24"/>
                <w:lang w:eastAsia="lv-LV"/>
              </w:rPr>
              <w:t>(</w:t>
            </w:r>
            <w:proofErr w:type="gramEnd"/>
            <w:r w:rsidRPr="00E46193">
              <w:rPr>
                <w:rFonts w:ascii="Times New Roman" w:eastAsia="Times New Roman" w:hAnsi="Times New Roman" w:cs="Times New Roman"/>
                <w:iCs/>
                <w:sz w:val="24"/>
                <w:szCs w:val="24"/>
                <w:lang w:eastAsia="lv-LV"/>
              </w:rPr>
              <w:t xml:space="preserve">komersantiem), kas savukārt piedāvā preces vai pakalpojumus ES patērētājiem (piemēram, </w:t>
            </w:r>
            <w:proofErr w:type="spellStart"/>
            <w:r w:rsidRPr="00E46193">
              <w:rPr>
                <w:rFonts w:ascii="Times New Roman" w:eastAsia="Times New Roman" w:hAnsi="Times New Roman" w:cs="Times New Roman"/>
                <w:iCs/>
                <w:sz w:val="24"/>
                <w:szCs w:val="24"/>
                <w:lang w:eastAsia="lv-LV"/>
              </w:rPr>
              <w:t>Bolt</w:t>
            </w:r>
            <w:proofErr w:type="spellEnd"/>
            <w:r w:rsidRPr="00E46193">
              <w:rPr>
                <w:rFonts w:ascii="Times New Roman" w:eastAsia="Times New Roman" w:hAnsi="Times New Roman" w:cs="Times New Roman"/>
                <w:iCs/>
                <w:sz w:val="24"/>
                <w:szCs w:val="24"/>
                <w:lang w:eastAsia="lv-LV"/>
              </w:rPr>
              <w:t xml:space="preserve">, City24, Pērkam Kopā, Biļešu Serviss, u.c.). </w:t>
            </w:r>
          </w:p>
          <w:p w14:paraId="47AE014B"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Ekonomikas ministrijas rīcībā esošo informāciju Latvija ir ap 80 tiešsaistes tirdzniecības platform</w:t>
            </w:r>
            <w:r>
              <w:rPr>
                <w:rFonts w:ascii="Times New Roman" w:eastAsia="Times New Roman" w:hAnsi="Times New Roman" w:cs="Times New Roman"/>
                <w:iCs/>
                <w:sz w:val="24"/>
                <w:szCs w:val="24"/>
                <w:lang w:eastAsia="lv-LV"/>
              </w:rPr>
              <w:t>as</w:t>
            </w:r>
            <w:r w:rsidRPr="00E46193">
              <w:rPr>
                <w:rFonts w:ascii="Times New Roman" w:eastAsia="Times New Roman" w:hAnsi="Times New Roman" w:cs="Times New Roman"/>
                <w:iCs/>
                <w:sz w:val="24"/>
                <w:szCs w:val="24"/>
                <w:lang w:eastAsia="lv-LV"/>
              </w:rPr>
              <w:t>, uz kurām likumprojekts tiks attiecināts.</w:t>
            </w:r>
          </w:p>
          <w:p w14:paraId="79747881"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Likumprojekta izpratnē tiešsaistes tirdzniecības platformas </w:t>
            </w:r>
            <w:r w:rsidRPr="00E46193">
              <w:rPr>
                <w:rFonts w:ascii="Times New Roman" w:eastAsia="Times New Roman" w:hAnsi="Times New Roman" w:cs="Times New Roman"/>
                <w:b/>
                <w:bCs/>
                <w:iCs/>
                <w:sz w:val="24"/>
                <w:szCs w:val="24"/>
                <w:lang w:eastAsia="lv-LV"/>
              </w:rPr>
              <w:t>nav</w:t>
            </w:r>
            <w:r w:rsidRPr="00E46193">
              <w:rPr>
                <w:rFonts w:ascii="Times New Roman" w:eastAsia="Times New Roman" w:hAnsi="Times New Roman" w:cs="Times New Roman"/>
                <w:iCs/>
                <w:sz w:val="24"/>
                <w:szCs w:val="24"/>
                <w:lang w:eastAsia="lv-LV"/>
              </w:rPr>
              <w:t xml:space="preserve"> reklamēšana, maksājumu pakalpojumi, meklētājprogrammu optimizācija, t.i</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pakalpojumi, </w:t>
            </w:r>
            <w:proofErr w:type="gramStart"/>
            <w:r w:rsidRPr="00E46193">
              <w:rPr>
                <w:rFonts w:ascii="Times New Roman" w:eastAsia="Times New Roman" w:hAnsi="Times New Roman" w:cs="Times New Roman"/>
                <w:iCs/>
                <w:sz w:val="24"/>
                <w:szCs w:val="24"/>
                <w:lang w:eastAsia="lv-LV"/>
              </w:rPr>
              <w:t>kas tieši neiejaucas komersanta un patērētāja attiecībās</w:t>
            </w:r>
            <w:proofErr w:type="gramEnd"/>
            <w:r w:rsidRPr="00E46193">
              <w:rPr>
                <w:rFonts w:ascii="Times New Roman" w:eastAsia="Times New Roman" w:hAnsi="Times New Roman" w:cs="Times New Roman"/>
                <w:iCs/>
                <w:sz w:val="24"/>
                <w:szCs w:val="24"/>
                <w:lang w:eastAsia="lv-LV"/>
              </w:rPr>
              <w:t xml:space="preserve"> vai arī starpnieki, kas darbojas tikai starp uzņēmumiem (piemēram, tiešsaistes reklāmas apmaiņas). Likumprojekts neattiecas arī uz tiešsaistes mazumtirgotājiem, piemēram, pārtikas preču veikaliem (piemēram, RIMI, </w:t>
            </w:r>
            <w:proofErr w:type="spellStart"/>
            <w:r w:rsidRPr="00E46193">
              <w:rPr>
                <w:rFonts w:ascii="Times New Roman" w:eastAsia="Times New Roman" w:hAnsi="Times New Roman" w:cs="Times New Roman"/>
                <w:iCs/>
                <w:sz w:val="24"/>
                <w:szCs w:val="24"/>
                <w:lang w:eastAsia="lv-LV"/>
              </w:rPr>
              <w:t>Maxima</w:t>
            </w:r>
            <w:proofErr w:type="spellEnd"/>
            <w:r w:rsidRPr="00E46193">
              <w:rPr>
                <w:rFonts w:ascii="Times New Roman" w:eastAsia="Times New Roman" w:hAnsi="Times New Roman" w:cs="Times New Roman"/>
                <w:iCs/>
                <w:sz w:val="24"/>
                <w:szCs w:val="24"/>
                <w:lang w:eastAsia="lv-LV"/>
              </w:rPr>
              <w:t xml:space="preserve">) (lielveikaliem) un zīmolu mazumtirgotājiem (piemēram, Nike.com), ciktāl šādi tiešsaistes mazumtirgotāji tieši pārdod savus produktus. </w:t>
            </w:r>
          </w:p>
          <w:p w14:paraId="043FDA0A" w14:textId="77777777" w:rsidR="006C699A" w:rsidRPr="00E46193" w:rsidRDefault="006C699A" w:rsidP="001A0F6E">
            <w:pPr>
              <w:spacing w:after="0" w:line="240" w:lineRule="auto"/>
              <w:jc w:val="both"/>
              <w:rPr>
                <w:rFonts w:ascii="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Likumprojekts</w:t>
            </w:r>
            <w:r w:rsidRPr="00E46193">
              <w:rPr>
                <w:rFonts w:ascii="Times New Roman" w:hAnsi="Times New Roman" w:cs="Times New Roman"/>
                <w:iCs/>
                <w:sz w:val="24"/>
                <w:szCs w:val="24"/>
                <w:lang w:eastAsia="lv-LV"/>
              </w:rPr>
              <w:t xml:space="preserve"> attieksies arī uz biedrībām un nodibinājumiem, kas vēlēsies pārstāvēt komerciālo lietotāju tiesā un atbildīs nosacījumiem, lai par tādām kļūtu.</w:t>
            </w:r>
          </w:p>
          <w:p w14:paraId="209C57C6" w14:textId="77777777" w:rsidR="006C699A" w:rsidRPr="00E46193" w:rsidRDefault="006C699A" w:rsidP="001A0F6E">
            <w:pPr>
              <w:spacing w:after="0" w:line="240" w:lineRule="auto"/>
              <w:jc w:val="both"/>
              <w:rPr>
                <w:rFonts w:ascii="Times New Roman" w:hAnsi="Times New Roman" w:cs="Times New Roman"/>
                <w:iCs/>
                <w:sz w:val="24"/>
                <w:szCs w:val="24"/>
                <w:lang w:eastAsia="lv-LV"/>
              </w:rPr>
            </w:pPr>
            <w:r w:rsidRPr="008110FB">
              <w:rPr>
                <w:rFonts w:ascii="Times New Roman" w:hAnsi="Times New Roman" w:cs="Times New Roman"/>
                <w:iCs/>
                <w:sz w:val="24"/>
                <w:szCs w:val="24"/>
                <w:lang w:eastAsia="lv-LV"/>
              </w:rPr>
              <w:t>Regulējums attieksies uz tirgus uzraudzības iestādi – PTAC.</w:t>
            </w:r>
          </w:p>
        </w:tc>
      </w:tr>
      <w:tr w:rsidR="006C699A" w:rsidRPr="00E46193" w14:paraId="305E237E"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633FB5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33D510F"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25B5EE0"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Likumprojekts pats par sevi neuzliek par pienākumu tiešsaistes starpniecības platformu pakalpojumu sniedzējiem mainīt savus platformas izmantošanas noteikumus un nosacījumus (</w:t>
            </w:r>
            <w:proofErr w:type="spellStart"/>
            <w:r w:rsidRPr="00E46193">
              <w:rPr>
                <w:rFonts w:ascii="Times New Roman" w:eastAsia="Times New Roman" w:hAnsi="Times New Roman" w:cs="Times New Roman"/>
                <w:iCs/>
                <w:sz w:val="24"/>
                <w:szCs w:val="24"/>
                <w:lang w:eastAsia="lv-LV"/>
              </w:rPr>
              <w:t>angl</w:t>
            </w:r>
            <w:proofErr w:type="spellEnd"/>
            <w:r w:rsidRPr="00E46193">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
                <w:sz w:val="24"/>
                <w:szCs w:val="24"/>
                <w:lang w:eastAsia="lv-LV"/>
              </w:rPr>
              <w:t xml:space="preserve">terms </w:t>
            </w:r>
            <w:proofErr w:type="spellStart"/>
            <w:r w:rsidRPr="00E46193">
              <w:rPr>
                <w:rFonts w:ascii="Times New Roman" w:eastAsia="Times New Roman" w:hAnsi="Times New Roman" w:cs="Times New Roman"/>
                <w:i/>
                <w:sz w:val="24"/>
                <w:szCs w:val="24"/>
                <w:lang w:eastAsia="lv-LV"/>
              </w:rPr>
              <w:t>and</w:t>
            </w:r>
            <w:proofErr w:type="spellEnd"/>
            <w:r w:rsidRPr="00E46193">
              <w:rPr>
                <w:rFonts w:ascii="Times New Roman" w:eastAsia="Times New Roman" w:hAnsi="Times New Roman" w:cs="Times New Roman"/>
                <w:i/>
                <w:sz w:val="24"/>
                <w:szCs w:val="24"/>
                <w:lang w:eastAsia="lv-LV"/>
              </w:rPr>
              <w:t xml:space="preserve"> </w:t>
            </w:r>
            <w:proofErr w:type="spellStart"/>
            <w:r w:rsidRPr="00E46193">
              <w:rPr>
                <w:rFonts w:ascii="Times New Roman" w:eastAsia="Times New Roman" w:hAnsi="Times New Roman" w:cs="Times New Roman"/>
                <w:i/>
                <w:sz w:val="24"/>
                <w:szCs w:val="24"/>
                <w:lang w:eastAsia="lv-LV"/>
              </w:rPr>
              <w:t>conditions</w:t>
            </w:r>
            <w:proofErr w:type="spellEnd"/>
            <w:r w:rsidRPr="00E46193">
              <w:rPr>
                <w:rFonts w:ascii="Times New Roman" w:eastAsia="Times New Roman" w:hAnsi="Times New Roman" w:cs="Times New Roman"/>
                <w:iCs/>
                <w:sz w:val="24"/>
                <w:szCs w:val="24"/>
                <w:lang w:eastAsia="lv-LV"/>
              </w:rPr>
              <w:t xml:space="preserve">), kas reglamentē līgumattiecības ar komerciāliem lietotājiem, taču, ievērojot, ka Regula (ES) 2019/1150 ir tieši piemērojama visās ES dalībvalstīs, tiešsaistes starpniecību platformu pakalpojumu sniedzējiem ar 2020. gada 12. jūliju ir jāpārskata tiešsaistes platformu izmantošanas </w:t>
            </w:r>
            <w:r w:rsidRPr="00E46193">
              <w:rPr>
                <w:rFonts w:ascii="Times New Roman" w:eastAsia="Times New Roman" w:hAnsi="Times New Roman" w:cs="Times New Roman"/>
                <w:iCs/>
                <w:sz w:val="24"/>
                <w:szCs w:val="24"/>
                <w:lang w:eastAsia="lv-LV"/>
              </w:rPr>
              <w:lastRenderedPageBreak/>
              <w:t>noteikumi un nosacījumi tā, lai tie atbilstu Regulas (ES) 2019/1150 prasībām.</w:t>
            </w:r>
          </w:p>
          <w:p w14:paraId="66539A95"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0F4852">
              <w:rPr>
                <w:rFonts w:ascii="Times New Roman" w:eastAsia="Times New Roman" w:hAnsi="Times New Roman" w:cs="Times New Roman"/>
                <w:iCs/>
                <w:sz w:val="24"/>
                <w:szCs w:val="24"/>
                <w:lang w:eastAsia="lv-LV"/>
              </w:rPr>
              <w:t>Šobrīd nav iespējams precīzi noteikt administratīvā sloga apmēru.</w:t>
            </w:r>
          </w:p>
        </w:tc>
      </w:tr>
      <w:tr w:rsidR="006C699A" w:rsidRPr="00E46193" w14:paraId="6E90BA82"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68458B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E4B2F74"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56854F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 attiecināms</w:t>
            </w:r>
            <w:r w:rsidRPr="00E46193" w:rsidDel="00CB7682">
              <w:rPr>
                <w:rFonts w:ascii="Times New Roman" w:eastAsia="Times New Roman" w:hAnsi="Times New Roman" w:cs="Times New Roman"/>
                <w:iCs/>
                <w:sz w:val="24"/>
                <w:szCs w:val="24"/>
                <w:lang w:eastAsia="lv-LV"/>
              </w:rPr>
              <w:t xml:space="preserve"> </w:t>
            </w:r>
          </w:p>
        </w:tc>
      </w:tr>
      <w:tr w:rsidR="006C699A" w:rsidRPr="00E46193" w14:paraId="07E4FE37"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14FF634"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3A4EECD" w14:textId="77777777" w:rsidR="006C699A" w:rsidRPr="00E46193" w:rsidRDefault="006C699A" w:rsidP="001A0F6E">
            <w:pPr>
              <w:spacing w:after="0" w:line="240" w:lineRule="auto"/>
              <w:jc w:val="both"/>
              <w:rPr>
                <w:rFonts w:ascii="Times New Roman" w:eastAsia="Times New Roman" w:hAnsi="Times New Roman" w:cs="Times New Roman"/>
                <w:iCs/>
                <w:sz w:val="24"/>
                <w:szCs w:val="24"/>
                <w:highlight w:val="yellow"/>
                <w:lang w:eastAsia="lv-LV"/>
              </w:rPr>
            </w:pPr>
            <w:r w:rsidRPr="00E46193">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969F401"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Šobrīd Latvijā nav tāda tiesiskā regulējuma, kas noteiktu uzraudzību pār tiešsaistes starpniecības platformu pakalpojumu sniedzējiem, jo digitālās jomas regulējums pēc savas būtības ir jauns un līdz ar to nav iespējams precīzi prognozēt, cik sūdzību komerciālie lietotāji vai korporatīvo tīmekļvietņu lietotāji iesniegs par Regulas (ES) 2019/1150 prasību iespējamiem pārkāpumiem. Taču, ņemot vērā arvien pieaugošo e-komercijas attīstību, kā arī EK veiktos aprēķinus</w:t>
            </w:r>
            <w:r w:rsidRPr="00E46193">
              <w:rPr>
                <w:rFonts w:ascii="Times New Roman" w:eastAsia="Times New Roman" w:hAnsi="Times New Roman" w:cs="Times New Roman"/>
                <w:iCs/>
                <w:sz w:val="24"/>
                <w:szCs w:val="24"/>
                <w:vertAlign w:val="superscript"/>
                <w:lang w:eastAsia="lv-LV"/>
              </w:rPr>
              <w:footnoteReference w:id="1"/>
            </w:r>
            <w:r w:rsidRPr="00E46193">
              <w:rPr>
                <w:rFonts w:ascii="Times New Roman" w:eastAsia="Times New Roman" w:hAnsi="Times New Roman" w:cs="Times New Roman"/>
                <w:iCs/>
                <w:sz w:val="24"/>
                <w:szCs w:val="24"/>
                <w:lang w:eastAsia="lv-LV"/>
              </w:rPr>
              <w:t>, kas liecina, ka vairāk kā 50% no visiem mazajiem un vidējiem uzņēmumiem, kas realizē savu produkciju un pakalpojumus ar tiešsaistes starpniecības pakalpojumu starpniecību, ir saskārušies ar problēmām un negodprātīgu uzņēmējdarbības praksi, ir prognozējams, ka sūdzības tiks saņemtas un to apjoms turpmākos gados pieaugs.</w:t>
            </w:r>
          </w:p>
          <w:p w14:paraId="50C2B9C8"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D515B2">
              <w:rPr>
                <w:rFonts w:ascii="Times New Roman" w:eastAsia="Times New Roman" w:hAnsi="Times New Roman" w:cs="Times New Roman"/>
                <w:iCs/>
                <w:sz w:val="24"/>
                <w:szCs w:val="24"/>
                <w:lang w:eastAsia="lv-LV"/>
              </w:rPr>
              <w:t xml:space="preserve">Piemēram, saskaņā ar 2017. gada PTAC pārskatu sūdzību skaits saistībā ar distances līguma </w:t>
            </w:r>
            <w:r w:rsidRPr="00D43A27">
              <w:rPr>
                <w:rFonts w:ascii="Times New Roman" w:eastAsia="Times New Roman" w:hAnsi="Times New Roman" w:cs="Times New Roman"/>
                <w:iCs/>
                <w:sz w:val="24"/>
                <w:szCs w:val="24"/>
                <w:lang w:eastAsia="lv-LV"/>
              </w:rPr>
              <w:t>pakalpojumiem ir palielinājies par 94,04%, sasniedzot 486 sūdzības</w:t>
            </w:r>
            <w:r w:rsidRPr="00D515B2">
              <w:rPr>
                <w:rStyle w:val="FootnoteReference"/>
                <w:rFonts w:ascii="Times New Roman" w:eastAsia="Times New Roman" w:hAnsi="Times New Roman" w:cs="Times New Roman"/>
                <w:iCs/>
                <w:sz w:val="24"/>
                <w:szCs w:val="24"/>
                <w:lang w:eastAsia="lv-LV"/>
              </w:rPr>
              <w:footnoteReference w:id="2"/>
            </w:r>
            <w:r w:rsidRPr="00D515B2">
              <w:rPr>
                <w:rFonts w:ascii="Times New Roman" w:eastAsia="Times New Roman" w:hAnsi="Times New Roman" w:cs="Times New Roman"/>
                <w:iCs/>
                <w:sz w:val="24"/>
                <w:szCs w:val="24"/>
                <w:lang w:eastAsia="lv-LV"/>
              </w:rPr>
              <w:t xml:space="preserve">. </w:t>
            </w:r>
            <w:proofErr w:type="gramStart"/>
            <w:r w:rsidRPr="00D515B2">
              <w:rPr>
                <w:rFonts w:ascii="Times New Roman" w:eastAsia="Times New Roman" w:hAnsi="Times New Roman" w:cs="Times New Roman"/>
                <w:iCs/>
                <w:sz w:val="24"/>
                <w:szCs w:val="24"/>
                <w:lang w:eastAsia="lv-LV"/>
              </w:rPr>
              <w:t>2018.gadā</w:t>
            </w:r>
            <w:proofErr w:type="gramEnd"/>
            <w:r w:rsidRPr="00D515B2">
              <w:rPr>
                <w:rFonts w:ascii="Times New Roman" w:eastAsia="Times New Roman" w:hAnsi="Times New Roman" w:cs="Times New Roman"/>
                <w:iCs/>
                <w:sz w:val="24"/>
                <w:szCs w:val="24"/>
                <w:lang w:eastAsia="lv-LV"/>
              </w:rPr>
              <w:t xml:space="preserve"> šādu sūdzību skaits bija 428. Distances līgums ir vienošanās par preces iegādi</w:t>
            </w:r>
            <w:r w:rsidRPr="00E46193">
              <w:rPr>
                <w:rFonts w:ascii="Times New Roman" w:eastAsia="Times New Roman" w:hAnsi="Times New Roman" w:cs="Times New Roman"/>
                <w:iCs/>
                <w:sz w:val="24"/>
                <w:szCs w:val="24"/>
                <w:lang w:eastAsia="lv-LV"/>
              </w:rPr>
              <w:t xml:space="preserve"> vai pakalpojuma sniegšanu, kas noslēgta neklātienes apstākļos, izmantojot distances saziņas līdzekļus</w:t>
            </w:r>
            <w:r w:rsidRPr="00E46193">
              <w:rPr>
                <w:rStyle w:val="FootnoteReference"/>
                <w:rFonts w:ascii="Times New Roman" w:eastAsia="Times New Roman" w:hAnsi="Times New Roman" w:cs="Times New Roman"/>
                <w:iCs/>
                <w:sz w:val="24"/>
                <w:szCs w:val="24"/>
                <w:lang w:eastAsia="lv-LV"/>
              </w:rPr>
              <w:footnoteReference w:id="3"/>
            </w:r>
            <w:r w:rsidRPr="00E46193">
              <w:rPr>
                <w:rFonts w:ascii="Times New Roman" w:eastAsia="Times New Roman" w:hAnsi="Times New Roman" w:cs="Times New Roman"/>
                <w:iCs/>
                <w:sz w:val="24"/>
                <w:szCs w:val="24"/>
                <w:lang w:eastAsia="lv-LV"/>
              </w:rPr>
              <w:t>, respektīvi, distances līgums tiek slēgts, kad patērētāji savus pirkumus veic</w:t>
            </w:r>
            <w:proofErr w:type="gramStart"/>
            <w:r w:rsidRPr="00E46193">
              <w:rPr>
                <w:rFonts w:ascii="Times New Roman" w:eastAsia="Times New Roman" w:hAnsi="Times New Roman" w:cs="Times New Roman"/>
                <w:iCs/>
                <w:sz w:val="24"/>
                <w:szCs w:val="24"/>
                <w:lang w:eastAsia="lv-LV"/>
              </w:rPr>
              <w:t xml:space="preserve"> izmantojot tiešsaistes starpniecības platformu pakalpojumu sniedzēju tirdzniecības vietas</w:t>
            </w:r>
            <w:proofErr w:type="gramEnd"/>
            <w:r w:rsidRPr="00E46193">
              <w:rPr>
                <w:rFonts w:ascii="Times New Roman" w:eastAsia="Times New Roman" w:hAnsi="Times New Roman" w:cs="Times New Roman"/>
                <w:iCs/>
                <w:sz w:val="24"/>
                <w:szCs w:val="24"/>
                <w:lang w:eastAsia="lv-LV"/>
              </w:rPr>
              <w:t xml:space="preserve">. </w:t>
            </w:r>
          </w:p>
          <w:p w14:paraId="595E0B51"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Pieaugot patērētāju interesei par e-komerciju, 2019. gadā par distances līgumiem PTAC ir saņemtas 605 sūdzības, kas ir par 177 sūdzībām jeb 27% </w:t>
            </w:r>
            <w:proofErr w:type="gramStart"/>
            <w:r w:rsidRPr="00E46193">
              <w:rPr>
                <w:rFonts w:ascii="Times New Roman" w:eastAsia="Times New Roman" w:hAnsi="Times New Roman" w:cs="Times New Roman"/>
                <w:iCs/>
                <w:sz w:val="24"/>
                <w:szCs w:val="24"/>
                <w:lang w:eastAsia="lv-LV"/>
              </w:rPr>
              <w:t>vairāk kā</w:t>
            </w:r>
            <w:proofErr w:type="gramEnd"/>
            <w:r w:rsidRPr="00E46193">
              <w:rPr>
                <w:rFonts w:ascii="Times New Roman" w:eastAsia="Times New Roman" w:hAnsi="Times New Roman" w:cs="Times New Roman"/>
                <w:iCs/>
                <w:sz w:val="24"/>
                <w:szCs w:val="24"/>
                <w:lang w:eastAsia="lv-LV"/>
              </w:rPr>
              <w:t xml:space="preserve"> 2018. gadā. Patērētāju sūdzībās minētais, kā arī PTAC pieņemtie lēmumi patērētāju kolektīvo interešu lietās pret negodīgiem interneta veikaliem norāda uz to, ka daudz interneta veikalu nedarbojas godīgi, kas ļauj secināt par iespējamiem Regulas (ES) 2019/1150 prasību pārkāpumiem</w:t>
            </w:r>
            <w:r w:rsidRPr="00E46193">
              <w:rPr>
                <w:rStyle w:val="FootnoteReference"/>
                <w:rFonts w:ascii="Times New Roman" w:eastAsia="Times New Roman" w:hAnsi="Times New Roman" w:cs="Times New Roman"/>
                <w:iCs/>
                <w:sz w:val="24"/>
                <w:szCs w:val="24"/>
                <w:lang w:eastAsia="lv-LV"/>
              </w:rPr>
              <w:footnoteReference w:id="4"/>
            </w:r>
            <w:r w:rsidRPr="00E46193">
              <w:rPr>
                <w:rFonts w:ascii="Times New Roman" w:eastAsia="Times New Roman" w:hAnsi="Times New Roman" w:cs="Times New Roman"/>
                <w:iCs/>
                <w:sz w:val="24"/>
                <w:szCs w:val="24"/>
                <w:lang w:eastAsia="lv-LV"/>
              </w:rPr>
              <w:t xml:space="preserve">. </w:t>
            </w:r>
            <w:r w:rsidRPr="000551D6">
              <w:rPr>
                <w:rFonts w:ascii="Times New Roman" w:eastAsia="Times New Roman" w:hAnsi="Times New Roman" w:cs="Times New Roman"/>
                <w:iCs/>
                <w:sz w:val="24"/>
                <w:szCs w:val="24"/>
                <w:lang w:eastAsia="lv-LV"/>
              </w:rPr>
              <w:t>Ņemot vērā minēto, nav iespējams veikt objektīvu atbilstības izmaksu monetāru novērtējumu.</w:t>
            </w:r>
            <w:r>
              <w:rPr>
                <w:rFonts w:ascii="Times New Roman" w:eastAsia="Times New Roman" w:hAnsi="Times New Roman" w:cs="Times New Roman"/>
                <w:iCs/>
                <w:sz w:val="24"/>
                <w:szCs w:val="24"/>
                <w:lang w:eastAsia="lv-LV"/>
              </w:rPr>
              <w:t xml:space="preserve"> </w:t>
            </w:r>
          </w:p>
        </w:tc>
      </w:tr>
      <w:tr w:rsidR="006C699A" w:rsidRPr="00E46193" w14:paraId="6A9E5DAD" w14:textId="77777777" w:rsidTr="001A0F6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F94B0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4BF936C"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4876E46"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Nav</w:t>
            </w:r>
          </w:p>
        </w:tc>
      </w:tr>
    </w:tbl>
    <w:p w14:paraId="587CA56A" w14:textId="77777777" w:rsidR="006C699A" w:rsidRPr="00E46193" w:rsidRDefault="006C699A" w:rsidP="006C699A">
      <w:pPr>
        <w:spacing w:after="0" w:line="240" w:lineRule="auto"/>
        <w:rPr>
          <w:rFonts w:ascii="Times New Roman" w:eastAsia="Times New Roman" w:hAnsi="Times New Roman" w:cs="Times New Roman"/>
          <w:iCs/>
          <w:sz w:val="24"/>
          <w:szCs w:val="24"/>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1080"/>
        <w:gridCol w:w="1054"/>
        <w:gridCol w:w="1080"/>
        <w:gridCol w:w="1135"/>
        <w:gridCol w:w="867"/>
        <w:gridCol w:w="1135"/>
        <w:gridCol w:w="1315"/>
      </w:tblGrid>
      <w:tr w:rsidR="006C699A" w:rsidRPr="00E46193" w14:paraId="55CA425A" w14:textId="77777777" w:rsidTr="001A0F6E">
        <w:trPr>
          <w:trHeight w:val="280"/>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0E2BF1B" w14:textId="77777777" w:rsidR="006C699A" w:rsidRPr="00E46193" w:rsidRDefault="006C699A" w:rsidP="001A0F6E">
            <w:pPr>
              <w:spacing w:after="0" w:line="240" w:lineRule="auto"/>
              <w:jc w:val="center"/>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III. Tiesību akta projekta ietekme uz valsts budžetu un pašvaldību budžetiem</w:t>
            </w:r>
          </w:p>
        </w:tc>
      </w:tr>
      <w:tr w:rsidR="006C699A" w:rsidRPr="00E46193" w14:paraId="58ADBD39" w14:textId="77777777" w:rsidTr="001A0F6E">
        <w:trPr>
          <w:trHeight w:val="366"/>
          <w:tblCellSpacing w:w="15" w:type="dxa"/>
        </w:trPr>
        <w:tc>
          <w:tcPr>
            <w:tcW w:w="836" w:type="pct"/>
            <w:vMerge w:val="restart"/>
            <w:tcBorders>
              <w:top w:val="outset" w:sz="6" w:space="0" w:color="auto"/>
              <w:left w:val="outset" w:sz="6" w:space="0" w:color="auto"/>
              <w:bottom w:val="outset" w:sz="6" w:space="0" w:color="auto"/>
              <w:right w:val="outset" w:sz="6" w:space="0" w:color="auto"/>
            </w:tcBorders>
            <w:vAlign w:val="center"/>
            <w:hideMark/>
          </w:tcPr>
          <w:p w14:paraId="4B6064D7"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Rādītāji</w:t>
            </w:r>
          </w:p>
        </w:tc>
        <w:tc>
          <w:tcPr>
            <w:tcW w:w="111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C096665" w14:textId="77777777" w:rsidR="006C699A" w:rsidRPr="00E46193" w:rsidRDefault="006C699A" w:rsidP="001A0F6E">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2020. gads</w:t>
            </w:r>
          </w:p>
        </w:tc>
        <w:tc>
          <w:tcPr>
            <w:tcW w:w="2986" w:type="pct"/>
            <w:gridSpan w:val="5"/>
            <w:tcBorders>
              <w:top w:val="outset" w:sz="6" w:space="0" w:color="auto"/>
              <w:left w:val="outset" w:sz="6" w:space="0" w:color="auto"/>
              <w:bottom w:val="outset" w:sz="6" w:space="0" w:color="auto"/>
              <w:right w:val="outset" w:sz="6" w:space="0" w:color="auto"/>
            </w:tcBorders>
            <w:vAlign w:val="center"/>
            <w:hideMark/>
          </w:tcPr>
          <w:p w14:paraId="1FAA05D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Turpmākie trīs gadi (</w:t>
            </w:r>
            <w:proofErr w:type="spellStart"/>
            <w:r w:rsidRPr="00E46193">
              <w:rPr>
                <w:rFonts w:ascii="Times New Roman" w:eastAsia="Times New Roman" w:hAnsi="Times New Roman" w:cs="Times New Roman"/>
                <w:i/>
                <w:iCs/>
                <w:sz w:val="24"/>
                <w:szCs w:val="24"/>
                <w:lang w:eastAsia="lv-LV"/>
              </w:rPr>
              <w:t>euro</w:t>
            </w:r>
            <w:proofErr w:type="spellEnd"/>
            <w:r w:rsidRPr="00E46193">
              <w:rPr>
                <w:rFonts w:ascii="Times New Roman" w:eastAsia="Times New Roman" w:hAnsi="Times New Roman" w:cs="Times New Roman"/>
                <w:iCs/>
                <w:sz w:val="24"/>
                <w:szCs w:val="24"/>
                <w:lang w:eastAsia="lv-LV"/>
              </w:rPr>
              <w:t>)</w:t>
            </w:r>
          </w:p>
        </w:tc>
      </w:tr>
      <w:tr w:rsidR="006C699A" w:rsidRPr="00E46193" w14:paraId="7F47748E" w14:textId="77777777" w:rsidTr="001A0F6E">
        <w:trPr>
          <w:trHeight w:val="420"/>
          <w:tblCellSpacing w:w="15" w:type="dxa"/>
        </w:trPr>
        <w:tc>
          <w:tcPr>
            <w:tcW w:w="836" w:type="pct"/>
            <w:vMerge/>
            <w:tcBorders>
              <w:top w:val="outset" w:sz="6" w:space="0" w:color="auto"/>
              <w:left w:val="outset" w:sz="6" w:space="0" w:color="auto"/>
              <w:bottom w:val="outset" w:sz="6" w:space="0" w:color="auto"/>
              <w:right w:val="outset" w:sz="6" w:space="0" w:color="auto"/>
            </w:tcBorders>
            <w:vAlign w:val="center"/>
            <w:hideMark/>
          </w:tcPr>
          <w:p w14:paraId="1C412A8C"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p>
        </w:tc>
        <w:tc>
          <w:tcPr>
            <w:tcW w:w="1113" w:type="pct"/>
            <w:gridSpan w:val="2"/>
            <w:vMerge/>
            <w:tcBorders>
              <w:top w:val="outset" w:sz="6" w:space="0" w:color="auto"/>
              <w:left w:val="outset" w:sz="6" w:space="0" w:color="auto"/>
              <w:bottom w:val="outset" w:sz="6" w:space="0" w:color="auto"/>
              <w:right w:val="outset" w:sz="6" w:space="0" w:color="auto"/>
            </w:tcBorders>
            <w:vAlign w:val="center"/>
            <w:hideMark/>
          </w:tcPr>
          <w:p w14:paraId="0B09F37C"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p>
        </w:tc>
        <w:tc>
          <w:tcPr>
            <w:tcW w:w="1156" w:type="pct"/>
            <w:gridSpan w:val="2"/>
            <w:tcBorders>
              <w:top w:val="outset" w:sz="6" w:space="0" w:color="auto"/>
              <w:left w:val="outset" w:sz="6" w:space="0" w:color="auto"/>
              <w:bottom w:val="outset" w:sz="6" w:space="0" w:color="auto"/>
              <w:right w:val="outset" w:sz="6" w:space="0" w:color="auto"/>
            </w:tcBorders>
            <w:vAlign w:val="center"/>
            <w:hideMark/>
          </w:tcPr>
          <w:p w14:paraId="17CE9F7C" w14:textId="77777777" w:rsidR="006C699A" w:rsidRPr="00E46193" w:rsidRDefault="006C699A" w:rsidP="001A0F6E">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2021. gads </w:t>
            </w:r>
          </w:p>
        </w:tc>
        <w:tc>
          <w:tcPr>
            <w:tcW w:w="1044" w:type="pct"/>
            <w:gridSpan w:val="2"/>
            <w:tcBorders>
              <w:top w:val="outset" w:sz="6" w:space="0" w:color="auto"/>
              <w:left w:val="outset" w:sz="6" w:space="0" w:color="auto"/>
              <w:bottom w:val="outset" w:sz="6" w:space="0" w:color="auto"/>
              <w:right w:val="outset" w:sz="6" w:space="0" w:color="auto"/>
            </w:tcBorders>
            <w:vAlign w:val="center"/>
            <w:hideMark/>
          </w:tcPr>
          <w:p w14:paraId="6CC91DCD" w14:textId="77777777" w:rsidR="006C699A" w:rsidRPr="00E46193" w:rsidRDefault="006C699A" w:rsidP="001A0F6E">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2022. gads </w:t>
            </w:r>
          </w:p>
        </w:tc>
        <w:tc>
          <w:tcPr>
            <w:tcW w:w="753" w:type="pct"/>
            <w:tcBorders>
              <w:top w:val="outset" w:sz="6" w:space="0" w:color="auto"/>
              <w:left w:val="outset" w:sz="6" w:space="0" w:color="auto"/>
              <w:bottom w:val="outset" w:sz="6" w:space="0" w:color="auto"/>
              <w:right w:val="outset" w:sz="6" w:space="0" w:color="auto"/>
            </w:tcBorders>
            <w:vAlign w:val="center"/>
            <w:hideMark/>
          </w:tcPr>
          <w:p w14:paraId="7A8945CB" w14:textId="77777777" w:rsidR="006C699A" w:rsidRPr="00E46193" w:rsidRDefault="006C699A" w:rsidP="001A0F6E">
            <w:pPr>
              <w:spacing w:after="0" w:line="240" w:lineRule="auto"/>
              <w:jc w:val="center"/>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val="en-US" w:eastAsia="lv-LV"/>
              </w:rPr>
              <w:t xml:space="preserve">2023. gads </w:t>
            </w:r>
          </w:p>
        </w:tc>
      </w:tr>
      <w:tr w:rsidR="006C699A" w:rsidRPr="00E46193" w14:paraId="243F7CF6" w14:textId="77777777" w:rsidTr="001A0F6E">
        <w:trPr>
          <w:trHeight w:val="420"/>
          <w:tblCellSpacing w:w="15" w:type="dxa"/>
        </w:trPr>
        <w:tc>
          <w:tcPr>
            <w:tcW w:w="836" w:type="pct"/>
            <w:vMerge/>
            <w:tcBorders>
              <w:top w:val="outset" w:sz="6" w:space="0" w:color="auto"/>
              <w:left w:val="outset" w:sz="6" w:space="0" w:color="auto"/>
              <w:bottom w:val="outset" w:sz="6" w:space="0" w:color="auto"/>
              <w:right w:val="outset" w:sz="6" w:space="0" w:color="auto"/>
            </w:tcBorders>
            <w:vAlign w:val="center"/>
            <w:hideMark/>
          </w:tcPr>
          <w:p w14:paraId="734F5681"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45B69ADC"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valsts budžetu kārtējam gadam</w:t>
            </w:r>
          </w:p>
        </w:tc>
        <w:tc>
          <w:tcPr>
            <w:tcW w:w="541" w:type="pct"/>
            <w:tcBorders>
              <w:top w:val="outset" w:sz="6" w:space="0" w:color="auto"/>
              <w:left w:val="outset" w:sz="6" w:space="0" w:color="auto"/>
              <w:bottom w:val="outset" w:sz="6" w:space="0" w:color="auto"/>
              <w:right w:val="outset" w:sz="6" w:space="0" w:color="auto"/>
            </w:tcBorders>
            <w:vAlign w:val="center"/>
            <w:hideMark/>
          </w:tcPr>
          <w:p w14:paraId="095FB77A"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izmaiņas kārtējā gadā, salīdzinot ar valsts budžetu kārtējam gadam</w:t>
            </w:r>
          </w:p>
        </w:tc>
        <w:tc>
          <w:tcPr>
            <w:tcW w:w="555" w:type="pct"/>
            <w:tcBorders>
              <w:top w:val="outset" w:sz="6" w:space="0" w:color="auto"/>
              <w:left w:val="outset" w:sz="6" w:space="0" w:color="auto"/>
              <w:bottom w:val="outset" w:sz="6" w:space="0" w:color="auto"/>
              <w:right w:val="outset" w:sz="6" w:space="0" w:color="auto"/>
            </w:tcBorders>
            <w:vAlign w:val="center"/>
            <w:hideMark/>
          </w:tcPr>
          <w:p w14:paraId="380E76B9"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1DED61EA"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2021.</w:t>
            </w:r>
            <w:r w:rsidRPr="00E46193">
              <w:rPr>
                <w:rFonts w:ascii="Times New Roman" w:eastAsia="Times New Roman" w:hAnsi="Times New Roman" w:cs="Times New Roman"/>
                <w:iCs/>
                <w:sz w:val="24"/>
                <w:szCs w:val="24"/>
                <w:lang w:eastAsia="lv-LV"/>
              </w:rPr>
              <w:t xml:space="preserve"> gadam</w:t>
            </w:r>
          </w:p>
        </w:tc>
        <w:tc>
          <w:tcPr>
            <w:tcW w:w="443" w:type="pct"/>
            <w:tcBorders>
              <w:top w:val="outset" w:sz="6" w:space="0" w:color="auto"/>
              <w:left w:val="outset" w:sz="6" w:space="0" w:color="auto"/>
              <w:bottom w:val="outset" w:sz="6" w:space="0" w:color="auto"/>
              <w:right w:val="outset" w:sz="6" w:space="0" w:color="auto"/>
            </w:tcBorders>
            <w:vAlign w:val="center"/>
            <w:hideMark/>
          </w:tcPr>
          <w:p w14:paraId="36D20528"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saskaņā ar vidēja termiņa budžeta ietvaru</w:t>
            </w:r>
          </w:p>
        </w:tc>
        <w:tc>
          <w:tcPr>
            <w:tcW w:w="584" w:type="pct"/>
            <w:tcBorders>
              <w:top w:val="outset" w:sz="6" w:space="0" w:color="auto"/>
              <w:left w:val="outset" w:sz="6" w:space="0" w:color="auto"/>
              <w:bottom w:val="outset" w:sz="6" w:space="0" w:color="auto"/>
              <w:right w:val="outset" w:sz="6" w:space="0" w:color="auto"/>
            </w:tcBorders>
            <w:vAlign w:val="center"/>
            <w:hideMark/>
          </w:tcPr>
          <w:p w14:paraId="321C9D6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izmaiņas, salīdzinot ar vidēja termiņa budžeta ietvaru </w:t>
            </w:r>
            <w:r>
              <w:rPr>
                <w:rFonts w:ascii="Times New Roman" w:eastAsia="Times New Roman" w:hAnsi="Times New Roman" w:cs="Times New Roman"/>
                <w:iCs/>
                <w:sz w:val="24"/>
                <w:szCs w:val="24"/>
                <w:lang w:eastAsia="lv-LV"/>
              </w:rPr>
              <w:t>2022.</w:t>
            </w:r>
            <w:r w:rsidRPr="00E46193">
              <w:rPr>
                <w:rFonts w:ascii="Times New Roman" w:eastAsia="Times New Roman" w:hAnsi="Times New Roman" w:cs="Times New Roman"/>
                <w:iCs/>
                <w:sz w:val="24"/>
                <w:szCs w:val="24"/>
                <w:lang w:eastAsia="lv-LV"/>
              </w:rPr>
              <w:t xml:space="preserve"> gadam</w:t>
            </w:r>
          </w:p>
        </w:tc>
        <w:tc>
          <w:tcPr>
            <w:tcW w:w="753" w:type="pct"/>
            <w:tcBorders>
              <w:top w:val="outset" w:sz="6" w:space="0" w:color="auto"/>
              <w:left w:val="outset" w:sz="6" w:space="0" w:color="auto"/>
              <w:bottom w:val="outset" w:sz="6" w:space="0" w:color="auto"/>
              <w:right w:val="outset" w:sz="6" w:space="0" w:color="auto"/>
            </w:tcBorders>
            <w:vAlign w:val="center"/>
            <w:hideMark/>
          </w:tcPr>
          <w:p w14:paraId="0ECE87E1"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izmaiņas, salīdzinot ar vidēja termiņa budžeta ietvaru </w:t>
            </w:r>
            <w:proofErr w:type="gramStart"/>
            <w:r>
              <w:rPr>
                <w:rFonts w:ascii="Times New Roman" w:eastAsia="Times New Roman" w:hAnsi="Times New Roman" w:cs="Times New Roman"/>
                <w:iCs/>
                <w:sz w:val="24"/>
                <w:szCs w:val="24"/>
                <w:lang w:eastAsia="lv-LV"/>
              </w:rPr>
              <w:t>2022.</w:t>
            </w:r>
            <w:r w:rsidRPr="00E46193">
              <w:rPr>
                <w:rFonts w:ascii="Times New Roman" w:eastAsia="Times New Roman" w:hAnsi="Times New Roman" w:cs="Times New Roman"/>
                <w:iCs/>
                <w:sz w:val="24"/>
                <w:szCs w:val="24"/>
                <w:lang w:eastAsia="lv-LV"/>
              </w:rPr>
              <w:t>gadam</w:t>
            </w:r>
            <w:proofErr w:type="gramEnd"/>
          </w:p>
        </w:tc>
      </w:tr>
      <w:tr w:rsidR="006C699A" w:rsidRPr="00E46193" w14:paraId="272E9852" w14:textId="77777777" w:rsidTr="001A0F6E">
        <w:trPr>
          <w:trHeight w:val="270"/>
          <w:tblCellSpacing w:w="15" w:type="dxa"/>
        </w:trPr>
        <w:tc>
          <w:tcPr>
            <w:tcW w:w="836" w:type="pct"/>
            <w:tcBorders>
              <w:top w:val="outset" w:sz="6" w:space="0" w:color="auto"/>
              <w:left w:val="outset" w:sz="6" w:space="0" w:color="auto"/>
              <w:bottom w:val="outset" w:sz="6" w:space="0" w:color="auto"/>
              <w:right w:val="outset" w:sz="6" w:space="0" w:color="auto"/>
            </w:tcBorders>
            <w:vAlign w:val="center"/>
            <w:hideMark/>
          </w:tcPr>
          <w:p w14:paraId="32A9A204"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w:t>
            </w:r>
          </w:p>
        </w:tc>
        <w:tc>
          <w:tcPr>
            <w:tcW w:w="555" w:type="pct"/>
            <w:tcBorders>
              <w:top w:val="outset" w:sz="6" w:space="0" w:color="auto"/>
              <w:left w:val="outset" w:sz="6" w:space="0" w:color="auto"/>
              <w:bottom w:val="outset" w:sz="6" w:space="0" w:color="auto"/>
              <w:right w:val="outset" w:sz="6" w:space="0" w:color="auto"/>
            </w:tcBorders>
            <w:vAlign w:val="center"/>
            <w:hideMark/>
          </w:tcPr>
          <w:p w14:paraId="30B93338"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w:t>
            </w:r>
          </w:p>
        </w:tc>
        <w:tc>
          <w:tcPr>
            <w:tcW w:w="541" w:type="pct"/>
            <w:tcBorders>
              <w:top w:val="outset" w:sz="6" w:space="0" w:color="auto"/>
              <w:left w:val="outset" w:sz="6" w:space="0" w:color="auto"/>
              <w:bottom w:val="outset" w:sz="6" w:space="0" w:color="auto"/>
              <w:right w:val="outset" w:sz="6" w:space="0" w:color="auto"/>
            </w:tcBorders>
            <w:vAlign w:val="center"/>
            <w:hideMark/>
          </w:tcPr>
          <w:p w14:paraId="4BEEB4EC"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w:t>
            </w:r>
          </w:p>
        </w:tc>
        <w:tc>
          <w:tcPr>
            <w:tcW w:w="555" w:type="pct"/>
            <w:tcBorders>
              <w:top w:val="outset" w:sz="6" w:space="0" w:color="auto"/>
              <w:left w:val="outset" w:sz="6" w:space="0" w:color="auto"/>
              <w:bottom w:val="outset" w:sz="6" w:space="0" w:color="auto"/>
              <w:right w:val="outset" w:sz="6" w:space="0" w:color="auto"/>
            </w:tcBorders>
            <w:vAlign w:val="center"/>
            <w:hideMark/>
          </w:tcPr>
          <w:p w14:paraId="1F9FA9D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w:t>
            </w:r>
          </w:p>
        </w:tc>
        <w:tc>
          <w:tcPr>
            <w:tcW w:w="584" w:type="pct"/>
            <w:tcBorders>
              <w:top w:val="outset" w:sz="6" w:space="0" w:color="auto"/>
              <w:left w:val="outset" w:sz="6" w:space="0" w:color="auto"/>
              <w:bottom w:val="outset" w:sz="6" w:space="0" w:color="auto"/>
              <w:right w:val="outset" w:sz="6" w:space="0" w:color="auto"/>
            </w:tcBorders>
            <w:vAlign w:val="center"/>
            <w:hideMark/>
          </w:tcPr>
          <w:p w14:paraId="4B424F8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w:t>
            </w:r>
          </w:p>
        </w:tc>
        <w:tc>
          <w:tcPr>
            <w:tcW w:w="443" w:type="pct"/>
            <w:tcBorders>
              <w:top w:val="outset" w:sz="6" w:space="0" w:color="auto"/>
              <w:left w:val="outset" w:sz="6" w:space="0" w:color="auto"/>
              <w:bottom w:val="outset" w:sz="6" w:space="0" w:color="auto"/>
              <w:right w:val="outset" w:sz="6" w:space="0" w:color="auto"/>
            </w:tcBorders>
            <w:vAlign w:val="center"/>
            <w:hideMark/>
          </w:tcPr>
          <w:p w14:paraId="49F0D184"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6</w:t>
            </w:r>
          </w:p>
        </w:tc>
        <w:tc>
          <w:tcPr>
            <w:tcW w:w="584" w:type="pct"/>
            <w:tcBorders>
              <w:top w:val="outset" w:sz="6" w:space="0" w:color="auto"/>
              <w:left w:val="outset" w:sz="6" w:space="0" w:color="auto"/>
              <w:bottom w:val="outset" w:sz="6" w:space="0" w:color="auto"/>
              <w:right w:val="outset" w:sz="6" w:space="0" w:color="auto"/>
            </w:tcBorders>
            <w:vAlign w:val="center"/>
            <w:hideMark/>
          </w:tcPr>
          <w:p w14:paraId="36A2A3FF"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7</w:t>
            </w:r>
          </w:p>
        </w:tc>
        <w:tc>
          <w:tcPr>
            <w:tcW w:w="753" w:type="pct"/>
            <w:tcBorders>
              <w:top w:val="outset" w:sz="6" w:space="0" w:color="auto"/>
              <w:left w:val="outset" w:sz="6" w:space="0" w:color="auto"/>
              <w:bottom w:val="outset" w:sz="6" w:space="0" w:color="auto"/>
              <w:right w:val="outset" w:sz="6" w:space="0" w:color="auto"/>
            </w:tcBorders>
            <w:vAlign w:val="center"/>
            <w:hideMark/>
          </w:tcPr>
          <w:p w14:paraId="187A4ED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8</w:t>
            </w:r>
          </w:p>
        </w:tc>
      </w:tr>
      <w:tr w:rsidR="006C699A" w:rsidRPr="00E46193" w14:paraId="20BB7C7B" w14:textId="77777777" w:rsidTr="001A0F6E">
        <w:trPr>
          <w:trHeight w:val="101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19646F3"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 Budžeta ieņēmumi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3D2CA4D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2 849 981</w:t>
            </w:r>
          </w:p>
        </w:tc>
        <w:tc>
          <w:tcPr>
            <w:tcW w:w="541" w:type="pct"/>
            <w:tcBorders>
              <w:top w:val="outset" w:sz="6" w:space="0" w:color="auto"/>
              <w:left w:val="outset" w:sz="6" w:space="0" w:color="auto"/>
              <w:bottom w:val="outset" w:sz="6" w:space="0" w:color="auto"/>
              <w:right w:val="outset" w:sz="6" w:space="0" w:color="auto"/>
            </w:tcBorders>
            <w:hideMark/>
          </w:tcPr>
          <w:p w14:paraId="74BD3175"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191F55C9"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vAlign w:val="center"/>
            <w:hideMark/>
          </w:tcPr>
          <w:p w14:paraId="622AB24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D249D5">
              <w:rPr>
                <w:rFonts w:ascii="Times New Roman" w:eastAsia="Times New Roman" w:hAnsi="Times New Roman" w:cs="Times New Roman"/>
                <w:iCs/>
                <w:lang w:eastAsia="lv-LV"/>
              </w:rPr>
              <w:t xml:space="preserve">Nav precīzi aprēķināms </w:t>
            </w:r>
          </w:p>
        </w:tc>
        <w:tc>
          <w:tcPr>
            <w:tcW w:w="443" w:type="pct"/>
            <w:tcBorders>
              <w:top w:val="outset" w:sz="6" w:space="0" w:color="auto"/>
              <w:left w:val="outset" w:sz="6" w:space="0" w:color="auto"/>
              <w:bottom w:val="outset" w:sz="6" w:space="0" w:color="auto"/>
              <w:right w:val="outset" w:sz="6" w:space="0" w:color="auto"/>
            </w:tcBorders>
            <w:hideMark/>
          </w:tcPr>
          <w:p w14:paraId="1B06E2E1"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vAlign w:val="center"/>
            <w:hideMark/>
          </w:tcPr>
          <w:p w14:paraId="723AA05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D249D5">
              <w:rPr>
                <w:rFonts w:ascii="Times New Roman" w:eastAsia="Times New Roman" w:hAnsi="Times New Roman" w:cs="Times New Roman"/>
                <w:iCs/>
                <w:lang w:eastAsia="lv-LV"/>
              </w:rPr>
              <w:t xml:space="preserve">Nav precīzi aprēķināms </w:t>
            </w:r>
          </w:p>
        </w:tc>
        <w:tc>
          <w:tcPr>
            <w:tcW w:w="753" w:type="pct"/>
            <w:tcBorders>
              <w:top w:val="outset" w:sz="6" w:space="0" w:color="auto"/>
              <w:left w:val="outset" w:sz="6" w:space="0" w:color="auto"/>
              <w:bottom w:val="outset" w:sz="6" w:space="0" w:color="auto"/>
              <w:right w:val="outset" w:sz="6" w:space="0" w:color="auto"/>
            </w:tcBorders>
            <w:vAlign w:val="center"/>
            <w:hideMark/>
          </w:tcPr>
          <w:p w14:paraId="4E25F1D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D249D5">
              <w:rPr>
                <w:rFonts w:ascii="Times New Roman" w:eastAsia="Times New Roman" w:hAnsi="Times New Roman" w:cs="Times New Roman"/>
                <w:iCs/>
                <w:lang w:eastAsia="lv-LV"/>
              </w:rPr>
              <w:t xml:space="preserve">Nav precīzi aprēķināms </w:t>
            </w:r>
          </w:p>
        </w:tc>
      </w:tr>
      <w:tr w:rsidR="006C699A" w:rsidRPr="00E46193" w14:paraId="1DEA5D8C" w14:textId="77777777" w:rsidTr="001A0F6E">
        <w:trPr>
          <w:trHeight w:val="2214"/>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3A33713"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1.1. valsts pamatbudžets, tai skaitā ieņēmumi no maksas pakalpojumiem un citi pašu ieņēmumi</w:t>
            </w:r>
          </w:p>
          <w:p w14:paraId="3784BD2D"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p>
        </w:tc>
        <w:tc>
          <w:tcPr>
            <w:tcW w:w="555" w:type="pct"/>
            <w:tcBorders>
              <w:top w:val="outset" w:sz="6" w:space="0" w:color="auto"/>
              <w:left w:val="outset" w:sz="6" w:space="0" w:color="auto"/>
              <w:bottom w:val="outset" w:sz="6" w:space="0" w:color="auto"/>
              <w:right w:val="outset" w:sz="6" w:space="0" w:color="auto"/>
            </w:tcBorders>
            <w:vAlign w:val="center"/>
            <w:hideMark/>
          </w:tcPr>
          <w:p w14:paraId="7A5A490D"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2 849 981</w:t>
            </w:r>
          </w:p>
        </w:tc>
        <w:tc>
          <w:tcPr>
            <w:tcW w:w="541" w:type="pct"/>
            <w:tcBorders>
              <w:top w:val="outset" w:sz="6" w:space="0" w:color="auto"/>
              <w:left w:val="outset" w:sz="6" w:space="0" w:color="auto"/>
              <w:bottom w:val="outset" w:sz="6" w:space="0" w:color="auto"/>
              <w:right w:val="outset" w:sz="6" w:space="0" w:color="auto"/>
            </w:tcBorders>
            <w:hideMark/>
          </w:tcPr>
          <w:p w14:paraId="74B17287"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56839A28"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11BDC6C7"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sidRPr="00D249D5">
              <w:rPr>
                <w:rFonts w:ascii="Times New Roman" w:eastAsia="Times New Roman" w:hAnsi="Times New Roman" w:cs="Times New Roman"/>
                <w:iCs/>
                <w:lang w:eastAsia="lv-LV"/>
              </w:rPr>
              <w:t xml:space="preserve">Nav precīzi aprēķināms </w:t>
            </w:r>
          </w:p>
        </w:tc>
        <w:tc>
          <w:tcPr>
            <w:tcW w:w="443" w:type="pct"/>
            <w:tcBorders>
              <w:top w:val="outset" w:sz="6" w:space="0" w:color="auto"/>
              <w:left w:val="outset" w:sz="6" w:space="0" w:color="auto"/>
              <w:bottom w:val="outset" w:sz="6" w:space="0" w:color="auto"/>
              <w:right w:val="outset" w:sz="6" w:space="0" w:color="auto"/>
            </w:tcBorders>
            <w:hideMark/>
          </w:tcPr>
          <w:p w14:paraId="387F7664"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0CEDB9B7"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sidRPr="00D249D5">
              <w:rPr>
                <w:rFonts w:ascii="Times New Roman" w:eastAsia="Times New Roman" w:hAnsi="Times New Roman" w:cs="Times New Roman"/>
                <w:iCs/>
                <w:lang w:eastAsia="lv-LV"/>
              </w:rPr>
              <w:t xml:space="preserve">Nav precīzi aprēķināms </w:t>
            </w:r>
          </w:p>
        </w:tc>
        <w:tc>
          <w:tcPr>
            <w:tcW w:w="753" w:type="pct"/>
            <w:tcBorders>
              <w:top w:val="outset" w:sz="6" w:space="0" w:color="auto"/>
              <w:left w:val="outset" w:sz="6" w:space="0" w:color="auto"/>
              <w:bottom w:val="outset" w:sz="6" w:space="0" w:color="auto"/>
              <w:right w:val="outset" w:sz="6" w:space="0" w:color="auto"/>
            </w:tcBorders>
            <w:hideMark/>
          </w:tcPr>
          <w:p w14:paraId="16FA5DBA"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sidRPr="00D249D5">
              <w:rPr>
                <w:rFonts w:ascii="Times New Roman" w:eastAsia="Times New Roman" w:hAnsi="Times New Roman" w:cs="Times New Roman"/>
                <w:iCs/>
                <w:lang w:eastAsia="lv-LV"/>
              </w:rPr>
              <w:t xml:space="preserve">Nav precīzi aprēķināms </w:t>
            </w:r>
          </w:p>
        </w:tc>
      </w:tr>
      <w:tr w:rsidR="006C699A" w:rsidRPr="00E46193" w14:paraId="552AE103" w14:textId="77777777" w:rsidTr="001A0F6E">
        <w:trPr>
          <w:trHeight w:val="83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3138772"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1.2. valsts speciālais budžets</w:t>
            </w:r>
          </w:p>
        </w:tc>
        <w:tc>
          <w:tcPr>
            <w:tcW w:w="555" w:type="pct"/>
            <w:tcBorders>
              <w:top w:val="outset" w:sz="6" w:space="0" w:color="auto"/>
              <w:left w:val="outset" w:sz="6" w:space="0" w:color="auto"/>
              <w:bottom w:val="outset" w:sz="6" w:space="0" w:color="auto"/>
              <w:right w:val="outset" w:sz="6" w:space="0" w:color="auto"/>
            </w:tcBorders>
            <w:hideMark/>
          </w:tcPr>
          <w:p w14:paraId="5F3FF41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3384ABE4"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3C31BE1"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6F11363E"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025AC883"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6FCAF0ED"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57899BCD"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6C699A" w:rsidRPr="00E46193" w14:paraId="24D6A6D7"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9070C4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1.3. pašvaldību budžets</w:t>
            </w:r>
          </w:p>
        </w:tc>
        <w:tc>
          <w:tcPr>
            <w:tcW w:w="555" w:type="pct"/>
            <w:tcBorders>
              <w:top w:val="outset" w:sz="6" w:space="0" w:color="auto"/>
              <w:left w:val="outset" w:sz="6" w:space="0" w:color="auto"/>
              <w:bottom w:val="outset" w:sz="6" w:space="0" w:color="auto"/>
              <w:right w:val="outset" w:sz="6" w:space="0" w:color="auto"/>
            </w:tcBorders>
            <w:hideMark/>
          </w:tcPr>
          <w:p w14:paraId="4E6DDD20"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67C8E159"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207A1389"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064C4072"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36510871"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5DBDA54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4F7A608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r>
      <w:tr w:rsidR="006C699A" w:rsidRPr="00E46193" w14:paraId="61591420"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9CB40A0" w14:textId="77777777" w:rsidR="006C699A" w:rsidRPr="00E46193" w:rsidRDefault="006C699A" w:rsidP="001A0F6E">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2. Budžeta izdevumi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657B0EA4"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2 849 981</w:t>
            </w:r>
          </w:p>
        </w:tc>
        <w:tc>
          <w:tcPr>
            <w:tcW w:w="541" w:type="pct"/>
            <w:tcBorders>
              <w:top w:val="outset" w:sz="6" w:space="0" w:color="auto"/>
              <w:left w:val="outset" w:sz="6" w:space="0" w:color="auto"/>
              <w:bottom w:val="outset" w:sz="6" w:space="0" w:color="auto"/>
              <w:right w:val="outset" w:sz="6" w:space="0" w:color="auto"/>
            </w:tcBorders>
            <w:hideMark/>
          </w:tcPr>
          <w:p w14:paraId="3CEDA59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F63693"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17985908" w14:textId="77777777" w:rsidR="006C699A" w:rsidRPr="00055037" w:rsidRDefault="006C699A" w:rsidP="001A0F6E">
            <w:pPr>
              <w:spacing w:after="0" w:line="240" w:lineRule="auto"/>
              <w:jc w:val="center"/>
              <w:rPr>
                <w:rFonts w:ascii="Times New Roman" w:eastAsia="Times New Roman" w:hAnsi="Times New Roman" w:cs="Times New Roman"/>
                <w:iCs/>
                <w:highlight w:val="yellow"/>
                <w:lang w:eastAsia="lv-LV"/>
              </w:rPr>
            </w:pPr>
            <w:r w:rsidRPr="0028615C">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tcBorders>
              <w:top w:val="outset" w:sz="6" w:space="0" w:color="auto"/>
              <w:left w:val="outset" w:sz="6" w:space="0" w:color="auto"/>
              <w:bottom w:val="outset" w:sz="6" w:space="0" w:color="auto"/>
              <w:right w:val="outset" w:sz="6" w:space="0" w:color="auto"/>
            </w:tcBorders>
            <w:hideMark/>
          </w:tcPr>
          <w:p w14:paraId="4A9C4127"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677C465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25A26067" w14:textId="77777777" w:rsidR="006C699A" w:rsidRPr="00A10F9F" w:rsidRDefault="006C699A" w:rsidP="001A0F6E">
            <w:pPr>
              <w:jc w:val="center"/>
              <w:rPr>
                <w:rFonts w:ascii="Times New Roman" w:hAnsi="Times New Roman" w:cs="Times New Roman"/>
                <w:highlight w:val="yellow"/>
              </w:rPr>
            </w:pPr>
            <w:r>
              <w:rPr>
                <w:rFonts w:ascii="Times New Roman" w:eastAsia="Times New Roman" w:hAnsi="Times New Roman" w:cs="Times New Roman"/>
                <w:iCs/>
                <w:lang w:eastAsia="lv-LV"/>
              </w:rPr>
              <w:t>19 338</w:t>
            </w:r>
          </w:p>
        </w:tc>
      </w:tr>
      <w:tr w:rsidR="006C699A" w:rsidRPr="00E46193" w14:paraId="6AFED12C" w14:textId="77777777" w:rsidTr="001A0F6E">
        <w:trPr>
          <w:trHeight w:val="56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3165FF1F" w14:textId="77777777" w:rsidR="006C699A" w:rsidRDefault="006C699A" w:rsidP="001A0F6E">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2.1. valsts pamatbudžets</w:t>
            </w:r>
          </w:p>
          <w:p w14:paraId="30F90687" w14:textId="77777777" w:rsidR="006C699A" w:rsidRPr="00E46193" w:rsidRDefault="006C699A" w:rsidP="001A0F6E">
            <w:pPr>
              <w:spacing w:after="0" w:line="240" w:lineRule="auto"/>
              <w:rPr>
                <w:rFonts w:ascii="Times New Roman" w:eastAsia="Times New Roman" w:hAnsi="Times New Roman" w:cs="Times New Roman"/>
                <w:b/>
                <w:bCs/>
                <w:iCs/>
                <w:sz w:val="24"/>
                <w:szCs w:val="24"/>
                <w:lang w:eastAsia="lv-LV"/>
              </w:rPr>
            </w:pPr>
            <w:r w:rsidRPr="006640C7">
              <w:rPr>
                <w:rFonts w:ascii="Times New Roman" w:eastAsia="Times New Roman" w:hAnsi="Times New Roman" w:cs="Times New Roman"/>
                <w:iCs/>
                <w:sz w:val="24"/>
                <w:szCs w:val="24"/>
                <w:lang w:eastAsia="lv-LV"/>
              </w:rPr>
              <w:t>26.01.00</w:t>
            </w:r>
            <w:r>
              <w:rPr>
                <w:rFonts w:ascii="Times New Roman" w:eastAsia="Times New Roman" w:hAnsi="Times New Roman" w:cs="Times New Roman"/>
                <w:b/>
                <w:bCs/>
                <w:iCs/>
                <w:sz w:val="24"/>
                <w:szCs w:val="24"/>
                <w:lang w:eastAsia="lv-LV"/>
              </w:rPr>
              <w:t xml:space="preserve"> </w:t>
            </w:r>
            <w:r w:rsidRPr="006640C7">
              <w:rPr>
                <w:rFonts w:ascii="Times New Roman" w:eastAsia="Times New Roman" w:hAnsi="Times New Roman" w:cs="Times New Roman"/>
                <w:iCs/>
                <w:sz w:val="24"/>
                <w:szCs w:val="24"/>
                <w:lang w:eastAsia="lv-LV"/>
              </w:rPr>
              <w:t>“Iekšējais tirgus un patērētāju tiesību aizsardzība”</w:t>
            </w:r>
          </w:p>
        </w:tc>
        <w:tc>
          <w:tcPr>
            <w:tcW w:w="555" w:type="pct"/>
            <w:tcBorders>
              <w:top w:val="outset" w:sz="6" w:space="0" w:color="auto"/>
              <w:left w:val="outset" w:sz="6" w:space="0" w:color="auto"/>
              <w:bottom w:val="outset" w:sz="6" w:space="0" w:color="auto"/>
              <w:right w:val="outset" w:sz="6" w:space="0" w:color="auto"/>
            </w:tcBorders>
            <w:vAlign w:val="center"/>
            <w:hideMark/>
          </w:tcPr>
          <w:p w14:paraId="5C7C40B5"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2 849 981</w:t>
            </w:r>
          </w:p>
        </w:tc>
        <w:tc>
          <w:tcPr>
            <w:tcW w:w="541" w:type="pct"/>
            <w:tcBorders>
              <w:top w:val="outset" w:sz="6" w:space="0" w:color="auto"/>
              <w:left w:val="outset" w:sz="6" w:space="0" w:color="auto"/>
              <w:bottom w:val="outset" w:sz="6" w:space="0" w:color="auto"/>
              <w:right w:val="outset" w:sz="6" w:space="0" w:color="auto"/>
            </w:tcBorders>
            <w:hideMark/>
          </w:tcPr>
          <w:p w14:paraId="25CB4D87"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0369EB7E"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117C0423" w14:textId="77777777" w:rsidR="006C699A" w:rsidRPr="00055037" w:rsidRDefault="006C699A" w:rsidP="001A0F6E">
            <w:pPr>
              <w:spacing w:after="0" w:line="240" w:lineRule="auto"/>
              <w:jc w:val="center"/>
              <w:rPr>
                <w:rFonts w:ascii="Times New Roman" w:eastAsia="Times New Roman" w:hAnsi="Times New Roman" w:cs="Times New Roman"/>
                <w:iCs/>
                <w:highlight w:val="yellow"/>
                <w:lang w:eastAsia="lv-LV"/>
              </w:rPr>
            </w:pPr>
            <w:r w:rsidRPr="0028615C">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tcBorders>
              <w:top w:val="outset" w:sz="6" w:space="0" w:color="auto"/>
              <w:left w:val="outset" w:sz="6" w:space="0" w:color="auto"/>
              <w:bottom w:val="outset" w:sz="6" w:space="0" w:color="auto"/>
              <w:right w:val="outset" w:sz="6" w:space="0" w:color="auto"/>
            </w:tcBorders>
            <w:hideMark/>
          </w:tcPr>
          <w:p w14:paraId="5DB77181"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color w:val="414142"/>
                <w:sz w:val="24"/>
                <w:szCs w:val="24"/>
                <w:lang w:val="en-US" w:eastAsia="lv-LV"/>
              </w:rPr>
              <w:t>2 829 981</w:t>
            </w:r>
          </w:p>
        </w:tc>
        <w:tc>
          <w:tcPr>
            <w:tcW w:w="584" w:type="pct"/>
            <w:tcBorders>
              <w:top w:val="outset" w:sz="6" w:space="0" w:color="auto"/>
              <w:left w:val="outset" w:sz="6" w:space="0" w:color="auto"/>
              <w:bottom w:val="outset" w:sz="6" w:space="0" w:color="auto"/>
              <w:right w:val="outset" w:sz="6" w:space="0" w:color="auto"/>
            </w:tcBorders>
            <w:hideMark/>
          </w:tcPr>
          <w:p w14:paraId="618A43F1"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105D6BD7"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r>
      <w:tr w:rsidR="006C699A" w:rsidRPr="00E46193" w14:paraId="5DEDA4DF" w14:textId="77777777" w:rsidTr="001A0F6E">
        <w:trPr>
          <w:trHeight w:val="82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4CAB7C6B"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2.2. valsts speciālais budžets</w:t>
            </w:r>
          </w:p>
        </w:tc>
        <w:tc>
          <w:tcPr>
            <w:tcW w:w="555" w:type="pct"/>
            <w:tcBorders>
              <w:top w:val="outset" w:sz="6" w:space="0" w:color="auto"/>
              <w:left w:val="outset" w:sz="6" w:space="0" w:color="auto"/>
              <w:bottom w:val="outset" w:sz="6" w:space="0" w:color="auto"/>
              <w:right w:val="outset" w:sz="6" w:space="0" w:color="auto"/>
            </w:tcBorders>
            <w:hideMark/>
          </w:tcPr>
          <w:p w14:paraId="69D10363"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127BEA19"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36D08199"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78088D1E"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7B1A9D2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470ABDC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021E4299"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r>
      <w:tr w:rsidR="006C699A" w:rsidRPr="00E46193" w14:paraId="02011F9C" w14:textId="77777777" w:rsidTr="001A0F6E">
        <w:trPr>
          <w:trHeight w:val="56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0DAEF30"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lastRenderedPageBreak/>
              <w:t>2.3. pašvaldību budžets</w:t>
            </w:r>
          </w:p>
        </w:tc>
        <w:tc>
          <w:tcPr>
            <w:tcW w:w="555" w:type="pct"/>
            <w:tcBorders>
              <w:top w:val="outset" w:sz="6" w:space="0" w:color="auto"/>
              <w:left w:val="outset" w:sz="6" w:space="0" w:color="auto"/>
              <w:bottom w:val="outset" w:sz="6" w:space="0" w:color="auto"/>
              <w:right w:val="outset" w:sz="6" w:space="0" w:color="auto"/>
            </w:tcBorders>
            <w:hideMark/>
          </w:tcPr>
          <w:p w14:paraId="6A16A554"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01D17DC2"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CD22C2E"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05F5BD1B"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3F64578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077DA72A"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7A82ABAE"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r>
      <w:tr w:rsidR="006C699A" w:rsidRPr="00E46193" w14:paraId="3A951BF1"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0265EA5" w14:textId="77777777" w:rsidR="006C699A" w:rsidRPr="00E46193" w:rsidRDefault="006C699A" w:rsidP="001A0F6E">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3. Finansiālā ietekme</w:t>
            </w:r>
          </w:p>
        </w:tc>
        <w:tc>
          <w:tcPr>
            <w:tcW w:w="555" w:type="pct"/>
            <w:tcBorders>
              <w:top w:val="outset" w:sz="6" w:space="0" w:color="auto"/>
              <w:left w:val="outset" w:sz="6" w:space="0" w:color="auto"/>
              <w:bottom w:val="outset" w:sz="6" w:space="0" w:color="auto"/>
              <w:right w:val="outset" w:sz="6" w:space="0" w:color="auto"/>
            </w:tcBorders>
            <w:hideMark/>
          </w:tcPr>
          <w:p w14:paraId="5B09918C"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19217BC7"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3496354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01875A56" w14:textId="77777777" w:rsidR="006C699A" w:rsidRPr="0042172C" w:rsidRDefault="006C699A" w:rsidP="001A0F6E">
            <w:pPr>
              <w:jc w:val="center"/>
              <w:rPr>
                <w:rFonts w:ascii="Times New Roman" w:hAnsi="Times New Roman" w:cs="Times New Roman"/>
              </w:rPr>
            </w:pPr>
            <w:r w:rsidRPr="0028615C">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tcBorders>
              <w:top w:val="outset" w:sz="6" w:space="0" w:color="auto"/>
              <w:left w:val="outset" w:sz="6" w:space="0" w:color="auto"/>
              <w:bottom w:val="outset" w:sz="6" w:space="0" w:color="auto"/>
              <w:right w:val="outset" w:sz="6" w:space="0" w:color="auto"/>
            </w:tcBorders>
            <w:hideMark/>
          </w:tcPr>
          <w:p w14:paraId="40A151C9" w14:textId="77777777" w:rsidR="006C699A" w:rsidRPr="0042172C" w:rsidRDefault="006C699A" w:rsidP="001A0F6E">
            <w:pPr>
              <w:spacing w:after="0" w:line="240" w:lineRule="auto"/>
              <w:jc w:val="center"/>
              <w:rPr>
                <w:rFonts w:ascii="Times New Roman" w:eastAsia="Times New Roman" w:hAnsi="Times New Roman" w:cs="Times New Roman"/>
                <w:iCs/>
                <w:lang w:eastAsia="lv-LV"/>
              </w:rPr>
            </w:pPr>
            <w:r w:rsidRPr="0042172C">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07CB5CDF" w14:textId="77777777" w:rsidR="006C699A" w:rsidRPr="0042172C" w:rsidRDefault="006C699A" w:rsidP="001A0F6E">
            <w:pPr>
              <w:jc w:val="center"/>
              <w:rPr>
                <w:rFonts w:ascii="Times New Roman" w:hAnsi="Times New Roman" w:cs="Times New Roman"/>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1FB69594" w14:textId="77777777" w:rsidR="006C699A" w:rsidRPr="0042172C" w:rsidRDefault="006C699A" w:rsidP="001A0F6E">
            <w:pPr>
              <w:jc w:val="center"/>
              <w:rPr>
                <w:rFonts w:ascii="Times New Roman" w:hAnsi="Times New Roman" w:cs="Times New Roman"/>
              </w:rPr>
            </w:pPr>
            <w:r>
              <w:rPr>
                <w:rFonts w:ascii="Times New Roman" w:eastAsia="Times New Roman" w:hAnsi="Times New Roman" w:cs="Times New Roman"/>
                <w:iCs/>
                <w:lang w:eastAsia="lv-LV"/>
              </w:rPr>
              <w:t>-19 338</w:t>
            </w:r>
          </w:p>
        </w:tc>
      </w:tr>
      <w:tr w:rsidR="006C699A" w:rsidRPr="00E46193" w14:paraId="6013E1ED"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55DC9D7" w14:textId="77777777" w:rsidR="006C699A" w:rsidRPr="00E46193" w:rsidRDefault="006C699A" w:rsidP="001A0F6E">
            <w:pPr>
              <w:spacing w:after="0" w:line="240" w:lineRule="auto"/>
              <w:rPr>
                <w:rFonts w:ascii="Times New Roman" w:eastAsia="Times New Roman" w:hAnsi="Times New Roman" w:cs="Times New Roman"/>
                <w:b/>
                <w:bCs/>
                <w:iCs/>
                <w:sz w:val="24"/>
                <w:szCs w:val="24"/>
                <w:lang w:eastAsia="lv-LV"/>
              </w:rPr>
            </w:pPr>
            <w:r w:rsidRPr="00E46193">
              <w:rPr>
                <w:rFonts w:ascii="Times New Roman" w:eastAsia="Times New Roman" w:hAnsi="Times New Roman" w:cs="Times New Roman"/>
                <w:b/>
                <w:bCs/>
                <w:iCs/>
                <w:sz w:val="24"/>
                <w:szCs w:val="24"/>
                <w:lang w:eastAsia="lv-LV"/>
              </w:rPr>
              <w:t>3.1. valsts pamatbudžets</w:t>
            </w:r>
          </w:p>
        </w:tc>
        <w:tc>
          <w:tcPr>
            <w:tcW w:w="555" w:type="pct"/>
            <w:tcBorders>
              <w:top w:val="outset" w:sz="6" w:space="0" w:color="auto"/>
              <w:left w:val="outset" w:sz="6" w:space="0" w:color="auto"/>
              <w:bottom w:val="outset" w:sz="6" w:space="0" w:color="auto"/>
              <w:right w:val="outset" w:sz="6" w:space="0" w:color="auto"/>
            </w:tcBorders>
            <w:hideMark/>
          </w:tcPr>
          <w:p w14:paraId="7A14F60C"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11302C5D"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0022A4F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4C1F152F" w14:textId="77777777" w:rsidR="006C699A" w:rsidRPr="0042172C" w:rsidRDefault="006C699A" w:rsidP="001A0F6E">
            <w:pPr>
              <w:spacing w:after="0" w:line="240" w:lineRule="auto"/>
              <w:jc w:val="center"/>
              <w:rPr>
                <w:rFonts w:ascii="Times New Roman" w:eastAsia="Times New Roman" w:hAnsi="Times New Roman" w:cs="Times New Roman"/>
                <w:iCs/>
                <w:lang w:eastAsia="lv-LV"/>
              </w:rPr>
            </w:pPr>
            <w:r w:rsidRPr="0028615C">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tcBorders>
              <w:top w:val="outset" w:sz="6" w:space="0" w:color="auto"/>
              <w:left w:val="outset" w:sz="6" w:space="0" w:color="auto"/>
              <w:bottom w:val="outset" w:sz="6" w:space="0" w:color="auto"/>
              <w:right w:val="outset" w:sz="6" w:space="0" w:color="auto"/>
            </w:tcBorders>
            <w:hideMark/>
          </w:tcPr>
          <w:p w14:paraId="5F7C7F2B" w14:textId="77777777" w:rsidR="006C699A" w:rsidRPr="0042172C" w:rsidRDefault="006C699A" w:rsidP="001A0F6E">
            <w:pPr>
              <w:spacing w:after="0" w:line="240" w:lineRule="auto"/>
              <w:jc w:val="center"/>
              <w:rPr>
                <w:rFonts w:ascii="Times New Roman" w:eastAsia="Times New Roman" w:hAnsi="Times New Roman" w:cs="Times New Roman"/>
                <w:iCs/>
                <w:lang w:eastAsia="lv-LV"/>
              </w:rPr>
            </w:pPr>
            <w:r w:rsidRPr="0042172C">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46278DB5" w14:textId="77777777" w:rsidR="006C699A" w:rsidRPr="0042172C"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7674209B" w14:textId="77777777" w:rsidR="006C699A" w:rsidRPr="0042172C" w:rsidRDefault="006C699A" w:rsidP="001A0F6E">
            <w:pPr>
              <w:spacing w:after="0" w:line="240" w:lineRule="auto"/>
              <w:jc w:val="center"/>
              <w:rPr>
                <w:rFonts w:ascii="Times New Roman" w:eastAsia="Times New Roman" w:hAnsi="Times New Roman" w:cs="Times New Roman"/>
                <w:iCs/>
                <w:lang w:eastAsia="lv-LV"/>
              </w:rPr>
            </w:pPr>
            <w:r>
              <w:rPr>
                <w:rFonts w:ascii="Times New Roman" w:eastAsia="Times New Roman" w:hAnsi="Times New Roman" w:cs="Times New Roman"/>
                <w:iCs/>
                <w:lang w:eastAsia="lv-LV"/>
              </w:rPr>
              <w:t>-19 338</w:t>
            </w:r>
          </w:p>
        </w:tc>
      </w:tr>
      <w:tr w:rsidR="006C699A" w:rsidRPr="00E46193" w14:paraId="5A9E7DD0"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75CF389B"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3.2. speciālais budžets</w:t>
            </w:r>
          </w:p>
        </w:tc>
        <w:tc>
          <w:tcPr>
            <w:tcW w:w="555" w:type="pct"/>
            <w:tcBorders>
              <w:top w:val="outset" w:sz="6" w:space="0" w:color="auto"/>
              <w:left w:val="outset" w:sz="6" w:space="0" w:color="auto"/>
              <w:bottom w:val="outset" w:sz="6" w:space="0" w:color="auto"/>
              <w:right w:val="outset" w:sz="6" w:space="0" w:color="auto"/>
            </w:tcBorders>
            <w:hideMark/>
          </w:tcPr>
          <w:p w14:paraId="29BB87A6"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1A4FB02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7E261252"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1599D68B"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49C8449F"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22FD7575"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708FE058"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r>
      <w:tr w:rsidR="006C699A" w:rsidRPr="00E46193" w14:paraId="59CE3843"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D4D797F"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3.3. pašvaldību budžets</w:t>
            </w:r>
          </w:p>
        </w:tc>
        <w:tc>
          <w:tcPr>
            <w:tcW w:w="555" w:type="pct"/>
            <w:tcBorders>
              <w:top w:val="outset" w:sz="6" w:space="0" w:color="auto"/>
              <w:left w:val="outset" w:sz="6" w:space="0" w:color="auto"/>
              <w:bottom w:val="outset" w:sz="6" w:space="0" w:color="auto"/>
              <w:right w:val="outset" w:sz="6" w:space="0" w:color="auto"/>
            </w:tcBorders>
            <w:hideMark/>
          </w:tcPr>
          <w:p w14:paraId="703AA3F2"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41" w:type="pct"/>
            <w:tcBorders>
              <w:top w:val="outset" w:sz="6" w:space="0" w:color="auto"/>
              <w:left w:val="outset" w:sz="6" w:space="0" w:color="auto"/>
              <w:bottom w:val="outset" w:sz="6" w:space="0" w:color="auto"/>
              <w:right w:val="outset" w:sz="6" w:space="0" w:color="auto"/>
            </w:tcBorders>
            <w:hideMark/>
          </w:tcPr>
          <w:p w14:paraId="14B07E91"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hideMark/>
          </w:tcPr>
          <w:p w14:paraId="51F439B2"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21564446"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hideMark/>
          </w:tcPr>
          <w:p w14:paraId="0585E668"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584" w:type="pct"/>
            <w:tcBorders>
              <w:top w:val="outset" w:sz="6" w:space="0" w:color="auto"/>
              <w:left w:val="outset" w:sz="6" w:space="0" w:color="auto"/>
              <w:bottom w:val="outset" w:sz="6" w:space="0" w:color="auto"/>
              <w:right w:val="outset" w:sz="6" w:space="0" w:color="auto"/>
            </w:tcBorders>
            <w:hideMark/>
          </w:tcPr>
          <w:p w14:paraId="7CE4E75D"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hideMark/>
          </w:tcPr>
          <w:p w14:paraId="748CD4D7" w14:textId="77777777" w:rsidR="006C699A" w:rsidRPr="002B39D2" w:rsidRDefault="006C699A" w:rsidP="001A0F6E">
            <w:pPr>
              <w:spacing w:after="0" w:line="240" w:lineRule="auto"/>
              <w:jc w:val="center"/>
              <w:rPr>
                <w:rFonts w:ascii="Times New Roman" w:eastAsia="Times New Roman" w:hAnsi="Times New Roman" w:cs="Times New Roman"/>
                <w:iCs/>
                <w:lang w:eastAsia="lv-LV"/>
              </w:rPr>
            </w:pPr>
            <w:r w:rsidRPr="002B39D2">
              <w:rPr>
                <w:rFonts w:ascii="Times New Roman" w:eastAsia="Times New Roman" w:hAnsi="Times New Roman" w:cs="Times New Roman"/>
                <w:iCs/>
                <w:lang w:eastAsia="lv-LV"/>
              </w:rPr>
              <w:t>0</w:t>
            </w:r>
          </w:p>
        </w:tc>
      </w:tr>
      <w:tr w:rsidR="006C699A" w:rsidRPr="00E46193" w14:paraId="6D457360" w14:textId="77777777" w:rsidTr="001A0F6E">
        <w:trPr>
          <w:trHeight w:val="2765"/>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7513B6E"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55" w:type="pct"/>
            <w:tcBorders>
              <w:top w:val="outset" w:sz="6" w:space="0" w:color="auto"/>
              <w:left w:val="outset" w:sz="6" w:space="0" w:color="auto"/>
              <w:bottom w:val="outset" w:sz="6" w:space="0" w:color="auto"/>
              <w:right w:val="outset" w:sz="6" w:space="0" w:color="auto"/>
            </w:tcBorders>
            <w:vAlign w:val="center"/>
            <w:hideMark/>
          </w:tcPr>
          <w:p w14:paraId="6261C3AD" w14:textId="77777777" w:rsidR="006C699A" w:rsidRPr="00E46193" w:rsidRDefault="006C699A" w:rsidP="001A0F6E">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5B9CA015"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tcBorders>
              <w:top w:val="outset" w:sz="6" w:space="0" w:color="auto"/>
              <w:left w:val="outset" w:sz="6" w:space="0" w:color="auto"/>
              <w:bottom w:val="outset" w:sz="6" w:space="0" w:color="auto"/>
              <w:right w:val="outset" w:sz="6" w:space="0" w:color="auto"/>
            </w:tcBorders>
            <w:vAlign w:val="center"/>
            <w:hideMark/>
          </w:tcPr>
          <w:p w14:paraId="22B63679" w14:textId="77777777" w:rsidR="006C699A" w:rsidRPr="00E46193" w:rsidRDefault="006C699A" w:rsidP="001A0F6E">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vAlign w:val="center"/>
            <w:hideMark/>
          </w:tcPr>
          <w:p w14:paraId="4354889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443" w:type="pct"/>
            <w:tcBorders>
              <w:top w:val="outset" w:sz="6" w:space="0" w:color="auto"/>
              <w:left w:val="outset" w:sz="6" w:space="0" w:color="auto"/>
              <w:bottom w:val="outset" w:sz="6" w:space="0" w:color="auto"/>
              <w:right w:val="outset" w:sz="6" w:space="0" w:color="auto"/>
            </w:tcBorders>
            <w:vAlign w:val="center"/>
            <w:hideMark/>
          </w:tcPr>
          <w:p w14:paraId="1D07D687" w14:textId="77777777" w:rsidR="006C699A" w:rsidRPr="00A10F9F" w:rsidRDefault="006C699A" w:rsidP="001A0F6E">
            <w:pPr>
              <w:spacing w:before="100" w:beforeAutospacing="1" w:after="0" w:afterAutospacing="1"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vAlign w:val="center"/>
            <w:hideMark/>
          </w:tcPr>
          <w:p w14:paraId="50BDC731"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vAlign w:val="center"/>
            <w:hideMark/>
          </w:tcPr>
          <w:p w14:paraId="1B8F8DF3"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r>
      <w:tr w:rsidR="006C699A" w:rsidRPr="00E46193" w14:paraId="6DAF8AEB" w14:textId="77777777" w:rsidTr="001A0F6E">
        <w:trPr>
          <w:trHeight w:val="82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1C680A63"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 Precizēta finansiālā ietekme</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5E6329A4"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41" w:type="pct"/>
            <w:tcBorders>
              <w:top w:val="outset" w:sz="6" w:space="0" w:color="auto"/>
              <w:left w:val="outset" w:sz="6" w:space="0" w:color="auto"/>
              <w:bottom w:val="outset" w:sz="6" w:space="0" w:color="auto"/>
              <w:right w:val="outset" w:sz="6" w:space="0" w:color="auto"/>
            </w:tcBorders>
            <w:vAlign w:val="center"/>
            <w:hideMark/>
          </w:tcPr>
          <w:p w14:paraId="1D4162D4"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vMerge w:val="restart"/>
            <w:tcBorders>
              <w:top w:val="outset" w:sz="6" w:space="0" w:color="auto"/>
              <w:left w:val="outset" w:sz="6" w:space="0" w:color="auto"/>
              <w:bottom w:val="outset" w:sz="6" w:space="0" w:color="auto"/>
              <w:right w:val="outset" w:sz="6" w:space="0" w:color="auto"/>
            </w:tcBorders>
            <w:vAlign w:val="center"/>
            <w:hideMark/>
          </w:tcPr>
          <w:p w14:paraId="70792838" w14:textId="77777777" w:rsidR="006C699A" w:rsidRPr="00E46193" w:rsidRDefault="006C699A" w:rsidP="001A0F6E">
            <w:pPr>
              <w:spacing w:after="0" w:line="240" w:lineRule="auto"/>
              <w:jc w:val="center"/>
              <w:rPr>
                <w:rFonts w:ascii="Times New Roman" w:eastAsia="Times New Roman" w:hAnsi="Times New Roman" w:cs="Times New Roman"/>
                <w:iCs/>
                <w:highlight w:val="yellow"/>
                <w:lang w:eastAsia="lv-LV"/>
              </w:rPr>
            </w:pPr>
            <w:r w:rsidRPr="00E46193">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vAlign w:val="center"/>
            <w:hideMark/>
          </w:tcPr>
          <w:p w14:paraId="7308D7F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B0637A">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vMerge w:val="restart"/>
            <w:tcBorders>
              <w:top w:val="outset" w:sz="6" w:space="0" w:color="auto"/>
              <w:left w:val="outset" w:sz="6" w:space="0" w:color="auto"/>
              <w:bottom w:val="outset" w:sz="6" w:space="0" w:color="auto"/>
              <w:right w:val="outset" w:sz="6" w:space="0" w:color="auto"/>
            </w:tcBorders>
            <w:vAlign w:val="center"/>
            <w:hideMark/>
          </w:tcPr>
          <w:p w14:paraId="35510C19"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X</w:t>
            </w:r>
          </w:p>
        </w:tc>
        <w:tc>
          <w:tcPr>
            <w:tcW w:w="584" w:type="pct"/>
            <w:tcBorders>
              <w:top w:val="outset" w:sz="6" w:space="0" w:color="auto"/>
              <w:left w:val="outset" w:sz="6" w:space="0" w:color="auto"/>
              <w:bottom w:val="outset" w:sz="6" w:space="0" w:color="auto"/>
              <w:right w:val="outset" w:sz="6" w:space="0" w:color="auto"/>
            </w:tcBorders>
            <w:hideMark/>
          </w:tcPr>
          <w:p w14:paraId="0149E2F1"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p w14:paraId="0A93F273"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68C8D069"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p w14:paraId="7AF03F0B"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r>
      <w:tr w:rsidR="006C699A" w:rsidRPr="00E46193" w14:paraId="6DE22CE6" w14:textId="77777777" w:rsidTr="001A0F6E">
        <w:trPr>
          <w:trHeight w:val="56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2715861"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5.1. valsts pamatbudžets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51583038" w14:textId="77777777" w:rsidR="006C699A" w:rsidRPr="00E46193" w:rsidRDefault="006C699A" w:rsidP="001A0F6E">
            <w:pPr>
              <w:spacing w:after="0" w:line="240" w:lineRule="auto"/>
              <w:rPr>
                <w:rFonts w:ascii="Times New Roman" w:eastAsia="Times New Roman" w:hAnsi="Times New Roman" w:cs="Times New Roman"/>
                <w:iCs/>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3F3EA9EA"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6209511E"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1A79E74F"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B0637A">
              <w:rPr>
                <w:rFonts w:ascii="Times New Roman" w:eastAsia="Times New Roman" w:hAnsi="Times New Roman" w:cs="Times New Roman"/>
                <w:iCs/>
                <w:lang w:eastAsia="lv-LV"/>
              </w:rPr>
              <w:t>-23 06</w:t>
            </w:r>
            <w:r>
              <w:rPr>
                <w:rFonts w:ascii="Times New Roman" w:eastAsia="Times New Roman" w:hAnsi="Times New Roman" w:cs="Times New Roman"/>
                <w:iCs/>
                <w:lang w:eastAsia="lv-LV"/>
              </w:rPr>
              <w:t>1</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51AB7B65"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tc>
        <w:tc>
          <w:tcPr>
            <w:tcW w:w="584" w:type="pct"/>
            <w:tcBorders>
              <w:top w:val="outset" w:sz="6" w:space="0" w:color="auto"/>
              <w:left w:val="outset" w:sz="6" w:space="0" w:color="auto"/>
              <w:bottom w:val="outset" w:sz="6" w:space="0" w:color="auto"/>
              <w:right w:val="outset" w:sz="6" w:space="0" w:color="auto"/>
            </w:tcBorders>
            <w:hideMark/>
          </w:tcPr>
          <w:p w14:paraId="3AA9A649"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p w14:paraId="195D1B22"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c>
          <w:tcPr>
            <w:tcW w:w="753" w:type="pct"/>
            <w:tcBorders>
              <w:top w:val="outset" w:sz="6" w:space="0" w:color="auto"/>
              <w:left w:val="outset" w:sz="6" w:space="0" w:color="auto"/>
              <w:bottom w:val="outset" w:sz="6" w:space="0" w:color="auto"/>
              <w:right w:val="outset" w:sz="6" w:space="0" w:color="auto"/>
            </w:tcBorders>
            <w:hideMark/>
          </w:tcPr>
          <w:p w14:paraId="23E6AE5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p w14:paraId="63B9E71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Pr>
                <w:rFonts w:ascii="Times New Roman" w:eastAsia="Times New Roman" w:hAnsi="Times New Roman" w:cs="Times New Roman"/>
                <w:iCs/>
                <w:lang w:eastAsia="lv-LV"/>
              </w:rPr>
              <w:t>-19 338</w:t>
            </w:r>
          </w:p>
        </w:tc>
      </w:tr>
      <w:tr w:rsidR="006C699A" w:rsidRPr="00E46193" w14:paraId="540F467B"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18E15676"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5.2. speciālais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17BEBDB8" w14:textId="77777777" w:rsidR="006C699A" w:rsidRPr="00E46193" w:rsidRDefault="006C699A" w:rsidP="001A0F6E">
            <w:pPr>
              <w:spacing w:after="0" w:line="240" w:lineRule="auto"/>
              <w:rPr>
                <w:rFonts w:ascii="Times New Roman" w:eastAsia="Times New Roman" w:hAnsi="Times New Roman" w:cs="Times New Roman"/>
                <w:iCs/>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0B80EEF3"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6C5B8F1B"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0F8DECCE"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52C26730"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06FD79CD"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vAlign w:val="center"/>
            <w:hideMark/>
          </w:tcPr>
          <w:p w14:paraId="45366D63"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r>
      <w:tr w:rsidR="006C699A" w:rsidRPr="00E46193" w14:paraId="6B18424E" w14:textId="77777777" w:rsidTr="001A0F6E">
        <w:trPr>
          <w:trHeight w:val="550"/>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90FBC84"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5.3. pašvaldību budžets</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1BBFFA02" w14:textId="77777777" w:rsidR="006C699A" w:rsidRPr="00E46193" w:rsidRDefault="006C699A" w:rsidP="001A0F6E">
            <w:pPr>
              <w:spacing w:after="0" w:line="240" w:lineRule="auto"/>
              <w:rPr>
                <w:rFonts w:ascii="Times New Roman" w:eastAsia="Times New Roman" w:hAnsi="Times New Roman" w:cs="Times New Roman"/>
                <w:iCs/>
                <w:lang w:eastAsia="lv-LV"/>
              </w:rPr>
            </w:pPr>
          </w:p>
        </w:tc>
        <w:tc>
          <w:tcPr>
            <w:tcW w:w="541" w:type="pct"/>
            <w:tcBorders>
              <w:top w:val="outset" w:sz="6" w:space="0" w:color="auto"/>
              <w:left w:val="outset" w:sz="6" w:space="0" w:color="auto"/>
              <w:bottom w:val="outset" w:sz="6" w:space="0" w:color="auto"/>
              <w:right w:val="outset" w:sz="6" w:space="0" w:color="auto"/>
            </w:tcBorders>
            <w:vAlign w:val="center"/>
            <w:hideMark/>
          </w:tcPr>
          <w:p w14:paraId="2EE6E157"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r w:rsidRPr="00E46193">
              <w:rPr>
                <w:rFonts w:ascii="Times New Roman" w:eastAsia="Times New Roman" w:hAnsi="Times New Roman" w:cs="Times New Roman"/>
                <w:iCs/>
                <w:lang w:eastAsia="lv-LV"/>
              </w:rPr>
              <w:t>0</w:t>
            </w:r>
          </w:p>
        </w:tc>
        <w:tc>
          <w:tcPr>
            <w:tcW w:w="555" w:type="pct"/>
            <w:vMerge/>
            <w:tcBorders>
              <w:top w:val="outset" w:sz="6" w:space="0" w:color="auto"/>
              <w:left w:val="outset" w:sz="6" w:space="0" w:color="auto"/>
              <w:bottom w:val="outset" w:sz="6" w:space="0" w:color="auto"/>
              <w:right w:val="outset" w:sz="6" w:space="0" w:color="auto"/>
            </w:tcBorders>
            <w:vAlign w:val="center"/>
            <w:hideMark/>
          </w:tcPr>
          <w:p w14:paraId="6A5F8C70" w14:textId="77777777" w:rsidR="006C699A" w:rsidRPr="00E46193" w:rsidRDefault="006C699A" w:rsidP="001A0F6E">
            <w:pPr>
              <w:spacing w:after="0" w:line="240" w:lineRule="auto"/>
              <w:jc w:val="center"/>
              <w:rPr>
                <w:rFonts w:ascii="Times New Roman" w:eastAsia="Times New Roman" w:hAnsi="Times New Roman" w:cs="Times New Roman"/>
                <w:iCs/>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6E9B899D"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443" w:type="pct"/>
            <w:vMerge/>
            <w:tcBorders>
              <w:top w:val="outset" w:sz="6" w:space="0" w:color="auto"/>
              <w:left w:val="outset" w:sz="6" w:space="0" w:color="auto"/>
              <w:bottom w:val="outset" w:sz="6" w:space="0" w:color="auto"/>
              <w:right w:val="outset" w:sz="6" w:space="0" w:color="auto"/>
            </w:tcBorders>
            <w:vAlign w:val="center"/>
            <w:hideMark/>
          </w:tcPr>
          <w:p w14:paraId="5FFB3F93"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p>
        </w:tc>
        <w:tc>
          <w:tcPr>
            <w:tcW w:w="584" w:type="pct"/>
            <w:tcBorders>
              <w:top w:val="outset" w:sz="6" w:space="0" w:color="auto"/>
              <w:left w:val="outset" w:sz="6" w:space="0" w:color="auto"/>
              <w:bottom w:val="outset" w:sz="6" w:space="0" w:color="auto"/>
              <w:right w:val="outset" w:sz="6" w:space="0" w:color="auto"/>
            </w:tcBorders>
            <w:vAlign w:val="center"/>
            <w:hideMark/>
          </w:tcPr>
          <w:p w14:paraId="44C2C7D7"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c>
          <w:tcPr>
            <w:tcW w:w="753" w:type="pct"/>
            <w:tcBorders>
              <w:top w:val="outset" w:sz="6" w:space="0" w:color="auto"/>
              <w:left w:val="outset" w:sz="6" w:space="0" w:color="auto"/>
              <w:bottom w:val="outset" w:sz="6" w:space="0" w:color="auto"/>
              <w:right w:val="outset" w:sz="6" w:space="0" w:color="auto"/>
            </w:tcBorders>
            <w:vAlign w:val="center"/>
            <w:hideMark/>
          </w:tcPr>
          <w:p w14:paraId="7F7949FC" w14:textId="77777777" w:rsidR="006C699A" w:rsidRPr="00A10F9F" w:rsidRDefault="006C699A" w:rsidP="001A0F6E">
            <w:pPr>
              <w:spacing w:after="0" w:line="240" w:lineRule="auto"/>
              <w:jc w:val="center"/>
              <w:rPr>
                <w:rFonts w:ascii="Times New Roman" w:eastAsia="Times New Roman" w:hAnsi="Times New Roman" w:cs="Times New Roman"/>
                <w:iCs/>
                <w:highlight w:val="yellow"/>
                <w:lang w:eastAsia="lv-LV"/>
              </w:rPr>
            </w:pPr>
            <w:r w:rsidRPr="002B39D2">
              <w:rPr>
                <w:rFonts w:ascii="Times New Roman" w:eastAsia="Times New Roman" w:hAnsi="Times New Roman" w:cs="Times New Roman"/>
                <w:iCs/>
                <w:lang w:eastAsia="lv-LV"/>
              </w:rPr>
              <w:t>0</w:t>
            </w:r>
          </w:p>
        </w:tc>
      </w:tr>
      <w:tr w:rsidR="006C699A" w:rsidRPr="00E46193" w14:paraId="28C7996D" w14:textId="77777777" w:rsidTr="001A0F6E">
        <w:trPr>
          <w:trHeight w:val="94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1CB48A9F"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15" w:type="pct"/>
            <w:gridSpan w:val="7"/>
            <w:vMerge w:val="restart"/>
            <w:tcBorders>
              <w:top w:val="outset" w:sz="6" w:space="0" w:color="auto"/>
              <w:left w:val="outset" w:sz="6" w:space="0" w:color="auto"/>
              <w:bottom w:val="outset" w:sz="6" w:space="0" w:color="auto"/>
              <w:right w:val="outset" w:sz="6" w:space="0" w:color="auto"/>
            </w:tcBorders>
            <w:vAlign w:val="center"/>
          </w:tcPr>
          <w:p w14:paraId="5536B8F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0551D6">
              <w:rPr>
                <w:rFonts w:ascii="Times New Roman" w:eastAsia="Times New Roman" w:hAnsi="Times New Roman" w:cs="Times New Roman"/>
                <w:iCs/>
                <w:sz w:val="24"/>
                <w:szCs w:val="24"/>
                <w:lang w:eastAsia="lv-LV"/>
              </w:rPr>
              <w:t>Detalizētu ieņēmumu aprēķinu nav iespējams veikt, jo nav prognozējams, vai komerciālie vai korporatīvo tīmekļvietņu lietotāji vispār iesniegs sūdzības par Regulas (ES) 2019/1150 prasību pārkāpumiem</w:t>
            </w:r>
            <w:r>
              <w:rPr>
                <w:rFonts w:ascii="Times New Roman" w:eastAsia="Times New Roman" w:hAnsi="Times New Roman" w:cs="Times New Roman"/>
                <w:iCs/>
                <w:sz w:val="24"/>
                <w:szCs w:val="24"/>
                <w:lang w:eastAsia="lv-LV"/>
              </w:rPr>
              <w:t xml:space="preserve">, </w:t>
            </w:r>
            <w:r w:rsidRPr="000551D6">
              <w:rPr>
                <w:rFonts w:ascii="Times New Roman" w:eastAsia="Times New Roman" w:hAnsi="Times New Roman" w:cs="Times New Roman"/>
                <w:iCs/>
                <w:sz w:val="24"/>
                <w:szCs w:val="24"/>
                <w:lang w:eastAsia="lv-LV"/>
              </w:rPr>
              <w:t>cik daudz to būs</w:t>
            </w:r>
            <w:r>
              <w:rPr>
                <w:rFonts w:ascii="Times New Roman" w:eastAsia="Times New Roman" w:hAnsi="Times New Roman" w:cs="Times New Roman"/>
                <w:iCs/>
                <w:sz w:val="24"/>
                <w:szCs w:val="24"/>
                <w:lang w:eastAsia="lv-LV"/>
              </w:rPr>
              <w:t xml:space="preserve"> un</w:t>
            </w:r>
            <w:r w:rsidRPr="000551D6">
              <w:rPr>
                <w:rFonts w:ascii="Times New Roman" w:eastAsia="Times New Roman" w:hAnsi="Times New Roman" w:cs="Times New Roman"/>
                <w:iCs/>
                <w:sz w:val="24"/>
                <w:szCs w:val="24"/>
                <w:lang w:eastAsia="lv-LV"/>
              </w:rPr>
              <w:t xml:space="preserve"> kāda rakstura. Tāpat jāņem vērā, ka tiek īstenot</w:t>
            </w:r>
            <w:r>
              <w:rPr>
                <w:rFonts w:ascii="Times New Roman" w:eastAsia="Times New Roman" w:hAnsi="Times New Roman" w:cs="Times New Roman"/>
                <w:iCs/>
                <w:sz w:val="24"/>
                <w:szCs w:val="24"/>
                <w:lang w:eastAsia="lv-LV"/>
              </w:rPr>
              <w:t>s</w:t>
            </w:r>
            <w:r w:rsidRPr="000551D6">
              <w:rPr>
                <w:rFonts w:ascii="Times New Roman" w:eastAsia="Times New Roman" w:hAnsi="Times New Roman" w:cs="Times New Roman"/>
                <w:iCs/>
                <w:sz w:val="24"/>
                <w:szCs w:val="24"/>
                <w:lang w:eastAsia="lv-LV"/>
              </w:rPr>
              <w:t xml:space="preserve"> “Konsultē vispirms” princips, kura mērķis ir nevis sodīt, bet nodrošināt, ka uzņēmēji zina un izprot savus pienākumus</w:t>
            </w:r>
            <w:proofErr w:type="gramStart"/>
            <w:r w:rsidRPr="000551D6">
              <w:rPr>
                <w:rFonts w:ascii="Times New Roman" w:eastAsia="Times New Roman" w:hAnsi="Times New Roman" w:cs="Times New Roman"/>
                <w:iCs/>
                <w:sz w:val="24"/>
                <w:szCs w:val="24"/>
                <w:lang w:eastAsia="lv-LV"/>
              </w:rPr>
              <w:t>, un tos godprātīgi pilda</w:t>
            </w:r>
            <w:proofErr w:type="gramEnd"/>
            <w:r w:rsidRPr="000551D6">
              <w:rPr>
                <w:rFonts w:ascii="Times New Roman" w:eastAsia="Times New Roman" w:hAnsi="Times New Roman" w:cs="Times New Roman"/>
                <w:iCs/>
                <w:sz w:val="24"/>
                <w:szCs w:val="24"/>
                <w:lang w:eastAsia="lv-LV"/>
              </w:rPr>
              <w:t>.</w:t>
            </w:r>
            <w:r w:rsidRPr="000551D6" w:rsidDel="00E65E61">
              <w:rPr>
                <w:rFonts w:ascii="Times New Roman" w:eastAsia="Times New Roman" w:hAnsi="Times New Roman" w:cs="Times New Roman"/>
                <w:iCs/>
                <w:sz w:val="24"/>
                <w:szCs w:val="24"/>
                <w:lang w:eastAsia="lv-LV"/>
              </w:rPr>
              <w:t xml:space="preserve"> </w:t>
            </w:r>
          </w:p>
          <w:p w14:paraId="2F62FFAD"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r w:rsidRPr="0095368B">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95368B">
              <w:rPr>
                <w:rFonts w:ascii="Times New Roman" w:eastAsia="Times New Roman" w:hAnsi="Times New Roman" w:cs="Times New Roman"/>
                <w:iCs/>
                <w:sz w:val="24"/>
                <w:szCs w:val="24"/>
                <w:lang w:eastAsia="lv-LV"/>
              </w:rPr>
              <w:t xml:space="preserve">. pants paredz papildināt ISPL ar </w:t>
            </w:r>
            <w:proofErr w:type="gramStart"/>
            <w:r w:rsidRPr="0095368B">
              <w:rPr>
                <w:rFonts w:ascii="Times New Roman" w:eastAsia="Times New Roman" w:hAnsi="Times New Roman" w:cs="Times New Roman"/>
                <w:iCs/>
                <w:sz w:val="24"/>
                <w:szCs w:val="24"/>
                <w:lang w:eastAsia="lv-LV"/>
              </w:rPr>
              <w:t>16.pantu</w:t>
            </w:r>
            <w:proofErr w:type="gramEnd"/>
            <w:r w:rsidRPr="0095368B">
              <w:rPr>
                <w:rFonts w:ascii="Times New Roman" w:eastAsia="Times New Roman" w:hAnsi="Times New Roman" w:cs="Times New Roman"/>
                <w:iCs/>
                <w:sz w:val="24"/>
                <w:szCs w:val="24"/>
                <w:lang w:eastAsia="lv-LV"/>
              </w:rPr>
              <w:t>, kurā tiek noteikts, ka PTAC ir tiesīgs tiešsaistes starpniecības platformu pakalpojumu sniedzējam par Regulas (ES) 2019/1150 pārkāpumu piemērot soda naudu līdz 14 000 </w:t>
            </w:r>
            <w:proofErr w:type="spellStart"/>
            <w:r w:rsidRPr="0095368B">
              <w:rPr>
                <w:rFonts w:ascii="Times New Roman" w:eastAsia="Times New Roman" w:hAnsi="Times New Roman" w:cs="Times New Roman"/>
                <w:i/>
                <w:iCs/>
                <w:sz w:val="24"/>
                <w:szCs w:val="24"/>
                <w:lang w:eastAsia="lv-LV"/>
              </w:rPr>
              <w:t>euro</w:t>
            </w:r>
            <w:proofErr w:type="spellEnd"/>
            <w:r w:rsidRPr="0095368B">
              <w:rPr>
                <w:rFonts w:ascii="Times New Roman" w:eastAsia="Times New Roman" w:hAnsi="Times New Roman" w:cs="Times New Roman"/>
                <w:iCs/>
                <w:sz w:val="24"/>
                <w:szCs w:val="24"/>
                <w:lang w:eastAsia="lv-LV"/>
              </w:rPr>
              <w:t xml:space="preserve">, izvērtējot </w:t>
            </w:r>
            <w:r>
              <w:rPr>
                <w:rFonts w:ascii="Times New Roman" w:eastAsia="Times New Roman" w:hAnsi="Times New Roman" w:cs="Times New Roman"/>
                <w:iCs/>
                <w:sz w:val="24"/>
                <w:szCs w:val="24"/>
                <w:lang w:eastAsia="lv-LV"/>
              </w:rPr>
              <w:t>l</w:t>
            </w:r>
            <w:r w:rsidRPr="0095368B">
              <w:rPr>
                <w:rFonts w:ascii="Times New Roman" w:eastAsia="Times New Roman" w:hAnsi="Times New Roman" w:cs="Times New Roman"/>
                <w:iCs/>
                <w:sz w:val="24"/>
                <w:szCs w:val="24"/>
                <w:lang w:eastAsia="lv-LV"/>
              </w:rPr>
              <w:t>ikumprojektā minētos nosacījumus. Tāpat PTAC ir tiesīgs tiešsaistes starpniecības platformu pakalpojumu sniedzējam par PTAC lēmuma nepildīšanu piemērot piespiedu naudu līdz 2800 </w:t>
            </w:r>
            <w:proofErr w:type="spellStart"/>
            <w:r w:rsidRPr="0095368B">
              <w:rPr>
                <w:rFonts w:ascii="Times New Roman" w:eastAsia="Times New Roman" w:hAnsi="Times New Roman" w:cs="Times New Roman"/>
                <w:i/>
                <w:iCs/>
                <w:sz w:val="24"/>
                <w:szCs w:val="24"/>
                <w:lang w:eastAsia="lv-LV"/>
              </w:rPr>
              <w:t>euro</w:t>
            </w:r>
            <w:proofErr w:type="spellEnd"/>
            <w:r w:rsidRPr="0095368B">
              <w:rPr>
                <w:rFonts w:ascii="Times New Roman" w:eastAsia="Times New Roman" w:hAnsi="Times New Roman" w:cs="Times New Roman"/>
                <w:iCs/>
                <w:sz w:val="24"/>
                <w:szCs w:val="24"/>
                <w:lang w:eastAsia="lv-LV"/>
              </w:rPr>
              <w:t xml:space="preserve">, un minētā soda nauda un piespiedu nauda ir ieskaitāmas valsts pamatbudžetā. Attiecīgi, ir uzskatāms, </w:t>
            </w:r>
            <w:proofErr w:type="gramStart"/>
            <w:r w:rsidRPr="0095368B">
              <w:rPr>
                <w:rFonts w:ascii="Times New Roman" w:eastAsia="Times New Roman" w:hAnsi="Times New Roman" w:cs="Times New Roman"/>
                <w:iCs/>
                <w:sz w:val="24"/>
                <w:szCs w:val="24"/>
                <w:lang w:eastAsia="lv-LV"/>
              </w:rPr>
              <w:t>ka saistībā ar Regulas (ES) 2019/1150 prasību pārkāpumiem piemērotā soda</w:t>
            </w:r>
            <w:proofErr w:type="gramEnd"/>
            <w:r w:rsidRPr="0095368B">
              <w:rPr>
                <w:rFonts w:ascii="Times New Roman" w:eastAsia="Times New Roman" w:hAnsi="Times New Roman" w:cs="Times New Roman"/>
                <w:iCs/>
                <w:sz w:val="24"/>
                <w:szCs w:val="24"/>
                <w:lang w:eastAsia="lv-LV"/>
              </w:rPr>
              <w:t xml:space="preserve"> un piespiedu nauda, ir ieņēmums valsts pamatbudžeta izpratnē. Ņemot vērā, ka </w:t>
            </w:r>
            <w:r w:rsidRPr="0095368B">
              <w:rPr>
                <w:rFonts w:ascii="Times New Roman" w:eastAsia="Times New Roman" w:hAnsi="Times New Roman" w:cs="Times New Roman"/>
                <w:iCs/>
                <w:sz w:val="24"/>
                <w:szCs w:val="24"/>
                <w:lang w:eastAsia="lv-LV"/>
              </w:rPr>
              <w:lastRenderedPageBreak/>
              <w:t>Latvijā līdz šim nav bijuši normatīvie akti, kas regulētu tiešsaistes starpniecības platformu pakalpojumu sniedzēju darbību, uzraudzību u.c., šobrīd ir pāragri izvērtēt konstatēt</w:t>
            </w:r>
            <w:r>
              <w:rPr>
                <w:rFonts w:ascii="Times New Roman" w:eastAsia="Times New Roman" w:hAnsi="Times New Roman" w:cs="Times New Roman"/>
                <w:iCs/>
                <w:sz w:val="24"/>
                <w:szCs w:val="24"/>
                <w:lang w:eastAsia="lv-LV"/>
              </w:rPr>
              <w:t>os</w:t>
            </w:r>
            <w:r w:rsidRPr="0095368B">
              <w:rPr>
                <w:rFonts w:ascii="Times New Roman" w:eastAsia="Times New Roman" w:hAnsi="Times New Roman" w:cs="Times New Roman"/>
                <w:iCs/>
                <w:sz w:val="24"/>
                <w:szCs w:val="24"/>
                <w:lang w:eastAsia="lv-LV"/>
              </w:rPr>
              <w:t xml:space="preserve"> Regulas (ES) 2019/1150 prasību pārkāpum</w:t>
            </w:r>
            <w:r>
              <w:rPr>
                <w:rFonts w:ascii="Times New Roman" w:eastAsia="Times New Roman" w:hAnsi="Times New Roman" w:cs="Times New Roman"/>
                <w:iCs/>
                <w:sz w:val="24"/>
                <w:szCs w:val="24"/>
                <w:lang w:eastAsia="lv-LV"/>
              </w:rPr>
              <w:t>us nākotnē.</w:t>
            </w:r>
          </w:p>
          <w:p w14:paraId="03F753D0"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p>
          <w:p w14:paraId="4256FC5F" w14:textId="008802B0" w:rsidR="006C699A" w:rsidRDefault="006C699A" w:rsidP="001A0F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nodrošinātu </w:t>
            </w:r>
            <w:r w:rsidRPr="00E46193">
              <w:rPr>
                <w:rFonts w:ascii="Times New Roman" w:eastAsia="Times New Roman" w:hAnsi="Times New Roman" w:cs="Times New Roman"/>
                <w:iCs/>
                <w:sz w:val="24"/>
                <w:szCs w:val="24"/>
                <w:lang w:eastAsia="lv-LV"/>
              </w:rPr>
              <w:t>Regulas (ES) 2019/1150 īstenošan</w:t>
            </w:r>
            <w:r>
              <w:rPr>
                <w:rFonts w:ascii="Times New Roman" w:eastAsia="Times New Roman" w:hAnsi="Times New Roman" w:cs="Times New Roman"/>
                <w:iCs/>
                <w:sz w:val="24"/>
                <w:szCs w:val="24"/>
                <w:lang w:eastAsia="lv-LV"/>
              </w:rPr>
              <w:t xml:space="preserve">u ir </w:t>
            </w:r>
            <w:r w:rsidRPr="00E46193">
              <w:rPr>
                <w:rFonts w:ascii="Times New Roman" w:eastAsia="Times New Roman" w:hAnsi="Times New Roman" w:cs="Times New Roman"/>
                <w:iCs/>
                <w:sz w:val="24"/>
                <w:szCs w:val="24"/>
                <w:lang w:eastAsia="lv-LV"/>
              </w:rPr>
              <w:t>nepieciešam</w:t>
            </w:r>
            <w:r>
              <w:rPr>
                <w:rFonts w:ascii="Times New Roman" w:eastAsia="Times New Roman" w:hAnsi="Times New Roman" w:cs="Times New Roman"/>
                <w:iCs/>
                <w:sz w:val="24"/>
                <w:szCs w:val="24"/>
                <w:lang w:eastAsia="lv-LV"/>
              </w:rPr>
              <w:t>s</w:t>
            </w:r>
            <w:r w:rsidRPr="00E46193">
              <w:rPr>
                <w:rFonts w:ascii="Times New Roman" w:eastAsia="Times New Roman" w:hAnsi="Times New Roman" w:cs="Times New Roman"/>
                <w:iCs/>
                <w:sz w:val="24"/>
                <w:szCs w:val="24"/>
                <w:lang w:eastAsia="lv-LV"/>
              </w:rPr>
              <w:t xml:space="preserve"> finansējums</w:t>
            </w:r>
            <w:r>
              <w:rPr>
                <w:rFonts w:ascii="Times New Roman" w:eastAsia="Times New Roman" w:hAnsi="Times New Roman" w:cs="Times New Roman"/>
                <w:iCs/>
                <w:sz w:val="24"/>
                <w:szCs w:val="24"/>
                <w:lang w:eastAsia="lv-LV"/>
              </w:rPr>
              <w:t xml:space="preserve"> </w:t>
            </w:r>
            <w:proofErr w:type="gramStart"/>
            <w:r>
              <w:rPr>
                <w:rFonts w:ascii="Times New Roman" w:eastAsia="Times New Roman" w:hAnsi="Times New Roman" w:cs="Times New Roman"/>
                <w:iCs/>
                <w:sz w:val="24"/>
                <w:szCs w:val="24"/>
                <w:lang w:eastAsia="lv-LV"/>
              </w:rPr>
              <w:t>2021.gadā</w:t>
            </w:r>
            <w:proofErr w:type="gramEnd"/>
            <w:r>
              <w:rPr>
                <w:rFonts w:ascii="Times New Roman" w:eastAsia="Times New Roman" w:hAnsi="Times New Roman" w:cs="Times New Roman"/>
                <w:iCs/>
                <w:sz w:val="24"/>
                <w:szCs w:val="24"/>
                <w:lang w:eastAsia="lv-LV"/>
              </w:rPr>
              <w:t xml:space="preserve"> </w:t>
            </w:r>
            <w:r w:rsidRPr="00B2148D">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B2148D">
              <w:rPr>
                <w:rFonts w:ascii="Times New Roman" w:eastAsia="Times New Roman" w:hAnsi="Times New Roman" w:cs="Times New Roman"/>
                <w:iCs/>
                <w:sz w:val="24"/>
                <w:szCs w:val="24"/>
                <w:lang w:eastAsia="lv-LV"/>
              </w:rPr>
              <w:t>061</w:t>
            </w:r>
            <w:r>
              <w:rPr>
                <w:rFonts w:ascii="Times New Roman" w:eastAsia="Times New Roman" w:hAnsi="Times New Roman" w:cs="Times New Roman"/>
                <w:iCs/>
                <w:sz w:val="24"/>
                <w:szCs w:val="24"/>
                <w:lang w:eastAsia="lv-LV"/>
              </w:rPr>
              <w:t xml:space="preserve"> </w:t>
            </w:r>
            <w:proofErr w:type="spellStart"/>
            <w:r w:rsidRPr="00FB7EF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 2022. un 2023.gadā </w:t>
            </w:r>
            <w:r w:rsidRPr="00B2148D">
              <w:rPr>
                <w:rFonts w:ascii="Times New Roman" w:eastAsia="Times New Roman" w:hAnsi="Times New Roman" w:cs="Times New Roman"/>
                <w:iCs/>
                <w:sz w:val="24"/>
                <w:szCs w:val="24"/>
                <w:lang w:eastAsia="lv-LV"/>
              </w:rPr>
              <w:t>19</w:t>
            </w:r>
            <w:r>
              <w:rPr>
                <w:rFonts w:ascii="Times New Roman" w:eastAsia="Times New Roman" w:hAnsi="Times New Roman" w:cs="Times New Roman"/>
                <w:iCs/>
                <w:sz w:val="24"/>
                <w:szCs w:val="24"/>
                <w:lang w:eastAsia="lv-LV"/>
              </w:rPr>
              <w:t> </w:t>
            </w:r>
            <w:r w:rsidR="00C56C0F">
              <w:rPr>
                <w:rFonts w:ascii="Times New Roman" w:eastAsia="Times New Roman" w:hAnsi="Times New Roman" w:cs="Times New Roman"/>
                <w:iCs/>
                <w:sz w:val="24"/>
                <w:szCs w:val="24"/>
                <w:lang w:eastAsia="lv-LV"/>
              </w:rPr>
              <w:t>338</w:t>
            </w:r>
            <w:r>
              <w:rPr>
                <w:rFonts w:ascii="Times New Roman" w:eastAsia="Times New Roman" w:hAnsi="Times New Roman" w:cs="Times New Roman"/>
                <w:iCs/>
                <w:sz w:val="24"/>
                <w:szCs w:val="24"/>
                <w:lang w:eastAsia="lv-LV"/>
              </w:rPr>
              <w:t xml:space="preserve"> </w:t>
            </w:r>
            <w:proofErr w:type="spellStart"/>
            <w:r w:rsidRPr="00FB7EF1">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Cs/>
                <w:sz w:val="24"/>
                <w:szCs w:val="24"/>
                <w:lang w:eastAsia="lv-LV"/>
              </w:rPr>
              <w:t xml:space="preserve"> apmērā</w:t>
            </w:r>
            <w:r w:rsidRPr="00E46193">
              <w:rPr>
                <w:rFonts w:ascii="Times New Roman" w:eastAsia="Times New Roman" w:hAnsi="Times New Roman" w:cs="Times New Roman"/>
                <w:iCs/>
                <w:sz w:val="24"/>
                <w:szCs w:val="24"/>
                <w:lang w:eastAsia="lv-LV"/>
              </w:rPr>
              <w:t>.</w:t>
            </w:r>
          </w:p>
          <w:p w14:paraId="1E1CAFFD" w14:textId="77777777" w:rsidR="006C699A" w:rsidRPr="00E46193" w:rsidRDefault="006C699A" w:rsidP="001A0F6E">
            <w:pPr>
              <w:spacing w:after="0" w:line="240" w:lineRule="auto"/>
              <w:jc w:val="both"/>
              <w:rPr>
                <w:rFonts w:ascii="Times New Roman" w:hAnsi="Times New Roman" w:cs="Times New Roman"/>
                <w:sz w:val="24"/>
                <w:szCs w:val="24"/>
                <w:shd w:val="clear" w:color="auto" w:fill="FFFFFF"/>
              </w:rPr>
            </w:pPr>
            <w:r w:rsidRPr="00E46193">
              <w:rPr>
                <w:rFonts w:ascii="Times New Roman" w:eastAsia="Times New Roman" w:hAnsi="Times New Roman" w:cs="Times New Roman"/>
                <w:iCs/>
                <w:sz w:val="24"/>
                <w:szCs w:val="24"/>
                <w:lang w:eastAsia="lv-LV"/>
              </w:rPr>
              <w:t xml:space="preserve"> </w:t>
            </w:r>
          </w:p>
          <w:p w14:paraId="4D9850D4" w14:textId="77777777" w:rsidR="006C699A" w:rsidRPr="00E46193" w:rsidRDefault="006C699A" w:rsidP="001A0F6E">
            <w:pPr>
              <w:spacing w:after="0" w:line="240" w:lineRule="auto"/>
              <w:jc w:val="both"/>
              <w:rPr>
                <w:rFonts w:ascii="Times New Roman" w:eastAsia="Times New Roman" w:hAnsi="Times New Roman" w:cs="Times New Roman"/>
                <w:iCs/>
                <w:sz w:val="24"/>
                <w:szCs w:val="24"/>
                <w:u w:val="single"/>
                <w:lang w:eastAsia="lv-LV"/>
              </w:rPr>
            </w:pPr>
            <w:r w:rsidRPr="00E46193">
              <w:rPr>
                <w:rFonts w:ascii="Times New Roman" w:hAnsi="Times New Roman" w:cs="Times New Roman"/>
                <w:sz w:val="24"/>
                <w:szCs w:val="24"/>
                <w:u w:val="single"/>
                <w:shd w:val="clear" w:color="auto" w:fill="FFFFFF"/>
              </w:rPr>
              <w:t xml:space="preserve">Amata </w:t>
            </w:r>
            <w:r w:rsidRPr="00E46193">
              <w:rPr>
                <w:rFonts w:ascii="Times New Roman" w:eastAsia="Times New Roman" w:hAnsi="Times New Roman" w:cs="Times New Roman"/>
                <w:iCs/>
                <w:sz w:val="24"/>
                <w:szCs w:val="24"/>
                <w:u w:val="single"/>
                <w:lang w:eastAsia="lv-LV"/>
              </w:rPr>
              <w:t>atlīdzība – 12 762,05</w:t>
            </w:r>
            <w:r>
              <w:rPr>
                <w:rFonts w:ascii="Times New Roman" w:eastAsia="Times New Roman" w:hAnsi="Times New Roman" w:cs="Times New Roman"/>
                <w:iCs/>
                <w:sz w:val="24"/>
                <w:szCs w:val="24"/>
                <w:u w:val="single"/>
                <w:lang w:eastAsia="lv-LV"/>
              </w:rPr>
              <w:t xml:space="preserve"> </w:t>
            </w:r>
            <w:proofErr w:type="spellStart"/>
            <w:r w:rsidRPr="00E46193">
              <w:rPr>
                <w:rFonts w:ascii="Times New Roman" w:eastAsia="Times New Roman" w:hAnsi="Times New Roman" w:cs="Times New Roman"/>
                <w:i/>
                <w:sz w:val="24"/>
                <w:szCs w:val="24"/>
                <w:u w:val="single"/>
                <w:lang w:eastAsia="lv-LV"/>
              </w:rPr>
              <w:t>euro</w:t>
            </w:r>
            <w:proofErr w:type="spellEnd"/>
            <w:r w:rsidRPr="00E46193">
              <w:rPr>
                <w:rFonts w:ascii="Times New Roman" w:eastAsia="Times New Roman" w:hAnsi="Times New Roman" w:cs="Times New Roman"/>
                <w:iCs/>
                <w:sz w:val="24"/>
                <w:szCs w:val="24"/>
                <w:u w:val="single"/>
                <w:lang w:eastAsia="lv-LV"/>
              </w:rPr>
              <w:t xml:space="preserve"> </w:t>
            </w:r>
          </w:p>
          <w:p w14:paraId="6761BFA3"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Atalgojums (</w:t>
            </w:r>
            <w:r w:rsidRPr="004A1B6E">
              <w:rPr>
                <w:rFonts w:ascii="Times New Roman" w:eastAsia="Times New Roman" w:hAnsi="Times New Roman" w:cs="Times New Roman"/>
                <w:iCs/>
                <w:sz w:val="24"/>
                <w:szCs w:val="24"/>
                <w:lang w:eastAsia="lv-LV"/>
              </w:rPr>
              <w:t>½ amata vietas</w:t>
            </w:r>
            <w:r>
              <w:rPr>
                <w:rFonts w:ascii="Times New Roman" w:eastAsia="Times New Roman" w:hAnsi="Times New Roman" w:cs="Times New Roman"/>
                <w:iCs/>
                <w:sz w:val="24"/>
                <w:szCs w:val="24"/>
                <w:lang w:eastAsia="lv-LV"/>
              </w:rPr>
              <w:t xml:space="preserve">, </w:t>
            </w:r>
            <w:r w:rsidRPr="00E46193">
              <w:rPr>
                <w:rFonts w:ascii="Times New Roman" w:eastAsia="Times New Roman" w:hAnsi="Times New Roman" w:cs="Times New Roman"/>
                <w:iCs/>
                <w:sz w:val="24"/>
                <w:szCs w:val="24"/>
                <w:lang w:eastAsia="lv-LV"/>
              </w:rPr>
              <w:t xml:space="preserve">26.3 saime, IV līmenis, 11.mēnešalgu grupa): 691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8292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2C01BC43"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- 10% piemaksa par papildu darbu, augstu darba kvalitāti u.c.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59A02D55"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- 10% vid. gada novērtēšanas prēmija un atvaļinājuma pabalsts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70F7EB4B"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valsts sociālās apdrošināšanas iemaksas: 24,09% x (8292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+ 829,20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2397,05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720A9F25"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- 5% sociālo garantiju izmaksas (414,60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1C8834DF" w14:textId="77777777" w:rsidR="006C699A" w:rsidRPr="00E46193" w:rsidRDefault="006C699A" w:rsidP="001A0F6E">
            <w:pPr>
              <w:spacing w:after="0" w:line="240" w:lineRule="auto"/>
              <w:rPr>
                <w:rFonts w:ascii="Times New Roman" w:eastAsia="Times New Roman" w:hAnsi="Times New Roman" w:cs="Times New Roman"/>
                <w:iCs/>
                <w:sz w:val="24"/>
                <w:szCs w:val="24"/>
                <w:lang w:eastAsia="lv-LV"/>
              </w:rPr>
            </w:pPr>
          </w:p>
          <w:p w14:paraId="30610E2D"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u w:val="single"/>
                <w:lang w:eastAsia="lv-LV"/>
              </w:rPr>
              <w:t>Pakalpojumu apmaksa un materiālais nodrošinājums – 5</w:t>
            </w:r>
            <w:r>
              <w:rPr>
                <w:rFonts w:ascii="Times New Roman" w:eastAsia="Times New Roman" w:hAnsi="Times New Roman" w:cs="Times New Roman"/>
                <w:iCs/>
                <w:sz w:val="24"/>
                <w:szCs w:val="24"/>
                <w:u w:val="single"/>
                <w:lang w:eastAsia="lv-LV"/>
              </w:rPr>
              <w:t xml:space="preserve"> </w:t>
            </w:r>
            <w:r w:rsidRPr="00E46193">
              <w:rPr>
                <w:rFonts w:ascii="Times New Roman" w:eastAsia="Times New Roman" w:hAnsi="Times New Roman" w:cs="Times New Roman"/>
                <w:iCs/>
                <w:sz w:val="24"/>
                <w:szCs w:val="24"/>
                <w:u w:val="single"/>
                <w:lang w:eastAsia="lv-LV"/>
              </w:rPr>
              <w:t xml:space="preserve">548 </w:t>
            </w:r>
            <w:proofErr w:type="spellStart"/>
            <w:r w:rsidRPr="00E46193">
              <w:rPr>
                <w:rFonts w:ascii="Times New Roman" w:eastAsia="Times New Roman" w:hAnsi="Times New Roman" w:cs="Times New Roman"/>
                <w:i/>
                <w:sz w:val="24"/>
                <w:szCs w:val="24"/>
                <w:u w:val="single"/>
                <w:lang w:eastAsia="lv-LV"/>
              </w:rPr>
              <w:t>euro</w:t>
            </w:r>
            <w:proofErr w:type="spellEnd"/>
            <w:r w:rsidRPr="00E46193">
              <w:rPr>
                <w:rFonts w:ascii="Times New Roman" w:eastAsia="Times New Roman" w:hAnsi="Times New Roman" w:cs="Times New Roman"/>
                <w:i/>
                <w:sz w:val="24"/>
                <w:szCs w:val="24"/>
                <w:u w:val="single"/>
                <w:lang w:eastAsia="lv-LV"/>
              </w:rPr>
              <w:t xml:space="preserve">, </w:t>
            </w:r>
            <w:proofErr w:type="spellStart"/>
            <w:r w:rsidRPr="00E46193">
              <w:rPr>
                <w:rFonts w:ascii="Times New Roman" w:eastAsia="Times New Roman" w:hAnsi="Times New Roman" w:cs="Times New Roman"/>
                <w:i/>
                <w:sz w:val="24"/>
                <w:szCs w:val="24"/>
                <w:u w:val="single"/>
                <w:lang w:eastAsia="lv-LV"/>
              </w:rPr>
              <w:t>t.sk</w:t>
            </w:r>
            <w:proofErr w:type="spellEnd"/>
          </w:p>
          <w:p w14:paraId="1669B2E9"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telekomunikācijas un pasta pakalpojumi, interneta pieslēgums, Komercreģistrs un citi sakari (76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912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700150F6" w14:textId="77777777" w:rsidR="006C699A" w:rsidRPr="00E46193" w:rsidRDefault="006C699A" w:rsidP="001A0F6E">
            <w:pPr>
              <w:spacing w:after="0" w:line="240" w:lineRule="auto"/>
              <w:jc w:val="both"/>
              <w:rPr>
                <w:rFonts w:ascii="Times New Roman" w:eastAsia="Times New Roman" w:hAnsi="Times New Roman" w:cs="Times New Roman"/>
                <w:iCs/>
                <w:sz w:val="24"/>
                <w:szCs w:val="24"/>
                <w:u w:val="single"/>
                <w:lang w:eastAsia="lv-LV"/>
              </w:rPr>
            </w:pPr>
            <w:r w:rsidRPr="00E46193">
              <w:rPr>
                <w:rFonts w:ascii="Times New Roman" w:eastAsia="Times New Roman" w:hAnsi="Times New Roman" w:cs="Times New Roman"/>
                <w:iCs/>
                <w:sz w:val="24"/>
                <w:szCs w:val="24"/>
                <w:lang w:eastAsia="lv-LV"/>
              </w:rPr>
              <w:t>-komunālie u.c</w:t>
            </w:r>
            <w:r>
              <w:rPr>
                <w:rFonts w:ascii="Times New Roman" w:eastAsia="Times New Roman" w:hAnsi="Times New Roman" w:cs="Times New Roman"/>
                <w:iCs/>
                <w:sz w:val="24"/>
                <w:szCs w:val="24"/>
                <w:lang w:eastAsia="lv-LV"/>
              </w:rPr>
              <w:t>.</w:t>
            </w:r>
            <w:r w:rsidRPr="00E46193">
              <w:rPr>
                <w:rFonts w:ascii="Times New Roman" w:eastAsia="Times New Roman" w:hAnsi="Times New Roman" w:cs="Times New Roman"/>
                <w:iCs/>
                <w:sz w:val="24"/>
                <w:szCs w:val="24"/>
                <w:lang w:eastAsia="lv-LV"/>
              </w:rPr>
              <w:t xml:space="preserve"> uzturēšanas izdevumi 150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x12=1800 </w:t>
            </w:r>
            <w:proofErr w:type="spellStart"/>
            <w:r w:rsidRPr="00E46193">
              <w:rPr>
                <w:rFonts w:ascii="Times New Roman" w:eastAsia="Times New Roman" w:hAnsi="Times New Roman" w:cs="Times New Roman"/>
                <w:i/>
                <w:sz w:val="24"/>
                <w:szCs w:val="24"/>
                <w:lang w:eastAsia="lv-LV"/>
              </w:rPr>
              <w:t>euro</w:t>
            </w:r>
            <w:proofErr w:type="spellEnd"/>
          </w:p>
          <w:p w14:paraId="7D8BCFAB"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biroja tehnikas uzturēšana un apkope – kopētāju kasete 43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lāzerprinteru kasete 68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 111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77AADF4F"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kancelejas piederumi (4,5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x 12 </w:t>
            </w:r>
            <w:proofErr w:type="spellStart"/>
            <w:r w:rsidRPr="00E46193">
              <w:rPr>
                <w:rFonts w:ascii="Times New Roman" w:eastAsia="Times New Roman" w:hAnsi="Times New Roman" w:cs="Times New Roman"/>
                <w:iCs/>
                <w:sz w:val="24"/>
                <w:szCs w:val="24"/>
                <w:lang w:eastAsia="lv-LV"/>
              </w:rPr>
              <w:t>mēn</w:t>
            </w:r>
            <w:proofErr w:type="spellEnd"/>
            <w:r w:rsidRPr="00E46193">
              <w:rPr>
                <w:rFonts w:ascii="Times New Roman" w:eastAsia="Times New Roman" w:hAnsi="Times New Roman" w:cs="Times New Roman"/>
                <w:iCs/>
                <w:sz w:val="24"/>
                <w:szCs w:val="24"/>
                <w:lang w:eastAsia="lv-LV"/>
              </w:rPr>
              <w:t xml:space="preserve">.) = 54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7145D434"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darba krēsls – 245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1EEACE7F"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dokumentu skapis – 356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31009E80"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drēbju pakaramais – 70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 xml:space="preserve">; </w:t>
            </w:r>
          </w:p>
          <w:p w14:paraId="7FCD6F76"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r w:rsidRPr="00E46193">
              <w:rPr>
                <w:rFonts w:ascii="Times New Roman" w:eastAsia="Times New Roman" w:hAnsi="Times New Roman" w:cs="Times New Roman"/>
                <w:iCs/>
                <w:sz w:val="24"/>
                <w:szCs w:val="24"/>
                <w:lang w:eastAsia="lv-LV"/>
              </w:rPr>
              <w:t xml:space="preserve">- darbinieku apmācība, pieredzes apmaiņas braucieni– 2000 </w:t>
            </w:r>
            <w:proofErr w:type="spellStart"/>
            <w:r w:rsidRPr="00E46193">
              <w:rPr>
                <w:rFonts w:ascii="Times New Roman" w:eastAsia="Times New Roman" w:hAnsi="Times New Roman" w:cs="Times New Roman"/>
                <w:i/>
                <w:sz w:val="24"/>
                <w:szCs w:val="24"/>
                <w:lang w:eastAsia="lv-LV"/>
              </w:rPr>
              <w:t>euro</w:t>
            </w:r>
            <w:proofErr w:type="spellEnd"/>
            <w:r w:rsidRPr="00E46193">
              <w:rPr>
                <w:rFonts w:ascii="Times New Roman" w:eastAsia="Times New Roman" w:hAnsi="Times New Roman" w:cs="Times New Roman"/>
                <w:iCs/>
                <w:sz w:val="24"/>
                <w:szCs w:val="24"/>
                <w:lang w:eastAsia="lv-LV"/>
              </w:rPr>
              <w:t>;</w:t>
            </w:r>
          </w:p>
          <w:p w14:paraId="0739EF57" w14:textId="77777777" w:rsidR="006C699A" w:rsidRPr="00E46193" w:rsidRDefault="006C699A" w:rsidP="001A0F6E">
            <w:pPr>
              <w:spacing w:after="0" w:line="240" w:lineRule="auto"/>
              <w:jc w:val="both"/>
              <w:rPr>
                <w:rFonts w:ascii="Times New Roman" w:eastAsia="Times New Roman" w:hAnsi="Times New Roman" w:cs="Times New Roman"/>
                <w:iCs/>
                <w:sz w:val="24"/>
                <w:szCs w:val="24"/>
                <w:lang w:eastAsia="lv-LV"/>
              </w:rPr>
            </w:pPr>
          </w:p>
          <w:p w14:paraId="549F9E9E" w14:textId="77777777" w:rsidR="006C699A" w:rsidRPr="000551D6" w:rsidRDefault="006C699A" w:rsidP="001A0F6E">
            <w:pPr>
              <w:spacing w:after="0" w:line="240" w:lineRule="auto"/>
              <w:jc w:val="both"/>
              <w:rPr>
                <w:rFonts w:ascii="Times New Roman" w:eastAsia="Times New Roman" w:hAnsi="Times New Roman" w:cs="Times New Roman"/>
                <w:iCs/>
                <w:sz w:val="24"/>
                <w:szCs w:val="24"/>
                <w:u w:val="single"/>
                <w:lang w:eastAsia="lv-LV"/>
              </w:rPr>
            </w:pPr>
            <w:r w:rsidRPr="000551D6">
              <w:rPr>
                <w:rFonts w:ascii="Times New Roman" w:eastAsia="Times New Roman" w:hAnsi="Times New Roman" w:cs="Times New Roman"/>
                <w:iCs/>
                <w:sz w:val="24"/>
                <w:szCs w:val="24"/>
                <w:u w:val="single"/>
                <w:lang w:eastAsia="lv-LV"/>
              </w:rPr>
              <w:t xml:space="preserve">Kapitālās izmaksas – </w:t>
            </w:r>
            <w:r>
              <w:rPr>
                <w:rFonts w:ascii="Times New Roman" w:eastAsia="Times New Roman" w:hAnsi="Times New Roman" w:cs="Times New Roman"/>
                <w:iCs/>
                <w:sz w:val="24"/>
                <w:szCs w:val="24"/>
                <w:u w:val="single"/>
                <w:lang w:eastAsia="lv-LV"/>
              </w:rPr>
              <w:t>4750,67</w:t>
            </w:r>
            <w:r w:rsidRPr="000551D6">
              <w:rPr>
                <w:rFonts w:ascii="Times New Roman" w:eastAsia="Times New Roman" w:hAnsi="Times New Roman" w:cs="Times New Roman"/>
                <w:iCs/>
                <w:sz w:val="24"/>
                <w:szCs w:val="24"/>
                <w:u w:val="single"/>
                <w:lang w:eastAsia="lv-LV"/>
              </w:rPr>
              <w:t xml:space="preserve"> </w:t>
            </w:r>
            <w:proofErr w:type="spellStart"/>
            <w:r w:rsidRPr="000551D6">
              <w:rPr>
                <w:rFonts w:ascii="Times New Roman" w:eastAsia="Times New Roman" w:hAnsi="Times New Roman" w:cs="Times New Roman"/>
                <w:i/>
                <w:sz w:val="24"/>
                <w:szCs w:val="24"/>
                <w:u w:val="single"/>
                <w:lang w:eastAsia="lv-LV"/>
              </w:rPr>
              <w:t>euro</w:t>
            </w:r>
            <w:proofErr w:type="spellEnd"/>
            <w:r w:rsidRPr="000551D6">
              <w:rPr>
                <w:rFonts w:ascii="Times New Roman" w:eastAsia="Times New Roman" w:hAnsi="Times New Roman" w:cs="Times New Roman"/>
                <w:iCs/>
                <w:sz w:val="24"/>
                <w:szCs w:val="24"/>
                <w:u w:val="single"/>
                <w:lang w:eastAsia="lv-LV"/>
              </w:rPr>
              <w:t xml:space="preserve"> </w:t>
            </w:r>
          </w:p>
          <w:p w14:paraId="0A94EE37" w14:textId="77777777" w:rsidR="006C699A" w:rsidRPr="000551D6" w:rsidRDefault="006C699A" w:rsidP="001A0F6E">
            <w:pPr>
              <w:spacing w:after="0" w:line="240" w:lineRule="auto"/>
              <w:jc w:val="both"/>
              <w:rPr>
                <w:rFonts w:ascii="Times New Roman" w:eastAsia="Times New Roman" w:hAnsi="Times New Roman" w:cs="Times New Roman"/>
                <w:iCs/>
                <w:sz w:val="24"/>
                <w:szCs w:val="24"/>
                <w:lang w:eastAsia="lv-LV"/>
              </w:rPr>
            </w:pPr>
            <w:r w:rsidRPr="000551D6">
              <w:rPr>
                <w:rFonts w:ascii="Times New Roman" w:eastAsia="Times New Roman" w:hAnsi="Times New Roman" w:cs="Times New Roman"/>
                <w:iCs/>
                <w:sz w:val="24"/>
                <w:szCs w:val="24"/>
                <w:lang w:eastAsia="lv-LV"/>
              </w:rPr>
              <w:t xml:space="preserve">- ergonomisks darba galds – 800 </w:t>
            </w:r>
            <w:proofErr w:type="spellStart"/>
            <w:r w:rsidRPr="000551D6">
              <w:rPr>
                <w:rFonts w:ascii="Times New Roman" w:eastAsia="Times New Roman" w:hAnsi="Times New Roman" w:cs="Times New Roman"/>
                <w:i/>
                <w:sz w:val="24"/>
                <w:szCs w:val="24"/>
                <w:lang w:eastAsia="lv-LV"/>
              </w:rPr>
              <w:t>euro</w:t>
            </w:r>
            <w:proofErr w:type="spellEnd"/>
            <w:r w:rsidRPr="000551D6">
              <w:rPr>
                <w:rFonts w:ascii="Times New Roman" w:eastAsia="Times New Roman" w:hAnsi="Times New Roman" w:cs="Times New Roman"/>
                <w:iCs/>
                <w:sz w:val="24"/>
                <w:szCs w:val="24"/>
                <w:lang w:eastAsia="lv-LV"/>
              </w:rPr>
              <w:t>;</w:t>
            </w:r>
          </w:p>
          <w:p w14:paraId="0E836D27" w14:textId="77777777" w:rsidR="006C699A" w:rsidRDefault="006C699A" w:rsidP="001A0F6E">
            <w:pPr>
              <w:spacing w:after="0" w:line="240" w:lineRule="auto"/>
              <w:jc w:val="both"/>
              <w:rPr>
                <w:rFonts w:ascii="Times New Roman" w:eastAsia="Times New Roman" w:hAnsi="Times New Roman" w:cs="Times New Roman"/>
                <w:i/>
                <w:iCs/>
                <w:sz w:val="24"/>
                <w:szCs w:val="24"/>
                <w:lang w:eastAsia="lv-LV"/>
              </w:rPr>
            </w:pPr>
            <w:r w:rsidRPr="000551D6">
              <w:rPr>
                <w:rFonts w:ascii="Times New Roman" w:eastAsia="Times New Roman" w:hAnsi="Times New Roman" w:cs="Times New Roman"/>
                <w:iCs/>
                <w:sz w:val="24"/>
                <w:szCs w:val="24"/>
                <w:lang w:eastAsia="lv-LV"/>
              </w:rPr>
              <w:t xml:space="preserve">- portatīvais dators, </w:t>
            </w:r>
            <w:r w:rsidRPr="0084248B">
              <w:rPr>
                <w:rFonts w:ascii="Times New Roman" w:eastAsia="Times New Roman" w:hAnsi="Times New Roman" w:cs="Times New Roman"/>
                <w:iCs/>
                <w:sz w:val="24"/>
                <w:szCs w:val="24"/>
                <w:lang w:eastAsia="lv-LV"/>
              </w:rPr>
              <w:t>un portatīvais printeris</w:t>
            </w:r>
            <w:r>
              <w:rPr>
                <w:rFonts w:ascii="Times New Roman" w:eastAsia="Times New Roman" w:hAnsi="Times New Roman" w:cs="Times New Roman"/>
                <w:iCs/>
                <w:sz w:val="24"/>
                <w:szCs w:val="24"/>
                <w:lang w:eastAsia="lv-LV"/>
              </w:rPr>
              <w:t xml:space="preserve"> </w:t>
            </w:r>
            <w:r w:rsidRPr="0084248B">
              <w:rPr>
                <w:rFonts w:ascii="Times New Roman" w:eastAsia="Times New Roman" w:hAnsi="Times New Roman" w:cs="Times New Roman"/>
                <w:iCs/>
                <w:sz w:val="24"/>
                <w:szCs w:val="24"/>
                <w:lang w:eastAsia="lv-LV"/>
              </w:rPr>
              <w:t>– 2</w:t>
            </w:r>
            <w:r>
              <w:rPr>
                <w:rFonts w:ascii="Times New Roman" w:eastAsia="Times New Roman" w:hAnsi="Times New Roman" w:cs="Times New Roman"/>
                <w:iCs/>
                <w:sz w:val="24"/>
                <w:szCs w:val="24"/>
                <w:lang w:eastAsia="lv-LV"/>
              </w:rPr>
              <w:t>0</w:t>
            </w:r>
            <w:r w:rsidRPr="0084248B">
              <w:rPr>
                <w:rFonts w:ascii="Times New Roman" w:eastAsia="Times New Roman" w:hAnsi="Times New Roman" w:cs="Times New Roman"/>
                <w:iCs/>
                <w:sz w:val="24"/>
                <w:szCs w:val="24"/>
                <w:lang w:eastAsia="lv-LV"/>
              </w:rPr>
              <w:t xml:space="preserve">00 </w:t>
            </w:r>
            <w:proofErr w:type="spellStart"/>
            <w:r w:rsidRPr="0084248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w:t>
            </w:r>
          </w:p>
          <w:p w14:paraId="62FF3B58" w14:textId="77777777" w:rsidR="006C699A" w:rsidRPr="0084248B" w:rsidRDefault="006C699A" w:rsidP="001A0F6E">
            <w:pPr>
              <w:spacing w:after="0" w:line="240" w:lineRule="auto"/>
              <w:jc w:val="both"/>
              <w:rPr>
                <w:rFonts w:ascii="Times New Roman" w:eastAsia="Times New Roman" w:hAnsi="Times New Roman" w:cs="Times New Roman"/>
                <w:sz w:val="24"/>
                <w:szCs w:val="24"/>
                <w:lang w:eastAsia="lv-LV"/>
              </w:rPr>
            </w:pPr>
            <w:r w:rsidRPr="0084248B">
              <w:rPr>
                <w:rFonts w:ascii="Times New Roman" w:eastAsia="Times New Roman" w:hAnsi="Times New Roman" w:cs="Times New Roman"/>
                <w:sz w:val="24"/>
                <w:szCs w:val="24"/>
                <w:lang w:eastAsia="lv-LV"/>
              </w:rPr>
              <w:t>- operētājsistēmas, attiecīgo programmatūras licenču iegāde</w:t>
            </w:r>
            <w:r>
              <w:rPr>
                <w:rFonts w:ascii="Times New Roman" w:eastAsia="Times New Roman" w:hAnsi="Times New Roman" w:cs="Times New Roman"/>
                <w:sz w:val="24"/>
                <w:szCs w:val="24"/>
                <w:lang w:eastAsia="lv-LV"/>
              </w:rPr>
              <w:t xml:space="preserve"> – 700 </w:t>
            </w:r>
            <w:proofErr w:type="spellStart"/>
            <w:r w:rsidRPr="0084248B">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gadā;</w:t>
            </w:r>
          </w:p>
          <w:p w14:paraId="7494986D"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r w:rsidRPr="000551D6">
              <w:rPr>
                <w:rFonts w:ascii="Times New Roman" w:eastAsia="Times New Roman" w:hAnsi="Times New Roman" w:cs="Times New Roman"/>
                <w:iCs/>
                <w:sz w:val="24"/>
                <w:szCs w:val="24"/>
                <w:lang w:eastAsia="lv-LV"/>
              </w:rPr>
              <w:t xml:space="preserve">-programmas (attīstoties dažādām tehnoloģijām un izmeklēšanas metodēm, var mainīties): </w:t>
            </w:r>
          </w:p>
          <w:p w14:paraId="03A8784D" w14:textId="77777777" w:rsidR="006C699A" w:rsidRDefault="006C699A" w:rsidP="001A0F6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w:t>
            </w:r>
            <w:proofErr w:type="spellStart"/>
            <w:r w:rsidRPr="00716959">
              <w:rPr>
                <w:rFonts w:ascii="Times New Roman" w:eastAsia="Times New Roman" w:hAnsi="Times New Roman" w:cs="Times New Roman"/>
                <w:color w:val="000000"/>
                <w:sz w:val="24"/>
                <w:szCs w:val="24"/>
              </w:rPr>
              <w:t>TechSmith</w:t>
            </w:r>
            <w:proofErr w:type="spellEnd"/>
            <w:r w:rsidRPr="00716959">
              <w:rPr>
                <w:rFonts w:ascii="Times New Roman" w:eastAsia="Times New Roman" w:hAnsi="Times New Roman" w:cs="Times New Roman"/>
                <w:color w:val="000000"/>
                <w:sz w:val="24"/>
                <w:szCs w:val="24"/>
              </w:rPr>
              <w:t xml:space="preserve"> </w:t>
            </w:r>
            <w:proofErr w:type="spellStart"/>
            <w:r w:rsidRPr="00716959">
              <w:rPr>
                <w:rFonts w:ascii="Times New Roman" w:eastAsia="Times New Roman" w:hAnsi="Times New Roman" w:cs="Times New Roman"/>
                <w:color w:val="000000"/>
                <w:sz w:val="24"/>
                <w:szCs w:val="24"/>
              </w:rPr>
              <w:t>Camtasia</w:t>
            </w:r>
            <w:proofErr w:type="spellEnd"/>
            <w:r w:rsidRPr="0071695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716959">
              <w:rPr>
                <w:rFonts w:ascii="Times New Roman" w:eastAsia="Times New Roman" w:hAnsi="Times New Roman" w:cs="Times New Roman"/>
                <w:color w:val="000000"/>
                <w:sz w:val="24"/>
                <w:szCs w:val="24"/>
              </w:rPr>
              <w:t>programma, kas nepieciešama pierādījumu iegūšanai un šīs informācijas apstrādei - ar tās palīdzību</w:t>
            </w:r>
            <w:r>
              <w:rPr>
                <w:rFonts w:ascii="Times New Roman" w:eastAsia="Times New Roman" w:hAnsi="Times New Roman" w:cs="Times New Roman"/>
                <w:color w:val="000000"/>
                <w:sz w:val="24"/>
                <w:szCs w:val="24"/>
              </w:rPr>
              <w:t xml:space="preserve"> pārbaužu veikšanas un pierādījumu nostiprināšanas nolūkos</w:t>
            </w:r>
            <w:r w:rsidRPr="00716959">
              <w:rPr>
                <w:rFonts w:ascii="Times New Roman" w:eastAsia="Times New Roman" w:hAnsi="Times New Roman" w:cs="Times New Roman"/>
                <w:color w:val="000000"/>
                <w:sz w:val="24"/>
                <w:szCs w:val="24"/>
              </w:rPr>
              <w:t xml:space="preserve"> </w:t>
            </w:r>
            <w:proofErr w:type="gramStart"/>
            <w:r w:rsidRPr="00716959">
              <w:rPr>
                <w:rFonts w:ascii="Times New Roman" w:eastAsia="Times New Roman" w:hAnsi="Times New Roman" w:cs="Times New Roman"/>
                <w:color w:val="000000"/>
                <w:sz w:val="24"/>
                <w:szCs w:val="24"/>
              </w:rPr>
              <w:t>video formātā</w:t>
            </w:r>
            <w:proofErr w:type="gramEnd"/>
            <w:r w:rsidRPr="00716959">
              <w:rPr>
                <w:rFonts w:ascii="Times New Roman" w:eastAsia="Times New Roman" w:hAnsi="Times New Roman" w:cs="Times New Roman"/>
                <w:color w:val="000000"/>
                <w:sz w:val="24"/>
                <w:szCs w:val="24"/>
              </w:rPr>
              <w:t xml:space="preserve"> ierakst</w:t>
            </w:r>
            <w:r>
              <w:rPr>
                <w:rFonts w:ascii="Times New Roman" w:eastAsia="Times New Roman" w:hAnsi="Times New Roman" w:cs="Times New Roman"/>
                <w:color w:val="000000"/>
                <w:sz w:val="24"/>
                <w:szCs w:val="24"/>
              </w:rPr>
              <w:t>a</w:t>
            </w:r>
            <w:r w:rsidRPr="00716959">
              <w:rPr>
                <w:rFonts w:ascii="Times New Roman" w:eastAsia="Times New Roman" w:hAnsi="Times New Roman" w:cs="Times New Roman"/>
                <w:color w:val="000000"/>
                <w:sz w:val="24"/>
                <w:szCs w:val="24"/>
              </w:rPr>
              <w:t xml:space="preserve"> darbības, kas redzamas datora ekrānā</w:t>
            </w:r>
            <w:r>
              <w:rPr>
                <w:rFonts w:ascii="Times New Roman" w:eastAsia="Times New Roman" w:hAnsi="Times New Roman" w:cs="Times New Roman"/>
                <w:color w:val="000000"/>
                <w:sz w:val="24"/>
                <w:szCs w:val="24"/>
              </w:rPr>
              <w:t>) – 251, 67</w:t>
            </w:r>
            <w:r w:rsidRPr="00716959">
              <w:rPr>
                <w:rFonts w:ascii="Times New Roman" w:eastAsia="Times New Roman" w:hAnsi="Times New Roman" w:cs="Times New Roman"/>
                <w:i/>
                <w:iCs/>
                <w:color w:val="000000"/>
                <w:sz w:val="24"/>
                <w:szCs w:val="24"/>
              </w:rPr>
              <w:t xml:space="preserve"> </w:t>
            </w:r>
            <w:proofErr w:type="spellStart"/>
            <w:r w:rsidRPr="00716959">
              <w:rPr>
                <w:rFonts w:ascii="Times New Roman" w:eastAsia="Times New Roman" w:hAnsi="Times New Roman" w:cs="Times New Roman"/>
                <w:i/>
                <w:iCs/>
                <w:color w:val="000000"/>
                <w:sz w:val="24"/>
                <w:szCs w:val="24"/>
              </w:rPr>
              <w:t>euro</w:t>
            </w:r>
            <w:proofErr w:type="spellEnd"/>
            <w:r>
              <w:rPr>
                <w:rFonts w:ascii="Times New Roman" w:eastAsia="Times New Roman" w:hAnsi="Times New Roman" w:cs="Times New Roman"/>
                <w:i/>
                <w:iCs/>
                <w:color w:val="000000"/>
                <w:sz w:val="24"/>
                <w:szCs w:val="24"/>
              </w:rPr>
              <w:t>;</w:t>
            </w:r>
          </w:p>
          <w:p w14:paraId="711BC842" w14:textId="77777777" w:rsidR="006C699A" w:rsidRDefault="006C699A" w:rsidP="001A0F6E">
            <w:pPr>
              <w:spacing w:after="0" w:line="240" w:lineRule="auto"/>
              <w:rPr>
                <w:rFonts w:ascii="Times New Roman" w:eastAsia="Times New Roman" w:hAnsi="Times New Roman" w:cs="Times New Roman"/>
                <w:sz w:val="24"/>
                <w:szCs w:val="24"/>
              </w:rPr>
            </w:pPr>
            <w:r w:rsidRPr="000551D6">
              <w:rPr>
                <w:rFonts w:ascii="Times New Roman" w:eastAsia="Times New Roman" w:hAnsi="Times New Roman" w:cs="Times New Roman"/>
                <w:iCs/>
                <w:sz w:val="24"/>
                <w:szCs w:val="24"/>
                <w:lang w:eastAsia="lv-LV"/>
              </w:rPr>
              <w:t xml:space="preserve"> - </w:t>
            </w:r>
            <w:proofErr w:type="spellStart"/>
            <w:r w:rsidRPr="000551D6">
              <w:rPr>
                <w:rFonts w:ascii="Times New Roman" w:eastAsia="Times New Roman" w:hAnsi="Times New Roman" w:cs="Times New Roman"/>
                <w:iCs/>
                <w:sz w:val="24"/>
                <w:szCs w:val="24"/>
                <w:lang w:eastAsia="lv-LV"/>
              </w:rPr>
              <w:t>Maltego</w:t>
            </w:r>
            <w:proofErr w:type="spellEnd"/>
            <w:r w:rsidRPr="000551D6">
              <w:rPr>
                <w:rFonts w:ascii="Times New Roman" w:eastAsia="Times New Roman" w:hAnsi="Times New Roman" w:cs="Times New Roman"/>
                <w:iCs/>
                <w:sz w:val="24"/>
                <w:szCs w:val="24"/>
                <w:lang w:eastAsia="lv-LV"/>
              </w:rPr>
              <w:t xml:space="preserve"> (</w:t>
            </w:r>
            <w:r w:rsidRPr="00716959">
              <w:rPr>
                <w:rFonts w:ascii="Times New Roman" w:eastAsia="Times New Roman" w:hAnsi="Times New Roman" w:cs="Times New Roman"/>
                <w:color w:val="000000"/>
                <w:sz w:val="24"/>
                <w:szCs w:val="24"/>
              </w:rPr>
              <w:t>programma, kas nepieciešama pārkāpumu izmeklēšanai - dažādu subjektu un tiešsaistes objektu informācijas meklēšanai</w:t>
            </w:r>
            <w:r>
              <w:rPr>
                <w:rFonts w:ascii="Times New Roman" w:eastAsia="Times New Roman" w:hAnsi="Times New Roman" w:cs="Times New Roman"/>
                <w:color w:val="000000"/>
                <w:sz w:val="24"/>
                <w:szCs w:val="24"/>
              </w:rPr>
              <w:t xml:space="preserve">) - </w:t>
            </w:r>
            <w:r w:rsidRPr="00716959">
              <w:rPr>
                <w:rFonts w:ascii="Times New Roman" w:eastAsia="Times New Roman" w:hAnsi="Times New Roman" w:cs="Times New Roman"/>
                <w:sz w:val="24"/>
                <w:szCs w:val="24"/>
              </w:rPr>
              <w:t>999</w:t>
            </w:r>
            <w:r>
              <w:rPr>
                <w:rFonts w:ascii="Times New Roman" w:eastAsia="Times New Roman" w:hAnsi="Times New Roman" w:cs="Times New Roman"/>
                <w:sz w:val="24"/>
                <w:szCs w:val="24"/>
              </w:rPr>
              <w:t xml:space="preserve"> </w:t>
            </w:r>
            <w:proofErr w:type="spellStart"/>
            <w:r w:rsidRPr="00716959">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w:t>
            </w:r>
            <w:r w:rsidRPr="00716959">
              <w:rPr>
                <w:rFonts w:ascii="Times New Roman" w:eastAsia="Times New Roman" w:hAnsi="Times New Roman" w:cs="Times New Roman"/>
                <w:sz w:val="24"/>
                <w:szCs w:val="24"/>
              </w:rPr>
              <w:t>gad</w:t>
            </w:r>
            <w:r>
              <w:rPr>
                <w:rFonts w:ascii="Times New Roman" w:eastAsia="Times New Roman" w:hAnsi="Times New Roman" w:cs="Times New Roman"/>
                <w:sz w:val="24"/>
                <w:szCs w:val="24"/>
              </w:rPr>
              <w:t xml:space="preserve">ā </w:t>
            </w:r>
          </w:p>
          <w:p w14:paraId="51DE8536" w14:textId="77777777" w:rsidR="006C699A" w:rsidRDefault="006C699A" w:rsidP="001A0F6E">
            <w:pPr>
              <w:spacing w:after="0" w:line="240" w:lineRule="auto"/>
              <w:jc w:val="both"/>
              <w:rPr>
                <w:rFonts w:ascii="Times New Roman" w:eastAsia="Times New Roman" w:hAnsi="Times New Roman" w:cs="Times New Roman"/>
                <w:sz w:val="24"/>
                <w:szCs w:val="24"/>
              </w:rPr>
            </w:pPr>
          </w:p>
          <w:p w14:paraId="60A93E8F" w14:textId="77777777" w:rsidR="006C699A" w:rsidRDefault="006C699A" w:rsidP="001A0F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gadam budžeta izdevumi ir plānoti 23 061 </w:t>
            </w:r>
            <w:proofErr w:type="spellStart"/>
            <w:r w:rsidRPr="00662A4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apmērā, taču no 2022. gada izdevumi samazināsies par 3723 </w:t>
            </w:r>
            <w:proofErr w:type="spellStart"/>
            <w:r w:rsidRPr="00662A43">
              <w:rPr>
                <w:rFonts w:ascii="Times New Roman" w:eastAsia="Times New Roman" w:hAnsi="Times New Roman" w:cs="Times New Roman"/>
                <w:i/>
                <w:iCs/>
                <w:sz w:val="24"/>
                <w:szCs w:val="24"/>
              </w:rPr>
              <w:t>euro</w:t>
            </w:r>
            <w:proofErr w:type="spellEnd"/>
            <w:r>
              <w:rPr>
                <w:rFonts w:ascii="Times New Roman" w:eastAsia="Times New Roman" w:hAnsi="Times New Roman" w:cs="Times New Roman"/>
                <w:sz w:val="24"/>
                <w:szCs w:val="24"/>
              </w:rPr>
              <w:t xml:space="preserve">, jo atsevišķas kapitālās izmaksas, piemēram, ergonomiskais darba galds, portatīvais dators, printeris, programma </w:t>
            </w:r>
            <w:proofErr w:type="spellStart"/>
            <w:r w:rsidRPr="00B631A1">
              <w:rPr>
                <w:rFonts w:ascii="Times New Roman" w:eastAsia="Times New Roman" w:hAnsi="Times New Roman" w:cs="Times New Roman"/>
                <w:sz w:val="24"/>
                <w:szCs w:val="24"/>
              </w:rPr>
              <w:t>TechSmith</w:t>
            </w:r>
            <w:proofErr w:type="spellEnd"/>
            <w:r w:rsidRPr="00B631A1">
              <w:rPr>
                <w:rFonts w:ascii="Times New Roman" w:eastAsia="Times New Roman" w:hAnsi="Times New Roman" w:cs="Times New Roman"/>
                <w:sz w:val="24"/>
                <w:szCs w:val="24"/>
              </w:rPr>
              <w:t xml:space="preserve"> </w:t>
            </w:r>
            <w:proofErr w:type="spellStart"/>
            <w:r w:rsidRPr="00B631A1">
              <w:rPr>
                <w:rFonts w:ascii="Times New Roman" w:eastAsia="Times New Roman" w:hAnsi="Times New Roman" w:cs="Times New Roman"/>
                <w:sz w:val="24"/>
                <w:szCs w:val="24"/>
              </w:rPr>
              <w:t>Camtasia</w:t>
            </w:r>
            <w:proofErr w:type="spellEnd"/>
            <w:r>
              <w:rPr>
                <w:rFonts w:ascii="Times New Roman" w:eastAsia="Times New Roman" w:hAnsi="Times New Roman" w:cs="Times New Roman"/>
                <w:sz w:val="24"/>
                <w:szCs w:val="24"/>
              </w:rPr>
              <w:t xml:space="preserve">, un materiālais nodrošinājums - </w:t>
            </w:r>
            <w:r w:rsidRPr="00B631A1">
              <w:rPr>
                <w:rFonts w:ascii="Times New Roman" w:eastAsia="Times New Roman" w:hAnsi="Times New Roman" w:cs="Times New Roman"/>
                <w:iCs/>
                <w:sz w:val="24"/>
                <w:szCs w:val="24"/>
              </w:rPr>
              <w:t>darba krēsls</w:t>
            </w:r>
            <w:r>
              <w:rPr>
                <w:rFonts w:ascii="Times New Roman" w:eastAsia="Times New Roman" w:hAnsi="Times New Roman" w:cs="Times New Roman"/>
                <w:sz w:val="24"/>
                <w:szCs w:val="24"/>
              </w:rPr>
              <w:t xml:space="preserve">, </w:t>
            </w:r>
            <w:r w:rsidRPr="00B631A1">
              <w:rPr>
                <w:rFonts w:ascii="Times New Roman" w:eastAsia="Times New Roman" w:hAnsi="Times New Roman" w:cs="Times New Roman"/>
                <w:iCs/>
                <w:sz w:val="24"/>
                <w:szCs w:val="24"/>
              </w:rPr>
              <w:t>dokumentu skapis</w:t>
            </w:r>
            <w:r>
              <w:rPr>
                <w:rFonts w:ascii="Times New Roman" w:eastAsia="Times New Roman" w:hAnsi="Times New Roman" w:cs="Times New Roman"/>
                <w:iCs/>
                <w:sz w:val="24"/>
                <w:szCs w:val="24"/>
              </w:rPr>
              <w:t xml:space="preserve">, </w:t>
            </w:r>
            <w:r w:rsidRPr="00B631A1">
              <w:rPr>
                <w:rFonts w:ascii="Times New Roman" w:eastAsia="Times New Roman" w:hAnsi="Times New Roman" w:cs="Times New Roman"/>
                <w:iCs/>
                <w:sz w:val="24"/>
                <w:szCs w:val="24"/>
              </w:rPr>
              <w:t>drēbju pakaramais</w:t>
            </w:r>
            <w:r>
              <w:rPr>
                <w:rFonts w:ascii="Times New Roman" w:eastAsia="Times New Roman" w:hAnsi="Times New Roman" w:cs="Times New Roman"/>
                <w:iCs/>
                <w:sz w:val="24"/>
                <w:szCs w:val="24"/>
              </w:rPr>
              <w:t xml:space="preserve">, </w:t>
            </w:r>
            <w:r>
              <w:rPr>
                <w:rFonts w:ascii="Times New Roman" w:eastAsia="Times New Roman" w:hAnsi="Times New Roman" w:cs="Times New Roman"/>
                <w:sz w:val="24"/>
                <w:szCs w:val="24"/>
              </w:rPr>
              <w:t xml:space="preserve">ir vienreizējs izdevums. </w:t>
            </w:r>
          </w:p>
          <w:p w14:paraId="57D1DAE6" w14:textId="77777777" w:rsidR="006C699A" w:rsidRPr="00716959" w:rsidRDefault="006C699A" w:rsidP="001A0F6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026EBB">
              <w:rPr>
                <w:rFonts w:ascii="Times New Roman" w:eastAsia="Times New Roman" w:hAnsi="Times New Roman" w:cs="Times New Roman"/>
                <w:sz w:val="24"/>
                <w:szCs w:val="24"/>
              </w:rPr>
              <w:t>ikumprojekta 11</w:t>
            </w:r>
            <w:r w:rsidRPr="00026EBB">
              <w:rPr>
                <w:rFonts w:ascii="Times New Roman" w:eastAsia="Times New Roman" w:hAnsi="Times New Roman" w:cs="Times New Roman"/>
                <w:sz w:val="24"/>
                <w:szCs w:val="24"/>
                <w:vertAlign w:val="superscript"/>
              </w:rPr>
              <w:t>2</w:t>
            </w:r>
            <w:r w:rsidRPr="00026EBB">
              <w:rPr>
                <w:rFonts w:ascii="Times New Roman" w:eastAsia="Times New Roman" w:hAnsi="Times New Roman" w:cs="Times New Roman"/>
                <w:sz w:val="24"/>
                <w:szCs w:val="24"/>
              </w:rPr>
              <w:t>. panta otrā daļ</w:t>
            </w:r>
            <w:r>
              <w:rPr>
                <w:rFonts w:ascii="Times New Roman" w:eastAsia="Times New Roman" w:hAnsi="Times New Roman" w:cs="Times New Roman"/>
                <w:sz w:val="24"/>
                <w:szCs w:val="24"/>
              </w:rPr>
              <w:t>ā</w:t>
            </w:r>
            <w:r w:rsidRPr="00026EBB">
              <w:rPr>
                <w:rFonts w:ascii="Times New Roman" w:eastAsia="Times New Roman" w:hAnsi="Times New Roman" w:cs="Times New Roman"/>
                <w:sz w:val="24"/>
                <w:szCs w:val="24"/>
              </w:rPr>
              <w:t xml:space="preserve"> paredz</w:t>
            </w:r>
            <w:r>
              <w:rPr>
                <w:rFonts w:ascii="Times New Roman" w:eastAsia="Times New Roman" w:hAnsi="Times New Roman" w:cs="Times New Roman"/>
                <w:sz w:val="24"/>
                <w:szCs w:val="24"/>
              </w:rPr>
              <w:t>ētā</w:t>
            </w:r>
            <w:r w:rsidRPr="00026EBB">
              <w:rPr>
                <w:rFonts w:ascii="Times New Roman" w:eastAsia="Times New Roman" w:hAnsi="Times New Roman" w:cs="Times New Roman"/>
                <w:sz w:val="24"/>
                <w:szCs w:val="24"/>
              </w:rPr>
              <w:t xml:space="preserve"> komerciālo vai korporatīvo tīmekļvietņu lietotāju interešu pārstāvības reģistra izveid</w:t>
            </w:r>
            <w:r>
              <w:rPr>
                <w:rFonts w:ascii="Times New Roman" w:eastAsia="Times New Roman" w:hAnsi="Times New Roman" w:cs="Times New Roman"/>
                <w:sz w:val="24"/>
                <w:szCs w:val="24"/>
              </w:rPr>
              <w:t xml:space="preserve">e un uzturēšana tiks nodrošināta esošā Ekonomikas ministrijas budžeta ietvaros. </w:t>
            </w:r>
          </w:p>
        </w:tc>
      </w:tr>
      <w:tr w:rsidR="006C699A" w:rsidRPr="00667396" w14:paraId="529CD02F" w14:textId="77777777" w:rsidTr="001A0F6E">
        <w:trPr>
          <w:trHeight w:val="831"/>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0C55A558"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t>6.1. detalizēts ieņēmumu aprēķins</w:t>
            </w:r>
          </w:p>
        </w:tc>
        <w:tc>
          <w:tcPr>
            <w:tcW w:w="4115" w:type="pct"/>
            <w:gridSpan w:val="7"/>
            <w:vMerge/>
            <w:tcBorders>
              <w:top w:val="outset" w:sz="6" w:space="0" w:color="auto"/>
              <w:left w:val="outset" w:sz="6" w:space="0" w:color="auto"/>
              <w:bottom w:val="outset" w:sz="6" w:space="0" w:color="auto"/>
              <w:right w:val="outset" w:sz="6" w:space="0" w:color="auto"/>
            </w:tcBorders>
            <w:vAlign w:val="center"/>
            <w:hideMark/>
          </w:tcPr>
          <w:p w14:paraId="4CB4E407"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p>
        </w:tc>
      </w:tr>
      <w:tr w:rsidR="006C699A" w:rsidRPr="00667396" w14:paraId="5B5E9A85" w14:textId="77777777" w:rsidTr="001A0F6E">
        <w:trPr>
          <w:trHeight w:val="3076"/>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64EB8DA3"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lastRenderedPageBreak/>
              <w:t>6.2. detalizēts izdevumu aprēķins</w:t>
            </w:r>
          </w:p>
        </w:tc>
        <w:tc>
          <w:tcPr>
            <w:tcW w:w="4115" w:type="pct"/>
            <w:gridSpan w:val="7"/>
            <w:vMerge/>
            <w:tcBorders>
              <w:top w:val="outset" w:sz="6" w:space="0" w:color="auto"/>
              <w:left w:val="outset" w:sz="6" w:space="0" w:color="auto"/>
              <w:bottom w:val="outset" w:sz="6" w:space="0" w:color="auto"/>
              <w:right w:val="outset" w:sz="6" w:space="0" w:color="auto"/>
            </w:tcBorders>
            <w:vAlign w:val="center"/>
            <w:hideMark/>
          </w:tcPr>
          <w:p w14:paraId="3BA59C01"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p>
        </w:tc>
      </w:tr>
      <w:tr w:rsidR="006C699A" w:rsidRPr="00667396" w14:paraId="6A1148C3" w14:textId="77777777" w:rsidTr="001A0F6E">
        <w:trPr>
          <w:trHeight w:val="689"/>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575AB715"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lastRenderedPageBreak/>
              <w:t>7. Amata vietu skaita izmaiņas</w:t>
            </w:r>
          </w:p>
        </w:tc>
        <w:tc>
          <w:tcPr>
            <w:tcW w:w="4115" w:type="pct"/>
            <w:gridSpan w:val="7"/>
            <w:tcBorders>
              <w:top w:val="outset" w:sz="6" w:space="0" w:color="auto"/>
              <w:left w:val="outset" w:sz="6" w:space="0" w:color="auto"/>
              <w:bottom w:val="outset" w:sz="6" w:space="0" w:color="auto"/>
              <w:right w:val="outset" w:sz="6" w:space="0" w:color="auto"/>
            </w:tcBorders>
            <w:hideMark/>
          </w:tcPr>
          <w:p w14:paraId="4E2E8781" w14:textId="77777777" w:rsidR="006C699A" w:rsidRPr="000E10BC" w:rsidRDefault="006C699A" w:rsidP="001A0F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Funkciju nodrošināšanai </w:t>
            </w:r>
            <w:r w:rsidRPr="003A0E74">
              <w:rPr>
                <w:rFonts w:ascii="Times New Roman" w:eastAsia="Times New Roman" w:hAnsi="Times New Roman" w:cs="Times New Roman"/>
                <w:iCs/>
                <w:sz w:val="24"/>
                <w:szCs w:val="24"/>
                <w:lang w:eastAsia="lv-LV"/>
              </w:rPr>
              <w:t xml:space="preserve">PTAC </w:t>
            </w:r>
            <w:r>
              <w:rPr>
                <w:rFonts w:ascii="Times New Roman" w:eastAsia="Times New Roman" w:hAnsi="Times New Roman" w:cs="Times New Roman"/>
                <w:iCs/>
                <w:sz w:val="24"/>
                <w:szCs w:val="24"/>
                <w:lang w:eastAsia="lv-LV"/>
              </w:rPr>
              <w:t>nepieciešama 1 amata vieta</w:t>
            </w:r>
            <w:r w:rsidRPr="003A0E74">
              <w:rPr>
                <w:rFonts w:ascii="Times New Roman" w:eastAsia="Times New Roman" w:hAnsi="Times New Roman" w:cs="Times New Roman"/>
                <w:iCs/>
                <w:sz w:val="24"/>
                <w:szCs w:val="24"/>
                <w:lang w:eastAsia="lv-LV"/>
              </w:rPr>
              <w:t>, nepalielinot kopējo amata vietu skaitu Ekonomikas ministrijas resorā</w:t>
            </w:r>
            <w:r>
              <w:rPr>
                <w:rFonts w:ascii="Times New Roman" w:eastAsia="Times New Roman" w:hAnsi="Times New Roman" w:cs="Times New Roman"/>
                <w:iCs/>
                <w:sz w:val="24"/>
                <w:szCs w:val="24"/>
                <w:lang w:eastAsia="lv-LV"/>
              </w:rPr>
              <w:t>.</w:t>
            </w:r>
          </w:p>
        </w:tc>
      </w:tr>
      <w:tr w:rsidR="006C699A" w:rsidRPr="00667396" w14:paraId="7A53F8C8" w14:textId="77777777" w:rsidTr="001A0F6E">
        <w:trPr>
          <w:trHeight w:val="2068"/>
          <w:tblCellSpacing w:w="15" w:type="dxa"/>
        </w:trPr>
        <w:tc>
          <w:tcPr>
            <w:tcW w:w="836" w:type="pct"/>
            <w:tcBorders>
              <w:top w:val="outset" w:sz="6" w:space="0" w:color="auto"/>
              <w:left w:val="outset" w:sz="6" w:space="0" w:color="auto"/>
              <w:bottom w:val="outset" w:sz="6" w:space="0" w:color="auto"/>
              <w:right w:val="outset" w:sz="6" w:space="0" w:color="auto"/>
            </w:tcBorders>
            <w:hideMark/>
          </w:tcPr>
          <w:p w14:paraId="34214612" w14:textId="77777777" w:rsidR="006C699A" w:rsidRPr="00B62A96" w:rsidRDefault="006C699A" w:rsidP="001A0F6E">
            <w:pPr>
              <w:spacing w:after="0" w:line="240" w:lineRule="auto"/>
              <w:rPr>
                <w:rFonts w:ascii="Times New Roman" w:eastAsia="Times New Roman" w:hAnsi="Times New Roman" w:cs="Times New Roman"/>
                <w:iCs/>
                <w:sz w:val="24"/>
                <w:szCs w:val="24"/>
                <w:lang w:eastAsia="lv-LV"/>
              </w:rPr>
            </w:pPr>
            <w:r w:rsidRPr="00B62A96">
              <w:rPr>
                <w:rFonts w:ascii="Times New Roman" w:eastAsia="Times New Roman" w:hAnsi="Times New Roman" w:cs="Times New Roman"/>
                <w:iCs/>
                <w:sz w:val="24"/>
                <w:szCs w:val="24"/>
                <w:lang w:eastAsia="lv-LV"/>
              </w:rPr>
              <w:t>8. Cita informācija</w:t>
            </w:r>
          </w:p>
        </w:tc>
        <w:tc>
          <w:tcPr>
            <w:tcW w:w="4115" w:type="pct"/>
            <w:gridSpan w:val="7"/>
            <w:tcBorders>
              <w:top w:val="outset" w:sz="6" w:space="0" w:color="auto"/>
              <w:left w:val="outset" w:sz="6" w:space="0" w:color="auto"/>
              <w:bottom w:val="outset" w:sz="6" w:space="0" w:color="auto"/>
              <w:right w:val="outset" w:sz="6" w:space="0" w:color="auto"/>
            </w:tcBorders>
            <w:hideMark/>
          </w:tcPr>
          <w:p w14:paraId="7B89E339"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proofErr w:type="gramStart"/>
            <w:r w:rsidRPr="00E06AB0">
              <w:rPr>
                <w:rFonts w:ascii="Times New Roman" w:eastAsia="Times New Roman" w:hAnsi="Times New Roman" w:cs="Times New Roman"/>
                <w:iCs/>
                <w:sz w:val="24"/>
                <w:szCs w:val="24"/>
                <w:lang w:eastAsia="lv-LV"/>
              </w:rPr>
              <w:t>2020.gada</w:t>
            </w:r>
            <w:proofErr w:type="gramEnd"/>
            <w:r w:rsidRPr="00E06AB0">
              <w:rPr>
                <w:rFonts w:ascii="Times New Roman" w:eastAsia="Times New Roman" w:hAnsi="Times New Roman" w:cs="Times New Roman"/>
                <w:iCs/>
                <w:sz w:val="24"/>
                <w:szCs w:val="24"/>
                <w:lang w:eastAsia="lv-LV"/>
              </w:rPr>
              <w:t xml:space="preserve"> 22.septembrī Ministru kabinetā </w:t>
            </w:r>
            <w:r>
              <w:rPr>
                <w:rFonts w:ascii="Times New Roman" w:eastAsia="Times New Roman" w:hAnsi="Times New Roman" w:cs="Times New Roman"/>
                <w:iCs/>
                <w:sz w:val="24"/>
                <w:szCs w:val="24"/>
                <w:lang w:eastAsia="lv-LV"/>
              </w:rPr>
              <w:t xml:space="preserve">ir atbalstīts </w:t>
            </w:r>
            <w:r w:rsidRPr="00E06AB0">
              <w:rPr>
                <w:rFonts w:ascii="Times New Roman" w:eastAsia="Times New Roman" w:hAnsi="Times New Roman" w:cs="Times New Roman"/>
                <w:iCs/>
                <w:sz w:val="24"/>
                <w:szCs w:val="24"/>
                <w:lang w:eastAsia="lv-LV"/>
              </w:rPr>
              <w:t>informatīvais ziņojums "Par priekšlikumiem valsts budžeta ieņēmumiem un izdevumiem 2021.gadam un ietvaram 2021.–2023.gadam"</w:t>
            </w:r>
            <w:r>
              <w:rPr>
                <w:rFonts w:ascii="Times New Roman" w:eastAsia="Times New Roman" w:hAnsi="Times New Roman" w:cs="Times New Roman"/>
                <w:iCs/>
                <w:sz w:val="24"/>
                <w:szCs w:val="24"/>
                <w:lang w:eastAsia="lv-LV"/>
              </w:rPr>
              <w:t xml:space="preserve">, kurā ir iekļauts </w:t>
            </w:r>
            <w:r w:rsidRPr="00E06AB0">
              <w:rPr>
                <w:rFonts w:ascii="Times New Roman" w:eastAsia="Times New Roman" w:hAnsi="Times New Roman" w:cs="Times New Roman"/>
                <w:iCs/>
                <w:sz w:val="24"/>
                <w:szCs w:val="24"/>
                <w:lang w:eastAsia="lv-LV"/>
              </w:rPr>
              <w:t xml:space="preserve">Ekonomikas ministrijas </w:t>
            </w:r>
            <w:r>
              <w:rPr>
                <w:rFonts w:ascii="Times New Roman" w:eastAsia="Times New Roman" w:hAnsi="Times New Roman" w:cs="Times New Roman"/>
                <w:iCs/>
                <w:sz w:val="24"/>
                <w:szCs w:val="24"/>
                <w:lang w:eastAsia="lv-LV"/>
              </w:rPr>
              <w:t xml:space="preserve">fiskāli neitrālais </w:t>
            </w:r>
            <w:r w:rsidRPr="00E06AB0">
              <w:rPr>
                <w:rFonts w:ascii="Times New Roman" w:eastAsia="Times New Roman" w:hAnsi="Times New Roman" w:cs="Times New Roman"/>
                <w:iCs/>
                <w:sz w:val="24"/>
                <w:szCs w:val="24"/>
                <w:lang w:eastAsia="lv-LV"/>
              </w:rPr>
              <w:t>priekš</w:t>
            </w:r>
            <w:r>
              <w:rPr>
                <w:rFonts w:ascii="Times New Roman" w:eastAsia="Times New Roman" w:hAnsi="Times New Roman" w:cs="Times New Roman"/>
                <w:iCs/>
                <w:sz w:val="24"/>
                <w:szCs w:val="24"/>
                <w:lang w:eastAsia="lv-LV"/>
              </w:rPr>
              <w:t>likums, kas cita starpā nodrošina</w:t>
            </w:r>
            <w:r w:rsidRPr="00E06AB0">
              <w:rPr>
                <w:rFonts w:ascii="Times New Roman" w:eastAsia="Times New Roman" w:hAnsi="Times New Roman" w:cs="Times New Roman"/>
                <w:iCs/>
                <w:sz w:val="24"/>
                <w:szCs w:val="24"/>
                <w:lang w:eastAsia="lv-LV"/>
              </w:rPr>
              <w:t xml:space="preserve"> papildu nepieciešamo finansējumu PTAC kapacitātes stiprināšanai.</w:t>
            </w:r>
          </w:p>
          <w:p w14:paraId="73DEF4DE" w14:textId="77777777" w:rsidR="006C699A" w:rsidRDefault="006C699A" w:rsidP="001A0F6E">
            <w:pPr>
              <w:spacing w:after="0" w:line="240" w:lineRule="auto"/>
              <w:jc w:val="both"/>
              <w:rPr>
                <w:rFonts w:ascii="Times New Roman" w:eastAsia="Times New Roman" w:hAnsi="Times New Roman" w:cs="Times New Roman"/>
                <w:iCs/>
                <w:sz w:val="24"/>
                <w:szCs w:val="24"/>
                <w:lang w:eastAsia="lv-LV"/>
              </w:rPr>
            </w:pPr>
            <w:r w:rsidRPr="00E06AB0">
              <w:rPr>
                <w:rFonts w:ascii="Times New Roman" w:eastAsia="Times New Roman" w:hAnsi="Times New Roman" w:cs="Times New Roman"/>
                <w:iCs/>
                <w:sz w:val="24"/>
                <w:szCs w:val="24"/>
                <w:lang w:eastAsia="lv-LV"/>
              </w:rPr>
              <w:t>PTAC nepieciešamais finansējums Re</w:t>
            </w:r>
            <w:r>
              <w:rPr>
                <w:rFonts w:ascii="Times New Roman" w:eastAsia="Times New Roman" w:hAnsi="Times New Roman" w:cs="Times New Roman"/>
                <w:iCs/>
                <w:sz w:val="24"/>
                <w:szCs w:val="24"/>
                <w:lang w:eastAsia="lv-LV"/>
              </w:rPr>
              <w:t xml:space="preserve">gulas (ES) 2019/1150 īstenošanai </w:t>
            </w:r>
            <w:r w:rsidRPr="00E06AB0">
              <w:rPr>
                <w:rFonts w:ascii="Times New Roman" w:eastAsia="Times New Roman" w:hAnsi="Times New Roman" w:cs="Times New Roman"/>
                <w:iCs/>
                <w:sz w:val="24"/>
                <w:szCs w:val="24"/>
                <w:lang w:eastAsia="lv-LV"/>
              </w:rPr>
              <w:t xml:space="preserve">ir iekļauts likumprojektā “Par valsts budžetu </w:t>
            </w:r>
            <w:proofErr w:type="gramStart"/>
            <w:r w:rsidRPr="00E06AB0">
              <w:rPr>
                <w:rFonts w:ascii="Times New Roman" w:eastAsia="Times New Roman" w:hAnsi="Times New Roman" w:cs="Times New Roman"/>
                <w:iCs/>
                <w:sz w:val="24"/>
                <w:szCs w:val="24"/>
                <w:lang w:eastAsia="lv-LV"/>
              </w:rPr>
              <w:t>2021.gadam</w:t>
            </w:r>
            <w:proofErr w:type="gramEnd"/>
            <w:r w:rsidRPr="00E06AB0">
              <w:rPr>
                <w:rFonts w:ascii="Times New Roman" w:eastAsia="Times New Roman" w:hAnsi="Times New Roman" w:cs="Times New Roman"/>
                <w:iCs/>
                <w:sz w:val="24"/>
                <w:szCs w:val="24"/>
                <w:lang w:eastAsia="lv-LV"/>
              </w:rPr>
              <w:t>” un likumprojektā “Par vidēja termiņa budžeta ietvaru 2021., 2022. un 2023.gadam”.</w:t>
            </w:r>
          </w:p>
          <w:p w14:paraId="4B64EFE5" w14:textId="77777777" w:rsidR="006C699A" w:rsidRPr="0095368B" w:rsidRDefault="006C699A" w:rsidP="001A0F6E">
            <w:pPr>
              <w:spacing w:after="0" w:line="240" w:lineRule="auto"/>
              <w:jc w:val="both"/>
              <w:rPr>
                <w:rFonts w:ascii="Times New Roman" w:eastAsia="Times New Roman" w:hAnsi="Times New Roman" w:cs="Times New Roman"/>
                <w:iCs/>
                <w:sz w:val="24"/>
                <w:szCs w:val="24"/>
                <w:lang w:eastAsia="lv-LV"/>
              </w:rPr>
            </w:pPr>
          </w:p>
        </w:tc>
      </w:tr>
    </w:tbl>
    <w:p w14:paraId="027C13A3" w14:textId="77777777" w:rsidR="006C699A" w:rsidRDefault="006C699A" w:rsidP="006C699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055"/>
      </w:tblGrid>
      <w:tr w:rsidR="006C699A" w:rsidRPr="00DA5D6D" w14:paraId="32018391" w14:textId="77777777" w:rsidTr="001A0F6E">
        <w:trPr>
          <w:tblCellSpacing w:w="20" w:type="dxa"/>
        </w:trPr>
        <w:tc>
          <w:tcPr>
            <w:tcW w:w="0" w:type="auto"/>
            <w:shd w:val="clear" w:color="auto" w:fill="FFFFFF"/>
            <w:vAlign w:val="center"/>
            <w:hideMark/>
          </w:tcPr>
          <w:p w14:paraId="6D09F4CE" w14:textId="77777777" w:rsidR="006C699A" w:rsidRPr="00DA5D6D" w:rsidRDefault="006C699A" w:rsidP="001A0F6E">
            <w:pPr>
              <w:spacing w:after="0" w:line="240" w:lineRule="auto"/>
              <w:jc w:val="center"/>
              <w:rPr>
                <w:rFonts w:ascii="Times New Roman" w:hAnsi="Times New Roman" w:cs="Times New Roman"/>
                <w:b/>
                <w:bCs/>
                <w:sz w:val="24"/>
                <w:szCs w:val="24"/>
              </w:rPr>
            </w:pPr>
            <w:r w:rsidRPr="00DA5D6D">
              <w:rPr>
                <w:rFonts w:ascii="Times New Roman" w:hAnsi="Times New Roman" w:cs="Times New Roman"/>
                <w:b/>
                <w:bCs/>
                <w:sz w:val="24"/>
                <w:szCs w:val="24"/>
              </w:rPr>
              <w:t>IV. Tiesību akta projekta ietekme uz spēkā esošo tiesību normu sistēmu</w:t>
            </w:r>
          </w:p>
        </w:tc>
      </w:tr>
      <w:tr w:rsidR="006C699A" w:rsidRPr="00DA5D6D" w14:paraId="349B0F21" w14:textId="77777777" w:rsidTr="001A0F6E">
        <w:trPr>
          <w:trHeight w:val="255"/>
          <w:tblCellSpacing w:w="20" w:type="dxa"/>
        </w:trPr>
        <w:tc>
          <w:tcPr>
            <w:tcW w:w="5000" w:type="pct"/>
            <w:shd w:val="clear" w:color="auto" w:fill="FFFFFF"/>
          </w:tcPr>
          <w:p w14:paraId="7F211E79" w14:textId="77777777" w:rsidR="006C699A" w:rsidRDefault="006C699A" w:rsidP="001A0F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w:t>
            </w:r>
            <w:r w:rsidRPr="00DA5D6D">
              <w:rPr>
                <w:rFonts w:ascii="Times New Roman" w:hAnsi="Times New Roman" w:cs="Times New Roman"/>
                <w:sz w:val="24"/>
                <w:szCs w:val="24"/>
              </w:rPr>
              <w:t>rojekts šo jomu neskar</w:t>
            </w:r>
          </w:p>
        </w:tc>
      </w:tr>
    </w:tbl>
    <w:p w14:paraId="3BA0328A" w14:textId="77777777" w:rsidR="006C699A" w:rsidRPr="00667396" w:rsidRDefault="006C699A" w:rsidP="006C699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6C699A" w:rsidRPr="00667396" w14:paraId="54188F42" w14:textId="77777777" w:rsidTr="001A0F6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BFB1E7" w14:textId="77777777" w:rsidR="006C699A" w:rsidRPr="00751BAD" w:rsidRDefault="006C699A" w:rsidP="001A0F6E">
            <w:pPr>
              <w:spacing w:after="0" w:line="240" w:lineRule="auto"/>
              <w:jc w:val="center"/>
              <w:rPr>
                <w:rFonts w:ascii="Times New Roman" w:eastAsia="Times New Roman" w:hAnsi="Times New Roman" w:cs="Times New Roman"/>
                <w:b/>
                <w:bCs/>
                <w:iCs/>
                <w:sz w:val="24"/>
                <w:szCs w:val="24"/>
                <w:lang w:eastAsia="lv-LV"/>
              </w:rPr>
            </w:pPr>
            <w:r w:rsidRPr="00751BAD">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C699A" w:rsidRPr="00667396" w14:paraId="6C5E519E" w14:textId="77777777" w:rsidTr="001A0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D3CB47D"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CE4ED43"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Saistības pret Eiropas Savienību</w:t>
            </w:r>
          </w:p>
        </w:tc>
        <w:tc>
          <w:tcPr>
            <w:tcW w:w="2961" w:type="pct"/>
            <w:tcBorders>
              <w:top w:val="outset" w:sz="6" w:space="0" w:color="auto"/>
              <w:left w:val="outset" w:sz="6" w:space="0" w:color="auto"/>
              <w:bottom w:val="outset" w:sz="6" w:space="0" w:color="auto"/>
              <w:right w:val="outset" w:sz="6" w:space="0" w:color="auto"/>
            </w:tcBorders>
            <w:hideMark/>
          </w:tcPr>
          <w:p w14:paraId="656EF29D" w14:textId="77777777" w:rsidR="006C699A" w:rsidRPr="00751BAD" w:rsidRDefault="006C699A" w:rsidP="001A0F6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likumprojektā ietverto regulējumu tiek izpildītas </w:t>
            </w:r>
            <w:r w:rsidRPr="00751BAD">
              <w:rPr>
                <w:rFonts w:ascii="Times New Roman" w:eastAsia="Times New Roman" w:hAnsi="Times New Roman" w:cs="Times New Roman"/>
                <w:iCs/>
                <w:sz w:val="24"/>
                <w:szCs w:val="24"/>
                <w:lang w:eastAsia="lv-LV"/>
              </w:rPr>
              <w:t>Regula</w:t>
            </w:r>
            <w:r>
              <w:rPr>
                <w:rFonts w:ascii="Times New Roman" w:eastAsia="Times New Roman" w:hAnsi="Times New Roman" w:cs="Times New Roman"/>
                <w:iCs/>
                <w:sz w:val="24"/>
                <w:szCs w:val="24"/>
                <w:lang w:eastAsia="lv-LV"/>
              </w:rPr>
              <w:t>s</w:t>
            </w:r>
            <w:r w:rsidRPr="00751BAD">
              <w:rPr>
                <w:rFonts w:ascii="Times New Roman" w:eastAsia="Times New Roman" w:hAnsi="Times New Roman" w:cs="Times New Roman"/>
                <w:iCs/>
                <w:sz w:val="24"/>
                <w:szCs w:val="24"/>
                <w:lang w:eastAsia="lv-LV"/>
              </w:rPr>
              <w:t xml:space="preserve"> (ES) </w:t>
            </w:r>
            <w:bookmarkStart w:id="1" w:name="_Hlk41907746"/>
            <w:r w:rsidRPr="00751BAD">
              <w:rPr>
                <w:rFonts w:ascii="Times New Roman" w:eastAsia="Times New Roman" w:hAnsi="Times New Roman" w:cs="Times New Roman"/>
                <w:iCs/>
                <w:sz w:val="24"/>
                <w:szCs w:val="24"/>
                <w:lang w:eastAsia="lv-LV"/>
              </w:rPr>
              <w:t xml:space="preserve">2019/1150 </w:t>
            </w:r>
            <w:bookmarkEnd w:id="1"/>
            <w:r>
              <w:rPr>
                <w:rFonts w:ascii="Times New Roman" w:hAnsi="Times New Roman" w:cs="Times New Roman"/>
                <w:bCs/>
                <w:sz w:val="24"/>
                <w:szCs w:val="24"/>
                <w:shd w:val="clear" w:color="auto" w:fill="FFFFFF"/>
              </w:rPr>
              <w:t xml:space="preserve">prasības, kas stājas spēkā 2020. gada 12. jūlijā. </w:t>
            </w:r>
          </w:p>
        </w:tc>
      </w:tr>
      <w:tr w:rsidR="006C699A" w:rsidRPr="00667396" w14:paraId="29FE26A8" w14:textId="77777777" w:rsidTr="001A0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6DF968"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B05F0E9"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proofErr w:type="gramStart"/>
            <w:r w:rsidRPr="00751BAD">
              <w:rPr>
                <w:rFonts w:ascii="Times New Roman" w:eastAsia="Times New Roman" w:hAnsi="Times New Roman" w:cs="Times New Roman"/>
                <w:iCs/>
                <w:sz w:val="24"/>
                <w:szCs w:val="24"/>
                <w:lang w:eastAsia="lv-LV"/>
              </w:rPr>
              <w:t>Citas starptautiskās saistības</w:t>
            </w:r>
            <w:proofErr w:type="gramEnd"/>
          </w:p>
        </w:tc>
        <w:tc>
          <w:tcPr>
            <w:tcW w:w="2961" w:type="pct"/>
            <w:tcBorders>
              <w:top w:val="outset" w:sz="6" w:space="0" w:color="auto"/>
              <w:left w:val="outset" w:sz="6" w:space="0" w:color="auto"/>
              <w:bottom w:val="outset" w:sz="6" w:space="0" w:color="auto"/>
              <w:right w:val="outset" w:sz="6" w:space="0" w:color="auto"/>
            </w:tcBorders>
            <w:hideMark/>
          </w:tcPr>
          <w:p w14:paraId="7DF7E44C"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1C031E">
              <w:rPr>
                <w:rFonts w:ascii="Times New Roman" w:eastAsia="Times New Roman" w:hAnsi="Times New Roman" w:cs="Times New Roman"/>
                <w:iCs/>
                <w:sz w:val="24"/>
                <w:szCs w:val="24"/>
                <w:lang w:eastAsia="lv-LV"/>
              </w:rPr>
              <w:t>Projekts šo jomu neskar</w:t>
            </w:r>
          </w:p>
        </w:tc>
      </w:tr>
      <w:tr w:rsidR="006C699A" w:rsidRPr="00667396" w14:paraId="2C0C886B" w14:textId="77777777" w:rsidTr="001A0F6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1DB601"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0CDBF5F8"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6D77E802" w14:textId="77777777" w:rsidR="006C699A" w:rsidRPr="00751BAD" w:rsidRDefault="006C699A" w:rsidP="001A0F6E">
            <w:pPr>
              <w:spacing w:after="0" w:line="240" w:lineRule="auto"/>
              <w:rPr>
                <w:rFonts w:ascii="Times New Roman" w:eastAsia="Times New Roman" w:hAnsi="Times New Roman" w:cs="Times New Roman"/>
                <w:iCs/>
                <w:sz w:val="24"/>
                <w:szCs w:val="24"/>
                <w:lang w:eastAsia="lv-LV"/>
              </w:rPr>
            </w:pPr>
            <w:r w:rsidRPr="00751BAD">
              <w:rPr>
                <w:rFonts w:ascii="Times New Roman" w:eastAsia="Times New Roman" w:hAnsi="Times New Roman" w:cs="Times New Roman"/>
                <w:iCs/>
                <w:sz w:val="24"/>
                <w:szCs w:val="24"/>
                <w:lang w:eastAsia="lv-LV"/>
              </w:rPr>
              <w:t>Nav</w:t>
            </w:r>
          </w:p>
        </w:tc>
      </w:tr>
    </w:tbl>
    <w:p w14:paraId="77DA35BA" w14:textId="77777777" w:rsidR="006C699A" w:rsidRPr="00667396" w:rsidRDefault="006C699A" w:rsidP="006C699A">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34"/>
        <w:gridCol w:w="403"/>
        <w:gridCol w:w="1631"/>
        <w:gridCol w:w="1787"/>
        <w:gridCol w:w="3300"/>
      </w:tblGrid>
      <w:tr w:rsidR="006C699A" w:rsidRPr="0056031E" w14:paraId="4827C289" w14:textId="77777777" w:rsidTr="001A0F6E">
        <w:trPr>
          <w:tblCellSpacing w:w="15" w:type="dxa"/>
        </w:trPr>
        <w:tc>
          <w:tcPr>
            <w:tcW w:w="4967" w:type="pct"/>
            <w:gridSpan w:val="5"/>
            <w:tcBorders>
              <w:top w:val="outset" w:sz="6" w:space="0" w:color="auto"/>
              <w:left w:val="outset" w:sz="6" w:space="0" w:color="auto"/>
              <w:bottom w:val="outset" w:sz="6" w:space="0" w:color="auto"/>
              <w:right w:val="outset" w:sz="6" w:space="0" w:color="auto"/>
            </w:tcBorders>
            <w:vAlign w:val="center"/>
            <w:hideMark/>
          </w:tcPr>
          <w:p w14:paraId="094C1E01" w14:textId="77777777" w:rsidR="006C699A" w:rsidRPr="0056031E" w:rsidRDefault="006C699A" w:rsidP="001A0F6E">
            <w:pPr>
              <w:spacing w:after="0" w:line="240" w:lineRule="auto"/>
              <w:jc w:val="center"/>
              <w:rPr>
                <w:rFonts w:ascii="Times New Roman" w:eastAsia="Times New Roman" w:hAnsi="Times New Roman" w:cs="Times New Roman"/>
                <w:b/>
                <w:bCs/>
                <w:iCs/>
                <w:sz w:val="24"/>
                <w:szCs w:val="24"/>
                <w:lang w:eastAsia="lv-LV"/>
              </w:rPr>
            </w:pPr>
            <w:r w:rsidRPr="0056031E">
              <w:rPr>
                <w:rFonts w:ascii="Times New Roman" w:eastAsia="Times New Roman" w:hAnsi="Times New Roman" w:cs="Times New Roman"/>
                <w:b/>
                <w:bCs/>
                <w:iCs/>
                <w:sz w:val="24"/>
                <w:szCs w:val="24"/>
                <w:lang w:eastAsia="lv-LV"/>
              </w:rPr>
              <w:t>1. tabula</w:t>
            </w:r>
            <w:r w:rsidRPr="0056031E">
              <w:rPr>
                <w:rFonts w:ascii="Times New Roman" w:eastAsia="Times New Roman" w:hAnsi="Times New Roman" w:cs="Times New Roman"/>
                <w:b/>
                <w:bCs/>
                <w:iCs/>
                <w:sz w:val="24"/>
                <w:szCs w:val="24"/>
                <w:lang w:eastAsia="lv-LV"/>
              </w:rPr>
              <w:br/>
              <w:t>Tiesību akta projekta atbilstība ES tiesību aktiem</w:t>
            </w:r>
          </w:p>
        </w:tc>
      </w:tr>
      <w:tr w:rsidR="006C699A" w:rsidRPr="0056031E" w14:paraId="048DDBC2"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385EE81F" w14:textId="77777777" w:rsidR="006C699A" w:rsidRPr="00667396" w:rsidRDefault="006C699A" w:rsidP="001A0F6E">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A</w:t>
            </w:r>
          </w:p>
        </w:tc>
        <w:tc>
          <w:tcPr>
            <w:tcW w:w="1105" w:type="pct"/>
            <w:gridSpan w:val="2"/>
            <w:tcBorders>
              <w:top w:val="outset" w:sz="6" w:space="0" w:color="auto"/>
              <w:left w:val="outset" w:sz="6" w:space="0" w:color="auto"/>
              <w:bottom w:val="outset" w:sz="6" w:space="0" w:color="auto"/>
              <w:right w:val="outset" w:sz="6" w:space="0" w:color="auto"/>
            </w:tcBorders>
            <w:vAlign w:val="center"/>
            <w:hideMark/>
          </w:tcPr>
          <w:p w14:paraId="2BFBCBBF" w14:textId="77777777" w:rsidR="006C699A" w:rsidRPr="00667396" w:rsidRDefault="006C699A" w:rsidP="001A0F6E">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B</w:t>
            </w:r>
          </w:p>
        </w:tc>
        <w:tc>
          <w:tcPr>
            <w:tcW w:w="983" w:type="pct"/>
            <w:tcBorders>
              <w:top w:val="outset" w:sz="6" w:space="0" w:color="auto"/>
              <w:left w:val="outset" w:sz="6" w:space="0" w:color="auto"/>
              <w:bottom w:val="outset" w:sz="6" w:space="0" w:color="auto"/>
              <w:right w:val="outset" w:sz="6" w:space="0" w:color="auto"/>
            </w:tcBorders>
            <w:vAlign w:val="center"/>
            <w:hideMark/>
          </w:tcPr>
          <w:p w14:paraId="75C43A19" w14:textId="77777777" w:rsidR="006C699A" w:rsidRPr="00667396" w:rsidRDefault="006C699A" w:rsidP="001A0F6E">
            <w:pPr>
              <w:spacing w:after="0" w:line="240" w:lineRule="auto"/>
              <w:rPr>
                <w:rFonts w:ascii="Times New Roman" w:eastAsia="Times New Roman" w:hAnsi="Times New Roman" w:cs="Times New Roman"/>
                <w:iCs/>
                <w:color w:val="414142"/>
                <w:sz w:val="24"/>
                <w:szCs w:val="24"/>
                <w:lang w:eastAsia="lv-LV"/>
              </w:rPr>
            </w:pPr>
            <w:r w:rsidRPr="00667396">
              <w:rPr>
                <w:rFonts w:ascii="Times New Roman" w:eastAsia="Times New Roman" w:hAnsi="Times New Roman" w:cs="Times New Roman"/>
                <w:iCs/>
                <w:color w:val="414142"/>
                <w:sz w:val="24"/>
                <w:szCs w:val="24"/>
                <w:lang w:eastAsia="lv-LV"/>
              </w:rPr>
              <w:t>C</w:t>
            </w:r>
          </w:p>
        </w:tc>
        <w:tc>
          <w:tcPr>
            <w:tcW w:w="1775" w:type="pct"/>
            <w:tcBorders>
              <w:top w:val="outset" w:sz="6" w:space="0" w:color="auto"/>
              <w:left w:val="outset" w:sz="6" w:space="0" w:color="auto"/>
              <w:bottom w:val="outset" w:sz="6" w:space="0" w:color="auto"/>
              <w:right w:val="outset" w:sz="6" w:space="0" w:color="auto"/>
            </w:tcBorders>
            <w:vAlign w:val="center"/>
            <w:hideMark/>
          </w:tcPr>
          <w:p w14:paraId="03F5B783"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D</w:t>
            </w:r>
          </w:p>
        </w:tc>
      </w:tr>
      <w:tr w:rsidR="006C699A" w:rsidRPr="0056031E" w14:paraId="1450D627"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13459AC" w14:textId="77777777" w:rsidR="006C699A" w:rsidRPr="0056031E" w:rsidRDefault="006C699A" w:rsidP="001A0F6E">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105" w:type="pct"/>
            <w:gridSpan w:val="2"/>
            <w:tcBorders>
              <w:top w:val="outset" w:sz="6" w:space="0" w:color="auto"/>
              <w:left w:val="outset" w:sz="6" w:space="0" w:color="auto"/>
              <w:bottom w:val="outset" w:sz="6" w:space="0" w:color="auto"/>
              <w:right w:val="outset" w:sz="6" w:space="0" w:color="auto"/>
            </w:tcBorders>
            <w:hideMark/>
          </w:tcPr>
          <w:p w14:paraId="6060FE2A" w14:textId="77777777" w:rsidR="006C699A" w:rsidRPr="0056031E" w:rsidRDefault="006C699A" w:rsidP="001A0F6E">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Projekta vienība, kas pārņem vai ievieš katru šīs tabulas A ailē minēto ES tiesību akta vienību</w:t>
            </w:r>
            <w:proofErr w:type="gramStart"/>
            <w:r w:rsidRPr="0056031E">
              <w:rPr>
                <w:rFonts w:ascii="Times New Roman" w:eastAsia="Times New Roman" w:hAnsi="Times New Roman" w:cs="Times New Roman"/>
                <w:iCs/>
                <w:sz w:val="24"/>
                <w:szCs w:val="24"/>
                <w:lang w:eastAsia="lv-LV"/>
              </w:rPr>
              <w:t>, vai tiesību akts</w:t>
            </w:r>
            <w:proofErr w:type="gramEnd"/>
            <w:r w:rsidRPr="0056031E">
              <w:rPr>
                <w:rFonts w:ascii="Times New Roman" w:eastAsia="Times New Roman" w:hAnsi="Times New Roman" w:cs="Times New Roman"/>
                <w:iCs/>
                <w:sz w:val="24"/>
                <w:szCs w:val="24"/>
                <w:lang w:eastAsia="lv-LV"/>
              </w:rPr>
              <w:t>, kur attiecīgā ES tiesību akta vienība pārņemta vai ieviesta</w:t>
            </w:r>
          </w:p>
        </w:tc>
        <w:tc>
          <w:tcPr>
            <w:tcW w:w="983" w:type="pct"/>
            <w:tcBorders>
              <w:top w:val="outset" w:sz="6" w:space="0" w:color="auto"/>
              <w:left w:val="outset" w:sz="6" w:space="0" w:color="auto"/>
              <w:bottom w:val="outset" w:sz="6" w:space="0" w:color="auto"/>
              <w:right w:val="outset" w:sz="6" w:space="0" w:color="auto"/>
            </w:tcBorders>
            <w:hideMark/>
          </w:tcPr>
          <w:p w14:paraId="04037391" w14:textId="77777777" w:rsidR="006C699A" w:rsidRPr="0056031E" w:rsidRDefault="006C699A" w:rsidP="001A0F6E">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56031E">
              <w:rPr>
                <w:rFonts w:ascii="Times New Roman" w:eastAsia="Times New Roman" w:hAnsi="Times New Roman" w:cs="Times New Roman"/>
                <w:iCs/>
                <w:sz w:val="24"/>
                <w:szCs w:val="24"/>
                <w:lang w:eastAsia="lv-LV"/>
              </w:rPr>
              <w:br/>
              <w:t xml:space="preserve">Ja attiecīgā ES tiesību akta vienība tiek pārņemta vai ieviesta daļēji, sniedz attiecīgu skaidrojumu, kā arī precīzi norāda, kad un kādā veidā ES tiesību akta vienība tiks </w:t>
            </w:r>
            <w:r w:rsidRPr="0056031E">
              <w:rPr>
                <w:rFonts w:ascii="Times New Roman" w:eastAsia="Times New Roman" w:hAnsi="Times New Roman" w:cs="Times New Roman"/>
                <w:iCs/>
                <w:sz w:val="24"/>
                <w:szCs w:val="24"/>
                <w:lang w:eastAsia="lv-LV"/>
              </w:rPr>
              <w:lastRenderedPageBreak/>
              <w:t>pārņemta vai ieviesta pilnībā.</w:t>
            </w:r>
            <w:r w:rsidRPr="0056031E">
              <w:rPr>
                <w:rFonts w:ascii="Times New Roman" w:eastAsia="Times New Roman" w:hAnsi="Times New Roman" w:cs="Times New Roman"/>
                <w:iCs/>
                <w:sz w:val="24"/>
                <w:szCs w:val="24"/>
                <w:lang w:eastAsia="lv-LV"/>
              </w:rPr>
              <w:br/>
              <w:t>Norāda institūciju, kas ir atbildīga par šo saistību izpildi pilnībā</w:t>
            </w:r>
          </w:p>
        </w:tc>
        <w:tc>
          <w:tcPr>
            <w:tcW w:w="1775" w:type="pct"/>
            <w:tcBorders>
              <w:top w:val="outset" w:sz="6" w:space="0" w:color="auto"/>
              <w:left w:val="outset" w:sz="6" w:space="0" w:color="auto"/>
              <w:bottom w:val="outset" w:sz="6" w:space="0" w:color="auto"/>
              <w:right w:val="outset" w:sz="6" w:space="0" w:color="auto"/>
            </w:tcBorders>
            <w:hideMark/>
          </w:tcPr>
          <w:p w14:paraId="13754125" w14:textId="77777777" w:rsidR="006C699A" w:rsidRPr="0056031E" w:rsidRDefault="006C699A" w:rsidP="001A0F6E">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56031E">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56031E">
              <w:rPr>
                <w:rFonts w:ascii="Times New Roman" w:eastAsia="Times New Roman" w:hAnsi="Times New Roman" w:cs="Times New Roman"/>
                <w:iCs/>
                <w:sz w:val="24"/>
                <w:szCs w:val="24"/>
                <w:lang w:eastAsia="lv-LV"/>
              </w:rPr>
              <w:br/>
              <w:t xml:space="preserve">Norāda iespējamās alternatīvas </w:t>
            </w:r>
            <w:proofErr w:type="gramStart"/>
            <w:r w:rsidRPr="0056031E">
              <w:rPr>
                <w:rFonts w:ascii="Times New Roman" w:eastAsia="Times New Roman" w:hAnsi="Times New Roman" w:cs="Times New Roman"/>
                <w:iCs/>
                <w:sz w:val="24"/>
                <w:szCs w:val="24"/>
                <w:lang w:eastAsia="lv-LV"/>
              </w:rPr>
              <w:t>(</w:t>
            </w:r>
            <w:proofErr w:type="gramEnd"/>
            <w:r w:rsidRPr="0056031E">
              <w:rPr>
                <w:rFonts w:ascii="Times New Roman" w:eastAsia="Times New Roman" w:hAnsi="Times New Roman" w:cs="Times New Roman"/>
                <w:iCs/>
                <w:sz w:val="24"/>
                <w:szCs w:val="24"/>
                <w:lang w:eastAsia="lv-LV"/>
              </w:rPr>
              <w:t>t. sk. alternatīvas, kas neparedz tiesiskā regulējuma izstrādi) – kādos gadījumos būtu iespējams izvairīties no stingrāku prasību noteikšanas, nekā paredzēts attiecīgajos ES tiesību aktos</w:t>
            </w:r>
          </w:p>
        </w:tc>
      </w:tr>
      <w:tr w:rsidR="006C699A" w:rsidRPr="0056031E" w14:paraId="6BB2E1A3"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C3441FF"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Regulas (ES) 2019/1150 14.</w:t>
            </w:r>
            <w:r>
              <w:rPr>
                <w:rFonts w:ascii="Times New Roman" w:eastAsia="Times New Roman" w:hAnsi="Times New Roman" w:cs="Times New Roman"/>
                <w:iCs/>
                <w:sz w:val="24"/>
                <w:szCs w:val="24"/>
                <w:lang w:eastAsia="lv-LV"/>
              </w:rPr>
              <w:t> </w:t>
            </w:r>
            <w:r w:rsidRPr="0056031E">
              <w:rPr>
                <w:rFonts w:ascii="Times New Roman" w:eastAsia="Times New Roman" w:hAnsi="Times New Roman" w:cs="Times New Roman"/>
                <w:iCs/>
                <w:sz w:val="24"/>
                <w:szCs w:val="24"/>
                <w:lang w:eastAsia="lv-LV"/>
              </w:rPr>
              <w:t xml:space="preserve">panta </w:t>
            </w:r>
            <w:r>
              <w:rPr>
                <w:rFonts w:ascii="Times New Roman" w:eastAsia="Times New Roman" w:hAnsi="Times New Roman" w:cs="Times New Roman"/>
                <w:iCs/>
                <w:sz w:val="24"/>
                <w:szCs w:val="24"/>
                <w:lang w:eastAsia="lv-LV"/>
              </w:rPr>
              <w:t>3</w:t>
            </w:r>
            <w:r w:rsidRPr="0056031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Pr="0056031E">
              <w:rPr>
                <w:rFonts w:ascii="Times New Roman" w:eastAsia="Times New Roman" w:hAnsi="Times New Roman" w:cs="Times New Roman"/>
                <w:iCs/>
                <w:sz w:val="24"/>
                <w:szCs w:val="24"/>
                <w:lang w:eastAsia="lv-LV"/>
              </w:rPr>
              <w:t>unkts</w:t>
            </w:r>
          </w:p>
        </w:tc>
        <w:tc>
          <w:tcPr>
            <w:tcW w:w="1105" w:type="pct"/>
            <w:gridSpan w:val="2"/>
            <w:tcBorders>
              <w:top w:val="outset" w:sz="6" w:space="0" w:color="auto"/>
              <w:left w:val="outset" w:sz="6" w:space="0" w:color="auto"/>
              <w:bottom w:val="outset" w:sz="6" w:space="0" w:color="auto"/>
              <w:right w:val="outset" w:sz="6" w:space="0" w:color="auto"/>
            </w:tcBorders>
            <w:hideMark/>
          </w:tcPr>
          <w:p w14:paraId="7BD4DDCD" w14:textId="77777777" w:rsidR="006C699A" w:rsidRPr="0056031E" w:rsidRDefault="006C699A" w:rsidP="001A0F6E">
            <w:pPr>
              <w:spacing w:after="0" w:line="240" w:lineRule="auto"/>
              <w:jc w:val="both"/>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bCs/>
                <w:sz w:val="24"/>
                <w:szCs w:val="24"/>
                <w:lang w:eastAsia="lv-LV"/>
              </w:rPr>
              <w:t>3. </w:t>
            </w:r>
            <w:r w:rsidRPr="0056031E">
              <w:rPr>
                <w:rFonts w:ascii="Times New Roman" w:eastAsia="Times New Roman" w:hAnsi="Times New Roman" w:cs="Times New Roman"/>
                <w:b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304DFF94" w14:textId="77777777" w:rsidR="006C699A" w:rsidRPr="00667396" w:rsidRDefault="006C699A" w:rsidP="001A0F6E">
            <w:pPr>
              <w:spacing w:after="0" w:line="240" w:lineRule="auto"/>
              <w:rPr>
                <w:rFonts w:ascii="Times New Roman" w:eastAsia="Times New Roman" w:hAnsi="Times New Roman" w:cs="Times New Roman"/>
                <w:iCs/>
                <w:color w:val="414142"/>
                <w:sz w:val="24"/>
                <w:szCs w:val="24"/>
                <w:lang w:eastAsia="lv-LV"/>
              </w:rPr>
            </w:pPr>
            <w:r>
              <w:rPr>
                <w:rFonts w:ascii="Times New Roman" w:hAnsi="Times New Roman" w:cs="Times New Roman"/>
                <w:sz w:val="24"/>
                <w:szCs w:val="24"/>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3B529F37"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6C699A" w:rsidRPr="0056031E" w14:paraId="3704E59C"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8871031"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Regulas (ES) 2019/1150 14.</w:t>
            </w:r>
            <w:r>
              <w:rPr>
                <w:rFonts w:ascii="Times New Roman" w:eastAsia="Times New Roman" w:hAnsi="Times New Roman" w:cs="Times New Roman"/>
                <w:iCs/>
                <w:sz w:val="24"/>
                <w:szCs w:val="24"/>
                <w:lang w:eastAsia="lv-LV"/>
              </w:rPr>
              <w:t> </w:t>
            </w:r>
            <w:r w:rsidRPr="0056031E">
              <w:rPr>
                <w:rFonts w:ascii="Times New Roman" w:eastAsia="Times New Roman" w:hAnsi="Times New Roman" w:cs="Times New Roman"/>
                <w:iCs/>
                <w:sz w:val="24"/>
                <w:szCs w:val="24"/>
                <w:lang w:eastAsia="lv-LV"/>
              </w:rPr>
              <w:t xml:space="preserve">panta 5. </w:t>
            </w:r>
            <w:r>
              <w:rPr>
                <w:rFonts w:ascii="Times New Roman" w:eastAsia="Times New Roman" w:hAnsi="Times New Roman" w:cs="Times New Roman"/>
                <w:iCs/>
                <w:sz w:val="24"/>
                <w:szCs w:val="24"/>
                <w:lang w:eastAsia="lv-LV"/>
              </w:rPr>
              <w:t>p</w:t>
            </w:r>
            <w:r w:rsidRPr="0056031E">
              <w:rPr>
                <w:rFonts w:ascii="Times New Roman" w:eastAsia="Times New Roman" w:hAnsi="Times New Roman" w:cs="Times New Roman"/>
                <w:iCs/>
                <w:sz w:val="24"/>
                <w:szCs w:val="24"/>
                <w:lang w:eastAsia="lv-LV"/>
              </w:rPr>
              <w:t>unkts</w:t>
            </w:r>
          </w:p>
        </w:tc>
        <w:tc>
          <w:tcPr>
            <w:tcW w:w="1105" w:type="pct"/>
            <w:gridSpan w:val="2"/>
            <w:tcBorders>
              <w:top w:val="outset" w:sz="6" w:space="0" w:color="auto"/>
              <w:left w:val="outset" w:sz="6" w:space="0" w:color="auto"/>
              <w:bottom w:val="outset" w:sz="6" w:space="0" w:color="auto"/>
              <w:right w:val="outset" w:sz="6" w:space="0" w:color="auto"/>
            </w:tcBorders>
            <w:hideMark/>
          </w:tcPr>
          <w:p w14:paraId="008509E3" w14:textId="77777777" w:rsidR="006C699A" w:rsidRPr="00A8039C" w:rsidRDefault="006C699A" w:rsidP="001A0F6E">
            <w:pPr>
              <w:spacing w:after="0" w:line="240" w:lineRule="auto"/>
              <w:rPr>
                <w:rFonts w:ascii="Times New Roman" w:eastAsia="Times New Roman" w:hAnsi="Times New Roman" w:cs="Times New Roman"/>
                <w:iCs/>
                <w:sz w:val="24"/>
                <w:szCs w:val="24"/>
                <w:highlight w:val="cyan"/>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bCs/>
                <w:sz w:val="24"/>
                <w:szCs w:val="24"/>
                <w:lang w:eastAsia="lv-LV"/>
              </w:rPr>
              <w:t>3</w:t>
            </w:r>
            <w:r w:rsidRPr="00092F9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w:t>
            </w:r>
            <w:r w:rsidRPr="00092F9D">
              <w:rPr>
                <w:rFonts w:ascii="Times New Roman" w:eastAsia="Times New Roman" w:hAnsi="Times New Roman" w:cs="Times New Roman"/>
                <w:b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0AD8F407"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sidRPr="0056031E">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40166A9D"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6C699A" w:rsidRPr="0056031E" w14:paraId="4702B3C8"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1E9684A"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14. panta 8.punkts</w:t>
            </w:r>
          </w:p>
        </w:tc>
        <w:tc>
          <w:tcPr>
            <w:tcW w:w="1105" w:type="pct"/>
            <w:gridSpan w:val="2"/>
            <w:tcBorders>
              <w:top w:val="outset" w:sz="6" w:space="0" w:color="auto"/>
              <w:left w:val="outset" w:sz="6" w:space="0" w:color="auto"/>
              <w:bottom w:val="outset" w:sz="6" w:space="0" w:color="auto"/>
              <w:right w:val="outset" w:sz="6" w:space="0" w:color="auto"/>
            </w:tcBorders>
          </w:tcPr>
          <w:p w14:paraId="0252B7D4" w14:textId="77777777" w:rsidR="006C699A" w:rsidRPr="00092F9D"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Likumprojekta </w:t>
            </w:r>
            <w:proofErr w:type="gramStart"/>
            <w:r>
              <w:rPr>
                <w:rFonts w:ascii="Times New Roman" w:eastAsia="Times New Roman" w:hAnsi="Times New Roman" w:cs="Times New Roman"/>
                <w:iCs/>
                <w:sz w:val="24"/>
                <w:szCs w:val="24"/>
                <w:lang w:eastAsia="lv-LV"/>
              </w:rPr>
              <w:t>3.pants</w:t>
            </w:r>
            <w:proofErr w:type="gramEnd"/>
          </w:p>
        </w:tc>
        <w:tc>
          <w:tcPr>
            <w:tcW w:w="983" w:type="pct"/>
            <w:tcBorders>
              <w:top w:val="outset" w:sz="6" w:space="0" w:color="auto"/>
              <w:left w:val="outset" w:sz="6" w:space="0" w:color="auto"/>
              <w:bottom w:val="outset" w:sz="6" w:space="0" w:color="auto"/>
              <w:right w:val="outset" w:sz="6" w:space="0" w:color="auto"/>
            </w:tcBorders>
          </w:tcPr>
          <w:p w14:paraId="3A62E46E"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7EE23470"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6C699A" w:rsidRPr="0056031E" w14:paraId="042656D9"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4DB7ECAD"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15. panta 1. punkts</w:t>
            </w:r>
          </w:p>
        </w:tc>
        <w:tc>
          <w:tcPr>
            <w:tcW w:w="1105" w:type="pct"/>
            <w:gridSpan w:val="2"/>
            <w:tcBorders>
              <w:top w:val="outset" w:sz="6" w:space="0" w:color="auto"/>
              <w:left w:val="outset" w:sz="6" w:space="0" w:color="auto"/>
              <w:bottom w:val="outset" w:sz="6" w:space="0" w:color="auto"/>
              <w:right w:val="outset" w:sz="6" w:space="0" w:color="auto"/>
            </w:tcBorders>
          </w:tcPr>
          <w:p w14:paraId="23FF8DB4"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Likumprojekta 4. pants</w:t>
            </w:r>
          </w:p>
        </w:tc>
        <w:tc>
          <w:tcPr>
            <w:tcW w:w="983" w:type="pct"/>
            <w:tcBorders>
              <w:top w:val="outset" w:sz="6" w:space="0" w:color="auto"/>
              <w:left w:val="outset" w:sz="6" w:space="0" w:color="auto"/>
              <w:bottom w:val="outset" w:sz="6" w:space="0" w:color="auto"/>
              <w:right w:val="outset" w:sz="6" w:space="0" w:color="auto"/>
            </w:tcBorders>
          </w:tcPr>
          <w:p w14:paraId="1DEBF89A"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00ACE6FE"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paredzēta rīcības brīvība.</w:t>
            </w:r>
          </w:p>
        </w:tc>
      </w:tr>
      <w:tr w:rsidR="006C699A" w:rsidRPr="0056031E" w14:paraId="59117C56"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DDE7BA1" w14:textId="77777777" w:rsidR="006C699A" w:rsidRPr="00667396" w:rsidRDefault="006C699A" w:rsidP="001A0F6E">
            <w:pPr>
              <w:spacing w:after="0" w:line="240" w:lineRule="auto"/>
              <w:rPr>
                <w:rFonts w:ascii="Times New Roman" w:eastAsia="Times New Roman" w:hAnsi="Times New Roman" w:cs="Times New Roman"/>
                <w:iCs/>
                <w:color w:val="414142"/>
                <w:sz w:val="24"/>
                <w:szCs w:val="24"/>
                <w:lang w:eastAsia="lv-LV"/>
              </w:rPr>
            </w:pPr>
            <w:r w:rsidRPr="002228E8">
              <w:rPr>
                <w:rFonts w:ascii="Times New Roman" w:eastAsia="Times New Roman" w:hAnsi="Times New Roman" w:cs="Times New Roman"/>
                <w:iCs/>
                <w:sz w:val="24"/>
                <w:szCs w:val="24"/>
                <w:lang w:eastAsia="lv-LV"/>
              </w:rPr>
              <w:t>Regulas (ES) 2019/1150 15.</w:t>
            </w:r>
            <w:r>
              <w:rPr>
                <w:rFonts w:ascii="Times New Roman" w:eastAsia="Times New Roman" w:hAnsi="Times New Roman" w:cs="Times New Roman"/>
                <w:iCs/>
                <w:sz w:val="24"/>
                <w:szCs w:val="24"/>
                <w:lang w:eastAsia="lv-LV"/>
              </w:rPr>
              <w:t> </w:t>
            </w:r>
            <w:r w:rsidRPr="002228E8">
              <w:rPr>
                <w:rFonts w:ascii="Times New Roman" w:eastAsia="Times New Roman" w:hAnsi="Times New Roman" w:cs="Times New Roman"/>
                <w:iCs/>
                <w:sz w:val="24"/>
                <w:szCs w:val="24"/>
                <w:lang w:eastAsia="lv-LV"/>
              </w:rPr>
              <w:t>panta 2.</w:t>
            </w:r>
            <w:r>
              <w:rPr>
                <w:rFonts w:ascii="Times New Roman" w:eastAsia="Times New Roman" w:hAnsi="Times New Roman" w:cs="Times New Roman"/>
                <w:iCs/>
                <w:sz w:val="24"/>
                <w:szCs w:val="24"/>
                <w:lang w:eastAsia="lv-LV"/>
              </w:rPr>
              <w:t> p</w:t>
            </w:r>
            <w:r w:rsidRPr="002228E8">
              <w:rPr>
                <w:rFonts w:ascii="Times New Roman" w:eastAsia="Times New Roman" w:hAnsi="Times New Roman" w:cs="Times New Roman"/>
                <w:iCs/>
                <w:sz w:val="24"/>
                <w:szCs w:val="24"/>
                <w:lang w:eastAsia="lv-LV"/>
              </w:rPr>
              <w:t xml:space="preserve">unkts </w:t>
            </w:r>
          </w:p>
        </w:tc>
        <w:tc>
          <w:tcPr>
            <w:tcW w:w="1105" w:type="pct"/>
            <w:gridSpan w:val="2"/>
            <w:tcBorders>
              <w:top w:val="outset" w:sz="6" w:space="0" w:color="auto"/>
              <w:left w:val="outset" w:sz="6" w:space="0" w:color="auto"/>
              <w:bottom w:val="outset" w:sz="6" w:space="0" w:color="auto"/>
              <w:right w:val="outset" w:sz="6" w:space="0" w:color="auto"/>
            </w:tcBorders>
            <w:hideMark/>
          </w:tcPr>
          <w:p w14:paraId="6B39A8AF" w14:textId="77777777" w:rsidR="006C699A" w:rsidRPr="00A8039C" w:rsidRDefault="006C699A" w:rsidP="001A0F6E">
            <w:pPr>
              <w:spacing w:after="0" w:line="240" w:lineRule="auto"/>
              <w:jc w:val="both"/>
              <w:rPr>
                <w:rFonts w:ascii="Times New Roman" w:eastAsia="Times New Roman" w:hAnsi="Times New Roman" w:cs="Times New Roman"/>
                <w:iCs/>
                <w:sz w:val="24"/>
                <w:szCs w:val="24"/>
                <w:highlight w:val="cyan"/>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092F9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092F9D">
              <w:rPr>
                <w:rFonts w:ascii="Times New Roman" w:eastAsia="Times New Roman" w:hAnsi="Times New Roman" w:cs="Times New Roman"/>
                <w:i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hideMark/>
          </w:tcPr>
          <w:p w14:paraId="1E093052" w14:textId="77777777" w:rsidR="006C699A" w:rsidRPr="002228E8" w:rsidRDefault="006C699A" w:rsidP="001A0F6E">
            <w:pPr>
              <w:spacing w:after="0" w:line="240" w:lineRule="auto"/>
              <w:rPr>
                <w:rFonts w:ascii="Times New Roman" w:eastAsia="Times New Roman" w:hAnsi="Times New Roman" w:cs="Times New Roman"/>
                <w:iCs/>
                <w:sz w:val="24"/>
                <w:szCs w:val="24"/>
                <w:lang w:eastAsia="lv-LV"/>
              </w:rPr>
            </w:pPr>
            <w:r w:rsidRPr="002228E8">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hideMark/>
          </w:tcPr>
          <w:p w14:paraId="618F7F3F" w14:textId="77777777" w:rsidR="006C699A" w:rsidRPr="0056031E"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Tiek paredzēta rīcības brīvība.</w:t>
            </w:r>
          </w:p>
        </w:tc>
      </w:tr>
      <w:tr w:rsidR="006C699A" w:rsidRPr="0056031E" w14:paraId="136418F5" w14:textId="77777777" w:rsidTr="001A0F6E">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0EDBD107" w14:textId="77777777" w:rsidR="006C699A" w:rsidRPr="002228E8"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Regulas (ES) 2019/1150 16. pants</w:t>
            </w:r>
          </w:p>
        </w:tc>
        <w:tc>
          <w:tcPr>
            <w:tcW w:w="1105" w:type="pct"/>
            <w:gridSpan w:val="2"/>
            <w:tcBorders>
              <w:top w:val="outset" w:sz="6" w:space="0" w:color="auto"/>
              <w:left w:val="outset" w:sz="6" w:space="0" w:color="auto"/>
              <w:bottom w:val="outset" w:sz="6" w:space="0" w:color="auto"/>
              <w:right w:val="outset" w:sz="6" w:space="0" w:color="auto"/>
            </w:tcBorders>
          </w:tcPr>
          <w:p w14:paraId="21EEAE98" w14:textId="77777777" w:rsidR="006C699A" w:rsidRPr="00092F9D" w:rsidRDefault="006C699A" w:rsidP="001A0F6E">
            <w:pPr>
              <w:spacing w:after="0" w:line="240" w:lineRule="auto"/>
              <w:jc w:val="both"/>
              <w:rPr>
                <w:rFonts w:ascii="Times New Roman" w:eastAsia="Times New Roman" w:hAnsi="Times New Roman" w:cs="Times New Roman"/>
                <w:iCs/>
                <w:sz w:val="24"/>
                <w:szCs w:val="24"/>
                <w:lang w:eastAsia="lv-LV"/>
              </w:rPr>
            </w:pPr>
            <w:r w:rsidRPr="00092F9D">
              <w:rPr>
                <w:rFonts w:ascii="Times New Roman" w:eastAsia="Times New Roman" w:hAnsi="Times New Roman" w:cs="Times New Roman"/>
                <w:iCs/>
                <w:sz w:val="24"/>
                <w:szCs w:val="24"/>
                <w:lang w:eastAsia="lv-LV"/>
              </w:rPr>
              <w:t xml:space="preserve">Likumprojekta </w:t>
            </w:r>
            <w:r>
              <w:rPr>
                <w:rFonts w:ascii="Times New Roman" w:eastAsia="Times New Roman" w:hAnsi="Times New Roman" w:cs="Times New Roman"/>
                <w:iCs/>
                <w:sz w:val="24"/>
                <w:szCs w:val="24"/>
                <w:lang w:eastAsia="lv-LV"/>
              </w:rPr>
              <w:t>4</w:t>
            </w:r>
            <w:r w:rsidRPr="00092F9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w:t>
            </w:r>
            <w:r w:rsidRPr="00092F9D">
              <w:rPr>
                <w:rFonts w:ascii="Times New Roman" w:eastAsia="Times New Roman" w:hAnsi="Times New Roman" w:cs="Times New Roman"/>
                <w:iCs/>
                <w:sz w:val="24"/>
                <w:szCs w:val="24"/>
                <w:lang w:eastAsia="lv-LV"/>
              </w:rPr>
              <w:t>pants</w:t>
            </w:r>
          </w:p>
        </w:tc>
        <w:tc>
          <w:tcPr>
            <w:tcW w:w="983" w:type="pct"/>
            <w:tcBorders>
              <w:top w:val="outset" w:sz="6" w:space="0" w:color="auto"/>
              <w:left w:val="outset" w:sz="6" w:space="0" w:color="auto"/>
              <w:bottom w:val="outset" w:sz="6" w:space="0" w:color="auto"/>
              <w:right w:val="outset" w:sz="6" w:space="0" w:color="auto"/>
            </w:tcBorders>
          </w:tcPr>
          <w:p w14:paraId="5CACC7C5" w14:textId="77777777" w:rsidR="006C699A" w:rsidRPr="002228E8"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775" w:type="pct"/>
            <w:tcBorders>
              <w:top w:val="outset" w:sz="6" w:space="0" w:color="auto"/>
              <w:left w:val="outset" w:sz="6" w:space="0" w:color="auto"/>
              <w:bottom w:val="outset" w:sz="6" w:space="0" w:color="auto"/>
              <w:right w:val="outset" w:sz="6" w:space="0" w:color="auto"/>
            </w:tcBorders>
          </w:tcPr>
          <w:p w14:paraId="6B78C680" w14:textId="77777777" w:rsidR="006C699A" w:rsidRDefault="006C699A" w:rsidP="001A0F6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6C699A" w:rsidRPr="00667396" w14:paraId="44FE8068" w14:textId="77777777" w:rsidTr="001A0F6E">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021E3D9C" w14:textId="77777777" w:rsidR="006C699A" w:rsidRPr="009D054F" w:rsidRDefault="006C699A" w:rsidP="001A0F6E">
            <w:pPr>
              <w:spacing w:after="0" w:line="240" w:lineRule="auto"/>
              <w:jc w:val="both"/>
              <w:rPr>
                <w:rFonts w:ascii="Times New Roman" w:eastAsia="Times New Roman" w:hAnsi="Times New Roman" w:cs="Times New Roman"/>
                <w:iCs/>
                <w:sz w:val="24"/>
                <w:szCs w:val="24"/>
                <w:lang w:eastAsia="lv-LV"/>
              </w:rPr>
            </w:pPr>
            <w:r w:rsidRPr="009D054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685" w:type="pct"/>
            <w:gridSpan w:val="3"/>
            <w:tcBorders>
              <w:top w:val="outset" w:sz="6" w:space="0" w:color="auto"/>
              <w:left w:val="outset" w:sz="6" w:space="0" w:color="auto"/>
              <w:bottom w:val="outset" w:sz="6" w:space="0" w:color="auto"/>
              <w:right w:val="outset" w:sz="6" w:space="0" w:color="auto"/>
            </w:tcBorders>
            <w:hideMark/>
          </w:tcPr>
          <w:p w14:paraId="5D2E2B8A" w14:textId="77777777" w:rsidR="006C699A" w:rsidRDefault="006C699A" w:rsidP="001A0F6E">
            <w:pPr>
              <w:spacing w:after="0" w:line="240" w:lineRule="auto"/>
              <w:jc w:val="both"/>
              <w:rPr>
                <w:rFonts w:ascii="Times New Roman" w:hAnsi="Times New Roman" w:cs="Times New Roman"/>
                <w:iCs/>
                <w:color w:val="000000"/>
                <w:sz w:val="24"/>
                <w:szCs w:val="24"/>
                <w:shd w:val="clear" w:color="auto" w:fill="FFFFFF"/>
              </w:rPr>
            </w:pPr>
            <w:r>
              <w:rPr>
                <w:rFonts w:ascii="Times New Roman" w:hAnsi="Times New Roman" w:cs="Times New Roman"/>
                <w:iCs/>
                <w:color w:val="000000"/>
                <w:sz w:val="24"/>
                <w:szCs w:val="24"/>
                <w:shd w:val="clear" w:color="auto" w:fill="FFFFFF"/>
              </w:rPr>
              <w:t>Regulas (ES) 2019/1150 15. panta 1. un 2. punkts nosaka, ka d</w:t>
            </w:r>
            <w:r w:rsidRPr="00D90709">
              <w:rPr>
                <w:rFonts w:ascii="Times New Roman" w:hAnsi="Times New Roman" w:cs="Times New Roman"/>
                <w:iCs/>
                <w:color w:val="000000"/>
                <w:sz w:val="24"/>
                <w:szCs w:val="24"/>
                <w:shd w:val="clear" w:color="auto" w:fill="FFFFFF"/>
              </w:rPr>
              <w:t xml:space="preserve">alībvalstis </w:t>
            </w:r>
            <w:r>
              <w:rPr>
                <w:rFonts w:ascii="Times New Roman" w:hAnsi="Times New Roman" w:cs="Times New Roman"/>
                <w:iCs/>
                <w:color w:val="000000"/>
                <w:sz w:val="24"/>
                <w:szCs w:val="24"/>
                <w:shd w:val="clear" w:color="auto" w:fill="FFFFFF"/>
              </w:rPr>
              <w:t xml:space="preserve">nodrošina pienācīgu un efektīvu regulas izpildi, kā arī </w:t>
            </w:r>
            <w:r w:rsidRPr="00D90709">
              <w:rPr>
                <w:rFonts w:ascii="Times New Roman" w:hAnsi="Times New Roman" w:cs="Times New Roman"/>
                <w:iCs/>
                <w:color w:val="000000"/>
                <w:sz w:val="24"/>
                <w:szCs w:val="24"/>
                <w:shd w:val="clear" w:color="auto" w:fill="FFFFFF"/>
              </w:rPr>
              <w:t xml:space="preserve">nosaka noteikumus, kuros paredz pasākumus, kas piemērojami </w:t>
            </w:r>
            <w:r>
              <w:rPr>
                <w:rFonts w:ascii="Times New Roman" w:hAnsi="Times New Roman" w:cs="Times New Roman"/>
                <w:iCs/>
                <w:color w:val="000000"/>
                <w:sz w:val="24"/>
                <w:szCs w:val="24"/>
                <w:shd w:val="clear" w:color="auto" w:fill="FFFFFF"/>
              </w:rPr>
              <w:t>tās</w:t>
            </w:r>
            <w:r w:rsidRPr="00D90709">
              <w:rPr>
                <w:rFonts w:ascii="Times New Roman" w:hAnsi="Times New Roman" w:cs="Times New Roman"/>
                <w:iCs/>
                <w:color w:val="000000"/>
                <w:sz w:val="24"/>
                <w:szCs w:val="24"/>
                <w:shd w:val="clear" w:color="auto" w:fill="FFFFFF"/>
              </w:rPr>
              <w:t xml:space="preserve"> neievērošanas gadījumā, un nodrošina to īstenošanu. Paredzētie</w:t>
            </w:r>
            <w:r>
              <w:rPr>
                <w:rFonts w:ascii="Times New Roman" w:hAnsi="Times New Roman" w:cs="Times New Roman"/>
                <w:iCs/>
                <w:color w:val="000000"/>
                <w:sz w:val="24"/>
                <w:szCs w:val="24"/>
                <w:shd w:val="clear" w:color="auto" w:fill="FFFFFF"/>
              </w:rPr>
              <w:t>m</w:t>
            </w:r>
            <w:r w:rsidRPr="00D90709">
              <w:rPr>
                <w:rFonts w:ascii="Times New Roman" w:hAnsi="Times New Roman" w:cs="Times New Roman"/>
                <w:iCs/>
                <w:color w:val="000000"/>
                <w:sz w:val="24"/>
                <w:szCs w:val="24"/>
                <w:shd w:val="clear" w:color="auto" w:fill="FFFFFF"/>
              </w:rPr>
              <w:t xml:space="preserve"> pasākumi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xml:space="preserve"> ir </w:t>
            </w:r>
            <w:r>
              <w:rPr>
                <w:rFonts w:ascii="Times New Roman" w:hAnsi="Times New Roman" w:cs="Times New Roman"/>
                <w:iCs/>
                <w:color w:val="000000"/>
                <w:sz w:val="24"/>
                <w:szCs w:val="24"/>
                <w:shd w:val="clear" w:color="auto" w:fill="FFFFFF"/>
              </w:rPr>
              <w:t xml:space="preserve">jābūt </w:t>
            </w:r>
            <w:r w:rsidRPr="00D90709">
              <w:rPr>
                <w:rFonts w:ascii="Times New Roman" w:hAnsi="Times New Roman" w:cs="Times New Roman"/>
                <w:iCs/>
                <w:color w:val="000000"/>
                <w:sz w:val="24"/>
                <w:szCs w:val="24"/>
                <w:shd w:val="clear" w:color="auto" w:fill="FFFFFF"/>
              </w:rPr>
              <w:t>iedarbīgi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samērīgi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 xml:space="preserve"> un atturoši</w:t>
            </w:r>
            <w:r>
              <w:rPr>
                <w:rFonts w:ascii="Times New Roman" w:hAnsi="Times New Roman" w:cs="Times New Roman"/>
                <w:iCs/>
                <w:color w:val="000000"/>
                <w:sz w:val="24"/>
                <w:szCs w:val="24"/>
                <w:shd w:val="clear" w:color="auto" w:fill="FFFFFF"/>
              </w:rPr>
              <w:t>em</w:t>
            </w:r>
            <w:r w:rsidRPr="00D90709">
              <w:rPr>
                <w:rFonts w:ascii="Times New Roman" w:hAnsi="Times New Roman" w:cs="Times New Roman"/>
                <w:iCs/>
                <w:color w:val="000000"/>
                <w:sz w:val="24"/>
                <w:szCs w:val="24"/>
                <w:shd w:val="clear" w:color="auto" w:fill="FFFFFF"/>
              </w:rPr>
              <w:t>.</w:t>
            </w:r>
            <w:r>
              <w:rPr>
                <w:rFonts w:ascii="Times New Roman" w:hAnsi="Times New Roman" w:cs="Times New Roman"/>
                <w:iCs/>
                <w:color w:val="000000"/>
                <w:sz w:val="24"/>
                <w:szCs w:val="24"/>
                <w:shd w:val="clear" w:color="auto" w:fill="FFFFFF"/>
              </w:rPr>
              <w:t xml:space="preserve"> </w:t>
            </w:r>
          </w:p>
          <w:p w14:paraId="4F492ADF" w14:textId="77777777" w:rsidR="006C699A" w:rsidRPr="009D054F" w:rsidRDefault="006C699A" w:rsidP="001A0F6E">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iCs/>
                <w:color w:val="000000"/>
                <w:sz w:val="24"/>
                <w:szCs w:val="24"/>
                <w:shd w:val="clear" w:color="auto" w:fill="FFFFFF"/>
              </w:rPr>
              <w:t xml:space="preserve">Lai īstenotu Regulu (ES) 2019/1150, ir nozīmējama tirgus uzraudzības iestāde, kas, </w:t>
            </w:r>
            <w:proofErr w:type="gramStart"/>
            <w:r>
              <w:rPr>
                <w:rFonts w:ascii="Times New Roman" w:hAnsi="Times New Roman" w:cs="Times New Roman"/>
                <w:iCs/>
                <w:color w:val="000000"/>
                <w:sz w:val="24"/>
                <w:szCs w:val="24"/>
                <w:shd w:val="clear" w:color="auto" w:fill="FFFFFF"/>
              </w:rPr>
              <w:t>Ekonomikas ministrijas ieskatā,</w:t>
            </w:r>
            <w:proofErr w:type="gramEnd"/>
            <w:r>
              <w:rPr>
                <w:rFonts w:ascii="Times New Roman" w:hAnsi="Times New Roman" w:cs="Times New Roman"/>
                <w:iCs/>
                <w:color w:val="000000"/>
                <w:sz w:val="24"/>
                <w:szCs w:val="24"/>
                <w:shd w:val="clear" w:color="auto" w:fill="FFFFFF"/>
              </w:rPr>
              <w:t xml:space="preserve"> ir PTAC, un nosakāmi pasākumi, kas piemērojami Regulas (ES) 2019/1150 neievērošanas gadījumā. Ņemot vērā, ka vienīgie pasākumi, kas ir iedarbīgi un atturoši, ir sodi, tika vērtēti līdzšinējie spēkā esošie sodi Latvijā par iespējami līdzīgākiem pārkāpumiem. Tā rezultātā likumprojektā tiek ierosināts tiešsaistes starpniecības platformu pakalpojumu sniedzējiem par Regulas (ES) 2019/1150 pārkāpumiem nepiemērot augstāku maksimālo sodu, kāds ir noteikts jau Reklāmas likumā, proti, 14 000 </w:t>
            </w:r>
            <w:proofErr w:type="spellStart"/>
            <w:r w:rsidRPr="00A36BCD">
              <w:rPr>
                <w:rFonts w:ascii="Times New Roman" w:hAnsi="Times New Roman" w:cs="Times New Roman"/>
                <w:i/>
                <w:color w:val="000000"/>
                <w:sz w:val="24"/>
                <w:szCs w:val="24"/>
                <w:shd w:val="clear" w:color="auto" w:fill="FFFFFF"/>
              </w:rPr>
              <w:t>euro</w:t>
            </w:r>
            <w:proofErr w:type="spellEnd"/>
            <w:r>
              <w:rPr>
                <w:rFonts w:ascii="Times New Roman" w:hAnsi="Times New Roman" w:cs="Times New Roman"/>
                <w:iCs/>
                <w:color w:val="000000"/>
                <w:sz w:val="24"/>
                <w:szCs w:val="24"/>
                <w:shd w:val="clear" w:color="auto" w:fill="FFFFFF"/>
              </w:rPr>
              <w:t xml:space="preserve">, kas, </w:t>
            </w:r>
            <w:r w:rsidRPr="00693966">
              <w:rPr>
                <w:rFonts w:ascii="Times New Roman" w:hAnsi="Times New Roman" w:cs="Times New Roman"/>
                <w:iCs/>
                <w:color w:val="000000"/>
                <w:sz w:val="24"/>
                <w:szCs w:val="24"/>
                <w:shd w:val="clear" w:color="auto" w:fill="FFFFFF"/>
              </w:rPr>
              <w:t>Ekonomikas ministrijas un PTAC ieskatā</w:t>
            </w:r>
            <w:r>
              <w:rPr>
                <w:rFonts w:ascii="Times New Roman" w:hAnsi="Times New Roman" w:cs="Times New Roman"/>
                <w:iCs/>
                <w:color w:val="000000"/>
                <w:sz w:val="24"/>
                <w:szCs w:val="24"/>
                <w:shd w:val="clear" w:color="auto" w:fill="FFFFFF"/>
              </w:rPr>
              <w:t>,</w:t>
            </w:r>
            <w:r w:rsidRPr="00693966">
              <w:rPr>
                <w:rFonts w:ascii="Times New Roman" w:hAnsi="Times New Roman" w:cs="Times New Roman"/>
                <w:iCs/>
                <w:color w:val="000000"/>
                <w:sz w:val="24"/>
                <w:szCs w:val="24"/>
                <w:shd w:val="clear" w:color="auto" w:fill="FFFFFF"/>
              </w:rPr>
              <w:t xml:space="preserve"> būs iedarbīgs, samērīgs un atturošs.</w:t>
            </w:r>
          </w:p>
        </w:tc>
      </w:tr>
      <w:tr w:rsidR="006C699A" w:rsidRPr="00667396" w14:paraId="4A8B3C7F" w14:textId="77777777" w:rsidTr="001A0F6E">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7290F5FD" w14:textId="77777777" w:rsidR="006C699A" w:rsidRPr="00412D86" w:rsidRDefault="006C699A" w:rsidP="001A0F6E">
            <w:pPr>
              <w:spacing w:after="0" w:line="240" w:lineRule="auto"/>
              <w:jc w:val="both"/>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 xml:space="preserve">Saistības sniegt paziņojumu ES </w:t>
            </w:r>
            <w:r w:rsidRPr="00412D86">
              <w:rPr>
                <w:rFonts w:ascii="Times New Roman" w:eastAsia="Times New Roman" w:hAnsi="Times New Roman" w:cs="Times New Roman"/>
                <w:iCs/>
                <w:sz w:val="24"/>
                <w:szCs w:val="24"/>
                <w:lang w:eastAsia="lv-LV"/>
              </w:rPr>
              <w:lastRenderedPageBreak/>
              <w:t>institūcijām un ES dalībvalstīm atbilstoši normatīvajiem aktiem, kas regulē informācijas sniegšanu par tehnisko noteikumu, valsts atbalsta piešķiršanas un finanšu noteikumu (attiecībā uz monetāro politiku) projektiem</w:t>
            </w:r>
          </w:p>
        </w:tc>
        <w:tc>
          <w:tcPr>
            <w:tcW w:w="3685" w:type="pct"/>
            <w:gridSpan w:val="3"/>
            <w:tcBorders>
              <w:top w:val="outset" w:sz="6" w:space="0" w:color="auto"/>
              <w:left w:val="outset" w:sz="6" w:space="0" w:color="auto"/>
              <w:bottom w:val="outset" w:sz="6" w:space="0" w:color="auto"/>
              <w:right w:val="outset" w:sz="6" w:space="0" w:color="auto"/>
            </w:tcBorders>
            <w:hideMark/>
          </w:tcPr>
          <w:p w14:paraId="3E39CD71" w14:textId="77777777" w:rsidR="006C699A" w:rsidRPr="00412D86" w:rsidRDefault="006C699A" w:rsidP="001A0F6E">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lastRenderedPageBreak/>
              <w:t>Projekts šo jomu neskar</w:t>
            </w:r>
          </w:p>
        </w:tc>
      </w:tr>
      <w:tr w:rsidR="006C699A" w:rsidRPr="00667396" w14:paraId="27D51675" w14:textId="77777777" w:rsidTr="001A0F6E">
        <w:trPr>
          <w:tblCellSpacing w:w="15" w:type="dxa"/>
        </w:trPr>
        <w:tc>
          <w:tcPr>
            <w:tcW w:w="1266" w:type="pct"/>
            <w:gridSpan w:val="2"/>
            <w:tcBorders>
              <w:top w:val="outset" w:sz="6" w:space="0" w:color="auto"/>
              <w:left w:val="outset" w:sz="6" w:space="0" w:color="auto"/>
              <w:bottom w:val="outset" w:sz="6" w:space="0" w:color="auto"/>
              <w:right w:val="outset" w:sz="6" w:space="0" w:color="auto"/>
            </w:tcBorders>
            <w:hideMark/>
          </w:tcPr>
          <w:p w14:paraId="5A9CA2CF" w14:textId="77777777" w:rsidR="006C699A" w:rsidRPr="00412D86" w:rsidRDefault="006C699A" w:rsidP="001A0F6E">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Cita informācija</w:t>
            </w:r>
          </w:p>
        </w:tc>
        <w:tc>
          <w:tcPr>
            <w:tcW w:w="3685" w:type="pct"/>
            <w:gridSpan w:val="3"/>
            <w:tcBorders>
              <w:top w:val="outset" w:sz="6" w:space="0" w:color="auto"/>
              <w:left w:val="outset" w:sz="6" w:space="0" w:color="auto"/>
              <w:bottom w:val="outset" w:sz="6" w:space="0" w:color="auto"/>
              <w:right w:val="outset" w:sz="6" w:space="0" w:color="auto"/>
            </w:tcBorders>
            <w:hideMark/>
          </w:tcPr>
          <w:p w14:paraId="461ED4C3" w14:textId="77777777" w:rsidR="006C699A" w:rsidRPr="00412D86" w:rsidRDefault="006C699A" w:rsidP="001A0F6E">
            <w:pPr>
              <w:spacing w:after="0" w:line="240" w:lineRule="auto"/>
              <w:rPr>
                <w:rFonts w:ascii="Times New Roman" w:eastAsia="Times New Roman" w:hAnsi="Times New Roman" w:cs="Times New Roman"/>
                <w:iCs/>
                <w:sz w:val="24"/>
                <w:szCs w:val="24"/>
                <w:lang w:eastAsia="lv-LV"/>
              </w:rPr>
            </w:pPr>
            <w:r w:rsidRPr="00412D86">
              <w:rPr>
                <w:rFonts w:ascii="Times New Roman" w:eastAsia="Times New Roman" w:hAnsi="Times New Roman" w:cs="Times New Roman"/>
                <w:iCs/>
                <w:sz w:val="24"/>
                <w:szCs w:val="24"/>
                <w:lang w:eastAsia="lv-LV"/>
              </w:rPr>
              <w:t>Nav</w:t>
            </w:r>
          </w:p>
        </w:tc>
      </w:tr>
    </w:tbl>
    <w:p w14:paraId="34CB4346" w14:textId="77777777" w:rsidR="006C699A" w:rsidRDefault="006C699A" w:rsidP="006C699A">
      <w:pPr>
        <w:tabs>
          <w:tab w:val="left" w:pos="6237"/>
        </w:tabs>
        <w:spacing w:after="0" w:line="240" w:lineRule="auto"/>
        <w:contextualSpacing/>
        <w:rPr>
          <w:rFonts w:ascii="Times New Roman" w:hAnsi="Times New Roman" w:cs="Times New Roman"/>
          <w:sz w:val="24"/>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8"/>
        <w:gridCol w:w="1939"/>
        <w:gridCol w:w="6628"/>
      </w:tblGrid>
      <w:tr w:rsidR="006C699A" w:rsidRPr="004D23F4" w14:paraId="6693AC63" w14:textId="77777777" w:rsidTr="001A0F6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4E093D1" w14:textId="77777777" w:rsidR="006C699A" w:rsidRPr="004D23F4" w:rsidRDefault="006C699A" w:rsidP="001A0F6E">
            <w:pPr>
              <w:spacing w:after="0" w:line="240" w:lineRule="auto"/>
              <w:contextualSpacing/>
              <w:jc w:val="center"/>
              <w:rPr>
                <w:rFonts w:ascii="Times New Roman" w:eastAsia="Times New Roman" w:hAnsi="Times New Roman" w:cs="Times New Roman"/>
                <w:b/>
                <w:bCs/>
                <w:iCs/>
                <w:sz w:val="24"/>
                <w:szCs w:val="24"/>
                <w:lang w:eastAsia="lv-LV"/>
              </w:rPr>
            </w:pPr>
            <w:r w:rsidRPr="004D23F4">
              <w:rPr>
                <w:rFonts w:ascii="Times New Roman" w:eastAsia="Times New Roman" w:hAnsi="Times New Roman" w:cs="Times New Roman"/>
                <w:b/>
                <w:bCs/>
                <w:iCs/>
                <w:sz w:val="24"/>
                <w:szCs w:val="24"/>
                <w:lang w:eastAsia="lv-LV"/>
              </w:rPr>
              <w:t>VI. Sabiedrības līdzdalība un komunikācijas aktivitātes</w:t>
            </w:r>
          </w:p>
        </w:tc>
      </w:tr>
      <w:tr w:rsidR="006C699A" w:rsidRPr="004D23F4" w14:paraId="37880530" w14:textId="77777777" w:rsidTr="001A0F6E">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A494EB8" w14:textId="77777777" w:rsidR="006C699A" w:rsidRPr="004D23F4"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1.</w:t>
            </w:r>
          </w:p>
        </w:tc>
        <w:tc>
          <w:tcPr>
            <w:tcW w:w="1061" w:type="pct"/>
            <w:tcBorders>
              <w:top w:val="outset" w:sz="6" w:space="0" w:color="auto"/>
              <w:left w:val="outset" w:sz="6" w:space="0" w:color="auto"/>
              <w:bottom w:val="outset" w:sz="6" w:space="0" w:color="auto"/>
              <w:right w:val="outset" w:sz="6" w:space="0" w:color="auto"/>
            </w:tcBorders>
            <w:hideMark/>
          </w:tcPr>
          <w:p w14:paraId="795DD33D" w14:textId="77777777" w:rsidR="006C699A" w:rsidRPr="00FA24AC"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28" w:type="pct"/>
            <w:tcBorders>
              <w:top w:val="outset" w:sz="6" w:space="0" w:color="auto"/>
              <w:left w:val="outset" w:sz="6" w:space="0" w:color="auto"/>
              <w:bottom w:val="outset" w:sz="6" w:space="0" w:color="auto"/>
              <w:right w:val="outset" w:sz="6" w:space="0" w:color="auto"/>
            </w:tcBorders>
          </w:tcPr>
          <w:p w14:paraId="1F7DC8AB" w14:textId="77777777" w:rsidR="006C699A" w:rsidRPr="00FA24AC" w:rsidRDefault="006C699A" w:rsidP="001A0F6E">
            <w:pPr>
              <w:pStyle w:val="naiskr"/>
              <w:spacing w:before="0" w:after="0"/>
              <w:ind w:right="57"/>
              <w:contextualSpacing/>
              <w:jc w:val="both"/>
              <w:rPr>
                <w:iCs/>
                <w:color w:val="auto"/>
              </w:rPr>
            </w:pPr>
            <w:r w:rsidRPr="00E5061C">
              <w:rPr>
                <w:rStyle w:val="st1"/>
                <w:rFonts w:eastAsiaTheme="minorHAnsi"/>
                <w:color w:val="auto"/>
              </w:rPr>
              <w:t>Projekts 20</w:t>
            </w:r>
            <w:r>
              <w:rPr>
                <w:rStyle w:val="st1"/>
                <w:rFonts w:eastAsiaTheme="minorHAnsi"/>
                <w:color w:val="auto"/>
              </w:rPr>
              <w:t>2</w:t>
            </w:r>
            <w:r>
              <w:rPr>
                <w:rStyle w:val="st1"/>
                <w:rFonts w:eastAsiaTheme="minorHAnsi"/>
              </w:rPr>
              <w:t>0</w:t>
            </w:r>
            <w:r w:rsidRPr="00E5061C">
              <w:rPr>
                <w:rStyle w:val="st1"/>
                <w:rFonts w:eastAsiaTheme="minorHAnsi"/>
                <w:color w:val="auto"/>
              </w:rPr>
              <w:t>.</w:t>
            </w:r>
            <w:r>
              <w:rPr>
                <w:rStyle w:val="st1"/>
                <w:rFonts w:eastAsiaTheme="minorHAnsi"/>
                <w:color w:val="auto"/>
              </w:rPr>
              <w:t> </w:t>
            </w:r>
            <w:r w:rsidRPr="00E5061C">
              <w:rPr>
                <w:rStyle w:val="st1"/>
                <w:rFonts w:eastAsiaTheme="minorHAnsi"/>
                <w:color w:val="auto"/>
              </w:rPr>
              <w:t xml:space="preserve">gada </w:t>
            </w:r>
            <w:r>
              <w:rPr>
                <w:rStyle w:val="st1"/>
                <w:rFonts w:eastAsiaTheme="minorHAnsi"/>
                <w:color w:val="auto"/>
              </w:rPr>
              <w:t>17. </w:t>
            </w:r>
            <w:r>
              <w:rPr>
                <w:rStyle w:val="st1"/>
                <w:rFonts w:eastAsiaTheme="minorHAnsi"/>
              </w:rPr>
              <w:t>jūlijā</w:t>
            </w:r>
            <w:r>
              <w:rPr>
                <w:rStyle w:val="st1"/>
                <w:rFonts w:eastAsiaTheme="minorHAnsi"/>
                <w:color w:val="auto"/>
              </w:rPr>
              <w:t xml:space="preserve"> </w:t>
            </w:r>
            <w:r w:rsidRPr="00E5061C">
              <w:rPr>
                <w:rStyle w:val="st1"/>
                <w:rFonts w:eastAsiaTheme="minorHAnsi"/>
                <w:color w:val="auto"/>
              </w:rPr>
              <w:t xml:space="preserve">tika ievietots Ekonomikas ministrijas un </w:t>
            </w:r>
            <w:r>
              <w:rPr>
                <w:rStyle w:val="st1"/>
                <w:rFonts w:eastAsiaTheme="minorHAnsi"/>
                <w:color w:val="auto"/>
              </w:rPr>
              <w:t xml:space="preserve">Valsts kancelejas </w:t>
            </w:r>
            <w:r w:rsidRPr="00E5061C">
              <w:rPr>
                <w:rStyle w:val="st1"/>
                <w:rFonts w:eastAsiaTheme="minorHAnsi"/>
                <w:color w:val="auto"/>
              </w:rPr>
              <w:t>tīmekļvietnē</w:t>
            </w:r>
            <w:r>
              <w:rPr>
                <w:rStyle w:val="st1"/>
                <w:rFonts w:eastAsiaTheme="minorHAnsi"/>
                <w:color w:val="auto"/>
              </w:rPr>
              <w:t>.</w:t>
            </w:r>
          </w:p>
        </w:tc>
      </w:tr>
      <w:tr w:rsidR="006C699A" w:rsidRPr="004D23F4" w14:paraId="0CE340AE" w14:textId="77777777" w:rsidTr="001A0F6E">
        <w:trPr>
          <w:trHeight w:val="147"/>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83BDDB2" w14:textId="77777777" w:rsidR="006C699A" w:rsidRPr="004D23F4"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2.</w:t>
            </w:r>
          </w:p>
        </w:tc>
        <w:tc>
          <w:tcPr>
            <w:tcW w:w="1061" w:type="pct"/>
            <w:tcBorders>
              <w:top w:val="outset" w:sz="6" w:space="0" w:color="auto"/>
              <w:left w:val="outset" w:sz="6" w:space="0" w:color="auto"/>
              <w:bottom w:val="outset" w:sz="6" w:space="0" w:color="auto"/>
              <w:right w:val="outset" w:sz="6" w:space="0" w:color="auto"/>
            </w:tcBorders>
            <w:hideMark/>
          </w:tcPr>
          <w:p w14:paraId="2BB4FF02" w14:textId="77777777" w:rsidR="006C699A" w:rsidRPr="00FA24AC"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 projekta izstrādē</w:t>
            </w:r>
          </w:p>
        </w:tc>
        <w:tc>
          <w:tcPr>
            <w:tcW w:w="3628" w:type="pct"/>
            <w:tcBorders>
              <w:top w:val="outset" w:sz="6" w:space="0" w:color="auto"/>
              <w:left w:val="outset" w:sz="6" w:space="0" w:color="auto"/>
              <w:bottom w:val="outset" w:sz="6" w:space="0" w:color="auto"/>
              <w:right w:val="outset" w:sz="6" w:space="0" w:color="auto"/>
            </w:tcBorders>
          </w:tcPr>
          <w:p w14:paraId="59A7C79E" w14:textId="77777777" w:rsidR="006C699A" w:rsidRPr="00456C4C" w:rsidRDefault="006C699A" w:rsidP="001A0F6E">
            <w:pPr>
              <w:spacing w:after="0" w:line="240" w:lineRule="auto"/>
              <w:contextualSpacing/>
              <w:jc w:val="both"/>
              <w:rPr>
                <w:rFonts w:ascii="Times New Roman" w:hAnsi="Times New Roman" w:cs="Times New Roman"/>
                <w:sz w:val="24"/>
                <w:szCs w:val="24"/>
                <w:lang w:eastAsia="lv-LV"/>
              </w:rPr>
            </w:pPr>
            <w:r w:rsidRPr="00456C4C">
              <w:rPr>
                <w:rFonts w:ascii="Times New Roman" w:hAnsi="Times New Roman" w:cs="Times New Roman"/>
                <w:sz w:val="24"/>
                <w:szCs w:val="24"/>
                <w:lang w:eastAsia="lv-LV"/>
              </w:rPr>
              <w:t xml:space="preserve">Projekts 2020. gada </w:t>
            </w:r>
            <w:r>
              <w:rPr>
                <w:rFonts w:ascii="Times New Roman" w:hAnsi="Times New Roman" w:cs="Times New Roman"/>
                <w:sz w:val="24"/>
                <w:szCs w:val="24"/>
                <w:lang w:eastAsia="lv-LV"/>
              </w:rPr>
              <w:t>17. jūlijā</w:t>
            </w:r>
            <w:r w:rsidRPr="00456C4C">
              <w:rPr>
                <w:rFonts w:ascii="Times New Roman" w:hAnsi="Times New Roman" w:cs="Times New Roman"/>
                <w:sz w:val="24"/>
                <w:szCs w:val="24"/>
                <w:lang w:eastAsia="lv-LV"/>
              </w:rPr>
              <w:t xml:space="preserve"> tika ievietots</w:t>
            </w:r>
            <w:r>
              <w:rPr>
                <w:rFonts w:ascii="Times New Roman" w:hAnsi="Times New Roman" w:cs="Times New Roman"/>
                <w:sz w:val="24"/>
                <w:szCs w:val="24"/>
                <w:lang w:eastAsia="lv-LV"/>
              </w:rPr>
              <w:t xml:space="preserve"> apspriešanai</w:t>
            </w:r>
            <w:r w:rsidRPr="00456C4C">
              <w:rPr>
                <w:rFonts w:ascii="Times New Roman" w:hAnsi="Times New Roman" w:cs="Times New Roman"/>
                <w:sz w:val="24"/>
                <w:szCs w:val="24"/>
                <w:lang w:eastAsia="lv-LV"/>
              </w:rPr>
              <w:t>:</w:t>
            </w:r>
          </w:p>
          <w:p w14:paraId="14A1D4B7" w14:textId="77777777" w:rsidR="006C699A" w:rsidRDefault="006C699A" w:rsidP="001A0F6E">
            <w:pPr>
              <w:pStyle w:val="ListParagraph"/>
              <w:numPr>
                <w:ilvl w:val="0"/>
                <w:numId w:val="5"/>
              </w:numPr>
              <w:spacing w:after="0" w:line="240" w:lineRule="auto"/>
              <w:jc w:val="both"/>
              <w:rPr>
                <w:rFonts w:ascii="Times New Roman" w:hAnsi="Times New Roman" w:cs="Times New Roman"/>
                <w:sz w:val="24"/>
                <w:szCs w:val="24"/>
                <w:lang w:eastAsia="lv-LV"/>
              </w:rPr>
            </w:pPr>
            <w:r w:rsidRPr="00456C4C">
              <w:rPr>
                <w:rFonts w:ascii="Times New Roman" w:hAnsi="Times New Roman" w:cs="Times New Roman"/>
                <w:sz w:val="24"/>
                <w:szCs w:val="24"/>
                <w:lang w:eastAsia="lv-LV"/>
              </w:rPr>
              <w:t>Ekonomikas ministrijas tīmekļvietnē</w:t>
            </w:r>
          </w:p>
          <w:p w14:paraId="1F6A1B91" w14:textId="77777777" w:rsidR="006C699A" w:rsidRDefault="00015CDC" w:rsidP="001A0F6E">
            <w:pPr>
              <w:spacing w:after="0" w:line="240" w:lineRule="auto"/>
              <w:ind w:left="360"/>
              <w:jc w:val="both"/>
              <w:rPr>
                <w:rFonts w:ascii="Times New Roman" w:hAnsi="Times New Roman" w:cs="Times New Roman"/>
                <w:sz w:val="24"/>
                <w:szCs w:val="24"/>
                <w:lang w:eastAsia="lv-LV"/>
              </w:rPr>
            </w:pPr>
            <w:hyperlink r:id="rId9" w:history="1">
              <w:r w:rsidR="006C699A" w:rsidRPr="00BB4DB1">
                <w:rPr>
                  <w:rStyle w:val="Hyperlink"/>
                  <w:rFonts w:ascii="Times New Roman" w:hAnsi="Times New Roman" w:cs="Times New Roman"/>
                  <w:sz w:val="24"/>
                  <w:szCs w:val="24"/>
                  <w:lang w:eastAsia="lv-LV"/>
                </w:rPr>
                <w:t>https://www.em.gov.lv/lv/Ministrija/sabiedribas_lidzdaliba/diskusiju_dokumenti/</w:t>
              </w:r>
            </w:hyperlink>
          </w:p>
          <w:p w14:paraId="44B04E29" w14:textId="77777777" w:rsidR="006C699A" w:rsidRPr="00F45BA8" w:rsidRDefault="006C699A" w:rsidP="001A0F6E">
            <w:pPr>
              <w:pStyle w:val="ListParagraph"/>
              <w:numPr>
                <w:ilvl w:val="0"/>
                <w:numId w:val="5"/>
              </w:numPr>
              <w:spacing w:after="0" w:line="240" w:lineRule="auto"/>
              <w:jc w:val="both"/>
              <w:rPr>
                <w:lang w:eastAsia="lv-LV"/>
              </w:rPr>
            </w:pPr>
            <w:r>
              <w:rPr>
                <w:rFonts w:ascii="Times New Roman" w:hAnsi="Times New Roman" w:cs="Times New Roman"/>
                <w:sz w:val="24"/>
                <w:szCs w:val="24"/>
                <w:lang w:eastAsia="lv-LV"/>
              </w:rPr>
              <w:t xml:space="preserve">Valsts kancelejas </w:t>
            </w:r>
            <w:r w:rsidRPr="00456C4C">
              <w:rPr>
                <w:rFonts w:ascii="Times New Roman" w:hAnsi="Times New Roman" w:cs="Times New Roman"/>
                <w:sz w:val="24"/>
                <w:szCs w:val="24"/>
                <w:lang w:eastAsia="lv-LV"/>
              </w:rPr>
              <w:t>tīmekļvietnē</w:t>
            </w:r>
          </w:p>
          <w:p w14:paraId="3AB3557C" w14:textId="77777777" w:rsidR="006C699A" w:rsidRPr="000A459B" w:rsidRDefault="00015CDC" w:rsidP="001A0F6E">
            <w:pPr>
              <w:spacing w:after="0" w:line="240" w:lineRule="auto"/>
              <w:ind w:left="360"/>
              <w:jc w:val="both"/>
              <w:rPr>
                <w:lang w:eastAsia="lv-LV"/>
              </w:rPr>
            </w:pPr>
            <w:hyperlink r:id="rId10" w:history="1">
              <w:r w:rsidR="006C699A" w:rsidRPr="00BB4DB1">
                <w:rPr>
                  <w:rStyle w:val="Hyperlink"/>
                  <w:rFonts w:ascii="Times New Roman" w:hAnsi="Times New Roman" w:cs="Times New Roman"/>
                  <w:sz w:val="24"/>
                  <w:szCs w:val="24"/>
                  <w:lang w:eastAsia="lv-LV"/>
                </w:rPr>
                <w:t>https://www.mk.gov.lv/content/ministru-kabineta-diskusiju-dokumenti</w:t>
              </w:r>
            </w:hyperlink>
          </w:p>
        </w:tc>
      </w:tr>
      <w:tr w:rsidR="006C699A" w:rsidRPr="004D23F4" w14:paraId="0F62141F" w14:textId="77777777" w:rsidTr="001A0F6E">
        <w:trPr>
          <w:trHeight w:val="58"/>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5350365" w14:textId="77777777" w:rsidR="006C699A" w:rsidRPr="004D23F4"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3.</w:t>
            </w:r>
          </w:p>
        </w:tc>
        <w:tc>
          <w:tcPr>
            <w:tcW w:w="1061" w:type="pct"/>
            <w:tcBorders>
              <w:top w:val="outset" w:sz="6" w:space="0" w:color="auto"/>
              <w:left w:val="outset" w:sz="6" w:space="0" w:color="auto"/>
              <w:bottom w:val="outset" w:sz="6" w:space="0" w:color="auto"/>
              <w:right w:val="outset" w:sz="6" w:space="0" w:color="auto"/>
            </w:tcBorders>
            <w:hideMark/>
          </w:tcPr>
          <w:p w14:paraId="5DCFE54C" w14:textId="77777777" w:rsidR="006C699A" w:rsidRPr="00FA24AC"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sidRPr="00FA24AC">
              <w:rPr>
                <w:rFonts w:ascii="Times New Roman" w:eastAsia="Times New Roman" w:hAnsi="Times New Roman" w:cs="Times New Roman"/>
                <w:iCs/>
                <w:sz w:val="24"/>
                <w:szCs w:val="24"/>
                <w:lang w:eastAsia="lv-LV"/>
              </w:rPr>
              <w:t>Sabiedrības līdzdalības rezultāti</w:t>
            </w:r>
          </w:p>
        </w:tc>
        <w:tc>
          <w:tcPr>
            <w:tcW w:w="3628" w:type="pct"/>
            <w:tcBorders>
              <w:top w:val="outset" w:sz="6" w:space="0" w:color="auto"/>
              <w:left w:val="outset" w:sz="6" w:space="0" w:color="auto"/>
              <w:bottom w:val="outset" w:sz="6" w:space="0" w:color="auto"/>
              <w:right w:val="outset" w:sz="6" w:space="0" w:color="auto"/>
            </w:tcBorders>
            <w:hideMark/>
          </w:tcPr>
          <w:p w14:paraId="0B9C89E0" w14:textId="77777777" w:rsidR="006C699A" w:rsidRPr="000A459B" w:rsidRDefault="006C699A" w:rsidP="001A0F6E">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Saņemts priekšlikums no Latvijas Interneta asociācijas, kurā tika norādīts, ka naudas soda un piespiedu naudas soda piemērošanas amplitūda izsakāma atbilstoši Administratīvās atbildības likumā noteiktajām naudas soda vienībām, bet netika ņemts vērā, jo </w:t>
            </w:r>
            <w:r w:rsidRPr="0086747F">
              <w:rPr>
                <w:rFonts w:ascii="Times New Roman" w:eastAsia="Times New Roman" w:hAnsi="Times New Roman" w:cs="Times New Roman"/>
                <w:sz w:val="24"/>
                <w:szCs w:val="24"/>
                <w:lang w:eastAsia="lv-LV"/>
              </w:rPr>
              <w:t>Likumprojekta 16. pantā minētā soda nauda un piespiedu soda nauda ir piemērojamas atbilstoši Administratīvā procesa likuma normām</w:t>
            </w:r>
            <w:r>
              <w:rPr>
                <w:rFonts w:ascii="Times New Roman" w:eastAsia="Times New Roman" w:hAnsi="Times New Roman" w:cs="Times New Roman"/>
                <w:sz w:val="24"/>
                <w:szCs w:val="24"/>
                <w:lang w:eastAsia="lv-LV"/>
              </w:rPr>
              <w:t>.</w:t>
            </w:r>
          </w:p>
        </w:tc>
      </w:tr>
      <w:tr w:rsidR="006C699A" w:rsidRPr="004D23F4" w14:paraId="45A8513A" w14:textId="77777777" w:rsidTr="001A0F6E">
        <w:trPr>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40AA9026" w14:textId="77777777" w:rsidR="006C699A" w:rsidRPr="004D23F4"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4.</w:t>
            </w:r>
          </w:p>
        </w:tc>
        <w:tc>
          <w:tcPr>
            <w:tcW w:w="1061" w:type="pct"/>
            <w:tcBorders>
              <w:top w:val="outset" w:sz="6" w:space="0" w:color="auto"/>
              <w:left w:val="outset" w:sz="6" w:space="0" w:color="auto"/>
              <w:bottom w:val="outset" w:sz="6" w:space="0" w:color="auto"/>
              <w:right w:val="outset" w:sz="6" w:space="0" w:color="auto"/>
            </w:tcBorders>
            <w:hideMark/>
          </w:tcPr>
          <w:p w14:paraId="6A68E60E" w14:textId="77777777" w:rsidR="006C699A" w:rsidRPr="004D23F4"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Cita informācija</w:t>
            </w:r>
          </w:p>
        </w:tc>
        <w:tc>
          <w:tcPr>
            <w:tcW w:w="3628" w:type="pct"/>
            <w:tcBorders>
              <w:top w:val="outset" w:sz="6" w:space="0" w:color="auto"/>
              <w:left w:val="outset" w:sz="6" w:space="0" w:color="auto"/>
              <w:bottom w:val="outset" w:sz="6" w:space="0" w:color="auto"/>
              <w:right w:val="outset" w:sz="6" w:space="0" w:color="auto"/>
            </w:tcBorders>
          </w:tcPr>
          <w:p w14:paraId="554EA8A3" w14:textId="77777777" w:rsidR="006C699A" w:rsidRPr="004D23F4"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D23F4">
              <w:rPr>
                <w:rFonts w:ascii="Times New Roman" w:eastAsia="Times New Roman" w:hAnsi="Times New Roman" w:cs="Times New Roman"/>
                <w:iCs/>
                <w:sz w:val="24"/>
                <w:szCs w:val="24"/>
                <w:lang w:eastAsia="lv-LV"/>
              </w:rPr>
              <w:t>Nav</w:t>
            </w:r>
          </w:p>
        </w:tc>
      </w:tr>
    </w:tbl>
    <w:p w14:paraId="6540FA01" w14:textId="77777777" w:rsidR="006C699A" w:rsidRPr="004D23F4" w:rsidRDefault="006C699A" w:rsidP="006C699A">
      <w:pPr>
        <w:spacing w:before="40" w:after="40" w:line="240" w:lineRule="auto"/>
        <w:jc w:val="both"/>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2"/>
        <w:gridCol w:w="2755"/>
        <w:gridCol w:w="5728"/>
      </w:tblGrid>
      <w:tr w:rsidR="006C699A" w:rsidRPr="004D23F4" w14:paraId="6068CCC1" w14:textId="77777777" w:rsidTr="001A0F6E">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08C3F3B3" w14:textId="77777777" w:rsidR="006C699A" w:rsidRPr="00456C4C" w:rsidRDefault="006C699A" w:rsidP="001A0F6E">
            <w:pPr>
              <w:spacing w:before="40" w:after="40" w:line="240" w:lineRule="auto"/>
              <w:jc w:val="center"/>
              <w:rPr>
                <w:rFonts w:ascii="Times New Roman" w:eastAsia="Times New Roman" w:hAnsi="Times New Roman" w:cs="Times New Roman"/>
                <w:b/>
                <w:bCs/>
                <w:iCs/>
                <w:sz w:val="24"/>
                <w:szCs w:val="24"/>
                <w:lang w:eastAsia="lv-LV"/>
              </w:rPr>
            </w:pPr>
            <w:r w:rsidRPr="00456C4C">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6C699A" w:rsidRPr="004D23F4" w14:paraId="46EA9279" w14:textId="77777777" w:rsidTr="001A0F6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2F83E0D4"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1.</w:t>
            </w:r>
          </w:p>
        </w:tc>
        <w:tc>
          <w:tcPr>
            <w:tcW w:w="1515" w:type="pct"/>
            <w:tcBorders>
              <w:top w:val="outset" w:sz="6" w:space="0" w:color="auto"/>
              <w:left w:val="outset" w:sz="6" w:space="0" w:color="auto"/>
              <w:bottom w:val="outset" w:sz="6" w:space="0" w:color="auto"/>
              <w:right w:val="outset" w:sz="6" w:space="0" w:color="auto"/>
            </w:tcBorders>
            <w:hideMark/>
          </w:tcPr>
          <w:p w14:paraId="71550140"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Projekta izpildē iesaistītās institūcijas</w:t>
            </w:r>
          </w:p>
        </w:tc>
        <w:tc>
          <w:tcPr>
            <w:tcW w:w="3127" w:type="pct"/>
            <w:tcBorders>
              <w:top w:val="outset" w:sz="6" w:space="0" w:color="auto"/>
              <w:left w:val="outset" w:sz="6" w:space="0" w:color="auto"/>
              <w:bottom w:val="outset" w:sz="6" w:space="0" w:color="auto"/>
              <w:right w:val="outset" w:sz="6" w:space="0" w:color="auto"/>
            </w:tcBorders>
            <w:hideMark/>
          </w:tcPr>
          <w:p w14:paraId="651DE517"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Ekonomikas ministrija, Patērētāju tiesību aizsardzības centrs.</w:t>
            </w:r>
          </w:p>
        </w:tc>
      </w:tr>
      <w:tr w:rsidR="006C699A" w:rsidRPr="004D23F4" w14:paraId="0C710DFF" w14:textId="77777777" w:rsidTr="001A0F6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3002141C"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2.</w:t>
            </w:r>
          </w:p>
        </w:tc>
        <w:tc>
          <w:tcPr>
            <w:tcW w:w="1515" w:type="pct"/>
            <w:tcBorders>
              <w:top w:val="outset" w:sz="6" w:space="0" w:color="auto"/>
              <w:left w:val="outset" w:sz="6" w:space="0" w:color="auto"/>
              <w:bottom w:val="outset" w:sz="6" w:space="0" w:color="auto"/>
              <w:right w:val="outset" w:sz="6" w:space="0" w:color="auto"/>
            </w:tcBorders>
            <w:hideMark/>
          </w:tcPr>
          <w:p w14:paraId="5ACA3C14"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Projekta izpildes ietekme uz pārvaldes funkcijām un institucionālo struktūru.</w:t>
            </w:r>
            <w:r w:rsidRPr="00456C4C">
              <w:rPr>
                <w:rFonts w:ascii="Times New Roman" w:eastAsia="Times New Roman" w:hAnsi="Times New Roman" w:cs="Times New Roman"/>
                <w:iCs/>
                <w:sz w:val="24"/>
                <w:szCs w:val="24"/>
                <w:lang w:eastAsia="lv-LV"/>
              </w:rPr>
              <w:br/>
              <w:t xml:space="preserve">Jaunu institūciju izveide, esošu institūciju likvidācija vai reorganizācija, to </w:t>
            </w:r>
            <w:r w:rsidRPr="00456C4C">
              <w:rPr>
                <w:rFonts w:ascii="Times New Roman" w:eastAsia="Times New Roman" w:hAnsi="Times New Roman" w:cs="Times New Roman"/>
                <w:iCs/>
                <w:sz w:val="24"/>
                <w:szCs w:val="24"/>
                <w:lang w:eastAsia="lv-LV"/>
              </w:rPr>
              <w:lastRenderedPageBreak/>
              <w:t>ietekme uz institūcijas cilvēkresursiem</w:t>
            </w:r>
          </w:p>
        </w:tc>
        <w:tc>
          <w:tcPr>
            <w:tcW w:w="3127" w:type="pct"/>
            <w:tcBorders>
              <w:top w:val="outset" w:sz="6" w:space="0" w:color="auto"/>
              <w:left w:val="outset" w:sz="6" w:space="0" w:color="auto"/>
              <w:bottom w:val="outset" w:sz="6" w:space="0" w:color="auto"/>
              <w:right w:val="outset" w:sz="6" w:space="0" w:color="auto"/>
            </w:tcBorders>
            <w:hideMark/>
          </w:tcPr>
          <w:p w14:paraId="1B6FB72A" w14:textId="77777777" w:rsidR="006C699A" w:rsidRDefault="006C699A" w:rsidP="001A0F6E">
            <w:pPr>
              <w:spacing w:before="40" w:after="40" w:line="240" w:lineRule="auto"/>
              <w:jc w:val="both"/>
              <w:rPr>
                <w:rFonts w:ascii="Times New Roman" w:hAnsi="Times New Roman" w:cs="Times New Roman"/>
                <w:sz w:val="24"/>
                <w:szCs w:val="24"/>
              </w:rPr>
            </w:pPr>
            <w:r w:rsidRPr="00456C4C">
              <w:rPr>
                <w:rFonts w:ascii="Times New Roman" w:hAnsi="Times New Roman" w:cs="Times New Roman"/>
                <w:sz w:val="24"/>
                <w:szCs w:val="24"/>
                <w:lang w:eastAsia="lv-LV"/>
              </w:rPr>
              <w:lastRenderedPageBreak/>
              <w:t>Pārvaldes institucionālā struktūra nemainās. Projekts neparedz jaunu valsts institūciju izveidi</w:t>
            </w:r>
            <w:r>
              <w:rPr>
                <w:rFonts w:ascii="Times New Roman" w:hAnsi="Times New Roman" w:cs="Times New Roman"/>
                <w:sz w:val="24"/>
                <w:szCs w:val="24"/>
                <w:lang w:eastAsia="lv-LV"/>
              </w:rPr>
              <w:t xml:space="preserve"> vai</w:t>
            </w:r>
            <w:r w:rsidRPr="00456C4C">
              <w:rPr>
                <w:rFonts w:ascii="Times New Roman" w:hAnsi="Times New Roman" w:cs="Times New Roman"/>
                <w:sz w:val="24"/>
                <w:szCs w:val="24"/>
                <w:lang w:eastAsia="lv-LV"/>
              </w:rPr>
              <w:t xml:space="preserve"> </w:t>
            </w:r>
            <w:r w:rsidRPr="00456C4C">
              <w:rPr>
                <w:rFonts w:ascii="Times New Roman" w:hAnsi="Times New Roman" w:cs="Times New Roman"/>
                <w:sz w:val="24"/>
                <w:szCs w:val="24"/>
              </w:rPr>
              <w:t>esošu institūciju likvidāciju</w:t>
            </w:r>
            <w:r>
              <w:rPr>
                <w:rFonts w:ascii="Times New Roman" w:hAnsi="Times New Roman" w:cs="Times New Roman"/>
                <w:sz w:val="24"/>
                <w:szCs w:val="24"/>
              </w:rPr>
              <w:t xml:space="preserve">. </w:t>
            </w:r>
          </w:p>
          <w:p w14:paraId="27D28F51" w14:textId="77777777" w:rsidR="006C699A" w:rsidRDefault="006C699A" w:rsidP="001A0F6E">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nosaka jaunus pienākumus Ekonomikas ministrijai – </w:t>
            </w:r>
            <w:r w:rsidRPr="00C953ED">
              <w:rPr>
                <w:rFonts w:ascii="Times New Roman" w:hAnsi="Times New Roman" w:cs="Times New Roman"/>
                <w:bCs/>
                <w:sz w:val="24"/>
                <w:szCs w:val="24"/>
              </w:rPr>
              <w:t>reģistr</w:t>
            </w:r>
            <w:r>
              <w:rPr>
                <w:rFonts w:ascii="Times New Roman" w:hAnsi="Times New Roman" w:cs="Times New Roman"/>
                <w:bCs/>
                <w:sz w:val="24"/>
                <w:szCs w:val="24"/>
              </w:rPr>
              <w:t>ēt</w:t>
            </w:r>
            <w:r w:rsidRPr="00C953ED">
              <w:rPr>
                <w:rFonts w:ascii="Times New Roman" w:hAnsi="Times New Roman" w:cs="Times New Roman"/>
                <w:bCs/>
                <w:sz w:val="24"/>
                <w:szCs w:val="24"/>
              </w:rPr>
              <w:t xml:space="preserve"> tās biedrības vai nodibinājumus, kuras ir ieguvušas tiesības pārstāvēt komerciālos un </w:t>
            </w:r>
            <w:r w:rsidRPr="00C953ED">
              <w:rPr>
                <w:rFonts w:ascii="Times New Roman" w:hAnsi="Times New Roman" w:cs="Times New Roman"/>
                <w:bCs/>
                <w:sz w:val="24"/>
                <w:szCs w:val="24"/>
              </w:rPr>
              <w:lastRenderedPageBreak/>
              <w:t xml:space="preserve">korporatīvo tīmekļvietņu lietotāju intereses tiesvedībā, </w:t>
            </w:r>
            <w:r>
              <w:rPr>
                <w:rFonts w:ascii="Times New Roman" w:hAnsi="Times New Roman" w:cs="Times New Roman"/>
                <w:bCs/>
                <w:sz w:val="24"/>
                <w:szCs w:val="24"/>
              </w:rPr>
              <w:t xml:space="preserve">kā arī par reģistru un izmaiņām tajā </w:t>
            </w:r>
            <w:r w:rsidRPr="00C953ED">
              <w:rPr>
                <w:rFonts w:ascii="Times New Roman" w:hAnsi="Times New Roman" w:cs="Times New Roman"/>
                <w:bCs/>
                <w:sz w:val="24"/>
                <w:szCs w:val="24"/>
              </w:rPr>
              <w:t>informēt EK.</w:t>
            </w:r>
            <w:r>
              <w:rPr>
                <w:rFonts w:ascii="Times New Roman" w:hAnsi="Times New Roman" w:cs="Times New Roman"/>
                <w:bCs/>
                <w:sz w:val="24"/>
                <w:szCs w:val="24"/>
              </w:rPr>
              <w:t xml:space="preserve"> </w:t>
            </w:r>
          </w:p>
          <w:p w14:paraId="53D0CDB9" w14:textId="77777777" w:rsidR="006C699A" w:rsidRPr="00E46193" w:rsidRDefault="006C699A" w:rsidP="001A0F6E">
            <w:pPr>
              <w:spacing w:before="40" w:after="40"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Likumprojekts nosaka jaunas funkcijas PTAC – uzraudzīt, vai tiešsaistes starpniecību platformu pakalpojumu sniedzēji ievēro Regulas (ES) 2019/1150 prasības. Ja tiek konstatēts vai tiek saņemts iesniegums </w:t>
            </w:r>
            <w:proofErr w:type="gramStart"/>
            <w:r>
              <w:rPr>
                <w:rFonts w:ascii="Times New Roman" w:hAnsi="Times New Roman" w:cs="Times New Roman"/>
                <w:sz w:val="24"/>
                <w:szCs w:val="24"/>
              </w:rPr>
              <w:t>par Regulas (ES) 2019/1150 prasību pārkāpums</w:t>
            </w:r>
            <w:proofErr w:type="gramEnd"/>
            <w:r>
              <w:rPr>
                <w:rFonts w:ascii="Times New Roman" w:hAnsi="Times New Roman" w:cs="Times New Roman"/>
                <w:sz w:val="24"/>
                <w:szCs w:val="24"/>
              </w:rPr>
              <w:t>, PTAC tiek uzdots pārbaudīt informācijas pamatotību. Tāpat PTAC ir jāizskata lietas, kuru pamatā ir saņemts iesniegums no Latvijas komerciāla lietotāja par Regulas (ES) 2019/1150 prasību pārkāpumiem pret tiešsaistes starpniecības platformu pakalpojumu sniedzēju, kurš uzņēmējdarbību veic ārpus Latvijas. Šādi gadījumi no izmeklēšanas sistēmas viedokļa ir īpaši sarežģīti. Lai izpildītu Regulas (ES) 2019/1150 15. panta 1. punktā doto uzdevumu Latvijai nodrošināt pienācīgu un efektīvu regulas izpildi, ir secināts, ka PTAC jaunā uzdevuma izpildei ir nepieciešama 1 amata vieta, kas tiks nodrošināta</w:t>
            </w:r>
            <w:proofErr w:type="gramStart"/>
            <w:r>
              <w:rPr>
                <w:rFonts w:ascii="Times New Roman" w:hAnsi="Times New Roman" w:cs="Times New Roman"/>
                <w:sz w:val="24"/>
                <w:szCs w:val="24"/>
              </w:rPr>
              <w:t xml:space="preserve"> </w:t>
            </w:r>
            <w:r w:rsidRPr="00BD6371">
              <w:rPr>
                <w:rFonts w:ascii="Times New Roman" w:hAnsi="Times New Roman" w:cs="Times New Roman"/>
                <w:iCs/>
                <w:sz w:val="24"/>
                <w:szCs w:val="24"/>
              </w:rPr>
              <w:t>nepalielinot kopējo amata vietu skaitu Ekonomikas ministrijas resorā</w:t>
            </w:r>
            <w:proofErr w:type="gramEnd"/>
            <w:r>
              <w:rPr>
                <w:rFonts w:ascii="Times New Roman" w:hAnsi="Times New Roman" w:cs="Times New Roman"/>
                <w:iCs/>
                <w:sz w:val="24"/>
                <w:szCs w:val="24"/>
              </w:rPr>
              <w:t xml:space="preserve">. </w:t>
            </w:r>
          </w:p>
        </w:tc>
      </w:tr>
      <w:tr w:rsidR="006C699A" w:rsidRPr="004D23F4" w14:paraId="184DD83E" w14:textId="77777777" w:rsidTr="001A0F6E">
        <w:trPr>
          <w:tblCellSpacing w:w="15" w:type="dxa"/>
        </w:trPr>
        <w:tc>
          <w:tcPr>
            <w:tcW w:w="293" w:type="pct"/>
            <w:tcBorders>
              <w:top w:val="outset" w:sz="6" w:space="0" w:color="auto"/>
              <w:left w:val="outset" w:sz="6" w:space="0" w:color="auto"/>
              <w:bottom w:val="outset" w:sz="6" w:space="0" w:color="auto"/>
              <w:right w:val="outset" w:sz="6" w:space="0" w:color="auto"/>
            </w:tcBorders>
            <w:hideMark/>
          </w:tcPr>
          <w:p w14:paraId="6832B6AB"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lastRenderedPageBreak/>
              <w:t>3.</w:t>
            </w:r>
          </w:p>
        </w:tc>
        <w:tc>
          <w:tcPr>
            <w:tcW w:w="1515" w:type="pct"/>
            <w:tcBorders>
              <w:top w:val="outset" w:sz="6" w:space="0" w:color="auto"/>
              <w:left w:val="outset" w:sz="6" w:space="0" w:color="auto"/>
              <w:bottom w:val="outset" w:sz="6" w:space="0" w:color="auto"/>
              <w:right w:val="outset" w:sz="6" w:space="0" w:color="auto"/>
            </w:tcBorders>
            <w:hideMark/>
          </w:tcPr>
          <w:p w14:paraId="7C969F73" w14:textId="77777777" w:rsidR="006C699A" w:rsidRPr="00456C4C" w:rsidRDefault="006C699A" w:rsidP="001A0F6E">
            <w:pPr>
              <w:spacing w:before="40" w:after="40" w:line="240" w:lineRule="auto"/>
              <w:jc w:val="both"/>
              <w:rPr>
                <w:rFonts w:ascii="Times New Roman" w:eastAsia="Times New Roman" w:hAnsi="Times New Roman" w:cs="Times New Roman"/>
                <w:iCs/>
                <w:sz w:val="24"/>
                <w:szCs w:val="24"/>
                <w:lang w:eastAsia="lv-LV"/>
              </w:rPr>
            </w:pPr>
            <w:r w:rsidRPr="00456C4C">
              <w:rPr>
                <w:rFonts w:ascii="Times New Roman" w:eastAsia="Times New Roman" w:hAnsi="Times New Roman" w:cs="Times New Roman"/>
                <w:iCs/>
                <w:sz w:val="24"/>
                <w:szCs w:val="24"/>
                <w:lang w:eastAsia="lv-LV"/>
              </w:rPr>
              <w:t>Cita informācija</w:t>
            </w:r>
          </w:p>
        </w:tc>
        <w:tc>
          <w:tcPr>
            <w:tcW w:w="3127" w:type="pct"/>
            <w:tcBorders>
              <w:top w:val="outset" w:sz="6" w:space="0" w:color="auto"/>
              <w:left w:val="outset" w:sz="6" w:space="0" w:color="auto"/>
              <w:bottom w:val="outset" w:sz="6" w:space="0" w:color="auto"/>
              <w:right w:val="outset" w:sz="6" w:space="0" w:color="auto"/>
            </w:tcBorders>
            <w:hideMark/>
          </w:tcPr>
          <w:p w14:paraId="396FFD1B" w14:textId="77777777" w:rsidR="006C699A" w:rsidRPr="00456C4C" w:rsidRDefault="006C699A" w:rsidP="001A0F6E">
            <w:pPr>
              <w:spacing w:before="40" w:after="40" w:line="240" w:lineRule="auto"/>
              <w:jc w:val="both"/>
              <w:rPr>
                <w:rFonts w:ascii="Times New Roman" w:hAnsi="Times New Roman" w:cs="Times New Roman"/>
                <w:sz w:val="24"/>
                <w:szCs w:val="24"/>
              </w:rPr>
            </w:pPr>
            <w:r w:rsidRPr="00456C4C">
              <w:rPr>
                <w:rFonts w:ascii="Times New Roman" w:hAnsi="Times New Roman" w:cs="Times New Roman"/>
                <w:sz w:val="24"/>
                <w:szCs w:val="24"/>
              </w:rPr>
              <w:t>Nav</w:t>
            </w:r>
          </w:p>
        </w:tc>
      </w:tr>
    </w:tbl>
    <w:p w14:paraId="7D6D776B" w14:textId="77777777" w:rsidR="006C699A" w:rsidRPr="00D25408" w:rsidRDefault="006C699A" w:rsidP="006C699A">
      <w:pPr>
        <w:spacing w:after="0"/>
        <w:jc w:val="both"/>
        <w:rPr>
          <w:rFonts w:ascii="Times New Roman" w:hAnsi="Times New Roman" w:cs="Times New Roman"/>
          <w:bCs/>
          <w:sz w:val="24"/>
          <w:szCs w:val="24"/>
        </w:rPr>
      </w:pPr>
    </w:p>
    <w:p w14:paraId="20599E87" w14:textId="4D820C10" w:rsidR="00015CDC" w:rsidRDefault="00015CDC" w:rsidP="00015CDC">
      <w:pPr>
        <w:pStyle w:val="Body"/>
        <w:spacing w:after="0" w:line="240" w:lineRule="auto"/>
        <w:jc w:val="both"/>
        <w:rPr>
          <w:rFonts w:ascii="Times New Roman" w:hAnsi="Times New Roman"/>
          <w:color w:val="auto"/>
          <w:sz w:val="28"/>
          <w:lang w:val="de-DE"/>
        </w:rPr>
      </w:pPr>
    </w:p>
    <w:p w14:paraId="1115A013" w14:textId="77777777" w:rsidR="00015CDC" w:rsidRDefault="00015CDC" w:rsidP="00015CDC">
      <w:pPr>
        <w:pStyle w:val="Body"/>
        <w:spacing w:after="0" w:line="240" w:lineRule="auto"/>
        <w:jc w:val="both"/>
        <w:rPr>
          <w:rFonts w:ascii="Times New Roman" w:hAnsi="Times New Roman"/>
          <w:color w:val="auto"/>
          <w:sz w:val="28"/>
          <w:lang w:val="de-DE"/>
        </w:rPr>
      </w:pPr>
    </w:p>
    <w:p w14:paraId="29236262" w14:textId="77777777" w:rsidR="00015CDC" w:rsidRPr="00DE283C" w:rsidRDefault="00015CDC" w:rsidP="003C56E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4E2D5D66" w14:textId="458C4F2D" w:rsidR="006C699A" w:rsidRDefault="006C699A" w:rsidP="006C699A">
      <w:pPr>
        <w:tabs>
          <w:tab w:val="left" w:pos="7230"/>
        </w:tabs>
        <w:spacing w:after="0" w:line="240" w:lineRule="auto"/>
        <w:rPr>
          <w:rFonts w:ascii="Times New Roman" w:hAnsi="Times New Roman" w:cs="Times New Roman"/>
          <w:sz w:val="24"/>
          <w:szCs w:val="24"/>
        </w:rPr>
      </w:pPr>
    </w:p>
    <w:p w14:paraId="3D64EA78" w14:textId="40E9DB6E" w:rsidR="006C699A" w:rsidRDefault="006C699A" w:rsidP="006C699A">
      <w:pPr>
        <w:tabs>
          <w:tab w:val="left" w:pos="6237"/>
        </w:tabs>
        <w:spacing w:after="0" w:line="240" w:lineRule="auto"/>
        <w:rPr>
          <w:rFonts w:ascii="Times New Roman" w:hAnsi="Times New Roman" w:cs="Times New Roman"/>
          <w:sz w:val="20"/>
          <w:szCs w:val="20"/>
        </w:rPr>
      </w:pPr>
    </w:p>
    <w:p w14:paraId="6693EBD7" w14:textId="77777777" w:rsidR="00015CDC" w:rsidRDefault="00015CDC" w:rsidP="006C699A">
      <w:pPr>
        <w:tabs>
          <w:tab w:val="left" w:pos="6237"/>
        </w:tabs>
        <w:spacing w:after="0" w:line="240" w:lineRule="auto"/>
        <w:rPr>
          <w:rFonts w:ascii="Times New Roman" w:hAnsi="Times New Roman" w:cs="Times New Roman"/>
          <w:sz w:val="20"/>
          <w:szCs w:val="20"/>
        </w:rPr>
      </w:pPr>
      <w:bookmarkStart w:id="2" w:name="_GoBack"/>
      <w:bookmarkEnd w:id="2"/>
    </w:p>
    <w:p w14:paraId="6383E452" w14:textId="77777777" w:rsidR="006C699A" w:rsidRDefault="006C699A" w:rsidP="006C699A">
      <w:pPr>
        <w:tabs>
          <w:tab w:val="left" w:pos="6237"/>
        </w:tabs>
        <w:spacing w:after="0" w:line="240" w:lineRule="auto"/>
        <w:rPr>
          <w:rFonts w:ascii="Times New Roman" w:hAnsi="Times New Roman" w:cs="Times New Roman"/>
          <w:sz w:val="20"/>
          <w:szCs w:val="20"/>
        </w:rPr>
      </w:pPr>
    </w:p>
    <w:p w14:paraId="55DAF8C0" w14:textId="77777777" w:rsidR="006C699A" w:rsidRPr="004A127C" w:rsidRDefault="006C699A" w:rsidP="006C699A">
      <w:pPr>
        <w:tabs>
          <w:tab w:val="left" w:pos="6237"/>
        </w:tabs>
        <w:spacing w:after="0" w:line="240" w:lineRule="auto"/>
        <w:rPr>
          <w:rFonts w:ascii="Times New Roman" w:hAnsi="Times New Roman" w:cs="Times New Roman"/>
          <w:sz w:val="20"/>
          <w:szCs w:val="20"/>
        </w:rPr>
      </w:pPr>
      <w:proofErr w:type="spellStart"/>
      <w:r w:rsidRPr="004A127C">
        <w:rPr>
          <w:rFonts w:ascii="Times New Roman" w:hAnsi="Times New Roman" w:cs="Times New Roman"/>
          <w:sz w:val="20"/>
          <w:szCs w:val="20"/>
        </w:rPr>
        <w:t>Rozentālberga</w:t>
      </w:r>
      <w:proofErr w:type="spellEnd"/>
      <w:r w:rsidRPr="004A127C">
        <w:rPr>
          <w:rFonts w:ascii="Times New Roman" w:hAnsi="Times New Roman" w:cs="Times New Roman"/>
          <w:sz w:val="20"/>
          <w:szCs w:val="20"/>
        </w:rPr>
        <w:t xml:space="preserve">, </w:t>
      </w:r>
      <w:r w:rsidRPr="004A127C">
        <w:rPr>
          <w:rFonts w:ascii="Times New Roman" w:hAnsi="Times New Roman" w:cs="Times New Roman"/>
          <w:color w:val="000000"/>
          <w:sz w:val="20"/>
          <w:szCs w:val="20"/>
          <w:shd w:val="clear" w:color="auto" w:fill="FFFFFF"/>
        </w:rPr>
        <w:t>67013290</w:t>
      </w:r>
    </w:p>
    <w:p w14:paraId="4C85CB38" w14:textId="77777777" w:rsidR="006C699A" w:rsidRPr="0095368B" w:rsidRDefault="00015CDC" w:rsidP="006C699A">
      <w:pPr>
        <w:spacing w:after="0" w:line="252" w:lineRule="auto"/>
        <w:jc w:val="both"/>
        <w:rPr>
          <w:rFonts w:ascii="Times New Roman" w:eastAsiaTheme="minorEastAsia" w:hAnsi="Times New Roman" w:cs="Times New Roman"/>
          <w:noProof/>
          <w:sz w:val="20"/>
          <w:szCs w:val="20"/>
          <w:lang w:eastAsia="lv-LV"/>
        </w:rPr>
      </w:pPr>
      <w:hyperlink r:id="rId11" w:history="1">
        <w:r w:rsidR="006C699A">
          <w:rPr>
            <w:rStyle w:val="Hyperlink"/>
            <w:rFonts w:ascii="Times New Roman" w:eastAsiaTheme="minorEastAsia" w:hAnsi="Times New Roman" w:cs="Times New Roman"/>
            <w:noProof/>
            <w:sz w:val="20"/>
            <w:szCs w:val="20"/>
            <w:lang w:eastAsia="lv-LV"/>
          </w:rPr>
          <w:t>Anna.Rozentalberga</w:t>
        </w:r>
        <w:r w:rsidR="006C699A" w:rsidRPr="004D23F4">
          <w:rPr>
            <w:rStyle w:val="Hyperlink"/>
            <w:rFonts w:ascii="Times New Roman" w:eastAsiaTheme="minorEastAsia" w:hAnsi="Times New Roman" w:cs="Times New Roman"/>
            <w:noProof/>
            <w:sz w:val="20"/>
            <w:szCs w:val="20"/>
            <w:lang w:eastAsia="lv-LV"/>
          </w:rPr>
          <w:t>@em.gov.lv</w:t>
        </w:r>
      </w:hyperlink>
    </w:p>
    <w:p w14:paraId="7DF887FF" w14:textId="05AABFB7" w:rsidR="007A431A" w:rsidRDefault="007A431A" w:rsidP="006C699A"/>
    <w:p w14:paraId="0289758C" w14:textId="0C340476" w:rsidR="00015CDC" w:rsidRPr="00015CDC" w:rsidRDefault="00015CDC" w:rsidP="006C699A">
      <w:pPr>
        <w:rPr>
          <w:rFonts w:ascii="Times New Roman" w:hAnsi="Times New Roman" w:cs="Times New Roman"/>
          <w:sz w:val="20"/>
          <w:szCs w:val="20"/>
        </w:rPr>
      </w:pPr>
      <w:proofErr w:type="spellStart"/>
      <w:r w:rsidRPr="00015CDC">
        <w:rPr>
          <w:rFonts w:ascii="Times New Roman" w:hAnsi="Times New Roman" w:cs="Times New Roman"/>
          <w:sz w:val="20"/>
          <w:szCs w:val="20"/>
        </w:rPr>
        <w:t>v_sk</w:t>
      </w:r>
      <w:proofErr w:type="spellEnd"/>
      <w:r w:rsidRPr="00015CDC">
        <w:rPr>
          <w:rFonts w:ascii="Times New Roman" w:hAnsi="Times New Roman" w:cs="Times New Roman"/>
          <w:sz w:val="20"/>
          <w:szCs w:val="20"/>
        </w:rPr>
        <w:t xml:space="preserve"> = 4674</w:t>
      </w:r>
    </w:p>
    <w:sectPr w:rsidR="00015CDC" w:rsidRPr="00015CDC" w:rsidSect="00E84A1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7A7C4" w16cex:dateUtc="2020-09-24T20:18:00Z"/>
  <w16cex:commentExtensible w16cex:durableId="2317A7C5" w16cex:dateUtc="2020-09-24T20:18:00Z"/>
  <w16cex:commentExtensible w16cex:durableId="2317A84A" w16cex:dateUtc="2020-09-24T20:2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55AFA9" w14:textId="77777777" w:rsidR="00910CE2" w:rsidRDefault="00910CE2" w:rsidP="00894C55">
      <w:pPr>
        <w:spacing w:after="0" w:line="240" w:lineRule="auto"/>
      </w:pPr>
      <w:r>
        <w:separator/>
      </w:r>
    </w:p>
  </w:endnote>
  <w:endnote w:type="continuationSeparator" w:id="0">
    <w:p w14:paraId="553C0798" w14:textId="77777777" w:rsidR="00910CE2" w:rsidRDefault="00910CE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2D226" w14:textId="18950301" w:rsidR="00015CDC" w:rsidRPr="00015CDC" w:rsidRDefault="00015CDC">
    <w:pPr>
      <w:pStyle w:val="Footer"/>
      <w:rPr>
        <w:rFonts w:ascii="Times New Roman" w:hAnsi="Times New Roman" w:cs="Times New Roman"/>
        <w:sz w:val="18"/>
        <w:szCs w:val="18"/>
      </w:rPr>
    </w:pPr>
    <w:r w:rsidRPr="00015CDC">
      <w:rPr>
        <w:rFonts w:ascii="Times New Roman" w:hAnsi="Times New Roman" w:cs="Times New Roman"/>
        <w:sz w:val="18"/>
        <w:szCs w:val="18"/>
      </w:rPr>
      <w:t>EManot_280920_Groz_ISPL (TA-1870)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C66A" w14:textId="4F84F6D5" w:rsidR="00015CDC" w:rsidRPr="00015CDC" w:rsidRDefault="00015CDC">
    <w:pPr>
      <w:pStyle w:val="Footer"/>
      <w:rPr>
        <w:rFonts w:ascii="Times New Roman" w:hAnsi="Times New Roman" w:cs="Times New Roman"/>
        <w:sz w:val="18"/>
        <w:szCs w:val="18"/>
      </w:rPr>
    </w:pPr>
    <w:r w:rsidRPr="00015CDC">
      <w:rPr>
        <w:rFonts w:ascii="Times New Roman" w:hAnsi="Times New Roman" w:cs="Times New Roman"/>
        <w:sz w:val="18"/>
        <w:szCs w:val="18"/>
      </w:rPr>
      <w:t>EManot_280920_Groz_ISPL</w:t>
    </w:r>
    <w:r w:rsidRPr="00015CDC">
      <w:rPr>
        <w:rFonts w:ascii="Times New Roman" w:hAnsi="Times New Roman" w:cs="Times New Roman"/>
        <w:sz w:val="18"/>
        <w:szCs w:val="18"/>
      </w:rPr>
      <w:t xml:space="preserve"> (TA-1870)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7C9B4" w14:textId="77777777" w:rsidR="00910CE2" w:rsidRDefault="00910CE2" w:rsidP="00894C55">
      <w:pPr>
        <w:spacing w:after="0" w:line="240" w:lineRule="auto"/>
      </w:pPr>
      <w:r>
        <w:separator/>
      </w:r>
    </w:p>
  </w:footnote>
  <w:footnote w:type="continuationSeparator" w:id="0">
    <w:p w14:paraId="27059125" w14:textId="77777777" w:rsidR="00910CE2" w:rsidRDefault="00910CE2" w:rsidP="00894C55">
      <w:pPr>
        <w:spacing w:after="0" w:line="240" w:lineRule="auto"/>
      </w:pPr>
      <w:r>
        <w:continuationSeparator/>
      </w:r>
    </w:p>
  </w:footnote>
  <w:footnote w:id="1">
    <w:p w14:paraId="43D20BA5" w14:textId="77777777" w:rsidR="006C699A" w:rsidRPr="00EB0D48" w:rsidRDefault="006C699A" w:rsidP="006C699A">
      <w:pPr>
        <w:pStyle w:val="FootnoteText"/>
        <w:rPr>
          <w:rFonts w:ascii="Times New Roman" w:hAnsi="Times New Roman" w:cs="Times New Roman"/>
        </w:rPr>
      </w:pPr>
      <w:r w:rsidRPr="00EB0D48">
        <w:rPr>
          <w:rStyle w:val="FootnoteReference"/>
          <w:rFonts w:ascii="Times New Roman" w:hAnsi="Times New Roman" w:cs="Times New Roman"/>
        </w:rPr>
        <w:footnoteRef/>
      </w:r>
      <w:r w:rsidRPr="00EB0D48">
        <w:rPr>
          <w:rFonts w:ascii="Times New Roman" w:hAnsi="Times New Roman" w:cs="Times New Roman"/>
        </w:rPr>
        <w:t xml:space="preserve"> </w:t>
      </w:r>
      <w:hyperlink r:id="rId1" w:history="1">
        <w:r w:rsidRPr="00EB0D48">
          <w:rPr>
            <w:rStyle w:val="Hyperlink"/>
            <w:rFonts w:ascii="Times New Roman" w:hAnsi="Times New Roman" w:cs="Times New Roman"/>
          </w:rPr>
          <w:t>https://ec.europa.eu/newsroom/dae/document.cfm?doc_id=52447</w:t>
        </w:r>
      </w:hyperlink>
    </w:p>
  </w:footnote>
  <w:footnote w:id="2">
    <w:p w14:paraId="6C158CC9" w14:textId="77777777" w:rsidR="006C699A" w:rsidRPr="001769C3" w:rsidRDefault="006C699A" w:rsidP="006C699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http://</w:t>
      </w:r>
      <w:r>
        <w:rPr>
          <w:rFonts w:ascii="Times New Roman" w:hAnsi="Times New Roman" w:cs="Times New Roman"/>
        </w:rPr>
        <w:t>www.</w:t>
      </w:r>
      <w:r w:rsidRPr="001769C3">
        <w:rPr>
          <w:rFonts w:ascii="Times New Roman" w:hAnsi="Times New Roman" w:cs="Times New Roman"/>
        </w:rPr>
        <w:t>ptac.gov.lv/sites/default/files/ptac_publiskais_parskatas_2017_majas_lapa_0.pdf</w:t>
      </w:r>
    </w:p>
  </w:footnote>
  <w:footnote w:id="3">
    <w:p w14:paraId="11C6DEAD" w14:textId="77777777" w:rsidR="006C699A" w:rsidRPr="001769C3" w:rsidRDefault="006C699A" w:rsidP="006C699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w:t>
      </w:r>
      <w:hyperlink r:id="rId2" w:history="1">
        <w:r w:rsidRPr="001769C3">
          <w:rPr>
            <w:rStyle w:val="Hyperlink"/>
            <w:rFonts w:ascii="Times New Roman" w:hAnsi="Times New Roman" w:cs="Times New Roman"/>
          </w:rPr>
          <w:t>http://www.ptac.gov.lv/lv/content/par-distances-tirdzniec-bu</w:t>
        </w:r>
      </w:hyperlink>
    </w:p>
  </w:footnote>
  <w:footnote w:id="4">
    <w:p w14:paraId="15595CCE" w14:textId="77777777" w:rsidR="006C699A" w:rsidRPr="001769C3" w:rsidRDefault="006C699A" w:rsidP="006C699A">
      <w:pPr>
        <w:pStyle w:val="FootnoteText"/>
        <w:rPr>
          <w:rFonts w:ascii="Times New Roman" w:hAnsi="Times New Roman" w:cs="Times New Roman"/>
        </w:rPr>
      </w:pPr>
      <w:r w:rsidRPr="001769C3">
        <w:rPr>
          <w:rStyle w:val="FootnoteReference"/>
          <w:rFonts w:ascii="Times New Roman" w:hAnsi="Times New Roman" w:cs="Times New Roman"/>
        </w:rPr>
        <w:footnoteRef/>
      </w:r>
      <w:r w:rsidRPr="001769C3">
        <w:rPr>
          <w:rFonts w:ascii="Times New Roman" w:hAnsi="Times New Roman" w:cs="Times New Roman"/>
        </w:rPr>
        <w:t xml:space="preserve"> </w:t>
      </w:r>
      <w:hyperlink r:id="rId3" w:history="1">
        <w:r w:rsidRPr="001769C3">
          <w:rPr>
            <w:rStyle w:val="Hyperlink"/>
            <w:rFonts w:ascii="Times New Roman" w:hAnsi="Times New Roman" w:cs="Times New Roman"/>
          </w:rPr>
          <w:t>http://www.ptac.gov.lv/lv/news/ptac-sodijis-tris-komersantus-par-negodigu-komercpraksi-timeklvietnes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76F9975" w14:textId="364B8F1F" w:rsidR="00E41F40" w:rsidRPr="00C25B49" w:rsidRDefault="00E41F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422B6C">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778A"/>
    <w:multiLevelType w:val="hybridMultilevel"/>
    <w:tmpl w:val="AA8426BE"/>
    <w:lvl w:ilvl="0" w:tplc="E4AAE2BA">
      <w:start w:val="20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ABD2E8E"/>
    <w:multiLevelType w:val="hybridMultilevel"/>
    <w:tmpl w:val="A36AB670"/>
    <w:lvl w:ilvl="0" w:tplc="4202B79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4B63EF"/>
    <w:multiLevelType w:val="hybridMultilevel"/>
    <w:tmpl w:val="91C256FE"/>
    <w:lvl w:ilvl="0" w:tplc="B5E21818">
      <w:start w:val="2023"/>
      <w:numFmt w:val="bullet"/>
      <w:lvlText w:val="-"/>
      <w:lvlJc w:val="left"/>
      <w:pPr>
        <w:ind w:left="720" w:hanging="360"/>
      </w:pPr>
      <w:rPr>
        <w:rFonts w:ascii="Times" w:eastAsiaTheme="minorHAnsi" w:hAnsi="Times"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624FB7"/>
    <w:multiLevelType w:val="hybridMultilevel"/>
    <w:tmpl w:val="C62893CE"/>
    <w:lvl w:ilvl="0" w:tplc="CE924BF2">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3174C4"/>
    <w:multiLevelType w:val="multilevel"/>
    <w:tmpl w:val="A180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997BC5"/>
    <w:multiLevelType w:val="hybridMultilevel"/>
    <w:tmpl w:val="60086A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D36E44"/>
    <w:multiLevelType w:val="multilevel"/>
    <w:tmpl w:val="E4A2B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C5308E"/>
    <w:multiLevelType w:val="multilevel"/>
    <w:tmpl w:val="D12A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761A4C"/>
    <w:multiLevelType w:val="multilevel"/>
    <w:tmpl w:val="296EB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A7231"/>
    <w:multiLevelType w:val="multilevel"/>
    <w:tmpl w:val="3114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94662E"/>
    <w:multiLevelType w:val="hybridMultilevel"/>
    <w:tmpl w:val="99A60C7C"/>
    <w:lvl w:ilvl="0" w:tplc="FCF84AD8">
      <w:start w:val="3"/>
      <w:numFmt w:val="bullet"/>
      <w:lvlText w:val="-"/>
      <w:lvlJc w:val="left"/>
      <w:pPr>
        <w:ind w:left="1080" w:hanging="360"/>
      </w:pPr>
      <w:rPr>
        <w:rFonts w:ascii="Arial" w:eastAsiaTheme="minorHAnsi"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DFB6875"/>
    <w:multiLevelType w:val="multilevel"/>
    <w:tmpl w:val="515A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2F1874"/>
    <w:multiLevelType w:val="hybridMultilevel"/>
    <w:tmpl w:val="9F0AD388"/>
    <w:lvl w:ilvl="0" w:tplc="A49A11BA">
      <w:start w:val="1"/>
      <w:numFmt w:val="decimal"/>
      <w:lvlText w:val="%1."/>
      <w:lvlJc w:val="left"/>
      <w:pPr>
        <w:ind w:left="360" w:hanging="360"/>
      </w:pPr>
      <w:rPr>
        <w:rFonts w:ascii="Times New Roman" w:eastAsia="Times New Roman" w:hAnsi="Times New Roman" w:cs="Times New Roman"/>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03B2BA7"/>
    <w:multiLevelType w:val="multilevel"/>
    <w:tmpl w:val="D24AE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4A28DA"/>
    <w:multiLevelType w:val="multilevel"/>
    <w:tmpl w:val="C64CF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0B25E9"/>
    <w:multiLevelType w:val="multilevel"/>
    <w:tmpl w:val="08B46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213282"/>
    <w:multiLevelType w:val="multilevel"/>
    <w:tmpl w:val="AF7E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264A2"/>
    <w:multiLevelType w:val="hybridMultilevel"/>
    <w:tmpl w:val="DC7AE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8B7C93"/>
    <w:multiLevelType w:val="hybridMultilevel"/>
    <w:tmpl w:val="3B8CCE0C"/>
    <w:lvl w:ilvl="0" w:tplc="9A8A466E">
      <w:start w:val="2023"/>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9" w15:restartNumberingAfterBreak="0">
    <w:nsid w:val="3BDD5558"/>
    <w:multiLevelType w:val="hybridMultilevel"/>
    <w:tmpl w:val="420A088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137121C"/>
    <w:multiLevelType w:val="multilevel"/>
    <w:tmpl w:val="E138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29517F"/>
    <w:multiLevelType w:val="multilevel"/>
    <w:tmpl w:val="73E6C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C15E4"/>
    <w:multiLevelType w:val="hybridMultilevel"/>
    <w:tmpl w:val="FADA32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CCF5898"/>
    <w:multiLevelType w:val="multilevel"/>
    <w:tmpl w:val="31FE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7D7BB7"/>
    <w:multiLevelType w:val="multilevel"/>
    <w:tmpl w:val="E846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203E72"/>
    <w:multiLevelType w:val="multilevel"/>
    <w:tmpl w:val="B1384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6CC0DAA"/>
    <w:multiLevelType w:val="multilevel"/>
    <w:tmpl w:val="A5FA0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397BD3"/>
    <w:multiLevelType w:val="hybridMultilevel"/>
    <w:tmpl w:val="0C3CB196"/>
    <w:lvl w:ilvl="0" w:tplc="50903B5E">
      <w:start w:val="2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8" w15:restartNumberingAfterBreak="0">
    <w:nsid w:val="5D3926DB"/>
    <w:multiLevelType w:val="multilevel"/>
    <w:tmpl w:val="D1C2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C0331B"/>
    <w:multiLevelType w:val="multilevel"/>
    <w:tmpl w:val="A3B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DE7B94"/>
    <w:multiLevelType w:val="hybridMultilevel"/>
    <w:tmpl w:val="B470B964"/>
    <w:lvl w:ilvl="0" w:tplc="469C2C3E">
      <w:start w:val="2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1" w15:restartNumberingAfterBreak="0">
    <w:nsid w:val="67F31E57"/>
    <w:multiLevelType w:val="multilevel"/>
    <w:tmpl w:val="2EC2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6222F2"/>
    <w:multiLevelType w:val="multilevel"/>
    <w:tmpl w:val="CA24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1A1E18"/>
    <w:multiLevelType w:val="hybridMultilevel"/>
    <w:tmpl w:val="DF3A3B12"/>
    <w:lvl w:ilvl="0" w:tplc="E626C1C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5F3A57"/>
    <w:multiLevelType w:val="hybridMultilevel"/>
    <w:tmpl w:val="D7743A14"/>
    <w:lvl w:ilvl="0" w:tplc="C42A0150">
      <w:start w:val="2023"/>
      <w:numFmt w:val="bullet"/>
      <w:lvlText w:val="-"/>
      <w:lvlJc w:val="left"/>
      <w:pPr>
        <w:ind w:left="720" w:hanging="360"/>
      </w:pPr>
      <w:rPr>
        <w:rFonts w:ascii="Calibri" w:eastAsiaTheme="minorHAnsi" w:hAnsi="Calibri" w:cs="Calibri" w:hint="default"/>
        <w:sz w:val="22"/>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6F2380"/>
    <w:multiLevelType w:val="multilevel"/>
    <w:tmpl w:val="4B0EE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75652C"/>
    <w:multiLevelType w:val="hybridMultilevel"/>
    <w:tmpl w:val="9244E18E"/>
    <w:lvl w:ilvl="0" w:tplc="23AA91EC">
      <w:start w:val="26"/>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7" w15:restartNumberingAfterBreak="0">
    <w:nsid w:val="74E377FA"/>
    <w:multiLevelType w:val="multilevel"/>
    <w:tmpl w:val="25C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51166F3"/>
    <w:multiLevelType w:val="hybridMultilevel"/>
    <w:tmpl w:val="B7108B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9"/>
  </w:num>
  <w:num w:numId="2">
    <w:abstractNumId w:val="38"/>
  </w:num>
  <w:num w:numId="3">
    <w:abstractNumId w:val="22"/>
  </w:num>
  <w:num w:numId="4">
    <w:abstractNumId w:val="12"/>
  </w:num>
  <w:num w:numId="5">
    <w:abstractNumId w:val="3"/>
  </w:num>
  <w:num w:numId="6">
    <w:abstractNumId w:val="17"/>
  </w:num>
  <w:num w:numId="7">
    <w:abstractNumId w:val="5"/>
  </w:num>
  <w:num w:numId="8">
    <w:abstractNumId w:val="18"/>
  </w:num>
  <w:num w:numId="9">
    <w:abstractNumId w:val="0"/>
  </w:num>
  <w:num w:numId="10">
    <w:abstractNumId w:val="34"/>
  </w:num>
  <w:num w:numId="11">
    <w:abstractNumId w:val="2"/>
  </w:num>
  <w:num w:numId="12">
    <w:abstractNumId w:val="33"/>
  </w:num>
  <w:num w:numId="13">
    <w:abstractNumId w:val="24"/>
  </w:num>
  <w:num w:numId="14">
    <w:abstractNumId w:val="4"/>
  </w:num>
  <w:num w:numId="15">
    <w:abstractNumId w:val="7"/>
  </w:num>
  <w:num w:numId="16">
    <w:abstractNumId w:val="20"/>
  </w:num>
  <w:num w:numId="17">
    <w:abstractNumId w:val="9"/>
  </w:num>
  <w:num w:numId="18">
    <w:abstractNumId w:val="11"/>
  </w:num>
  <w:num w:numId="19">
    <w:abstractNumId w:val="16"/>
  </w:num>
  <w:num w:numId="20">
    <w:abstractNumId w:val="26"/>
  </w:num>
  <w:num w:numId="21">
    <w:abstractNumId w:val="29"/>
  </w:num>
  <w:num w:numId="22">
    <w:abstractNumId w:val="8"/>
  </w:num>
  <w:num w:numId="23">
    <w:abstractNumId w:val="23"/>
  </w:num>
  <w:num w:numId="24">
    <w:abstractNumId w:val="28"/>
  </w:num>
  <w:num w:numId="25">
    <w:abstractNumId w:val="15"/>
  </w:num>
  <w:num w:numId="26">
    <w:abstractNumId w:val="13"/>
  </w:num>
  <w:num w:numId="27">
    <w:abstractNumId w:val="14"/>
  </w:num>
  <w:num w:numId="28">
    <w:abstractNumId w:val="32"/>
  </w:num>
  <w:num w:numId="29">
    <w:abstractNumId w:val="31"/>
  </w:num>
  <w:num w:numId="30">
    <w:abstractNumId w:val="35"/>
  </w:num>
  <w:num w:numId="31">
    <w:abstractNumId w:val="25"/>
  </w:num>
  <w:num w:numId="32">
    <w:abstractNumId w:val="37"/>
  </w:num>
  <w:num w:numId="33">
    <w:abstractNumId w:val="10"/>
  </w:num>
  <w:num w:numId="34">
    <w:abstractNumId w:val="21"/>
  </w:num>
  <w:num w:numId="35">
    <w:abstractNumId w:val="36"/>
  </w:num>
  <w:num w:numId="36">
    <w:abstractNumId w:val="27"/>
  </w:num>
  <w:num w:numId="37">
    <w:abstractNumId w:val="6"/>
  </w:num>
  <w:num w:numId="38">
    <w:abstractNumId w:val="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34C8"/>
    <w:rsid w:val="0000525B"/>
    <w:rsid w:val="0000542D"/>
    <w:rsid w:val="00010B74"/>
    <w:rsid w:val="00010C1E"/>
    <w:rsid w:val="00012A1A"/>
    <w:rsid w:val="00015CDC"/>
    <w:rsid w:val="00020DD5"/>
    <w:rsid w:val="00021B88"/>
    <w:rsid w:val="00025062"/>
    <w:rsid w:val="00026EBB"/>
    <w:rsid w:val="00026F28"/>
    <w:rsid w:val="00036D7B"/>
    <w:rsid w:val="00042652"/>
    <w:rsid w:val="00044B90"/>
    <w:rsid w:val="00050F38"/>
    <w:rsid w:val="00055037"/>
    <w:rsid w:val="000551D6"/>
    <w:rsid w:val="000611D0"/>
    <w:rsid w:val="00063688"/>
    <w:rsid w:val="00063D6C"/>
    <w:rsid w:val="00064EC5"/>
    <w:rsid w:val="00070442"/>
    <w:rsid w:val="00071583"/>
    <w:rsid w:val="00071855"/>
    <w:rsid w:val="00073B91"/>
    <w:rsid w:val="00076C60"/>
    <w:rsid w:val="00077D4E"/>
    <w:rsid w:val="00080C5F"/>
    <w:rsid w:val="00081344"/>
    <w:rsid w:val="00084D6A"/>
    <w:rsid w:val="000862AE"/>
    <w:rsid w:val="00086732"/>
    <w:rsid w:val="0009095B"/>
    <w:rsid w:val="0009297A"/>
    <w:rsid w:val="00092F9D"/>
    <w:rsid w:val="000967DA"/>
    <w:rsid w:val="000A0F00"/>
    <w:rsid w:val="000A176D"/>
    <w:rsid w:val="000A30B1"/>
    <w:rsid w:val="000A4429"/>
    <w:rsid w:val="000A483C"/>
    <w:rsid w:val="000A7FCF"/>
    <w:rsid w:val="000B07D8"/>
    <w:rsid w:val="000B0C02"/>
    <w:rsid w:val="000C14E6"/>
    <w:rsid w:val="000C45B4"/>
    <w:rsid w:val="000C4E11"/>
    <w:rsid w:val="000C5310"/>
    <w:rsid w:val="000C5E47"/>
    <w:rsid w:val="000C753B"/>
    <w:rsid w:val="000D6B01"/>
    <w:rsid w:val="000E0C4E"/>
    <w:rsid w:val="000E1437"/>
    <w:rsid w:val="000E23BF"/>
    <w:rsid w:val="000E2699"/>
    <w:rsid w:val="000E410A"/>
    <w:rsid w:val="000E416E"/>
    <w:rsid w:val="000F1E3E"/>
    <w:rsid w:val="0011177F"/>
    <w:rsid w:val="00114500"/>
    <w:rsid w:val="00116096"/>
    <w:rsid w:val="00116C2B"/>
    <w:rsid w:val="001177B8"/>
    <w:rsid w:val="00124E61"/>
    <w:rsid w:val="00125CC4"/>
    <w:rsid w:val="0013145B"/>
    <w:rsid w:val="001340B7"/>
    <w:rsid w:val="00137C8F"/>
    <w:rsid w:val="00143D27"/>
    <w:rsid w:val="001451F6"/>
    <w:rsid w:val="00147343"/>
    <w:rsid w:val="00156CEC"/>
    <w:rsid w:val="00157C48"/>
    <w:rsid w:val="00161236"/>
    <w:rsid w:val="0017075D"/>
    <w:rsid w:val="00170C8A"/>
    <w:rsid w:val="0017262F"/>
    <w:rsid w:val="0017505C"/>
    <w:rsid w:val="0017508A"/>
    <w:rsid w:val="001769C3"/>
    <w:rsid w:val="001817C7"/>
    <w:rsid w:val="00182A87"/>
    <w:rsid w:val="001868C5"/>
    <w:rsid w:val="001918DD"/>
    <w:rsid w:val="001A2BE9"/>
    <w:rsid w:val="001A4153"/>
    <w:rsid w:val="001A5E0A"/>
    <w:rsid w:val="001B04AC"/>
    <w:rsid w:val="001B12BD"/>
    <w:rsid w:val="001B3654"/>
    <w:rsid w:val="001C031E"/>
    <w:rsid w:val="001F3A89"/>
    <w:rsid w:val="0020209F"/>
    <w:rsid w:val="002037F2"/>
    <w:rsid w:val="002120D3"/>
    <w:rsid w:val="00212637"/>
    <w:rsid w:val="00214A8A"/>
    <w:rsid w:val="0021580A"/>
    <w:rsid w:val="00220178"/>
    <w:rsid w:val="002228E8"/>
    <w:rsid w:val="00226C39"/>
    <w:rsid w:val="002310CD"/>
    <w:rsid w:val="00233B9C"/>
    <w:rsid w:val="00242681"/>
    <w:rsid w:val="00243426"/>
    <w:rsid w:val="00244D29"/>
    <w:rsid w:val="002452C0"/>
    <w:rsid w:val="00245657"/>
    <w:rsid w:val="00245A1E"/>
    <w:rsid w:val="0025012B"/>
    <w:rsid w:val="0025153E"/>
    <w:rsid w:val="00253AD2"/>
    <w:rsid w:val="0025470B"/>
    <w:rsid w:val="0025736D"/>
    <w:rsid w:val="00261F24"/>
    <w:rsid w:val="00262571"/>
    <w:rsid w:val="00263AFB"/>
    <w:rsid w:val="00266175"/>
    <w:rsid w:val="00266537"/>
    <w:rsid w:val="00267E0F"/>
    <w:rsid w:val="002707D9"/>
    <w:rsid w:val="00272F4F"/>
    <w:rsid w:val="00276667"/>
    <w:rsid w:val="002840A7"/>
    <w:rsid w:val="00285762"/>
    <w:rsid w:val="0028615C"/>
    <w:rsid w:val="002913A3"/>
    <w:rsid w:val="00291B64"/>
    <w:rsid w:val="00293180"/>
    <w:rsid w:val="0029394D"/>
    <w:rsid w:val="00294E07"/>
    <w:rsid w:val="00295911"/>
    <w:rsid w:val="002A087F"/>
    <w:rsid w:val="002A12BA"/>
    <w:rsid w:val="002A2B00"/>
    <w:rsid w:val="002A7949"/>
    <w:rsid w:val="002B13BF"/>
    <w:rsid w:val="002B142C"/>
    <w:rsid w:val="002B1D8E"/>
    <w:rsid w:val="002B34D7"/>
    <w:rsid w:val="002B39D2"/>
    <w:rsid w:val="002C252C"/>
    <w:rsid w:val="002C29B0"/>
    <w:rsid w:val="002C666C"/>
    <w:rsid w:val="002D7F95"/>
    <w:rsid w:val="002E0838"/>
    <w:rsid w:val="002E1C05"/>
    <w:rsid w:val="002E2625"/>
    <w:rsid w:val="002E5AC8"/>
    <w:rsid w:val="002E7AA5"/>
    <w:rsid w:val="002E7B59"/>
    <w:rsid w:val="002F2C47"/>
    <w:rsid w:val="003008DF"/>
    <w:rsid w:val="00311E2B"/>
    <w:rsid w:val="00311ECA"/>
    <w:rsid w:val="00316F55"/>
    <w:rsid w:val="00326591"/>
    <w:rsid w:val="00327FDD"/>
    <w:rsid w:val="00340F5D"/>
    <w:rsid w:val="00341455"/>
    <w:rsid w:val="003478FA"/>
    <w:rsid w:val="00350047"/>
    <w:rsid w:val="00354F66"/>
    <w:rsid w:val="003551D7"/>
    <w:rsid w:val="003554F8"/>
    <w:rsid w:val="003631B2"/>
    <w:rsid w:val="00371CD8"/>
    <w:rsid w:val="00381B2C"/>
    <w:rsid w:val="00382004"/>
    <w:rsid w:val="00383D23"/>
    <w:rsid w:val="00384C43"/>
    <w:rsid w:val="003855D1"/>
    <w:rsid w:val="003942A4"/>
    <w:rsid w:val="00394529"/>
    <w:rsid w:val="00395A90"/>
    <w:rsid w:val="003A0B80"/>
    <w:rsid w:val="003A0E74"/>
    <w:rsid w:val="003A3AA1"/>
    <w:rsid w:val="003A4273"/>
    <w:rsid w:val="003A506A"/>
    <w:rsid w:val="003B0BF9"/>
    <w:rsid w:val="003B2A07"/>
    <w:rsid w:val="003B5241"/>
    <w:rsid w:val="003B583D"/>
    <w:rsid w:val="003B597D"/>
    <w:rsid w:val="003B5E91"/>
    <w:rsid w:val="003B6E7D"/>
    <w:rsid w:val="003B7947"/>
    <w:rsid w:val="003B7E96"/>
    <w:rsid w:val="003C06B6"/>
    <w:rsid w:val="003C0889"/>
    <w:rsid w:val="003C76C3"/>
    <w:rsid w:val="003D2D7F"/>
    <w:rsid w:val="003D4DE7"/>
    <w:rsid w:val="003D73BA"/>
    <w:rsid w:val="003E0791"/>
    <w:rsid w:val="003E09FB"/>
    <w:rsid w:val="003F1F0D"/>
    <w:rsid w:val="003F28AC"/>
    <w:rsid w:val="003F329B"/>
    <w:rsid w:val="003F49B9"/>
    <w:rsid w:val="004123AD"/>
    <w:rsid w:val="00412520"/>
    <w:rsid w:val="00412D86"/>
    <w:rsid w:val="00414CCB"/>
    <w:rsid w:val="004165B2"/>
    <w:rsid w:val="00417260"/>
    <w:rsid w:val="0042172C"/>
    <w:rsid w:val="00422B6C"/>
    <w:rsid w:val="00433567"/>
    <w:rsid w:val="00434132"/>
    <w:rsid w:val="00437511"/>
    <w:rsid w:val="004451FF"/>
    <w:rsid w:val="004454FE"/>
    <w:rsid w:val="00450F16"/>
    <w:rsid w:val="00450F18"/>
    <w:rsid w:val="00453BAA"/>
    <w:rsid w:val="00455293"/>
    <w:rsid w:val="00456C4C"/>
    <w:rsid w:val="00456E40"/>
    <w:rsid w:val="004627DA"/>
    <w:rsid w:val="00467D92"/>
    <w:rsid w:val="00471F27"/>
    <w:rsid w:val="0049551F"/>
    <w:rsid w:val="004A0E21"/>
    <w:rsid w:val="004A1118"/>
    <w:rsid w:val="004A127C"/>
    <w:rsid w:val="004A179C"/>
    <w:rsid w:val="004A1B6E"/>
    <w:rsid w:val="004A2C8F"/>
    <w:rsid w:val="004A4109"/>
    <w:rsid w:val="004B6735"/>
    <w:rsid w:val="004C1E3B"/>
    <w:rsid w:val="004D0F9A"/>
    <w:rsid w:val="004D3CFC"/>
    <w:rsid w:val="004D3DAB"/>
    <w:rsid w:val="004D5468"/>
    <w:rsid w:val="004D6CCA"/>
    <w:rsid w:val="004E038C"/>
    <w:rsid w:val="004F1615"/>
    <w:rsid w:val="004F2637"/>
    <w:rsid w:val="004F4FA8"/>
    <w:rsid w:val="00500B14"/>
    <w:rsid w:val="0050178F"/>
    <w:rsid w:val="0051306E"/>
    <w:rsid w:val="00527524"/>
    <w:rsid w:val="00530168"/>
    <w:rsid w:val="00532B4E"/>
    <w:rsid w:val="00533E80"/>
    <w:rsid w:val="005341CE"/>
    <w:rsid w:val="00535B67"/>
    <w:rsid w:val="00543DB9"/>
    <w:rsid w:val="00547647"/>
    <w:rsid w:val="00550494"/>
    <w:rsid w:val="005557E5"/>
    <w:rsid w:val="005567EE"/>
    <w:rsid w:val="00556F0E"/>
    <w:rsid w:val="0056031E"/>
    <w:rsid w:val="00560526"/>
    <w:rsid w:val="0056269A"/>
    <w:rsid w:val="00563B03"/>
    <w:rsid w:val="00565229"/>
    <w:rsid w:val="00567771"/>
    <w:rsid w:val="00572430"/>
    <w:rsid w:val="0057428B"/>
    <w:rsid w:val="00581631"/>
    <w:rsid w:val="00581AEA"/>
    <w:rsid w:val="00582CEE"/>
    <w:rsid w:val="0058304D"/>
    <w:rsid w:val="005845D6"/>
    <w:rsid w:val="00587093"/>
    <w:rsid w:val="00594D17"/>
    <w:rsid w:val="00595A14"/>
    <w:rsid w:val="005A1035"/>
    <w:rsid w:val="005A3E29"/>
    <w:rsid w:val="005A4827"/>
    <w:rsid w:val="005B4CB4"/>
    <w:rsid w:val="005B5D49"/>
    <w:rsid w:val="005C3E46"/>
    <w:rsid w:val="005C44B7"/>
    <w:rsid w:val="005C6CE9"/>
    <w:rsid w:val="005D25A0"/>
    <w:rsid w:val="005D3DF8"/>
    <w:rsid w:val="005D6A63"/>
    <w:rsid w:val="005E34AE"/>
    <w:rsid w:val="005E68FA"/>
    <w:rsid w:val="005E7E7D"/>
    <w:rsid w:val="005F16B3"/>
    <w:rsid w:val="005F1A6A"/>
    <w:rsid w:val="005F3701"/>
    <w:rsid w:val="005F496E"/>
    <w:rsid w:val="005F6A3E"/>
    <w:rsid w:val="006018A9"/>
    <w:rsid w:val="0060322A"/>
    <w:rsid w:val="00603711"/>
    <w:rsid w:val="00603D74"/>
    <w:rsid w:val="00610682"/>
    <w:rsid w:val="00614CF5"/>
    <w:rsid w:val="00614D55"/>
    <w:rsid w:val="00616F20"/>
    <w:rsid w:val="00620CED"/>
    <w:rsid w:val="00620DF3"/>
    <w:rsid w:val="006210A7"/>
    <w:rsid w:val="00626D42"/>
    <w:rsid w:val="0063726D"/>
    <w:rsid w:val="00637818"/>
    <w:rsid w:val="00641291"/>
    <w:rsid w:val="00644953"/>
    <w:rsid w:val="00650B79"/>
    <w:rsid w:val="006510CF"/>
    <w:rsid w:val="00652514"/>
    <w:rsid w:val="0065264A"/>
    <w:rsid w:val="006533E2"/>
    <w:rsid w:val="006541E9"/>
    <w:rsid w:val="00655071"/>
    <w:rsid w:val="00655F2C"/>
    <w:rsid w:val="006624A5"/>
    <w:rsid w:val="00662A43"/>
    <w:rsid w:val="0066311B"/>
    <w:rsid w:val="006640C7"/>
    <w:rsid w:val="00665550"/>
    <w:rsid w:val="006665E5"/>
    <w:rsid w:val="00667396"/>
    <w:rsid w:val="006775A3"/>
    <w:rsid w:val="00682DDE"/>
    <w:rsid w:val="00685FA1"/>
    <w:rsid w:val="00690C7B"/>
    <w:rsid w:val="00691201"/>
    <w:rsid w:val="00693966"/>
    <w:rsid w:val="0069515F"/>
    <w:rsid w:val="006A028B"/>
    <w:rsid w:val="006A261C"/>
    <w:rsid w:val="006A495E"/>
    <w:rsid w:val="006B095B"/>
    <w:rsid w:val="006B2BCE"/>
    <w:rsid w:val="006B776A"/>
    <w:rsid w:val="006B7D7C"/>
    <w:rsid w:val="006C008A"/>
    <w:rsid w:val="006C5097"/>
    <w:rsid w:val="006C699A"/>
    <w:rsid w:val="006D081B"/>
    <w:rsid w:val="006D13A2"/>
    <w:rsid w:val="006D15AA"/>
    <w:rsid w:val="006D1E80"/>
    <w:rsid w:val="006D4384"/>
    <w:rsid w:val="006D783A"/>
    <w:rsid w:val="006E0F96"/>
    <w:rsid w:val="006E1081"/>
    <w:rsid w:val="006E36ED"/>
    <w:rsid w:val="006E4EBC"/>
    <w:rsid w:val="006E60D7"/>
    <w:rsid w:val="006F0DA1"/>
    <w:rsid w:val="006F225D"/>
    <w:rsid w:val="007070F8"/>
    <w:rsid w:val="007148E7"/>
    <w:rsid w:val="0071639F"/>
    <w:rsid w:val="00716959"/>
    <w:rsid w:val="00716A28"/>
    <w:rsid w:val="00717457"/>
    <w:rsid w:val="00720585"/>
    <w:rsid w:val="00723108"/>
    <w:rsid w:val="007240F9"/>
    <w:rsid w:val="007405CB"/>
    <w:rsid w:val="007439C3"/>
    <w:rsid w:val="00743A66"/>
    <w:rsid w:val="00751BAD"/>
    <w:rsid w:val="00757588"/>
    <w:rsid w:val="007632B2"/>
    <w:rsid w:val="00763405"/>
    <w:rsid w:val="007636B0"/>
    <w:rsid w:val="00764C3D"/>
    <w:rsid w:val="007658CA"/>
    <w:rsid w:val="00766B41"/>
    <w:rsid w:val="00773AF6"/>
    <w:rsid w:val="00780337"/>
    <w:rsid w:val="00780EE9"/>
    <w:rsid w:val="00791989"/>
    <w:rsid w:val="00794174"/>
    <w:rsid w:val="00795F71"/>
    <w:rsid w:val="0079771A"/>
    <w:rsid w:val="007A026F"/>
    <w:rsid w:val="007A4133"/>
    <w:rsid w:val="007A431A"/>
    <w:rsid w:val="007A4694"/>
    <w:rsid w:val="007A4B6D"/>
    <w:rsid w:val="007A4C23"/>
    <w:rsid w:val="007A5686"/>
    <w:rsid w:val="007A7DB7"/>
    <w:rsid w:val="007B034C"/>
    <w:rsid w:val="007B082A"/>
    <w:rsid w:val="007B2A7C"/>
    <w:rsid w:val="007B30A4"/>
    <w:rsid w:val="007C3A22"/>
    <w:rsid w:val="007C3E49"/>
    <w:rsid w:val="007C496F"/>
    <w:rsid w:val="007C5599"/>
    <w:rsid w:val="007C77C4"/>
    <w:rsid w:val="007D18F8"/>
    <w:rsid w:val="007D4086"/>
    <w:rsid w:val="007D6AC9"/>
    <w:rsid w:val="007E32BF"/>
    <w:rsid w:val="007E38FF"/>
    <w:rsid w:val="007E423C"/>
    <w:rsid w:val="007E5F7A"/>
    <w:rsid w:val="007E73AB"/>
    <w:rsid w:val="007F0B4C"/>
    <w:rsid w:val="007F2A03"/>
    <w:rsid w:val="0080023D"/>
    <w:rsid w:val="008040FB"/>
    <w:rsid w:val="00806BE7"/>
    <w:rsid w:val="00815B5B"/>
    <w:rsid w:val="00816C11"/>
    <w:rsid w:val="00821233"/>
    <w:rsid w:val="00825CE5"/>
    <w:rsid w:val="00826293"/>
    <w:rsid w:val="008305F3"/>
    <w:rsid w:val="0083595C"/>
    <w:rsid w:val="00837310"/>
    <w:rsid w:val="00837EE1"/>
    <w:rsid w:val="0084248B"/>
    <w:rsid w:val="00845FCC"/>
    <w:rsid w:val="008502C2"/>
    <w:rsid w:val="00850E35"/>
    <w:rsid w:val="008527F2"/>
    <w:rsid w:val="00852B8B"/>
    <w:rsid w:val="008620CA"/>
    <w:rsid w:val="008762B9"/>
    <w:rsid w:val="00876C5B"/>
    <w:rsid w:val="0088274D"/>
    <w:rsid w:val="00883F20"/>
    <w:rsid w:val="00887697"/>
    <w:rsid w:val="008903C4"/>
    <w:rsid w:val="00894C55"/>
    <w:rsid w:val="00896F16"/>
    <w:rsid w:val="00897B05"/>
    <w:rsid w:val="008A1CCC"/>
    <w:rsid w:val="008A2929"/>
    <w:rsid w:val="008B3B77"/>
    <w:rsid w:val="008B7202"/>
    <w:rsid w:val="008C25C5"/>
    <w:rsid w:val="008C30D2"/>
    <w:rsid w:val="008C4E53"/>
    <w:rsid w:val="008C5DCE"/>
    <w:rsid w:val="008D019C"/>
    <w:rsid w:val="008D3739"/>
    <w:rsid w:val="008D4DD5"/>
    <w:rsid w:val="008E0B57"/>
    <w:rsid w:val="008E6052"/>
    <w:rsid w:val="008E67D7"/>
    <w:rsid w:val="008F2D1C"/>
    <w:rsid w:val="008F36B1"/>
    <w:rsid w:val="009001D2"/>
    <w:rsid w:val="00900C6A"/>
    <w:rsid w:val="00903E56"/>
    <w:rsid w:val="00907C8D"/>
    <w:rsid w:val="00910CE2"/>
    <w:rsid w:val="00913D60"/>
    <w:rsid w:val="0091417A"/>
    <w:rsid w:val="00914E9A"/>
    <w:rsid w:val="00920FE9"/>
    <w:rsid w:val="0092597F"/>
    <w:rsid w:val="009304FF"/>
    <w:rsid w:val="00930EDC"/>
    <w:rsid w:val="00931E1C"/>
    <w:rsid w:val="009322EF"/>
    <w:rsid w:val="00932584"/>
    <w:rsid w:val="0094444C"/>
    <w:rsid w:val="00944B87"/>
    <w:rsid w:val="009451BA"/>
    <w:rsid w:val="00945590"/>
    <w:rsid w:val="0095368B"/>
    <w:rsid w:val="00954017"/>
    <w:rsid w:val="00957A46"/>
    <w:rsid w:val="00965551"/>
    <w:rsid w:val="00974401"/>
    <w:rsid w:val="009745FE"/>
    <w:rsid w:val="009818F7"/>
    <w:rsid w:val="00981D46"/>
    <w:rsid w:val="00986419"/>
    <w:rsid w:val="009918ED"/>
    <w:rsid w:val="00996526"/>
    <w:rsid w:val="00996DD0"/>
    <w:rsid w:val="00996FAF"/>
    <w:rsid w:val="00997F17"/>
    <w:rsid w:val="009A0E62"/>
    <w:rsid w:val="009A1C7A"/>
    <w:rsid w:val="009A1EBB"/>
    <w:rsid w:val="009A2654"/>
    <w:rsid w:val="009A4C95"/>
    <w:rsid w:val="009A7DC9"/>
    <w:rsid w:val="009B228E"/>
    <w:rsid w:val="009C14A8"/>
    <w:rsid w:val="009C537A"/>
    <w:rsid w:val="009C6EFA"/>
    <w:rsid w:val="009D054F"/>
    <w:rsid w:val="009D05A9"/>
    <w:rsid w:val="009D15D6"/>
    <w:rsid w:val="009D16B5"/>
    <w:rsid w:val="009D2733"/>
    <w:rsid w:val="009D5DC0"/>
    <w:rsid w:val="009D6381"/>
    <w:rsid w:val="009D7E90"/>
    <w:rsid w:val="009E1CB5"/>
    <w:rsid w:val="009E224F"/>
    <w:rsid w:val="009E4E51"/>
    <w:rsid w:val="009E712D"/>
    <w:rsid w:val="009F0D65"/>
    <w:rsid w:val="009F1717"/>
    <w:rsid w:val="009F45B2"/>
    <w:rsid w:val="009F5918"/>
    <w:rsid w:val="00A00F5D"/>
    <w:rsid w:val="00A01AB2"/>
    <w:rsid w:val="00A030F3"/>
    <w:rsid w:val="00A03E3D"/>
    <w:rsid w:val="00A07FA5"/>
    <w:rsid w:val="00A10F9F"/>
    <w:rsid w:val="00A10FC3"/>
    <w:rsid w:val="00A1122B"/>
    <w:rsid w:val="00A11B33"/>
    <w:rsid w:val="00A15C9C"/>
    <w:rsid w:val="00A20F02"/>
    <w:rsid w:val="00A23015"/>
    <w:rsid w:val="00A240DB"/>
    <w:rsid w:val="00A26962"/>
    <w:rsid w:val="00A3493F"/>
    <w:rsid w:val="00A36BCD"/>
    <w:rsid w:val="00A37D02"/>
    <w:rsid w:val="00A40B62"/>
    <w:rsid w:val="00A4618D"/>
    <w:rsid w:val="00A46CB5"/>
    <w:rsid w:val="00A513C4"/>
    <w:rsid w:val="00A524A6"/>
    <w:rsid w:val="00A54E55"/>
    <w:rsid w:val="00A555BD"/>
    <w:rsid w:val="00A6073E"/>
    <w:rsid w:val="00A648E3"/>
    <w:rsid w:val="00A722BF"/>
    <w:rsid w:val="00A73419"/>
    <w:rsid w:val="00A7353A"/>
    <w:rsid w:val="00A7385A"/>
    <w:rsid w:val="00A75F26"/>
    <w:rsid w:val="00A8039C"/>
    <w:rsid w:val="00A86903"/>
    <w:rsid w:val="00A86DE8"/>
    <w:rsid w:val="00A909BC"/>
    <w:rsid w:val="00A91120"/>
    <w:rsid w:val="00A93ED7"/>
    <w:rsid w:val="00A976E3"/>
    <w:rsid w:val="00AA2BCE"/>
    <w:rsid w:val="00AA6DA5"/>
    <w:rsid w:val="00AB1E90"/>
    <w:rsid w:val="00AB25C9"/>
    <w:rsid w:val="00AB656B"/>
    <w:rsid w:val="00AB6BDF"/>
    <w:rsid w:val="00AC0414"/>
    <w:rsid w:val="00AC1A39"/>
    <w:rsid w:val="00AC25A6"/>
    <w:rsid w:val="00AD0A32"/>
    <w:rsid w:val="00AE119F"/>
    <w:rsid w:val="00AE3BCA"/>
    <w:rsid w:val="00AE4179"/>
    <w:rsid w:val="00AE5567"/>
    <w:rsid w:val="00AE7085"/>
    <w:rsid w:val="00AF1239"/>
    <w:rsid w:val="00B05BE4"/>
    <w:rsid w:val="00B061EC"/>
    <w:rsid w:val="00B0637A"/>
    <w:rsid w:val="00B10A5C"/>
    <w:rsid w:val="00B15A00"/>
    <w:rsid w:val="00B16480"/>
    <w:rsid w:val="00B2148D"/>
    <w:rsid w:val="00B2165C"/>
    <w:rsid w:val="00B2300F"/>
    <w:rsid w:val="00B27B28"/>
    <w:rsid w:val="00B33F1A"/>
    <w:rsid w:val="00B429C9"/>
    <w:rsid w:val="00B4324C"/>
    <w:rsid w:val="00B47367"/>
    <w:rsid w:val="00B5068C"/>
    <w:rsid w:val="00B52EA5"/>
    <w:rsid w:val="00B535A8"/>
    <w:rsid w:val="00B56B62"/>
    <w:rsid w:val="00B62A96"/>
    <w:rsid w:val="00B631A1"/>
    <w:rsid w:val="00B631B9"/>
    <w:rsid w:val="00B63C5C"/>
    <w:rsid w:val="00B71D45"/>
    <w:rsid w:val="00B72ED6"/>
    <w:rsid w:val="00B74C55"/>
    <w:rsid w:val="00B7505F"/>
    <w:rsid w:val="00B84F73"/>
    <w:rsid w:val="00B87398"/>
    <w:rsid w:val="00B90ACE"/>
    <w:rsid w:val="00B91160"/>
    <w:rsid w:val="00B938D3"/>
    <w:rsid w:val="00B94C26"/>
    <w:rsid w:val="00B975AB"/>
    <w:rsid w:val="00B97CDC"/>
    <w:rsid w:val="00BA20AA"/>
    <w:rsid w:val="00BA47E1"/>
    <w:rsid w:val="00BA5A96"/>
    <w:rsid w:val="00BA7666"/>
    <w:rsid w:val="00BB2509"/>
    <w:rsid w:val="00BB2F77"/>
    <w:rsid w:val="00BB5C44"/>
    <w:rsid w:val="00BC0373"/>
    <w:rsid w:val="00BC3163"/>
    <w:rsid w:val="00BC74B1"/>
    <w:rsid w:val="00BD3CF8"/>
    <w:rsid w:val="00BD4425"/>
    <w:rsid w:val="00BD6371"/>
    <w:rsid w:val="00BE5272"/>
    <w:rsid w:val="00BE692D"/>
    <w:rsid w:val="00BF0E0A"/>
    <w:rsid w:val="00BF34A9"/>
    <w:rsid w:val="00BF5740"/>
    <w:rsid w:val="00BF6F33"/>
    <w:rsid w:val="00BF7AB3"/>
    <w:rsid w:val="00C0358A"/>
    <w:rsid w:val="00C05DF0"/>
    <w:rsid w:val="00C10AD2"/>
    <w:rsid w:val="00C1134A"/>
    <w:rsid w:val="00C11875"/>
    <w:rsid w:val="00C13D2F"/>
    <w:rsid w:val="00C13D60"/>
    <w:rsid w:val="00C153BA"/>
    <w:rsid w:val="00C15BF6"/>
    <w:rsid w:val="00C22F2C"/>
    <w:rsid w:val="00C25A81"/>
    <w:rsid w:val="00C25B49"/>
    <w:rsid w:val="00C26D8B"/>
    <w:rsid w:val="00C27623"/>
    <w:rsid w:val="00C313CE"/>
    <w:rsid w:val="00C358DC"/>
    <w:rsid w:val="00C3750A"/>
    <w:rsid w:val="00C41AA0"/>
    <w:rsid w:val="00C427C6"/>
    <w:rsid w:val="00C500EE"/>
    <w:rsid w:val="00C56C0F"/>
    <w:rsid w:val="00C6566D"/>
    <w:rsid w:val="00C742C5"/>
    <w:rsid w:val="00C75639"/>
    <w:rsid w:val="00C75D50"/>
    <w:rsid w:val="00C836E3"/>
    <w:rsid w:val="00C86081"/>
    <w:rsid w:val="00C953ED"/>
    <w:rsid w:val="00C955F6"/>
    <w:rsid w:val="00CA5480"/>
    <w:rsid w:val="00CA7287"/>
    <w:rsid w:val="00CB33E1"/>
    <w:rsid w:val="00CC0874"/>
    <w:rsid w:val="00CC0D2D"/>
    <w:rsid w:val="00CC7A36"/>
    <w:rsid w:val="00CC7BF2"/>
    <w:rsid w:val="00CD1DD9"/>
    <w:rsid w:val="00CD25E2"/>
    <w:rsid w:val="00CD4D7D"/>
    <w:rsid w:val="00CD5697"/>
    <w:rsid w:val="00CD6A21"/>
    <w:rsid w:val="00CD76FD"/>
    <w:rsid w:val="00CE01EE"/>
    <w:rsid w:val="00CE05DB"/>
    <w:rsid w:val="00CE09F6"/>
    <w:rsid w:val="00CE5657"/>
    <w:rsid w:val="00CE6418"/>
    <w:rsid w:val="00CF21B1"/>
    <w:rsid w:val="00CF2FA4"/>
    <w:rsid w:val="00CF4035"/>
    <w:rsid w:val="00CF4691"/>
    <w:rsid w:val="00CF5C98"/>
    <w:rsid w:val="00CF6AB4"/>
    <w:rsid w:val="00CF75E3"/>
    <w:rsid w:val="00D01919"/>
    <w:rsid w:val="00D01B1B"/>
    <w:rsid w:val="00D07244"/>
    <w:rsid w:val="00D10CB0"/>
    <w:rsid w:val="00D10F6C"/>
    <w:rsid w:val="00D12D3B"/>
    <w:rsid w:val="00D133F8"/>
    <w:rsid w:val="00D14A3E"/>
    <w:rsid w:val="00D1635F"/>
    <w:rsid w:val="00D1752D"/>
    <w:rsid w:val="00D249D5"/>
    <w:rsid w:val="00D25221"/>
    <w:rsid w:val="00D319ED"/>
    <w:rsid w:val="00D32D9B"/>
    <w:rsid w:val="00D3336C"/>
    <w:rsid w:val="00D35373"/>
    <w:rsid w:val="00D42379"/>
    <w:rsid w:val="00D45894"/>
    <w:rsid w:val="00D51AB1"/>
    <w:rsid w:val="00D525FA"/>
    <w:rsid w:val="00D62E81"/>
    <w:rsid w:val="00D66855"/>
    <w:rsid w:val="00D73828"/>
    <w:rsid w:val="00D828F2"/>
    <w:rsid w:val="00D90709"/>
    <w:rsid w:val="00D92712"/>
    <w:rsid w:val="00DA1717"/>
    <w:rsid w:val="00DA37DB"/>
    <w:rsid w:val="00DA5E99"/>
    <w:rsid w:val="00DA7547"/>
    <w:rsid w:val="00DA79A1"/>
    <w:rsid w:val="00DA7B6F"/>
    <w:rsid w:val="00DB63B5"/>
    <w:rsid w:val="00DB7ABA"/>
    <w:rsid w:val="00DC14A2"/>
    <w:rsid w:val="00DD2B25"/>
    <w:rsid w:val="00DD6556"/>
    <w:rsid w:val="00DD7B98"/>
    <w:rsid w:val="00DE1B6E"/>
    <w:rsid w:val="00DE6650"/>
    <w:rsid w:val="00DF3C94"/>
    <w:rsid w:val="00DF40B7"/>
    <w:rsid w:val="00DF4880"/>
    <w:rsid w:val="00DF6B6E"/>
    <w:rsid w:val="00E00441"/>
    <w:rsid w:val="00E01D0C"/>
    <w:rsid w:val="00E06AB0"/>
    <w:rsid w:val="00E224A4"/>
    <w:rsid w:val="00E31728"/>
    <w:rsid w:val="00E32A87"/>
    <w:rsid w:val="00E362D5"/>
    <w:rsid w:val="00E3716B"/>
    <w:rsid w:val="00E41F40"/>
    <w:rsid w:val="00E42F39"/>
    <w:rsid w:val="00E46193"/>
    <w:rsid w:val="00E47054"/>
    <w:rsid w:val="00E47055"/>
    <w:rsid w:val="00E5323B"/>
    <w:rsid w:val="00E53F16"/>
    <w:rsid w:val="00E61AC9"/>
    <w:rsid w:val="00E640CE"/>
    <w:rsid w:val="00E64FB8"/>
    <w:rsid w:val="00E653CC"/>
    <w:rsid w:val="00E65E61"/>
    <w:rsid w:val="00E660CE"/>
    <w:rsid w:val="00E75971"/>
    <w:rsid w:val="00E76DEA"/>
    <w:rsid w:val="00E8391A"/>
    <w:rsid w:val="00E84A12"/>
    <w:rsid w:val="00E84BCE"/>
    <w:rsid w:val="00E86B43"/>
    <w:rsid w:val="00E8749E"/>
    <w:rsid w:val="00E90C01"/>
    <w:rsid w:val="00E93E09"/>
    <w:rsid w:val="00E971BC"/>
    <w:rsid w:val="00EA2973"/>
    <w:rsid w:val="00EA32B9"/>
    <w:rsid w:val="00EA3E72"/>
    <w:rsid w:val="00EA486E"/>
    <w:rsid w:val="00EA5AE5"/>
    <w:rsid w:val="00EA616B"/>
    <w:rsid w:val="00EB0D48"/>
    <w:rsid w:val="00EB34BD"/>
    <w:rsid w:val="00EB4C0F"/>
    <w:rsid w:val="00EB58C2"/>
    <w:rsid w:val="00EC2853"/>
    <w:rsid w:val="00EC3EAB"/>
    <w:rsid w:val="00EC61B8"/>
    <w:rsid w:val="00ED3BFD"/>
    <w:rsid w:val="00ED3C58"/>
    <w:rsid w:val="00EE72B7"/>
    <w:rsid w:val="00EF6554"/>
    <w:rsid w:val="00F0007D"/>
    <w:rsid w:val="00F04174"/>
    <w:rsid w:val="00F047D8"/>
    <w:rsid w:val="00F06512"/>
    <w:rsid w:val="00F14378"/>
    <w:rsid w:val="00F1604C"/>
    <w:rsid w:val="00F17C68"/>
    <w:rsid w:val="00F20A8E"/>
    <w:rsid w:val="00F24829"/>
    <w:rsid w:val="00F2673B"/>
    <w:rsid w:val="00F26770"/>
    <w:rsid w:val="00F27912"/>
    <w:rsid w:val="00F3096B"/>
    <w:rsid w:val="00F31396"/>
    <w:rsid w:val="00F31D5C"/>
    <w:rsid w:val="00F34B64"/>
    <w:rsid w:val="00F37268"/>
    <w:rsid w:val="00F463A7"/>
    <w:rsid w:val="00F51651"/>
    <w:rsid w:val="00F54A4C"/>
    <w:rsid w:val="00F55DD3"/>
    <w:rsid w:val="00F57B0C"/>
    <w:rsid w:val="00F6130E"/>
    <w:rsid w:val="00F61310"/>
    <w:rsid w:val="00F61E9D"/>
    <w:rsid w:val="00F70679"/>
    <w:rsid w:val="00F73AA8"/>
    <w:rsid w:val="00F7514E"/>
    <w:rsid w:val="00F81365"/>
    <w:rsid w:val="00F83476"/>
    <w:rsid w:val="00F932D4"/>
    <w:rsid w:val="00F949DA"/>
    <w:rsid w:val="00F969DD"/>
    <w:rsid w:val="00F96CE0"/>
    <w:rsid w:val="00FA103A"/>
    <w:rsid w:val="00FA2EB2"/>
    <w:rsid w:val="00FA5191"/>
    <w:rsid w:val="00FB043D"/>
    <w:rsid w:val="00FB2B88"/>
    <w:rsid w:val="00FB7EF1"/>
    <w:rsid w:val="00FC722D"/>
    <w:rsid w:val="00FD0290"/>
    <w:rsid w:val="00FD667C"/>
    <w:rsid w:val="00FE0AA9"/>
    <w:rsid w:val="00FE2283"/>
    <w:rsid w:val="00FE3326"/>
    <w:rsid w:val="00FF10DE"/>
    <w:rsid w:val="00FF29F2"/>
    <w:rsid w:val="00FF510C"/>
    <w:rsid w:val="00FF63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72374"/>
  <w15:docId w15:val="{85D8A58E-AF41-438D-8909-56D4695D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69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A4618D"/>
    <w:pPr>
      <w:ind w:left="720"/>
      <w:contextualSpacing/>
    </w:pPr>
  </w:style>
  <w:style w:type="character" w:styleId="CommentReference">
    <w:name w:val="annotation reference"/>
    <w:basedOn w:val="DefaultParagraphFont"/>
    <w:uiPriority w:val="99"/>
    <w:semiHidden/>
    <w:unhideWhenUsed/>
    <w:rsid w:val="00B62A96"/>
    <w:rPr>
      <w:sz w:val="16"/>
      <w:szCs w:val="16"/>
    </w:rPr>
  </w:style>
  <w:style w:type="paragraph" w:styleId="CommentText">
    <w:name w:val="annotation text"/>
    <w:basedOn w:val="Normal"/>
    <w:link w:val="CommentTextChar"/>
    <w:uiPriority w:val="99"/>
    <w:semiHidden/>
    <w:unhideWhenUsed/>
    <w:rsid w:val="00B62A96"/>
    <w:pPr>
      <w:spacing w:line="240" w:lineRule="auto"/>
    </w:pPr>
    <w:rPr>
      <w:sz w:val="20"/>
      <w:szCs w:val="20"/>
    </w:rPr>
  </w:style>
  <w:style w:type="character" w:customStyle="1" w:styleId="CommentTextChar">
    <w:name w:val="Comment Text Char"/>
    <w:basedOn w:val="DefaultParagraphFont"/>
    <w:link w:val="CommentText"/>
    <w:uiPriority w:val="99"/>
    <w:semiHidden/>
    <w:rsid w:val="00B62A96"/>
    <w:rPr>
      <w:sz w:val="20"/>
      <w:szCs w:val="20"/>
    </w:rPr>
  </w:style>
  <w:style w:type="paragraph" w:styleId="CommentSubject">
    <w:name w:val="annotation subject"/>
    <w:basedOn w:val="CommentText"/>
    <w:next w:val="CommentText"/>
    <w:link w:val="CommentSubjectChar"/>
    <w:uiPriority w:val="99"/>
    <w:semiHidden/>
    <w:unhideWhenUsed/>
    <w:rsid w:val="00B62A96"/>
    <w:rPr>
      <w:b/>
      <w:bCs/>
    </w:rPr>
  </w:style>
  <w:style w:type="character" w:customStyle="1" w:styleId="CommentSubjectChar">
    <w:name w:val="Comment Subject Char"/>
    <w:basedOn w:val="CommentTextChar"/>
    <w:link w:val="CommentSubject"/>
    <w:uiPriority w:val="99"/>
    <w:semiHidden/>
    <w:rsid w:val="00B62A96"/>
    <w:rPr>
      <w:b/>
      <w:bCs/>
      <w:sz w:val="20"/>
      <w:szCs w:val="20"/>
    </w:rPr>
  </w:style>
  <w:style w:type="paragraph" w:customStyle="1" w:styleId="naiskr">
    <w:name w:val="naiskr"/>
    <w:basedOn w:val="Normal"/>
    <w:uiPriority w:val="99"/>
    <w:rsid w:val="00456C4C"/>
    <w:pPr>
      <w:spacing w:before="75" w:after="75" w:line="240" w:lineRule="auto"/>
    </w:pPr>
    <w:rPr>
      <w:rFonts w:ascii="Times New Roman" w:eastAsia="Times New Roman" w:hAnsi="Times New Roman" w:cs="Times New Roman"/>
      <w:color w:val="000000"/>
      <w:sz w:val="24"/>
      <w:szCs w:val="24"/>
      <w:lang w:eastAsia="lv-LV"/>
    </w:rPr>
  </w:style>
  <w:style w:type="character" w:customStyle="1" w:styleId="st1">
    <w:name w:val="st1"/>
    <w:uiPriority w:val="99"/>
    <w:rsid w:val="00456C4C"/>
  </w:style>
  <w:style w:type="character" w:customStyle="1" w:styleId="UnresolvedMention1">
    <w:name w:val="Unresolved Mention1"/>
    <w:basedOn w:val="DefaultParagraphFont"/>
    <w:uiPriority w:val="99"/>
    <w:semiHidden/>
    <w:unhideWhenUsed/>
    <w:rsid w:val="003F49B9"/>
    <w:rPr>
      <w:color w:val="605E5C"/>
      <w:shd w:val="clear" w:color="auto" w:fill="E1DFDD"/>
    </w:rPr>
  </w:style>
  <w:style w:type="paragraph" w:styleId="Revision">
    <w:name w:val="Revision"/>
    <w:hidden/>
    <w:uiPriority w:val="99"/>
    <w:semiHidden/>
    <w:rsid w:val="00BF34A9"/>
    <w:pPr>
      <w:spacing w:after="0" w:line="240" w:lineRule="auto"/>
    </w:pPr>
  </w:style>
  <w:style w:type="paragraph" w:styleId="FootnoteText">
    <w:name w:val="footnote text"/>
    <w:basedOn w:val="Normal"/>
    <w:link w:val="FootnoteTextChar"/>
    <w:uiPriority w:val="99"/>
    <w:semiHidden/>
    <w:unhideWhenUsed/>
    <w:rsid w:val="00A01AB2"/>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A01AB2"/>
    <w:rPr>
      <w:rFonts w:ascii="Calibri" w:hAnsi="Calibri" w:cs="Calibri"/>
      <w:sz w:val="20"/>
      <w:szCs w:val="20"/>
    </w:rPr>
  </w:style>
  <w:style w:type="character" w:styleId="FootnoteReference">
    <w:name w:val="footnote reference"/>
    <w:basedOn w:val="DefaultParagraphFont"/>
    <w:uiPriority w:val="99"/>
    <w:semiHidden/>
    <w:unhideWhenUsed/>
    <w:rsid w:val="00A01AB2"/>
    <w:rPr>
      <w:vertAlign w:val="superscript"/>
    </w:rPr>
  </w:style>
  <w:style w:type="character" w:customStyle="1" w:styleId="UnresolvedMention2">
    <w:name w:val="Unresolved Mention2"/>
    <w:basedOn w:val="DefaultParagraphFont"/>
    <w:uiPriority w:val="99"/>
    <w:semiHidden/>
    <w:unhideWhenUsed/>
    <w:rsid w:val="006775A3"/>
    <w:rPr>
      <w:color w:val="605E5C"/>
      <w:shd w:val="clear" w:color="auto" w:fill="E1DFDD"/>
    </w:rPr>
  </w:style>
  <w:style w:type="character" w:customStyle="1" w:styleId="UnresolvedMention3">
    <w:name w:val="Unresolved Mention3"/>
    <w:basedOn w:val="DefaultParagraphFont"/>
    <w:uiPriority w:val="99"/>
    <w:semiHidden/>
    <w:unhideWhenUsed/>
    <w:rsid w:val="00157C48"/>
    <w:rPr>
      <w:color w:val="605E5C"/>
      <w:shd w:val="clear" w:color="auto" w:fill="E1DFDD"/>
    </w:rPr>
  </w:style>
  <w:style w:type="character" w:customStyle="1" w:styleId="UnresolvedMention4">
    <w:name w:val="Unresolved Mention4"/>
    <w:basedOn w:val="DefaultParagraphFont"/>
    <w:uiPriority w:val="99"/>
    <w:semiHidden/>
    <w:unhideWhenUsed/>
    <w:rsid w:val="007A431A"/>
    <w:rPr>
      <w:color w:val="605E5C"/>
      <w:shd w:val="clear" w:color="auto" w:fill="E1DFDD"/>
    </w:rPr>
  </w:style>
  <w:style w:type="character" w:customStyle="1" w:styleId="UnresolvedMention5">
    <w:name w:val="Unresolved Mention5"/>
    <w:basedOn w:val="DefaultParagraphFont"/>
    <w:uiPriority w:val="99"/>
    <w:semiHidden/>
    <w:unhideWhenUsed/>
    <w:rsid w:val="00F51651"/>
    <w:rPr>
      <w:color w:val="605E5C"/>
      <w:shd w:val="clear" w:color="auto" w:fill="E1DFDD"/>
    </w:rPr>
  </w:style>
  <w:style w:type="paragraph" w:customStyle="1" w:styleId="Body">
    <w:name w:val="Body"/>
    <w:rsid w:val="00015CDC"/>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5570">
      <w:bodyDiv w:val="1"/>
      <w:marLeft w:val="0"/>
      <w:marRight w:val="0"/>
      <w:marTop w:val="0"/>
      <w:marBottom w:val="0"/>
      <w:divBdr>
        <w:top w:val="none" w:sz="0" w:space="0" w:color="auto"/>
        <w:left w:val="none" w:sz="0" w:space="0" w:color="auto"/>
        <w:bottom w:val="none" w:sz="0" w:space="0" w:color="auto"/>
        <w:right w:val="none" w:sz="0" w:space="0" w:color="auto"/>
      </w:divBdr>
    </w:div>
    <w:div w:id="37173646">
      <w:bodyDiv w:val="1"/>
      <w:marLeft w:val="0"/>
      <w:marRight w:val="0"/>
      <w:marTop w:val="0"/>
      <w:marBottom w:val="0"/>
      <w:divBdr>
        <w:top w:val="none" w:sz="0" w:space="0" w:color="auto"/>
        <w:left w:val="none" w:sz="0" w:space="0" w:color="auto"/>
        <w:bottom w:val="none" w:sz="0" w:space="0" w:color="auto"/>
        <w:right w:val="none" w:sz="0" w:space="0" w:color="auto"/>
      </w:divBdr>
    </w:div>
    <w:div w:id="45498898">
      <w:bodyDiv w:val="1"/>
      <w:marLeft w:val="0"/>
      <w:marRight w:val="0"/>
      <w:marTop w:val="0"/>
      <w:marBottom w:val="0"/>
      <w:divBdr>
        <w:top w:val="none" w:sz="0" w:space="0" w:color="auto"/>
        <w:left w:val="none" w:sz="0" w:space="0" w:color="auto"/>
        <w:bottom w:val="none" w:sz="0" w:space="0" w:color="auto"/>
        <w:right w:val="none" w:sz="0" w:space="0" w:color="auto"/>
      </w:divBdr>
    </w:div>
    <w:div w:id="63726300">
      <w:bodyDiv w:val="1"/>
      <w:marLeft w:val="0"/>
      <w:marRight w:val="0"/>
      <w:marTop w:val="0"/>
      <w:marBottom w:val="0"/>
      <w:divBdr>
        <w:top w:val="none" w:sz="0" w:space="0" w:color="auto"/>
        <w:left w:val="none" w:sz="0" w:space="0" w:color="auto"/>
        <w:bottom w:val="none" w:sz="0" w:space="0" w:color="auto"/>
        <w:right w:val="none" w:sz="0" w:space="0" w:color="auto"/>
      </w:divBdr>
    </w:div>
    <w:div w:id="10381041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79398693">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14780503">
      <w:bodyDiv w:val="1"/>
      <w:marLeft w:val="0"/>
      <w:marRight w:val="0"/>
      <w:marTop w:val="0"/>
      <w:marBottom w:val="0"/>
      <w:divBdr>
        <w:top w:val="none" w:sz="0" w:space="0" w:color="auto"/>
        <w:left w:val="none" w:sz="0" w:space="0" w:color="auto"/>
        <w:bottom w:val="none" w:sz="0" w:space="0" w:color="auto"/>
        <w:right w:val="none" w:sz="0" w:space="0" w:color="auto"/>
      </w:divBdr>
    </w:div>
    <w:div w:id="257520367">
      <w:bodyDiv w:val="1"/>
      <w:marLeft w:val="0"/>
      <w:marRight w:val="0"/>
      <w:marTop w:val="0"/>
      <w:marBottom w:val="0"/>
      <w:divBdr>
        <w:top w:val="none" w:sz="0" w:space="0" w:color="auto"/>
        <w:left w:val="none" w:sz="0" w:space="0" w:color="auto"/>
        <w:bottom w:val="none" w:sz="0" w:space="0" w:color="auto"/>
        <w:right w:val="none" w:sz="0" w:space="0" w:color="auto"/>
      </w:divBdr>
    </w:div>
    <w:div w:id="273247721">
      <w:bodyDiv w:val="1"/>
      <w:marLeft w:val="0"/>
      <w:marRight w:val="0"/>
      <w:marTop w:val="0"/>
      <w:marBottom w:val="0"/>
      <w:divBdr>
        <w:top w:val="none" w:sz="0" w:space="0" w:color="auto"/>
        <w:left w:val="none" w:sz="0" w:space="0" w:color="auto"/>
        <w:bottom w:val="none" w:sz="0" w:space="0" w:color="auto"/>
        <w:right w:val="none" w:sz="0" w:space="0" w:color="auto"/>
      </w:divBdr>
    </w:div>
    <w:div w:id="285620435">
      <w:bodyDiv w:val="1"/>
      <w:marLeft w:val="0"/>
      <w:marRight w:val="0"/>
      <w:marTop w:val="0"/>
      <w:marBottom w:val="0"/>
      <w:divBdr>
        <w:top w:val="none" w:sz="0" w:space="0" w:color="auto"/>
        <w:left w:val="none" w:sz="0" w:space="0" w:color="auto"/>
        <w:bottom w:val="none" w:sz="0" w:space="0" w:color="auto"/>
        <w:right w:val="none" w:sz="0" w:space="0" w:color="auto"/>
      </w:divBdr>
    </w:div>
    <w:div w:id="291984480">
      <w:bodyDiv w:val="1"/>
      <w:marLeft w:val="0"/>
      <w:marRight w:val="0"/>
      <w:marTop w:val="0"/>
      <w:marBottom w:val="0"/>
      <w:divBdr>
        <w:top w:val="none" w:sz="0" w:space="0" w:color="auto"/>
        <w:left w:val="none" w:sz="0" w:space="0" w:color="auto"/>
        <w:bottom w:val="none" w:sz="0" w:space="0" w:color="auto"/>
        <w:right w:val="none" w:sz="0" w:space="0" w:color="auto"/>
      </w:divBdr>
    </w:div>
    <w:div w:id="489101149">
      <w:bodyDiv w:val="1"/>
      <w:marLeft w:val="0"/>
      <w:marRight w:val="0"/>
      <w:marTop w:val="0"/>
      <w:marBottom w:val="0"/>
      <w:divBdr>
        <w:top w:val="none" w:sz="0" w:space="0" w:color="auto"/>
        <w:left w:val="none" w:sz="0" w:space="0" w:color="auto"/>
        <w:bottom w:val="none" w:sz="0" w:space="0" w:color="auto"/>
        <w:right w:val="none" w:sz="0" w:space="0" w:color="auto"/>
      </w:divBdr>
    </w:div>
    <w:div w:id="509181417">
      <w:bodyDiv w:val="1"/>
      <w:marLeft w:val="0"/>
      <w:marRight w:val="0"/>
      <w:marTop w:val="0"/>
      <w:marBottom w:val="0"/>
      <w:divBdr>
        <w:top w:val="none" w:sz="0" w:space="0" w:color="auto"/>
        <w:left w:val="none" w:sz="0" w:space="0" w:color="auto"/>
        <w:bottom w:val="none" w:sz="0" w:space="0" w:color="auto"/>
        <w:right w:val="none" w:sz="0" w:space="0" w:color="auto"/>
      </w:divBdr>
    </w:div>
    <w:div w:id="537157321">
      <w:bodyDiv w:val="1"/>
      <w:marLeft w:val="0"/>
      <w:marRight w:val="0"/>
      <w:marTop w:val="0"/>
      <w:marBottom w:val="0"/>
      <w:divBdr>
        <w:top w:val="none" w:sz="0" w:space="0" w:color="auto"/>
        <w:left w:val="none" w:sz="0" w:space="0" w:color="auto"/>
        <w:bottom w:val="none" w:sz="0" w:space="0" w:color="auto"/>
        <w:right w:val="none" w:sz="0" w:space="0" w:color="auto"/>
      </w:divBdr>
    </w:div>
    <w:div w:id="567033784">
      <w:bodyDiv w:val="1"/>
      <w:marLeft w:val="0"/>
      <w:marRight w:val="0"/>
      <w:marTop w:val="0"/>
      <w:marBottom w:val="0"/>
      <w:divBdr>
        <w:top w:val="none" w:sz="0" w:space="0" w:color="auto"/>
        <w:left w:val="none" w:sz="0" w:space="0" w:color="auto"/>
        <w:bottom w:val="none" w:sz="0" w:space="0" w:color="auto"/>
        <w:right w:val="none" w:sz="0" w:space="0" w:color="auto"/>
      </w:divBdr>
    </w:div>
    <w:div w:id="569001418">
      <w:bodyDiv w:val="1"/>
      <w:marLeft w:val="0"/>
      <w:marRight w:val="0"/>
      <w:marTop w:val="0"/>
      <w:marBottom w:val="0"/>
      <w:divBdr>
        <w:top w:val="none" w:sz="0" w:space="0" w:color="auto"/>
        <w:left w:val="none" w:sz="0" w:space="0" w:color="auto"/>
        <w:bottom w:val="none" w:sz="0" w:space="0" w:color="auto"/>
        <w:right w:val="none" w:sz="0" w:space="0" w:color="auto"/>
      </w:divBdr>
    </w:div>
    <w:div w:id="663627964">
      <w:bodyDiv w:val="1"/>
      <w:marLeft w:val="0"/>
      <w:marRight w:val="0"/>
      <w:marTop w:val="0"/>
      <w:marBottom w:val="0"/>
      <w:divBdr>
        <w:top w:val="none" w:sz="0" w:space="0" w:color="auto"/>
        <w:left w:val="none" w:sz="0" w:space="0" w:color="auto"/>
        <w:bottom w:val="none" w:sz="0" w:space="0" w:color="auto"/>
        <w:right w:val="none" w:sz="0" w:space="0" w:color="auto"/>
      </w:divBdr>
    </w:div>
    <w:div w:id="771895068">
      <w:bodyDiv w:val="1"/>
      <w:marLeft w:val="0"/>
      <w:marRight w:val="0"/>
      <w:marTop w:val="0"/>
      <w:marBottom w:val="0"/>
      <w:divBdr>
        <w:top w:val="none" w:sz="0" w:space="0" w:color="auto"/>
        <w:left w:val="none" w:sz="0" w:space="0" w:color="auto"/>
        <w:bottom w:val="none" w:sz="0" w:space="0" w:color="auto"/>
        <w:right w:val="none" w:sz="0" w:space="0" w:color="auto"/>
      </w:divBdr>
    </w:div>
    <w:div w:id="829906383">
      <w:bodyDiv w:val="1"/>
      <w:marLeft w:val="0"/>
      <w:marRight w:val="0"/>
      <w:marTop w:val="0"/>
      <w:marBottom w:val="0"/>
      <w:divBdr>
        <w:top w:val="none" w:sz="0" w:space="0" w:color="auto"/>
        <w:left w:val="none" w:sz="0" w:space="0" w:color="auto"/>
        <w:bottom w:val="none" w:sz="0" w:space="0" w:color="auto"/>
        <w:right w:val="none" w:sz="0" w:space="0" w:color="auto"/>
      </w:divBdr>
    </w:div>
    <w:div w:id="1013608855">
      <w:bodyDiv w:val="1"/>
      <w:marLeft w:val="0"/>
      <w:marRight w:val="0"/>
      <w:marTop w:val="0"/>
      <w:marBottom w:val="0"/>
      <w:divBdr>
        <w:top w:val="none" w:sz="0" w:space="0" w:color="auto"/>
        <w:left w:val="none" w:sz="0" w:space="0" w:color="auto"/>
        <w:bottom w:val="none" w:sz="0" w:space="0" w:color="auto"/>
        <w:right w:val="none" w:sz="0" w:space="0" w:color="auto"/>
      </w:divBdr>
    </w:div>
    <w:div w:id="1092551307">
      <w:bodyDiv w:val="1"/>
      <w:marLeft w:val="0"/>
      <w:marRight w:val="0"/>
      <w:marTop w:val="0"/>
      <w:marBottom w:val="0"/>
      <w:divBdr>
        <w:top w:val="none" w:sz="0" w:space="0" w:color="auto"/>
        <w:left w:val="none" w:sz="0" w:space="0" w:color="auto"/>
        <w:bottom w:val="none" w:sz="0" w:space="0" w:color="auto"/>
        <w:right w:val="none" w:sz="0" w:space="0" w:color="auto"/>
      </w:divBdr>
    </w:div>
    <w:div w:id="1186019574">
      <w:bodyDiv w:val="1"/>
      <w:marLeft w:val="0"/>
      <w:marRight w:val="0"/>
      <w:marTop w:val="0"/>
      <w:marBottom w:val="0"/>
      <w:divBdr>
        <w:top w:val="none" w:sz="0" w:space="0" w:color="auto"/>
        <w:left w:val="none" w:sz="0" w:space="0" w:color="auto"/>
        <w:bottom w:val="none" w:sz="0" w:space="0" w:color="auto"/>
        <w:right w:val="none" w:sz="0" w:space="0" w:color="auto"/>
      </w:divBdr>
    </w:div>
    <w:div w:id="136590962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9353012">
      <w:bodyDiv w:val="1"/>
      <w:marLeft w:val="0"/>
      <w:marRight w:val="0"/>
      <w:marTop w:val="0"/>
      <w:marBottom w:val="0"/>
      <w:divBdr>
        <w:top w:val="none" w:sz="0" w:space="0" w:color="auto"/>
        <w:left w:val="none" w:sz="0" w:space="0" w:color="auto"/>
        <w:bottom w:val="none" w:sz="0" w:space="0" w:color="auto"/>
        <w:right w:val="none" w:sz="0" w:space="0" w:color="auto"/>
      </w:divBdr>
    </w:div>
    <w:div w:id="1491746515">
      <w:bodyDiv w:val="1"/>
      <w:marLeft w:val="0"/>
      <w:marRight w:val="0"/>
      <w:marTop w:val="0"/>
      <w:marBottom w:val="0"/>
      <w:divBdr>
        <w:top w:val="none" w:sz="0" w:space="0" w:color="auto"/>
        <w:left w:val="none" w:sz="0" w:space="0" w:color="auto"/>
        <w:bottom w:val="none" w:sz="0" w:space="0" w:color="auto"/>
        <w:right w:val="none" w:sz="0" w:space="0" w:color="auto"/>
      </w:divBdr>
    </w:div>
    <w:div w:id="1559903930">
      <w:bodyDiv w:val="1"/>
      <w:marLeft w:val="0"/>
      <w:marRight w:val="0"/>
      <w:marTop w:val="0"/>
      <w:marBottom w:val="0"/>
      <w:divBdr>
        <w:top w:val="none" w:sz="0" w:space="0" w:color="auto"/>
        <w:left w:val="none" w:sz="0" w:space="0" w:color="auto"/>
        <w:bottom w:val="none" w:sz="0" w:space="0" w:color="auto"/>
        <w:right w:val="none" w:sz="0" w:space="0" w:color="auto"/>
      </w:divBdr>
    </w:div>
    <w:div w:id="1666516804">
      <w:bodyDiv w:val="1"/>
      <w:marLeft w:val="0"/>
      <w:marRight w:val="0"/>
      <w:marTop w:val="0"/>
      <w:marBottom w:val="0"/>
      <w:divBdr>
        <w:top w:val="none" w:sz="0" w:space="0" w:color="auto"/>
        <w:left w:val="none" w:sz="0" w:space="0" w:color="auto"/>
        <w:bottom w:val="none" w:sz="0" w:space="0" w:color="auto"/>
        <w:right w:val="none" w:sz="0" w:space="0" w:color="auto"/>
      </w:divBdr>
    </w:div>
    <w:div w:id="1669283941">
      <w:bodyDiv w:val="1"/>
      <w:marLeft w:val="0"/>
      <w:marRight w:val="0"/>
      <w:marTop w:val="0"/>
      <w:marBottom w:val="0"/>
      <w:divBdr>
        <w:top w:val="none" w:sz="0" w:space="0" w:color="auto"/>
        <w:left w:val="none" w:sz="0" w:space="0" w:color="auto"/>
        <w:bottom w:val="none" w:sz="0" w:space="0" w:color="auto"/>
        <w:right w:val="none" w:sz="0" w:space="0" w:color="auto"/>
      </w:divBdr>
    </w:div>
    <w:div w:id="1812554995">
      <w:bodyDiv w:val="1"/>
      <w:marLeft w:val="0"/>
      <w:marRight w:val="0"/>
      <w:marTop w:val="0"/>
      <w:marBottom w:val="0"/>
      <w:divBdr>
        <w:top w:val="none" w:sz="0" w:space="0" w:color="auto"/>
        <w:left w:val="none" w:sz="0" w:space="0" w:color="auto"/>
        <w:bottom w:val="none" w:sz="0" w:space="0" w:color="auto"/>
        <w:right w:val="none" w:sz="0" w:space="0" w:color="auto"/>
      </w:divBdr>
    </w:div>
    <w:div w:id="1827285905">
      <w:bodyDiv w:val="1"/>
      <w:marLeft w:val="0"/>
      <w:marRight w:val="0"/>
      <w:marTop w:val="0"/>
      <w:marBottom w:val="0"/>
      <w:divBdr>
        <w:top w:val="none" w:sz="0" w:space="0" w:color="auto"/>
        <w:left w:val="none" w:sz="0" w:space="0" w:color="auto"/>
        <w:bottom w:val="none" w:sz="0" w:space="0" w:color="auto"/>
        <w:right w:val="none" w:sz="0" w:space="0" w:color="auto"/>
      </w:divBdr>
    </w:div>
    <w:div w:id="1902860556">
      <w:bodyDiv w:val="1"/>
      <w:marLeft w:val="0"/>
      <w:marRight w:val="0"/>
      <w:marTop w:val="0"/>
      <w:marBottom w:val="0"/>
      <w:divBdr>
        <w:top w:val="none" w:sz="0" w:space="0" w:color="auto"/>
        <w:left w:val="none" w:sz="0" w:space="0" w:color="auto"/>
        <w:bottom w:val="none" w:sz="0" w:space="0" w:color="auto"/>
        <w:right w:val="none" w:sz="0" w:space="0" w:color="auto"/>
      </w:divBdr>
    </w:div>
    <w:div w:id="1904950369">
      <w:bodyDiv w:val="1"/>
      <w:marLeft w:val="0"/>
      <w:marRight w:val="0"/>
      <w:marTop w:val="0"/>
      <w:marBottom w:val="0"/>
      <w:divBdr>
        <w:top w:val="none" w:sz="0" w:space="0" w:color="auto"/>
        <w:left w:val="none" w:sz="0" w:space="0" w:color="auto"/>
        <w:bottom w:val="none" w:sz="0" w:space="0" w:color="auto"/>
        <w:right w:val="none" w:sz="0" w:space="0" w:color="auto"/>
      </w:divBdr>
    </w:div>
    <w:div w:id="2009601945">
      <w:bodyDiv w:val="1"/>
      <w:marLeft w:val="0"/>
      <w:marRight w:val="0"/>
      <w:marTop w:val="0"/>
      <w:marBottom w:val="0"/>
      <w:divBdr>
        <w:top w:val="none" w:sz="0" w:space="0" w:color="auto"/>
        <w:left w:val="none" w:sz="0" w:space="0" w:color="auto"/>
        <w:bottom w:val="none" w:sz="0" w:space="0" w:color="auto"/>
        <w:right w:val="none" w:sz="0" w:space="0" w:color="auto"/>
      </w:divBdr>
    </w:div>
    <w:div w:id="2033148800">
      <w:bodyDiv w:val="1"/>
      <w:marLeft w:val="0"/>
      <w:marRight w:val="0"/>
      <w:marTop w:val="0"/>
      <w:marBottom w:val="0"/>
      <w:divBdr>
        <w:top w:val="none" w:sz="0" w:space="0" w:color="auto"/>
        <w:left w:val="none" w:sz="0" w:space="0" w:color="auto"/>
        <w:bottom w:val="none" w:sz="0" w:space="0" w:color="auto"/>
        <w:right w:val="none" w:sz="0" w:space="0" w:color="auto"/>
      </w:divBdr>
    </w:div>
    <w:div w:id="208209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gov.lv" TargetMode="Externa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gita.Krastina@e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em.gov.lv/lv/Ministrija/sabiedribas_lidzdaliba/diskusiju_dokumenti/"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ptac.gov.lv/lv/news/ptac-sodijis-tris-komersantus-par-negodigu-komercpraksi-timeklvietnes" TargetMode="External"/><Relationship Id="rId2" Type="http://schemas.openxmlformats.org/officeDocument/2006/relationships/hyperlink" Target="http://www.ptac.gov.lv/lv/content/par-distances-tirdzniec-bu" TargetMode="External"/><Relationship Id="rId1" Type="http://schemas.openxmlformats.org/officeDocument/2006/relationships/hyperlink" Target="https://ec.europa.eu/newsroom/dae/document.cfm?doc_id=52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B8EEC-5D9F-40A7-A425-F76360F15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17</Pages>
  <Words>4436</Words>
  <Characters>32165</Characters>
  <Application>Microsoft Office Word</Application>
  <DocSecurity>0</DocSecurity>
  <Lines>846</Lines>
  <Paragraphs>265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Informācijas sabiedrības pakalpojumu likumā” sākotnējās ietekmes novērtējuma ziņojums (anotācija)</vt:lpstr>
      <vt:lpstr>Likumprojekta “Grozījumi Informācijas sabiedrības pakalpojumu likumā” sākotnējās ietekmes novērtējuma ziņojums (anotācija)</vt:lpstr>
    </vt:vector>
  </TitlesOfParts>
  <Company>Ekonomikas ministrija</Company>
  <LinksUpToDate>false</LinksUpToDate>
  <CharactersWithSpaces>36336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Informācijas sabiedrības pakalpojumu likumā” sākotnējās ietekmes novērtējuma ziņojums (anotācija)</dc:title>
  <dc:subject>Anotācija</dc:subject>
  <dc:creator>Anna Rozentālberga</dc:creator>
  <cp:keywords>Anotācija</cp:keywords>
  <dc:description>67013290, Anna.Rozentalberga@em.gov.lv</dc:description>
  <cp:lastModifiedBy>Anna Putane</cp:lastModifiedBy>
  <cp:revision>27</cp:revision>
  <cp:lastPrinted>2020-09-24T08:33:00Z</cp:lastPrinted>
  <dcterms:created xsi:type="dcterms:W3CDTF">2020-09-25T07:23:00Z</dcterms:created>
  <dcterms:modified xsi:type="dcterms:W3CDTF">2020-09-30T07:53:00Z</dcterms:modified>
</cp:coreProperties>
</file>