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3.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4.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5.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6.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7.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8.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9.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20.xml" ContentType="application/vnd.openxmlformats-officedocument.drawingml.chart+xml"/>
  <Override PartName="/word/drawings/drawing1.xml" ContentType="application/vnd.openxmlformats-officedocument.drawingml.chartshapes+xml"/>
  <Override PartName="/word/charts/chart21.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2.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3.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4.xml" ContentType="application/vnd.openxmlformats-officedocument.drawingml.chart+xml"/>
  <Override PartName="/word/charts/style21.xml" ContentType="application/vnd.ms-office.chartstyle+xml"/>
  <Override PartName="/word/charts/colors2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hart170.xml" ContentType="application/vnd.openxmlformats-officedocument.drawingml.chart+xml"/>
  <Override PartName="/word/charts/chart230.xml" ContentType="application/vnd.openxmlformats-officedocument.drawingml.chart+xml"/>
  <Override PartName="/word/charts/colors150.xml" ContentType="application/vnd.ms-office.chartcolorstyle+xml"/>
  <Override PartName="/word/charts/style150.xml" ContentType="application/vnd.ms-office.chartstyle+xml"/>
  <Override PartName="/word/charts/colors200.xml" ContentType="application/vnd.ms-office.chartcolorstyle+xml"/>
  <Override PartName="/word/charts/style200.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FFBBB" w14:textId="77777777" w:rsidR="00851CDF" w:rsidRDefault="00851CDF" w:rsidP="00851CDF">
      <w:pPr>
        <w:jc w:val="right"/>
        <w:rPr>
          <w:lang w:val="lv-LV"/>
        </w:rPr>
      </w:pPr>
      <w:r>
        <w:rPr>
          <w:lang w:val="lv-LV"/>
        </w:rPr>
        <w:t>Pieņemts</w:t>
      </w:r>
    </w:p>
    <w:p w14:paraId="6FD93510" w14:textId="77777777" w:rsidR="00851CDF" w:rsidRDefault="00851CDF" w:rsidP="00851CDF">
      <w:pPr>
        <w:jc w:val="right"/>
        <w:rPr>
          <w:lang w:val="lv-LV"/>
        </w:rPr>
      </w:pPr>
      <w:r>
        <w:rPr>
          <w:lang w:val="lv-LV"/>
        </w:rPr>
        <w:t xml:space="preserve">Fiskālās disciplīnas </w:t>
      </w:r>
    </w:p>
    <w:p w14:paraId="7AD58897" w14:textId="616DA4AC" w:rsidR="00851CDF" w:rsidRDefault="00E6029B" w:rsidP="00851CDF">
      <w:pPr>
        <w:jc w:val="right"/>
        <w:rPr>
          <w:lang w:val="lv-LV"/>
        </w:rPr>
      </w:pPr>
      <w:r>
        <w:rPr>
          <w:lang w:val="lv-LV"/>
        </w:rPr>
        <w:t>padomes sēdē Nr.6(45</w:t>
      </w:r>
      <w:r w:rsidR="00851CDF">
        <w:rPr>
          <w:lang w:val="lv-LV"/>
        </w:rPr>
        <w:t>)</w:t>
      </w:r>
    </w:p>
    <w:p w14:paraId="6CE60AB4" w14:textId="755159B1" w:rsidR="00851CDF" w:rsidRDefault="00D11BE0" w:rsidP="00851CDF">
      <w:pPr>
        <w:jc w:val="right"/>
        <w:rPr>
          <w:lang w:val="lv-LV"/>
        </w:rPr>
      </w:pPr>
      <w:r>
        <w:rPr>
          <w:lang w:val="lv-LV"/>
        </w:rPr>
        <w:t xml:space="preserve">2020.gada </w:t>
      </w:r>
    </w:p>
    <w:p w14:paraId="5035935A" w14:textId="0F3CA320" w:rsidR="00851CDF" w:rsidRDefault="00D11BE0" w:rsidP="00851CDF">
      <w:pPr>
        <w:jc w:val="right"/>
        <w:rPr>
          <w:lang w:val="lv-LV"/>
        </w:rPr>
      </w:pPr>
      <w:r>
        <w:rPr>
          <w:lang w:val="lv-LV"/>
        </w:rPr>
        <w:t>Protokols Nr.</w:t>
      </w:r>
      <w:r w:rsidR="00851CDF">
        <w:rPr>
          <w:lang w:val="lv-LV"/>
        </w:rPr>
        <w:t>§1.1</w:t>
      </w:r>
    </w:p>
    <w:p w14:paraId="349326FA" w14:textId="77777777" w:rsidR="00F00408" w:rsidRPr="0078054E" w:rsidRDefault="00F00408" w:rsidP="00F00408">
      <w:pPr>
        <w:pStyle w:val="FDPTitulsLaba"/>
        <w:rPr>
          <w:lang w:val="lv-LV"/>
        </w:rPr>
      </w:pPr>
    </w:p>
    <w:p w14:paraId="0C4B2448" w14:textId="49093568" w:rsidR="00F00408" w:rsidRPr="0078054E" w:rsidRDefault="00F00408" w:rsidP="00F00408">
      <w:pPr>
        <w:jc w:val="center"/>
        <w:rPr>
          <w:rFonts w:asciiTheme="minorHAnsi" w:hAnsiTheme="minorHAnsi" w:cstheme="minorHAnsi"/>
          <w:color w:val="1F4E79"/>
          <w:sz w:val="32"/>
          <w:szCs w:val="32"/>
          <w:lang w:val="lv-LV"/>
        </w:rPr>
      </w:pPr>
      <w:r w:rsidRPr="0078054E">
        <w:rPr>
          <w:rFonts w:asciiTheme="minorHAnsi" w:hAnsiTheme="minorHAnsi" w:cstheme="minorHAnsi"/>
          <w:caps/>
          <w:color w:val="1F4E79" w:themeColor="accent1" w:themeShade="80"/>
          <w:sz w:val="32"/>
          <w:szCs w:val="32"/>
          <w:lang w:val="lv-LV"/>
        </w:rPr>
        <w:t xml:space="preserve">Fiskālās disciplīnas uzraudzības </w:t>
      </w:r>
      <w:r w:rsidR="00D11BE0">
        <w:rPr>
          <w:rFonts w:asciiTheme="minorHAnsi" w:hAnsiTheme="minorHAnsi" w:cstheme="minorHAnsi"/>
          <w:caps/>
          <w:color w:val="1F4E79" w:themeColor="accent1" w:themeShade="80"/>
          <w:sz w:val="32"/>
          <w:szCs w:val="32"/>
          <w:lang w:val="lv-LV"/>
        </w:rPr>
        <w:t>ziņojums</w:t>
      </w:r>
    </w:p>
    <w:p w14:paraId="39BBA15E" w14:textId="77777777" w:rsidR="00F00408" w:rsidRPr="0078054E" w:rsidRDefault="00F00408" w:rsidP="00F00408">
      <w:pPr>
        <w:jc w:val="center"/>
        <w:rPr>
          <w:rFonts w:asciiTheme="minorHAnsi" w:hAnsiTheme="minorHAnsi" w:cstheme="minorHAnsi"/>
          <w:caps/>
          <w:color w:val="1F4E79" w:themeColor="accent1" w:themeShade="80"/>
          <w:sz w:val="32"/>
          <w:szCs w:val="32"/>
          <w:lang w:val="lv-LV"/>
        </w:rPr>
      </w:pPr>
    </w:p>
    <w:p w14:paraId="6E2A6A5D" w14:textId="2DCC7857" w:rsidR="00F00408" w:rsidRPr="0078054E" w:rsidRDefault="00D11BE0" w:rsidP="00F00408">
      <w:pPr>
        <w:jc w:val="center"/>
        <w:rPr>
          <w:rFonts w:asciiTheme="minorHAnsi" w:hAnsiTheme="minorHAnsi" w:cstheme="minorHAnsi"/>
          <w:caps/>
          <w:color w:val="1F4E79" w:themeColor="accent1" w:themeShade="80"/>
          <w:sz w:val="32"/>
          <w:szCs w:val="32"/>
          <w:lang w:val="lv-LV"/>
        </w:rPr>
      </w:pPr>
      <w:r>
        <w:rPr>
          <w:rFonts w:asciiTheme="minorHAnsi" w:hAnsiTheme="minorHAnsi" w:cstheme="minorHAnsi"/>
          <w:caps/>
          <w:color w:val="1F4E79" w:themeColor="accent1" w:themeShade="80"/>
          <w:sz w:val="32"/>
          <w:szCs w:val="32"/>
          <w:lang w:val="lv-LV"/>
        </w:rPr>
        <w:t>PAR latvijas vidēja termiņa budžeta ietvaru</w:t>
      </w:r>
    </w:p>
    <w:p w14:paraId="6C3F5C1B" w14:textId="5B5056D0" w:rsidR="00F00408" w:rsidRPr="0078054E" w:rsidRDefault="00D11BE0" w:rsidP="00F00408">
      <w:pPr>
        <w:jc w:val="center"/>
        <w:rPr>
          <w:rFonts w:asciiTheme="minorHAnsi" w:hAnsiTheme="minorHAnsi" w:cstheme="minorHAnsi"/>
          <w:color w:val="1F4E79"/>
          <w:sz w:val="32"/>
          <w:szCs w:val="32"/>
          <w:lang w:val="lv-LV"/>
        </w:rPr>
      </w:pPr>
      <w:r>
        <w:rPr>
          <w:rFonts w:asciiTheme="minorHAnsi" w:hAnsiTheme="minorHAnsi" w:cstheme="minorHAnsi"/>
          <w:caps/>
          <w:color w:val="1F4E79" w:themeColor="accent1" w:themeShade="80"/>
          <w:sz w:val="32"/>
          <w:szCs w:val="32"/>
          <w:lang w:val="lv-LV"/>
        </w:rPr>
        <w:t>2021</w:t>
      </w:r>
      <w:r w:rsidR="00F00408" w:rsidRPr="0078054E">
        <w:rPr>
          <w:rFonts w:asciiTheme="minorHAnsi" w:hAnsiTheme="minorHAnsi" w:cstheme="minorHAnsi"/>
          <w:caps/>
          <w:color w:val="1F4E79" w:themeColor="accent1" w:themeShade="80"/>
          <w:sz w:val="32"/>
          <w:szCs w:val="32"/>
          <w:lang w:val="lv-LV"/>
        </w:rPr>
        <w:t>.-202</w:t>
      </w:r>
      <w:r w:rsidR="006E0E37" w:rsidRPr="0078054E">
        <w:rPr>
          <w:rFonts w:asciiTheme="minorHAnsi" w:hAnsiTheme="minorHAnsi" w:cstheme="minorHAnsi"/>
          <w:caps/>
          <w:color w:val="1F4E79" w:themeColor="accent1" w:themeShade="80"/>
          <w:sz w:val="32"/>
          <w:szCs w:val="32"/>
          <w:lang w:val="lv-LV"/>
        </w:rPr>
        <w:t>3</w:t>
      </w:r>
      <w:r w:rsidR="00F00408" w:rsidRPr="0078054E">
        <w:rPr>
          <w:rFonts w:asciiTheme="minorHAnsi" w:hAnsiTheme="minorHAnsi" w:cstheme="minorHAnsi"/>
          <w:caps/>
          <w:color w:val="1F4E79" w:themeColor="accent1" w:themeShade="80"/>
          <w:sz w:val="32"/>
          <w:szCs w:val="32"/>
          <w:lang w:val="lv-LV"/>
        </w:rPr>
        <w:t xml:space="preserve">. gadam </w:t>
      </w:r>
    </w:p>
    <w:p w14:paraId="55BD6E6B" w14:textId="77777777" w:rsidR="00F00408" w:rsidRPr="0078054E" w:rsidRDefault="00F00408" w:rsidP="00F00408">
      <w:pPr>
        <w:jc w:val="center"/>
        <w:rPr>
          <w:color w:val="1F4E79" w:themeColor="accent1" w:themeShade="80"/>
          <w:sz w:val="32"/>
          <w:szCs w:val="32"/>
          <w:lang w:val="lv-LV"/>
        </w:rPr>
      </w:pPr>
    </w:p>
    <w:p w14:paraId="5F41ED64" w14:textId="77777777" w:rsidR="00F00408" w:rsidRPr="0078054E" w:rsidRDefault="00F00408" w:rsidP="00F00408">
      <w:pPr>
        <w:rPr>
          <w:lang w:val="lv-LV"/>
        </w:rPr>
      </w:pPr>
    </w:p>
    <w:p w14:paraId="7F3CEC17" w14:textId="77777777" w:rsidR="00F00408" w:rsidRPr="0078054E" w:rsidRDefault="00F00408" w:rsidP="00F00408">
      <w:pPr>
        <w:rPr>
          <w:lang w:val="lv-LV"/>
        </w:rPr>
      </w:pPr>
    </w:p>
    <w:p w14:paraId="5F3A3B98" w14:textId="77777777" w:rsidR="00F00408" w:rsidRPr="0078054E" w:rsidRDefault="00F00408" w:rsidP="00F00408">
      <w:pPr>
        <w:rPr>
          <w:lang w:val="lv-LV"/>
        </w:rPr>
      </w:pPr>
    </w:p>
    <w:p w14:paraId="580D1F31" w14:textId="77777777" w:rsidR="00F00408" w:rsidRPr="0078054E" w:rsidRDefault="00F00408" w:rsidP="00F00408">
      <w:pPr>
        <w:rPr>
          <w:lang w:val="lv-LV"/>
        </w:rPr>
      </w:pPr>
    </w:p>
    <w:p w14:paraId="0A728700" w14:textId="77777777" w:rsidR="00F00408" w:rsidRPr="0078054E" w:rsidRDefault="00F00408" w:rsidP="00F00408">
      <w:pPr>
        <w:rPr>
          <w:lang w:val="lv-LV"/>
        </w:rPr>
      </w:pPr>
    </w:p>
    <w:p w14:paraId="66B1C990" w14:textId="77777777" w:rsidR="00F00408" w:rsidRPr="0078054E" w:rsidRDefault="00F00408" w:rsidP="00F00408">
      <w:pPr>
        <w:rPr>
          <w:lang w:val="lv-LV"/>
        </w:rPr>
      </w:pPr>
    </w:p>
    <w:p w14:paraId="4D8E8CDA" w14:textId="77777777" w:rsidR="00F00408" w:rsidRPr="0078054E" w:rsidRDefault="00F00408" w:rsidP="00F00408">
      <w:pPr>
        <w:rPr>
          <w:lang w:val="lv-LV"/>
        </w:rPr>
      </w:pPr>
    </w:p>
    <w:p w14:paraId="70BE647A" w14:textId="77777777" w:rsidR="00F00408" w:rsidRPr="0078054E" w:rsidRDefault="00F00408" w:rsidP="00F00408">
      <w:pPr>
        <w:rPr>
          <w:lang w:val="lv-LV"/>
        </w:rPr>
      </w:pPr>
    </w:p>
    <w:p w14:paraId="5321A1FE" w14:textId="77777777" w:rsidR="00F00408" w:rsidRPr="0078054E" w:rsidRDefault="00F00408" w:rsidP="00F00408">
      <w:pPr>
        <w:rPr>
          <w:lang w:val="lv-LV"/>
        </w:rPr>
      </w:pPr>
    </w:p>
    <w:p w14:paraId="4C5068E9" w14:textId="77777777" w:rsidR="00F00408" w:rsidRPr="0078054E" w:rsidRDefault="00F00408" w:rsidP="00F00408">
      <w:pPr>
        <w:rPr>
          <w:lang w:val="lv-LV"/>
        </w:rPr>
      </w:pPr>
    </w:p>
    <w:p w14:paraId="2952CBF1" w14:textId="24FE44E9" w:rsidR="00F00408" w:rsidRPr="0078054E" w:rsidRDefault="00F00408" w:rsidP="00F00408">
      <w:pPr>
        <w:rPr>
          <w:lang w:val="lv-LV"/>
        </w:rPr>
      </w:pPr>
    </w:p>
    <w:p w14:paraId="7A635D2A" w14:textId="79A84943" w:rsidR="00466F5D" w:rsidRPr="0078054E" w:rsidRDefault="00466F5D" w:rsidP="00F00408">
      <w:pPr>
        <w:rPr>
          <w:lang w:val="lv-LV"/>
        </w:rPr>
      </w:pPr>
    </w:p>
    <w:p w14:paraId="6866A0CF" w14:textId="77777777" w:rsidR="00F00408" w:rsidRPr="0078054E" w:rsidRDefault="00F00408" w:rsidP="00F00408">
      <w:pPr>
        <w:rPr>
          <w:lang w:val="lv-LV"/>
        </w:rPr>
      </w:pPr>
    </w:p>
    <w:p w14:paraId="4434113F" w14:textId="77777777" w:rsidR="00F00408" w:rsidRPr="0078054E" w:rsidRDefault="00F00408" w:rsidP="00F00408">
      <w:pPr>
        <w:rPr>
          <w:lang w:val="lv-LV"/>
        </w:rPr>
      </w:pPr>
    </w:p>
    <w:p w14:paraId="1C8674E2" w14:textId="77777777" w:rsidR="00F00408" w:rsidRPr="0078054E" w:rsidRDefault="00F00408" w:rsidP="00F00408">
      <w:pPr>
        <w:rPr>
          <w:lang w:val="lv-LV"/>
        </w:rPr>
      </w:pPr>
    </w:p>
    <w:p w14:paraId="43551AB2" w14:textId="77777777" w:rsidR="00BF5D2E" w:rsidRPr="0078054E" w:rsidRDefault="00BF5D2E" w:rsidP="00F00408">
      <w:pPr>
        <w:rPr>
          <w:lang w:val="lv-LV"/>
        </w:rPr>
      </w:pPr>
    </w:p>
    <w:p w14:paraId="32EDF522" w14:textId="77777777" w:rsidR="00BF5D2E" w:rsidRPr="0078054E" w:rsidRDefault="00BF5D2E" w:rsidP="00F00408">
      <w:pPr>
        <w:rPr>
          <w:lang w:val="lv-LV"/>
        </w:rPr>
      </w:pPr>
    </w:p>
    <w:p w14:paraId="6DE1E45A" w14:textId="77777777" w:rsidR="00BF5D2E" w:rsidRPr="0078054E" w:rsidRDefault="00BF5D2E" w:rsidP="00F00408">
      <w:pPr>
        <w:rPr>
          <w:lang w:val="lv-LV"/>
        </w:rPr>
      </w:pPr>
    </w:p>
    <w:p w14:paraId="0E024A15" w14:textId="77777777" w:rsidR="00BF5D2E" w:rsidRPr="0078054E" w:rsidRDefault="00BF5D2E" w:rsidP="00F00408">
      <w:pPr>
        <w:rPr>
          <w:lang w:val="lv-LV"/>
        </w:rPr>
      </w:pPr>
    </w:p>
    <w:p w14:paraId="0F2FB54A" w14:textId="77777777" w:rsidR="009C6BEF" w:rsidRPr="0078054E" w:rsidRDefault="009C6BEF" w:rsidP="00F00408">
      <w:pPr>
        <w:rPr>
          <w:lang w:val="lv-LV"/>
        </w:rPr>
      </w:pPr>
    </w:p>
    <w:p w14:paraId="344A8943" w14:textId="77777777" w:rsidR="009C6BEF" w:rsidRPr="0078054E" w:rsidRDefault="009C6BEF" w:rsidP="00F00408">
      <w:pPr>
        <w:rPr>
          <w:lang w:val="lv-LV"/>
        </w:rPr>
      </w:pPr>
    </w:p>
    <w:p w14:paraId="2A809DB7" w14:textId="77777777" w:rsidR="009C6BEF" w:rsidRPr="0078054E" w:rsidRDefault="009C6BEF" w:rsidP="00F00408">
      <w:pPr>
        <w:rPr>
          <w:lang w:val="lv-LV"/>
        </w:rPr>
      </w:pPr>
    </w:p>
    <w:p w14:paraId="232F4F2C" w14:textId="77777777" w:rsidR="009C6BEF" w:rsidRPr="0078054E" w:rsidRDefault="009C6BEF" w:rsidP="00F00408">
      <w:pPr>
        <w:rPr>
          <w:lang w:val="lv-LV"/>
        </w:rPr>
      </w:pPr>
    </w:p>
    <w:p w14:paraId="68FD0EB8" w14:textId="77777777" w:rsidR="009C6BEF" w:rsidRPr="0078054E" w:rsidRDefault="009C6BEF" w:rsidP="00F00408">
      <w:pPr>
        <w:rPr>
          <w:lang w:val="lv-LV"/>
        </w:rPr>
      </w:pPr>
    </w:p>
    <w:p w14:paraId="4F2A8A7A" w14:textId="77777777" w:rsidR="009C6BEF" w:rsidRPr="0078054E" w:rsidRDefault="009C6BEF" w:rsidP="00F00408">
      <w:pPr>
        <w:rPr>
          <w:lang w:val="lv-LV"/>
        </w:rPr>
      </w:pPr>
    </w:p>
    <w:p w14:paraId="2E0F37CC" w14:textId="77777777" w:rsidR="009C6BEF" w:rsidRPr="0078054E" w:rsidRDefault="009C6BEF" w:rsidP="00F00408">
      <w:pPr>
        <w:rPr>
          <w:lang w:val="lv-LV"/>
        </w:rPr>
      </w:pPr>
    </w:p>
    <w:p w14:paraId="6D3EB127" w14:textId="17225FBD" w:rsidR="00F00408" w:rsidRPr="0078054E" w:rsidRDefault="00F00408" w:rsidP="00F00408">
      <w:pPr>
        <w:pStyle w:val="FDPTitulsGads"/>
        <w:rPr>
          <w:rFonts w:asciiTheme="minorHAnsi" w:hAnsiTheme="minorHAnsi" w:cstheme="minorHAnsi"/>
          <w:sz w:val="22"/>
          <w:szCs w:val="22"/>
          <w:lang w:val="lv-LV"/>
        </w:rPr>
      </w:pPr>
      <w:r w:rsidRPr="0078054E">
        <w:rPr>
          <w:rFonts w:asciiTheme="minorHAnsi" w:hAnsiTheme="minorHAnsi" w:cstheme="minorHAnsi"/>
          <w:sz w:val="22"/>
          <w:szCs w:val="22"/>
          <w:lang w:val="lv-LV"/>
        </w:rPr>
        <w:t>Rīga, 20</w:t>
      </w:r>
      <w:r w:rsidR="00E91725" w:rsidRPr="0078054E">
        <w:rPr>
          <w:rFonts w:asciiTheme="minorHAnsi" w:hAnsiTheme="minorHAnsi" w:cstheme="minorHAnsi"/>
          <w:sz w:val="22"/>
          <w:szCs w:val="22"/>
          <w:lang w:val="lv-LV"/>
        </w:rPr>
        <w:t>20</w:t>
      </w:r>
    </w:p>
    <w:p w14:paraId="0CD864B0" w14:textId="77777777" w:rsidR="00BF5D2E" w:rsidRPr="0078054E" w:rsidRDefault="00BF5D2E" w:rsidP="00F00408">
      <w:pPr>
        <w:pStyle w:val="FDPTitulsGads"/>
        <w:rPr>
          <w:lang w:val="lv-LV"/>
        </w:rPr>
      </w:pPr>
    </w:p>
    <w:p w14:paraId="391A5C56" w14:textId="77777777" w:rsidR="00BF5D2E" w:rsidRPr="0078054E" w:rsidRDefault="00BF5D2E" w:rsidP="00BF5D2E">
      <w:pPr>
        <w:pStyle w:val="FDPTitulsGads"/>
        <w:jc w:val="left"/>
        <w:rPr>
          <w:lang w:val="lv-LV"/>
        </w:rPr>
      </w:pPr>
    </w:p>
    <w:sdt>
      <w:sdtPr>
        <w:rPr>
          <w:rFonts w:asciiTheme="minorHAnsi" w:eastAsiaTheme="minorHAnsi" w:hAnsiTheme="minorHAnsi" w:cstheme="minorBidi"/>
          <w:color w:val="auto"/>
          <w:sz w:val="22"/>
          <w:szCs w:val="22"/>
          <w:lang w:val="lv-LV"/>
        </w:rPr>
        <w:id w:val="2124883902"/>
        <w:docPartObj>
          <w:docPartGallery w:val="Table of Contents"/>
          <w:docPartUnique/>
        </w:docPartObj>
      </w:sdtPr>
      <w:sdtEndPr>
        <w:rPr>
          <w:rFonts w:ascii="Times New Roman" w:eastAsia="Times New Roman" w:hAnsi="Times New Roman" w:cs="Times New Roman"/>
          <w:b/>
          <w:bCs/>
          <w:noProof/>
          <w:sz w:val="24"/>
          <w:szCs w:val="24"/>
        </w:rPr>
      </w:sdtEndPr>
      <w:sdtContent>
        <w:p w14:paraId="1C16F1CE" w14:textId="60101DC5" w:rsidR="00CC05DF" w:rsidRPr="00C70742" w:rsidRDefault="00CC05DF">
          <w:pPr>
            <w:pStyle w:val="TOCHeading"/>
            <w:rPr>
              <w:rFonts w:asciiTheme="minorHAnsi" w:eastAsiaTheme="minorHAnsi" w:hAnsiTheme="minorHAnsi" w:cstheme="minorHAnsi"/>
              <w:b/>
              <w:bCs/>
              <w:color w:val="auto"/>
              <w:sz w:val="22"/>
              <w:szCs w:val="22"/>
              <w:lang w:val="lv-LV"/>
            </w:rPr>
          </w:pPr>
          <w:r w:rsidRPr="00C70742">
            <w:rPr>
              <w:rFonts w:asciiTheme="minorHAnsi" w:eastAsiaTheme="minorHAnsi" w:hAnsiTheme="minorHAnsi" w:cstheme="minorHAnsi"/>
              <w:b/>
              <w:bCs/>
              <w:color w:val="auto"/>
              <w:sz w:val="22"/>
              <w:szCs w:val="22"/>
              <w:lang w:val="lv-LV"/>
            </w:rPr>
            <w:t>Saturs</w:t>
          </w:r>
        </w:p>
        <w:p w14:paraId="43E04D93" w14:textId="7AA58B6B" w:rsidR="007D0B95" w:rsidRDefault="00CC05DF">
          <w:pPr>
            <w:pStyle w:val="TOC1"/>
            <w:tabs>
              <w:tab w:val="right" w:leader="dot" w:pos="8296"/>
            </w:tabs>
            <w:rPr>
              <w:rFonts w:asciiTheme="minorHAnsi" w:eastAsiaTheme="minorEastAsia" w:hAnsiTheme="minorHAnsi" w:cstheme="minorBidi"/>
              <w:noProof/>
              <w:sz w:val="22"/>
              <w:szCs w:val="22"/>
              <w:lang w:val="lv-LV" w:eastAsia="lv-LV"/>
            </w:rPr>
          </w:pPr>
          <w:r w:rsidRPr="0078054E">
            <w:rPr>
              <w:rFonts w:asciiTheme="minorHAnsi" w:eastAsiaTheme="minorHAnsi" w:hAnsiTheme="minorHAnsi" w:cstheme="minorHAnsi"/>
              <w:sz w:val="22"/>
              <w:szCs w:val="22"/>
              <w:lang w:val="lv-LV"/>
            </w:rPr>
            <w:fldChar w:fldCharType="begin"/>
          </w:r>
          <w:r w:rsidRPr="0078054E">
            <w:rPr>
              <w:rFonts w:asciiTheme="minorHAnsi" w:eastAsiaTheme="minorHAnsi" w:hAnsiTheme="minorHAnsi" w:cstheme="minorHAnsi"/>
              <w:sz w:val="22"/>
              <w:szCs w:val="22"/>
              <w:lang w:val="lv-LV"/>
            </w:rPr>
            <w:instrText xml:space="preserve"> TOC \o "1-3" \h \z \u </w:instrText>
          </w:r>
          <w:r w:rsidRPr="0078054E">
            <w:rPr>
              <w:rFonts w:asciiTheme="minorHAnsi" w:eastAsiaTheme="minorHAnsi" w:hAnsiTheme="minorHAnsi" w:cstheme="minorHAnsi"/>
              <w:sz w:val="22"/>
              <w:szCs w:val="22"/>
              <w:lang w:val="lv-LV"/>
            </w:rPr>
            <w:fldChar w:fldCharType="separate"/>
          </w:r>
          <w:hyperlink w:anchor="_Toc53387621" w:history="1">
            <w:r w:rsidR="007D0B95" w:rsidRPr="00567446">
              <w:rPr>
                <w:rStyle w:val="Hyperlink"/>
                <w:caps/>
                <w:noProof/>
                <w:lang w:val="lv-LV"/>
              </w:rPr>
              <w:t>ANOTĀCIJA</w:t>
            </w:r>
            <w:r w:rsidR="007D0B95">
              <w:rPr>
                <w:noProof/>
                <w:webHidden/>
              </w:rPr>
              <w:tab/>
            </w:r>
            <w:r w:rsidR="007D0B95">
              <w:rPr>
                <w:noProof/>
                <w:webHidden/>
              </w:rPr>
              <w:fldChar w:fldCharType="begin"/>
            </w:r>
            <w:r w:rsidR="007D0B95">
              <w:rPr>
                <w:noProof/>
                <w:webHidden/>
              </w:rPr>
              <w:instrText xml:space="preserve"> PAGEREF _Toc53387621 \h </w:instrText>
            </w:r>
            <w:r w:rsidR="007D0B95">
              <w:rPr>
                <w:noProof/>
                <w:webHidden/>
              </w:rPr>
            </w:r>
            <w:r w:rsidR="007D0B95">
              <w:rPr>
                <w:noProof/>
                <w:webHidden/>
              </w:rPr>
              <w:fldChar w:fldCharType="separate"/>
            </w:r>
            <w:r w:rsidR="007D0B95">
              <w:rPr>
                <w:noProof/>
                <w:webHidden/>
              </w:rPr>
              <w:t>3</w:t>
            </w:r>
            <w:r w:rsidR="007D0B95">
              <w:rPr>
                <w:noProof/>
                <w:webHidden/>
              </w:rPr>
              <w:fldChar w:fldCharType="end"/>
            </w:r>
          </w:hyperlink>
        </w:p>
        <w:p w14:paraId="0F0CCA6F" w14:textId="4C72BD88" w:rsidR="007D0B95" w:rsidRDefault="004037F5">
          <w:pPr>
            <w:pStyle w:val="TOC1"/>
            <w:tabs>
              <w:tab w:val="right" w:leader="dot" w:pos="8296"/>
            </w:tabs>
            <w:rPr>
              <w:rFonts w:asciiTheme="minorHAnsi" w:eastAsiaTheme="minorEastAsia" w:hAnsiTheme="minorHAnsi" w:cstheme="minorBidi"/>
              <w:noProof/>
              <w:sz w:val="22"/>
              <w:szCs w:val="22"/>
              <w:lang w:val="lv-LV" w:eastAsia="lv-LV"/>
            </w:rPr>
          </w:pPr>
          <w:hyperlink w:anchor="_Toc53387622" w:history="1">
            <w:r w:rsidR="007D0B95" w:rsidRPr="00567446">
              <w:rPr>
                <w:rStyle w:val="Hyperlink"/>
                <w:caps/>
                <w:noProof/>
                <w:lang w:val="lv-LV"/>
              </w:rPr>
              <w:t>Kopsavilkums</w:t>
            </w:r>
            <w:r w:rsidR="007D0B95">
              <w:rPr>
                <w:noProof/>
                <w:webHidden/>
              </w:rPr>
              <w:tab/>
            </w:r>
            <w:r w:rsidR="007D0B95">
              <w:rPr>
                <w:noProof/>
                <w:webHidden/>
              </w:rPr>
              <w:fldChar w:fldCharType="begin"/>
            </w:r>
            <w:r w:rsidR="007D0B95">
              <w:rPr>
                <w:noProof/>
                <w:webHidden/>
              </w:rPr>
              <w:instrText xml:space="preserve"> PAGEREF _Toc53387622 \h </w:instrText>
            </w:r>
            <w:r w:rsidR="007D0B95">
              <w:rPr>
                <w:noProof/>
                <w:webHidden/>
              </w:rPr>
            </w:r>
            <w:r w:rsidR="007D0B95">
              <w:rPr>
                <w:noProof/>
                <w:webHidden/>
              </w:rPr>
              <w:fldChar w:fldCharType="separate"/>
            </w:r>
            <w:r w:rsidR="007D0B95">
              <w:rPr>
                <w:noProof/>
                <w:webHidden/>
              </w:rPr>
              <w:t>4</w:t>
            </w:r>
            <w:r w:rsidR="007D0B95">
              <w:rPr>
                <w:noProof/>
                <w:webHidden/>
              </w:rPr>
              <w:fldChar w:fldCharType="end"/>
            </w:r>
          </w:hyperlink>
        </w:p>
        <w:p w14:paraId="78BEC97B" w14:textId="5DA27B64" w:rsidR="007D0B95" w:rsidRDefault="004037F5">
          <w:pPr>
            <w:pStyle w:val="TOC1"/>
            <w:tabs>
              <w:tab w:val="right" w:leader="dot" w:pos="8296"/>
            </w:tabs>
            <w:rPr>
              <w:rFonts w:asciiTheme="minorHAnsi" w:eastAsiaTheme="minorEastAsia" w:hAnsiTheme="minorHAnsi" w:cstheme="minorBidi"/>
              <w:noProof/>
              <w:sz w:val="22"/>
              <w:szCs w:val="22"/>
              <w:lang w:val="lv-LV" w:eastAsia="lv-LV"/>
            </w:rPr>
          </w:pPr>
          <w:hyperlink w:anchor="_Toc53387623" w:history="1">
            <w:r w:rsidR="007D0B95" w:rsidRPr="00567446">
              <w:rPr>
                <w:rStyle w:val="Hyperlink"/>
                <w:caps/>
                <w:noProof/>
                <w:lang w:val="lv-LV"/>
              </w:rPr>
              <w:t>Saīsinājumi</w:t>
            </w:r>
            <w:r w:rsidR="007D0B95">
              <w:rPr>
                <w:noProof/>
                <w:webHidden/>
              </w:rPr>
              <w:tab/>
            </w:r>
            <w:r w:rsidR="007D0B95">
              <w:rPr>
                <w:noProof/>
                <w:webHidden/>
              </w:rPr>
              <w:fldChar w:fldCharType="begin"/>
            </w:r>
            <w:r w:rsidR="007D0B95">
              <w:rPr>
                <w:noProof/>
                <w:webHidden/>
              </w:rPr>
              <w:instrText xml:space="preserve"> PAGEREF _Toc53387623 \h </w:instrText>
            </w:r>
            <w:r w:rsidR="007D0B95">
              <w:rPr>
                <w:noProof/>
                <w:webHidden/>
              </w:rPr>
            </w:r>
            <w:r w:rsidR="007D0B95">
              <w:rPr>
                <w:noProof/>
                <w:webHidden/>
              </w:rPr>
              <w:fldChar w:fldCharType="separate"/>
            </w:r>
            <w:r w:rsidR="007D0B95">
              <w:rPr>
                <w:noProof/>
                <w:webHidden/>
              </w:rPr>
              <w:t>8</w:t>
            </w:r>
            <w:r w:rsidR="007D0B95">
              <w:rPr>
                <w:noProof/>
                <w:webHidden/>
              </w:rPr>
              <w:fldChar w:fldCharType="end"/>
            </w:r>
          </w:hyperlink>
        </w:p>
        <w:p w14:paraId="4A4466A0" w14:textId="39374D4E" w:rsidR="007D0B95" w:rsidRDefault="004037F5">
          <w:pPr>
            <w:pStyle w:val="TOC1"/>
            <w:tabs>
              <w:tab w:val="left" w:pos="480"/>
              <w:tab w:val="right" w:leader="dot" w:pos="8296"/>
            </w:tabs>
            <w:rPr>
              <w:rFonts w:asciiTheme="minorHAnsi" w:eastAsiaTheme="minorEastAsia" w:hAnsiTheme="minorHAnsi" w:cstheme="minorBidi"/>
              <w:noProof/>
              <w:sz w:val="22"/>
              <w:szCs w:val="22"/>
              <w:lang w:val="lv-LV" w:eastAsia="lv-LV"/>
            </w:rPr>
          </w:pPr>
          <w:hyperlink w:anchor="_Toc53387624" w:history="1">
            <w:r w:rsidR="007D0B95" w:rsidRPr="00567446">
              <w:rPr>
                <w:rStyle w:val="Hyperlink"/>
                <w:bCs/>
                <w:noProof/>
                <w:lang w:val="lv-LV"/>
              </w:rPr>
              <w:t>1.</w:t>
            </w:r>
            <w:r w:rsidR="007D0B95">
              <w:rPr>
                <w:rFonts w:asciiTheme="minorHAnsi" w:eastAsiaTheme="minorEastAsia" w:hAnsiTheme="minorHAnsi" w:cstheme="minorBidi"/>
                <w:noProof/>
                <w:sz w:val="22"/>
                <w:szCs w:val="22"/>
                <w:lang w:val="lv-LV" w:eastAsia="lv-LV"/>
              </w:rPr>
              <w:tab/>
            </w:r>
            <w:r w:rsidR="007D0B95" w:rsidRPr="00567446">
              <w:rPr>
                <w:rStyle w:val="Hyperlink"/>
                <w:noProof/>
                <w:lang w:val="lv-LV"/>
              </w:rPr>
              <w:t>Fiskālā politikas attīstība</w:t>
            </w:r>
            <w:r w:rsidR="007D0B95">
              <w:rPr>
                <w:noProof/>
                <w:webHidden/>
              </w:rPr>
              <w:tab/>
            </w:r>
            <w:r w:rsidR="007D0B95">
              <w:rPr>
                <w:noProof/>
                <w:webHidden/>
              </w:rPr>
              <w:fldChar w:fldCharType="begin"/>
            </w:r>
            <w:r w:rsidR="007D0B95">
              <w:rPr>
                <w:noProof/>
                <w:webHidden/>
              </w:rPr>
              <w:instrText xml:space="preserve"> PAGEREF _Toc53387624 \h </w:instrText>
            </w:r>
            <w:r w:rsidR="007D0B95">
              <w:rPr>
                <w:noProof/>
                <w:webHidden/>
              </w:rPr>
            </w:r>
            <w:r w:rsidR="007D0B95">
              <w:rPr>
                <w:noProof/>
                <w:webHidden/>
              </w:rPr>
              <w:fldChar w:fldCharType="separate"/>
            </w:r>
            <w:r w:rsidR="007D0B95">
              <w:rPr>
                <w:noProof/>
                <w:webHidden/>
              </w:rPr>
              <w:t>9</w:t>
            </w:r>
            <w:r w:rsidR="007D0B95">
              <w:rPr>
                <w:noProof/>
                <w:webHidden/>
              </w:rPr>
              <w:fldChar w:fldCharType="end"/>
            </w:r>
          </w:hyperlink>
        </w:p>
        <w:p w14:paraId="3D21D42D" w14:textId="488A2871" w:rsidR="007D0B95" w:rsidRDefault="004037F5">
          <w:pPr>
            <w:pStyle w:val="TOC2"/>
            <w:tabs>
              <w:tab w:val="left" w:pos="880"/>
              <w:tab w:val="right" w:leader="dot" w:pos="8296"/>
            </w:tabs>
            <w:rPr>
              <w:rFonts w:asciiTheme="minorHAnsi" w:eastAsiaTheme="minorEastAsia" w:hAnsiTheme="minorHAnsi" w:cstheme="minorBidi"/>
              <w:noProof/>
              <w:sz w:val="22"/>
              <w:szCs w:val="22"/>
              <w:lang w:val="lv-LV" w:eastAsia="lv-LV"/>
            </w:rPr>
          </w:pPr>
          <w:hyperlink w:anchor="_Toc53387625" w:history="1">
            <w:r w:rsidR="007D0B95" w:rsidRPr="00567446">
              <w:rPr>
                <w:rStyle w:val="Hyperlink"/>
                <w:iCs/>
                <w:noProof/>
                <w:lang w:val="lv-LV"/>
              </w:rPr>
              <w:t>1.1.</w:t>
            </w:r>
            <w:r w:rsidR="007D0B95">
              <w:rPr>
                <w:rFonts w:asciiTheme="minorHAnsi" w:eastAsiaTheme="minorEastAsia" w:hAnsiTheme="minorHAnsi" w:cstheme="minorBidi"/>
                <w:noProof/>
                <w:sz w:val="22"/>
                <w:szCs w:val="22"/>
                <w:lang w:val="lv-LV" w:eastAsia="lv-LV"/>
              </w:rPr>
              <w:tab/>
            </w:r>
            <w:r w:rsidR="007D0B95" w:rsidRPr="00567446">
              <w:rPr>
                <w:rStyle w:val="Hyperlink"/>
                <w:noProof/>
                <w:lang w:val="lv-LV"/>
              </w:rPr>
              <w:t>2020.gada perspektīva</w:t>
            </w:r>
            <w:r w:rsidR="007D0B95">
              <w:rPr>
                <w:noProof/>
                <w:webHidden/>
              </w:rPr>
              <w:tab/>
            </w:r>
            <w:r w:rsidR="007D0B95">
              <w:rPr>
                <w:noProof/>
                <w:webHidden/>
              </w:rPr>
              <w:fldChar w:fldCharType="begin"/>
            </w:r>
            <w:r w:rsidR="007D0B95">
              <w:rPr>
                <w:noProof/>
                <w:webHidden/>
              </w:rPr>
              <w:instrText xml:space="preserve"> PAGEREF _Toc53387625 \h </w:instrText>
            </w:r>
            <w:r w:rsidR="007D0B95">
              <w:rPr>
                <w:noProof/>
                <w:webHidden/>
              </w:rPr>
            </w:r>
            <w:r w:rsidR="007D0B95">
              <w:rPr>
                <w:noProof/>
                <w:webHidden/>
              </w:rPr>
              <w:fldChar w:fldCharType="separate"/>
            </w:r>
            <w:r w:rsidR="007D0B95">
              <w:rPr>
                <w:noProof/>
                <w:webHidden/>
              </w:rPr>
              <w:t>9</w:t>
            </w:r>
            <w:r w:rsidR="007D0B95">
              <w:rPr>
                <w:noProof/>
                <w:webHidden/>
              </w:rPr>
              <w:fldChar w:fldCharType="end"/>
            </w:r>
          </w:hyperlink>
        </w:p>
        <w:p w14:paraId="55D5AA32" w14:textId="16D6E123" w:rsidR="007D0B95" w:rsidRDefault="004037F5">
          <w:pPr>
            <w:pStyle w:val="TOC2"/>
            <w:tabs>
              <w:tab w:val="left" w:pos="880"/>
              <w:tab w:val="right" w:leader="dot" w:pos="8296"/>
            </w:tabs>
            <w:rPr>
              <w:rFonts w:asciiTheme="minorHAnsi" w:eastAsiaTheme="minorEastAsia" w:hAnsiTheme="minorHAnsi" w:cstheme="minorBidi"/>
              <w:noProof/>
              <w:sz w:val="22"/>
              <w:szCs w:val="22"/>
              <w:lang w:val="lv-LV" w:eastAsia="lv-LV"/>
            </w:rPr>
          </w:pPr>
          <w:hyperlink w:anchor="_Toc53387626" w:history="1">
            <w:r w:rsidR="007D0B95" w:rsidRPr="00567446">
              <w:rPr>
                <w:rStyle w:val="Hyperlink"/>
                <w:rFonts w:asciiTheme="majorHAnsi" w:eastAsiaTheme="majorEastAsia" w:hAnsiTheme="majorHAnsi" w:cstheme="majorBidi"/>
                <w:iCs/>
                <w:noProof/>
                <w:lang w:val="lv-LV"/>
              </w:rPr>
              <w:t>1.2.</w:t>
            </w:r>
            <w:r w:rsidR="007D0B95">
              <w:rPr>
                <w:rFonts w:asciiTheme="minorHAnsi" w:eastAsiaTheme="minorEastAsia" w:hAnsiTheme="minorHAnsi" w:cstheme="minorBidi"/>
                <w:noProof/>
                <w:sz w:val="22"/>
                <w:szCs w:val="22"/>
                <w:lang w:val="lv-LV" w:eastAsia="lv-LV"/>
              </w:rPr>
              <w:tab/>
            </w:r>
            <w:r w:rsidR="007D0B95" w:rsidRPr="00F2200E">
              <w:rPr>
                <w:rStyle w:val="Hyperlink"/>
                <w:noProof/>
                <w:lang w:val="lv-LV"/>
              </w:rPr>
              <w:t>Fiskālā pozīcija 2021-2023 gadiem</w:t>
            </w:r>
            <w:r w:rsidR="007D0B95">
              <w:rPr>
                <w:noProof/>
                <w:webHidden/>
              </w:rPr>
              <w:tab/>
            </w:r>
            <w:r w:rsidR="007D0B95">
              <w:rPr>
                <w:noProof/>
                <w:webHidden/>
              </w:rPr>
              <w:fldChar w:fldCharType="begin"/>
            </w:r>
            <w:r w:rsidR="007D0B95">
              <w:rPr>
                <w:noProof/>
                <w:webHidden/>
              </w:rPr>
              <w:instrText xml:space="preserve"> PAGEREF _Toc53387626 \h </w:instrText>
            </w:r>
            <w:r w:rsidR="007D0B95">
              <w:rPr>
                <w:noProof/>
                <w:webHidden/>
              </w:rPr>
            </w:r>
            <w:r w:rsidR="007D0B95">
              <w:rPr>
                <w:noProof/>
                <w:webHidden/>
              </w:rPr>
              <w:fldChar w:fldCharType="separate"/>
            </w:r>
            <w:r w:rsidR="007D0B95">
              <w:rPr>
                <w:noProof/>
                <w:webHidden/>
              </w:rPr>
              <w:t>10</w:t>
            </w:r>
            <w:r w:rsidR="007D0B95">
              <w:rPr>
                <w:noProof/>
                <w:webHidden/>
              </w:rPr>
              <w:fldChar w:fldCharType="end"/>
            </w:r>
          </w:hyperlink>
        </w:p>
        <w:p w14:paraId="00EF36EE" w14:textId="5F4D8BE4" w:rsidR="007D0B95" w:rsidRDefault="004037F5">
          <w:pPr>
            <w:pStyle w:val="TOC2"/>
            <w:tabs>
              <w:tab w:val="left" w:pos="880"/>
              <w:tab w:val="right" w:leader="dot" w:pos="8296"/>
            </w:tabs>
            <w:rPr>
              <w:rFonts w:asciiTheme="minorHAnsi" w:eastAsiaTheme="minorEastAsia" w:hAnsiTheme="minorHAnsi" w:cstheme="minorBidi"/>
              <w:noProof/>
              <w:sz w:val="22"/>
              <w:szCs w:val="22"/>
              <w:lang w:val="lv-LV" w:eastAsia="lv-LV"/>
            </w:rPr>
          </w:pPr>
          <w:hyperlink w:anchor="_Toc53387627" w:history="1">
            <w:r w:rsidR="007D0B95" w:rsidRPr="00567446">
              <w:rPr>
                <w:rStyle w:val="Hyperlink"/>
                <w:iCs/>
                <w:noProof/>
                <w:lang w:val="lv-LV"/>
              </w:rPr>
              <w:t>1.3.</w:t>
            </w:r>
            <w:r w:rsidR="007D0B95">
              <w:rPr>
                <w:rFonts w:asciiTheme="minorHAnsi" w:eastAsiaTheme="minorEastAsia" w:hAnsiTheme="minorHAnsi" w:cstheme="minorBidi"/>
                <w:noProof/>
                <w:sz w:val="22"/>
                <w:szCs w:val="22"/>
                <w:lang w:val="lv-LV" w:eastAsia="lv-LV"/>
              </w:rPr>
              <w:tab/>
            </w:r>
            <w:r w:rsidR="007D0B95" w:rsidRPr="00567446">
              <w:rPr>
                <w:rStyle w:val="Hyperlink"/>
                <w:noProof/>
                <w:lang w:val="lv-LV"/>
              </w:rPr>
              <w:t>Pēdējo gadu fiskālā retrospekcija</w:t>
            </w:r>
            <w:r w:rsidR="007D0B95">
              <w:rPr>
                <w:noProof/>
                <w:webHidden/>
              </w:rPr>
              <w:tab/>
            </w:r>
            <w:r w:rsidR="007D0B95">
              <w:rPr>
                <w:noProof/>
                <w:webHidden/>
              </w:rPr>
              <w:fldChar w:fldCharType="begin"/>
            </w:r>
            <w:r w:rsidR="007D0B95">
              <w:rPr>
                <w:noProof/>
                <w:webHidden/>
              </w:rPr>
              <w:instrText xml:space="preserve"> PAGEREF _Toc53387627 \h </w:instrText>
            </w:r>
            <w:r w:rsidR="007D0B95">
              <w:rPr>
                <w:noProof/>
                <w:webHidden/>
              </w:rPr>
            </w:r>
            <w:r w:rsidR="007D0B95">
              <w:rPr>
                <w:noProof/>
                <w:webHidden/>
              </w:rPr>
              <w:fldChar w:fldCharType="separate"/>
            </w:r>
            <w:r w:rsidR="007D0B95">
              <w:rPr>
                <w:noProof/>
                <w:webHidden/>
              </w:rPr>
              <w:t>14</w:t>
            </w:r>
            <w:r w:rsidR="007D0B95">
              <w:rPr>
                <w:noProof/>
                <w:webHidden/>
              </w:rPr>
              <w:fldChar w:fldCharType="end"/>
            </w:r>
          </w:hyperlink>
        </w:p>
        <w:p w14:paraId="741AF81D" w14:textId="443641CE" w:rsidR="007D0B95" w:rsidRDefault="004037F5">
          <w:pPr>
            <w:pStyle w:val="TOC2"/>
            <w:tabs>
              <w:tab w:val="left" w:pos="880"/>
              <w:tab w:val="right" w:leader="dot" w:pos="8296"/>
            </w:tabs>
            <w:rPr>
              <w:rFonts w:asciiTheme="minorHAnsi" w:eastAsiaTheme="minorEastAsia" w:hAnsiTheme="minorHAnsi" w:cstheme="minorBidi"/>
              <w:noProof/>
              <w:sz w:val="22"/>
              <w:szCs w:val="22"/>
              <w:lang w:val="lv-LV" w:eastAsia="lv-LV"/>
            </w:rPr>
          </w:pPr>
          <w:hyperlink w:anchor="_Toc53387628" w:history="1">
            <w:r w:rsidR="007D0B95" w:rsidRPr="00567446">
              <w:rPr>
                <w:rStyle w:val="Hyperlink"/>
                <w:iCs/>
                <w:noProof/>
                <w:lang w:val="lv-LV"/>
              </w:rPr>
              <w:t>1.4.</w:t>
            </w:r>
            <w:r w:rsidR="007D0B95">
              <w:rPr>
                <w:rFonts w:asciiTheme="minorHAnsi" w:eastAsiaTheme="minorEastAsia" w:hAnsiTheme="minorHAnsi" w:cstheme="minorBidi"/>
                <w:noProof/>
                <w:sz w:val="22"/>
                <w:szCs w:val="22"/>
                <w:lang w:val="lv-LV" w:eastAsia="lv-LV"/>
              </w:rPr>
              <w:tab/>
            </w:r>
            <w:r w:rsidR="007D0B95" w:rsidRPr="00567446">
              <w:rPr>
                <w:rStyle w:val="Hyperlink"/>
                <w:noProof/>
                <w:lang w:val="lv-LV"/>
              </w:rPr>
              <w:t>Ekonomikas stabilizācijas pasākumu fiskālā ietekme</w:t>
            </w:r>
            <w:r w:rsidR="007D0B95">
              <w:rPr>
                <w:noProof/>
                <w:webHidden/>
              </w:rPr>
              <w:tab/>
            </w:r>
            <w:r w:rsidR="007D0B95">
              <w:rPr>
                <w:noProof/>
                <w:webHidden/>
              </w:rPr>
              <w:fldChar w:fldCharType="begin"/>
            </w:r>
            <w:r w:rsidR="007D0B95">
              <w:rPr>
                <w:noProof/>
                <w:webHidden/>
              </w:rPr>
              <w:instrText xml:space="preserve"> PAGEREF _Toc53387628 \h </w:instrText>
            </w:r>
            <w:r w:rsidR="007D0B95">
              <w:rPr>
                <w:noProof/>
                <w:webHidden/>
              </w:rPr>
            </w:r>
            <w:r w:rsidR="007D0B95">
              <w:rPr>
                <w:noProof/>
                <w:webHidden/>
              </w:rPr>
              <w:fldChar w:fldCharType="separate"/>
            </w:r>
            <w:r w:rsidR="007D0B95">
              <w:rPr>
                <w:noProof/>
                <w:webHidden/>
              </w:rPr>
              <w:t>16</w:t>
            </w:r>
            <w:r w:rsidR="007D0B95">
              <w:rPr>
                <w:noProof/>
                <w:webHidden/>
              </w:rPr>
              <w:fldChar w:fldCharType="end"/>
            </w:r>
          </w:hyperlink>
        </w:p>
        <w:p w14:paraId="49AD5E75" w14:textId="4F5BE3D2" w:rsidR="007D0B95" w:rsidRDefault="004037F5">
          <w:pPr>
            <w:pStyle w:val="TOC1"/>
            <w:tabs>
              <w:tab w:val="left" w:pos="480"/>
              <w:tab w:val="right" w:leader="dot" w:pos="8296"/>
            </w:tabs>
            <w:rPr>
              <w:rFonts w:asciiTheme="minorHAnsi" w:eastAsiaTheme="minorEastAsia" w:hAnsiTheme="minorHAnsi" w:cstheme="minorBidi"/>
              <w:noProof/>
              <w:sz w:val="22"/>
              <w:szCs w:val="22"/>
              <w:lang w:val="lv-LV" w:eastAsia="lv-LV"/>
            </w:rPr>
          </w:pPr>
          <w:hyperlink w:anchor="_Toc53387629" w:history="1">
            <w:r w:rsidR="007D0B95" w:rsidRPr="00567446">
              <w:rPr>
                <w:rStyle w:val="Hyperlink"/>
                <w:bCs/>
                <w:noProof/>
                <w:lang w:val="lv-LV"/>
              </w:rPr>
              <w:t>2.</w:t>
            </w:r>
            <w:r w:rsidR="007D0B95">
              <w:rPr>
                <w:rFonts w:asciiTheme="minorHAnsi" w:eastAsiaTheme="minorEastAsia" w:hAnsiTheme="minorHAnsi" w:cstheme="minorBidi"/>
                <w:noProof/>
                <w:sz w:val="22"/>
                <w:szCs w:val="22"/>
                <w:lang w:val="lv-LV" w:eastAsia="lv-LV"/>
              </w:rPr>
              <w:tab/>
            </w:r>
            <w:r w:rsidR="007D0B95" w:rsidRPr="00567446">
              <w:rPr>
                <w:rStyle w:val="Hyperlink"/>
                <w:noProof/>
                <w:lang w:val="lv-LV"/>
              </w:rPr>
              <w:t>Fiskālie riski</w:t>
            </w:r>
            <w:r w:rsidR="007D0B95">
              <w:rPr>
                <w:noProof/>
                <w:webHidden/>
              </w:rPr>
              <w:tab/>
            </w:r>
            <w:r w:rsidR="007D0B95">
              <w:rPr>
                <w:noProof/>
                <w:webHidden/>
              </w:rPr>
              <w:fldChar w:fldCharType="begin"/>
            </w:r>
            <w:r w:rsidR="007D0B95">
              <w:rPr>
                <w:noProof/>
                <w:webHidden/>
              </w:rPr>
              <w:instrText xml:space="preserve"> PAGEREF _Toc53387629 \h </w:instrText>
            </w:r>
            <w:r w:rsidR="007D0B95">
              <w:rPr>
                <w:noProof/>
                <w:webHidden/>
              </w:rPr>
            </w:r>
            <w:r w:rsidR="007D0B95">
              <w:rPr>
                <w:noProof/>
                <w:webHidden/>
              </w:rPr>
              <w:fldChar w:fldCharType="separate"/>
            </w:r>
            <w:r w:rsidR="007D0B95">
              <w:rPr>
                <w:noProof/>
                <w:webHidden/>
              </w:rPr>
              <w:t>19</w:t>
            </w:r>
            <w:r w:rsidR="007D0B95">
              <w:rPr>
                <w:noProof/>
                <w:webHidden/>
              </w:rPr>
              <w:fldChar w:fldCharType="end"/>
            </w:r>
          </w:hyperlink>
        </w:p>
        <w:p w14:paraId="1B0D7F81" w14:textId="40654485" w:rsidR="007D0B95" w:rsidRDefault="004037F5">
          <w:pPr>
            <w:pStyle w:val="TOC1"/>
            <w:tabs>
              <w:tab w:val="left" w:pos="480"/>
              <w:tab w:val="right" w:leader="dot" w:pos="8296"/>
            </w:tabs>
            <w:rPr>
              <w:rFonts w:asciiTheme="minorHAnsi" w:eastAsiaTheme="minorEastAsia" w:hAnsiTheme="minorHAnsi" w:cstheme="minorBidi"/>
              <w:noProof/>
              <w:sz w:val="22"/>
              <w:szCs w:val="22"/>
              <w:lang w:val="lv-LV" w:eastAsia="lv-LV"/>
            </w:rPr>
          </w:pPr>
          <w:hyperlink w:anchor="_Toc53387630" w:history="1">
            <w:r w:rsidR="007D0B95" w:rsidRPr="00567446">
              <w:rPr>
                <w:rStyle w:val="Hyperlink"/>
                <w:bCs/>
                <w:noProof/>
                <w:lang w:val="lv-LV"/>
              </w:rPr>
              <w:t>3.</w:t>
            </w:r>
            <w:r w:rsidR="007D0B95">
              <w:rPr>
                <w:rFonts w:asciiTheme="minorHAnsi" w:eastAsiaTheme="minorEastAsia" w:hAnsiTheme="minorHAnsi" w:cstheme="minorBidi"/>
                <w:noProof/>
                <w:sz w:val="22"/>
                <w:szCs w:val="22"/>
                <w:lang w:val="lv-LV" w:eastAsia="lv-LV"/>
              </w:rPr>
              <w:tab/>
            </w:r>
            <w:r w:rsidR="007D0B95" w:rsidRPr="00567446">
              <w:rPr>
                <w:rStyle w:val="Hyperlink"/>
                <w:noProof/>
                <w:lang w:val="lv-LV"/>
              </w:rPr>
              <w:t>Fiskālie skaitliskie nosacījumi</w:t>
            </w:r>
            <w:r w:rsidR="007D0B95">
              <w:rPr>
                <w:noProof/>
                <w:webHidden/>
              </w:rPr>
              <w:tab/>
            </w:r>
            <w:r w:rsidR="007D0B95">
              <w:rPr>
                <w:noProof/>
                <w:webHidden/>
              </w:rPr>
              <w:fldChar w:fldCharType="begin"/>
            </w:r>
            <w:r w:rsidR="007D0B95">
              <w:rPr>
                <w:noProof/>
                <w:webHidden/>
              </w:rPr>
              <w:instrText xml:space="preserve"> PAGEREF _Toc53387630 \h </w:instrText>
            </w:r>
            <w:r w:rsidR="007D0B95">
              <w:rPr>
                <w:noProof/>
                <w:webHidden/>
              </w:rPr>
            </w:r>
            <w:r w:rsidR="007D0B95">
              <w:rPr>
                <w:noProof/>
                <w:webHidden/>
              </w:rPr>
              <w:fldChar w:fldCharType="separate"/>
            </w:r>
            <w:r w:rsidR="007D0B95">
              <w:rPr>
                <w:noProof/>
                <w:webHidden/>
              </w:rPr>
              <w:t>21</w:t>
            </w:r>
            <w:r w:rsidR="007D0B95">
              <w:rPr>
                <w:noProof/>
                <w:webHidden/>
              </w:rPr>
              <w:fldChar w:fldCharType="end"/>
            </w:r>
          </w:hyperlink>
        </w:p>
        <w:p w14:paraId="6FE138E6" w14:textId="65BB4F68" w:rsidR="007D0B95" w:rsidRDefault="004037F5">
          <w:pPr>
            <w:pStyle w:val="TOC2"/>
            <w:tabs>
              <w:tab w:val="right" w:leader="dot" w:pos="8296"/>
            </w:tabs>
            <w:rPr>
              <w:rFonts w:asciiTheme="minorHAnsi" w:eastAsiaTheme="minorEastAsia" w:hAnsiTheme="minorHAnsi" w:cstheme="minorBidi"/>
              <w:noProof/>
              <w:sz w:val="22"/>
              <w:szCs w:val="22"/>
              <w:lang w:val="lv-LV" w:eastAsia="lv-LV"/>
            </w:rPr>
          </w:pPr>
          <w:hyperlink w:anchor="_Toc53387631" w:history="1">
            <w:r w:rsidR="007D0B95" w:rsidRPr="00567446">
              <w:rPr>
                <w:rStyle w:val="Hyperlink"/>
                <w:noProof/>
              </w:rPr>
              <w:t>3.1 Valsts parāda nosacījums</w:t>
            </w:r>
            <w:r w:rsidR="007D0B95">
              <w:rPr>
                <w:noProof/>
                <w:webHidden/>
              </w:rPr>
              <w:tab/>
            </w:r>
            <w:r w:rsidR="007D0B95">
              <w:rPr>
                <w:noProof/>
                <w:webHidden/>
              </w:rPr>
              <w:fldChar w:fldCharType="begin"/>
            </w:r>
            <w:r w:rsidR="007D0B95">
              <w:rPr>
                <w:noProof/>
                <w:webHidden/>
              </w:rPr>
              <w:instrText xml:space="preserve"> PAGEREF _Toc53387631 \h </w:instrText>
            </w:r>
            <w:r w:rsidR="007D0B95">
              <w:rPr>
                <w:noProof/>
                <w:webHidden/>
              </w:rPr>
            </w:r>
            <w:r w:rsidR="007D0B95">
              <w:rPr>
                <w:noProof/>
                <w:webHidden/>
              </w:rPr>
              <w:fldChar w:fldCharType="separate"/>
            </w:r>
            <w:r w:rsidR="007D0B95">
              <w:rPr>
                <w:noProof/>
                <w:webHidden/>
              </w:rPr>
              <w:t>22</w:t>
            </w:r>
            <w:r w:rsidR="007D0B95">
              <w:rPr>
                <w:noProof/>
                <w:webHidden/>
              </w:rPr>
              <w:fldChar w:fldCharType="end"/>
            </w:r>
          </w:hyperlink>
        </w:p>
        <w:p w14:paraId="2E50C2DF" w14:textId="7098B95C" w:rsidR="007D0B95" w:rsidRDefault="004037F5">
          <w:pPr>
            <w:pStyle w:val="TOC1"/>
            <w:tabs>
              <w:tab w:val="left" w:pos="480"/>
              <w:tab w:val="right" w:leader="dot" w:pos="8296"/>
            </w:tabs>
            <w:rPr>
              <w:rFonts w:asciiTheme="minorHAnsi" w:eastAsiaTheme="minorEastAsia" w:hAnsiTheme="minorHAnsi" w:cstheme="minorBidi"/>
              <w:noProof/>
              <w:sz w:val="22"/>
              <w:szCs w:val="22"/>
              <w:lang w:val="lv-LV" w:eastAsia="lv-LV"/>
            </w:rPr>
          </w:pPr>
          <w:hyperlink w:anchor="_Toc53387632" w:history="1">
            <w:r w:rsidR="007D0B95" w:rsidRPr="00567446">
              <w:rPr>
                <w:rStyle w:val="Hyperlink"/>
                <w:bCs/>
                <w:noProof/>
              </w:rPr>
              <w:t>4.</w:t>
            </w:r>
            <w:r w:rsidR="007D0B95">
              <w:rPr>
                <w:rFonts w:asciiTheme="minorHAnsi" w:eastAsiaTheme="minorEastAsia" w:hAnsiTheme="minorHAnsi" w:cstheme="minorBidi"/>
                <w:noProof/>
                <w:sz w:val="22"/>
                <w:szCs w:val="22"/>
                <w:lang w:val="lv-LV" w:eastAsia="lv-LV"/>
              </w:rPr>
              <w:tab/>
            </w:r>
            <w:r w:rsidR="007D0B95" w:rsidRPr="00567446">
              <w:rPr>
                <w:rStyle w:val="Hyperlink"/>
                <w:noProof/>
                <w:lang w:val="lv-LV"/>
              </w:rPr>
              <w:t>Makroekonomiskās vides novērtējums</w:t>
            </w:r>
            <w:r w:rsidR="007D0B95">
              <w:rPr>
                <w:noProof/>
                <w:webHidden/>
              </w:rPr>
              <w:tab/>
            </w:r>
            <w:r w:rsidR="007D0B95">
              <w:rPr>
                <w:noProof/>
                <w:webHidden/>
              </w:rPr>
              <w:fldChar w:fldCharType="begin"/>
            </w:r>
            <w:r w:rsidR="007D0B95">
              <w:rPr>
                <w:noProof/>
                <w:webHidden/>
              </w:rPr>
              <w:instrText xml:space="preserve"> PAGEREF _Toc53387632 \h </w:instrText>
            </w:r>
            <w:r w:rsidR="007D0B95">
              <w:rPr>
                <w:noProof/>
                <w:webHidden/>
              </w:rPr>
            </w:r>
            <w:r w:rsidR="007D0B95">
              <w:rPr>
                <w:noProof/>
                <w:webHidden/>
              </w:rPr>
              <w:fldChar w:fldCharType="separate"/>
            </w:r>
            <w:r w:rsidR="007D0B95">
              <w:rPr>
                <w:noProof/>
                <w:webHidden/>
              </w:rPr>
              <w:t>25</w:t>
            </w:r>
            <w:r w:rsidR="007D0B95">
              <w:rPr>
                <w:noProof/>
                <w:webHidden/>
              </w:rPr>
              <w:fldChar w:fldCharType="end"/>
            </w:r>
          </w:hyperlink>
        </w:p>
        <w:p w14:paraId="6B50AD77" w14:textId="6A578AD7" w:rsidR="007D0B95" w:rsidRDefault="004037F5">
          <w:pPr>
            <w:pStyle w:val="TOC2"/>
            <w:tabs>
              <w:tab w:val="right" w:leader="dot" w:pos="8296"/>
            </w:tabs>
            <w:rPr>
              <w:rFonts w:asciiTheme="minorHAnsi" w:eastAsiaTheme="minorEastAsia" w:hAnsiTheme="minorHAnsi" w:cstheme="minorBidi"/>
              <w:noProof/>
              <w:sz w:val="22"/>
              <w:szCs w:val="22"/>
              <w:lang w:val="lv-LV" w:eastAsia="lv-LV"/>
            </w:rPr>
          </w:pPr>
          <w:hyperlink w:anchor="_Toc53387633" w:history="1">
            <w:r w:rsidR="007D0B95" w:rsidRPr="00567446">
              <w:rPr>
                <w:rStyle w:val="Hyperlink"/>
                <w:noProof/>
              </w:rPr>
              <w:t>4.1 FM prognozēto Makroekonomikas rādītāju izmaiņas pēc CSP nacionālo kontu revīzijas</w:t>
            </w:r>
            <w:r w:rsidR="007D0B95">
              <w:rPr>
                <w:noProof/>
                <w:webHidden/>
              </w:rPr>
              <w:tab/>
            </w:r>
            <w:r w:rsidR="007D0B95">
              <w:rPr>
                <w:noProof/>
                <w:webHidden/>
              </w:rPr>
              <w:fldChar w:fldCharType="begin"/>
            </w:r>
            <w:r w:rsidR="007D0B95">
              <w:rPr>
                <w:noProof/>
                <w:webHidden/>
              </w:rPr>
              <w:instrText xml:space="preserve"> PAGEREF _Toc53387633 \h </w:instrText>
            </w:r>
            <w:r w:rsidR="007D0B95">
              <w:rPr>
                <w:noProof/>
                <w:webHidden/>
              </w:rPr>
            </w:r>
            <w:r w:rsidR="007D0B95">
              <w:rPr>
                <w:noProof/>
                <w:webHidden/>
              </w:rPr>
              <w:fldChar w:fldCharType="separate"/>
            </w:r>
            <w:r w:rsidR="007D0B95">
              <w:rPr>
                <w:noProof/>
                <w:webHidden/>
              </w:rPr>
              <w:t>25</w:t>
            </w:r>
            <w:r w:rsidR="007D0B95">
              <w:rPr>
                <w:noProof/>
                <w:webHidden/>
              </w:rPr>
              <w:fldChar w:fldCharType="end"/>
            </w:r>
          </w:hyperlink>
        </w:p>
        <w:p w14:paraId="111BA0E0" w14:textId="552A31EE" w:rsidR="007D0B95" w:rsidRDefault="004037F5">
          <w:pPr>
            <w:pStyle w:val="TOC2"/>
            <w:tabs>
              <w:tab w:val="right" w:leader="dot" w:pos="8296"/>
            </w:tabs>
            <w:rPr>
              <w:rFonts w:asciiTheme="minorHAnsi" w:eastAsiaTheme="minorEastAsia" w:hAnsiTheme="minorHAnsi" w:cstheme="minorBidi"/>
              <w:noProof/>
              <w:sz w:val="22"/>
              <w:szCs w:val="22"/>
              <w:lang w:val="lv-LV" w:eastAsia="lv-LV"/>
            </w:rPr>
          </w:pPr>
          <w:hyperlink w:anchor="_Toc53387634" w:history="1">
            <w:r w:rsidR="007D0B95" w:rsidRPr="00567446">
              <w:rPr>
                <w:rStyle w:val="Hyperlink"/>
                <w:rFonts w:eastAsia="Calibri"/>
                <w:noProof/>
              </w:rPr>
              <w:t>4.2 Latvijas makroekonomikas vides aktuālais pārskats</w:t>
            </w:r>
            <w:r w:rsidR="007D0B95">
              <w:rPr>
                <w:noProof/>
                <w:webHidden/>
              </w:rPr>
              <w:tab/>
            </w:r>
            <w:r w:rsidR="007D0B95">
              <w:rPr>
                <w:noProof/>
                <w:webHidden/>
              </w:rPr>
              <w:fldChar w:fldCharType="begin"/>
            </w:r>
            <w:r w:rsidR="007D0B95">
              <w:rPr>
                <w:noProof/>
                <w:webHidden/>
              </w:rPr>
              <w:instrText xml:space="preserve"> PAGEREF _Toc53387634 \h </w:instrText>
            </w:r>
            <w:r w:rsidR="007D0B95">
              <w:rPr>
                <w:noProof/>
                <w:webHidden/>
              </w:rPr>
            </w:r>
            <w:r w:rsidR="007D0B95">
              <w:rPr>
                <w:noProof/>
                <w:webHidden/>
              </w:rPr>
              <w:fldChar w:fldCharType="separate"/>
            </w:r>
            <w:r w:rsidR="007D0B95">
              <w:rPr>
                <w:noProof/>
                <w:webHidden/>
              </w:rPr>
              <w:t>26</w:t>
            </w:r>
            <w:r w:rsidR="007D0B95">
              <w:rPr>
                <w:noProof/>
                <w:webHidden/>
              </w:rPr>
              <w:fldChar w:fldCharType="end"/>
            </w:r>
          </w:hyperlink>
        </w:p>
        <w:p w14:paraId="6BF7618D" w14:textId="50A81C76" w:rsidR="007D0B95" w:rsidRDefault="004037F5">
          <w:pPr>
            <w:pStyle w:val="TOC2"/>
            <w:tabs>
              <w:tab w:val="right" w:leader="dot" w:pos="8296"/>
            </w:tabs>
            <w:rPr>
              <w:rFonts w:asciiTheme="minorHAnsi" w:eastAsiaTheme="minorEastAsia" w:hAnsiTheme="minorHAnsi" w:cstheme="minorBidi"/>
              <w:noProof/>
              <w:sz w:val="22"/>
              <w:szCs w:val="22"/>
              <w:lang w:val="lv-LV" w:eastAsia="lv-LV"/>
            </w:rPr>
          </w:pPr>
          <w:hyperlink w:anchor="_Toc53387635" w:history="1">
            <w:r w:rsidR="007D0B95" w:rsidRPr="00567446">
              <w:rPr>
                <w:rStyle w:val="Hyperlink"/>
                <w:rFonts w:eastAsiaTheme="minorHAnsi"/>
                <w:noProof/>
              </w:rPr>
              <w:t>4.3 Latvijas ekonomikas cikli un attīstība starp divām krīzēm</w:t>
            </w:r>
            <w:r w:rsidR="007D0B95">
              <w:rPr>
                <w:noProof/>
                <w:webHidden/>
              </w:rPr>
              <w:tab/>
            </w:r>
            <w:r w:rsidR="007D0B95">
              <w:rPr>
                <w:noProof/>
                <w:webHidden/>
              </w:rPr>
              <w:fldChar w:fldCharType="begin"/>
            </w:r>
            <w:r w:rsidR="007D0B95">
              <w:rPr>
                <w:noProof/>
                <w:webHidden/>
              </w:rPr>
              <w:instrText xml:space="preserve"> PAGEREF _Toc53387635 \h </w:instrText>
            </w:r>
            <w:r w:rsidR="007D0B95">
              <w:rPr>
                <w:noProof/>
                <w:webHidden/>
              </w:rPr>
            </w:r>
            <w:r w:rsidR="007D0B95">
              <w:rPr>
                <w:noProof/>
                <w:webHidden/>
              </w:rPr>
              <w:fldChar w:fldCharType="separate"/>
            </w:r>
            <w:r w:rsidR="007D0B95">
              <w:rPr>
                <w:noProof/>
                <w:webHidden/>
              </w:rPr>
              <w:t>39</w:t>
            </w:r>
            <w:r w:rsidR="007D0B95">
              <w:rPr>
                <w:noProof/>
                <w:webHidden/>
              </w:rPr>
              <w:fldChar w:fldCharType="end"/>
            </w:r>
          </w:hyperlink>
        </w:p>
        <w:p w14:paraId="37471DD0" w14:textId="46CD0FB4" w:rsidR="00CC05DF" w:rsidRPr="0078054E" w:rsidRDefault="00CC05DF">
          <w:pPr>
            <w:rPr>
              <w:lang w:val="lv-LV"/>
            </w:rPr>
          </w:pPr>
          <w:r w:rsidRPr="0078054E">
            <w:rPr>
              <w:rFonts w:asciiTheme="minorHAnsi" w:eastAsiaTheme="minorHAnsi" w:hAnsiTheme="minorHAnsi" w:cstheme="minorHAnsi"/>
              <w:sz w:val="22"/>
              <w:szCs w:val="22"/>
              <w:lang w:val="lv-LV"/>
            </w:rPr>
            <w:fldChar w:fldCharType="end"/>
          </w:r>
        </w:p>
      </w:sdtContent>
    </w:sdt>
    <w:p w14:paraId="69A3CEBA" w14:textId="029B2495" w:rsidR="00CC05DF" w:rsidRPr="0078054E" w:rsidRDefault="00CC05DF">
      <w:pPr>
        <w:rPr>
          <w:lang w:val="lv-LV"/>
        </w:rPr>
      </w:pPr>
    </w:p>
    <w:p w14:paraId="2A249884" w14:textId="46734EF6" w:rsidR="00CC05DF" w:rsidRPr="0078054E" w:rsidRDefault="00CC05DF">
      <w:pPr>
        <w:rPr>
          <w:rFonts w:asciiTheme="majorHAnsi" w:eastAsiaTheme="majorEastAsia" w:hAnsiTheme="majorHAnsi" w:cstheme="majorBidi"/>
          <w:color w:val="2E74B5" w:themeColor="accent1" w:themeShade="BF"/>
          <w:sz w:val="32"/>
          <w:szCs w:val="32"/>
          <w:lang w:val="lv-LV"/>
        </w:rPr>
      </w:pPr>
      <w:r w:rsidRPr="0078054E">
        <w:rPr>
          <w:rFonts w:asciiTheme="majorHAnsi" w:eastAsiaTheme="majorEastAsia" w:hAnsiTheme="majorHAnsi" w:cstheme="majorBidi"/>
          <w:color w:val="2E74B5" w:themeColor="accent1" w:themeShade="BF"/>
          <w:sz w:val="32"/>
          <w:szCs w:val="32"/>
          <w:lang w:val="lv-LV"/>
        </w:rPr>
        <w:br w:type="page"/>
      </w:r>
    </w:p>
    <w:p w14:paraId="54D5F402" w14:textId="018C870C" w:rsidR="004374A4" w:rsidRDefault="004374A4" w:rsidP="00E80820">
      <w:pPr>
        <w:pStyle w:val="Heading1"/>
        <w:rPr>
          <w:caps/>
          <w:lang w:val="lv-LV"/>
        </w:rPr>
      </w:pPr>
      <w:bookmarkStart w:id="0" w:name="_Toc53387621"/>
      <w:bookmarkStart w:id="1" w:name="_Hlk38800023"/>
      <w:r>
        <w:rPr>
          <w:caps/>
          <w:lang w:val="lv-LV"/>
        </w:rPr>
        <w:lastRenderedPageBreak/>
        <w:t>ANOTĀCIJA</w:t>
      </w:r>
      <w:bookmarkEnd w:id="0"/>
    </w:p>
    <w:p w14:paraId="0DD668F2" w14:textId="65DD0824" w:rsidR="004374A4" w:rsidRDefault="004374A4" w:rsidP="004374A4">
      <w:pPr>
        <w:rPr>
          <w:lang w:val="lv-LV"/>
        </w:rPr>
      </w:pPr>
    </w:p>
    <w:p w14:paraId="78664EBC" w14:textId="099BA738" w:rsidR="004374A4" w:rsidRPr="00F2200E" w:rsidRDefault="004374A4" w:rsidP="004374A4">
      <w:pPr>
        <w:spacing w:before="240" w:after="240"/>
        <w:ind w:left="360" w:firstLine="360"/>
        <w:jc w:val="both"/>
        <w:rPr>
          <w:rFonts w:ascii="Calibri" w:hAnsi="Calibri" w:cstheme="minorBidi"/>
          <w:sz w:val="22"/>
          <w:szCs w:val="22"/>
          <w:lang w:val="lv-LV"/>
        </w:rPr>
      </w:pPr>
      <w:r w:rsidRPr="00F2200E">
        <w:rPr>
          <w:rFonts w:ascii="Calibri" w:hAnsi="Calibri" w:cstheme="minorBidi"/>
          <w:sz w:val="22"/>
          <w:szCs w:val="22"/>
          <w:lang w:val="lv-LV"/>
        </w:rPr>
        <w:t xml:space="preserve">Padome kopumā piekrīt valdības </w:t>
      </w:r>
      <w:r w:rsidR="0004026F" w:rsidRPr="00F2200E">
        <w:rPr>
          <w:rFonts w:ascii="Calibri" w:hAnsi="Calibri" w:cstheme="minorBidi"/>
          <w:sz w:val="22"/>
          <w:szCs w:val="22"/>
          <w:lang w:val="lv-LV"/>
        </w:rPr>
        <w:t>koncepcijai</w:t>
      </w:r>
      <w:r w:rsidRPr="00F2200E">
        <w:rPr>
          <w:rFonts w:ascii="Calibri" w:hAnsi="Calibri" w:cstheme="minorBidi"/>
          <w:sz w:val="22"/>
          <w:szCs w:val="22"/>
          <w:lang w:val="lv-LV"/>
        </w:rPr>
        <w:t xml:space="preserve">, sagatavojot valsts budžeta projektu 2021. gadam un VTBI 2021. – 2023. gadam, </w:t>
      </w:r>
      <w:r w:rsidR="0004026F" w:rsidRPr="00F2200E">
        <w:rPr>
          <w:rFonts w:ascii="Calibri" w:hAnsi="Calibri" w:cstheme="minorBidi"/>
          <w:sz w:val="22"/>
          <w:szCs w:val="22"/>
          <w:lang w:val="lv-LV"/>
        </w:rPr>
        <w:t>kas paredz</w:t>
      </w:r>
      <w:r w:rsidR="00EB0955">
        <w:rPr>
          <w:rFonts w:ascii="Calibri" w:hAnsi="Calibri" w:cstheme="minorBidi"/>
          <w:sz w:val="22"/>
          <w:szCs w:val="22"/>
          <w:lang w:val="lv-LV"/>
        </w:rPr>
        <w:t xml:space="preserve"> strauju</w:t>
      </w:r>
      <w:r w:rsidRPr="00F2200E">
        <w:rPr>
          <w:rFonts w:ascii="Calibri" w:hAnsi="Calibri" w:cstheme="minorBidi"/>
          <w:sz w:val="22"/>
          <w:szCs w:val="22"/>
          <w:lang w:val="lv-LV"/>
        </w:rPr>
        <w:t xml:space="preserve"> ekonomiskās aktivitātes palēnināšanos 2020. gadā un </w:t>
      </w:r>
      <w:r w:rsidR="0004026F" w:rsidRPr="00F2200E">
        <w:rPr>
          <w:rFonts w:ascii="Calibri" w:hAnsi="Calibri" w:cstheme="minorBidi"/>
          <w:sz w:val="22"/>
          <w:szCs w:val="22"/>
          <w:lang w:val="lv-LV"/>
        </w:rPr>
        <w:t xml:space="preserve">pakāpenisko </w:t>
      </w:r>
      <w:r w:rsidRPr="00F2200E">
        <w:rPr>
          <w:rFonts w:ascii="Calibri" w:hAnsi="Calibri" w:cstheme="minorBidi"/>
          <w:sz w:val="22"/>
          <w:szCs w:val="22"/>
          <w:lang w:val="lv-LV"/>
        </w:rPr>
        <w:t>atveseļo</w:t>
      </w:r>
      <w:r w:rsidR="0004026F" w:rsidRPr="00F2200E">
        <w:rPr>
          <w:rFonts w:ascii="Calibri" w:hAnsi="Calibri" w:cstheme="minorBidi"/>
          <w:sz w:val="22"/>
          <w:szCs w:val="22"/>
          <w:lang w:val="lv-LV"/>
        </w:rPr>
        <w:t>šanos 2021. gadā. Valdības plāns</w:t>
      </w:r>
      <w:r w:rsidRPr="00F2200E">
        <w:rPr>
          <w:rFonts w:ascii="Calibri" w:hAnsi="Calibri" w:cstheme="minorBidi"/>
          <w:sz w:val="22"/>
          <w:szCs w:val="22"/>
          <w:lang w:val="lv-LV"/>
        </w:rPr>
        <w:t xml:space="preserve"> </w:t>
      </w:r>
      <w:r w:rsidR="0004026F" w:rsidRPr="00F2200E">
        <w:rPr>
          <w:rFonts w:ascii="Calibri" w:hAnsi="Calibri" w:cstheme="minorBidi"/>
          <w:sz w:val="22"/>
          <w:szCs w:val="22"/>
          <w:lang w:val="lv-LV"/>
        </w:rPr>
        <w:t>paredz</w:t>
      </w:r>
      <w:r w:rsidRPr="00F2200E">
        <w:rPr>
          <w:rFonts w:ascii="Calibri" w:hAnsi="Calibri" w:cstheme="minorBidi"/>
          <w:sz w:val="22"/>
          <w:szCs w:val="22"/>
          <w:lang w:val="lv-LV"/>
        </w:rPr>
        <w:t xml:space="preserve">, ka smagās ekonomikas lejupslīdes apstākļi 2020. gadā ietekmēs ekonomiku arī 2021. gadā, neļaujot kompensēt radušos zaudējumus. </w:t>
      </w:r>
      <w:r w:rsidR="0004026F" w:rsidRPr="00F2200E">
        <w:rPr>
          <w:rFonts w:ascii="Calibri" w:hAnsi="Calibri" w:cstheme="minorBidi"/>
          <w:sz w:val="22"/>
          <w:szCs w:val="22"/>
          <w:lang w:val="lv-LV"/>
        </w:rPr>
        <w:t>V</w:t>
      </w:r>
      <w:r w:rsidRPr="00F2200E">
        <w:rPr>
          <w:rFonts w:ascii="Calibri" w:hAnsi="Calibri" w:cstheme="minorBidi"/>
          <w:sz w:val="22"/>
          <w:szCs w:val="22"/>
          <w:lang w:val="lv-LV"/>
        </w:rPr>
        <w:t xml:space="preserve">aldība pieņem, ka 2021. gadā būs spēkā ES fiskālās sistēmas vispārējā izņēmuma klauzula un fiskālo mērķu sasniegšana neattieksies uz 2021. gada budžeta projektu, savukārt labāka budžeta bilance 2023. gadā </w:t>
      </w:r>
      <w:r w:rsidR="0004026F" w:rsidRPr="00F2200E">
        <w:rPr>
          <w:rFonts w:ascii="Calibri" w:hAnsi="Calibri" w:cstheme="minorBidi"/>
          <w:sz w:val="22"/>
          <w:szCs w:val="22"/>
          <w:lang w:val="lv-LV"/>
        </w:rPr>
        <w:t xml:space="preserve">par 0.5% </w:t>
      </w:r>
      <w:r w:rsidRPr="00F2200E">
        <w:rPr>
          <w:rFonts w:ascii="Calibri" w:hAnsi="Calibri" w:cstheme="minorBidi"/>
          <w:sz w:val="22"/>
          <w:szCs w:val="22"/>
          <w:lang w:val="lv-LV"/>
        </w:rPr>
        <w:t>kompensēs plānoto struktu</w:t>
      </w:r>
      <w:r w:rsidR="0004026F" w:rsidRPr="00F2200E">
        <w:rPr>
          <w:rFonts w:ascii="Calibri" w:hAnsi="Calibri" w:cstheme="minorBidi"/>
          <w:sz w:val="22"/>
          <w:szCs w:val="22"/>
          <w:lang w:val="lv-LV"/>
        </w:rPr>
        <w:t xml:space="preserve">rālās bilances pārsniegumu </w:t>
      </w:r>
      <w:r w:rsidRPr="00F2200E">
        <w:rPr>
          <w:rFonts w:ascii="Calibri" w:hAnsi="Calibri" w:cstheme="minorBidi"/>
          <w:sz w:val="22"/>
          <w:szCs w:val="22"/>
          <w:lang w:val="lv-LV"/>
        </w:rPr>
        <w:t xml:space="preserve">2022. gadā. Tomēr valdības fiskālai politikai vajadzētu būt elastīgai atkarībā no apstākļiem. Ja ekonomiskā situācija pasliktinās, varētu būt nepieciešams papildus fiskālais stimuls, ja ekonomiskā situācija attīstās labāk kā plānots, nepieciešams uzlabot budžeta bilanci ar papildus budžeta ieņēmumiem.  </w:t>
      </w:r>
    </w:p>
    <w:p w14:paraId="7B16496E" w14:textId="0D0AC1A4" w:rsidR="004374A4" w:rsidRPr="00F2200E" w:rsidRDefault="004374A4" w:rsidP="004374A4">
      <w:pPr>
        <w:spacing w:before="240"/>
        <w:ind w:left="360" w:firstLine="360"/>
        <w:jc w:val="both"/>
        <w:rPr>
          <w:rFonts w:ascii="Calibri" w:eastAsiaTheme="minorEastAsia" w:hAnsi="Calibri" w:cstheme="minorBidi"/>
          <w:b/>
          <w:bCs/>
          <w:sz w:val="22"/>
          <w:szCs w:val="22"/>
          <w:lang w:val="lv-LV"/>
        </w:rPr>
      </w:pPr>
      <w:r w:rsidRPr="00F2200E">
        <w:rPr>
          <w:rFonts w:ascii="Calibri" w:eastAsiaTheme="minorEastAsia" w:hAnsi="Calibri" w:cstheme="minorBidi"/>
          <w:sz w:val="22"/>
          <w:szCs w:val="22"/>
          <w:lang w:val="lv-LV"/>
        </w:rPr>
        <w:t>Budžeta ietvars paredz sekojošas budžeta bilances pie nemainīgas politikas</w:t>
      </w:r>
      <w:r w:rsidR="0004026F" w:rsidRPr="00F2200E">
        <w:rPr>
          <w:rFonts w:ascii="Calibri" w:eastAsiaTheme="minorEastAsia" w:hAnsi="Calibri" w:cstheme="minorBidi"/>
          <w:sz w:val="22"/>
          <w:szCs w:val="22"/>
          <w:lang w:val="lv-LV"/>
        </w:rPr>
        <w:t>:</w:t>
      </w:r>
      <w:r w:rsidRPr="00F2200E">
        <w:rPr>
          <w:rFonts w:ascii="Calibri" w:eastAsiaTheme="minorEastAsia" w:hAnsi="Calibri" w:cstheme="minorBidi"/>
          <w:sz w:val="22"/>
          <w:szCs w:val="22"/>
          <w:lang w:val="lv-LV"/>
        </w:rPr>
        <w:t xml:space="preserve"> -3.9% 2021. gadā, -2.8% 2022. gadā un -1.7%. 202</w:t>
      </w:r>
      <w:r w:rsidR="00EB0955">
        <w:rPr>
          <w:rFonts w:ascii="Calibri" w:eastAsiaTheme="minorEastAsia" w:hAnsi="Calibri" w:cstheme="minorBidi"/>
          <w:sz w:val="22"/>
          <w:szCs w:val="22"/>
          <w:lang w:val="lv-LV"/>
        </w:rPr>
        <w:t xml:space="preserve">3. gadā. Iepriekš minētie mērķi, </w:t>
      </w:r>
      <w:r w:rsidRPr="00F2200E">
        <w:rPr>
          <w:rFonts w:ascii="Calibri" w:eastAsiaTheme="minorEastAsia" w:hAnsi="Calibri" w:cstheme="minorBidi"/>
          <w:sz w:val="22"/>
          <w:szCs w:val="22"/>
          <w:lang w:val="lv-LV"/>
        </w:rPr>
        <w:t>atbilstoši</w:t>
      </w:r>
      <w:r w:rsidR="00EB0955">
        <w:rPr>
          <w:rFonts w:ascii="Calibri" w:eastAsiaTheme="minorEastAsia" w:hAnsi="Calibri" w:cstheme="minorBidi"/>
          <w:sz w:val="22"/>
          <w:szCs w:val="22"/>
          <w:lang w:val="lv-LV"/>
        </w:rPr>
        <w:t xml:space="preserve"> Finanšu ministrijas aprēķiniem, </w:t>
      </w:r>
      <w:r w:rsidRPr="00F2200E">
        <w:rPr>
          <w:rFonts w:ascii="Calibri" w:eastAsiaTheme="minorEastAsia" w:hAnsi="Calibri" w:cstheme="minorBidi"/>
          <w:sz w:val="22"/>
          <w:szCs w:val="22"/>
          <w:lang w:val="lv-LV"/>
        </w:rPr>
        <w:t>nodrošinātu valdības strukturālo bilanci -2.0% 2021. gadā, -1.0% 2022. gadā un -0.1% 2023. gadā, ņemot vērā starpību starp faktisko un potenciālo ekonomikas iz</w:t>
      </w:r>
      <w:r w:rsidR="0004026F" w:rsidRPr="00F2200E">
        <w:rPr>
          <w:rFonts w:ascii="Calibri" w:eastAsiaTheme="minorEastAsia" w:hAnsi="Calibri" w:cstheme="minorBidi"/>
          <w:sz w:val="22"/>
          <w:szCs w:val="22"/>
          <w:lang w:val="lv-LV"/>
        </w:rPr>
        <w:t>augsmi. Padome atzīmē</w:t>
      </w:r>
      <w:r w:rsidR="0004026F" w:rsidRPr="00E6029B">
        <w:rPr>
          <w:rFonts w:ascii="Calibri" w:eastAsiaTheme="minorEastAsia" w:hAnsi="Calibri" w:cstheme="minorBidi"/>
          <w:sz w:val="22"/>
          <w:szCs w:val="22"/>
          <w:lang w:val="lv-LV"/>
        </w:rPr>
        <w:t xml:space="preserve">, </w:t>
      </w:r>
      <w:r w:rsidR="00E6029B" w:rsidRPr="00E6029B">
        <w:rPr>
          <w:rFonts w:ascii="Calibri" w:eastAsiaTheme="minorEastAsia" w:hAnsi="Calibri" w:cstheme="minorBidi"/>
          <w:sz w:val="22"/>
          <w:szCs w:val="22"/>
          <w:lang w:val="lv-LV"/>
        </w:rPr>
        <w:t>ka, lai gan</w:t>
      </w:r>
      <w:r w:rsidR="002A2618" w:rsidRPr="00E6029B">
        <w:rPr>
          <w:rFonts w:ascii="Calibri" w:eastAsiaTheme="minorEastAsia" w:hAnsi="Calibri" w:cstheme="minorBidi"/>
          <w:sz w:val="22"/>
          <w:szCs w:val="22"/>
          <w:lang w:val="lv-LV"/>
        </w:rPr>
        <w:t xml:space="preserve"> </w:t>
      </w:r>
      <w:r w:rsidR="0004026F" w:rsidRPr="00F2200E">
        <w:rPr>
          <w:rFonts w:ascii="Calibri" w:eastAsiaTheme="minorEastAsia" w:hAnsi="Calibri" w:cstheme="minorBidi"/>
          <w:sz w:val="22"/>
          <w:szCs w:val="22"/>
          <w:lang w:val="lv-LV"/>
        </w:rPr>
        <w:t>2021. gadā</w:t>
      </w:r>
      <w:r w:rsidRPr="00F2200E">
        <w:rPr>
          <w:rFonts w:ascii="Calibri" w:eastAsiaTheme="minorEastAsia" w:hAnsi="Calibri" w:cstheme="minorBidi"/>
          <w:sz w:val="22"/>
          <w:szCs w:val="22"/>
          <w:lang w:val="lv-LV"/>
        </w:rPr>
        <w:t xml:space="preserve"> </w:t>
      </w:r>
      <w:r w:rsidR="0004026F" w:rsidRPr="00F2200E">
        <w:rPr>
          <w:rFonts w:ascii="Calibri" w:eastAsiaTheme="minorEastAsia" w:hAnsi="Calibri" w:cstheme="minorBidi"/>
          <w:sz w:val="22"/>
          <w:szCs w:val="22"/>
          <w:lang w:val="lv-LV"/>
        </w:rPr>
        <w:t xml:space="preserve">valsts fiskālā politika būs </w:t>
      </w:r>
      <w:r w:rsidRPr="00F2200E">
        <w:rPr>
          <w:rFonts w:ascii="Calibri" w:eastAsiaTheme="minorEastAsia" w:hAnsi="Calibri" w:cstheme="minorBidi"/>
          <w:sz w:val="22"/>
          <w:szCs w:val="22"/>
          <w:lang w:val="lv-LV"/>
        </w:rPr>
        <w:t xml:space="preserve">konservatīva, </w:t>
      </w:r>
      <w:r w:rsidR="002A2618" w:rsidRPr="00F2200E">
        <w:rPr>
          <w:rFonts w:ascii="Calibri" w:eastAsiaTheme="minorEastAsia" w:hAnsi="Calibri" w:cstheme="minorBidi"/>
          <w:sz w:val="22"/>
          <w:szCs w:val="22"/>
          <w:lang w:val="lv-LV"/>
        </w:rPr>
        <w:t>tomēr FDL prasības netiks</w:t>
      </w:r>
      <w:r w:rsidRPr="00F2200E">
        <w:rPr>
          <w:rFonts w:ascii="Calibri" w:eastAsiaTheme="minorEastAsia" w:hAnsi="Calibri" w:cstheme="minorBidi"/>
          <w:sz w:val="22"/>
          <w:szCs w:val="22"/>
          <w:lang w:val="lv-LV"/>
        </w:rPr>
        <w:t xml:space="preserve"> pilnībā ievērotas</w:t>
      </w:r>
      <w:r w:rsidR="002A2618" w:rsidRPr="00F2200E">
        <w:rPr>
          <w:rFonts w:ascii="Calibri" w:eastAsiaTheme="minorEastAsia" w:hAnsi="Calibri" w:cstheme="minorBidi"/>
          <w:sz w:val="22"/>
          <w:szCs w:val="22"/>
          <w:lang w:val="lv-LV"/>
        </w:rPr>
        <w:t>,</w:t>
      </w:r>
      <w:r w:rsidRPr="00F2200E">
        <w:rPr>
          <w:rFonts w:ascii="Calibri" w:eastAsiaTheme="minorEastAsia" w:hAnsi="Calibri" w:cstheme="minorBidi"/>
          <w:sz w:val="22"/>
          <w:szCs w:val="22"/>
          <w:lang w:val="lv-LV"/>
        </w:rPr>
        <w:t xml:space="preserve"> nosakot valsts budžeta maksimālo i</w:t>
      </w:r>
      <w:r w:rsidR="002A2618" w:rsidRPr="00F2200E">
        <w:rPr>
          <w:rFonts w:ascii="Calibri" w:eastAsiaTheme="minorEastAsia" w:hAnsi="Calibri" w:cstheme="minorBidi"/>
          <w:sz w:val="22"/>
          <w:szCs w:val="22"/>
          <w:lang w:val="lv-LV"/>
        </w:rPr>
        <w:t>zdevumu apmēru 2022. gadā. Vienlaicīgi</w:t>
      </w:r>
      <w:r w:rsidRPr="00F2200E">
        <w:rPr>
          <w:rFonts w:ascii="Calibri" w:eastAsiaTheme="minorEastAsia" w:hAnsi="Calibri" w:cstheme="minorBidi"/>
          <w:sz w:val="22"/>
          <w:szCs w:val="22"/>
          <w:lang w:val="lv-LV"/>
        </w:rPr>
        <w:t xml:space="preserve"> </w:t>
      </w:r>
      <w:r w:rsidR="002A2618" w:rsidRPr="00F2200E">
        <w:rPr>
          <w:rFonts w:ascii="Calibri" w:eastAsiaTheme="minorEastAsia" w:hAnsi="Calibri" w:cstheme="minorBidi"/>
          <w:sz w:val="22"/>
          <w:szCs w:val="22"/>
          <w:lang w:val="lv-LV"/>
        </w:rPr>
        <w:t xml:space="preserve">Padome </w:t>
      </w:r>
      <w:r w:rsidRPr="00F2200E">
        <w:rPr>
          <w:rFonts w:ascii="Calibri" w:eastAsiaTheme="minorEastAsia" w:hAnsi="Calibri" w:cstheme="minorBidi"/>
          <w:sz w:val="22"/>
          <w:szCs w:val="22"/>
          <w:lang w:val="lv-LV"/>
        </w:rPr>
        <w:t xml:space="preserve">atdzīst, ka nospraustie bilances mērķi ir samērīgi ar ekonomisko lejupslīdi un ievēro pretcikliskās politikas principu kopumā 2022. un 2023. gados. Ņemot vērā lielo nenoteiktību ekonomikas attīstībā un nepieciešamību pārvarēt ekonomikas lejupslīdes sekas, </w:t>
      </w:r>
      <w:r w:rsidRPr="00F2200E">
        <w:rPr>
          <w:rFonts w:ascii="Calibri" w:eastAsiaTheme="minorEastAsia" w:hAnsi="Calibri" w:cstheme="minorBidi"/>
          <w:bCs/>
          <w:sz w:val="22"/>
          <w:szCs w:val="22"/>
          <w:lang w:val="lv-LV"/>
        </w:rPr>
        <w:t>Padome precizēs savu viedokli par 2022.gada budžeta izdevumu griestiem 2021.gada Uzraudzības ziņojumā.</w:t>
      </w:r>
    </w:p>
    <w:p w14:paraId="4775312B" w14:textId="6E835302" w:rsidR="004374A4" w:rsidRPr="00F2200E" w:rsidRDefault="004374A4" w:rsidP="004374A4">
      <w:pPr>
        <w:spacing w:before="240"/>
        <w:ind w:left="360" w:firstLine="360"/>
        <w:jc w:val="both"/>
        <w:rPr>
          <w:rFonts w:ascii="Calibri" w:hAnsi="Calibri" w:cstheme="minorHAnsi"/>
          <w:sz w:val="22"/>
          <w:szCs w:val="22"/>
          <w:lang w:val="lv-LV"/>
        </w:rPr>
      </w:pPr>
      <w:r w:rsidRPr="00E6029B">
        <w:rPr>
          <w:rFonts w:ascii="Calibri" w:eastAsiaTheme="minorEastAsia" w:hAnsi="Calibri" w:cstheme="minorBidi"/>
          <w:b/>
          <w:bCs/>
          <w:sz w:val="22"/>
          <w:szCs w:val="22"/>
          <w:lang w:val="lv-LV"/>
        </w:rPr>
        <w:t xml:space="preserve"> </w:t>
      </w:r>
      <w:r w:rsidR="00E6029B" w:rsidRPr="00E6029B">
        <w:rPr>
          <w:rFonts w:ascii="Calibri" w:hAnsi="Calibri" w:cstheme="minorHAnsi"/>
          <w:sz w:val="22"/>
          <w:szCs w:val="22"/>
          <w:lang w:val="lv-LV"/>
        </w:rPr>
        <w:t>Pašreizējais</w:t>
      </w:r>
      <w:r w:rsidRPr="00F2200E">
        <w:rPr>
          <w:rFonts w:ascii="Calibri" w:hAnsi="Calibri" w:cstheme="minorHAnsi"/>
          <w:sz w:val="22"/>
          <w:szCs w:val="22"/>
          <w:lang w:val="lv-LV"/>
        </w:rPr>
        <w:t xml:space="preserve"> </w:t>
      </w:r>
      <w:r w:rsidR="002A2618" w:rsidRPr="00F2200E">
        <w:rPr>
          <w:rFonts w:ascii="Calibri" w:hAnsi="Calibri" w:cstheme="minorHAnsi"/>
          <w:sz w:val="22"/>
          <w:szCs w:val="22"/>
          <w:lang w:val="lv-LV"/>
        </w:rPr>
        <w:t>valdības plāns</w:t>
      </w:r>
      <w:r w:rsidRPr="00F2200E">
        <w:rPr>
          <w:rFonts w:ascii="Calibri" w:hAnsi="Calibri" w:cstheme="minorHAnsi"/>
          <w:sz w:val="22"/>
          <w:szCs w:val="22"/>
          <w:lang w:val="lv-LV"/>
        </w:rPr>
        <w:t xml:space="preserve"> nepieļauj fiskālo telpu jaunām </w:t>
      </w:r>
      <w:r w:rsidR="002A2618" w:rsidRPr="00F2200E">
        <w:rPr>
          <w:rFonts w:ascii="Calibri" w:hAnsi="Calibri" w:cstheme="minorHAnsi"/>
          <w:sz w:val="22"/>
          <w:szCs w:val="22"/>
          <w:lang w:val="lv-LV"/>
        </w:rPr>
        <w:t xml:space="preserve">politikas iniciatīvām. 2022.g. un 2023.g. </w:t>
      </w:r>
      <w:r w:rsidRPr="00F2200E">
        <w:rPr>
          <w:rFonts w:ascii="Calibri" w:hAnsi="Calibri" w:cstheme="minorHAnsi"/>
          <w:sz w:val="22"/>
          <w:szCs w:val="22"/>
          <w:lang w:val="lv-LV"/>
        </w:rPr>
        <w:t>jebkuras valdības prioritātes un izdevumu iniciatīvas būtu jāsedz ar ietaupījumiem</w:t>
      </w:r>
      <w:r w:rsidR="002A2618" w:rsidRPr="00F2200E">
        <w:rPr>
          <w:rFonts w:ascii="Calibri" w:hAnsi="Calibri" w:cstheme="minorHAnsi"/>
          <w:sz w:val="22"/>
          <w:szCs w:val="22"/>
          <w:lang w:val="lv-LV"/>
        </w:rPr>
        <w:t>,</w:t>
      </w:r>
      <w:r w:rsidRPr="00F2200E">
        <w:rPr>
          <w:rFonts w:ascii="Calibri" w:hAnsi="Calibri" w:cstheme="minorHAnsi"/>
          <w:sz w:val="22"/>
          <w:szCs w:val="22"/>
          <w:lang w:val="lv-LV"/>
        </w:rPr>
        <w:t xml:space="preserve"> samazinot citus izdevumus</w:t>
      </w:r>
      <w:r w:rsidR="002A2618" w:rsidRPr="00F2200E">
        <w:rPr>
          <w:rFonts w:ascii="Calibri" w:hAnsi="Calibri" w:cstheme="minorHAnsi"/>
          <w:sz w:val="22"/>
          <w:szCs w:val="22"/>
          <w:lang w:val="lv-LV"/>
        </w:rPr>
        <w:t>,</w:t>
      </w:r>
      <w:r w:rsidRPr="00F2200E">
        <w:rPr>
          <w:rFonts w:ascii="Calibri" w:hAnsi="Calibri" w:cstheme="minorHAnsi"/>
          <w:sz w:val="22"/>
          <w:szCs w:val="22"/>
          <w:lang w:val="lv-LV"/>
        </w:rPr>
        <w:t xml:space="preserve"> vai ar efektīviem ieņēmumu palielināšanas pasākumiem. Padome sagaida valdības īpašo apņemšanos, tostarp politikas pasākumus, lai ierobežotu izdevumu pieaugumu 2022. – 2023. gadā, pārsniedzot VTBI noteiktos maksimālos apjomus.</w:t>
      </w:r>
    </w:p>
    <w:p w14:paraId="0866CB3C" w14:textId="318FE4BB" w:rsidR="004374A4" w:rsidRPr="00F2200E" w:rsidRDefault="002A2618" w:rsidP="004374A4">
      <w:pPr>
        <w:spacing w:before="240" w:after="240"/>
        <w:ind w:left="360" w:firstLine="360"/>
        <w:jc w:val="both"/>
        <w:rPr>
          <w:rFonts w:ascii="Calibri" w:hAnsi="Calibri" w:cstheme="minorBidi"/>
          <w:sz w:val="22"/>
          <w:szCs w:val="22"/>
          <w:lang w:val="lv-LV"/>
        </w:rPr>
      </w:pPr>
      <w:r w:rsidRPr="00F2200E">
        <w:rPr>
          <w:rFonts w:ascii="Calibri" w:eastAsiaTheme="minorEastAsia" w:hAnsi="Calibri" w:cstheme="minorBidi"/>
          <w:sz w:val="22"/>
          <w:szCs w:val="22"/>
          <w:lang w:val="lv-LV"/>
        </w:rPr>
        <w:t xml:space="preserve">Padome atzīnīgi vērtē, ka </w:t>
      </w:r>
      <w:r w:rsidR="004374A4" w:rsidRPr="00F2200E">
        <w:rPr>
          <w:rFonts w:ascii="Calibri" w:eastAsiaTheme="minorEastAsia" w:hAnsi="Calibri" w:cstheme="minorBidi"/>
          <w:sz w:val="22"/>
          <w:szCs w:val="22"/>
          <w:lang w:val="lv-LV"/>
        </w:rPr>
        <w:t>2021. gada budžeta prioritātes ir sociāli orientētas, ar potenciālu fiskāli stimulēt kopējo iekšējo pieprasījumu, uzlabot veselības aprūpes sistēmas kapacitāti un mazināt sociālo nevienlīdzību, vienlaicīgi neapdraudot valsts fiskālo ilgtspēju.</w:t>
      </w:r>
    </w:p>
    <w:p w14:paraId="6B8E40C4" w14:textId="2F7B594D" w:rsidR="004374A4" w:rsidRPr="00F2200E" w:rsidRDefault="006C7CD3" w:rsidP="006C7CD3">
      <w:pPr>
        <w:spacing w:before="240"/>
        <w:ind w:left="360" w:firstLine="360"/>
        <w:jc w:val="both"/>
        <w:rPr>
          <w:rFonts w:ascii="Calibri" w:eastAsiaTheme="minorEastAsia" w:hAnsi="Calibri" w:cstheme="minorBidi"/>
          <w:sz w:val="22"/>
          <w:szCs w:val="22"/>
          <w:lang w:val="lv-LV"/>
        </w:rPr>
      </w:pPr>
      <w:r w:rsidRPr="00F2200E">
        <w:rPr>
          <w:rFonts w:ascii="Calibri" w:eastAsiaTheme="minorEastAsia" w:hAnsi="Calibri" w:cstheme="minorBidi"/>
          <w:sz w:val="22"/>
          <w:szCs w:val="22"/>
          <w:lang w:val="lv-LV"/>
        </w:rPr>
        <w:t>Padome ar gandarījumu atzīmē, ka Starptautiskā kredītreitingu aģentūra “S&amp;P Global Ratings” saglabāja Latvijas kredītreitinga "A+" līmenī ar stabilu nākotnes novērtējumu, bet oktobra sākumā arī starptautiskā aģentūra “Fitch” ir saglabājusi Latvijas kredītreitingu "</w:t>
      </w:r>
      <w:r w:rsidRPr="00E6029B">
        <w:rPr>
          <w:rFonts w:ascii="Calibri" w:eastAsiaTheme="minorEastAsia" w:hAnsi="Calibri" w:cstheme="minorBidi"/>
          <w:sz w:val="22"/>
          <w:szCs w:val="22"/>
          <w:lang w:val="lv-LV"/>
        </w:rPr>
        <w:t xml:space="preserve">A-" </w:t>
      </w:r>
      <w:r w:rsidRPr="00F2200E">
        <w:rPr>
          <w:rFonts w:ascii="Calibri" w:eastAsiaTheme="minorEastAsia" w:hAnsi="Calibri" w:cstheme="minorBidi"/>
          <w:sz w:val="22"/>
          <w:szCs w:val="22"/>
          <w:lang w:val="lv-LV"/>
        </w:rPr>
        <w:t>līmenī, paaugstinot nākotnes vērtējumu no negatīva uz stabilu.  Tas ir augsts valdības fiskālās politikas novērtējums sarežģītos krīzes apstākļos.</w:t>
      </w:r>
    </w:p>
    <w:p w14:paraId="0065E613" w14:textId="210C02AA" w:rsidR="004374A4" w:rsidRPr="006C7CD3" w:rsidRDefault="004374A4" w:rsidP="006C7CD3">
      <w:pPr>
        <w:spacing w:before="240"/>
        <w:ind w:left="360" w:firstLine="360"/>
        <w:jc w:val="both"/>
        <w:rPr>
          <w:rFonts w:ascii="Calibri" w:eastAsiaTheme="minorEastAsia" w:hAnsi="Calibri" w:cstheme="minorBidi"/>
          <w:sz w:val="22"/>
          <w:szCs w:val="22"/>
          <w:lang w:val="lv-LV"/>
        </w:rPr>
      </w:pPr>
    </w:p>
    <w:p w14:paraId="64CEF76B" w14:textId="72F69E88" w:rsidR="004374A4" w:rsidRPr="006C7CD3" w:rsidRDefault="004374A4" w:rsidP="006C7CD3">
      <w:pPr>
        <w:spacing w:before="240"/>
        <w:ind w:left="360" w:firstLine="360"/>
        <w:jc w:val="both"/>
        <w:rPr>
          <w:rFonts w:ascii="Calibri" w:eastAsiaTheme="minorEastAsia" w:hAnsi="Calibri" w:cstheme="minorBidi"/>
          <w:sz w:val="22"/>
          <w:szCs w:val="22"/>
          <w:lang w:val="lv-LV"/>
        </w:rPr>
      </w:pPr>
    </w:p>
    <w:p w14:paraId="5D29388F" w14:textId="2AA3A11F" w:rsidR="004374A4" w:rsidRPr="006C7CD3" w:rsidRDefault="004374A4" w:rsidP="00EB0955">
      <w:pPr>
        <w:spacing w:before="240"/>
        <w:jc w:val="both"/>
        <w:rPr>
          <w:rFonts w:ascii="Calibri" w:eastAsiaTheme="minorEastAsia" w:hAnsi="Calibri" w:cstheme="minorBidi"/>
          <w:sz w:val="22"/>
          <w:szCs w:val="22"/>
          <w:lang w:val="lv-LV"/>
        </w:rPr>
      </w:pPr>
    </w:p>
    <w:p w14:paraId="236F8F54" w14:textId="2EFECF5D" w:rsidR="008C019F" w:rsidRPr="0078054E" w:rsidRDefault="008C019F" w:rsidP="00E80820">
      <w:pPr>
        <w:pStyle w:val="Heading1"/>
        <w:rPr>
          <w:caps/>
          <w:lang w:val="lv-LV"/>
        </w:rPr>
      </w:pPr>
      <w:bookmarkStart w:id="2" w:name="_Toc53387622"/>
      <w:r w:rsidRPr="0078054E">
        <w:rPr>
          <w:caps/>
          <w:lang w:val="lv-LV"/>
        </w:rPr>
        <w:lastRenderedPageBreak/>
        <w:t>Kopsavilkums</w:t>
      </w:r>
      <w:bookmarkEnd w:id="2"/>
    </w:p>
    <w:p w14:paraId="4FD75007" w14:textId="77777777" w:rsidR="00E27CC4" w:rsidRPr="0078054E" w:rsidRDefault="00E27CC4" w:rsidP="00E27CC4">
      <w:pPr>
        <w:rPr>
          <w:lang w:val="lv-LV"/>
        </w:rPr>
      </w:pPr>
    </w:p>
    <w:p w14:paraId="6E25B01E" w14:textId="77777777" w:rsidR="00FB6E46" w:rsidRPr="00AC2DB9" w:rsidRDefault="00FB6E46" w:rsidP="00FB6E46">
      <w:pPr>
        <w:ind w:left="360"/>
        <w:jc w:val="both"/>
        <w:rPr>
          <w:rFonts w:ascii="Calibri" w:eastAsiaTheme="minorEastAsia" w:hAnsi="Calibri" w:cstheme="minorHAnsi"/>
          <w:sz w:val="22"/>
          <w:szCs w:val="22"/>
          <w:lang w:val="lv-LV"/>
        </w:rPr>
      </w:pPr>
      <w:r w:rsidRPr="00AC2DB9">
        <w:rPr>
          <w:rFonts w:ascii="Calibri" w:eastAsiaTheme="minorEastAsia" w:hAnsi="Calibri" w:cstheme="minorHAnsi"/>
          <w:sz w:val="22"/>
          <w:szCs w:val="22"/>
          <w:lang w:val="lv-LV"/>
        </w:rPr>
        <w:t>Covid-19 vīruss izraisīja vispārēju ekonomikas krīzi, kā rezultātā tika aktivizēta ES Stabilitātes un izaugsmes pakta vispārējā izņēmuma klauzula, kas ļauj palielināt vispārējās valdības budžeta deficītu 2020. gadā. Līdz ar to tika aktivizēts arī FDL 12. panta noteiktais atkāpes nosacījums, kas atļauj neievērot 0.5% strukturālo deficīta mērķi 2020. gadā. Vēlāk pieņemtais “Covid-19 infekcijas izplatības seku pārvarēšanas likums” noteica, ka FDL fiskālie nosacījumi daļēji nav spēkā arī 2021.gadā.</w:t>
      </w:r>
    </w:p>
    <w:p w14:paraId="36E25FE4" w14:textId="4C032395" w:rsidR="00FB6E46" w:rsidRPr="00AC2DB9" w:rsidRDefault="00FB6E46" w:rsidP="00465792">
      <w:pPr>
        <w:spacing w:before="240"/>
        <w:ind w:left="360"/>
        <w:jc w:val="both"/>
        <w:rPr>
          <w:rFonts w:ascii="Calibri" w:hAnsi="Calibri" w:cstheme="minorHAnsi"/>
          <w:sz w:val="22"/>
          <w:szCs w:val="22"/>
          <w:lang w:val="lv-LV"/>
        </w:rPr>
      </w:pPr>
      <w:r w:rsidRPr="00AC2DB9">
        <w:rPr>
          <w:rFonts w:ascii="Calibri" w:hAnsi="Calibri" w:cstheme="minorHAnsi"/>
          <w:sz w:val="22"/>
          <w:szCs w:val="22"/>
          <w:lang w:val="lv-LV"/>
        </w:rPr>
        <w:t>Valsts budžeta projekts 2021. gadam un VTBI 2021. – 2023. gadam ir sagatavots apstākļos, kad 2020. gadā ir notikusi nopietna ekonomikas lejupslīde, ko izraisīja Covid-19 pa</w:t>
      </w:r>
      <w:r w:rsidR="00765BFE" w:rsidRPr="00AC2DB9">
        <w:rPr>
          <w:rFonts w:ascii="Calibri" w:hAnsi="Calibri" w:cstheme="minorHAnsi"/>
          <w:sz w:val="22"/>
          <w:szCs w:val="22"/>
          <w:lang w:val="lv-LV"/>
        </w:rPr>
        <w:t>ndēmija</w:t>
      </w:r>
      <w:r w:rsidRPr="00AC2DB9">
        <w:rPr>
          <w:rFonts w:ascii="Calibri" w:hAnsi="Calibri" w:cstheme="minorHAnsi"/>
          <w:sz w:val="22"/>
          <w:szCs w:val="22"/>
          <w:lang w:val="lv-LV"/>
        </w:rPr>
        <w:t xml:space="preserve">, kā reakcija uz uzņēmējdarbības ierobežojumiem un izmaiņām cilvēku ekonomiskā rīcībā. </w:t>
      </w:r>
    </w:p>
    <w:p w14:paraId="2585845F" w14:textId="77777777" w:rsidR="00FB6E46" w:rsidRPr="00AC2DB9" w:rsidRDefault="00FB6E46" w:rsidP="00465792">
      <w:pPr>
        <w:spacing w:before="240"/>
        <w:ind w:left="360"/>
        <w:jc w:val="both"/>
        <w:rPr>
          <w:rFonts w:ascii="Calibri" w:hAnsi="Calibri" w:cstheme="minorHAnsi"/>
          <w:sz w:val="22"/>
          <w:szCs w:val="22"/>
          <w:lang w:val="lv-LV"/>
        </w:rPr>
      </w:pPr>
      <w:r w:rsidRPr="00AC2DB9">
        <w:rPr>
          <w:rFonts w:ascii="Calibri" w:hAnsi="Calibri" w:cstheme="minorHAnsi"/>
          <w:sz w:val="22"/>
          <w:szCs w:val="22"/>
          <w:lang w:val="lv-LV"/>
        </w:rPr>
        <w:t xml:space="preserve">Valdība 2020. gadā ir darbojusies nopietnas ekonomiskās lejupslīdes apstākļos, kas izraisa novirzi no bilances noteikuma saskaņā ar FDL 12. panta 1. punkta 3) apakšpunktu. Padome piekrīt, ka nosacījumi ekonomikas lejupslīdes apstākļu konstatēšanai ir izpildīti, jo ekonomiskā aktivitāte divus ceturkšņus pēc kārtas (2020. gada 1. un 2. ceturksnis) samazinājās (pamatojoties uz sezonāli izlīdzinātiem CSP datiem) un lejupslīdi izraisījušo </w:t>
      </w:r>
      <w:r w:rsidRPr="00687017">
        <w:rPr>
          <w:rFonts w:ascii="Calibri" w:hAnsi="Calibri" w:cstheme="minorHAnsi"/>
          <w:color w:val="C00000"/>
          <w:sz w:val="22"/>
          <w:szCs w:val="22"/>
          <w:lang w:val="lv-LV"/>
        </w:rPr>
        <w:t>šo</w:t>
      </w:r>
      <w:r w:rsidRPr="00AC2DB9">
        <w:rPr>
          <w:rFonts w:ascii="Calibri" w:hAnsi="Calibri" w:cstheme="minorHAnsi"/>
          <w:sz w:val="22"/>
          <w:szCs w:val="22"/>
          <w:lang w:val="lv-LV"/>
        </w:rPr>
        <w:t xml:space="preserve"> notikumu attīstība ir globāla un valdību iespējas to kontrolēt ir ierobežotas.</w:t>
      </w:r>
    </w:p>
    <w:p w14:paraId="0E34027D" w14:textId="41A63CD3" w:rsidR="00FB6E46" w:rsidRPr="00AC2DB9" w:rsidRDefault="00FB6E46" w:rsidP="00465792">
      <w:pPr>
        <w:spacing w:before="240"/>
        <w:ind w:left="360"/>
        <w:jc w:val="both"/>
        <w:rPr>
          <w:rFonts w:ascii="Calibri" w:hAnsi="Calibri" w:cstheme="minorHAnsi"/>
          <w:sz w:val="22"/>
          <w:szCs w:val="22"/>
          <w:lang w:val="lv-LV"/>
        </w:rPr>
      </w:pPr>
      <w:r w:rsidRPr="00AC2DB9">
        <w:rPr>
          <w:rFonts w:ascii="Calibri" w:hAnsi="Calibri" w:cstheme="minorHAnsi"/>
          <w:sz w:val="22"/>
          <w:szCs w:val="22"/>
          <w:lang w:val="lv-LV"/>
        </w:rPr>
        <w:t>Eiropas Komisija nav noteikusi vispārējās izņēmuma klauzulas darbības noslēguma termiņu, tomēr tās darbības laiks atkarīgs</w:t>
      </w:r>
      <w:r w:rsidR="00D831FB">
        <w:rPr>
          <w:rFonts w:ascii="Calibri" w:hAnsi="Calibri" w:cstheme="minorHAnsi"/>
          <w:sz w:val="22"/>
          <w:szCs w:val="22"/>
          <w:lang w:val="lv-LV"/>
        </w:rPr>
        <w:t xml:space="preserve"> no</w:t>
      </w:r>
      <w:r w:rsidRPr="00AC2DB9">
        <w:rPr>
          <w:rFonts w:ascii="Calibri" w:hAnsi="Calibri" w:cstheme="minorHAnsi"/>
          <w:sz w:val="22"/>
          <w:szCs w:val="22"/>
          <w:lang w:val="lv-LV"/>
        </w:rPr>
        <w:t xml:space="preserve"> nopietnas ekonomikas lejupslīdes apstākļu esamības ES kopumā vai atsevišķās ES dalībvalstīs. Jāņem vērā, ka jau 2021. gadā Latvijā ir prognozēta straujāka vai lēnāka ekonomikas izaugsmes atgriešanās, tomēr izaugsme būs zemāka par ekonomikas potenciālu.</w:t>
      </w:r>
    </w:p>
    <w:p w14:paraId="61DAD793" w14:textId="77777777" w:rsidR="00F2200E" w:rsidRDefault="00F2200E" w:rsidP="00465792">
      <w:pPr>
        <w:spacing w:after="240"/>
        <w:ind w:left="360"/>
        <w:jc w:val="both"/>
        <w:rPr>
          <w:rFonts w:ascii="Calibri" w:hAnsi="Calibri" w:cstheme="minorHAnsi"/>
          <w:sz w:val="22"/>
          <w:szCs w:val="22"/>
          <w:lang w:val="lv-LV"/>
        </w:rPr>
      </w:pPr>
    </w:p>
    <w:p w14:paraId="76927BB4" w14:textId="72DA21CA" w:rsidR="00F2200E" w:rsidRPr="00F2200E" w:rsidRDefault="00F2200E" w:rsidP="00F2200E">
      <w:pPr>
        <w:spacing w:before="240" w:after="240"/>
        <w:ind w:left="360"/>
        <w:jc w:val="both"/>
        <w:rPr>
          <w:rFonts w:ascii="Calibri" w:hAnsi="Calibri" w:cstheme="minorBidi"/>
          <w:sz w:val="22"/>
          <w:szCs w:val="22"/>
          <w:lang w:val="lv-LV"/>
        </w:rPr>
      </w:pPr>
      <w:r w:rsidRPr="00F2200E">
        <w:rPr>
          <w:rFonts w:ascii="Calibri" w:hAnsi="Calibri" w:cstheme="minorBidi"/>
          <w:sz w:val="22"/>
          <w:szCs w:val="22"/>
          <w:lang w:val="lv-LV"/>
        </w:rPr>
        <w:t>Padome kopumā piekrīt valdības koncepcijai, sagatavojot valsts budžeta projektu 2021. gadam un VTBI 2021. –</w:t>
      </w:r>
      <w:r w:rsidR="00687017">
        <w:rPr>
          <w:rFonts w:ascii="Calibri" w:hAnsi="Calibri" w:cstheme="minorBidi"/>
          <w:sz w:val="22"/>
          <w:szCs w:val="22"/>
          <w:lang w:val="lv-LV"/>
        </w:rPr>
        <w:t xml:space="preserve"> 2023. gadam, kas paredz strauju</w:t>
      </w:r>
      <w:r w:rsidRPr="00F2200E">
        <w:rPr>
          <w:rFonts w:ascii="Calibri" w:hAnsi="Calibri" w:cstheme="minorBidi"/>
          <w:sz w:val="22"/>
          <w:szCs w:val="22"/>
          <w:lang w:val="lv-LV"/>
        </w:rPr>
        <w:t xml:space="preserve"> ekonomiskās aktivitātes palēnināšanos 2020. gadā un pakāpenisko atveseļošanos 2021. gadā. Valdības plāns paredz, ka smagās ekonomikas lejupslīdes apstākļi 2020. gadā ietekmēs ekonomiku arī 2021. gadā, neļaujot kompensēt radušos zaudējumus. Valdība pieņem, ka 2021. gadā būs spēkā ES fiskālās sistēmas vispārējā izņēmuma klauzula un fiskālo mērķu sasniegšana neattieksies uz 2021. gada budžeta projektu, savukārt labāka budžeta bilance 2023. gadā par 0.5% kompensēs plānoto strukturālās bilances pārsniegumu 2022. gadā. Tomēr valdības fiskālai politikai vajadzētu būt elastīgai atkarībā no apstākļiem. Ja ekonomiskā situācija pasliktinās, varētu būt nepieciešams papildus fiskālais stimuls, ja ekonomiskā situācija attīstās labāk kā plānots, nepieciešams uzlabot budžeta bilanci ar papildus budžeta ieņēmumiem.  </w:t>
      </w:r>
    </w:p>
    <w:p w14:paraId="05BFD54C" w14:textId="000CE053" w:rsidR="00F2200E" w:rsidRPr="00687017" w:rsidRDefault="00FB6E46" w:rsidP="00E80565">
      <w:pPr>
        <w:spacing w:before="240"/>
        <w:ind w:left="360"/>
        <w:jc w:val="both"/>
        <w:rPr>
          <w:rFonts w:ascii="Calibri" w:eastAsiaTheme="minorEastAsia" w:hAnsi="Calibri" w:cstheme="minorBidi"/>
          <w:b/>
          <w:bCs/>
          <w:sz w:val="22"/>
          <w:szCs w:val="22"/>
          <w:lang w:val="lv-LV"/>
        </w:rPr>
      </w:pPr>
      <w:r w:rsidRPr="00AC2DB9">
        <w:rPr>
          <w:rFonts w:ascii="Calibri" w:hAnsi="Calibri" w:cstheme="minorHAnsi"/>
          <w:sz w:val="22"/>
          <w:szCs w:val="22"/>
          <w:lang w:val="lv-LV"/>
        </w:rPr>
        <w:t xml:space="preserve">Padome atgādina par minimālās plānojamās vispārējās valdības budžeta strukturālās bilances koriģēšanas mehānismu (FDL 11. </w:t>
      </w:r>
      <w:r w:rsidR="00D831FB">
        <w:rPr>
          <w:rFonts w:ascii="Calibri" w:hAnsi="Calibri" w:cstheme="minorHAnsi"/>
          <w:sz w:val="22"/>
          <w:szCs w:val="22"/>
          <w:lang w:val="lv-LV"/>
        </w:rPr>
        <w:t>p</w:t>
      </w:r>
      <w:r w:rsidRPr="00AC2DB9">
        <w:rPr>
          <w:rFonts w:ascii="Calibri" w:hAnsi="Calibri" w:cstheme="minorHAnsi"/>
          <w:sz w:val="22"/>
          <w:szCs w:val="22"/>
          <w:lang w:val="lv-LV"/>
        </w:rPr>
        <w:t>ants), kas tiek iedarbināts, ja ietvara likuma projekta sagatavošanas gadā uzkrāta pārmērīga strukturālo bilanču summa no iepriekšējiem gadiem. Lai gan ekonomiskā izaugsme var atsākties pavisam drīz, pozitīvas izlaižu starpības nav sagaidāmas nākošos 3-4 gadus, tāpēc tuvākajos gados ir mazs risks, ka strukturālās bilances koriģēšanas mehānisms var tikt iedarbināts, lai kompensētu krīzes gados uzkrā</w:t>
      </w:r>
      <w:r w:rsidR="00687017">
        <w:rPr>
          <w:rFonts w:ascii="Calibri" w:hAnsi="Calibri" w:cstheme="minorHAnsi"/>
          <w:sz w:val="22"/>
          <w:szCs w:val="22"/>
          <w:lang w:val="lv-LV"/>
        </w:rPr>
        <w:t>to deficītu</w:t>
      </w:r>
      <w:r w:rsidR="00687017">
        <w:rPr>
          <w:rFonts w:ascii="Calibri" w:eastAsiaTheme="minorEastAsia" w:hAnsi="Calibri" w:cstheme="minorBidi"/>
          <w:sz w:val="22"/>
          <w:szCs w:val="22"/>
          <w:lang w:val="lv-LV"/>
        </w:rPr>
        <w:t xml:space="preserve">. </w:t>
      </w:r>
      <w:r w:rsidR="00F2200E" w:rsidRPr="00F2200E">
        <w:rPr>
          <w:rFonts w:ascii="Calibri" w:eastAsiaTheme="minorEastAsia" w:hAnsi="Calibri" w:cstheme="minorBidi"/>
          <w:sz w:val="22"/>
          <w:szCs w:val="22"/>
          <w:lang w:val="lv-LV"/>
        </w:rPr>
        <w:t>Budžeta ietvars paredz sekojošas budžeta bilances pie nemainīgas politikas: -3.9% 2021. gadā, -2.8% 2022. gadā un -1.7%. 2023. gadā. Iepriekš minētie mērķi</w:t>
      </w:r>
      <w:r w:rsidR="00687017">
        <w:rPr>
          <w:rFonts w:ascii="Calibri" w:eastAsiaTheme="minorEastAsia" w:hAnsi="Calibri" w:cstheme="minorBidi"/>
          <w:sz w:val="22"/>
          <w:szCs w:val="22"/>
          <w:lang w:val="lv-LV"/>
        </w:rPr>
        <w:t>,</w:t>
      </w:r>
      <w:r w:rsidR="00F2200E" w:rsidRPr="00F2200E">
        <w:rPr>
          <w:rFonts w:ascii="Calibri" w:eastAsiaTheme="minorEastAsia" w:hAnsi="Calibri" w:cstheme="minorBidi"/>
          <w:sz w:val="22"/>
          <w:szCs w:val="22"/>
          <w:lang w:val="lv-LV"/>
        </w:rPr>
        <w:t xml:space="preserve"> atbilstoši</w:t>
      </w:r>
      <w:r w:rsidR="00687017">
        <w:rPr>
          <w:rFonts w:ascii="Calibri" w:eastAsiaTheme="minorEastAsia" w:hAnsi="Calibri" w:cstheme="minorBidi"/>
          <w:sz w:val="22"/>
          <w:szCs w:val="22"/>
          <w:lang w:val="lv-LV"/>
        </w:rPr>
        <w:t xml:space="preserve"> Finanšu ministrijas aprēķiniem, </w:t>
      </w:r>
      <w:r w:rsidR="00F2200E" w:rsidRPr="00F2200E">
        <w:rPr>
          <w:rFonts w:ascii="Calibri" w:eastAsiaTheme="minorEastAsia" w:hAnsi="Calibri" w:cstheme="minorBidi"/>
          <w:sz w:val="22"/>
          <w:szCs w:val="22"/>
          <w:lang w:val="lv-LV"/>
        </w:rPr>
        <w:t xml:space="preserve">nodrošinātu valdības strukturālo bilanci -2.0% 2021. gadā, -1.0% 2022. gadā un -0.1% 2023. gadā, ņemot vērā starpību starp faktisko un potenciālo ekonomikas izaugsmi. Padome atzīmē, ka kaut gan 2021. gadā </w:t>
      </w:r>
      <w:r w:rsidR="00F2200E" w:rsidRPr="00F2200E">
        <w:rPr>
          <w:rFonts w:ascii="Calibri" w:eastAsiaTheme="minorEastAsia" w:hAnsi="Calibri" w:cstheme="minorBidi"/>
          <w:sz w:val="22"/>
          <w:szCs w:val="22"/>
          <w:lang w:val="lv-LV"/>
        </w:rPr>
        <w:lastRenderedPageBreak/>
        <w:t>valsts fiskālā politika būs konservatīva, tomēr FDL prasības netiks pilnībā ievērotas, nosakot valsts budžeta maksimālo izdevumu apmēru 2022. gadā. Vienlaicīgi Padome atdzīst, ka nospraustie bilances mērķi ir samērīgi ar ekonomisko lejupslīdi un ievēro pretcikliskās politikas principu kopumā 2022. un 2023. gados. Ņemot vērā lielo nenoteiktību ekonomikas attīstībā un nepieciešamību pārvarēt ekonomikas lejupslīdes sekas</w:t>
      </w:r>
      <w:r w:rsidR="00F2200E" w:rsidRPr="00F2200E">
        <w:rPr>
          <w:rFonts w:ascii="Calibri" w:eastAsiaTheme="minorEastAsia" w:hAnsi="Calibri" w:cstheme="minorBidi"/>
          <w:b/>
          <w:sz w:val="22"/>
          <w:szCs w:val="22"/>
          <w:lang w:val="lv-LV"/>
        </w:rPr>
        <w:t xml:space="preserve">, </w:t>
      </w:r>
      <w:r w:rsidR="00F2200E" w:rsidRPr="00F2200E">
        <w:rPr>
          <w:rFonts w:ascii="Calibri" w:eastAsiaTheme="minorEastAsia" w:hAnsi="Calibri" w:cstheme="minorBidi"/>
          <w:b/>
          <w:bCs/>
          <w:sz w:val="22"/>
          <w:szCs w:val="22"/>
          <w:lang w:val="lv-LV"/>
        </w:rPr>
        <w:t xml:space="preserve">Padome precizēs savu viedokli par 2022.gada budžeta izdevumu griestiem </w:t>
      </w:r>
      <w:r w:rsidR="00687017">
        <w:rPr>
          <w:rFonts w:ascii="Calibri" w:eastAsiaTheme="minorEastAsia" w:hAnsi="Calibri" w:cstheme="minorBidi"/>
          <w:b/>
          <w:bCs/>
          <w:sz w:val="22"/>
          <w:szCs w:val="22"/>
          <w:lang w:val="lv-LV"/>
        </w:rPr>
        <w:t>savā 2021.gada Uzraudzības ziņojumā.</w:t>
      </w:r>
    </w:p>
    <w:p w14:paraId="7CDCC8DA" w14:textId="70DFF0E1" w:rsidR="00E539D0" w:rsidRDefault="00FB6E46" w:rsidP="00E80565">
      <w:pPr>
        <w:spacing w:before="240"/>
        <w:ind w:left="360"/>
        <w:jc w:val="both"/>
        <w:rPr>
          <w:rFonts w:ascii="Calibri" w:hAnsi="Calibri" w:cstheme="minorHAnsi"/>
          <w:sz w:val="22"/>
          <w:szCs w:val="22"/>
        </w:rPr>
      </w:pPr>
      <w:r w:rsidRPr="00FB6E46">
        <w:rPr>
          <w:rFonts w:ascii="Calibri" w:hAnsi="Calibri" w:cstheme="minorHAnsi"/>
          <w:sz w:val="22"/>
          <w:szCs w:val="22"/>
        </w:rPr>
        <w:t xml:space="preserve">Pašreizējie fiskālie plāni nepieļauj fiskālo telpu jaunām politikas iniciatīvām 2022. </w:t>
      </w:r>
      <w:proofErr w:type="gramStart"/>
      <w:r w:rsidRPr="00FB6E46">
        <w:rPr>
          <w:rFonts w:ascii="Calibri" w:hAnsi="Calibri" w:cstheme="minorHAnsi"/>
          <w:sz w:val="22"/>
          <w:szCs w:val="22"/>
        </w:rPr>
        <w:t>līdz</w:t>
      </w:r>
      <w:proofErr w:type="gramEnd"/>
      <w:r w:rsidRPr="00FB6E46">
        <w:rPr>
          <w:rFonts w:ascii="Calibri" w:hAnsi="Calibri" w:cstheme="minorHAnsi"/>
          <w:sz w:val="22"/>
          <w:szCs w:val="22"/>
        </w:rPr>
        <w:t xml:space="preserve"> 2023. </w:t>
      </w:r>
      <w:proofErr w:type="gramStart"/>
      <w:r w:rsidR="00E539D0">
        <w:rPr>
          <w:rFonts w:ascii="Calibri" w:hAnsi="Calibri" w:cstheme="minorHAnsi"/>
          <w:sz w:val="22"/>
          <w:szCs w:val="22"/>
        </w:rPr>
        <w:t>g</w:t>
      </w:r>
      <w:r w:rsidRPr="00FB6E46">
        <w:rPr>
          <w:rFonts w:ascii="Calibri" w:hAnsi="Calibri" w:cstheme="minorHAnsi"/>
          <w:sz w:val="22"/>
          <w:szCs w:val="22"/>
        </w:rPr>
        <w:t>adam</w:t>
      </w:r>
      <w:proofErr w:type="gramEnd"/>
      <w:r w:rsidR="00E539D0">
        <w:rPr>
          <w:rFonts w:ascii="Calibri" w:hAnsi="Calibri" w:cstheme="minorHAnsi"/>
          <w:sz w:val="22"/>
          <w:szCs w:val="22"/>
        </w:rPr>
        <w:t xml:space="preserve"> </w:t>
      </w:r>
      <w:r w:rsidRPr="00FB6E46">
        <w:rPr>
          <w:rFonts w:ascii="Calibri" w:hAnsi="Calibri" w:cstheme="minorHAnsi"/>
          <w:sz w:val="22"/>
          <w:szCs w:val="22"/>
        </w:rPr>
        <w:t>- jebkuras valdības prioritātes un izdevumu iniciatīv</w:t>
      </w:r>
      <w:r w:rsidR="00E539D0">
        <w:rPr>
          <w:rFonts w:ascii="Calibri" w:hAnsi="Calibri" w:cstheme="minorHAnsi"/>
          <w:sz w:val="22"/>
          <w:szCs w:val="22"/>
        </w:rPr>
        <w:t xml:space="preserve">as būtu jāsedz ar ietaupījumiem, samazinot citus izdevumus, </w:t>
      </w:r>
      <w:r w:rsidRPr="00FB6E46">
        <w:rPr>
          <w:rFonts w:ascii="Calibri" w:hAnsi="Calibri" w:cstheme="minorHAnsi"/>
          <w:sz w:val="22"/>
          <w:szCs w:val="22"/>
        </w:rPr>
        <w:t xml:space="preserve">vai ar efektīviem ieņēmumu palielināšanas pasākumiem. Padome sagaida valdības īpašo apņemšanos, tostarp politikas pasākumus, lai ierobežotu izdevumu pieaugumu 2022. – 2023. </w:t>
      </w:r>
      <w:proofErr w:type="gramStart"/>
      <w:r w:rsidRPr="00FB6E46">
        <w:rPr>
          <w:rFonts w:ascii="Calibri" w:hAnsi="Calibri" w:cstheme="minorHAnsi"/>
          <w:sz w:val="22"/>
          <w:szCs w:val="22"/>
        </w:rPr>
        <w:t>gadā</w:t>
      </w:r>
      <w:proofErr w:type="gramEnd"/>
      <w:r w:rsidRPr="00FB6E46">
        <w:rPr>
          <w:rFonts w:ascii="Calibri" w:hAnsi="Calibri" w:cstheme="minorHAnsi"/>
          <w:sz w:val="22"/>
          <w:szCs w:val="22"/>
        </w:rPr>
        <w:t>, pārsniedzot VTBI noteiktos maksimālos apjomus.</w:t>
      </w:r>
    </w:p>
    <w:p w14:paraId="5A28CCBE" w14:textId="77777777" w:rsidR="00E80565" w:rsidRPr="00FB6E46" w:rsidRDefault="00E80565" w:rsidP="00E80565">
      <w:pPr>
        <w:ind w:left="360"/>
        <w:jc w:val="both"/>
        <w:rPr>
          <w:rFonts w:ascii="Calibri" w:hAnsi="Calibri" w:cstheme="minorHAnsi"/>
          <w:sz w:val="22"/>
          <w:szCs w:val="22"/>
        </w:rPr>
      </w:pPr>
    </w:p>
    <w:p w14:paraId="6C5E3125" w14:textId="09FFA686" w:rsidR="00FB6E46" w:rsidRPr="00FB6E46" w:rsidRDefault="006C7CD3" w:rsidP="72B40892">
      <w:pPr>
        <w:spacing w:after="240"/>
        <w:ind w:left="360"/>
        <w:jc w:val="both"/>
        <w:rPr>
          <w:rFonts w:ascii="Calibri" w:eastAsiaTheme="minorEastAsia" w:hAnsi="Calibri" w:cstheme="minorBidi"/>
          <w:sz w:val="22"/>
          <w:szCs w:val="22"/>
        </w:rPr>
      </w:pPr>
      <w:r w:rsidRPr="00F2200E">
        <w:rPr>
          <w:rFonts w:ascii="Calibri" w:eastAsiaTheme="minorEastAsia" w:hAnsi="Calibri" w:cstheme="minorBidi"/>
          <w:sz w:val="22"/>
          <w:szCs w:val="22"/>
        </w:rPr>
        <w:t xml:space="preserve">Padome atzīnīgi vērtē, ka </w:t>
      </w:r>
      <w:r w:rsidR="00FB6E46" w:rsidRPr="72B40892">
        <w:rPr>
          <w:rFonts w:ascii="Calibri" w:eastAsiaTheme="minorEastAsia" w:hAnsi="Calibri" w:cstheme="minorBidi"/>
          <w:sz w:val="22"/>
          <w:szCs w:val="22"/>
        </w:rPr>
        <w:t>2021.</w:t>
      </w:r>
      <w:r w:rsidR="00765BFE" w:rsidRPr="72B40892">
        <w:rPr>
          <w:rFonts w:ascii="Calibri" w:eastAsiaTheme="minorEastAsia" w:hAnsi="Calibri" w:cstheme="minorBidi"/>
          <w:sz w:val="22"/>
          <w:szCs w:val="22"/>
        </w:rPr>
        <w:t xml:space="preserve"> </w:t>
      </w:r>
      <w:proofErr w:type="gramStart"/>
      <w:r w:rsidR="00FB6E46" w:rsidRPr="72B40892">
        <w:rPr>
          <w:rFonts w:ascii="Calibri" w:eastAsiaTheme="minorEastAsia" w:hAnsi="Calibri" w:cstheme="minorBidi"/>
          <w:sz w:val="22"/>
          <w:szCs w:val="22"/>
        </w:rPr>
        <w:t>gada</w:t>
      </w:r>
      <w:proofErr w:type="gramEnd"/>
      <w:r w:rsidR="00FB6E46" w:rsidRPr="72B40892">
        <w:rPr>
          <w:rFonts w:ascii="Calibri" w:eastAsiaTheme="minorEastAsia" w:hAnsi="Calibri" w:cstheme="minorBidi"/>
          <w:sz w:val="22"/>
          <w:szCs w:val="22"/>
        </w:rPr>
        <w:t xml:space="preserve"> budžeta prioritātes ir sociāli orientētas, ar potenciālu fiskāli stimulēt kopējo iekšējo pieprasījumu, uzlabot veselības aprūpes sistēmas kapacitāti un mazināt sociālo nevienlīdzību, vienlaicīgi neapdraudot valsts fiskālo ilgtspēju. Padome atbalsta valdības pasākumus nodokļu politikas uzlabošanā, </w:t>
      </w:r>
      <w:proofErr w:type="gramStart"/>
      <w:r w:rsidR="00FB6E46" w:rsidRPr="72B40892">
        <w:rPr>
          <w:rFonts w:ascii="Calibri" w:eastAsiaTheme="minorEastAsia" w:hAnsi="Calibri" w:cstheme="minorBidi"/>
          <w:sz w:val="22"/>
          <w:szCs w:val="22"/>
        </w:rPr>
        <w:t>jo</w:t>
      </w:r>
      <w:proofErr w:type="gramEnd"/>
      <w:r w:rsidR="00FB6E46" w:rsidRPr="72B40892">
        <w:rPr>
          <w:rFonts w:ascii="Calibri" w:eastAsiaTheme="minorEastAsia" w:hAnsi="Calibri" w:cstheme="minorBidi"/>
          <w:sz w:val="22"/>
          <w:szCs w:val="22"/>
        </w:rPr>
        <w:t xml:space="preserve"> īpaši </w:t>
      </w:r>
      <w:r w:rsidR="00E539D0">
        <w:rPr>
          <w:rFonts w:ascii="Calibri" w:eastAsiaTheme="minorEastAsia" w:hAnsi="Calibri" w:cstheme="minorBidi"/>
          <w:sz w:val="22"/>
          <w:szCs w:val="22"/>
        </w:rPr>
        <w:t xml:space="preserve">liekot </w:t>
      </w:r>
      <w:r w:rsidR="00FB6E46" w:rsidRPr="72B40892">
        <w:rPr>
          <w:rFonts w:ascii="Calibri" w:eastAsiaTheme="minorEastAsia" w:hAnsi="Calibri" w:cstheme="minorBidi"/>
          <w:sz w:val="22"/>
          <w:szCs w:val="22"/>
        </w:rPr>
        <w:t xml:space="preserve">uzsvaru uz sociālās apdrošināšanas </w:t>
      </w:r>
      <w:r w:rsidR="00765BFE" w:rsidRPr="72B40892">
        <w:rPr>
          <w:rFonts w:ascii="Calibri" w:eastAsiaTheme="minorEastAsia" w:hAnsi="Calibri" w:cstheme="minorBidi"/>
          <w:sz w:val="22"/>
          <w:szCs w:val="22"/>
        </w:rPr>
        <w:t xml:space="preserve">iemaksu </w:t>
      </w:r>
      <w:r w:rsidR="00FB6E46" w:rsidRPr="72B40892">
        <w:rPr>
          <w:rFonts w:ascii="Calibri" w:eastAsiaTheme="minorEastAsia" w:hAnsi="Calibri" w:cstheme="minorBidi"/>
          <w:sz w:val="22"/>
          <w:szCs w:val="22"/>
        </w:rPr>
        <w:t>uzlabošanu autoratlīdzības saņēmējiem un mikrouzņēmumos nodarbinātajiem. Tomēr nodokļu politika neļaus palielināt valdības rīcībā esošos resursus, lai pievērstos labākas veselības aprūpes prioritātēm, turpinot plāniem palielināt atalgojumu lielām valsts darbinieku grupām, finansējumu sociālajiem pabalstiem un infrastruktūras izdevumiem, kas veikti pēc pandēmijas, kā arī stabilizēt fiskālo līdzsvaru pēc ekonomikas lejupslīdes.</w:t>
      </w:r>
    </w:p>
    <w:p w14:paraId="74905AD0" w14:textId="2051B6A2" w:rsidR="00FB6E46" w:rsidRPr="00FB6E46" w:rsidRDefault="00FB6E46" w:rsidP="00465792">
      <w:pPr>
        <w:spacing w:after="240"/>
        <w:ind w:left="360"/>
        <w:jc w:val="both"/>
        <w:rPr>
          <w:rFonts w:ascii="Calibri" w:hAnsi="Calibri" w:cstheme="minorHAnsi"/>
          <w:sz w:val="22"/>
          <w:szCs w:val="22"/>
        </w:rPr>
      </w:pPr>
      <w:r w:rsidRPr="00FB6E46">
        <w:rPr>
          <w:rFonts w:ascii="Calibri" w:hAnsi="Calibri" w:cstheme="minorHAnsi"/>
          <w:sz w:val="22"/>
          <w:szCs w:val="22"/>
        </w:rPr>
        <w:t xml:space="preserve">Kopumā Padome atbalsta valdības izveidoto atbalsta pasākumu programmu </w:t>
      </w:r>
      <w:proofErr w:type="gramStart"/>
      <w:r w:rsidRPr="00FB6E46">
        <w:rPr>
          <w:rFonts w:ascii="Calibri" w:hAnsi="Calibri" w:cstheme="minorHAnsi"/>
          <w:sz w:val="22"/>
          <w:szCs w:val="22"/>
        </w:rPr>
        <w:t>un</w:t>
      </w:r>
      <w:proofErr w:type="gramEnd"/>
      <w:r w:rsidRPr="00FB6E46">
        <w:rPr>
          <w:rFonts w:ascii="Calibri" w:hAnsi="Calibri" w:cstheme="minorHAnsi"/>
          <w:sz w:val="22"/>
          <w:szCs w:val="22"/>
        </w:rPr>
        <w:t xml:space="preserve"> aicina to vairs nepaplašināt, ja vien ievērojami nepasliktinās ekonomiskie rādītāji. Kā tuvākā prioritāte ir uzskatāma Eiropas Atveseļošanās </w:t>
      </w:r>
      <w:proofErr w:type="gramStart"/>
      <w:r w:rsidRPr="00FB6E46">
        <w:rPr>
          <w:rFonts w:ascii="Calibri" w:hAnsi="Calibri" w:cstheme="minorHAnsi"/>
          <w:sz w:val="22"/>
          <w:szCs w:val="22"/>
        </w:rPr>
        <w:t>un</w:t>
      </w:r>
      <w:proofErr w:type="gramEnd"/>
      <w:r w:rsidRPr="00FB6E46">
        <w:rPr>
          <w:rFonts w:ascii="Calibri" w:hAnsi="Calibri" w:cstheme="minorHAnsi"/>
          <w:sz w:val="22"/>
          <w:szCs w:val="22"/>
        </w:rPr>
        <w:t xml:space="preserve"> noturības mehānisma ātra un efektīva izmantošana tuvākajos divos gados, lai stiprinātu Latvijas ekonomikas potenciālu saskaņā ar ES izvirzītajām prasībām. Šis mehānisms ir jauns finanšu instruments ar ātriem ieviešanas termiņiem – </w:t>
      </w:r>
      <w:proofErr w:type="gramStart"/>
      <w:r w:rsidRPr="00FB6E46">
        <w:rPr>
          <w:rFonts w:ascii="Calibri" w:hAnsi="Calibri" w:cstheme="minorHAnsi"/>
          <w:sz w:val="22"/>
          <w:szCs w:val="22"/>
        </w:rPr>
        <w:t>tas</w:t>
      </w:r>
      <w:proofErr w:type="gramEnd"/>
      <w:r w:rsidRPr="00FB6E46">
        <w:rPr>
          <w:rFonts w:ascii="Calibri" w:hAnsi="Calibri" w:cstheme="minorHAnsi"/>
          <w:sz w:val="22"/>
          <w:szCs w:val="22"/>
        </w:rPr>
        <w:t xml:space="preserve"> varētu aizpildīt ES struktūrfondu finansēšanas trūkumu tuvākajos divos gados.</w:t>
      </w:r>
    </w:p>
    <w:p w14:paraId="60F8DFDC" w14:textId="648BCB4A" w:rsidR="00FB6E46" w:rsidRPr="00FB6E46" w:rsidRDefault="00FB6E46" w:rsidP="72B40892">
      <w:pPr>
        <w:spacing w:after="240"/>
        <w:ind w:left="360"/>
        <w:jc w:val="both"/>
        <w:rPr>
          <w:rFonts w:ascii="Calibri" w:hAnsi="Calibri" w:cstheme="minorBidi"/>
          <w:sz w:val="22"/>
          <w:szCs w:val="22"/>
        </w:rPr>
      </w:pPr>
      <w:r w:rsidRPr="72B40892">
        <w:rPr>
          <w:rFonts w:ascii="Calibri" w:hAnsi="Calibri" w:cstheme="minorBidi"/>
          <w:sz w:val="22"/>
          <w:szCs w:val="22"/>
        </w:rPr>
        <w:t xml:space="preserve">Starptautiskā kredītreitingu aģentūra “S&amp;P </w:t>
      </w:r>
      <w:r w:rsidRPr="72B40892">
        <w:rPr>
          <w:rFonts w:ascii="Calibri" w:hAnsi="Calibri" w:cstheme="minorBidi"/>
          <w:sz w:val="22"/>
          <w:szCs w:val="22"/>
          <w:lang w:val="en-US"/>
        </w:rPr>
        <w:t>Global Ratings</w:t>
      </w:r>
      <w:r w:rsidRPr="72B40892">
        <w:rPr>
          <w:rFonts w:ascii="Calibri" w:hAnsi="Calibri" w:cstheme="minorBidi"/>
          <w:sz w:val="22"/>
          <w:szCs w:val="22"/>
        </w:rPr>
        <w:t>” ir paziņojusi par Latvijas kredītreitinga saglabāšanu "A+" līmenī ar stabilu nākotnes novērtējumu</w:t>
      </w:r>
      <w:r w:rsidR="2435214C" w:rsidRPr="72B40892">
        <w:rPr>
          <w:rFonts w:ascii="Calibri" w:hAnsi="Calibri" w:cstheme="minorBidi"/>
          <w:sz w:val="22"/>
          <w:szCs w:val="22"/>
        </w:rPr>
        <w:t xml:space="preserve">. </w:t>
      </w:r>
      <w:r w:rsidR="0438D24B" w:rsidRPr="72B40892">
        <w:rPr>
          <w:rFonts w:ascii="Calibri" w:hAnsi="Calibri" w:cstheme="minorBidi"/>
          <w:sz w:val="22"/>
          <w:szCs w:val="22"/>
        </w:rPr>
        <w:t>Oktobra sākumā a</w:t>
      </w:r>
      <w:r w:rsidR="72616AF9" w:rsidRPr="72B40892">
        <w:rPr>
          <w:rFonts w:ascii="Calibri" w:hAnsi="Calibri" w:cstheme="minorBidi"/>
          <w:sz w:val="22"/>
          <w:szCs w:val="22"/>
        </w:rPr>
        <w:t>rī starptautiskā aģentūra “Fitch” ir saglabājusi</w:t>
      </w:r>
      <w:r w:rsidR="6A620975" w:rsidRPr="72B40892">
        <w:rPr>
          <w:rFonts w:ascii="Calibri" w:hAnsi="Calibri" w:cstheme="minorBidi"/>
          <w:sz w:val="22"/>
          <w:szCs w:val="22"/>
        </w:rPr>
        <w:t xml:space="preserve"> Latvijas kredītreitingu "A-" līmenī, paaugstinot nākotnes vērtējumu no negatīva uz stabilu.</w:t>
      </w:r>
      <w:r w:rsidR="2435214C" w:rsidRPr="72B40892">
        <w:rPr>
          <w:rFonts w:ascii="Calibri" w:hAnsi="Calibri" w:cstheme="minorBidi"/>
          <w:sz w:val="22"/>
          <w:szCs w:val="22"/>
        </w:rPr>
        <w:t xml:space="preserve"> </w:t>
      </w:r>
      <w:r w:rsidRPr="72B40892">
        <w:rPr>
          <w:rFonts w:ascii="Calibri" w:hAnsi="Calibri" w:cstheme="minorBidi"/>
          <w:sz w:val="22"/>
          <w:szCs w:val="22"/>
        </w:rPr>
        <w:t xml:space="preserve"> </w:t>
      </w:r>
      <w:proofErr w:type="gramStart"/>
      <w:r w:rsidR="238AF874" w:rsidRPr="72B40892">
        <w:rPr>
          <w:rFonts w:ascii="Calibri" w:hAnsi="Calibri" w:cstheme="minorBidi"/>
          <w:sz w:val="22"/>
          <w:szCs w:val="22"/>
        </w:rPr>
        <w:t>T</w:t>
      </w:r>
      <w:r w:rsidRPr="72B40892">
        <w:rPr>
          <w:rFonts w:ascii="Calibri" w:hAnsi="Calibri" w:cstheme="minorBidi"/>
          <w:sz w:val="22"/>
          <w:szCs w:val="22"/>
        </w:rPr>
        <w:t>as</w:t>
      </w:r>
      <w:proofErr w:type="gramEnd"/>
      <w:r w:rsidRPr="72B40892">
        <w:rPr>
          <w:rFonts w:ascii="Calibri" w:hAnsi="Calibri" w:cstheme="minorBidi"/>
          <w:sz w:val="22"/>
          <w:szCs w:val="22"/>
        </w:rPr>
        <w:t xml:space="preserve"> ir augsts valdības fiskālās politikas novērtējums dotajos apstākļos. Pozitīvs fiskālās politikas vērtējums krīzes situācijā ļāva Valsts kasei aizņemties starptautiskajos finanšu tirgos ar izdevīgiem nosacījumiem. </w:t>
      </w:r>
    </w:p>
    <w:p w14:paraId="46B0F654" w14:textId="44DED711" w:rsidR="00FB6E46" w:rsidRPr="002B15B1" w:rsidRDefault="00FB6E46" w:rsidP="00465792">
      <w:pPr>
        <w:spacing w:after="240"/>
        <w:ind w:left="360"/>
        <w:jc w:val="both"/>
        <w:rPr>
          <w:rFonts w:ascii="Calibri" w:hAnsi="Calibri" w:cstheme="minorHAnsi"/>
          <w:sz w:val="22"/>
          <w:szCs w:val="22"/>
        </w:rPr>
      </w:pPr>
      <w:r w:rsidRPr="00FB6E46">
        <w:rPr>
          <w:rFonts w:ascii="Calibri" w:hAnsi="Calibri" w:cstheme="minorHAnsi"/>
          <w:sz w:val="22"/>
          <w:szCs w:val="22"/>
        </w:rPr>
        <w:t xml:space="preserve">Ekspansīvā fiskālā politika ir ievērojami palielinājusi valstu parādus </w:t>
      </w:r>
      <w:proofErr w:type="gramStart"/>
      <w:r w:rsidRPr="00FB6E46">
        <w:rPr>
          <w:rFonts w:ascii="Calibri" w:hAnsi="Calibri" w:cstheme="minorHAnsi"/>
          <w:sz w:val="22"/>
          <w:szCs w:val="22"/>
        </w:rPr>
        <w:t>un</w:t>
      </w:r>
      <w:proofErr w:type="gramEnd"/>
      <w:r w:rsidRPr="00FB6E46">
        <w:rPr>
          <w:rFonts w:ascii="Calibri" w:hAnsi="Calibri" w:cstheme="minorHAnsi"/>
          <w:sz w:val="22"/>
          <w:szCs w:val="22"/>
        </w:rPr>
        <w:t xml:space="preserve"> veicinājusi pārmērīgas valsts iejaukšanās ekonomikas procesos kultūru. Pēc SVF aprēķiniem jau pirms Covid-19 krīzes attīstīto valstu parāds sasniedza 105% no to IKP, tomēr jau šī gada beigās parāda līmenis varētu pārsniegt 120% no IKP</w:t>
      </w:r>
      <w:r w:rsidRPr="00FB6E46">
        <w:rPr>
          <w:rStyle w:val="FootnoteReference"/>
          <w:rFonts w:ascii="Calibri" w:hAnsi="Calibri" w:cstheme="minorHAnsi"/>
          <w:sz w:val="22"/>
          <w:szCs w:val="22"/>
        </w:rPr>
        <w:footnoteReference w:id="2"/>
      </w:r>
      <w:r w:rsidRPr="00FB6E46">
        <w:rPr>
          <w:rFonts w:ascii="Calibri" w:hAnsi="Calibri" w:cstheme="minorHAnsi"/>
          <w:sz w:val="22"/>
          <w:szCs w:val="22"/>
        </w:rPr>
        <w:t xml:space="preserve">. Padome uzskata, ka fiskālā </w:t>
      </w:r>
      <w:proofErr w:type="gramStart"/>
      <w:r w:rsidRPr="00FB6E46">
        <w:rPr>
          <w:rFonts w:ascii="Calibri" w:hAnsi="Calibri" w:cstheme="minorHAnsi"/>
          <w:sz w:val="22"/>
          <w:szCs w:val="22"/>
        </w:rPr>
        <w:t>un</w:t>
      </w:r>
      <w:proofErr w:type="gramEnd"/>
      <w:r w:rsidRPr="00FB6E46">
        <w:rPr>
          <w:rFonts w:ascii="Calibri" w:hAnsi="Calibri" w:cstheme="minorHAnsi"/>
          <w:sz w:val="22"/>
          <w:szCs w:val="22"/>
        </w:rPr>
        <w:t xml:space="preserve"> monetārā politika nav pilnvērtīgs aizvietotājs s</w:t>
      </w:r>
      <w:r w:rsidR="006C7CD3">
        <w:rPr>
          <w:rFonts w:ascii="Calibri" w:hAnsi="Calibri" w:cstheme="minorHAnsi"/>
          <w:sz w:val="22"/>
          <w:szCs w:val="22"/>
        </w:rPr>
        <w:t xml:space="preserve">trukturālām reformām ilgtermiņā </w:t>
      </w:r>
      <w:r w:rsidR="006C7CD3" w:rsidRPr="002B15B1">
        <w:rPr>
          <w:rFonts w:ascii="Calibri" w:hAnsi="Calibri" w:cstheme="minorHAnsi"/>
          <w:sz w:val="22"/>
          <w:szCs w:val="22"/>
        </w:rPr>
        <w:t>un ierosina Latvijas valdībai arī turpmāk demonstrēt fiskālās disciplīnas ievērošanas kultūru.</w:t>
      </w:r>
    </w:p>
    <w:p w14:paraId="0DE6D494" w14:textId="1C8998DA" w:rsidR="00FB6E46" w:rsidRDefault="00FB6E46" w:rsidP="00FB6E46">
      <w:pPr>
        <w:ind w:left="360"/>
        <w:jc w:val="both"/>
        <w:rPr>
          <w:rFonts w:ascii="Calibri" w:hAnsi="Calibri" w:cstheme="minorHAnsi"/>
          <w:sz w:val="22"/>
          <w:szCs w:val="22"/>
        </w:rPr>
      </w:pPr>
      <w:r w:rsidRPr="00FB6E46">
        <w:rPr>
          <w:rFonts w:ascii="Calibri" w:hAnsi="Calibri" w:cstheme="minorHAnsi"/>
          <w:sz w:val="22"/>
          <w:szCs w:val="22"/>
        </w:rPr>
        <w:lastRenderedPageBreak/>
        <w:t xml:space="preserve">Padome vērš uzmanību uz strauju valsts parāda pieaugumu, lai veidotu skaidras naudas līdzekļu rezerves </w:t>
      </w:r>
      <w:proofErr w:type="gramStart"/>
      <w:r w:rsidRPr="00FB6E46">
        <w:rPr>
          <w:rFonts w:ascii="Calibri" w:hAnsi="Calibri" w:cstheme="minorHAnsi"/>
          <w:sz w:val="22"/>
          <w:szCs w:val="22"/>
        </w:rPr>
        <w:t>un</w:t>
      </w:r>
      <w:proofErr w:type="gramEnd"/>
      <w:r w:rsidRPr="00FB6E46">
        <w:rPr>
          <w:rFonts w:ascii="Calibri" w:hAnsi="Calibri" w:cstheme="minorHAnsi"/>
          <w:sz w:val="22"/>
          <w:szCs w:val="22"/>
        </w:rPr>
        <w:t xml:space="preserve"> finansētu budžeta deficītu ekonomikas lejupslīdes apstākļos. Valsts parāda straujākais kāpums notika š.g. aprīlī, tomēr vēl joprojām turpinās mērens val</w:t>
      </w:r>
      <w:r w:rsidR="00512C8A">
        <w:rPr>
          <w:rFonts w:ascii="Calibri" w:hAnsi="Calibri" w:cstheme="minorHAnsi"/>
          <w:sz w:val="22"/>
          <w:szCs w:val="22"/>
        </w:rPr>
        <w:t xml:space="preserve">sts parāda pieaugums, kas </w:t>
      </w:r>
      <w:proofErr w:type="gramStart"/>
      <w:r w:rsidR="00512C8A">
        <w:rPr>
          <w:rFonts w:ascii="Calibri" w:hAnsi="Calibri" w:cstheme="minorHAnsi"/>
          <w:sz w:val="22"/>
          <w:szCs w:val="22"/>
        </w:rPr>
        <w:t>augustā</w:t>
      </w:r>
      <w:proofErr w:type="gramEnd"/>
      <w:r w:rsidR="00512C8A">
        <w:rPr>
          <w:rFonts w:ascii="Calibri" w:hAnsi="Calibri" w:cstheme="minorHAnsi"/>
          <w:sz w:val="22"/>
          <w:szCs w:val="22"/>
        </w:rPr>
        <w:t xml:space="preserve"> sasniedza 12.636</w:t>
      </w:r>
      <w:r w:rsidR="006A50A5">
        <w:rPr>
          <w:rFonts w:ascii="Calibri" w:hAnsi="Calibri" w:cstheme="minorHAnsi"/>
          <w:sz w:val="22"/>
          <w:szCs w:val="22"/>
        </w:rPr>
        <w:t xml:space="preserve"> mljrd. </w:t>
      </w:r>
      <w:proofErr w:type="gramStart"/>
      <w:r w:rsidR="006A50A5">
        <w:rPr>
          <w:rFonts w:ascii="Calibri" w:hAnsi="Calibri" w:cstheme="minorHAnsi"/>
          <w:sz w:val="22"/>
          <w:szCs w:val="22"/>
        </w:rPr>
        <w:t>eiro</w:t>
      </w:r>
      <w:proofErr w:type="gramEnd"/>
      <w:r w:rsidR="006A50A5">
        <w:rPr>
          <w:rFonts w:ascii="Calibri" w:hAnsi="Calibri" w:cstheme="minorHAnsi"/>
          <w:sz w:val="22"/>
          <w:szCs w:val="22"/>
        </w:rPr>
        <w:t xml:space="preserve">. Tādējādi, </w:t>
      </w:r>
      <w:r w:rsidRPr="00FB6E46">
        <w:rPr>
          <w:rFonts w:ascii="Calibri" w:hAnsi="Calibri" w:cstheme="minorHAnsi"/>
          <w:sz w:val="22"/>
          <w:szCs w:val="22"/>
        </w:rPr>
        <w:t>kopš ārkārta</w:t>
      </w:r>
      <w:r w:rsidR="006A50A5">
        <w:rPr>
          <w:rFonts w:ascii="Calibri" w:hAnsi="Calibri" w:cstheme="minorHAnsi"/>
          <w:sz w:val="22"/>
          <w:szCs w:val="22"/>
        </w:rPr>
        <w:t xml:space="preserve">s stāvokļa izsludināšanas </w:t>
      </w:r>
      <w:proofErr w:type="gramStart"/>
      <w:r w:rsidR="006A50A5">
        <w:rPr>
          <w:rFonts w:ascii="Calibri" w:hAnsi="Calibri" w:cstheme="minorHAnsi"/>
          <w:sz w:val="22"/>
          <w:szCs w:val="22"/>
        </w:rPr>
        <w:t>martā</w:t>
      </w:r>
      <w:proofErr w:type="gramEnd"/>
      <w:r w:rsidR="006A50A5">
        <w:rPr>
          <w:rFonts w:ascii="Calibri" w:hAnsi="Calibri" w:cstheme="minorHAnsi"/>
          <w:sz w:val="22"/>
          <w:szCs w:val="22"/>
        </w:rPr>
        <w:t xml:space="preserve">, </w:t>
      </w:r>
      <w:r w:rsidRPr="00FB6E46">
        <w:rPr>
          <w:rFonts w:ascii="Calibri" w:hAnsi="Calibri" w:cstheme="minorHAnsi"/>
          <w:sz w:val="22"/>
          <w:szCs w:val="22"/>
        </w:rPr>
        <w:t>valsts parāds ir pieaudzis vairāk kā par 2 miljardiem eiro (augustā – 2.274 mljrd.), jeb apmēram 8% no IKP.</w:t>
      </w:r>
      <w:r w:rsidR="003802B5">
        <w:rPr>
          <w:rFonts w:ascii="Calibri" w:hAnsi="Calibri" w:cstheme="minorHAnsi"/>
          <w:sz w:val="22"/>
          <w:szCs w:val="22"/>
        </w:rPr>
        <w:t xml:space="preserve"> Šobrīd valsts parāds ir sasniedzis apmēram 44%</w:t>
      </w:r>
      <w:r w:rsidR="00512C8A">
        <w:rPr>
          <w:rFonts w:ascii="Calibri" w:hAnsi="Calibri" w:cstheme="minorHAnsi"/>
          <w:sz w:val="22"/>
          <w:szCs w:val="22"/>
        </w:rPr>
        <w:t xml:space="preserve"> % no IKP</w:t>
      </w:r>
      <w:r w:rsidR="003802B5">
        <w:rPr>
          <w:rFonts w:ascii="Calibri" w:hAnsi="Calibri" w:cstheme="minorHAnsi"/>
          <w:sz w:val="22"/>
          <w:szCs w:val="22"/>
        </w:rPr>
        <w:t>. Lai gan parā</w:t>
      </w:r>
      <w:r w:rsidR="007D0B95">
        <w:rPr>
          <w:rFonts w:ascii="Calibri" w:hAnsi="Calibri" w:cstheme="minorHAnsi"/>
          <w:sz w:val="22"/>
          <w:szCs w:val="22"/>
        </w:rPr>
        <w:t>da līmenis vēl joprojām atbilst</w:t>
      </w:r>
      <w:r w:rsidR="003802B5">
        <w:rPr>
          <w:rFonts w:ascii="Calibri" w:hAnsi="Calibri" w:cstheme="minorHAnsi"/>
          <w:sz w:val="22"/>
          <w:szCs w:val="22"/>
        </w:rPr>
        <w:t xml:space="preserve"> </w:t>
      </w:r>
      <w:r w:rsidR="00512C8A">
        <w:rPr>
          <w:rFonts w:ascii="Calibri" w:hAnsi="Calibri" w:cstheme="minorHAnsi"/>
          <w:sz w:val="22"/>
          <w:szCs w:val="22"/>
        </w:rPr>
        <w:t>FDL parādanosacījumam,</w:t>
      </w:r>
      <w:r w:rsidR="003802B5">
        <w:rPr>
          <w:rFonts w:ascii="Calibri" w:hAnsi="Calibri" w:cstheme="minorHAnsi"/>
          <w:sz w:val="22"/>
          <w:szCs w:val="22"/>
        </w:rPr>
        <w:t xml:space="preserve"> tā straujais pieagums ir satraucošs</w:t>
      </w:r>
      <w:r w:rsidR="003802B5" w:rsidRPr="003802B5">
        <w:rPr>
          <w:rFonts w:ascii="Calibri" w:hAnsi="Calibri" w:cstheme="minorHAnsi"/>
          <w:sz w:val="22"/>
          <w:szCs w:val="22"/>
        </w:rPr>
        <w:t xml:space="preserve">. </w:t>
      </w:r>
      <w:r w:rsidR="003802B5">
        <w:rPr>
          <w:rFonts w:ascii="Calibri" w:hAnsi="Calibri" w:cstheme="minorHAnsi"/>
          <w:sz w:val="22"/>
          <w:szCs w:val="22"/>
        </w:rPr>
        <w:t xml:space="preserve">Kopš iepriekšējās </w:t>
      </w:r>
      <w:r w:rsidR="007D0B95">
        <w:rPr>
          <w:rFonts w:ascii="Calibri" w:hAnsi="Calibri" w:cstheme="minorHAnsi"/>
          <w:sz w:val="22"/>
          <w:szCs w:val="22"/>
        </w:rPr>
        <w:t xml:space="preserve">krīzes valsts parāda limenis </w:t>
      </w:r>
      <w:r w:rsidR="003802B5">
        <w:rPr>
          <w:rFonts w:ascii="Calibri" w:hAnsi="Calibri" w:cstheme="minorHAnsi"/>
          <w:sz w:val="22"/>
          <w:szCs w:val="22"/>
        </w:rPr>
        <w:t xml:space="preserve">bija samazināts par apmēram 10%, tagad īsā laikā </w:t>
      </w:r>
      <w:proofErr w:type="gramStart"/>
      <w:r w:rsidR="003802B5">
        <w:rPr>
          <w:rFonts w:ascii="Calibri" w:hAnsi="Calibri" w:cstheme="minorHAnsi"/>
          <w:sz w:val="22"/>
          <w:szCs w:val="22"/>
        </w:rPr>
        <w:t>tas</w:t>
      </w:r>
      <w:proofErr w:type="gramEnd"/>
      <w:r w:rsidR="003802B5">
        <w:rPr>
          <w:rFonts w:ascii="Calibri" w:hAnsi="Calibri" w:cstheme="minorHAnsi"/>
          <w:sz w:val="22"/>
          <w:szCs w:val="22"/>
        </w:rPr>
        <w:t xml:space="preserve"> atkal ir ievērojami pieaudzis. </w:t>
      </w:r>
      <w:proofErr w:type="gramStart"/>
      <w:r w:rsidR="00DC40A7">
        <w:rPr>
          <w:rFonts w:ascii="Calibri" w:hAnsi="Calibri" w:cstheme="minorHAnsi"/>
          <w:sz w:val="22"/>
          <w:szCs w:val="22"/>
        </w:rPr>
        <w:t>Tas</w:t>
      </w:r>
      <w:proofErr w:type="gramEnd"/>
      <w:r w:rsidR="00DC40A7">
        <w:rPr>
          <w:rFonts w:ascii="Calibri" w:hAnsi="Calibri" w:cstheme="minorHAnsi"/>
          <w:sz w:val="22"/>
          <w:szCs w:val="22"/>
        </w:rPr>
        <w:t xml:space="preserve"> signalizē par fiskālo ievainojamību vidējā termiņā.</w:t>
      </w:r>
    </w:p>
    <w:p w14:paraId="7F760A9B" w14:textId="77777777" w:rsidR="00FB6DE4" w:rsidRPr="00FB6E46" w:rsidRDefault="00FB6DE4" w:rsidP="00FB6E46">
      <w:pPr>
        <w:ind w:left="360"/>
        <w:jc w:val="both"/>
        <w:rPr>
          <w:rFonts w:ascii="Calibri" w:hAnsi="Calibri" w:cstheme="minorHAnsi"/>
          <w:sz w:val="22"/>
          <w:szCs w:val="22"/>
        </w:rPr>
      </w:pPr>
    </w:p>
    <w:p w14:paraId="6B75DFFE" w14:textId="49531008" w:rsidR="00FB6E46" w:rsidRPr="00FB6E46" w:rsidRDefault="00FB6E46" w:rsidP="00465792">
      <w:pPr>
        <w:spacing w:after="240"/>
        <w:ind w:left="360"/>
        <w:jc w:val="both"/>
        <w:rPr>
          <w:rFonts w:ascii="Calibri" w:hAnsi="Calibri" w:cstheme="minorHAnsi"/>
          <w:sz w:val="22"/>
          <w:szCs w:val="22"/>
        </w:rPr>
      </w:pPr>
      <w:r w:rsidRPr="00FB6E46">
        <w:rPr>
          <w:rFonts w:ascii="Calibri" w:hAnsi="Calibri" w:cstheme="minorHAnsi"/>
          <w:sz w:val="22"/>
          <w:szCs w:val="22"/>
        </w:rPr>
        <w:t xml:space="preserve">Padome uzskata, ka fiskālās drošības rezerves piešķiršana 2021. – 2023. </w:t>
      </w:r>
      <w:proofErr w:type="gramStart"/>
      <w:r w:rsidRPr="00FB6E46">
        <w:rPr>
          <w:rFonts w:ascii="Calibri" w:hAnsi="Calibri" w:cstheme="minorHAnsi"/>
          <w:sz w:val="22"/>
          <w:szCs w:val="22"/>
        </w:rPr>
        <w:t>gadam</w:t>
      </w:r>
      <w:proofErr w:type="gramEnd"/>
      <w:r w:rsidRPr="00FB6E46">
        <w:rPr>
          <w:rFonts w:ascii="Calibri" w:hAnsi="Calibri" w:cstheme="minorHAnsi"/>
          <w:sz w:val="22"/>
          <w:szCs w:val="22"/>
        </w:rPr>
        <w:t xml:space="preserve"> ir adekvāta, </w:t>
      </w:r>
      <w:r w:rsidR="006A50A5">
        <w:rPr>
          <w:rFonts w:ascii="Calibri" w:hAnsi="Calibri" w:cstheme="minorHAnsi"/>
          <w:sz w:val="22"/>
          <w:szCs w:val="22"/>
        </w:rPr>
        <w:t xml:space="preserve">savukārt neplānotiem izdevumiem, </w:t>
      </w:r>
      <w:r w:rsidRPr="00FB6E46">
        <w:rPr>
          <w:rFonts w:ascii="Calibri" w:hAnsi="Calibri" w:cstheme="minorHAnsi"/>
          <w:sz w:val="22"/>
          <w:szCs w:val="22"/>
        </w:rPr>
        <w:t>dažu valsts uzņēmumu darbības nodrošināša</w:t>
      </w:r>
      <w:r w:rsidR="006A50A5">
        <w:rPr>
          <w:rFonts w:ascii="Calibri" w:hAnsi="Calibri" w:cstheme="minorHAnsi"/>
          <w:sz w:val="22"/>
          <w:szCs w:val="22"/>
        </w:rPr>
        <w:t xml:space="preserve">nai pandēmijas laikā un pēc tās, </w:t>
      </w:r>
      <w:r w:rsidRPr="00FB6E46">
        <w:rPr>
          <w:rFonts w:ascii="Calibri" w:hAnsi="Calibri" w:cstheme="minorHAnsi"/>
          <w:sz w:val="22"/>
          <w:szCs w:val="22"/>
        </w:rPr>
        <w:t>ir vajadzīgas efektīvākas stratēģijas risku novēršanai un prasību samazināšanai valsts resursiem nākotnē.</w:t>
      </w:r>
    </w:p>
    <w:p w14:paraId="241F1640" w14:textId="2ED904D7" w:rsidR="00FB6E46" w:rsidRPr="00FB6E46" w:rsidRDefault="00FB6E46" w:rsidP="00465792">
      <w:pPr>
        <w:spacing w:after="240"/>
        <w:ind w:left="360"/>
        <w:jc w:val="both"/>
        <w:rPr>
          <w:rFonts w:ascii="Calibri" w:eastAsiaTheme="minorEastAsia" w:hAnsi="Calibri" w:cstheme="minorHAnsi"/>
          <w:sz w:val="22"/>
          <w:szCs w:val="22"/>
        </w:rPr>
      </w:pPr>
      <w:r w:rsidRPr="00FB6E46">
        <w:rPr>
          <w:rFonts w:ascii="Calibri" w:eastAsiaTheme="minorEastAsia" w:hAnsi="Calibri" w:cstheme="minorHAnsi"/>
          <w:sz w:val="22"/>
          <w:szCs w:val="22"/>
        </w:rPr>
        <w:t xml:space="preserve">Nākošie gadi būs sarežģīti no valsts fiskālā aspekta – </w:t>
      </w:r>
      <w:r w:rsidR="00D831FB" w:rsidRPr="00D831FB">
        <w:rPr>
          <w:rFonts w:asciiTheme="minorHAnsi" w:eastAsiaTheme="minorEastAsia" w:hAnsiTheme="minorHAnsi" w:cstheme="minorBidi"/>
          <w:bCs/>
          <w:sz w:val="22"/>
          <w:szCs w:val="22"/>
          <w:lang w:val="lv-LV"/>
        </w:rPr>
        <w:t xml:space="preserve">neskaidrība ar Covid-19 vīrusa izplatību, </w:t>
      </w:r>
      <w:r w:rsidR="00D831FB">
        <w:rPr>
          <w:rFonts w:ascii="Calibri" w:eastAsiaTheme="minorEastAsia" w:hAnsi="Calibri" w:cstheme="minorHAnsi"/>
          <w:sz w:val="22"/>
          <w:szCs w:val="22"/>
        </w:rPr>
        <w:t>n</w:t>
      </w:r>
      <w:r w:rsidRPr="00FB6E46">
        <w:rPr>
          <w:rFonts w:ascii="Calibri" w:eastAsiaTheme="minorEastAsia" w:hAnsi="Calibri" w:cstheme="minorHAnsi"/>
          <w:sz w:val="22"/>
          <w:szCs w:val="22"/>
        </w:rPr>
        <w:t xml:space="preserve">eskaidrība ārējā ekonomiskajā </w:t>
      </w:r>
      <w:proofErr w:type="gramStart"/>
      <w:r w:rsidRPr="00FB6E46">
        <w:rPr>
          <w:rFonts w:ascii="Calibri" w:eastAsiaTheme="minorEastAsia" w:hAnsi="Calibri" w:cstheme="minorHAnsi"/>
          <w:sz w:val="22"/>
          <w:szCs w:val="22"/>
        </w:rPr>
        <w:t>un</w:t>
      </w:r>
      <w:proofErr w:type="gramEnd"/>
      <w:r w:rsidRPr="00FB6E46">
        <w:rPr>
          <w:rFonts w:ascii="Calibri" w:eastAsiaTheme="minorEastAsia" w:hAnsi="Calibri" w:cstheme="minorHAnsi"/>
          <w:sz w:val="22"/>
          <w:szCs w:val="22"/>
        </w:rPr>
        <w:t xml:space="preserve"> politiskajā vidē, palielināts valsts parāds, nepieciešamība atgriezties pie ilgtspējīgas fiskālās politikas. Valsts šī brīža ekonomiskās politikas prioritāte </w:t>
      </w:r>
      <w:proofErr w:type="gramStart"/>
      <w:r w:rsidRPr="00FB6E46">
        <w:rPr>
          <w:rFonts w:ascii="Calibri" w:eastAsiaTheme="minorEastAsia" w:hAnsi="Calibri" w:cstheme="minorHAnsi"/>
          <w:sz w:val="22"/>
          <w:szCs w:val="22"/>
        </w:rPr>
        <w:t>un</w:t>
      </w:r>
      <w:proofErr w:type="gramEnd"/>
      <w:r w:rsidRPr="00FB6E46">
        <w:rPr>
          <w:rFonts w:ascii="Calibri" w:eastAsiaTheme="minorEastAsia" w:hAnsi="Calibri" w:cstheme="minorHAnsi"/>
          <w:sz w:val="22"/>
          <w:szCs w:val="22"/>
        </w:rPr>
        <w:t xml:space="preserve"> izaicinājums ir ekonomikas stimulēšana un ekonomiskās veiktspējas noturēšana, vienlaicīgi saglabājot valsts finanšu ilgtspēju vidējā termiņā un pakāpeniski atgriežoties pie fiskāli ilgtspējīga budžeta.  </w:t>
      </w:r>
    </w:p>
    <w:p w14:paraId="57A55C35" w14:textId="7DB6A505" w:rsidR="00FB6E46" w:rsidRPr="00FB6E46" w:rsidRDefault="00FB6E46" w:rsidP="00465792">
      <w:pPr>
        <w:spacing w:after="240"/>
        <w:ind w:left="360"/>
        <w:jc w:val="both"/>
        <w:rPr>
          <w:rFonts w:ascii="Calibri" w:eastAsiaTheme="minorEastAsia" w:hAnsi="Calibri" w:cstheme="minorHAnsi"/>
          <w:sz w:val="22"/>
          <w:szCs w:val="22"/>
        </w:rPr>
      </w:pPr>
      <w:r w:rsidRPr="00FB6E46">
        <w:rPr>
          <w:rFonts w:ascii="Calibri" w:hAnsi="Calibri" w:cstheme="minorHAnsi"/>
          <w:color w:val="000000" w:themeColor="text1"/>
          <w:sz w:val="22"/>
          <w:szCs w:val="22"/>
        </w:rPr>
        <w:t xml:space="preserve">Valdībai jāpastiprina fiskālo risku monitorings </w:t>
      </w:r>
      <w:proofErr w:type="gramStart"/>
      <w:r w:rsidRPr="00FB6E46">
        <w:rPr>
          <w:rFonts w:ascii="Calibri" w:hAnsi="Calibri" w:cstheme="minorHAnsi"/>
          <w:color w:val="000000" w:themeColor="text1"/>
          <w:sz w:val="22"/>
          <w:szCs w:val="22"/>
        </w:rPr>
        <w:t>un</w:t>
      </w:r>
      <w:proofErr w:type="gramEnd"/>
      <w:r w:rsidRPr="00FB6E46">
        <w:rPr>
          <w:rFonts w:ascii="Calibri" w:hAnsi="Calibri" w:cstheme="minorHAnsi"/>
          <w:color w:val="000000" w:themeColor="text1"/>
          <w:sz w:val="22"/>
          <w:szCs w:val="22"/>
        </w:rPr>
        <w:t xml:space="preserve"> vadība, īpaši, saistībā ar riskiem, kas izriet no Covid-19 finanšu instrumentiem uzņēm</w:t>
      </w:r>
      <w:r w:rsidR="00D831FB">
        <w:rPr>
          <w:rFonts w:ascii="Calibri" w:hAnsi="Calibri" w:cstheme="minorHAnsi"/>
          <w:color w:val="000000" w:themeColor="text1"/>
          <w:sz w:val="22"/>
          <w:szCs w:val="22"/>
        </w:rPr>
        <w:t>umiem</w:t>
      </w:r>
      <w:r w:rsidRPr="00FB6E46">
        <w:rPr>
          <w:rFonts w:ascii="Calibri" w:hAnsi="Calibri" w:cstheme="minorHAnsi"/>
          <w:color w:val="000000" w:themeColor="text1"/>
          <w:sz w:val="22"/>
          <w:szCs w:val="22"/>
        </w:rPr>
        <w:t>, valsts kapitālsabiedrību finanšu stāvokli un norisēm finanšu sektorā.</w:t>
      </w:r>
    </w:p>
    <w:p w14:paraId="7DCF379D" w14:textId="77777777" w:rsidR="00FB6E46" w:rsidRPr="00FB6E46" w:rsidRDefault="00FB6E46" w:rsidP="00465792">
      <w:pPr>
        <w:spacing w:after="240"/>
        <w:ind w:left="360"/>
        <w:jc w:val="both"/>
        <w:rPr>
          <w:rFonts w:ascii="Calibri" w:hAnsi="Calibri" w:cstheme="minorHAnsi"/>
          <w:sz w:val="22"/>
          <w:szCs w:val="22"/>
        </w:rPr>
      </w:pPr>
      <w:r w:rsidRPr="00FB6E46">
        <w:rPr>
          <w:rFonts w:ascii="Calibri" w:hAnsi="Calibri" w:cstheme="minorHAnsi"/>
          <w:sz w:val="22"/>
          <w:szCs w:val="22"/>
        </w:rPr>
        <w:t xml:space="preserve">Padome apstiprināja makroekonomiskās prognozes, kuras FM sagatavoja VTBI attīstībai 2021. – 2023. </w:t>
      </w:r>
      <w:proofErr w:type="gramStart"/>
      <w:r w:rsidRPr="00FB6E46">
        <w:rPr>
          <w:rFonts w:ascii="Calibri" w:hAnsi="Calibri" w:cstheme="minorHAnsi"/>
          <w:sz w:val="22"/>
          <w:szCs w:val="22"/>
        </w:rPr>
        <w:t>gadam</w:t>
      </w:r>
      <w:proofErr w:type="gramEnd"/>
      <w:r w:rsidRPr="00FB6E46">
        <w:rPr>
          <w:rFonts w:ascii="Calibri" w:hAnsi="Calibri" w:cstheme="minorHAnsi"/>
          <w:sz w:val="22"/>
          <w:szCs w:val="22"/>
        </w:rPr>
        <w:t xml:space="preserve">, paredzot ekonomiskās aktivitātes atjaunošanos 2021. </w:t>
      </w:r>
      <w:proofErr w:type="gramStart"/>
      <w:r w:rsidRPr="00FB6E46">
        <w:rPr>
          <w:rFonts w:ascii="Calibri" w:hAnsi="Calibri" w:cstheme="minorHAnsi"/>
          <w:sz w:val="22"/>
          <w:szCs w:val="22"/>
        </w:rPr>
        <w:t>gadā</w:t>
      </w:r>
      <w:proofErr w:type="gramEnd"/>
      <w:r w:rsidRPr="00FB6E46">
        <w:rPr>
          <w:rFonts w:ascii="Calibri" w:hAnsi="Calibri" w:cstheme="minorHAnsi"/>
          <w:sz w:val="22"/>
          <w:szCs w:val="22"/>
        </w:rPr>
        <w:t xml:space="preserve"> pēc būtiskas lejupslīdes 2020. </w:t>
      </w:r>
      <w:proofErr w:type="gramStart"/>
      <w:r w:rsidRPr="00FB6E46">
        <w:rPr>
          <w:rFonts w:ascii="Calibri" w:hAnsi="Calibri" w:cstheme="minorHAnsi"/>
          <w:sz w:val="22"/>
          <w:szCs w:val="22"/>
        </w:rPr>
        <w:t>gadā</w:t>
      </w:r>
      <w:proofErr w:type="gramEnd"/>
      <w:r w:rsidRPr="00FB6E46">
        <w:rPr>
          <w:rFonts w:ascii="Calibri" w:hAnsi="Calibri" w:cstheme="minorHAnsi"/>
          <w:sz w:val="22"/>
          <w:szCs w:val="22"/>
        </w:rPr>
        <w:t>.</w:t>
      </w:r>
    </w:p>
    <w:p w14:paraId="1195847D" w14:textId="77777777" w:rsidR="00FB6E46" w:rsidRPr="00FB6E46" w:rsidRDefault="00FB6E46" w:rsidP="00465792">
      <w:pPr>
        <w:spacing w:after="240"/>
        <w:ind w:left="360"/>
        <w:jc w:val="both"/>
        <w:rPr>
          <w:rFonts w:ascii="Calibri" w:hAnsi="Calibri" w:cstheme="minorHAnsi"/>
          <w:bCs/>
          <w:sz w:val="22"/>
          <w:szCs w:val="22"/>
        </w:rPr>
      </w:pPr>
      <w:r w:rsidRPr="00FB6E46">
        <w:rPr>
          <w:rFonts w:ascii="Calibri" w:hAnsi="Calibri" w:cstheme="minorHAnsi"/>
          <w:bCs/>
          <w:sz w:val="22"/>
          <w:szCs w:val="22"/>
        </w:rPr>
        <w:t xml:space="preserve">Lai gan Padome atzīst, ka jaunākie statistikas dati signalizē par ekonomikas stabilizēšanos, tomēr aicina pievērst īpašu vērību FM izstrādātajam Covid-19 otrā </w:t>
      </w:r>
      <w:proofErr w:type="gramStart"/>
      <w:r w:rsidRPr="00FB6E46">
        <w:rPr>
          <w:rFonts w:ascii="Calibri" w:hAnsi="Calibri" w:cstheme="minorHAnsi"/>
          <w:bCs/>
          <w:sz w:val="22"/>
          <w:szCs w:val="22"/>
        </w:rPr>
        <w:t>viļņa</w:t>
      </w:r>
      <w:proofErr w:type="gramEnd"/>
      <w:r w:rsidRPr="00FB6E46">
        <w:rPr>
          <w:rFonts w:ascii="Calibri" w:hAnsi="Calibri" w:cstheme="minorHAnsi"/>
          <w:bCs/>
          <w:sz w:val="22"/>
          <w:szCs w:val="22"/>
        </w:rPr>
        <w:t xml:space="preserve"> scenārijam, jo riski vēl arvien ir ļoti augsti gan saistībā ar saslimstību, gan ar pirms krīzes laikā aktuālo ģeopolitisko spriedzi: sarežģītās pēc-Brexit tirdzniecības sarunas, Baltkrievijas politiskā krīze un citi.</w:t>
      </w:r>
    </w:p>
    <w:p w14:paraId="30086C07" w14:textId="141A2CEA" w:rsidR="00FB6E46" w:rsidRPr="00FB6E46" w:rsidRDefault="00FB6E46" w:rsidP="00FB6E46">
      <w:pPr>
        <w:ind w:left="360"/>
        <w:jc w:val="both"/>
        <w:rPr>
          <w:rFonts w:ascii="Calibri" w:hAnsi="Calibri" w:cstheme="minorHAnsi"/>
          <w:sz w:val="22"/>
          <w:szCs w:val="22"/>
        </w:rPr>
      </w:pPr>
      <w:r w:rsidRPr="00FB6E46">
        <w:rPr>
          <w:rFonts w:ascii="Calibri" w:hAnsi="Calibri" w:cstheme="minorHAnsi"/>
          <w:sz w:val="22"/>
          <w:szCs w:val="22"/>
        </w:rPr>
        <w:t>Padome atzinīgi vērtē FM par alternatīvā makroekonomikas scenārija izstrā</w:t>
      </w:r>
      <w:r w:rsidR="00765BFE">
        <w:rPr>
          <w:rFonts w:ascii="Calibri" w:hAnsi="Calibri" w:cstheme="minorHAnsi"/>
          <w:sz w:val="22"/>
          <w:szCs w:val="22"/>
        </w:rPr>
        <w:t xml:space="preserve">di Covid-19 otrā pandēmijas </w:t>
      </w:r>
      <w:proofErr w:type="gramStart"/>
      <w:r w:rsidR="00765BFE">
        <w:rPr>
          <w:rFonts w:ascii="Calibri" w:hAnsi="Calibri" w:cstheme="minorHAnsi"/>
          <w:sz w:val="22"/>
          <w:szCs w:val="22"/>
        </w:rPr>
        <w:t>viļņ</w:t>
      </w:r>
      <w:r w:rsidRPr="00FB6E46">
        <w:rPr>
          <w:rFonts w:ascii="Calibri" w:hAnsi="Calibri" w:cstheme="minorHAnsi"/>
          <w:sz w:val="22"/>
          <w:szCs w:val="22"/>
        </w:rPr>
        <w:t>a</w:t>
      </w:r>
      <w:proofErr w:type="gramEnd"/>
      <w:r w:rsidRPr="00FB6E46">
        <w:rPr>
          <w:rFonts w:ascii="Calibri" w:hAnsi="Calibri" w:cstheme="minorHAnsi"/>
          <w:sz w:val="22"/>
          <w:szCs w:val="22"/>
        </w:rPr>
        <w:t xml:space="preserve"> gadījumam, kas paredz reālā IKP kritumu 2020. </w:t>
      </w:r>
      <w:proofErr w:type="gramStart"/>
      <w:r w:rsidRPr="00FB6E46">
        <w:rPr>
          <w:rFonts w:ascii="Calibri" w:hAnsi="Calibri" w:cstheme="minorHAnsi"/>
          <w:sz w:val="22"/>
          <w:szCs w:val="22"/>
        </w:rPr>
        <w:t>gadā</w:t>
      </w:r>
      <w:proofErr w:type="gramEnd"/>
      <w:r w:rsidRPr="00FB6E46">
        <w:rPr>
          <w:rFonts w:ascii="Calibri" w:hAnsi="Calibri" w:cstheme="minorHAnsi"/>
          <w:sz w:val="22"/>
          <w:szCs w:val="22"/>
        </w:rPr>
        <w:t xml:space="preserve"> līdz (-9%) apstiprināto (-7%) vietā, un vājāku ekonomikas izaugsmi 2021. gadā (+2%), apstiprināto (+5.1%) vietā. Padome uzskata, ka šādi riski joprojām ir būtiski, nesen pieaugot infekcijas transmisijai vietējā mērogā. Šāda situācija ierobežotu ekonomikas attīstību, Valdības rīcību, </w:t>
      </w:r>
      <w:proofErr w:type="gramStart"/>
      <w:r w:rsidRPr="00765BFE">
        <w:rPr>
          <w:rFonts w:ascii="Calibri" w:hAnsi="Calibri" w:cstheme="minorHAnsi"/>
          <w:sz w:val="22"/>
          <w:szCs w:val="22"/>
          <w:lang w:val="lv-LV"/>
        </w:rPr>
        <w:t>un</w:t>
      </w:r>
      <w:proofErr w:type="gramEnd"/>
      <w:r w:rsidRPr="00FB6E46">
        <w:rPr>
          <w:rFonts w:ascii="Calibri" w:hAnsi="Calibri" w:cstheme="minorHAnsi"/>
          <w:sz w:val="22"/>
          <w:szCs w:val="22"/>
        </w:rPr>
        <w:t xml:space="preserve"> arī patērētāju rīcību. Kopumā</w:t>
      </w:r>
      <w:r w:rsidR="00765BFE">
        <w:rPr>
          <w:rFonts w:ascii="Calibri" w:hAnsi="Calibri" w:cstheme="minorHAnsi"/>
          <w:sz w:val="22"/>
          <w:szCs w:val="22"/>
        </w:rPr>
        <w:t>,</w:t>
      </w:r>
      <w:r w:rsidRPr="00FB6E46">
        <w:rPr>
          <w:rFonts w:ascii="Calibri" w:hAnsi="Calibri" w:cstheme="minorHAnsi"/>
          <w:sz w:val="22"/>
          <w:szCs w:val="22"/>
        </w:rPr>
        <w:t xml:space="preserve"> </w:t>
      </w:r>
      <w:proofErr w:type="gramStart"/>
      <w:r w:rsidRPr="00FB6E46">
        <w:rPr>
          <w:rFonts w:ascii="Calibri" w:hAnsi="Calibri" w:cstheme="minorHAnsi"/>
          <w:sz w:val="22"/>
          <w:szCs w:val="22"/>
        </w:rPr>
        <w:t>tas</w:t>
      </w:r>
      <w:proofErr w:type="gramEnd"/>
      <w:r w:rsidRPr="00FB6E46">
        <w:rPr>
          <w:rFonts w:ascii="Calibri" w:hAnsi="Calibri" w:cstheme="minorHAnsi"/>
          <w:sz w:val="22"/>
          <w:szCs w:val="22"/>
        </w:rPr>
        <w:t xml:space="preserve"> varētu novest pie turpmākas ekonomiskās izaugsmes potenciāla samazināšanās, samazinot ieguldījumu efektivitāti nozarēs, kurās notiek pieprasījuma sarukums.</w:t>
      </w:r>
    </w:p>
    <w:p w14:paraId="4E25205C" w14:textId="38BEF2DE" w:rsidR="00FB6E46" w:rsidRPr="00FB6E46" w:rsidRDefault="00FB6E46" w:rsidP="00465792">
      <w:pPr>
        <w:spacing w:before="240"/>
        <w:ind w:left="360"/>
        <w:jc w:val="both"/>
        <w:rPr>
          <w:rFonts w:ascii="Calibri" w:hAnsi="Calibri" w:cstheme="minorHAnsi"/>
          <w:bCs/>
          <w:iCs/>
          <w:color w:val="191919"/>
          <w:sz w:val="22"/>
          <w:szCs w:val="22"/>
          <w:bdr w:val="none" w:sz="0" w:space="0" w:color="auto" w:frame="1"/>
          <w:shd w:val="clear" w:color="auto" w:fill="FFFFFF"/>
        </w:rPr>
      </w:pPr>
      <w:r w:rsidRPr="00FB6E46">
        <w:rPr>
          <w:rFonts w:ascii="Calibri" w:hAnsi="Calibri" w:cstheme="minorHAnsi"/>
          <w:bCs/>
          <w:iCs/>
          <w:color w:val="191919"/>
          <w:sz w:val="22"/>
          <w:szCs w:val="22"/>
          <w:bdr w:val="none" w:sz="0" w:space="0" w:color="auto" w:frame="1"/>
          <w:shd w:val="clear" w:color="auto" w:fill="FFFFFF"/>
        </w:rPr>
        <w:t>Ekonomiskā noskaņojuma rādītāji Latvijā turpina uzlaboties, lai gan saldo vēl jopro</w:t>
      </w:r>
      <w:r w:rsidR="00F2200E">
        <w:rPr>
          <w:rFonts w:ascii="Calibri" w:hAnsi="Calibri" w:cstheme="minorHAnsi"/>
          <w:bCs/>
          <w:iCs/>
          <w:color w:val="191919"/>
          <w:sz w:val="22"/>
          <w:szCs w:val="22"/>
          <w:bdr w:val="none" w:sz="0" w:space="0" w:color="auto" w:frame="1"/>
          <w:shd w:val="clear" w:color="auto" w:fill="FFFFFF"/>
        </w:rPr>
        <w:t>jām ir negatīvo vērtību zonā. Eu</w:t>
      </w:r>
      <w:r w:rsidRPr="00FB6E46">
        <w:rPr>
          <w:rFonts w:ascii="Calibri" w:hAnsi="Calibri" w:cstheme="minorHAnsi"/>
          <w:bCs/>
          <w:iCs/>
          <w:color w:val="191919"/>
          <w:sz w:val="22"/>
          <w:szCs w:val="22"/>
          <w:bdr w:val="none" w:sz="0" w:space="0" w:color="auto" w:frame="1"/>
          <w:shd w:val="clear" w:color="auto" w:fill="FFFFFF"/>
        </w:rPr>
        <w:t xml:space="preserve">rostat dati liecina, ka </w:t>
      </w:r>
      <w:proofErr w:type="gramStart"/>
      <w:r w:rsidRPr="00FB6E46">
        <w:rPr>
          <w:rFonts w:ascii="Calibri" w:hAnsi="Calibri" w:cstheme="minorHAnsi"/>
          <w:bCs/>
          <w:iCs/>
          <w:color w:val="191919"/>
          <w:sz w:val="22"/>
          <w:szCs w:val="22"/>
          <w:bdr w:val="none" w:sz="0" w:space="0" w:color="auto" w:frame="1"/>
          <w:shd w:val="clear" w:color="auto" w:fill="FFFFFF"/>
        </w:rPr>
        <w:t>augustā</w:t>
      </w:r>
      <w:proofErr w:type="gramEnd"/>
      <w:r w:rsidRPr="00FB6E46">
        <w:rPr>
          <w:rFonts w:ascii="Calibri" w:hAnsi="Calibri" w:cstheme="minorHAnsi"/>
          <w:bCs/>
          <w:iCs/>
          <w:color w:val="191919"/>
          <w:sz w:val="22"/>
          <w:szCs w:val="22"/>
          <w:bdr w:val="none" w:sz="0" w:space="0" w:color="auto" w:frame="1"/>
          <w:shd w:val="clear" w:color="auto" w:fill="FFFFFF"/>
        </w:rPr>
        <w:t xml:space="preserve"> ekonomiskā sentimenta rādītāji turpināja uzlaboties arī Latvijas galvenajiem tirdzniecības partneriem, tomēr šie uzlabojumi pagaidām nekorelē ar Latvijas eksporta sniegumu. Kopumā paredzams, ka noskaņojuma rādītājiem sekos </w:t>
      </w:r>
      <w:r w:rsidR="00390462">
        <w:rPr>
          <w:rFonts w:ascii="Calibri" w:hAnsi="Calibri" w:cstheme="minorHAnsi"/>
          <w:bCs/>
          <w:iCs/>
          <w:color w:val="191919"/>
          <w:sz w:val="22"/>
          <w:szCs w:val="22"/>
          <w:bdr w:val="none" w:sz="0" w:space="0" w:color="auto" w:frame="1"/>
          <w:shd w:val="clear" w:color="auto" w:fill="FFFFFF"/>
        </w:rPr>
        <w:t>arī reāli uzlabojumi ekonomikā,</w:t>
      </w:r>
      <w:r w:rsidRPr="00FB6E46">
        <w:rPr>
          <w:rFonts w:ascii="Calibri" w:hAnsi="Calibri" w:cstheme="minorHAnsi"/>
          <w:bCs/>
          <w:iCs/>
          <w:color w:val="191919"/>
          <w:sz w:val="22"/>
          <w:szCs w:val="22"/>
          <w:bdr w:val="none" w:sz="0" w:space="0" w:color="auto" w:frame="1"/>
          <w:shd w:val="clear" w:color="auto" w:fill="FFFFFF"/>
        </w:rPr>
        <w:t xml:space="preserve"> tomēr konjunktūras </w:t>
      </w:r>
      <w:r w:rsidRPr="00FB6E46">
        <w:rPr>
          <w:rFonts w:ascii="Calibri" w:hAnsi="Calibri" w:cstheme="minorHAnsi"/>
          <w:bCs/>
          <w:iCs/>
          <w:color w:val="191919"/>
          <w:sz w:val="22"/>
          <w:szCs w:val="22"/>
          <w:bdr w:val="none" w:sz="0" w:space="0" w:color="auto" w:frame="1"/>
          <w:shd w:val="clear" w:color="auto" w:fill="FFFFFF"/>
        </w:rPr>
        <w:lastRenderedPageBreak/>
        <w:t xml:space="preserve">rādītāji ir ļoti jūtīgi </w:t>
      </w:r>
      <w:proofErr w:type="gramStart"/>
      <w:r w:rsidRPr="00FB6E46">
        <w:rPr>
          <w:rFonts w:ascii="Calibri" w:hAnsi="Calibri" w:cstheme="minorHAnsi"/>
          <w:bCs/>
          <w:iCs/>
          <w:color w:val="191919"/>
          <w:sz w:val="22"/>
          <w:szCs w:val="22"/>
          <w:bdr w:val="none" w:sz="0" w:space="0" w:color="auto" w:frame="1"/>
          <w:shd w:val="clear" w:color="auto" w:fill="FFFFFF"/>
        </w:rPr>
        <w:t>un</w:t>
      </w:r>
      <w:proofErr w:type="gramEnd"/>
      <w:r w:rsidRPr="00FB6E46">
        <w:rPr>
          <w:rFonts w:ascii="Calibri" w:hAnsi="Calibri" w:cstheme="minorHAnsi"/>
          <w:bCs/>
          <w:iCs/>
          <w:color w:val="191919"/>
          <w:sz w:val="22"/>
          <w:szCs w:val="22"/>
          <w:bdr w:val="none" w:sz="0" w:space="0" w:color="auto" w:frame="1"/>
          <w:shd w:val="clear" w:color="auto" w:fill="FFFFFF"/>
        </w:rPr>
        <w:t xml:space="preserve"> pieaugot jauniem Covid-19 ierobežojumu draudiem tie var tik pat strauji kristies.</w:t>
      </w:r>
    </w:p>
    <w:p w14:paraId="01573EC5" w14:textId="21E451A2" w:rsidR="00FB6E46" w:rsidRPr="00FB6E46" w:rsidRDefault="00FB6E46" w:rsidP="00465792">
      <w:pPr>
        <w:spacing w:before="240"/>
        <w:ind w:left="360"/>
        <w:jc w:val="both"/>
        <w:rPr>
          <w:rFonts w:ascii="Calibri" w:hAnsi="Calibri" w:cstheme="minorHAnsi"/>
          <w:sz w:val="22"/>
          <w:szCs w:val="22"/>
        </w:rPr>
      </w:pPr>
      <w:r w:rsidRPr="00FB6E46">
        <w:rPr>
          <w:rFonts w:ascii="Calibri" w:hAnsi="Calibri" w:cstheme="minorHAnsi"/>
          <w:sz w:val="22"/>
          <w:szCs w:val="22"/>
        </w:rPr>
        <w:t xml:space="preserve">Covid-19 periodā straujākais bezdarba pieaugums ir noticis aprīlī, tomēr kopumā salīdzinot situāciju iepriekšējā </w:t>
      </w:r>
      <w:r w:rsidR="00D831FB">
        <w:rPr>
          <w:rFonts w:ascii="Calibri" w:hAnsi="Calibri" w:cstheme="minorHAnsi"/>
          <w:sz w:val="22"/>
          <w:szCs w:val="22"/>
        </w:rPr>
        <w:t>f</w:t>
      </w:r>
      <w:r w:rsidRPr="00FB6E46">
        <w:rPr>
          <w:rFonts w:ascii="Calibri" w:hAnsi="Calibri" w:cstheme="minorHAnsi"/>
          <w:sz w:val="22"/>
          <w:szCs w:val="22"/>
        </w:rPr>
        <w:t xml:space="preserve">inanšu krīzē, bezdarba pieaugumu nevar uzskatīt par dramatisku. Jau </w:t>
      </w:r>
      <w:proofErr w:type="gramStart"/>
      <w:r w:rsidRPr="00FB6E46">
        <w:rPr>
          <w:rFonts w:ascii="Calibri" w:hAnsi="Calibri" w:cstheme="minorHAnsi"/>
          <w:sz w:val="22"/>
          <w:szCs w:val="22"/>
        </w:rPr>
        <w:t>augustā</w:t>
      </w:r>
      <w:proofErr w:type="gramEnd"/>
      <w:r w:rsidRPr="00FB6E46">
        <w:rPr>
          <w:rFonts w:ascii="Calibri" w:hAnsi="Calibri" w:cstheme="minorHAnsi"/>
          <w:sz w:val="22"/>
          <w:szCs w:val="22"/>
        </w:rPr>
        <w:t xml:space="preserve"> bezdarba līmenis sācis samazināties. Šādu pozitīvu situāciju nodrošināja gan dīkstāves pabalstu pieejamība, gan kopējais augstais pieprasījums pēc darbaspēka pirms Covid-19 krīzes. Šāda situācija ļāva darbiniekiem reintegrēties citās nozarēs, kur pieprasījums saglabājās. Aizvien riskam ir pakļauti tūrisma </w:t>
      </w:r>
      <w:proofErr w:type="gramStart"/>
      <w:r w:rsidRPr="00FB6E46">
        <w:rPr>
          <w:rFonts w:ascii="Calibri" w:hAnsi="Calibri" w:cstheme="minorHAnsi"/>
          <w:sz w:val="22"/>
          <w:szCs w:val="22"/>
        </w:rPr>
        <w:t>un</w:t>
      </w:r>
      <w:proofErr w:type="gramEnd"/>
      <w:r w:rsidRPr="00FB6E46">
        <w:rPr>
          <w:rFonts w:ascii="Calibri" w:hAnsi="Calibri" w:cstheme="minorHAnsi"/>
          <w:sz w:val="22"/>
          <w:szCs w:val="22"/>
        </w:rPr>
        <w:t xml:space="preserve"> viesmīlības nozares darbinieki, kuru darba vietas saglabājās pateicoties valsts atbalsta pasākumiem, tomēr atbalsts ir īslaicīgs instruments, un tas nesniedzas līdz nākamās tūrisma sezonas sākumam.</w:t>
      </w:r>
    </w:p>
    <w:p w14:paraId="757D020A" w14:textId="5A32FBA2" w:rsidR="00FB6E46" w:rsidRPr="00AC2DB9" w:rsidRDefault="00FB6E46" w:rsidP="00465792">
      <w:pPr>
        <w:spacing w:before="240"/>
        <w:ind w:left="360"/>
        <w:jc w:val="both"/>
        <w:rPr>
          <w:rFonts w:ascii="Calibri" w:hAnsi="Calibri" w:cstheme="minorHAnsi"/>
          <w:sz w:val="22"/>
          <w:szCs w:val="22"/>
          <w:lang w:val="lv-LV"/>
        </w:rPr>
      </w:pPr>
      <w:r w:rsidRPr="00390462">
        <w:rPr>
          <w:rFonts w:ascii="Calibri" w:hAnsi="Calibri" w:cstheme="minorHAnsi"/>
          <w:sz w:val="22"/>
          <w:szCs w:val="22"/>
          <w:lang w:val="lv-LV"/>
        </w:rPr>
        <w:t>Jau</w:t>
      </w:r>
      <w:r w:rsidRPr="00AC2DB9">
        <w:rPr>
          <w:rFonts w:ascii="Calibri" w:hAnsi="Calibri" w:cstheme="minorHAnsi"/>
          <w:sz w:val="22"/>
          <w:szCs w:val="22"/>
          <w:lang w:val="lv-LV"/>
        </w:rPr>
        <w:t xml:space="preserve"> kopš 2019.</w:t>
      </w:r>
      <w:r w:rsidRPr="00390462">
        <w:rPr>
          <w:rFonts w:ascii="Calibri" w:hAnsi="Calibri" w:cstheme="minorHAnsi"/>
          <w:sz w:val="22"/>
          <w:szCs w:val="22"/>
          <w:lang w:val="lv-LV"/>
        </w:rPr>
        <w:t xml:space="preserve"> gada turpinās</w:t>
      </w:r>
      <w:r w:rsidRPr="00AC2DB9">
        <w:rPr>
          <w:rFonts w:ascii="Calibri" w:hAnsi="Calibri" w:cstheme="minorHAnsi"/>
          <w:sz w:val="22"/>
          <w:szCs w:val="22"/>
          <w:lang w:val="lv-LV"/>
        </w:rPr>
        <w:t xml:space="preserve"> lejupslīde transporta un uzglabāšanas nozarē. Īpaši nelabvēlīga situācija ir vēroja</w:t>
      </w:r>
      <w:r w:rsidR="006A50A5">
        <w:rPr>
          <w:rFonts w:ascii="Calibri" w:hAnsi="Calibri" w:cstheme="minorHAnsi"/>
          <w:sz w:val="22"/>
          <w:szCs w:val="22"/>
          <w:lang w:val="lv-LV"/>
        </w:rPr>
        <w:t>ma</w:t>
      </w:r>
      <w:r w:rsidRPr="00AC2DB9">
        <w:rPr>
          <w:rFonts w:ascii="Calibri" w:hAnsi="Calibri" w:cstheme="minorHAnsi"/>
          <w:sz w:val="22"/>
          <w:szCs w:val="22"/>
          <w:lang w:val="lv-LV"/>
        </w:rPr>
        <w:t xml:space="preserve"> ostu segmentā, 2019. gadā salīdzinot ar 2018. gadu kravu apgrozījuma apjoms ir samazinājies par (-5.7%), savukārt 2020. gada pirmajā pusgadā salīdzinot ar 2019. gada atbilstošo periodu apgrozījuma apjoma kritums sasniedzis (-30.1%). Kravu pārvadājumu apjoms ar dzelzceļa transportu un Latvijā reģistrētu autotransportu 2019. gadā salīdzinot ar 2018. gadu samazinājies par (-8.5%), bet 2020. gada pirmajā pusgadā salīdzinot ar 2019. gada atbilstošo periodu apgrozījuma pārvadāto kravu apjoms sarucis par (-17.4%). Tas liek nopietni vērtēt turpmāko investīciju atgūšanas iespējas tranzīta nozarēs.</w:t>
      </w:r>
    </w:p>
    <w:p w14:paraId="1042A771" w14:textId="1BE2BD26" w:rsidR="00D6586B" w:rsidRPr="00FB6E46" w:rsidRDefault="00FB6E46" w:rsidP="00465792">
      <w:pPr>
        <w:pStyle w:val="ListParagraph"/>
        <w:spacing w:before="240"/>
        <w:ind w:left="284"/>
        <w:jc w:val="both"/>
        <w:rPr>
          <w:rFonts w:ascii="Calibri" w:eastAsiaTheme="minorHAnsi" w:hAnsi="Calibri" w:cstheme="minorHAnsi"/>
          <w:sz w:val="22"/>
          <w:szCs w:val="22"/>
          <w:lang w:val="lv-LV"/>
        </w:rPr>
      </w:pPr>
      <w:r w:rsidRPr="00AC2DB9">
        <w:rPr>
          <w:rFonts w:ascii="Calibri" w:hAnsi="Calibri" w:cstheme="minorHAnsi"/>
          <w:sz w:val="22"/>
          <w:szCs w:val="22"/>
          <w:lang w:val="lv-LV"/>
        </w:rPr>
        <w:t>Pakalpojumu eksports ir uzrādījis dramatisku lejupslīdi š.g. abos ceturkšņos. Latvijas Bankas dati liecina, ka 2020. gada 2. ceturksnī bija vērojama strauja lejupslīde pakalpojumu eksportā (29.5%) apmērā, salīdzinot ar iepriekšējā gada atbilstošo periodu, kas naudas izteiksmē nozīmē sarukumu 414 miljonu eiro apmērā. Šādu kritumu galvenokārt izraisīja samazinājums transporta pakalpojumu eksportā (-19.5%) un samazinājums ceļoj</w:t>
      </w:r>
      <w:r w:rsidR="00390462" w:rsidRPr="00AC2DB9">
        <w:rPr>
          <w:rFonts w:ascii="Calibri" w:hAnsi="Calibri" w:cstheme="minorHAnsi"/>
          <w:sz w:val="22"/>
          <w:szCs w:val="22"/>
          <w:lang w:val="lv-LV"/>
        </w:rPr>
        <w:t>umu pakalpojumu eksportā (-11%).</w:t>
      </w:r>
    </w:p>
    <w:p w14:paraId="2D095BAC" w14:textId="3CECDFF7" w:rsidR="002C318B" w:rsidRPr="0078054E" w:rsidRDefault="002C318B">
      <w:pPr>
        <w:spacing w:after="160" w:line="259" w:lineRule="auto"/>
        <w:rPr>
          <w:rFonts w:eastAsia="Segoe UI Emoji"/>
          <w:lang w:val="lv-LV"/>
        </w:rPr>
      </w:pPr>
      <w:r w:rsidRPr="0078054E">
        <w:rPr>
          <w:rFonts w:eastAsia="Segoe UI Emoji"/>
          <w:lang w:val="lv-LV"/>
        </w:rPr>
        <w:br w:type="page"/>
      </w:r>
    </w:p>
    <w:p w14:paraId="2354E6F2" w14:textId="44764EB4" w:rsidR="009C6BEF" w:rsidRPr="0078054E" w:rsidRDefault="009C6BEF" w:rsidP="00E80820">
      <w:pPr>
        <w:pStyle w:val="Heading1"/>
        <w:rPr>
          <w:caps/>
          <w:lang w:val="lv-LV"/>
        </w:rPr>
      </w:pPr>
      <w:bookmarkStart w:id="3" w:name="_Toc21590731"/>
      <w:bookmarkStart w:id="4" w:name="_Toc53387623"/>
      <w:bookmarkEnd w:id="1"/>
      <w:r w:rsidRPr="0078054E">
        <w:rPr>
          <w:caps/>
          <w:lang w:val="lv-LV"/>
        </w:rPr>
        <w:lastRenderedPageBreak/>
        <w:t>Saīsinājumi</w:t>
      </w:r>
      <w:bookmarkEnd w:id="3"/>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153"/>
        <w:gridCol w:w="4153"/>
      </w:tblGrid>
      <w:tr w:rsidR="009C6BEF" w:rsidRPr="0078054E" w14:paraId="539F26C3" w14:textId="77777777" w:rsidTr="002D696E">
        <w:tc>
          <w:tcPr>
            <w:tcW w:w="4153" w:type="dxa"/>
          </w:tcPr>
          <w:p w14:paraId="0B2CA34A" w14:textId="77777777" w:rsidR="009C6BEF" w:rsidRPr="0078054E" w:rsidRDefault="009C6BEF" w:rsidP="009C6BEF">
            <w:pPr>
              <w:rPr>
                <w:rFonts w:eastAsiaTheme="minorEastAsia"/>
                <w:lang w:val="lv-LV"/>
              </w:rPr>
            </w:pPr>
          </w:p>
        </w:tc>
        <w:tc>
          <w:tcPr>
            <w:tcW w:w="4153" w:type="dxa"/>
          </w:tcPr>
          <w:p w14:paraId="4A810B66" w14:textId="77777777" w:rsidR="009C6BEF" w:rsidRPr="0078054E" w:rsidRDefault="009C6BEF" w:rsidP="009C6BEF">
            <w:pPr>
              <w:rPr>
                <w:rFonts w:eastAsiaTheme="minorEastAsia"/>
                <w:lang w:val="lv-LV"/>
              </w:rPr>
            </w:pPr>
            <w:r w:rsidRPr="0078054E">
              <w:rPr>
                <w:rFonts w:eastAsiaTheme="minorEastAsia"/>
                <w:lang w:val="lv-LV"/>
              </w:rPr>
              <w:t xml:space="preserve"> </w:t>
            </w:r>
          </w:p>
        </w:tc>
      </w:tr>
      <w:tr w:rsidR="009C6BEF" w:rsidRPr="0078054E" w14:paraId="4CE32A41" w14:textId="77777777" w:rsidTr="002D696E">
        <w:tc>
          <w:tcPr>
            <w:tcW w:w="4153" w:type="dxa"/>
          </w:tcPr>
          <w:p w14:paraId="1B9EF776" w14:textId="77777777" w:rsidR="009C6BEF" w:rsidRPr="0078054E" w:rsidRDefault="009C6BEF" w:rsidP="009C6BEF">
            <w:pPr>
              <w:rPr>
                <w:rFonts w:asciiTheme="minorHAnsi" w:eastAsiaTheme="minorEastAsia" w:hAnsiTheme="minorHAnsi"/>
                <w:lang w:val="lv-LV"/>
              </w:rPr>
            </w:pPr>
            <w:r w:rsidRPr="0078054E">
              <w:rPr>
                <w:rFonts w:asciiTheme="minorHAnsi" w:eastAsiaTheme="minorEastAsia" w:hAnsiTheme="minorHAnsi"/>
                <w:lang w:val="lv-LV"/>
              </w:rPr>
              <w:t>AS</w:t>
            </w:r>
          </w:p>
        </w:tc>
        <w:tc>
          <w:tcPr>
            <w:tcW w:w="4153" w:type="dxa"/>
          </w:tcPr>
          <w:p w14:paraId="3C881D91" w14:textId="77777777" w:rsidR="009C6BEF" w:rsidRPr="0078054E" w:rsidRDefault="009C6BEF" w:rsidP="009C6BEF">
            <w:pPr>
              <w:rPr>
                <w:rFonts w:asciiTheme="minorHAnsi" w:eastAsiaTheme="minorEastAsia" w:hAnsiTheme="minorHAnsi"/>
                <w:lang w:val="lv-LV"/>
              </w:rPr>
            </w:pPr>
            <w:r w:rsidRPr="0078054E">
              <w:rPr>
                <w:rFonts w:asciiTheme="minorHAnsi" w:eastAsiaTheme="minorEastAsia" w:hAnsiTheme="minorHAnsi"/>
                <w:lang w:val="lv-LV"/>
              </w:rPr>
              <w:t>Akciju sabiedrība</w:t>
            </w:r>
          </w:p>
        </w:tc>
      </w:tr>
      <w:tr w:rsidR="009C6BEF" w:rsidRPr="0078054E" w14:paraId="7A2531A5" w14:textId="77777777" w:rsidTr="002D696E">
        <w:tc>
          <w:tcPr>
            <w:tcW w:w="4153" w:type="dxa"/>
          </w:tcPr>
          <w:p w14:paraId="41D8CCA4" w14:textId="77777777" w:rsidR="009C6BEF" w:rsidRPr="0078054E" w:rsidRDefault="009C6BEF" w:rsidP="009C6BEF">
            <w:pPr>
              <w:rPr>
                <w:rFonts w:asciiTheme="minorHAnsi" w:eastAsiaTheme="minorEastAsia" w:hAnsiTheme="minorHAnsi"/>
                <w:lang w:val="lv-LV"/>
              </w:rPr>
            </w:pPr>
            <w:r w:rsidRPr="0078054E">
              <w:rPr>
                <w:rFonts w:asciiTheme="minorHAnsi" w:eastAsiaTheme="minorEastAsia" w:hAnsiTheme="minorHAnsi"/>
                <w:lang w:val="lv-LV"/>
              </w:rPr>
              <w:t>BPP</w:t>
            </w:r>
          </w:p>
        </w:tc>
        <w:tc>
          <w:tcPr>
            <w:tcW w:w="4153" w:type="dxa"/>
          </w:tcPr>
          <w:p w14:paraId="352F7EEE" w14:textId="77777777" w:rsidR="009C6BEF" w:rsidRPr="0078054E" w:rsidRDefault="009C6BEF" w:rsidP="009C6BEF">
            <w:pPr>
              <w:rPr>
                <w:rFonts w:asciiTheme="minorHAnsi" w:eastAsiaTheme="minorEastAsia" w:hAnsiTheme="minorHAnsi"/>
                <w:lang w:val="lv-LV"/>
              </w:rPr>
            </w:pPr>
            <w:r w:rsidRPr="0078054E">
              <w:rPr>
                <w:rFonts w:asciiTheme="minorHAnsi" w:eastAsiaTheme="minorEastAsia" w:hAnsiTheme="minorHAnsi"/>
                <w:lang w:val="lv-LV"/>
              </w:rPr>
              <w:t>Budžeta plāna projekts</w:t>
            </w:r>
          </w:p>
        </w:tc>
      </w:tr>
      <w:tr w:rsidR="009C6BEF" w:rsidRPr="0078054E" w14:paraId="775AA456" w14:textId="77777777" w:rsidTr="002D696E">
        <w:tc>
          <w:tcPr>
            <w:tcW w:w="4153" w:type="dxa"/>
          </w:tcPr>
          <w:p w14:paraId="7FEE8830" w14:textId="06830E88" w:rsidR="009C6BEF" w:rsidRPr="0078054E" w:rsidRDefault="00237F86" w:rsidP="009C6BEF">
            <w:pPr>
              <w:rPr>
                <w:rFonts w:asciiTheme="minorHAnsi" w:eastAsiaTheme="minorEastAsia" w:hAnsiTheme="minorHAnsi"/>
                <w:lang w:val="lv-LV"/>
              </w:rPr>
            </w:pPr>
            <w:r>
              <w:rPr>
                <w:rFonts w:asciiTheme="minorHAnsi" w:eastAsiaTheme="minorEastAsia" w:hAnsiTheme="minorHAnsi"/>
                <w:lang w:val="lv-LV"/>
              </w:rPr>
              <w:t>L</w:t>
            </w:r>
            <w:r w:rsidR="009C6BEF" w:rsidRPr="0078054E">
              <w:rPr>
                <w:rFonts w:asciiTheme="minorHAnsi" w:eastAsiaTheme="minorEastAsia" w:hAnsiTheme="minorHAnsi"/>
                <w:lang w:val="lv-LV"/>
              </w:rPr>
              <w:t>BFV</w:t>
            </w:r>
          </w:p>
        </w:tc>
        <w:tc>
          <w:tcPr>
            <w:tcW w:w="4153" w:type="dxa"/>
          </w:tcPr>
          <w:p w14:paraId="7CEBA660" w14:textId="3EDB06FC" w:rsidR="009C6BEF" w:rsidRPr="0078054E" w:rsidRDefault="00237F86" w:rsidP="009C6BEF">
            <w:pPr>
              <w:rPr>
                <w:rFonts w:asciiTheme="minorHAnsi" w:eastAsiaTheme="minorEastAsia" w:hAnsiTheme="minorHAnsi"/>
                <w:lang w:val="lv-LV"/>
              </w:rPr>
            </w:pPr>
            <w:r>
              <w:rPr>
                <w:rFonts w:asciiTheme="minorHAnsi" w:eastAsiaTheme="minorEastAsia" w:hAnsiTheme="minorHAnsi"/>
                <w:lang w:val="lv-LV"/>
              </w:rPr>
              <w:t>Likums par b</w:t>
            </w:r>
            <w:r w:rsidR="009C6BEF" w:rsidRPr="0078054E">
              <w:rPr>
                <w:rFonts w:asciiTheme="minorHAnsi" w:eastAsiaTheme="minorEastAsia" w:hAnsiTheme="minorHAnsi"/>
                <w:lang w:val="lv-LV"/>
              </w:rPr>
              <w:t>udžet</w:t>
            </w:r>
            <w:r>
              <w:rPr>
                <w:rFonts w:asciiTheme="minorHAnsi" w:eastAsiaTheme="minorEastAsia" w:hAnsiTheme="minorHAnsi"/>
                <w:lang w:val="lv-LV"/>
              </w:rPr>
              <w:t>u</w:t>
            </w:r>
            <w:r w:rsidR="009C6BEF" w:rsidRPr="0078054E">
              <w:rPr>
                <w:rFonts w:asciiTheme="minorHAnsi" w:eastAsiaTheme="minorEastAsia" w:hAnsiTheme="minorHAnsi"/>
                <w:lang w:val="lv-LV"/>
              </w:rPr>
              <w:t xml:space="preserve"> un finanšu</w:t>
            </w:r>
            <w:r>
              <w:rPr>
                <w:rFonts w:asciiTheme="minorHAnsi" w:eastAsiaTheme="minorEastAsia" w:hAnsiTheme="minorHAnsi"/>
                <w:lang w:val="lv-LV"/>
              </w:rPr>
              <w:t xml:space="preserve"> vadību</w:t>
            </w:r>
          </w:p>
        </w:tc>
      </w:tr>
      <w:tr w:rsidR="004610AB" w:rsidRPr="0004026F" w14:paraId="3B35C8EC" w14:textId="77777777" w:rsidTr="002D696E">
        <w:tc>
          <w:tcPr>
            <w:tcW w:w="4153" w:type="dxa"/>
          </w:tcPr>
          <w:p w14:paraId="744FFA15" w14:textId="4BDD9CF8" w:rsidR="004610AB" w:rsidRPr="0078054E" w:rsidRDefault="004610AB" w:rsidP="009C6BEF">
            <w:pPr>
              <w:rPr>
                <w:rFonts w:asciiTheme="minorHAnsi" w:eastAsiaTheme="minorEastAsia" w:hAnsiTheme="minorHAnsi"/>
                <w:lang w:val="lv-LV"/>
              </w:rPr>
            </w:pPr>
            <w:r w:rsidRPr="0078054E">
              <w:rPr>
                <w:rFonts w:asciiTheme="minorHAnsi" w:eastAsiaTheme="minorEastAsia" w:hAnsiTheme="minorHAnsi"/>
                <w:lang w:val="lv-LV"/>
              </w:rPr>
              <w:t>Covid-19 krīzes likums</w:t>
            </w:r>
          </w:p>
        </w:tc>
        <w:tc>
          <w:tcPr>
            <w:tcW w:w="4153" w:type="dxa"/>
          </w:tcPr>
          <w:p w14:paraId="3B3A0099" w14:textId="7A2EBC5C" w:rsidR="004610AB" w:rsidRPr="0078054E" w:rsidRDefault="004610AB" w:rsidP="009C6BEF">
            <w:pPr>
              <w:rPr>
                <w:rFonts w:asciiTheme="minorHAnsi" w:eastAsiaTheme="minorEastAsia" w:hAnsiTheme="minorHAnsi"/>
                <w:lang w:val="lv-LV"/>
              </w:rPr>
            </w:pPr>
            <w:r w:rsidRPr="0078054E">
              <w:rPr>
                <w:rFonts w:asciiTheme="minorHAnsi" w:eastAsiaTheme="minorEastAsia" w:hAnsiTheme="minorHAnsi"/>
                <w:lang w:val="lv-LV"/>
              </w:rPr>
              <w:t>Likums Par valsts apdraudējuma un tā seku novēršanas un pārvarēšanas pasākumiem sakarā ar Covid-19 izplatību</w:t>
            </w:r>
          </w:p>
        </w:tc>
      </w:tr>
      <w:tr w:rsidR="009C6BEF" w:rsidRPr="0078054E" w14:paraId="2662585C" w14:textId="77777777" w:rsidTr="002D696E">
        <w:tc>
          <w:tcPr>
            <w:tcW w:w="4153" w:type="dxa"/>
          </w:tcPr>
          <w:p w14:paraId="6B5F73FF" w14:textId="77777777" w:rsidR="009C6BEF" w:rsidRPr="0078054E" w:rsidRDefault="009C6BEF" w:rsidP="009C6BEF">
            <w:pPr>
              <w:rPr>
                <w:rFonts w:asciiTheme="minorHAnsi" w:eastAsiaTheme="minorEastAsia" w:hAnsiTheme="minorHAnsi"/>
                <w:lang w:val="lv-LV"/>
              </w:rPr>
            </w:pPr>
            <w:r w:rsidRPr="0078054E">
              <w:rPr>
                <w:rFonts w:asciiTheme="minorHAnsi" w:eastAsiaTheme="minorEastAsia" w:hAnsiTheme="minorHAnsi"/>
                <w:lang w:val="lv-LV"/>
              </w:rPr>
              <w:t>EK</w:t>
            </w:r>
          </w:p>
        </w:tc>
        <w:tc>
          <w:tcPr>
            <w:tcW w:w="4153" w:type="dxa"/>
          </w:tcPr>
          <w:p w14:paraId="47F1E81C" w14:textId="77777777" w:rsidR="009C6BEF" w:rsidRPr="0078054E" w:rsidRDefault="009C6BEF" w:rsidP="009C6BEF">
            <w:pPr>
              <w:rPr>
                <w:rFonts w:asciiTheme="minorHAnsi" w:eastAsiaTheme="minorEastAsia" w:hAnsiTheme="minorHAnsi"/>
                <w:lang w:val="lv-LV"/>
              </w:rPr>
            </w:pPr>
            <w:r w:rsidRPr="0078054E">
              <w:rPr>
                <w:rFonts w:asciiTheme="minorHAnsi" w:eastAsiaTheme="minorEastAsia" w:hAnsiTheme="minorHAnsi"/>
                <w:lang w:val="lv-LV"/>
              </w:rPr>
              <w:t>Eiropas Komisija</w:t>
            </w:r>
          </w:p>
        </w:tc>
      </w:tr>
      <w:tr w:rsidR="009C6BEF" w:rsidRPr="0078054E" w14:paraId="097E636C" w14:textId="77777777" w:rsidTr="002D696E">
        <w:tc>
          <w:tcPr>
            <w:tcW w:w="4153" w:type="dxa"/>
          </w:tcPr>
          <w:p w14:paraId="25E48143" w14:textId="77777777" w:rsidR="009C6BEF" w:rsidRPr="0078054E" w:rsidRDefault="009C6BEF" w:rsidP="009C6BEF">
            <w:pPr>
              <w:rPr>
                <w:rFonts w:asciiTheme="minorHAnsi" w:eastAsiaTheme="minorEastAsia" w:hAnsiTheme="minorHAnsi"/>
                <w:lang w:val="lv-LV"/>
              </w:rPr>
            </w:pPr>
            <w:r w:rsidRPr="0078054E">
              <w:rPr>
                <w:rFonts w:asciiTheme="minorHAnsi" w:eastAsiaTheme="minorEastAsia" w:hAnsiTheme="minorHAnsi"/>
                <w:lang w:val="lv-LV"/>
              </w:rPr>
              <w:t>EKS</w:t>
            </w:r>
          </w:p>
        </w:tc>
        <w:tc>
          <w:tcPr>
            <w:tcW w:w="4153" w:type="dxa"/>
          </w:tcPr>
          <w:p w14:paraId="4A3FB7E3" w14:textId="77777777" w:rsidR="009C6BEF" w:rsidRPr="0078054E" w:rsidRDefault="009C6BEF" w:rsidP="009C6BEF">
            <w:pPr>
              <w:rPr>
                <w:rFonts w:asciiTheme="minorHAnsi" w:eastAsiaTheme="minorEastAsia" w:hAnsiTheme="minorHAnsi"/>
                <w:lang w:val="lv-LV"/>
              </w:rPr>
            </w:pPr>
            <w:r w:rsidRPr="0078054E">
              <w:rPr>
                <w:rFonts w:asciiTheme="minorHAnsi" w:eastAsiaTheme="minorEastAsia" w:hAnsiTheme="minorHAnsi"/>
                <w:lang w:val="lv-LV"/>
              </w:rPr>
              <w:t>Eiropas kontu sistēma</w:t>
            </w:r>
          </w:p>
        </w:tc>
      </w:tr>
      <w:tr w:rsidR="009C6BEF" w:rsidRPr="0078054E" w14:paraId="3BF2357F" w14:textId="77777777" w:rsidTr="002D696E">
        <w:tc>
          <w:tcPr>
            <w:tcW w:w="4153" w:type="dxa"/>
          </w:tcPr>
          <w:p w14:paraId="50B8E58C" w14:textId="77777777" w:rsidR="009C6BEF" w:rsidRPr="0078054E" w:rsidRDefault="009C6BEF" w:rsidP="009C6BEF">
            <w:pPr>
              <w:rPr>
                <w:rFonts w:asciiTheme="minorHAnsi" w:eastAsiaTheme="minorEastAsia" w:hAnsiTheme="minorHAnsi"/>
                <w:lang w:val="lv-LV"/>
              </w:rPr>
            </w:pPr>
            <w:r w:rsidRPr="0078054E">
              <w:rPr>
                <w:rFonts w:asciiTheme="minorHAnsi" w:eastAsiaTheme="minorEastAsia" w:hAnsiTheme="minorHAnsi"/>
                <w:lang w:val="lv-LV"/>
              </w:rPr>
              <w:t>ES</w:t>
            </w:r>
          </w:p>
        </w:tc>
        <w:tc>
          <w:tcPr>
            <w:tcW w:w="4153" w:type="dxa"/>
          </w:tcPr>
          <w:p w14:paraId="604B185B" w14:textId="77777777" w:rsidR="009C6BEF" w:rsidRPr="0078054E" w:rsidRDefault="009C6BEF" w:rsidP="009C6BEF">
            <w:pPr>
              <w:rPr>
                <w:rFonts w:asciiTheme="minorHAnsi" w:eastAsiaTheme="minorEastAsia" w:hAnsiTheme="minorHAnsi"/>
                <w:lang w:val="lv-LV"/>
              </w:rPr>
            </w:pPr>
            <w:r w:rsidRPr="0078054E">
              <w:rPr>
                <w:rFonts w:asciiTheme="minorHAnsi" w:eastAsiaTheme="minorEastAsia" w:hAnsiTheme="minorHAnsi"/>
                <w:lang w:val="lv-LV"/>
              </w:rPr>
              <w:t>Eiropas Savienība</w:t>
            </w:r>
          </w:p>
        </w:tc>
      </w:tr>
      <w:tr w:rsidR="009C6BEF" w:rsidRPr="0078054E" w14:paraId="373075B7" w14:textId="77777777" w:rsidTr="002D696E">
        <w:tc>
          <w:tcPr>
            <w:tcW w:w="4153" w:type="dxa"/>
          </w:tcPr>
          <w:p w14:paraId="55FB2C31" w14:textId="77777777" w:rsidR="009C6BEF" w:rsidRPr="0078054E" w:rsidRDefault="009C6BEF" w:rsidP="009C6BEF">
            <w:pPr>
              <w:rPr>
                <w:rFonts w:asciiTheme="minorHAnsi" w:eastAsiaTheme="minorEastAsia" w:hAnsiTheme="minorHAnsi"/>
                <w:lang w:val="lv-LV"/>
              </w:rPr>
            </w:pPr>
            <w:r w:rsidRPr="0078054E">
              <w:rPr>
                <w:rFonts w:asciiTheme="minorHAnsi" w:eastAsiaTheme="minorEastAsia" w:hAnsiTheme="minorHAnsi"/>
                <w:lang w:val="lv-LV"/>
              </w:rPr>
              <w:t>ESAO</w:t>
            </w:r>
          </w:p>
        </w:tc>
        <w:tc>
          <w:tcPr>
            <w:tcW w:w="4153" w:type="dxa"/>
          </w:tcPr>
          <w:p w14:paraId="1FDB3296" w14:textId="77777777" w:rsidR="009C6BEF" w:rsidRPr="0078054E" w:rsidRDefault="009C6BEF" w:rsidP="009C6BEF">
            <w:pPr>
              <w:rPr>
                <w:rFonts w:asciiTheme="minorHAnsi" w:eastAsiaTheme="minorEastAsia" w:hAnsiTheme="minorHAnsi"/>
                <w:lang w:val="lv-LV"/>
              </w:rPr>
            </w:pPr>
            <w:r w:rsidRPr="0078054E">
              <w:rPr>
                <w:rFonts w:asciiTheme="minorHAnsi" w:eastAsiaTheme="minorEastAsia" w:hAnsiTheme="minorHAnsi"/>
                <w:lang w:val="lv-LV"/>
              </w:rPr>
              <w:t>Ekonomiskās sadarbības un attīstības organizācija</w:t>
            </w:r>
          </w:p>
        </w:tc>
      </w:tr>
      <w:tr w:rsidR="009C6BEF" w:rsidRPr="0078054E" w14:paraId="6D9913F1" w14:textId="77777777" w:rsidTr="002D696E">
        <w:tc>
          <w:tcPr>
            <w:tcW w:w="4153" w:type="dxa"/>
          </w:tcPr>
          <w:p w14:paraId="5920C36C" w14:textId="77777777" w:rsidR="009C6BEF" w:rsidRPr="0078054E" w:rsidRDefault="009C6BEF" w:rsidP="009C6BEF">
            <w:pPr>
              <w:rPr>
                <w:rFonts w:asciiTheme="minorHAnsi" w:eastAsiaTheme="minorEastAsia" w:hAnsiTheme="minorHAnsi"/>
                <w:lang w:val="lv-LV"/>
              </w:rPr>
            </w:pPr>
            <w:r w:rsidRPr="0078054E">
              <w:rPr>
                <w:rFonts w:asciiTheme="minorHAnsi" w:eastAsiaTheme="minorEastAsia" w:hAnsiTheme="minorHAnsi"/>
                <w:lang w:val="lv-LV"/>
              </w:rPr>
              <w:t>FDL</w:t>
            </w:r>
          </w:p>
        </w:tc>
        <w:tc>
          <w:tcPr>
            <w:tcW w:w="4153" w:type="dxa"/>
          </w:tcPr>
          <w:p w14:paraId="58F5ED2F" w14:textId="77777777" w:rsidR="009C6BEF" w:rsidRPr="0078054E" w:rsidRDefault="009C6BEF" w:rsidP="009C6BEF">
            <w:pPr>
              <w:rPr>
                <w:rFonts w:asciiTheme="minorHAnsi" w:eastAsiaTheme="minorEastAsia" w:hAnsiTheme="minorHAnsi"/>
                <w:lang w:val="lv-LV"/>
              </w:rPr>
            </w:pPr>
            <w:r w:rsidRPr="0078054E">
              <w:rPr>
                <w:rFonts w:asciiTheme="minorHAnsi" w:eastAsiaTheme="minorEastAsia" w:hAnsiTheme="minorHAnsi"/>
                <w:lang w:val="lv-LV"/>
              </w:rPr>
              <w:t>Fiskālās disciplīnas likums</w:t>
            </w:r>
          </w:p>
        </w:tc>
      </w:tr>
      <w:tr w:rsidR="009C6BEF" w:rsidRPr="0078054E" w14:paraId="0A0B1CCA" w14:textId="77777777" w:rsidTr="002D696E">
        <w:tc>
          <w:tcPr>
            <w:tcW w:w="4153" w:type="dxa"/>
          </w:tcPr>
          <w:p w14:paraId="249EE5A9" w14:textId="77777777" w:rsidR="009C6BEF" w:rsidRPr="0078054E" w:rsidRDefault="009C6BEF" w:rsidP="009C6BEF">
            <w:pPr>
              <w:rPr>
                <w:rFonts w:asciiTheme="minorHAnsi" w:eastAsiaTheme="minorEastAsia" w:hAnsiTheme="minorHAnsi"/>
                <w:lang w:val="lv-LV"/>
              </w:rPr>
            </w:pPr>
            <w:r w:rsidRPr="0078054E">
              <w:rPr>
                <w:rFonts w:asciiTheme="minorHAnsi" w:eastAsiaTheme="minorEastAsia" w:hAnsiTheme="minorHAnsi"/>
                <w:lang w:val="lv-LV"/>
              </w:rPr>
              <w:t>FM</w:t>
            </w:r>
          </w:p>
        </w:tc>
        <w:tc>
          <w:tcPr>
            <w:tcW w:w="4153" w:type="dxa"/>
          </w:tcPr>
          <w:p w14:paraId="7EDD4774" w14:textId="77777777" w:rsidR="009C6BEF" w:rsidRPr="0078054E" w:rsidRDefault="009C6BEF" w:rsidP="009C6BEF">
            <w:pPr>
              <w:rPr>
                <w:rFonts w:asciiTheme="minorHAnsi" w:eastAsiaTheme="minorEastAsia" w:hAnsiTheme="minorHAnsi"/>
                <w:lang w:val="lv-LV"/>
              </w:rPr>
            </w:pPr>
            <w:r w:rsidRPr="0078054E">
              <w:rPr>
                <w:rFonts w:asciiTheme="minorHAnsi" w:eastAsiaTheme="minorEastAsia" w:hAnsiTheme="minorHAnsi"/>
                <w:lang w:val="lv-LV"/>
              </w:rPr>
              <w:t>Finanšu ministrija</w:t>
            </w:r>
          </w:p>
        </w:tc>
      </w:tr>
      <w:tr w:rsidR="009C6BEF" w:rsidRPr="0078054E" w14:paraId="4705754A" w14:textId="77777777" w:rsidTr="002D696E">
        <w:tc>
          <w:tcPr>
            <w:tcW w:w="4153" w:type="dxa"/>
          </w:tcPr>
          <w:p w14:paraId="675C175F" w14:textId="77777777" w:rsidR="009C6BEF" w:rsidRPr="0078054E" w:rsidRDefault="009C6BEF" w:rsidP="009C6BEF">
            <w:pPr>
              <w:rPr>
                <w:rFonts w:asciiTheme="minorHAnsi" w:eastAsiaTheme="minorEastAsia" w:hAnsiTheme="minorHAnsi"/>
                <w:lang w:val="lv-LV"/>
              </w:rPr>
            </w:pPr>
            <w:r w:rsidRPr="0078054E">
              <w:rPr>
                <w:rFonts w:asciiTheme="minorHAnsi" w:eastAsiaTheme="minorEastAsia" w:hAnsiTheme="minorHAnsi"/>
                <w:lang w:val="lv-LV"/>
              </w:rPr>
              <w:t>FNR</w:t>
            </w:r>
          </w:p>
        </w:tc>
        <w:tc>
          <w:tcPr>
            <w:tcW w:w="4153" w:type="dxa"/>
          </w:tcPr>
          <w:p w14:paraId="52F974DF" w14:textId="77777777" w:rsidR="009C6BEF" w:rsidRPr="0078054E" w:rsidRDefault="009C6BEF" w:rsidP="009C6BEF">
            <w:pPr>
              <w:rPr>
                <w:rFonts w:asciiTheme="minorHAnsi" w:eastAsiaTheme="minorEastAsia" w:hAnsiTheme="minorHAnsi"/>
                <w:lang w:val="lv-LV"/>
              </w:rPr>
            </w:pPr>
            <w:r w:rsidRPr="0078054E">
              <w:rPr>
                <w:rFonts w:asciiTheme="minorHAnsi" w:eastAsiaTheme="minorEastAsia" w:hAnsiTheme="minorHAnsi"/>
                <w:lang w:val="lv-LV"/>
              </w:rPr>
              <w:t>Fiskālā nodrošinājuma rezerve</w:t>
            </w:r>
          </w:p>
        </w:tc>
      </w:tr>
      <w:tr w:rsidR="009C6BEF" w:rsidRPr="0078054E" w14:paraId="3A5C9985" w14:textId="77777777" w:rsidTr="002D696E">
        <w:tc>
          <w:tcPr>
            <w:tcW w:w="4153" w:type="dxa"/>
          </w:tcPr>
          <w:p w14:paraId="37716F66" w14:textId="77777777" w:rsidR="009C6BEF" w:rsidRPr="0078054E" w:rsidRDefault="009C6BEF" w:rsidP="009C6BEF">
            <w:pPr>
              <w:rPr>
                <w:rFonts w:asciiTheme="minorHAnsi" w:eastAsiaTheme="minorEastAsia" w:hAnsiTheme="minorHAnsi"/>
                <w:lang w:val="lv-LV"/>
              </w:rPr>
            </w:pPr>
            <w:r w:rsidRPr="0078054E">
              <w:rPr>
                <w:rFonts w:asciiTheme="minorHAnsi" w:eastAsiaTheme="minorEastAsia" w:hAnsiTheme="minorHAnsi"/>
                <w:lang w:val="lv-LV"/>
              </w:rPr>
              <w:t>FRD</w:t>
            </w:r>
          </w:p>
        </w:tc>
        <w:tc>
          <w:tcPr>
            <w:tcW w:w="4153" w:type="dxa"/>
          </w:tcPr>
          <w:p w14:paraId="15CB7BE4" w14:textId="77777777" w:rsidR="009C6BEF" w:rsidRPr="0078054E" w:rsidRDefault="009C6BEF" w:rsidP="009C6BEF">
            <w:pPr>
              <w:rPr>
                <w:rFonts w:asciiTheme="minorHAnsi" w:eastAsiaTheme="minorEastAsia" w:hAnsiTheme="minorHAnsi"/>
                <w:lang w:val="lv-LV"/>
              </w:rPr>
            </w:pPr>
            <w:r w:rsidRPr="0078054E">
              <w:rPr>
                <w:rFonts w:asciiTheme="minorHAnsi" w:eastAsiaTheme="minorEastAsia" w:hAnsiTheme="minorHAnsi"/>
                <w:lang w:val="lv-LV"/>
              </w:rPr>
              <w:t>Fiskālo risku deklarācija</w:t>
            </w:r>
          </w:p>
        </w:tc>
      </w:tr>
      <w:tr w:rsidR="009C6BEF" w:rsidRPr="0078054E" w14:paraId="0141FF2E" w14:textId="77777777" w:rsidTr="002D696E">
        <w:tc>
          <w:tcPr>
            <w:tcW w:w="4153" w:type="dxa"/>
          </w:tcPr>
          <w:p w14:paraId="0D7A45EE" w14:textId="77777777" w:rsidR="009C6BEF" w:rsidRPr="0078054E" w:rsidRDefault="009C6BEF" w:rsidP="009C6BEF">
            <w:pPr>
              <w:rPr>
                <w:rFonts w:asciiTheme="minorHAnsi" w:eastAsiaTheme="minorEastAsia" w:hAnsiTheme="minorHAnsi"/>
                <w:lang w:val="lv-LV"/>
              </w:rPr>
            </w:pPr>
            <w:r w:rsidRPr="0078054E">
              <w:rPr>
                <w:rFonts w:asciiTheme="minorHAnsi" w:eastAsiaTheme="minorEastAsia" w:hAnsiTheme="minorHAnsi"/>
                <w:lang w:val="lv-LV"/>
              </w:rPr>
              <w:t>IIN</w:t>
            </w:r>
          </w:p>
        </w:tc>
        <w:tc>
          <w:tcPr>
            <w:tcW w:w="4153" w:type="dxa"/>
          </w:tcPr>
          <w:p w14:paraId="26D9814C" w14:textId="77777777" w:rsidR="009C6BEF" w:rsidRPr="0078054E" w:rsidRDefault="009C6BEF" w:rsidP="009C6BEF">
            <w:pPr>
              <w:rPr>
                <w:rFonts w:asciiTheme="minorHAnsi" w:eastAsiaTheme="minorEastAsia" w:hAnsiTheme="minorHAnsi"/>
                <w:lang w:val="lv-LV"/>
              </w:rPr>
            </w:pPr>
            <w:r w:rsidRPr="0078054E">
              <w:rPr>
                <w:rFonts w:asciiTheme="minorHAnsi" w:eastAsiaTheme="minorEastAsia" w:hAnsiTheme="minorHAnsi"/>
                <w:lang w:val="lv-LV"/>
              </w:rPr>
              <w:t>Iedzīvotāju ienākuma nodoklis</w:t>
            </w:r>
          </w:p>
        </w:tc>
      </w:tr>
      <w:tr w:rsidR="009C6BEF" w:rsidRPr="0078054E" w14:paraId="01689982" w14:textId="77777777" w:rsidTr="002D696E">
        <w:tc>
          <w:tcPr>
            <w:tcW w:w="4153" w:type="dxa"/>
          </w:tcPr>
          <w:p w14:paraId="5BE72E86" w14:textId="77777777" w:rsidR="009C6BEF" w:rsidRPr="0078054E" w:rsidRDefault="009C6BEF" w:rsidP="009C6BEF">
            <w:pPr>
              <w:rPr>
                <w:rFonts w:asciiTheme="minorHAnsi" w:eastAsiaTheme="minorEastAsia" w:hAnsiTheme="minorHAnsi"/>
                <w:lang w:val="lv-LV"/>
              </w:rPr>
            </w:pPr>
            <w:r w:rsidRPr="0078054E">
              <w:rPr>
                <w:rFonts w:asciiTheme="minorHAnsi" w:eastAsiaTheme="minorEastAsia" w:hAnsiTheme="minorHAnsi"/>
                <w:lang w:val="lv-LV"/>
              </w:rPr>
              <w:t>IKP</w:t>
            </w:r>
          </w:p>
        </w:tc>
        <w:tc>
          <w:tcPr>
            <w:tcW w:w="4153" w:type="dxa"/>
          </w:tcPr>
          <w:p w14:paraId="4EF0A7F7" w14:textId="77777777" w:rsidR="009C6BEF" w:rsidRPr="0078054E" w:rsidRDefault="009C6BEF" w:rsidP="009C6BEF">
            <w:pPr>
              <w:rPr>
                <w:rFonts w:asciiTheme="minorHAnsi" w:eastAsiaTheme="minorEastAsia" w:hAnsiTheme="minorHAnsi"/>
                <w:lang w:val="lv-LV"/>
              </w:rPr>
            </w:pPr>
            <w:r w:rsidRPr="0078054E">
              <w:rPr>
                <w:rFonts w:asciiTheme="minorHAnsi" w:eastAsiaTheme="minorEastAsia" w:hAnsiTheme="minorHAnsi"/>
                <w:lang w:val="lv-LV"/>
              </w:rPr>
              <w:t>Iekšzemes kopprodukts</w:t>
            </w:r>
          </w:p>
        </w:tc>
      </w:tr>
      <w:tr w:rsidR="009C6BEF" w:rsidRPr="0078054E" w14:paraId="599ECFC7" w14:textId="77777777" w:rsidTr="002D696E">
        <w:tc>
          <w:tcPr>
            <w:tcW w:w="4153" w:type="dxa"/>
          </w:tcPr>
          <w:p w14:paraId="24D5BD7C" w14:textId="77777777" w:rsidR="009C6BEF" w:rsidRPr="0078054E" w:rsidRDefault="009C6BEF" w:rsidP="009C6BEF">
            <w:pPr>
              <w:rPr>
                <w:rFonts w:asciiTheme="minorHAnsi" w:eastAsiaTheme="minorEastAsia" w:hAnsiTheme="minorHAnsi"/>
                <w:lang w:val="lv-LV"/>
              </w:rPr>
            </w:pPr>
            <w:r w:rsidRPr="0078054E">
              <w:rPr>
                <w:rFonts w:asciiTheme="minorHAnsi" w:eastAsiaTheme="minorEastAsia" w:hAnsiTheme="minorHAnsi"/>
                <w:lang w:val="lv-LV"/>
              </w:rPr>
              <w:t>LB</w:t>
            </w:r>
          </w:p>
        </w:tc>
        <w:tc>
          <w:tcPr>
            <w:tcW w:w="4153" w:type="dxa"/>
          </w:tcPr>
          <w:p w14:paraId="36D30CCC" w14:textId="77777777" w:rsidR="009C6BEF" w:rsidRPr="0078054E" w:rsidRDefault="009C6BEF" w:rsidP="009C6BEF">
            <w:pPr>
              <w:rPr>
                <w:rFonts w:asciiTheme="minorHAnsi" w:eastAsiaTheme="minorEastAsia" w:hAnsiTheme="minorHAnsi"/>
                <w:lang w:val="lv-LV"/>
              </w:rPr>
            </w:pPr>
            <w:r w:rsidRPr="0078054E">
              <w:rPr>
                <w:rFonts w:asciiTheme="minorHAnsi" w:eastAsiaTheme="minorEastAsia" w:hAnsiTheme="minorHAnsi"/>
                <w:lang w:val="lv-LV"/>
              </w:rPr>
              <w:t>Latvijas Banka</w:t>
            </w:r>
          </w:p>
        </w:tc>
      </w:tr>
      <w:tr w:rsidR="009C6BEF" w:rsidRPr="0078054E" w14:paraId="35498397" w14:textId="77777777" w:rsidTr="002D696E">
        <w:tc>
          <w:tcPr>
            <w:tcW w:w="4153" w:type="dxa"/>
          </w:tcPr>
          <w:p w14:paraId="3C95E966" w14:textId="77777777" w:rsidR="009C6BEF" w:rsidRPr="0078054E" w:rsidRDefault="009C6BEF" w:rsidP="009C6BEF">
            <w:pPr>
              <w:rPr>
                <w:rFonts w:asciiTheme="minorHAnsi" w:eastAsiaTheme="minorEastAsia" w:hAnsiTheme="minorHAnsi"/>
                <w:lang w:val="lv-LV"/>
              </w:rPr>
            </w:pPr>
            <w:r w:rsidRPr="0078054E">
              <w:rPr>
                <w:rFonts w:asciiTheme="minorHAnsi" w:eastAsiaTheme="minorEastAsia" w:hAnsiTheme="minorHAnsi"/>
                <w:lang w:val="lv-LV"/>
              </w:rPr>
              <w:t>-</w:t>
            </w:r>
          </w:p>
        </w:tc>
        <w:tc>
          <w:tcPr>
            <w:tcW w:w="4153" w:type="dxa"/>
          </w:tcPr>
          <w:p w14:paraId="5E27BB4E" w14:textId="77777777" w:rsidR="009C6BEF" w:rsidRPr="0078054E" w:rsidRDefault="009C6BEF" w:rsidP="009C6BEF">
            <w:pPr>
              <w:rPr>
                <w:rFonts w:asciiTheme="minorHAnsi" w:eastAsiaTheme="minorEastAsia" w:hAnsiTheme="minorHAnsi"/>
                <w:lang w:val="lv-LV"/>
              </w:rPr>
            </w:pPr>
            <w:r w:rsidRPr="0078054E">
              <w:rPr>
                <w:rFonts w:asciiTheme="minorHAnsi" w:eastAsiaTheme="minorEastAsia" w:hAnsiTheme="minorHAnsi"/>
                <w:lang w:val="lv-LV"/>
              </w:rPr>
              <w:t>Nav datu / nav attiecināms</w:t>
            </w:r>
          </w:p>
        </w:tc>
      </w:tr>
      <w:tr w:rsidR="009C6BEF" w:rsidRPr="0078054E" w14:paraId="0DCE4DAB" w14:textId="77777777" w:rsidTr="002D696E">
        <w:tc>
          <w:tcPr>
            <w:tcW w:w="4153" w:type="dxa"/>
          </w:tcPr>
          <w:p w14:paraId="604A130B" w14:textId="77777777" w:rsidR="009C6BEF" w:rsidRPr="0078054E" w:rsidRDefault="009C6BEF" w:rsidP="009C6BEF">
            <w:pPr>
              <w:rPr>
                <w:rFonts w:asciiTheme="minorHAnsi" w:eastAsiaTheme="minorEastAsia" w:hAnsiTheme="minorHAnsi"/>
                <w:lang w:val="lv-LV"/>
              </w:rPr>
            </w:pPr>
            <w:r w:rsidRPr="0078054E">
              <w:rPr>
                <w:rFonts w:asciiTheme="minorHAnsi" w:eastAsiaTheme="minorEastAsia" w:hAnsiTheme="minorHAnsi"/>
                <w:lang w:val="lv-LV"/>
              </w:rPr>
              <w:t>Padome</w:t>
            </w:r>
          </w:p>
        </w:tc>
        <w:tc>
          <w:tcPr>
            <w:tcW w:w="4153" w:type="dxa"/>
          </w:tcPr>
          <w:p w14:paraId="14C96903" w14:textId="77777777" w:rsidR="009C6BEF" w:rsidRPr="0078054E" w:rsidRDefault="009C6BEF" w:rsidP="009C6BEF">
            <w:pPr>
              <w:rPr>
                <w:rFonts w:asciiTheme="minorHAnsi" w:eastAsiaTheme="minorEastAsia" w:hAnsiTheme="minorHAnsi"/>
                <w:lang w:val="lv-LV"/>
              </w:rPr>
            </w:pPr>
            <w:r w:rsidRPr="0078054E">
              <w:rPr>
                <w:rFonts w:asciiTheme="minorHAnsi" w:eastAsiaTheme="minorEastAsia" w:hAnsiTheme="minorHAnsi"/>
                <w:lang w:val="lv-LV"/>
              </w:rPr>
              <w:t>Fiskālās disciplīnas padome</w:t>
            </w:r>
          </w:p>
        </w:tc>
      </w:tr>
      <w:tr w:rsidR="009C6BEF" w:rsidRPr="0078054E" w14:paraId="3719C31C" w14:textId="77777777" w:rsidTr="002D696E">
        <w:tc>
          <w:tcPr>
            <w:tcW w:w="4153" w:type="dxa"/>
          </w:tcPr>
          <w:p w14:paraId="3E8647BA" w14:textId="77777777" w:rsidR="009C6BEF" w:rsidRPr="0078054E" w:rsidRDefault="009C6BEF" w:rsidP="009C6BEF">
            <w:pPr>
              <w:rPr>
                <w:rFonts w:asciiTheme="minorHAnsi" w:eastAsiaTheme="minorEastAsia" w:hAnsiTheme="minorHAnsi"/>
                <w:lang w:val="lv-LV"/>
              </w:rPr>
            </w:pPr>
            <w:r w:rsidRPr="0078054E">
              <w:rPr>
                <w:rFonts w:asciiTheme="minorHAnsi" w:eastAsiaTheme="minorEastAsia" w:hAnsiTheme="minorHAnsi"/>
                <w:lang w:val="lv-LV"/>
              </w:rPr>
              <w:t>PVN</w:t>
            </w:r>
          </w:p>
        </w:tc>
        <w:tc>
          <w:tcPr>
            <w:tcW w:w="4153" w:type="dxa"/>
          </w:tcPr>
          <w:p w14:paraId="407A83A9" w14:textId="77777777" w:rsidR="009C6BEF" w:rsidRPr="0078054E" w:rsidRDefault="009C6BEF" w:rsidP="009C6BEF">
            <w:pPr>
              <w:rPr>
                <w:rFonts w:asciiTheme="minorHAnsi" w:eastAsiaTheme="minorEastAsia" w:hAnsiTheme="minorHAnsi"/>
                <w:lang w:val="lv-LV"/>
              </w:rPr>
            </w:pPr>
            <w:r w:rsidRPr="0078054E">
              <w:rPr>
                <w:rFonts w:asciiTheme="minorHAnsi" w:eastAsiaTheme="minorEastAsia" w:hAnsiTheme="minorHAnsi"/>
                <w:lang w:val="lv-LV"/>
              </w:rPr>
              <w:t>Pievienotās vērtības nodoklis</w:t>
            </w:r>
          </w:p>
        </w:tc>
      </w:tr>
      <w:tr w:rsidR="009C6BEF" w:rsidRPr="0078054E" w14:paraId="66F83DE1" w14:textId="77777777" w:rsidTr="002D696E">
        <w:tc>
          <w:tcPr>
            <w:tcW w:w="4153" w:type="dxa"/>
          </w:tcPr>
          <w:p w14:paraId="725EE568" w14:textId="77777777" w:rsidR="009C6BEF" w:rsidRPr="0078054E" w:rsidRDefault="009C6BEF" w:rsidP="009C6BEF">
            <w:pPr>
              <w:rPr>
                <w:rFonts w:asciiTheme="minorHAnsi" w:eastAsiaTheme="minorEastAsia" w:hAnsiTheme="minorHAnsi"/>
                <w:lang w:val="lv-LV"/>
              </w:rPr>
            </w:pPr>
            <w:r w:rsidRPr="0078054E">
              <w:rPr>
                <w:rFonts w:asciiTheme="minorHAnsi" w:eastAsiaTheme="minorEastAsia" w:hAnsiTheme="minorHAnsi"/>
                <w:lang w:val="lv-LV"/>
              </w:rPr>
              <w:t>SIP</w:t>
            </w:r>
          </w:p>
        </w:tc>
        <w:tc>
          <w:tcPr>
            <w:tcW w:w="4153" w:type="dxa"/>
          </w:tcPr>
          <w:p w14:paraId="3D93B7A0" w14:textId="77777777" w:rsidR="009C6BEF" w:rsidRPr="0078054E" w:rsidRDefault="009C6BEF" w:rsidP="009C6BEF">
            <w:pPr>
              <w:rPr>
                <w:rFonts w:asciiTheme="minorHAnsi" w:eastAsiaTheme="minorEastAsia" w:hAnsiTheme="minorHAnsi"/>
                <w:lang w:val="lv-LV"/>
              </w:rPr>
            </w:pPr>
            <w:r w:rsidRPr="0078054E">
              <w:rPr>
                <w:rFonts w:asciiTheme="minorHAnsi" w:eastAsiaTheme="minorEastAsia" w:hAnsiTheme="minorHAnsi"/>
                <w:lang w:val="lv-LV"/>
              </w:rPr>
              <w:t>Stabilitātes un izaugsmes pakts</w:t>
            </w:r>
          </w:p>
        </w:tc>
      </w:tr>
      <w:tr w:rsidR="009C6BEF" w:rsidRPr="0078054E" w14:paraId="10555032" w14:textId="77777777" w:rsidTr="002D696E">
        <w:tc>
          <w:tcPr>
            <w:tcW w:w="4153" w:type="dxa"/>
          </w:tcPr>
          <w:p w14:paraId="5C6AC8E3" w14:textId="77777777" w:rsidR="009C6BEF" w:rsidRPr="0078054E" w:rsidRDefault="009C6BEF" w:rsidP="009C6BEF">
            <w:pPr>
              <w:rPr>
                <w:rFonts w:asciiTheme="minorHAnsi" w:eastAsiaTheme="minorEastAsia" w:hAnsiTheme="minorHAnsi"/>
                <w:lang w:val="lv-LV"/>
              </w:rPr>
            </w:pPr>
            <w:r w:rsidRPr="0078054E">
              <w:rPr>
                <w:rFonts w:asciiTheme="minorHAnsi" w:eastAsiaTheme="minorEastAsia" w:hAnsiTheme="minorHAnsi"/>
                <w:lang w:val="lv-LV"/>
              </w:rPr>
              <w:t>SP</w:t>
            </w:r>
          </w:p>
        </w:tc>
        <w:tc>
          <w:tcPr>
            <w:tcW w:w="4153" w:type="dxa"/>
          </w:tcPr>
          <w:p w14:paraId="07A998BD" w14:textId="77777777" w:rsidR="009C6BEF" w:rsidRPr="0078054E" w:rsidRDefault="009C6BEF" w:rsidP="009C6BEF">
            <w:pPr>
              <w:rPr>
                <w:rFonts w:asciiTheme="minorHAnsi" w:eastAsiaTheme="minorEastAsia" w:hAnsiTheme="minorHAnsi"/>
                <w:lang w:val="lv-LV"/>
              </w:rPr>
            </w:pPr>
            <w:r w:rsidRPr="0078054E">
              <w:rPr>
                <w:rFonts w:asciiTheme="minorHAnsi" w:eastAsiaTheme="minorEastAsia" w:hAnsiTheme="minorHAnsi"/>
                <w:lang w:val="lv-LV"/>
              </w:rPr>
              <w:t>Latvijas stabilitātes programma</w:t>
            </w:r>
          </w:p>
        </w:tc>
      </w:tr>
      <w:tr w:rsidR="009C6BEF" w:rsidRPr="0078054E" w14:paraId="36134B27" w14:textId="77777777" w:rsidTr="002D696E">
        <w:tc>
          <w:tcPr>
            <w:tcW w:w="4153" w:type="dxa"/>
          </w:tcPr>
          <w:p w14:paraId="33F25738" w14:textId="185EBBC9" w:rsidR="009C6BEF" w:rsidRPr="0078054E" w:rsidRDefault="00CE0AB0" w:rsidP="009C6BEF">
            <w:pPr>
              <w:rPr>
                <w:rFonts w:asciiTheme="minorHAnsi" w:eastAsiaTheme="minorEastAsia" w:hAnsiTheme="minorHAnsi"/>
                <w:lang w:val="lv-LV"/>
              </w:rPr>
            </w:pPr>
            <w:r w:rsidRPr="0078054E">
              <w:rPr>
                <w:rFonts w:asciiTheme="minorHAnsi" w:eastAsiaTheme="minorEastAsia" w:hAnsiTheme="minorHAnsi"/>
                <w:lang w:val="lv-LV"/>
              </w:rPr>
              <w:t>SP 202</w:t>
            </w:r>
            <w:r w:rsidR="002D696E" w:rsidRPr="0078054E">
              <w:rPr>
                <w:rFonts w:asciiTheme="minorHAnsi" w:eastAsiaTheme="minorEastAsia" w:hAnsiTheme="minorHAnsi"/>
                <w:lang w:val="lv-LV"/>
              </w:rPr>
              <w:t>0</w:t>
            </w:r>
            <w:r w:rsidR="009C6BEF" w:rsidRPr="0078054E">
              <w:rPr>
                <w:rFonts w:asciiTheme="minorHAnsi" w:eastAsiaTheme="minorEastAsia" w:hAnsiTheme="minorHAnsi"/>
                <w:lang w:val="lv-LV"/>
              </w:rPr>
              <w:t>/2</w:t>
            </w:r>
            <w:r w:rsidR="002D696E" w:rsidRPr="0078054E">
              <w:rPr>
                <w:rFonts w:asciiTheme="minorHAnsi" w:eastAsiaTheme="minorEastAsia" w:hAnsiTheme="minorHAnsi"/>
                <w:lang w:val="lv-LV"/>
              </w:rPr>
              <w:t>3</w:t>
            </w:r>
          </w:p>
        </w:tc>
        <w:tc>
          <w:tcPr>
            <w:tcW w:w="4153" w:type="dxa"/>
          </w:tcPr>
          <w:p w14:paraId="7308DD00" w14:textId="3AB39ED2" w:rsidR="009C6BEF" w:rsidRPr="0078054E" w:rsidRDefault="009C6BEF" w:rsidP="009C6BEF">
            <w:pPr>
              <w:rPr>
                <w:rFonts w:asciiTheme="minorHAnsi" w:eastAsiaTheme="minorEastAsia" w:hAnsiTheme="minorHAnsi"/>
                <w:lang w:val="lv-LV"/>
              </w:rPr>
            </w:pPr>
            <w:r w:rsidRPr="0078054E">
              <w:rPr>
                <w:rFonts w:asciiTheme="minorHAnsi" w:eastAsiaTheme="minorEastAsia" w:hAnsiTheme="minorHAnsi"/>
                <w:lang w:val="lv-LV"/>
              </w:rPr>
              <w:t>Latv</w:t>
            </w:r>
            <w:r w:rsidR="00CE0AB0" w:rsidRPr="0078054E">
              <w:rPr>
                <w:rFonts w:asciiTheme="minorHAnsi" w:eastAsiaTheme="minorEastAsia" w:hAnsiTheme="minorHAnsi"/>
                <w:lang w:val="lv-LV"/>
              </w:rPr>
              <w:t>ijas stabilitātes programma 2020</w:t>
            </w:r>
            <w:r w:rsidRPr="0078054E">
              <w:rPr>
                <w:rFonts w:asciiTheme="minorHAnsi" w:eastAsiaTheme="minorEastAsia" w:hAnsiTheme="minorHAnsi"/>
                <w:lang w:val="lv-LV"/>
              </w:rPr>
              <w:t>.-202</w:t>
            </w:r>
            <w:r w:rsidR="002D696E" w:rsidRPr="0078054E">
              <w:rPr>
                <w:rFonts w:asciiTheme="minorHAnsi" w:eastAsiaTheme="minorEastAsia" w:hAnsiTheme="minorHAnsi"/>
                <w:lang w:val="lv-LV"/>
              </w:rPr>
              <w:t>3</w:t>
            </w:r>
            <w:r w:rsidRPr="0078054E">
              <w:rPr>
                <w:rFonts w:asciiTheme="minorHAnsi" w:eastAsiaTheme="minorEastAsia" w:hAnsiTheme="minorHAnsi"/>
                <w:lang w:val="lv-LV"/>
              </w:rPr>
              <w:t>.gadam</w:t>
            </w:r>
          </w:p>
        </w:tc>
      </w:tr>
      <w:tr w:rsidR="009E2982" w:rsidRPr="0078054E" w14:paraId="1B6AE804" w14:textId="77777777" w:rsidTr="002D696E">
        <w:tc>
          <w:tcPr>
            <w:tcW w:w="4153" w:type="dxa"/>
          </w:tcPr>
          <w:p w14:paraId="62BE1AF4" w14:textId="02DAB789" w:rsidR="009E2982" w:rsidRPr="0078054E" w:rsidRDefault="009E2982" w:rsidP="009C6BEF">
            <w:pPr>
              <w:rPr>
                <w:rFonts w:asciiTheme="minorHAnsi" w:eastAsiaTheme="minorEastAsia" w:hAnsiTheme="minorHAnsi"/>
                <w:lang w:val="lv-LV"/>
              </w:rPr>
            </w:pPr>
            <w:r w:rsidRPr="0078054E">
              <w:rPr>
                <w:rFonts w:asciiTheme="minorHAnsi" w:eastAsiaTheme="minorEastAsia" w:hAnsiTheme="minorHAnsi"/>
                <w:lang w:val="lv-LV"/>
              </w:rPr>
              <w:t>SPBS</w:t>
            </w:r>
          </w:p>
        </w:tc>
        <w:tc>
          <w:tcPr>
            <w:tcW w:w="4153" w:type="dxa"/>
          </w:tcPr>
          <w:p w14:paraId="321CF189" w14:textId="1631DEEC" w:rsidR="009E2982" w:rsidRPr="0078054E" w:rsidRDefault="009E2982" w:rsidP="009C6BEF">
            <w:pPr>
              <w:rPr>
                <w:rFonts w:asciiTheme="minorHAnsi" w:eastAsiaTheme="minorEastAsia" w:hAnsiTheme="minorHAnsi"/>
                <w:lang w:val="lv-LV"/>
              </w:rPr>
            </w:pPr>
            <w:r w:rsidRPr="0078054E">
              <w:rPr>
                <w:rFonts w:asciiTheme="minorHAnsi" w:eastAsiaTheme="minorEastAsia" w:hAnsiTheme="minorHAnsi"/>
                <w:lang w:val="lv-LV"/>
              </w:rPr>
              <w:t>Stabilitātes programmas bāzes scenārijs</w:t>
            </w:r>
          </w:p>
        </w:tc>
      </w:tr>
      <w:tr w:rsidR="009E2982" w:rsidRPr="0078054E" w14:paraId="73A05AC1" w14:textId="77777777" w:rsidTr="002D696E">
        <w:tc>
          <w:tcPr>
            <w:tcW w:w="4153" w:type="dxa"/>
          </w:tcPr>
          <w:p w14:paraId="5B78E734" w14:textId="6759CA99" w:rsidR="009E2982" w:rsidRPr="0078054E" w:rsidRDefault="009E2982" w:rsidP="009C6BEF">
            <w:pPr>
              <w:rPr>
                <w:rFonts w:asciiTheme="minorHAnsi" w:eastAsiaTheme="minorEastAsia" w:hAnsiTheme="minorHAnsi"/>
                <w:lang w:val="lv-LV"/>
              </w:rPr>
            </w:pPr>
            <w:r w:rsidRPr="0078054E">
              <w:rPr>
                <w:rFonts w:asciiTheme="minorHAnsi" w:eastAsiaTheme="minorEastAsia" w:hAnsiTheme="minorHAnsi"/>
                <w:lang w:val="lv-LV"/>
              </w:rPr>
              <w:t>SPCoV</w:t>
            </w:r>
          </w:p>
        </w:tc>
        <w:tc>
          <w:tcPr>
            <w:tcW w:w="4153" w:type="dxa"/>
          </w:tcPr>
          <w:p w14:paraId="484AAB74" w14:textId="109D264A" w:rsidR="009E2982" w:rsidRPr="0078054E" w:rsidRDefault="009E2982" w:rsidP="009C6BEF">
            <w:pPr>
              <w:rPr>
                <w:rFonts w:asciiTheme="minorHAnsi" w:eastAsiaTheme="minorEastAsia" w:hAnsiTheme="minorHAnsi"/>
                <w:lang w:val="lv-LV"/>
              </w:rPr>
            </w:pPr>
            <w:r w:rsidRPr="0078054E">
              <w:rPr>
                <w:rFonts w:asciiTheme="minorHAnsi" w:eastAsiaTheme="minorEastAsia" w:hAnsiTheme="minorHAnsi"/>
                <w:lang w:val="lv-LV"/>
              </w:rPr>
              <w:t>Stabilitātes programmas Covid-19 scenārijs</w:t>
            </w:r>
          </w:p>
        </w:tc>
      </w:tr>
      <w:tr w:rsidR="009C6BEF" w:rsidRPr="0078054E" w14:paraId="7FA0D8C6" w14:textId="77777777" w:rsidTr="002D696E">
        <w:tc>
          <w:tcPr>
            <w:tcW w:w="4153" w:type="dxa"/>
          </w:tcPr>
          <w:p w14:paraId="1D36DE47" w14:textId="77777777" w:rsidR="009C6BEF" w:rsidRPr="0078054E" w:rsidRDefault="009C6BEF" w:rsidP="009C6BEF">
            <w:pPr>
              <w:rPr>
                <w:rFonts w:asciiTheme="minorHAnsi" w:eastAsiaTheme="minorEastAsia" w:hAnsiTheme="minorHAnsi"/>
                <w:lang w:val="lv-LV"/>
              </w:rPr>
            </w:pPr>
            <w:r w:rsidRPr="0078054E">
              <w:rPr>
                <w:rFonts w:asciiTheme="minorHAnsi" w:eastAsiaTheme="minorEastAsia" w:hAnsiTheme="minorHAnsi"/>
                <w:lang w:val="lv-LV"/>
              </w:rPr>
              <w:t>VID</w:t>
            </w:r>
          </w:p>
        </w:tc>
        <w:tc>
          <w:tcPr>
            <w:tcW w:w="4153" w:type="dxa"/>
          </w:tcPr>
          <w:p w14:paraId="5CFA0BBA" w14:textId="77777777" w:rsidR="009C6BEF" w:rsidRPr="0078054E" w:rsidRDefault="009C6BEF" w:rsidP="009C6BEF">
            <w:pPr>
              <w:rPr>
                <w:rFonts w:asciiTheme="minorHAnsi" w:eastAsiaTheme="minorEastAsia" w:hAnsiTheme="minorHAnsi"/>
                <w:lang w:val="lv-LV"/>
              </w:rPr>
            </w:pPr>
            <w:r w:rsidRPr="0078054E">
              <w:rPr>
                <w:rFonts w:asciiTheme="minorHAnsi" w:eastAsiaTheme="minorEastAsia" w:hAnsiTheme="minorHAnsi"/>
                <w:lang w:val="lv-LV"/>
              </w:rPr>
              <w:t>Valsts ieņēmumu dienests</w:t>
            </w:r>
          </w:p>
        </w:tc>
      </w:tr>
      <w:tr w:rsidR="009C6BEF" w:rsidRPr="0078054E" w14:paraId="5FBAF4FC" w14:textId="77777777" w:rsidTr="002D696E">
        <w:tc>
          <w:tcPr>
            <w:tcW w:w="4153" w:type="dxa"/>
          </w:tcPr>
          <w:p w14:paraId="58A92DF2" w14:textId="77777777" w:rsidR="009C6BEF" w:rsidRPr="0078054E" w:rsidRDefault="009C6BEF" w:rsidP="009C6BEF">
            <w:pPr>
              <w:rPr>
                <w:rFonts w:asciiTheme="minorHAnsi" w:eastAsiaTheme="minorEastAsia" w:hAnsiTheme="minorHAnsi"/>
                <w:lang w:val="lv-LV"/>
              </w:rPr>
            </w:pPr>
            <w:r w:rsidRPr="0078054E">
              <w:rPr>
                <w:rFonts w:asciiTheme="minorHAnsi" w:eastAsiaTheme="minorEastAsia" w:hAnsiTheme="minorHAnsi"/>
                <w:lang w:val="lv-LV"/>
              </w:rPr>
              <w:t>Uzraudzības ziņojums</w:t>
            </w:r>
          </w:p>
        </w:tc>
        <w:tc>
          <w:tcPr>
            <w:tcW w:w="4153" w:type="dxa"/>
          </w:tcPr>
          <w:p w14:paraId="6D548D3B" w14:textId="1EA842E9" w:rsidR="009C6BEF" w:rsidRPr="0078054E" w:rsidRDefault="00CE0AB0" w:rsidP="009C6BEF">
            <w:pPr>
              <w:rPr>
                <w:rFonts w:asciiTheme="minorHAnsi" w:eastAsiaTheme="minorEastAsia" w:hAnsiTheme="minorHAnsi"/>
                <w:lang w:val="lv-LV"/>
              </w:rPr>
            </w:pPr>
            <w:r w:rsidRPr="0078054E">
              <w:rPr>
                <w:rFonts w:asciiTheme="minorHAnsi" w:eastAsiaTheme="minorEastAsia" w:hAnsiTheme="minorHAnsi"/>
                <w:lang w:val="lv-LV"/>
              </w:rPr>
              <w:t>F</w:t>
            </w:r>
            <w:r w:rsidR="009C6BEF" w:rsidRPr="0078054E">
              <w:rPr>
                <w:rFonts w:asciiTheme="minorHAnsi" w:eastAsiaTheme="minorEastAsia" w:hAnsiTheme="minorHAnsi"/>
                <w:lang w:val="lv-LV"/>
              </w:rPr>
              <w:t>iskālās disciplīnas uzraudzības ziņojums</w:t>
            </w:r>
          </w:p>
        </w:tc>
      </w:tr>
      <w:tr w:rsidR="009C6BEF" w:rsidRPr="0078054E" w14:paraId="4FBA1FBE" w14:textId="77777777" w:rsidTr="002D696E">
        <w:tc>
          <w:tcPr>
            <w:tcW w:w="4153" w:type="dxa"/>
          </w:tcPr>
          <w:p w14:paraId="22555EC3" w14:textId="77777777" w:rsidR="009C6BEF" w:rsidRPr="0078054E" w:rsidRDefault="009C6BEF" w:rsidP="009C6BEF">
            <w:pPr>
              <w:rPr>
                <w:rFonts w:asciiTheme="minorHAnsi" w:eastAsiaTheme="minorEastAsia" w:hAnsiTheme="minorHAnsi"/>
                <w:lang w:val="lv-LV"/>
              </w:rPr>
            </w:pPr>
            <w:r w:rsidRPr="0078054E">
              <w:rPr>
                <w:rFonts w:asciiTheme="minorHAnsi" w:eastAsiaTheme="minorEastAsia" w:hAnsiTheme="minorHAnsi"/>
                <w:lang w:val="lv-LV"/>
              </w:rPr>
              <w:t>VTBI</w:t>
            </w:r>
          </w:p>
        </w:tc>
        <w:tc>
          <w:tcPr>
            <w:tcW w:w="4153" w:type="dxa"/>
          </w:tcPr>
          <w:p w14:paraId="402111F1" w14:textId="77777777" w:rsidR="009C6BEF" w:rsidRPr="0078054E" w:rsidRDefault="009C6BEF" w:rsidP="009C6BEF">
            <w:pPr>
              <w:rPr>
                <w:rFonts w:asciiTheme="minorHAnsi" w:eastAsiaTheme="minorEastAsia" w:hAnsiTheme="minorHAnsi"/>
                <w:lang w:val="lv-LV"/>
              </w:rPr>
            </w:pPr>
            <w:r w:rsidRPr="0078054E">
              <w:rPr>
                <w:rFonts w:asciiTheme="minorHAnsi" w:eastAsiaTheme="minorEastAsia" w:hAnsiTheme="minorHAnsi"/>
                <w:lang w:val="lv-LV"/>
              </w:rPr>
              <w:t>Vidēja termiņa budžeta ietvars</w:t>
            </w:r>
          </w:p>
        </w:tc>
      </w:tr>
      <w:tr w:rsidR="009C6BEF" w:rsidRPr="0078054E" w14:paraId="332EA4FC" w14:textId="77777777" w:rsidTr="002D696E">
        <w:tc>
          <w:tcPr>
            <w:tcW w:w="4153" w:type="dxa"/>
          </w:tcPr>
          <w:p w14:paraId="3260AA05" w14:textId="77777777" w:rsidR="009C6BEF" w:rsidRPr="0078054E" w:rsidRDefault="009C6BEF" w:rsidP="009C6BEF">
            <w:pPr>
              <w:rPr>
                <w:rFonts w:asciiTheme="minorHAnsi" w:eastAsiaTheme="minorEastAsia" w:hAnsiTheme="minorHAnsi"/>
                <w:lang w:val="lv-LV"/>
              </w:rPr>
            </w:pPr>
            <w:r w:rsidRPr="0078054E">
              <w:rPr>
                <w:rFonts w:asciiTheme="minorHAnsi" w:eastAsiaTheme="minorEastAsia" w:hAnsiTheme="minorHAnsi"/>
                <w:lang w:val="lv-LV"/>
              </w:rPr>
              <w:t xml:space="preserve">VTBIL </w:t>
            </w:r>
          </w:p>
        </w:tc>
        <w:tc>
          <w:tcPr>
            <w:tcW w:w="4153" w:type="dxa"/>
          </w:tcPr>
          <w:p w14:paraId="41674E2B" w14:textId="77777777" w:rsidR="009C6BEF" w:rsidRPr="0078054E" w:rsidRDefault="009C6BEF" w:rsidP="009C6BEF">
            <w:pPr>
              <w:rPr>
                <w:rFonts w:asciiTheme="minorHAnsi" w:eastAsiaTheme="minorEastAsia" w:hAnsiTheme="minorHAnsi"/>
                <w:lang w:val="lv-LV"/>
              </w:rPr>
            </w:pPr>
            <w:r w:rsidRPr="0078054E">
              <w:rPr>
                <w:rFonts w:asciiTheme="minorHAnsi" w:eastAsiaTheme="minorEastAsia" w:hAnsiTheme="minorHAnsi"/>
                <w:lang w:val="lv-LV"/>
              </w:rPr>
              <w:t>Vidēja termiņa budžeta ietvara likums</w:t>
            </w:r>
          </w:p>
        </w:tc>
      </w:tr>
      <w:tr w:rsidR="009C6BEF" w:rsidRPr="0078054E" w14:paraId="7B7F4C6E" w14:textId="77777777" w:rsidTr="002D696E">
        <w:trPr>
          <w:trHeight w:val="113"/>
        </w:trPr>
        <w:tc>
          <w:tcPr>
            <w:tcW w:w="4153" w:type="dxa"/>
          </w:tcPr>
          <w:p w14:paraId="1F7C1777" w14:textId="77777777" w:rsidR="009C6BEF" w:rsidRPr="0078054E" w:rsidRDefault="009C6BEF" w:rsidP="009C6BEF">
            <w:pPr>
              <w:rPr>
                <w:rFonts w:asciiTheme="minorHAnsi" w:eastAsiaTheme="minorEastAsia" w:hAnsiTheme="minorHAnsi"/>
                <w:lang w:val="lv-LV"/>
              </w:rPr>
            </w:pPr>
            <w:r w:rsidRPr="0078054E">
              <w:rPr>
                <w:rFonts w:asciiTheme="minorHAnsi" w:eastAsiaTheme="minorEastAsia" w:hAnsiTheme="minorHAnsi"/>
                <w:lang w:val="lv-LV"/>
              </w:rPr>
              <w:t>VTM</w:t>
            </w:r>
          </w:p>
        </w:tc>
        <w:tc>
          <w:tcPr>
            <w:tcW w:w="4153" w:type="dxa"/>
          </w:tcPr>
          <w:p w14:paraId="769CE161" w14:textId="77777777" w:rsidR="009C6BEF" w:rsidRPr="0078054E" w:rsidRDefault="009C6BEF" w:rsidP="009C6BEF">
            <w:pPr>
              <w:rPr>
                <w:rFonts w:asciiTheme="minorHAnsi" w:eastAsiaTheme="minorEastAsia" w:hAnsiTheme="minorHAnsi"/>
                <w:lang w:val="lv-LV"/>
              </w:rPr>
            </w:pPr>
            <w:r w:rsidRPr="0078054E">
              <w:rPr>
                <w:rFonts w:asciiTheme="minorHAnsi" w:eastAsiaTheme="minorEastAsia" w:hAnsiTheme="minorHAnsi"/>
                <w:lang w:val="lv-LV"/>
              </w:rPr>
              <w:t>Vidēja termiņa mērķis</w:t>
            </w:r>
          </w:p>
        </w:tc>
      </w:tr>
      <w:tr w:rsidR="002D696E" w:rsidRPr="0078054E" w14:paraId="2F874D8D" w14:textId="77777777" w:rsidTr="002D696E">
        <w:tc>
          <w:tcPr>
            <w:tcW w:w="4153" w:type="dxa"/>
          </w:tcPr>
          <w:p w14:paraId="04D93629" w14:textId="74B6E8AB" w:rsidR="002D696E" w:rsidRPr="0078054E" w:rsidRDefault="002D696E" w:rsidP="009C6BEF">
            <w:pPr>
              <w:rPr>
                <w:rFonts w:asciiTheme="minorHAnsi" w:eastAsiaTheme="minorEastAsia" w:hAnsiTheme="minorHAnsi"/>
                <w:lang w:val="lv-LV"/>
              </w:rPr>
            </w:pPr>
            <w:r w:rsidRPr="0078054E">
              <w:rPr>
                <w:rFonts w:asciiTheme="minorHAnsi" w:eastAsiaTheme="minorEastAsia" w:hAnsiTheme="minorHAnsi"/>
                <w:lang w:val="lv-LV"/>
              </w:rPr>
              <w:t>VVBB</w:t>
            </w:r>
          </w:p>
        </w:tc>
        <w:tc>
          <w:tcPr>
            <w:tcW w:w="4153" w:type="dxa"/>
          </w:tcPr>
          <w:p w14:paraId="1BFF630B" w14:textId="2808EF25" w:rsidR="002D696E" w:rsidRPr="0078054E" w:rsidRDefault="002D696E" w:rsidP="009C6BEF">
            <w:pPr>
              <w:rPr>
                <w:rFonts w:asciiTheme="minorHAnsi" w:eastAsia="Calibri" w:hAnsiTheme="minorHAnsi" w:cs="Calibri"/>
                <w:lang w:val="lv-LV"/>
              </w:rPr>
            </w:pPr>
            <w:r w:rsidRPr="0078054E">
              <w:rPr>
                <w:rFonts w:asciiTheme="minorHAnsi" w:eastAsia="Calibri" w:hAnsiTheme="minorHAnsi" w:cs="Calibri"/>
                <w:lang w:val="lv-LV"/>
              </w:rPr>
              <w:t>Vispārējās valdības budžeta bilance</w:t>
            </w:r>
          </w:p>
        </w:tc>
      </w:tr>
    </w:tbl>
    <w:p w14:paraId="6904C048" w14:textId="18DC5FE8" w:rsidR="008C019F" w:rsidRPr="0078054E" w:rsidRDefault="008C019F">
      <w:pPr>
        <w:rPr>
          <w:b/>
          <w:color w:val="2F5496" w:themeColor="accent5" w:themeShade="BF"/>
          <w:lang w:val="lv-LV"/>
        </w:rPr>
      </w:pPr>
      <w:r w:rsidRPr="0078054E">
        <w:rPr>
          <w:b/>
          <w:color w:val="2F5496" w:themeColor="accent5" w:themeShade="BF"/>
          <w:lang w:val="lv-LV"/>
        </w:rPr>
        <w:br w:type="page"/>
      </w:r>
    </w:p>
    <w:p w14:paraId="2DB2C19E" w14:textId="5C58C770" w:rsidR="00B6363A" w:rsidRPr="0078054E" w:rsidRDefault="00B6363A" w:rsidP="00D0540C">
      <w:pPr>
        <w:pStyle w:val="Heading1"/>
        <w:numPr>
          <w:ilvl w:val="0"/>
          <w:numId w:val="3"/>
        </w:numPr>
        <w:spacing w:after="240"/>
        <w:rPr>
          <w:lang w:val="lv-LV"/>
        </w:rPr>
      </w:pPr>
      <w:bookmarkStart w:id="5" w:name="_Toc53387624"/>
      <w:r w:rsidRPr="0078054E">
        <w:rPr>
          <w:lang w:val="lv-LV"/>
        </w:rPr>
        <w:lastRenderedPageBreak/>
        <w:t>F</w:t>
      </w:r>
      <w:r w:rsidR="007D0B95">
        <w:rPr>
          <w:lang w:val="lv-LV"/>
        </w:rPr>
        <w:t>iskālās politikas attīstība</w:t>
      </w:r>
      <w:bookmarkEnd w:id="5"/>
    </w:p>
    <w:p w14:paraId="3DBA843E" w14:textId="4284AF61" w:rsidR="00B6363A" w:rsidRPr="0078054E" w:rsidRDefault="00266EB5" w:rsidP="00D0540C">
      <w:pPr>
        <w:pStyle w:val="Heading2"/>
        <w:numPr>
          <w:ilvl w:val="1"/>
          <w:numId w:val="3"/>
        </w:numPr>
        <w:spacing w:after="240"/>
        <w:rPr>
          <w:rStyle w:val="SubtleEmphasis"/>
          <w:i w:val="0"/>
          <w:iCs w:val="0"/>
          <w:color w:val="2E74B5" w:themeColor="accent1" w:themeShade="BF"/>
          <w:lang w:val="lv-LV"/>
        </w:rPr>
      </w:pPr>
      <w:bookmarkStart w:id="6" w:name="_Toc53387625"/>
      <w:r>
        <w:rPr>
          <w:rStyle w:val="SubtleEmphasis"/>
          <w:i w:val="0"/>
          <w:iCs w:val="0"/>
          <w:color w:val="2E74B5" w:themeColor="accent1" w:themeShade="BF"/>
          <w:lang w:val="lv-LV"/>
        </w:rPr>
        <w:t>2020.gada perspektīva</w:t>
      </w:r>
      <w:bookmarkEnd w:id="6"/>
    </w:p>
    <w:p w14:paraId="4EB4DAD2" w14:textId="7BD7B373" w:rsidR="00662E51" w:rsidRDefault="00662E51" w:rsidP="009A1EF2">
      <w:pPr>
        <w:pStyle w:val="ListParagraph"/>
        <w:numPr>
          <w:ilvl w:val="0"/>
          <w:numId w:val="2"/>
        </w:numPr>
        <w:ind w:left="360"/>
        <w:jc w:val="both"/>
        <w:rPr>
          <w:rFonts w:asciiTheme="minorHAnsi" w:hAnsiTheme="minorHAnsi" w:cstheme="minorBidi"/>
          <w:b/>
          <w:bCs/>
          <w:sz w:val="22"/>
          <w:szCs w:val="22"/>
          <w:lang w:val="lv-LV"/>
        </w:rPr>
      </w:pPr>
      <w:r>
        <w:rPr>
          <w:rFonts w:asciiTheme="minorHAnsi" w:hAnsiTheme="minorHAnsi" w:cstheme="minorBidi"/>
          <w:b/>
          <w:bCs/>
          <w:sz w:val="22"/>
          <w:szCs w:val="22"/>
          <w:lang w:val="lv-LV"/>
        </w:rPr>
        <w:t xml:space="preserve">Covid-19 vīruss izraisīja vispārēju ekonomikas krīzi, kā rezultātā </w:t>
      </w:r>
      <w:r w:rsidRPr="00662E51">
        <w:rPr>
          <w:rFonts w:asciiTheme="minorHAnsi" w:hAnsiTheme="minorHAnsi" w:cstheme="minorBidi"/>
          <w:b/>
          <w:bCs/>
          <w:sz w:val="22"/>
          <w:szCs w:val="22"/>
          <w:lang w:val="lv-LV"/>
        </w:rPr>
        <w:t>tika aktivizēta ES Stabilitātes un izaugsmes pakta vispārējā izņēmuma klauzula, kas ļauj palielināt vispārējās valdības budžeta deficītu 2020. gadā</w:t>
      </w:r>
      <w:r>
        <w:rPr>
          <w:rFonts w:asciiTheme="minorHAnsi" w:hAnsiTheme="minorHAnsi" w:cstheme="minorBidi"/>
          <w:b/>
          <w:bCs/>
          <w:sz w:val="22"/>
          <w:szCs w:val="22"/>
          <w:lang w:val="lv-LV"/>
        </w:rPr>
        <w:t xml:space="preserve">. </w:t>
      </w:r>
      <w:r>
        <w:rPr>
          <w:rFonts w:asciiTheme="minorHAnsi" w:hAnsiTheme="minorHAnsi" w:cstheme="minorBidi"/>
          <w:bCs/>
          <w:sz w:val="22"/>
          <w:szCs w:val="22"/>
          <w:lang w:val="lv-LV"/>
        </w:rPr>
        <w:t xml:space="preserve">Līdz ar to tika aktivizēts arī FDL 12. panta noteiktais atkāpes nosacījums, kas atļauj neievērot 0.5% strukturālo deficīta mērķi </w:t>
      </w:r>
      <w:r w:rsidR="00A871B8">
        <w:rPr>
          <w:rFonts w:asciiTheme="minorHAnsi" w:hAnsiTheme="minorHAnsi" w:cstheme="minorBidi"/>
          <w:bCs/>
          <w:sz w:val="22"/>
          <w:szCs w:val="22"/>
          <w:lang w:val="lv-LV"/>
        </w:rPr>
        <w:t xml:space="preserve">2020. gadā. </w:t>
      </w:r>
      <w:r w:rsidR="00A871B8" w:rsidRPr="00A871B8">
        <w:rPr>
          <w:rFonts w:asciiTheme="minorHAnsi" w:hAnsiTheme="minorHAnsi" w:cstheme="minorBidi"/>
          <w:bCs/>
          <w:sz w:val="22"/>
          <w:szCs w:val="22"/>
          <w:lang w:val="lv-LV"/>
        </w:rPr>
        <w:t>Vēlāk pieņemtais</w:t>
      </w:r>
      <w:r w:rsidRPr="00A871B8">
        <w:rPr>
          <w:rFonts w:asciiTheme="minorHAnsi" w:hAnsiTheme="minorHAnsi" w:cstheme="minorBidi"/>
          <w:bCs/>
          <w:sz w:val="22"/>
          <w:szCs w:val="22"/>
          <w:lang w:val="lv-LV"/>
        </w:rPr>
        <w:t xml:space="preserve"> </w:t>
      </w:r>
      <w:r w:rsidR="00A871B8" w:rsidRPr="00A871B8">
        <w:rPr>
          <w:rFonts w:asciiTheme="minorHAnsi" w:hAnsiTheme="minorHAnsi" w:cstheme="minorBidi"/>
          <w:bCs/>
          <w:sz w:val="22"/>
          <w:szCs w:val="22"/>
          <w:lang w:val="lv-LV"/>
        </w:rPr>
        <w:t>“Covid-19 infekcijas izplatības seku pārvarēšanas likums” noteica, ka FDL fiskālie nosacījumi nav spēkā arī 2021.gadā</w:t>
      </w:r>
      <w:r w:rsidR="00A871B8">
        <w:rPr>
          <w:rFonts w:asciiTheme="minorHAnsi" w:hAnsiTheme="minorHAnsi" w:cstheme="minorBidi"/>
          <w:bCs/>
          <w:sz w:val="22"/>
          <w:szCs w:val="22"/>
          <w:lang w:val="lv-LV"/>
        </w:rPr>
        <w:t>.</w:t>
      </w:r>
    </w:p>
    <w:p w14:paraId="573F8C0C" w14:textId="2500443E" w:rsidR="00266EB5" w:rsidRPr="003A4449" w:rsidRDefault="00266EB5" w:rsidP="009A1EF2">
      <w:pPr>
        <w:pStyle w:val="ListParagraph"/>
        <w:numPr>
          <w:ilvl w:val="0"/>
          <w:numId w:val="2"/>
        </w:numPr>
        <w:ind w:left="360"/>
        <w:jc w:val="both"/>
        <w:rPr>
          <w:rFonts w:asciiTheme="minorHAnsi" w:hAnsiTheme="minorHAnsi" w:cstheme="minorBidi"/>
          <w:b/>
          <w:bCs/>
          <w:sz w:val="22"/>
          <w:szCs w:val="22"/>
          <w:lang w:val="lv-LV"/>
        </w:rPr>
      </w:pPr>
      <w:r>
        <w:rPr>
          <w:rFonts w:asciiTheme="minorHAnsi" w:hAnsiTheme="minorHAnsi" w:cstheme="minorBidi"/>
          <w:b/>
          <w:bCs/>
          <w:sz w:val="22"/>
          <w:szCs w:val="22"/>
          <w:lang w:val="lv-LV"/>
        </w:rPr>
        <w:t xml:space="preserve">Covid-19 izraisītā ekonomiskā krīze ir negatīvi ietekmējusi gan valsts ekonomisko izaugsmi, gan valsts fiskālo pozīciju-  jau šobrīd ir skaidrs, ka valsts fiskālie mērķi 2020.gadā netiks sasniegti. </w:t>
      </w:r>
      <w:r w:rsidR="00E94AE5">
        <w:rPr>
          <w:rFonts w:asciiTheme="minorHAnsi" w:hAnsiTheme="minorHAnsi" w:cstheme="minorBidi"/>
          <w:bCs/>
          <w:sz w:val="22"/>
          <w:szCs w:val="22"/>
          <w:lang w:val="lv-LV"/>
        </w:rPr>
        <w:t>VVBB negatīvi ietekmē gan sarūkošie budžeta ienākumi, gan liel</w:t>
      </w:r>
      <w:r w:rsidR="003A4449">
        <w:rPr>
          <w:rFonts w:asciiTheme="minorHAnsi" w:hAnsiTheme="minorHAnsi" w:cstheme="minorBidi"/>
          <w:bCs/>
          <w:sz w:val="22"/>
          <w:szCs w:val="22"/>
          <w:lang w:val="lv-LV"/>
        </w:rPr>
        <w:t>āki</w:t>
      </w:r>
      <w:r w:rsidR="00E94AE5">
        <w:rPr>
          <w:rFonts w:asciiTheme="minorHAnsi" w:hAnsiTheme="minorHAnsi" w:cstheme="minorBidi"/>
          <w:bCs/>
          <w:sz w:val="22"/>
          <w:szCs w:val="22"/>
          <w:lang w:val="lv-LV"/>
        </w:rPr>
        <w:t xml:space="preserve"> budžeta izdevumi, ko izraisa valdības</w:t>
      </w:r>
      <w:r w:rsidR="009B03B1">
        <w:rPr>
          <w:rFonts w:asciiTheme="minorHAnsi" w:hAnsiTheme="minorHAnsi" w:cstheme="minorBidi"/>
          <w:bCs/>
          <w:sz w:val="22"/>
          <w:szCs w:val="22"/>
          <w:lang w:val="lv-LV"/>
        </w:rPr>
        <w:t xml:space="preserve"> atbalsta</w:t>
      </w:r>
      <w:r w:rsidR="00E94AE5">
        <w:rPr>
          <w:rFonts w:asciiTheme="minorHAnsi" w:hAnsiTheme="minorHAnsi" w:cstheme="minorBidi"/>
          <w:bCs/>
          <w:sz w:val="22"/>
          <w:szCs w:val="22"/>
          <w:lang w:val="lv-LV"/>
        </w:rPr>
        <w:t xml:space="preserve"> pasākumi.</w:t>
      </w:r>
      <w:r>
        <w:rPr>
          <w:rFonts w:asciiTheme="minorHAnsi" w:hAnsiTheme="minorHAnsi" w:cstheme="minorBidi"/>
          <w:b/>
          <w:bCs/>
          <w:sz w:val="22"/>
          <w:szCs w:val="22"/>
          <w:lang w:val="lv-LV"/>
        </w:rPr>
        <w:t xml:space="preserve"> </w:t>
      </w:r>
      <w:r w:rsidR="00D66F83">
        <w:rPr>
          <w:rFonts w:asciiTheme="minorHAnsi" w:hAnsiTheme="minorHAnsi" w:cstheme="minorBidi"/>
          <w:bCs/>
          <w:sz w:val="22"/>
          <w:szCs w:val="22"/>
          <w:lang w:val="lv-LV"/>
        </w:rPr>
        <w:t>Lai arī kopš SP 2020/23 ir nedaudz uzlabojušās valsts ekonomiskās un finanšu p</w:t>
      </w:r>
      <w:r w:rsidR="005F637A">
        <w:rPr>
          <w:rFonts w:asciiTheme="minorHAnsi" w:hAnsiTheme="minorHAnsi" w:cstheme="minorBidi"/>
          <w:bCs/>
          <w:sz w:val="22"/>
          <w:szCs w:val="22"/>
          <w:lang w:val="lv-LV"/>
        </w:rPr>
        <w:t>rognozes, šobrīd FM prognozē</w:t>
      </w:r>
      <w:r w:rsidR="00D66F83">
        <w:rPr>
          <w:rFonts w:asciiTheme="minorHAnsi" w:hAnsiTheme="minorHAnsi" w:cstheme="minorBidi"/>
          <w:bCs/>
          <w:sz w:val="22"/>
          <w:szCs w:val="22"/>
          <w:lang w:val="lv-LV"/>
        </w:rPr>
        <w:t xml:space="preserve">, ka VVBB deficīts 2020 gadā sasniegs </w:t>
      </w:r>
      <w:r w:rsidR="00D66F83" w:rsidRPr="00C03B2F">
        <w:rPr>
          <w:rFonts w:asciiTheme="minorHAnsi" w:hAnsiTheme="minorHAnsi" w:cstheme="minorBidi"/>
          <w:bCs/>
          <w:sz w:val="22"/>
          <w:szCs w:val="22"/>
          <w:lang w:val="lv-LV"/>
        </w:rPr>
        <w:t>2.1</w:t>
      </w:r>
      <w:r w:rsidR="00D66F83">
        <w:rPr>
          <w:rFonts w:asciiTheme="minorHAnsi" w:hAnsiTheme="minorHAnsi" w:cstheme="minorBidi"/>
          <w:bCs/>
          <w:sz w:val="22"/>
          <w:szCs w:val="22"/>
          <w:lang w:val="lv-LV"/>
        </w:rPr>
        <w:t xml:space="preserve"> miljardus eiro, jeb </w:t>
      </w:r>
      <w:r w:rsidR="00D66F83" w:rsidRPr="00C03B2F">
        <w:rPr>
          <w:rFonts w:asciiTheme="minorHAnsi" w:hAnsiTheme="minorHAnsi" w:cstheme="minorBidi"/>
          <w:bCs/>
          <w:sz w:val="22"/>
          <w:szCs w:val="22"/>
          <w:lang w:val="lv-LV"/>
        </w:rPr>
        <w:t>7.6%</w:t>
      </w:r>
      <w:r w:rsidR="00D66F83">
        <w:rPr>
          <w:rFonts w:asciiTheme="minorHAnsi" w:hAnsiTheme="minorHAnsi" w:cstheme="minorBidi"/>
          <w:bCs/>
          <w:sz w:val="22"/>
          <w:szCs w:val="22"/>
          <w:lang w:val="lv-LV"/>
        </w:rPr>
        <w:t xml:space="preserve"> no IKP.</w:t>
      </w:r>
    </w:p>
    <w:p w14:paraId="0A581CA2" w14:textId="77777777" w:rsidR="00E94AE5" w:rsidRPr="00E01B4C" w:rsidRDefault="00E94AE5" w:rsidP="009A1EF2">
      <w:pPr>
        <w:ind w:left="360"/>
        <w:jc w:val="right"/>
        <w:rPr>
          <w:rFonts w:asciiTheme="minorHAnsi" w:hAnsiTheme="minorHAnsi" w:cstheme="minorHAnsi"/>
          <w:sz w:val="20"/>
          <w:szCs w:val="20"/>
          <w:lang w:val="lv-LV"/>
        </w:rPr>
      </w:pPr>
      <w:r w:rsidRPr="00E01B4C">
        <w:rPr>
          <w:rFonts w:asciiTheme="minorHAnsi" w:eastAsia="Calibri" w:hAnsiTheme="minorHAnsi" w:cstheme="minorHAnsi"/>
          <w:sz w:val="20"/>
          <w:szCs w:val="20"/>
          <w:lang w:val="lv-LV"/>
        </w:rPr>
        <w:t xml:space="preserve">1.tabula </w:t>
      </w:r>
    </w:p>
    <w:p w14:paraId="714F1863" w14:textId="08D69DA1" w:rsidR="00E94AE5" w:rsidRPr="00E01B4C" w:rsidRDefault="00E94AE5" w:rsidP="009A1EF2">
      <w:pPr>
        <w:jc w:val="center"/>
        <w:rPr>
          <w:rFonts w:asciiTheme="minorHAnsi" w:eastAsia="Calibri" w:hAnsiTheme="minorHAnsi" w:cstheme="minorHAnsi"/>
          <w:b/>
          <w:sz w:val="20"/>
          <w:szCs w:val="20"/>
          <w:lang w:val="lv-LV"/>
        </w:rPr>
      </w:pPr>
      <w:r w:rsidRPr="00E01B4C">
        <w:rPr>
          <w:rFonts w:asciiTheme="minorHAnsi" w:eastAsia="Calibri" w:hAnsiTheme="minorHAnsi" w:cstheme="minorHAnsi"/>
          <w:b/>
          <w:bCs/>
          <w:sz w:val="20"/>
          <w:szCs w:val="20"/>
          <w:lang w:val="lv-LV"/>
        </w:rPr>
        <w:t>Budžeta</w:t>
      </w:r>
      <w:r w:rsidRPr="00E01B4C">
        <w:rPr>
          <w:rFonts w:asciiTheme="minorHAnsi" w:eastAsia="Calibri" w:hAnsiTheme="minorHAnsi" w:cstheme="minorHAnsi"/>
          <w:b/>
          <w:sz w:val="20"/>
          <w:szCs w:val="20"/>
          <w:lang w:val="lv-LV"/>
        </w:rPr>
        <w:t xml:space="preserve"> bilances plāni un prognozes</w:t>
      </w:r>
      <w:r w:rsidRPr="00E01B4C">
        <w:rPr>
          <w:rFonts w:asciiTheme="minorHAnsi" w:eastAsia="Calibri" w:hAnsiTheme="minorHAnsi" w:cstheme="minorHAnsi"/>
          <w:b/>
          <w:bCs/>
          <w:sz w:val="20"/>
          <w:szCs w:val="20"/>
          <w:lang w:val="lv-LV"/>
        </w:rPr>
        <w:t xml:space="preserve"> 2020.gadam un iznākums 2019.gadam</w:t>
      </w:r>
      <w:r w:rsidR="00D66F83" w:rsidRPr="00E01B4C">
        <w:rPr>
          <w:rFonts w:asciiTheme="minorHAnsi" w:eastAsia="Calibri" w:hAnsiTheme="minorHAnsi" w:cstheme="minorBidi"/>
          <w:b/>
          <w:bCs/>
          <w:sz w:val="20"/>
          <w:szCs w:val="20"/>
          <w:vertAlign w:val="superscript"/>
          <w:lang w:val="lv-LV"/>
        </w:rPr>
        <w:footnoteReference w:id="3"/>
      </w:r>
      <w:r w:rsidRPr="00E01B4C">
        <w:rPr>
          <w:rFonts w:asciiTheme="minorHAnsi" w:eastAsia="Calibri" w:hAnsiTheme="minorHAnsi" w:cstheme="minorHAnsi"/>
          <w:b/>
          <w:bCs/>
          <w:sz w:val="20"/>
          <w:szCs w:val="20"/>
          <w:lang w:val="lv-LV"/>
        </w:rPr>
        <w:t>., milj. Eiro</w:t>
      </w:r>
      <w:r w:rsidRPr="00E01B4C">
        <w:rPr>
          <w:rFonts w:asciiTheme="minorHAnsi" w:eastAsia="Calibri" w:hAnsiTheme="minorHAnsi" w:cstheme="minorHAnsi"/>
          <w:b/>
          <w:sz w:val="20"/>
          <w:szCs w:val="20"/>
          <w:lang w:val="lv-LV"/>
        </w:rPr>
        <w:t>.</w:t>
      </w:r>
    </w:p>
    <w:p w14:paraId="2C69DF4A" w14:textId="77777777" w:rsidR="00A00F2A" w:rsidRPr="00E01B4C" w:rsidRDefault="00A00F2A" w:rsidP="009A1EF2">
      <w:pPr>
        <w:jc w:val="center"/>
        <w:rPr>
          <w:rFonts w:asciiTheme="minorHAnsi" w:hAnsiTheme="minorHAnsi" w:cstheme="minorHAnsi"/>
          <w:b/>
          <w:i/>
          <w:sz w:val="20"/>
          <w:szCs w:val="20"/>
          <w:lang w:val="lv-LV"/>
        </w:rPr>
      </w:pPr>
    </w:p>
    <w:tbl>
      <w:tblPr>
        <w:tblStyle w:val="TableGrid"/>
        <w:tblW w:w="0" w:type="auto"/>
        <w:jc w:val="center"/>
        <w:tblLook w:val="04A0" w:firstRow="1" w:lastRow="0" w:firstColumn="1" w:lastColumn="0" w:noHBand="0" w:noVBand="1"/>
      </w:tblPr>
      <w:tblGrid>
        <w:gridCol w:w="3253"/>
        <w:gridCol w:w="1141"/>
        <w:gridCol w:w="1254"/>
        <w:gridCol w:w="1338"/>
      </w:tblGrid>
      <w:tr w:rsidR="00E94AE5" w:rsidRPr="00E01B4C" w14:paraId="7E0201A4" w14:textId="77777777" w:rsidTr="009B03B1">
        <w:trPr>
          <w:trHeight w:val="253"/>
          <w:jc w:val="center"/>
        </w:trPr>
        <w:tc>
          <w:tcPr>
            <w:tcW w:w="3253" w:type="dxa"/>
            <w:vMerge w:val="restart"/>
            <w:shd w:val="clear" w:color="auto" w:fill="FFFFFF" w:themeFill="background1"/>
            <w:vAlign w:val="center"/>
          </w:tcPr>
          <w:p w14:paraId="02678E3F" w14:textId="77777777" w:rsidR="00E94AE5" w:rsidRPr="00E01B4C" w:rsidRDefault="00E94AE5" w:rsidP="009A1EF2">
            <w:pPr>
              <w:rPr>
                <w:rFonts w:asciiTheme="minorHAnsi" w:eastAsia="Calibri" w:hAnsiTheme="minorHAnsi" w:cstheme="minorHAnsi"/>
                <w:b/>
                <w:bCs/>
                <w:sz w:val="20"/>
                <w:szCs w:val="20"/>
                <w:lang w:val="lv-LV"/>
              </w:rPr>
            </w:pPr>
            <w:r w:rsidRPr="00E01B4C">
              <w:rPr>
                <w:rFonts w:asciiTheme="minorHAnsi" w:eastAsia="Calibri" w:hAnsiTheme="minorHAnsi" w:cstheme="minorHAnsi"/>
                <w:b/>
                <w:bCs/>
                <w:sz w:val="20"/>
                <w:szCs w:val="20"/>
                <w:lang w:val="lv-LV"/>
              </w:rPr>
              <w:t>Bilance</w:t>
            </w:r>
          </w:p>
        </w:tc>
        <w:tc>
          <w:tcPr>
            <w:tcW w:w="2395" w:type="dxa"/>
            <w:gridSpan w:val="2"/>
            <w:shd w:val="clear" w:color="auto" w:fill="FFFFFF" w:themeFill="background1"/>
            <w:vAlign w:val="center"/>
          </w:tcPr>
          <w:p w14:paraId="59C8B92A" w14:textId="63B56DA5" w:rsidR="00E94AE5" w:rsidRPr="00E01B4C" w:rsidRDefault="009B03B1" w:rsidP="009A1EF2">
            <w:pPr>
              <w:jc w:val="center"/>
              <w:rPr>
                <w:rFonts w:asciiTheme="minorHAnsi" w:eastAsia="Calibri" w:hAnsiTheme="minorHAnsi" w:cstheme="minorHAnsi"/>
                <w:b/>
                <w:bCs/>
                <w:sz w:val="20"/>
                <w:szCs w:val="20"/>
                <w:lang w:val="lv-LV"/>
              </w:rPr>
            </w:pPr>
            <w:r w:rsidRPr="00E01B4C">
              <w:rPr>
                <w:rFonts w:asciiTheme="minorHAnsi" w:eastAsia="Calibri" w:hAnsiTheme="minorHAnsi" w:cstheme="minorHAnsi"/>
                <w:b/>
                <w:bCs/>
                <w:sz w:val="20"/>
                <w:szCs w:val="20"/>
                <w:lang w:val="lv-LV"/>
              </w:rPr>
              <w:t>2020</w:t>
            </w:r>
          </w:p>
        </w:tc>
        <w:tc>
          <w:tcPr>
            <w:tcW w:w="1338" w:type="dxa"/>
            <w:shd w:val="clear" w:color="auto" w:fill="FFFFFF" w:themeFill="background1"/>
            <w:vAlign w:val="center"/>
          </w:tcPr>
          <w:p w14:paraId="04745588" w14:textId="7B7A15C5" w:rsidR="00E94AE5" w:rsidRPr="00E01B4C" w:rsidRDefault="009B03B1" w:rsidP="009A1EF2">
            <w:pPr>
              <w:jc w:val="center"/>
              <w:rPr>
                <w:rFonts w:asciiTheme="minorHAnsi" w:eastAsia="Calibri" w:hAnsiTheme="minorHAnsi" w:cstheme="minorHAnsi"/>
                <w:b/>
                <w:bCs/>
                <w:sz w:val="20"/>
                <w:szCs w:val="20"/>
                <w:lang w:val="lv-LV"/>
              </w:rPr>
            </w:pPr>
            <w:r w:rsidRPr="00E01B4C">
              <w:rPr>
                <w:rFonts w:asciiTheme="minorHAnsi" w:eastAsia="Calibri" w:hAnsiTheme="minorHAnsi" w:cstheme="minorHAnsi"/>
                <w:b/>
                <w:bCs/>
                <w:sz w:val="20"/>
                <w:szCs w:val="20"/>
                <w:lang w:val="lv-LV"/>
              </w:rPr>
              <w:t>2019</w:t>
            </w:r>
          </w:p>
        </w:tc>
      </w:tr>
      <w:tr w:rsidR="009B03B1" w:rsidRPr="00E01B4C" w14:paraId="6A905AEF" w14:textId="77777777" w:rsidTr="009B03B1">
        <w:trPr>
          <w:trHeight w:val="253"/>
          <w:jc w:val="center"/>
        </w:trPr>
        <w:tc>
          <w:tcPr>
            <w:tcW w:w="3253" w:type="dxa"/>
            <w:vMerge/>
          </w:tcPr>
          <w:p w14:paraId="2E05FC78" w14:textId="77777777" w:rsidR="009B03B1" w:rsidRPr="00E01B4C" w:rsidRDefault="009B03B1" w:rsidP="009A1EF2">
            <w:pPr>
              <w:rPr>
                <w:rFonts w:asciiTheme="minorHAnsi" w:hAnsiTheme="minorHAnsi" w:cstheme="minorHAnsi"/>
                <w:sz w:val="20"/>
                <w:szCs w:val="20"/>
                <w:lang w:val="lv-LV"/>
              </w:rPr>
            </w:pPr>
          </w:p>
        </w:tc>
        <w:tc>
          <w:tcPr>
            <w:tcW w:w="1141" w:type="dxa"/>
            <w:shd w:val="clear" w:color="auto" w:fill="FFFFFF" w:themeFill="background1"/>
          </w:tcPr>
          <w:p w14:paraId="36B3663B" w14:textId="1D14492C" w:rsidR="009B03B1" w:rsidRPr="00E01B4C" w:rsidRDefault="009B03B1" w:rsidP="009A1EF2">
            <w:pPr>
              <w:jc w:val="center"/>
              <w:rPr>
                <w:rFonts w:asciiTheme="minorHAnsi" w:eastAsia="Calibri" w:hAnsiTheme="minorHAnsi" w:cstheme="minorHAnsi"/>
                <w:b/>
                <w:bCs/>
                <w:sz w:val="20"/>
                <w:szCs w:val="20"/>
                <w:lang w:val="lv-LV"/>
              </w:rPr>
            </w:pPr>
            <w:r w:rsidRPr="00E01B4C">
              <w:rPr>
                <w:rFonts w:asciiTheme="minorHAnsi" w:eastAsia="Calibri" w:hAnsiTheme="minorHAnsi" w:cstheme="minorBidi"/>
                <w:b/>
                <w:bCs/>
                <w:sz w:val="20"/>
                <w:szCs w:val="20"/>
                <w:lang w:val="lv-LV"/>
              </w:rPr>
              <w:t>plāns</w:t>
            </w:r>
          </w:p>
        </w:tc>
        <w:tc>
          <w:tcPr>
            <w:tcW w:w="1254" w:type="dxa"/>
            <w:shd w:val="clear" w:color="auto" w:fill="DEEAF6" w:themeFill="accent1" w:themeFillTint="33"/>
            <w:vAlign w:val="center"/>
          </w:tcPr>
          <w:p w14:paraId="1B65A8B9" w14:textId="448879FB" w:rsidR="009B03B1" w:rsidRPr="00E01B4C" w:rsidRDefault="009B03B1" w:rsidP="009A1EF2">
            <w:pPr>
              <w:jc w:val="center"/>
              <w:rPr>
                <w:rFonts w:asciiTheme="minorHAnsi" w:eastAsia="Calibri" w:hAnsiTheme="minorHAnsi" w:cstheme="minorHAnsi"/>
                <w:b/>
                <w:bCs/>
                <w:sz w:val="20"/>
                <w:szCs w:val="20"/>
                <w:lang w:val="lv-LV"/>
              </w:rPr>
            </w:pPr>
            <w:r w:rsidRPr="00E01B4C">
              <w:rPr>
                <w:rFonts w:asciiTheme="minorHAnsi" w:eastAsia="Calibri" w:hAnsiTheme="minorHAnsi" w:cstheme="minorHAnsi"/>
                <w:b/>
                <w:bCs/>
                <w:sz w:val="20"/>
                <w:szCs w:val="20"/>
                <w:lang w:val="lv-LV"/>
              </w:rPr>
              <w:t>prognoze</w:t>
            </w:r>
          </w:p>
        </w:tc>
        <w:tc>
          <w:tcPr>
            <w:tcW w:w="1338" w:type="dxa"/>
            <w:shd w:val="clear" w:color="auto" w:fill="DEEAF6" w:themeFill="accent1" w:themeFillTint="33"/>
            <w:vAlign w:val="center"/>
          </w:tcPr>
          <w:p w14:paraId="615DE7BE" w14:textId="77777777" w:rsidR="009B03B1" w:rsidRPr="00E01B4C" w:rsidRDefault="009B03B1" w:rsidP="009A1EF2">
            <w:pPr>
              <w:jc w:val="center"/>
              <w:rPr>
                <w:rFonts w:asciiTheme="minorHAnsi" w:eastAsia="Calibri" w:hAnsiTheme="minorHAnsi" w:cstheme="minorHAnsi"/>
                <w:b/>
                <w:bCs/>
                <w:sz w:val="20"/>
                <w:szCs w:val="20"/>
                <w:lang w:val="lv-LV"/>
              </w:rPr>
            </w:pPr>
            <w:r w:rsidRPr="00E01B4C">
              <w:rPr>
                <w:rFonts w:asciiTheme="minorHAnsi" w:eastAsia="Calibri" w:hAnsiTheme="minorHAnsi" w:cstheme="minorHAnsi"/>
                <w:b/>
                <w:bCs/>
                <w:sz w:val="20"/>
                <w:szCs w:val="20"/>
                <w:lang w:val="lv-LV"/>
              </w:rPr>
              <w:t>iznākums</w:t>
            </w:r>
          </w:p>
        </w:tc>
      </w:tr>
      <w:tr w:rsidR="009B03B1" w:rsidRPr="00E01B4C" w14:paraId="1173BEA1" w14:textId="77777777" w:rsidTr="009B03B1">
        <w:trPr>
          <w:trHeight w:val="253"/>
          <w:jc w:val="center"/>
        </w:trPr>
        <w:tc>
          <w:tcPr>
            <w:tcW w:w="3253" w:type="dxa"/>
          </w:tcPr>
          <w:p w14:paraId="3EFD66C7" w14:textId="77777777" w:rsidR="009B03B1" w:rsidRPr="00E01B4C" w:rsidRDefault="009B03B1" w:rsidP="009A1EF2">
            <w:pPr>
              <w:jc w:val="both"/>
              <w:rPr>
                <w:rFonts w:asciiTheme="minorHAnsi" w:eastAsia="Calibri" w:hAnsiTheme="minorHAnsi" w:cstheme="minorHAnsi"/>
                <w:sz w:val="20"/>
                <w:szCs w:val="20"/>
                <w:lang w:val="lv-LV"/>
              </w:rPr>
            </w:pPr>
            <w:r w:rsidRPr="00E01B4C">
              <w:rPr>
                <w:rFonts w:asciiTheme="minorHAnsi" w:eastAsia="Calibri" w:hAnsiTheme="minorHAnsi" w:cstheme="minorHAnsi"/>
                <w:sz w:val="20"/>
                <w:szCs w:val="20"/>
                <w:lang w:val="lv-LV"/>
              </w:rPr>
              <w:t>Vispārējās valdības budžeta bilance</w:t>
            </w:r>
          </w:p>
        </w:tc>
        <w:tc>
          <w:tcPr>
            <w:tcW w:w="1141" w:type="dxa"/>
            <w:shd w:val="clear" w:color="auto" w:fill="auto"/>
            <w:vAlign w:val="center"/>
          </w:tcPr>
          <w:p w14:paraId="1A5CC5F9" w14:textId="4F49F22F" w:rsidR="009B03B1" w:rsidRPr="00E01B4C" w:rsidRDefault="00AF257A" w:rsidP="009A1EF2">
            <w:pPr>
              <w:jc w:val="right"/>
              <w:rPr>
                <w:rFonts w:asciiTheme="minorHAnsi" w:eastAsia="Calibri" w:hAnsiTheme="minorHAnsi" w:cstheme="minorHAnsi"/>
                <w:sz w:val="20"/>
                <w:szCs w:val="20"/>
                <w:lang w:val="lv-LV"/>
              </w:rPr>
            </w:pPr>
            <w:r w:rsidRPr="00E01B4C">
              <w:rPr>
                <w:rFonts w:asciiTheme="minorHAnsi" w:eastAsia="Calibri" w:hAnsiTheme="minorHAnsi" w:cstheme="minorHAnsi"/>
                <w:sz w:val="20"/>
                <w:szCs w:val="20"/>
                <w:lang w:val="lv-LV"/>
              </w:rPr>
              <w:t>-111.3</w:t>
            </w:r>
          </w:p>
        </w:tc>
        <w:tc>
          <w:tcPr>
            <w:tcW w:w="1254" w:type="dxa"/>
            <w:shd w:val="clear" w:color="auto" w:fill="DEEAF6" w:themeFill="accent1" w:themeFillTint="33"/>
            <w:vAlign w:val="center"/>
          </w:tcPr>
          <w:p w14:paraId="7423A796" w14:textId="51453E45" w:rsidR="009B03B1" w:rsidRPr="00E01B4C" w:rsidRDefault="00AF257A" w:rsidP="009A1EF2">
            <w:pPr>
              <w:jc w:val="right"/>
              <w:rPr>
                <w:rFonts w:asciiTheme="minorHAnsi" w:eastAsia="Calibri" w:hAnsiTheme="minorHAnsi" w:cstheme="minorHAnsi"/>
                <w:sz w:val="20"/>
                <w:szCs w:val="20"/>
                <w:lang w:val="lv-LV"/>
              </w:rPr>
            </w:pPr>
            <w:r w:rsidRPr="00E01B4C">
              <w:rPr>
                <w:rFonts w:asciiTheme="minorHAnsi" w:eastAsia="Calibri" w:hAnsiTheme="minorHAnsi" w:cstheme="minorHAnsi"/>
                <w:sz w:val="20"/>
                <w:szCs w:val="20"/>
                <w:lang w:val="lv-LV"/>
              </w:rPr>
              <w:t>-2 143.8</w:t>
            </w:r>
          </w:p>
        </w:tc>
        <w:tc>
          <w:tcPr>
            <w:tcW w:w="1338" w:type="dxa"/>
            <w:shd w:val="clear" w:color="auto" w:fill="DEEAF6" w:themeFill="accent1" w:themeFillTint="33"/>
            <w:vAlign w:val="center"/>
          </w:tcPr>
          <w:p w14:paraId="5686EE60" w14:textId="5DD98EA1" w:rsidR="009B03B1" w:rsidRPr="00E01B4C" w:rsidRDefault="009B03B1" w:rsidP="009A1EF2">
            <w:pPr>
              <w:jc w:val="right"/>
              <w:rPr>
                <w:rFonts w:asciiTheme="minorHAnsi" w:eastAsia="Calibri" w:hAnsiTheme="minorHAnsi" w:cstheme="minorHAnsi"/>
                <w:sz w:val="20"/>
                <w:szCs w:val="20"/>
                <w:lang w:val="lv-LV"/>
              </w:rPr>
            </w:pPr>
            <w:r w:rsidRPr="00E01B4C">
              <w:rPr>
                <w:rFonts w:asciiTheme="minorHAnsi" w:eastAsia="Calibri" w:hAnsiTheme="minorHAnsi" w:cstheme="minorHAnsi"/>
                <w:sz w:val="20"/>
                <w:szCs w:val="20"/>
                <w:lang w:val="lv-LV"/>
              </w:rPr>
              <w:t>-63.2</w:t>
            </w:r>
          </w:p>
        </w:tc>
      </w:tr>
      <w:tr w:rsidR="009B03B1" w:rsidRPr="00E01B4C" w14:paraId="0050446C" w14:textId="77777777" w:rsidTr="009B03B1">
        <w:trPr>
          <w:trHeight w:val="253"/>
          <w:jc w:val="center"/>
        </w:trPr>
        <w:tc>
          <w:tcPr>
            <w:tcW w:w="3253" w:type="dxa"/>
          </w:tcPr>
          <w:p w14:paraId="2064F397" w14:textId="77777777" w:rsidR="009B03B1" w:rsidRPr="00E01B4C" w:rsidRDefault="009B03B1" w:rsidP="009A1EF2">
            <w:pPr>
              <w:ind w:left="179"/>
              <w:jc w:val="both"/>
              <w:rPr>
                <w:rFonts w:asciiTheme="minorHAnsi" w:eastAsia="Calibri" w:hAnsiTheme="minorHAnsi" w:cstheme="minorHAnsi"/>
                <w:sz w:val="20"/>
                <w:szCs w:val="20"/>
                <w:lang w:val="lv-LV"/>
              </w:rPr>
            </w:pPr>
            <w:r w:rsidRPr="00E01B4C">
              <w:rPr>
                <w:rFonts w:asciiTheme="minorHAnsi" w:eastAsia="Calibri" w:hAnsiTheme="minorHAnsi" w:cstheme="minorBidi"/>
                <w:sz w:val="20"/>
                <w:szCs w:val="20"/>
                <w:lang w:val="lv-LV"/>
              </w:rPr>
              <w:t>EKS2010</w:t>
            </w:r>
            <w:r w:rsidRPr="00E01B4C">
              <w:rPr>
                <w:rStyle w:val="FootnoteReference"/>
                <w:rFonts w:asciiTheme="minorHAnsi" w:eastAsia="Calibri" w:hAnsiTheme="minorHAnsi" w:cstheme="minorBidi"/>
                <w:sz w:val="20"/>
                <w:szCs w:val="20"/>
                <w:lang w:val="lv-LV"/>
              </w:rPr>
              <w:footnoteReference w:id="4"/>
            </w:r>
            <w:r w:rsidRPr="00E01B4C">
              <w:rPr>
                <w:rFonts w:asciiTheme="minorHAnsi" w:eastAsia="Calibri" w:hAnsiTheme="minorHAnsi" w:cstheme="minorBidi"/>
                <w:sz w:val="20"/>
                <w:szCs w:val="20"/>
                <w:lang w:val="lv-LV"/>
              </w:rPr>
              <w:t xml:space="preserve"> korekcijas</w:t>
            </w:r>
          </w:p>
        </w:tc>
        <w:tc>
          <w:tcPr>
            <w:tcW w:w="1141" w:type="dxa"/>
            <w:shd w:val="clear" w:color="auto" w:fill="auto"/>
            <w:vAlign w:val="center"/>
          </w:tcPr>
          <w:p w14:paraId="5BE1BE2C" w14:textId="01294A68" w:rsidR="009B03B1" w:rsidRPr="00E01B4C" w:rsidRDefault="00AF257A" w:rsidP="009A1EF2">
            <w:pPr>
              <w:jc w:val="right"/>
              <w:rPr>
                <w:rFonts w:asciiTheme="minorHAnsi" w:eastAsia="Calibri" w:hAnsiTheme="minorHAnsi" w:cstheme="minorHAnsi"/>
                <w:sz w:val="20"/>
                <w:szCs w:val="20"/>
                <w:lang w:val="lv-LV"/>
              </w:rPr>
            </w:pPr>
            <w:r w:rsidRPr="00E01B4C">
              <w:rPr>
                <w:rFonts w:asciiTheme="minorHAnsi" w:eastAsia="Calibri" w:hAnsiTheme="minorHAnsi" w:cstheme="minorHAnsi"/>
                <w:sz w:val="20"/>
                <w:szCs w:val="20"/>
                <w:lang w:val="lv-LV"/>
              </w:rPr>
              <w:t>7</w:t>
            </w:r>
            <w:r w:rsidR="009B03B1" w:rsidRPr="00E01B4C">
              <w:rPr>
                <w:rFonts w:asciiTheme="minorHAnsi" w:eastAsia="Calibri" w:hAnsiTheme="minorHAnsi" w:cstheme="minorHAnsi"/>
                <w:sz w:val="20"/>
                <w:szCs w:val="20"/>
                <w:lang w:val="lv-LV"/>
              </w:rPr>
              <w:t>3.1</w:t>
            </w:r>
          </w:p>
        </w:tc>
        <w:tc>
          <w:tcPr>
            <w:tcW w:w="1254" w:type="dxa"/>
            <w:shd w:val="clear" w:color="auto" w:fill="DEEAF6" w:themeFill="accent1" w:themeFillTint="33"/>
            <w:vAlign w:val="center"/>
          </w:tcPr>
          <w:p w14:paraId="7E498169" w14:textId="1E2AD1A7" w:rsidR="009B03B1" w:rsidRPr="00E01B4C" w:rsidRDefault="00AF257A" w:rsidP="009A1EF2">
            <w:pPr>
              <w:jc w:val="right"/>
              <w:rPr>
                <w:rFonts w:asciiTheme="minorHAnsi" w:eastAsia="Calibri" w:hAnsiTheme="minorHAnsi" w:cstheme="minorHAnsi"/>
                <w:sz w:val="20"/>
                <w:szCs w:val="20"/>
                <w:lang w:val="lv-LV"/>
              </w:rPr>
            </w:pPr>
            <w:r w:rsidRPr="00E01B4C">
              <w:rPr>
                <w:rFonts w:asciiTheme="minorHAnsi" w:eastAsia="Calibri" w:hAnsiTheme="minorHAnsi" w:cstheme="minorHAnsi"/>
                <w:sz w:val="20"/>
                <w:szCs w:val="20"/>
                <w:lang w:val="lv-LV"/>
              </w:rPr>
              <w:t>-361.0</w:t>
            </w:r>
          </w:p>
        </w:tc>
        <w:tc>
          <w:tcPr>
            <w:tcW w:w="1338" w:type="dxa"/>
            <w:shd w:val="clear" w:color="auto" w:fill="DEEAF6" w:themeFill="accent1" w:themeFillTint="33"/>
            <w:vAlign w:val="center"/>
          </w:tcPr>
          <w:p w14:paraId="639C5AB2" w14:textId="7E41A00F" w:rsidR="009B03B1" w:rsidRPr="00E01B4C" w:rsidRDefault="009B03B1" w:rsidP="009A1EF2">
            <w:pPr>
              <w:jc w:val="right"/>
              <w:rPr>
                <w:rFonts w:asciiTheme="minorHAnsi" w:eastAsia="Calibri" w:hAnsiTheme="minorHAnsi" w:cstheme="minorHAnsi"/>
                <w:sz w:val="20"/>
                <w:szCs w:val="20"/>
                <w:lang w:val="lv-LV"/>
              </w:rPr>
            </w:pPr>
            <w:r w:rsidRPr="00E01B4C">
              <w:rPr>
                <w:rFonts w:asciiTheme="minorHAnsi" w:eastAsia="Calibri" w:hAnsiTheme="minorHAnsi" w:cstheme="minorHAnsi"/>
                <w:sz w:val="20"/>
                <w:szCs w:val="20"/>
                <w:lang w:val="lv-LV"/>
              </w:rPr>
              <w:t>54.4</w:t>
            </w:r>
          </w:p>
        </w:tc>
      </w:tr>
      <w:tr w:rsidR="009B03B1" w:rsidRPr="00E01B4C" w14:paraId="61FC4639" w14:textId="77777777" w:rsidTr="009B03B1">
        <w:trPr>
          <w:trHeight w:val="253"/>
          <w:jc w:val="center"/>
        </w:trPr>
        <w:tc>
          <w:tcPr>
            <w:tcW w:w="3253" w:type="dxa"/>
          </w:tcPr>
          <w:p w14:paraId="225D89F9" w14:textId="77777777" w:rsidR="009B03B1" w:rsidRPr="00E01B4C" w:rsidRDefault="009B03B1" w:rsidP="009A1EF2">
            <w:pPr>
              <w:jc w:val="both"/>
              <w:rPr>
                <w:rFonts w:asciiTheme="minorHAnsi" w:eastAsia="Calibri" w:hAnsiTheme="minorHAnsi" w:cstheme="minorHAnsi"/>
                <w:sz w:val="20"/>
                <w:szCs w:val="20"/>
                <w:lang w:val="lv-LV"/>
              </w:rPr>
            </w:pPr>
            <w:r w:rsidRPr="00E01B4C">
              <w:rPr>
                <w:rFonts w:asciiTheme="minorHAnsi" w:eastAsia="Calibri" w:hAnsiTheme="minorHAnsi" w:cstheme="minorHAnsi"/>
                <w:sz w:val="20"/>
                <w:szCs w:val="20"/>
                <w:lang w:val="lv-LV"/>
              </w:rPr>
              <w:t>Valsts konsolidētais kopbudžets</w:t>
            </w:r>
          </w:p>
        </w:tc>
        <w:tc>
          <w:tcPr>
            <w:tcW w:w="1141" w:type="dxa"/>
            <w:shd w:val="clear" w:color="auto" w:fill="auto"/>
            <w:vAlign w:val="center"/>
          </w:tcPr>
          <w:p w14:paraId="7982EBC6" w14:textId="0AF5D6C8" w:rsidR="009B03B1" w:rsidRPr="00E01B4C" w:rsidRDefault="00AF257A" w:rsidP="009A1EF2">
            <w:pPr>
              <w:jc w:val="right"/>
              <w:rPr>
                <w:rFonts w:asciiTheme="minorHAnsi" w:eastAsia="Calibri" w:hAnsiTheme="minorHAnsi" w:cstheme="minorHAnsi"/>
                <w:sz w:val="20"/>
                <w:szCs w:val="20"/>
                <w:lang w:val="lv-LV"/>
              </w:rPr>
            </w:pPr>
            <w:r w:rsidRPr="00E01B4C">
              <w:rPr>
                <w:rFonts w:asciiTheme="minorHAnsi" w:eastAsia="Calibri" w:hAnsiTheme="minorHAnsi" w:cstheme="minorHAnsi"/>
                <w:sz w:val="20"/>
                <w:szCs w:val="20"/>
                <w:lang w:val="lv-LV"/>
              </w:rPr>
              <w:t>-184.4</w:t>
            </w:r>
          </w:p>
        </w:tc>
        <w:tc>
          <w:tcPr>
            <w:tcW w:w="1254" w:type="dxa"/>
            <w:shd w:val="clear" w:color="auto" w:fill="DEEAF6" w:themeFill="accent1" w:themeFillTint="33"/>
            <w:vAlign w:val="center"/>
          </w:tcPr>
          <w:p w14:paraId="2E9BFCBF" w14:textId="21D98C80" w:rsidR="009B03B1" w:rsidRPr="00E01B4C" w:rsidRDefault="00AF257A" w:rsidP="009A1EF2">
            <w:pPr>
              <w:jc w:val="right"/>
              <w:rPr>
                <w:rFonts w:asciiTheme="minorHAnsi" w:eastAsia="Calibri" w:hAnsiTheme="minorHAnsi" w:cstheme="minorHAnsi"/>
                <w:sz w:val="20"/>
                <w:szCs w:val="20"/>
                <w:lang w:val="lv-LV"/>
              </w:rPr>
            </w:pPr>
            <w:r w:rsidRPr="00E01B4C">
              <w:rPr>
                <w:rFonts w:asciiTheme="minorHAnsi" w:eastAsia="Calibri" w:hAnsiTheme="minorHAnsi" w:cstheme="minorHAnsi"/>
                <w:sz w:val="20"/>
                <w:szCs w:val="20"/>
                <w:lang w:val="lv-LV"/>
              </w:rPr>
              <w:t>- 1 782.8</w:t>
            </w:r>
          </w:p>
        </w:tc>
        <w:tc>
          <w:tcPr>
            <w:tcW w:w="1338" w:type="dxa"/>
            <w:shd w:val="clear" w:color="auto" w:fill="DEEAF6" w:themeFill="accent1" w:themeFillTint="33"/>
            <w:vAlign w:val="center"/>
          </w:tcPr>
          <w:p w14:paraId="6622D96E" w14:textId="36A65D08" w:rsidR="009B03B1" w:rsidRPr="00E01B4C" w:rsidRDefault="009B03B1" w:rsidP="009A1EF2">
            <w:pPr>
              <w:jc w:val="right"/>
              <w:rPr>
                <w:rFonts w:asciiTheme="minorHAnsi" w:eastAsia="Calibri" w:hAnsiTheme="minorHAnsi" w:cstheme="minorHAnsi"/>
                <w:sz w:val="20"/>
                <w:szCs w:val="20"/>
                <w:lang w:val="lv-LV"/>
              </w:rPr>
            </w:pPr>
            <w:r w:rsidRPr="00E01B4C">
              <w:rPr>
                <w:rFonts w:asciiTheme="minorHAnsi" w:eastAsia="Calibri" w:hAnsiTheme="minorHAnsi" w:cstheme="minorHAnsi"/>
                <w:sz w:val="20"/>
                <w:szCs w:val="20"/>
                <w:lang w:val="lv-LV"/>
              </w:rPr>
              <w:t>-117.6</w:t>
            </w:r>
          </w:p>
        </w:tc>
      </w:tr>
      <w:tr w:rsidR="009B03B1" w:rsidRPr="00E01B4C" w14:paraId="30657ECC" w14:textId="77777777" w:rsidTr="009B03B1">
        <w:trPr>
          <w:trHeight w:val="253"/>
          <w:jc w:val="center"/>
        </w:trPr>
        <w:tc>
          <w:tcPr>
            <w:tcW w:w="3253" w:type="dxa"/>
          </w:tcPr>
          <w:p w14:paraId="261EDCD0" w14:textId="77777777" w:rsidR="009B03B1" w:rsidRPr="00E01B4C" w:rsidRDefault="009B03B1" w:rsidP="009A1EF2">
            <w:pPr>
              <w:jc w:val="both"/>
              <w:rPr>
                <w:rFonts w:asciiTheme="minorHAnsi" w:eastAsia="Calibri" w:hAnsiTheme="minorHAnsi" w:cstheme="minorHAnsi"/>
                <w:sz w:val="20"/>
                <w:szCs w:val="20"/>
                <w:lang w:val="lv-LV"/>
              </w:rPr>
            </w:pPr>
            <w:r w:rsidRPr="00E01B4C">
              <w:rPr>
                <w:rFonts w:asciiTheme="minorHAnsi" w:eastAsia="Calibri" w:hAnsiTheme="minorHAnsi" w:cstheme="minorHAnsi"/>
                <w:sz w:val="20"/>
                <w:szCs w:val="20"/>
                <w:lang w:val="lv-LV"/>
              </w:rPr>
              <w:t xml:space="preserve">        Valsts pamatbudžets</w:t>
            </w:r>
          </w:p>
        </w:tc>
        <w:tc>
          <w:tcPr>
            <w:tcW w:w="1141" w:type="dxa"/>
            <w:shd w:val="clear" w:color="auto" w:fill="auto"/>
            <w:vAlign w:val="center"/>
          </w:tcPr>
          <w:p w14:paraId="0909E4D1" w14:textId="1BC94422" w:rsidR="009B03B1" w:rsidRPr="00E01B4C" w:rsidRDefault="00AF257A" w:rsidP="009A1EF2">
            <w:pPr>
              <w:jc w:val="right"/>
              <w:rPr>
                <w:rFonts w:asciiTheme="minorHAnsi" w:eastAsia="Calibri" w:hAnsiTheme="minorHAnsi" w:cstheme="minorHAnsi"/>
                <w:sz w:val="20"/>
                <w:szCs w:val="20"/>
                <w:lang w:val="lv-LV"/>
              </w:rPr>
            </w:pPr>
            <w:r w:rsidRPr="00E01B4C">
              <w:rPr>
                <w:rFonts w:asciiTheme="minorHAnsi" w:eastAsia="Calibri" w:hAnsiTheme="minorHAnsi" w:cstheme="minorHAnsi"/>
                <w:sz w:val="20"/>
                <w:szCs w:val="20"/>
                <w:lang w:val="lv-LV"/>
              </w:rPr>
              <w:t>-342.0</w:t>
            </w:r>
          </w:p>
        </w:tc>
        <w:tc>
          <w:tcPr>
            <w:tcW w:w="1254" w:type="dxa"/>
            <w:shd w:val="clear" w:color="auto" w:fill="DEEAF6" w:themeFill="accent1" w:themeFillTint="33"/>
            <w:vAlign w:val="center"/>
          </w:tcPr>
          <w:p w14:paraId="5B9BE3D1" w14:textId="5F5E3CED" w:rsidR="009B03B1" w:rsidRPr="00E01B4C" w:rsidRDefault="00AF257A" w:rsidP="009A1EF2">
            <w:pPr>
              <w:jc w:val="right"/>
              <w:rPr>
                <w:rFonts w:asciiTheme="minorHAnsi" w:eastAsia="Calibri" w:hAnsiTheme="minorHAnsi" w:cstheme="minorHAnsi"/>
                <w:sz w:val="20"/>
                <w:szCs w:val="20"/>
                <w:lang w:val="lv-LV"/>
              </w:rPr>
            </w:pPr>
            <w:r w:rsidRPr="00E01B4C">
              <w:rPr>
                <w:rFonts w:asciiTheme="minorHAnsi" w:eastAsia="Calibri" w:hAnsiTheme="minorHAnsi" w:cstheme="minorHAnsi"/>
                <w:sz w:val="20"/>
                <w:szCs w:val="20"/>
                <w:lang w:val="lv-LV"/>
              </w:rPr>
              <w:t>-1 607.3</w:t>
            </w:r>
          </w:p>
        </w:tc>
        <w:tc>
          <w:tcPr>
            <w:tcW w:w="1338" w:type="dxa"/>
            <w:shd w:val="clear" w:color="auto" w:fill="DEEAF6" w:themeFill="accent1" w:themeFillTint="33"/>
            <w:vAlign w:val="center"/>
          </w:tcPr>
          <w:p w14:paraId="69C7C88B" w14:textId="274BBFDE" w:rsidR="009B03B1" w:rsidRPr="00E01B4C" w:rsidRDefault="009B03B1" w:rsidP="009A1EF2">
            <w:pPr>
              <w:jc w:val="right"/>
              <w:rPr>
                <w:rFonts w:asciiTheme="minorHAnsi" w:eastAsia="Calibri" w:hAnsiTheme="minorHAnsi" w:cstheme="minorHAnsi"/>
                <w:sz w:val="20"/>
                <w:szCs w:val="20"/>
                <w:lang w:val="lv-LV"/>
              </w:rPr>
            </w:pPr>
            <w:r w:rsidRPr="00E01B4C">
              <w:rPr>
                <w:rFonts w:asciiTheme="minorHAnsi" w:eastAsia="Calibri" w:hAnsiTheme="minorHAnsi" w:cstheme="minorHAnsi"/>
                <w:sz w:val="20"/>
                <w:szCs w:val="20"/>
                <w:lang w:val="lv-LV"/>
              </w:rPr>
              <w:t>-485.0</w:t>
            </w:r>
          </w:p>
        </w:tc>
      </w:tr>
      <w:tr w:rsidR="009B03B1" w:rsidRPr="00E01B4C" w14:paraId="3E51AA0D" w14:textId="77777777" w:rsidTr="009B03B1">
        <w:trPr>
          <w:trHeight w:val="253"/>
          <w:jc w:val="center"/>
        </w:trPr>
        <w:tc>
          <w:tcPr>
            <w:tcW w:w="3253" w:type="dxa"/>
          </w:tcPr>
          <w:p w14:paraId="40BE2D14" w14:textId="77777777" w:rsidR="009B03B1" w:rsidRPr="00E01B4C" w:rsidRDefault="009B03B1" w:rsidP="009A1EF2">
            <w:pPr>
              <w:jc w:val="both"/>
              <w:rPr>
                <w:rFonts w:asciiTheme="minorHAnsi" w:eastAsia="Calibri" w:hAnsiTheme="minorHAnsi" w:cstheme="minorHAnsi"/>
                <w:sz w:val="20"/>
                <w:szCs w:val="20"/>
                <w:lang w:val="lv-LV"/>
              </w:rPr>
            </w:pPr>
            <w:r w:rsidRPr="00E01B4C">
              <w:rPr>
                <w:rFonts w:asciiTheme="minorHAnsi" w:eastAsia="Calibri" w:hAnsiTheme="minorHAnsi" w:cstheme="minorHAnsi"/>
                <w:sz w:val="20"/>
                <w:szCs w:val="20"/>
                <w:lang w:val="lv-LV"/>
              </w:rPr>
              <w:t xml:space="preserve">        Valsts speciālais budžets</w:t>
            </w:r>
          </w:p>
        </w:tc>
        <w:tc>
          <w:tcPr>
            <w:tcW w:w="1141" w:type="dxa"/>
            <w:shd w:val="clear" w:color="auto" w:fill="auto"/>
            <w:vAlign w:val="center"/>
          </w:tcPr>
          <w:p w14:paraId="5AD4315B" w14:textId="15786842" w:rsidR="009B03B1" w:rsidRPr="00E01B4C" w:rsidRDefault="00AF257A" w:rsidP="009A1EF2">
            <w:pPr>
              <w:jc w:val="right"/>
              <w:rPr>
                <w:rFonts w:asciiTheme="minorHAnsi" w:eastAsia="Calibri" w:hAnsiTheme="minorHAnsi" w:cstheme="minorHAnsi"/>
                <w:sz w:val="20"/>
                <w:szCs w:val="20"/>
                <w:lang w:val="lv-LV"/>
              </w:rPr>
            </w:pPr>
            <w:r w:rsidRPr="00E01B4C">
              <w:rPr>
                <w:rFonts w:asciiTheme="minorHAnsi" w:eastAsia="Calibri" w:hAnsiTheme="minorHAnsi" w:cstheme="minorHAnsi"/>
                <w:sz w:val="20"/>
                <w:szCs w:val="20"/>
                <w:lang w:val="lv-LV"/>
              </w:rPr>
              <w:t>234.5</w:t>
            </w:r>
          </w:p>
        </w:tc>
        <w:tc>
          <w:tcPr>
            <w:tcW w:w="1254" w:type="dxa"/>
            <w:shd w:val="clear" w:color="auto" w:fill="DEEAF6" w:themeFill="accent1" w:themeFillTint="33"/>
            <w:vAlign w:val="center"/>
          </w:tcPr>
          <w:p w14:paraId="197648C7" w14:textId="34759DA3" w:rsidR="009B03B1" w:rsidRPr="00E01B4C" w:rsidRDefault="00AF257A" w:rsidP="009A1EF2">
            <w:pPr>
              <w:jc w:val="right"/>
              <w:rPr>
                <w:rFonts w:asciiTheme="minorHAnsi" w:eastAsia="Calibri" w:hAnsiTheme="minorHAnsi" w:cstheme="minorHAnsi"/>
                <w:sz w:val="20"/>
                <w:szCs w:val="20"/>
                <w:lang w:val="lv-LV"/>
              </w:rPr>
            </w:pPr>
            <w:r w:rsidRPr="00E01B4C">
              <w:rPr>
                <w:rFonts w:asciiTheme="minorHAnsi" w:eastAsia="Calibri" w:hAnsiTheme="minorHAnsi" w:cstheme="minorHAnsi"/>
                <w:sz w:val="20"/>
                <w:szCs w:val="20"/>
                <w:lang w:val="lv-LV"/>
              </w:rPr>
              <w:t>-1 77.4</w:t>
            </w:r>
          </w:p>
        </w:tc>
        <w:tc>
          <w:tcPr>
            <w:tcW w:w="1338" w:type="dxa"/>
            <w:shd w:val="clear" w:color="auto" w:fill="DEEAF6" w:themeFill="accent1" w:themeFillTint="33"/>
            <w:vAlign w:val="center"/>
          </w:tcPr>
          <w:p w14:paraId="52BD2C19" w14:textId="200C77D3" w:rsidR="009B03B1" w:rsidRPr="00E01B4C" w:rsidRDefault="009B03B1" w:rsidP="009A1EF2">
            <w:pPr>
              <w:jc w:val="right"/>
              <w:rPr>
                <w:rFonts w:asciiTheme="minorHAnsi" w:eastAsia="Calibri" w:hAnsiTheme="minorHAnsi" w:cstheme="minorHAnsi"/>
                <w:sz w:val="20"/>
                <w:szCs w:val="20"/>
                <w:lang w:val="lv-LV"/>
              </w:rPr>
            </w:pPr>
            <w:r w:rsidRPr="00E01B4C">
              <w:rPr>
                <w:rFonts w:asciiTheme="minorHAnsi" w:eastAsia="Calibri" w:hAnsiTheme="minorHAnsi" w:cstheme="minorHAnsi"/>
                <w:sz w:val="20"/>
                <w:szCs w:val="20"/>
                <w:lang w:val="lv-LV"/>
              </w:rPr>
              <w:t>299.6</w:t>
            </w:r>
          </w:p>
        </w:tc>
      </w:tr>
      <w:tr w:rsidR="009B03B1" w:rsidRPr="00E01B4C" w14:paraId="0E41FEDA" w14:textId="77777777" w:rsidTr="009B03B1">
        <w:trPr>
          <w:trHeight w:val="253"/>
          <w:jc w:val="center"/>
        </w:trPr>
        <w:tc>
          <w:tcPr>
            <w:tcW w:w="3253" w:type="dxa"/>
          </w:tcPr>
          <w:p w14:paraId="5DF58EEF" w14:textId="77777777" w:rsidR="009B03B1" w:rsidRPr="00E01B4C" w:rsidRDefault="009B03B1" w:rsidP="009A1EF2">
            <w:pPr>
              <w:jc w:val="both"/>
              <w:rPr>
                <w:rFonts w:asciiTheme="minorHAnsi" w:eastAsia="Calibri" w:hAnsiTheme="minorHAnsi" w:cstheme="minorHAnsi"/>
                <w:sz w:val="20"/>
                <w:szCs w:val="20"/>
                <w:lang w:val="lv-LV"/>
              </w:rPr>
            </w:pPr>
            <w:r w:rsidRPr="00E01B4C">
              <w:rPr>
                <w:rFonts w:asciiTheme="minorHAnsi" w:eastAsia="Calibri" w:hAnsiTheme="minorHAnsi" w:cstheme="minorHAnsi"/>
                <w:sz w:val="20"/>
                <w:szCs w:val="20"/>
                <w:lang w:val="lv-LV"/>
              </w:rPr>
              <w:t xml:space="preserve">        Pašvaldību budžeti</w:t>
            </w:r>
          </w:p>
        </w:tc>
        <w:tc>
          <w:tcPr>
            <w:tcW w:w="1141" w:type="dxa"/>
            <w:shd w:val="clear" w:color="auto" w:fill="auto"/>
            <w:vAlign w:val="center"/>
          </w:tcPr>
          <w:p w14:paraId="30795B57" w14:textId="2B598604" w:rsidR="009B03B1" w:rsidRPr="00E01B4C" w:rsidRDefault="00D66F83" w:rsidP="009A1EF2">
            <w:pPr>
              <w:jc w:val="right"/>
              <w:rPr>
                <w:rFonts w:asciiTheme="minorHAnsi" w:eastAsia="Calibri" w:hAnsiTheme="minorHAnsi" w:cstheme="minorHAnsi"/>
                <w:sz w:val="20"/>
                <w:szCs w:val="20"/>
                <w:lang w:val="lv-LV"/>
              </w:rPr>
            </w:pPr>
            <w:r w:rsidRPr="00E01B4C">
              <w:rPr>
                <w:rFonts w:asciiTheme="minorHAnsi" w:eastAsia="Calibri" w:hAnsiTheme="minorHAnsi" w:cstheme="minorHAnsi"/>
                <w:sz w:val="20"/>
                <w:szCs w:val="20"/>
                <w:lang w:val="lv-LV"/>
              </w:rPr>
              <w:t>-78.6</w:t>
            </w:r>
          </w:p>
        </w:tc>
        <w:tc>
          <w:tcPr>
            <w:tcW w:w="1254" w:type="dxa"/>
            <w:shd w:val="clear" w:color="auto" w:fill="DEEAF6" w:themeFill="accent1" w:themeFillTint="33"/>
            <w:vAlign w:val="center"/>
          </w:tcPr>
          <w:p w14:paraId="3AB1DD64" w14:textId="1EFD19AD" w:rsidR="009B03B1" w:rsidRPr="00E01B4C" w:rsidRDefault="00D66F83" w:rsidP="009A1EF2">
            <w:pPr>
              <w:jc w:val="right"/>
              <w:rPr>
                <w:rFonts w:asciiTheme="minorHAnsi" w:eastAsia="Calibri" w:hAnsiTheme="minorHAnsi" w:cstheme="minorHAnsi"/>
                <w:sz w:val="20"/>
                <w:szCs w:val="20"/>
                <w:lang w:val="lv-LV"/>
              </w:rPr>
            </w:pPr>
            <w:r w:rsidRPr="00E01B4C">
              <w:rPr>
                <w:rFonts w:asciiTheme="minorHAnsi" w:eastAsia="Calibri" w:hAnsiTheme="minorHAnsi" w:cstheme="minorHAnsi"/>
                <w:sz w:val="20"/>
                <w:szCs w:val="20"/>
                <w:lang w:val="lv-LV"/>
              </w:rPr>
              <w:t>-18.3</w:t>
            </w:r>
          </w:p>
        </w:tc>
        <w:tc>
          <w:tcPr>
            <w:tcW w:w="1338" w:type="dxa"/>
            <w:shd w:val="clear" w:color="auto" w:fill="DEEAF6" w:themeFill="accent1" w:themeFillTint="33"/>
            <w:vAlign w:val="center"/>
          </w:tcPr>
          <w:p w14:paraId="5D4DD71B" w14:textId="195D9AC5" w:rsidR="009B03B1" w:rsidRPr="00E01B4C" w:rsidRDefault="009B03B1" w:rsidP="009A1EF2">
            <w:pPr>
              <w:jc w:val="right"/>
              <w:rPr>
                <w:rFonts w:asciiTheme="minorHAnsi" w:eastAsia="Calibri" w:hAnsiTheme="minorHAnsi" w:cstheme="minorHAnsi"/>
                <w:sz w:val="20"/>
                <w:szCs w:val="20"/>
                <w:lang w:val="lv-LV"/>
              </w:rPr>
            </w:pPr>
            <w:r w:rsidRPr="00E01B4C">
              <w:rPr>
                <w:rFonts w:asciiTheme="minorHAnsi" w:eastAsia="Calibri" w:hAnsiTheme="minorHAnsi" w:cstheme="minorHAnsi"/>
                <w:sz w:val="20"/>
                <w:szCs w:val="20"/>
                <w:lang w:val="lv-LV"/>
              </w:rPr>
              <w:t>50.1</w:t>
            </w:r>
          </w:p>
        </w:tc>
      </w:tr>
      <w:tr w:rsidR="009B03B1" w:rsidRPr="00E01B4C" w14:paraId="4517F4C0" w14:textId="77777777" w:rsidTr="009B03B1">
        <w:trPr>
          <w:trHeight w:val="253"/>
          <w:jc w:val="center"/>
        </w:trPr>
        <w:tc>
          <w:tcPr>
            <w:tcW w:w="3253" w:type="dxa"/>
          </w:tcPr>
          <w:p w14:paraId="14DAB515" w14:textId="77777777" w:rsidR="009B03B1" w:rsidRPr="00E01B4C" w:rsidRDefault="009B03B1" w:rsidP="009A1EF2">
            <w:pPr>
              <w:jc w:val="both"/>
              <w:rPr>
                <w:rFonts w:asciiTheme="minorHAnsi" w:eastAsia="Calibri" w:hAnsiTheme="minorHAnsi" w:cstheme="minorHAnsi"/>
                <w:sz w:val="20"/>
                <w:szCs w:val="20"/>
                <w:lang w:val="lv-LV"/>
              </w:rPr>
            </w:pPr>
            <w:r w:rsidRPr="00E01B4C">
              <w:rPr>
                <w:rFonts w:asciiTheme="minorHAnsi" w:eastAsia="Calibri" w:hAnsiTheme="minorHAnsi" w:cstheme="minorHAnsi"/>
                <w:sz w:val="20"/>
                <w:szCs w:val="20"/>
                <w:lang w:val="lv-LV"/>
              </w:rPr>
              <w:t xml:space="preserve">        Atvasināto publisko personu b.</w:t>
            </w:r>
          </w:p>
        </w:tc>
        <w:tc>
          <w:tcPr>
            <w:tcW w:w="1141" w:type="dxa"/>
            <w:shd w:val="clear" w:color="auto" w:fill="auto"/>
            <w:vAlign w:val="center"/>
          </w:tcPr>
          <w:p w14:paraId="2561AFD6" w14:textId="541A5455" w:rsidR="009B03B1" w:rsidRPr="00E01B4C" w:rsidRDefault="00D66F83" w:rsidP="009A1EF2">
            <w:pPr>
              <w:jc w:val="right"/>
              <w:rPr>
                <w:rFonts w:asciiTheme="minorHAnsi" w:eastAsia="Calibri" w:hAnsiTheme="minorHAnsi" w:cstheme="minorHAnsi"/>
                <w:sz w:val="20"/>
                <w:szCs w:val="20"/>
                <w:lang w:val="lv-LV"/>
              </w:rPr>
            </w:pPr>
            <w:r w:rsidRPr="00E01B4C">
              <w:rPr>
                <w:rFonts w:asciiTheme="minorHAnsi" w:eastAsia="Calibri" w:hAnsiTheme="minorHAnsi" w:cstheme="minorHAnsi"/>
                <w:sz w:val="20"/>
                <w:szCs w:val="20"/>
                <w:lang w:val="lv-LV"/>
              </w:rPr>
              <w:t>1.7</w:t>
            </w:r>
          </w:p>
        </w:tc>
        <w:tc>
          <w:tcPr>
            <w:tcW w:w="1254" w:type="dxa"/>
            <w:shd w:val="clear" w:color="auto" w:fill="DEEAF6" w:themeFill="accent1" w:themeFillTint="33"/>
            <w:vAlign w:val="center"/>
          </w:tcPr>
          <w:p w14:paraId="2FA369FA" w14:textId="6409001B" w:rsidR="009B03B1" w:rsidRPr="00E01B4C" w:rsidRDefault="00D66F83" w:rsidP="009A1EF2">
            <w:pPr>
              <w:jc w:val="right"/>
              <w:rPr>
                <w:rFonts w:asciiTheme="minorHAnsi" w:eastAsia="Calibri" w:hAnsiTheme="minorHAnsi" w:cstheme="minorHAnsi"/>
                <w:sz w:val="20"/>
                <w:szCs w:val="20"/>
                <w:lang w:val="lv-LV"/>
              </w:rPr>
            </w:pPr>
            <w:r w:rsidRPr="00E01B4C">
              <w:rPr>
                <w:rFonts w:asciiTheme="minorHAnsi" w:eastAsia="Calibri" w:hAnsiTheme="minorHAnsi" w:cstheme="minorHAnsi"/>
                <w:sz w:val="20"/>
                <w:szCs w:val="20"/>
                <w:lang w:val="lv-LV"/>
              </w:rPr>
              <w:t>20.1</w:t>
            </w:r>
          </w:p>
        </w:tc>
        <w:tc>
          <w:tcPr>
            <w:tcW w:w="1338" w:type="dxa"/>
            <w:shd w:val="clear" w:color="auto" w:fill="DEEAF6" w:themeFill="accent1" w:themeFillTint="33"/>
            <w:vAlign w:val="center"/>
          </w:tcPr>
          <w:p w14:paraId="562E30EE" w14:textId="37072520" w:rsidR="009B03B1" w:rsidRPr="00E01B4C" w:rsidRDefault="009B03B1" w:rsidP="009A1EF2">
            <w:pPr>
              <w:jc w:val="right"/>
              <w:rPr>
                <w:rFonts w:asciiTheme="minorHAnsi" w:eastAsia="Calibri" w:hAnsiTheme="minorHAnsi" w:cstheme="minorHAnsi"/>
                <w:sz w:val="20"/>
                <w:szCs w:val="20"/>
                <w:lang w:val="lv-LV"/>
              </w:rPr>
            </w:pPr>
            <w:r w:rsidRPr="00E01B4C">
              <w:rPr>
                <w:rFonts w:asciiTheme="minorHAnsi" w:eastAsia="Calibri" w:hAnsiTheme="minorHAnsi" w:cstheme="minorHAnsi"/>
                <w:sz w:val="20"/>
                <w:szCs w:val="20"/>
                <w:lang w:val="lv-LV"/>
              </w:rPr>
              <w:t>17.9</w:t>
            </w:r>
          </w:p>
        </w:tc>
      </w:tr>
    </w:tbl>
    <w:p w14:paraId="2C5424F4" w14:textId="725B4D7A" w:rsidR="00E94AE5" w:rsidRPr="00E01B4C" w:rsidRDefault="00AF257A" w:rsidP="009A1EF2">
      <w:pPr>
        <w:pStyle w:val="ListParagraph"/>
        <w:ind w:left="360"/>
        <w:jc w:val="both"/>
        <w:rPr>
          <w:rFonts w:asciiTheme="minorHAnsi" w:hAnsiTheme="minorHAnsi" w:cstheme="minorBidi"/>
          <w:b/>
          <w:bCs/>
          <w:sz w:val="20"/>
          <w:szCs w:val="20"/>
          <w:lang w:val="lv-LV"/>
        </w:rPr>
      </w:pPr>
      <w:r w:rsidRPr="00E01B4C">
        <w:rPr>
          <w:rFonts w:asciiTheme="minorHAnsi" w:eastAsia="Calibri" w:hAnsiTheme="minorHAnsi" w:cstheme="minorHAnsi"/>
          <w:i/>
          <w:iCs/>
          <w:sz w:val="20"/>
          <w:szCs w:val="20"/>
          <w:lang w:val="lv-LV"/>
        </w:rPr>
        <w:t xml:space="preserve">      Avots: Finanšu Ministrija</w:t>
      </w:r>
    </w:p>
    <w:p w14:paraId="396E7E93" w14:textId="14416DB4" w:rsidR="00E94AE5" w:rsidRDefault="00E94AE5" w:rsidP="009A1EF2">
      <w:pPr>
        <w:pStyle w:val="ListParagraph"/>
        <w:ind w:left="360"/>
        <w:jc w:val="both"/>
        <w:rPr>
          <w:rFonts w:asciiTheme="minorHAnsi" w:hAnsiTheme="minorHAnsi" w:cstheme="minorBidi"/>
          <w:b/>
          <w:bCs/>
          <w:sz w:val="22"/>
          <w:szCs w:val="22"/>
          <w:lang w:val="lv-LV"/>
        </w:rPr>
      </w:pPr>
    </w:p>
    <w:p w14:paraId="270C7C96" w14:textId="4B7E36F7" w:rsidR="003A4449" w:rsidRPr="00A218B4" w:rsidRDefault="00C83440" w:rsidP="009A1EF2">
      <w:pPr>
        <w:pStyle w:val="ListParagraph"/>
        <w:numPr>
          <w:ilvl w:val="0"/>
          <w:numId w:val="2"/>
        </w:numPr>
        <w:ind w:left="284" w:hanging="284"/>
        <w:jc w:val="both"/>
        <w:rPr>
          <w:rFonts w:cstheme="minorBidi"/>
          <w:b/>
          <w:bCs/>
          <w:lang w:val="lv-LV"/>
        </w:rPr>
      </w:pPr>
      <w:r>
        <w:rPr>
          <w:rFonts w:asciiTheme="minorHAnsi" w:eastAsiaTheme="minorEastAsia" w:hAnsiTheme="minorHAnsi" w:cstheme="minorBidi"/>
          <w:b/>
          <w:bCs/>
          <w:sz w:val="22"/>
          <w:szCs w:val="22"/>
          <w:lang w:val="lv-LV"/>
        </w:rPr>
        <w:t>Valdība operatīvi atbildēja  uz Covid-19 izraisīto ekonomisko krīzi un jau š.g. martā sāka veidot atbalsta pasākumus, kas tika mērķēti uz: (i) ekonomikas stimulēšanu</w:t>
      </w:r>
      <w:r w:rsidR="003A4449" w:rsidRPr="0078054E">
        <w:rPr>
          <w:rFonts w:asciiTheme="minorHAnsi" w:eastAsiaTheme="minorEastAsia" w:hAnsiTheme="minorHAnsi" w:cstheme="minorBidi"/>
          <w:b/>
          <w:bCs/>
          <w:sz w:val="22"/>
          <w:szCs w:val="22"/>
          <w:lang w:val="lv-LV"/>
        </w:rPr>
        <w:t>, lai samazinātu krīz</w:t>
      </w:r>
      <w:r>
        <w:rPr>
          <w:rFonts w:asciiTheme="minorHAnsi" w:eastAsiaTheme="minorEastAsia" w:hAnsiTheme="minorHAnsi" w:cstheme="minorBidi"/>
          <w:b/>
          <w:bCs/>
          <w:sz w:val="22"/>
          <w:szCs w:val="22"/>
          <w:lang w:val="lv-LV"/>
        </w:rPr>
        <w:t>es izraisītā IKP krišanās apmēru</w:t>
      </w:r>
      <w:r w:rsidR="003A4449" w:rsidRPr="0078054E">
        <w:rPr>
          <w:rFonts w:asciiTheme="minorHAnsi" w:eastAsiaTheme="minorEastAsia" w:hAnsiTheme="minorHAnsi" w:cstheme="minorBidi"/>
          <w:b/>
          <w:bCs/>
          <w:sz w:val="22"/>
          <w:szCs w:val="22"/>
          <w:lang w:val="lv-LV"/>
        </w:rPr>
        <w:t xml:space="preserve"> un saglabātu potenciālo IKP kapacitāti, (ii) </w:t>
      </w:r>
      <w:r>
        <w:rPr>
          <w:rFonts w:asciiTheme="minorHAnsi" w:hAnsiTheme="minorHAnsi" w:cstheme="minorBidi"/>
          <w:b/>
          <w:bCs/>
          <w:sz w:val="22"/>
          <w:szCs w:val="22"/>
          <w:lang w:val="lv-LV"/>
        </w:rPr>
        <w:t>krīzes visvairāk skarto iedzīvotāju</w:t>
      </w:r>
      <w:r w:rsidRPr="00C83440">
        <w:rPr>
          <w:rFonts w:asciiTheme="minorHAnsi" w:eastAsiaTheme="minorEastAsia" w:hAnsiTheme="minorHAnsi" w:cstheme="minorBidi"/>
          <w:b/>
          <w:bCs/>
          <w:sz w:val="22"/>
          <w:szCs w:val="22"/>
          <w:lang w:val="lv-LV"/>
        </w:rPr>
        <w:t xml:space="preserve"> </w:t>
      </w:r>
      <w:r>
        <w:rPr>
          <w:rFonts w:asciiTheme="minorHAnsi" w:eastAsiaTheme="minorEastAsia" w:hAnsiTheme="minorHAnsi" w:cstheme="minorBidi"/>
          <w:b/>
          <w:bCs/>
          <w:sz w:val="22"/>
          <w:szCs w:val="22"/>
          <w:lang w:val="lv-LV"/>
        </w:rPr>
        <w:t>sociālo aizsardzību</w:t>
      </w:r>
      <w:r>
        <w:rPr>
          <w:rFonts w:asciiTheme="minorHAnsi" w:hAnsiTheme="minorHAnsi" w:cstheme="minorBidi"/>
          <w:b/>
          <w:bCs/>
          <w:sz w:val="22"/>
          <w:szCs w:val="22"/>
          <w:lang w:val="lv-LV"/>
        </w:rPr>
        <w:t>, (iii) veselības aizsardzības sistēmas</w:t>
      </w:r>
      <w:r>
        <w:rPr>
          <w:rFonts w:asciiTheme="minorHAnsi" w:eastAsiaTheme="minorEastAsia" w:hAnsiTheme="minorHAnsi" w:cstheme="minorBidi"/>
          <w:b/>
          <w:bCs/>
          <w:sz w:val="22"/>
          <w:szCs w:val="22"/>
          <w:lang w:val="lv-LV"/>
        </w:rPr>
        <w:t xml:space="preserve"> kapacitātes stiprināšanu</w:t>
      </w:r>
      <w:r w:rsidR="005F637A">
        <w:rPr>
          <w:rFonts w:asciiTheme="minorHAnsi" w:eastAsiaTheme="minorEastAsia" w:hAnsiTheme="minorHAnsi" w:cstheme="minorBidi"/>
          <w:b/>
          <w:bCs/>
          <w:sz w:val="22"/>
          <w:szCs w:val="22"/>
          <w:lang w:val="lv-LV"/>
        </w:rPr>
        <w:t>, (iv) likviditātes nodrošināšanu uzņēmumiem un finanšu sektoram.</w:t>
      </w:r>
      <w:r>
        <w:rPr>
          <w:rFonts w:asciiTheme="minorHAnsi" w:eastAsiaTheme="minorEastAsia" w:hAnsiTheme="minorHAnsi" w:cstheme="minorBidi"/>
          <w:sz w:val="22"/>
          <w:szCs w:val="22"/>
          <w:lang w:val="lv-LV"/>
        </w:rPr>
        <w:t xml:space="preserve"> Atbalsta programmas analīze ir izvērsta ziņojuma </w:t>
      </w:r>
      <w:r w:rsidRPr="00C03B2F">
        <w:rPr>
          <w:rFonts w:asciiTheme="minorHAnsi" w:eastAsiaTheme="minorEastAsia" w:hAnsiTheme="minorHAnsi" w:cstheme="minorBidi"/>
          <w:sz w:val="22"/>
          <w:szCs w:val="22"/>
          <w:lang w:val="lv-LV"/>
        </w:rPr>
        <w:t xml:space="preserve">sadaļā </w:t>
      </w:r>
      <w:r w:rsidR="00C03B2F" w:rsidRPr="00C03B2F">
        <w:rPr>
          <w:rFonts w:asciiTheme="minorHAnsi" w:eastAsiaTheme="minorEastAsia" w:hAnsiTheme="minorHAnsi" w:cstheme="minorBidi"/>
          <w:sz w:val="22"/>
          <w:szCs w:val="22"/>
          <w:lang w:val="lv-LV"/>
        </w:rPr>
        <w:t>1.4</w:t>
      </w:r>
      <w:r>
        <w:rPr>
          <w:rFonts w:asciiTheme="minorHAnsi" w:eastAsiaTheme="minorEastAsia" w:hAnsiTheme="minorHAnsi" w:cstheme="minorBidi"/>
          <w:sz w:val="22"/>
          <w:szCs w:val="22"/>
          <w:lang w:val="lv-LV"/>
        </w:rPr>
        <w:t>. Šobrīd tiek novērtēts, ka atbalsta pasāk</w:t>
      </w:r>
      <w:r w:rsidR="00C03B2F">
        <w:rPr>
          <w:rFonts w:asciiTheme="minorHAnsi" w:eastAsiaTheme="minorEastAsia" w:hAnsiTheme="minorHAnsi" w:cstheme="minorBidi"/>
          <w:sz w:val="22"/>
          <w:szCs w:val="22"/>
          <w:lang w:val="lv-LV"/>
        </w:rPr>
        <w:t xml:space="preserve">umu fiskālā ietekme uz 2020.gada VVBB </w:t>
      </w:r>
      <w:r>
        <w:rPr>
          <w:rFonts w:asciiTheme="minorHAnsi" w:eastAsiaTheme="minorEastAsia" w:hAnsiTheme="minorHAnsi" w:cstheme="minorBidi"/>
          <w:sz w:val="22"/>
          <w:szCs w:val="22"/>
          <w:lang w:val="lv-LV"/>
        </w:rPr>
        <w:t xml:space="preserve">būs </w:t>
      </w:r>
      <w:r w:rsidR="00390462">
        <w:rPr>
          <w:rFonts w:asciiTheme="minorHAnsi" w:eastAsiaTheme="minorEastAsia" w:hAnsiTheme="minorHAnsi" w:cstheme="minorBidi"/>
          <w:sz w:val="22"/>
          <w:szCs w:val="22"/>
          <w:lang w:val="lv-LV"/>
        </w:rPr>
        <w:t>1.</w:t>
      </w:r>
      <w:r w:rsidR="00C03B2F" w:rsidRPr="00C03B2F">
        <w:rPr>
          <w:rFonts w:asciiTheme="minorHAnsi" w:eastAsiaTheme="minorEastAsia" w:hAnsiTheme="minorHAnsi" w:cstheme="minorBidi"/>
          <w:sz w:val="22"/>
          <w:szCs w:val="22"/>
          <w:lang w:val="lv-LV"/>
        </w:rPr>
        <w:t>2</w:t>
      </w:r>
      <w:r w:rsidR="00C03B2F">
        <w:rPr>
          <w:rFonts w:asciiTheme="minorHAnsi" w:eastAsiaTheme="minorEastAsia" w:hAnsiTheme="minorHAnsi" w:cstheme="minorBidi"/>
          <w:sz w:val="22"/>
          <w:szCs w:val="22"/>
          <w:lang w:val="lv-LV"/>
        </w:rPr>
        <w:t xml:space="preserve"> miljardu</w:t>
      </w:r>
      <w:r>
        <w:rPr>
          <w:rFonts w:asciiTheme="minorHAnsi" w:eastAsiaTheme="minorEastAsia" w:hAnsiTheme="minorHAnsi" w:cstheme="minorBidi"/>
          <w:sz w:val="22"/>
          <w:szCs w:val="22"/>
          <w:lang w:val="lv-LV"/>
        </w:rPr>
        <w:t xml:space="preserve"> apmērā, jeb </w:t>
      </w:r>
      <w:r w:rsidR="00C03B2F" w:rsidRPr="00C03B2F">
        <w:rPr>
          <w:rFonts w:asciiTheme="minorHAnsi" w:eastAsiaTheme="minorEastAsia" w:hAnsiTheme="minorHAnsi" w:cstheme="minorBidi"/>
          <w:sz w:val="22"/>
          <w:szCs w:val="22"/>
          <w:lang w:val="lv-LV"/>
        </w:rPr>
        <w:t>4.3</w:t>
      </w:r>
      <w:r w:rsidR="00C03B2F">
        <w:rPr>
          <w:rFonts w:asciiTheme="minorHAnsi" w:eastAsiaTheme="minorEastAsia" w:hAnsiTheme="minorHAnsi" w:cstheme="minorBidi"/>
          <w:sz w:val="22"/>
          <w:szCs w:val="22"/>
          <w:lang w:val="lv-LV"/>
        </w:rPr>
        <w:t>%</w:t>
      </w:r>
      <w:r>
        <w:rPr>
          <w:rFonts w:asciiTheme="minorHAnsi" w:eastAsiaTheme="minorEastAsia" w:hAnsiTheme="minorHAnsi" w:cstheme="minorBidi"/>
          <w:sz w:val="22"/>
          <w:szCs w:val="22"/>
          <w:lang w:val="lv-LV"/>
        </w:rPr>
        <w:t xml:space="preserve"> procenti no IKP.</w:t>
      </w:r>
    </w:p>
    <w:p w14:paraId="0A4A1F49" w14:textId="4C558930" w:rsidR="00A218B4" w:rsidRPr="00A218B4" w:rsidRDefault="00A218B4" w:rsidP="009A1EF2">
      <w:pPr>
        <w:pStyle w:val="ListParagraph"/>
        <w:numPr>
          <w:ilvl w:val="0"/>
          <w:numId w:val="2"/>
        </w:numPr>
        <w:ind w:left="284" w:hanging="284"/>
        <w:jc w:val="both"/>
        <w:rPr>
          <w:rFonts w:cstheme="minorBidi"/>
          <w:b/>
          <w:bCs/>
          <w:lang w:val="lv-LV"/>
        </w:rPr>
      </w:pPr>
      <w:r>
        <w:rPr>
          <w:rFonts w:asciiTheme="minorHAnsi" w:eastAsiaTheme="minorEastAsia" w:hAnsiTheme="minorHAnsi" w:cstheme="minorBidi"/>
          <w:b/>
          <w:bCs/>
          <w:sz w:val="22"/>
          <w:szCs w:val="22"/>
          <w:lang w:val="lv-LV"/>
        </w:rPr>
        <w:t>Konsolidētā kopbudžeta izdevumi š.</w:t>
      </w:r>
      <w:r>
        <w:rPr>
          <w:rFonts w:cstheme="minorBidi"/>
          <w:b/>
          <w:bCs/>
          <w:lang w:val="lv-LV"/>
        </w:rPr>
        <w:t>g</w:t>
      </w:r>
      <w:r w:rsidRPr="00A218B4">
        <w:rPr>
          <w:rFonts w:asciiTheme="minorHAnsi" w:hAnsiTheme="minorHAnsi" w:cstheme="minorHAnsi"/>
          <w:b/>
          <w:bCs/>
          <w:sz w:val="22"/>
          <w:szCs w:val="22"/>
          <w:lang w:val="lv-LV"/>
        </w:rPr>
        <w:t>. 8.mē</w:t>
      </w:r>
      <w:r>
        <w:rPr>
          <w:rFonts w:asciiTheme="minorHAnsi" w:hAnsiTheme="minorHAnsi" w:cstheme="minorHAnsi"/>
          <w:b/>
          <w:bCs/>
          <w:sz w:val="22"/>
          <w:szCs w:val="22"/>
          <w:lang w:val="lv-LV"/>
        </w:rPr>
        <w:t xml:space="preserve">nēšos ir pieauguši par 7.9% attiecībā pret attiecīgo periodu 2019.gadā. </w:t>
      </w:r>
      <w:r w:rsidR="008365F9">
        <w:rPr>
          <w:rFonts w:asciiTheme="minorHAnsi" w:hAnsiTheme="minorHAnsi" w:cstheme="minorHAnsi"/>
          <w:bCs/>
          <w:sz w:val="22"/>
          <w:szCs w:val="22"/>
          <w:lang w:val="lv-LV"/>
        </w:rPr>
        <w:t xml:space="preserve">Vislielākais izdevumu pieaugums ir sociālajiem pabalstiem 13.6% un subsīdijām un dotācijām 24.7%. </w:t>
      </w:r>
      <w:r>
        <w:rPr>
          <w:rFonts w:asciiTheme="minorHAnsi" w:hAnsiTheme="minorHAnsi" w:cstheme="minorHAnsi"/>
          <w:bCs/>
          <w:sz w:val="22"/>
          <w:szCs w:val="22"/>
          <w:lang w:val="lv-LV"/>
        </w:rPr>
        <w:t xml:space="preserve">Pieaugumu var uzskatīt par samērīgu ņemot vērā valdības atbalsta programmas fiskālo ietekmi, lai gan vairāku atbalsta programmas pasākumu ietekme uz VVBB būs atspoguļota nākamajos mēnešos. 2019. gada 8. mēnešos izdevumi </w:t>
      </w:r>
      <w:r w:rsidR="005F637A">
        <w:rPr>
          <w:rFonts w:asciiTheme="minorHAnsi" w:hAnsiTheme="minorHAnsi" w:cstheme="minorHAnsi"/>
          <w:bCs/>
          <w:sz w:val="22"/>
          <w:szCs w:val="22"/>
          <w:lang w:val="lv-LV"/>
        </w:rPr>
        <w:t xml:space="preserve">bija </w:t>
      </w:r>
      <w:r>
        <w:rPr>
          <w:rFonts w:asciiTheme="minorHAnsi" w:hAnsiTheme="minorHAnsi" w:cstheme="minorHAnsi"/>
          <w:bCs/>
          <w:sz w:val="22"/>
          <w:szCs w:val="22"/>
          <w:lang w:val="lv-LV"/>
        </w:rPr>
        <w:t>pi</w:t>
      </w:r>
      <w:r w:rsidR="005F637A">
        <w:rPr>
          <w:rFonts w:asciiTheme="minorHAnsi" w:hAnsiTheme="minorHAnsi" w:cstheme="minorHAnsi"/>
          <w:bCs/>
          <w:sz w:val="22"/>
          <w:szCs w:val="22"/>
          <w:lang w:val="lv-LV"/>
        </w:rPr>
        <w:t>eauguši</w:t>
      </w:r>
      <w:r>
        <w:rPr>
          <w:rFonts w:asciiTheme="minorHAnsi" w:hAnsiTheme="minorHAnsi" w:cstheme="minorHAnsi"/>
          <w:bCs/>
          <w:sz w:val="22"/>
          <w:szCs w:val="22"/>
          <w:lang w:val="lv-LV"/>
        </w:rPr>
        <w:t xml:space="preserve"> pret iepriekšējā gada 8. mēnešiem par 5.7%.</w:t>
      </w:r>
    </w:p>
    <w:p w14:paraId="5AEE1F9E" w14:textId="2DFD493C" w:rsidR="00A218B4" w:rsidRPr="0078054E" w:rsidRDefault="00A218B4" w:rsidP="009A1EF2">
      <w:pPr>
        <w:pStyle w:val="ListParagraph"/>
        <w:numPr>
          <w:ilvl w:val="0"/>
          <w:numId w:val="2"/>
        </w:numPr>
        <w:ind w:left="284" w:hanging="284"/>
        <w:jc w:val="both"/>
        <w:rPr>
          <w:rFonts w:cstheme="minorBidi"/>
          <w:b/>
          <w:bCs/>
          <w:lang w:val="lv-LV"/>
        </w:rPr>
      </w:pPr>
      <w:r>
        <w:rPr>
          <w:rFonts w:asciiTheme="minorHAnsi" w:eastAsiaTheme="minorEastAsia" w:hAnsiTheme="minorHAnsi" w:cstheme="minorBidi"/>
          <w:b/>
          <w:bCs/>
          <w:sz w:val="22"/>
          <w:szCs w:val="22"/>
          <w:lang w:val="lv-LV"/>
        </w:rPr>
        <w:t>Konsolidētā kopbudžeta ieņēmumi š.</w:t>
      </w:r>
      <w:r w:rsidRPr="00A218B4">
        <w:rPr>
          <w:rFonts w:asciiTheme="minorHAnsi" w:hAnsiTheme="minorHAnsi" w:cstheme="minorHAnsi"/>
          <w:b/>
          <w:bCs/>
          <w:sz w:val="22"/>
          <w:szCs w:val="22"/>
          <w:lang w:val="lv-LV"/>
        </w:rPr>
        <w:t>g. 8.mēnešos</w:t>
      </w:r>
      <w:r>
        <w:rPr>
          <w:rFonts w:cstheme="minorBidi"/>
          <w:b/>
          <w:bCs/>
          <w:lang w:val="lv-LV"/>
        </w:rPr>
        <w:t xml:space="preserve"> </w:t>
      </w:r>
      <w:r w:rsidRPr="00A218B4">
        <w:rPr>
          <w:rFonts w:asciiTheme="minorHAnsi" w:hAnsiTheme="minorHAnsi" w:cstheme="minorHAnsi"/>
          <w:b/>
          <w:bCs/>
          <w:sz w:val="22"/>
          <w:szCs w:val="22"/>
          <w:lang w:val="lv-LV"/>
        </w:rPr>
        <w:t>ir samazinājušies par 1.1</w:t>
      </w:r>
      <w:r>
        <w:rPr>
          <w:rFonts w:asciiTheme="minorHAnsi" w:hAnsiTheme="minorHAnsi" w:cstheme="minorHAnsi"/>
          <w:b/>
          <w:bCs/>
          <w:sz w:val="22"/>
          <w:szCs w:val="22"/>
          <w:lang w:val="lv-LV"/>
        </w:rPr>
        <w:t xml:space="preserve">% attiecībā pret attiecīgo periodu 2019.gadā. </w:t>
      </w:r>
      <w:r w:rsidR="009B5E4F">
        <w:rPr>
          <w:rFonts w:asciiTheme="minorHAnsi" w:hAnsiTheme="minorHAnsi" w:cstheme="minorHAnsi"/>
          <w:bCs/>
          <w:sz w:val="22"/>
          <w:szCs w:val="22"/>
          <w:lang w:val="lv-LV"/>
        </w:rPr>
        <w:t>Arī ieņēmumu kritu</w:t>
      </w:r>
      <w:r w:rsidR="008365F9">
        <w:rPr>
          <w:rFonts w:asciiTheme="minorHAnsi" w:hAnsiTheme="minorHAnsi" w:cstheme="minorHAnsi"/>
          <w:bCs/>
          <w:sz w:val="22"/>
          <w:szCs w:val="22"/>
          <w:lang w:val="lv-LV"/>
        </w:rPr>
        <w:t xml:space="preserve">ms ir samērīgs, ņemot vērā Covid-19 krīzes ietekmi uz ekonomiku. 2019. gada 8. mēnešos ieņēmumi </w:t>
      </w:r>
      <w:r w:rsidR="005F637A">
        <w:rPr>
          <w:rFonts w:asciiTheme="minorHAnsi" w:hAnsiTheme="minorHAnsi" w:cstheme="minorHAnsi"/>
          <w:bCs/>
          <w:sz w:val="22"/>
          <w:szCs w:val="22"/>
          <w:lang w:val="lv-LV"/>
        </w:rPr>
        <w:t>bija pieauguši</w:t>
      </w:r>
      <w:r w:rsidR="008365F9">
        <w:rPr>
          <w:rFonts w:asciiTheme="minorHAnsi" w:hAnsiTheme="minorHAnsi" w:cstheme="minorHAnsi"/>
          <w:bCs/>
          <w:sz w:val="22"/>
          <w:szCs w:val="22"/>
          <w:lang w:val="lv-LV"/>
        </w:rPr>
        <w:t xml:space="preserve"> pret iepriekšējā gada 8. mēnešiem par 3.4%. Ņemot vērā, iekasēto nodokļu apjoms  pēdējos </w:t>
      </w:r>
      <w:r w:rsidR="008365F9">
        <w:rPr>
          <w:rFonts w:asciiTheme="minorHAnsi" w:hAnsiTheme="minorHAnsi" w:cstheme="minorHAnsi"/>
          <w:bCs/>
          <w:sz w:val="22"/>
          <w:szCs w:val="22"/>
          <w:lang w:val="lv-LV"/>
        </w:rPr>
        <w:lastRenderedPageBreak/>
        <w:t>mēnešos uzlabojas, ir pamats cerībām, ka nodokļu iekasēšanas plāna izpilde</w:t>
      </w:r>
      <w:r w:rsidR="0021615D">
        <w:rPr>
          <w:rFonts w:asciiTheme="minorHAnsi" w:hAnsiTheme="minorHAnsi" w:cstheme="minorHAnsi"/>
          <w:bCs/>
          <w:sz w:val="22"/>
          <w:szCs w:val="22"/>
          <w:lang w:val="lv-LV"/>
        </w:rPr>
        <w:t xml:space="preserve"> 2020.gadā</w:t>
      </w:r>
      <w:r w:rsidR="008365F9">
        <w:rPr>
          <w:rFonts w:asciiTheme="minorHAnsi" w:hAnsiTheme="minorHAnsi" w:cstheme="minorHAnsi"/>
          <w:bCs/>
          <w:sz w:val="22"/>
          <w:szCs w:val="22"/>
          <w:lang w:val="lv-LV"/>
        </w:rPr>
        <w:t xml:space="preserve"> nebūs tik dramatiska kā tika plānots Covid-19 krīzes sākumā. </w:t>
      </w:r>
    </w:p>
    <w:p w14:paraId="152303B5" w14:textId="4F1C77BC" w:rsidR="003A4449" w:rsidRDefault="003A4449" w:rsidP="009A1EF2">
      <w:pPr>
        <w:pStyle w:val="ListParagraph"/>
        <w:numPr>
          <w:ilvl w:val="0"/>
          <w:numId w:val="2"/>
        </w:numPr>
        <w:ind w:left="284" w:hanging="284"/>
        <w:jc w:val="both"/>
        <w:rPr>
          <w:rFonts w:asciiTheme="minorHAnsi" w:eastAsiaTheme="minorEastAsia" w:hAnsiTheme="minorHAnsi" w:cstheme="minorBidi"/>
          <w:b/>
          <w:bCs/>
          <w:sz w:val="22"/>
          <w:szCs w:val="22"/>
          <w:lang w:val="lv-LV"/>
        </w:rPr>
      </w:pPr>
      <w:r w:rsidRPr="0078054E">
        <w:rPr>
          <w:rFonts w:asciiTheme="minorHAnsi" w:eastAsiaTheme="minorEastAsia" w:hAnsiTheme="minorHAnsi" w:cstheme="minorBidi"/>
          <w:b/>
          <w:bCs/>
          <w:sz w:val="22"/>
          <w:szCs w:val="22"/>
          <w:lang w:val="lv-LV"/>
        </w:rPr>
        <w:t>Valsts konsolidētā kopbudžeta bilan</w:t>
      </w:r>
      <w:r w:rsidR="0021615D">
        <w:rPr>
          <w:rFonts w:asciiTheme="minorHAnsi" w:eastAsiaTheme="minorEastAsia" w:hAnsiTheme="minorHAnsi" w:cstheme="minorBidi"/>
          <w:b/>
          <w:bCs/>
          <w:sz w:val="22"/>
          <w:szCs w:val="22"/>
          <w:lang w:val="lv-LV"/>
        </w:rPr>
        <w:t>ce pēc 2020.gada astoņiem mēnešiem uzrādīja 40.1</w:t>
      </w:r>
      <w:r w:rsidRPr="0078054E">
        <w:rPr>
          <w:rFonts w:asciiTheme="minorHAnsi" w:eastAsiaTheme="minorEastAsia" w:hAnsiTheme="minorHAnsi" w:cstheme="minorBidi"/>
          <w:b/>
          <w:bCs/>
          <w:sz w:val="22"/>
          <w:szCs w:val="22"/>
          <w:lang w:val="lv-LV"/>
        </w:rPr>
        <w:t xml:space="preserve"> miljonu </w:t>
      </w:r>
      <w:r w:rsidR="0021615D">
        <w:rPr>
          <w:rFonts w:asciiTheme="minorHAnsi" w:eastAsiaTheme="minorEastAsia" w:hAnsiTheme="minorHAnsi" w:cstheme="minorBidi"/>
          <w:b/>
          <w:bCs/>
          <w:sz w:val="22"/>
          <w:szCs w:val="22"/>
          <w:lang w:val="lv-LV"/>
        </w:rPr>
        <w:t>eiro deficītu, kas ir -0.1% no IKP</w:t>
      </w:r>
      <w:r w:rsidRPr="0078054E">
        <w:rPr>
          <w:rFonts w:asciiTheme="minorHAnsi" w:eastAsiaTheme="minorEastAsia" w:hAnsiTheme="minorHAnsi" w:cstheme="minorBidi"/>
          <w:b/>
          <w:bCs/>
          <w:sz w:val="22"/>
          <w:szCs w:val="22"/>
          <w:lang w:val="lv-LV"/>
        </w:rPr>
        <w:t xml:space="preserve">. </w:t>
      </w:r>
      <w:r w:rsidR="0021615D">
        <w:rPr>
          <w:rFonts w:asciiTheme="minorHAnsi" w:eastAsiaTheme="minorEastAsia" w:hAnsiTheme="minorHAnsi" w:cstheme="minorBidi"/>
          <w:bCs/>
          <w:sz w:val="22"/>
          <w:szCs w:val="22"/>
          <w:lang w:val="lv-LV"/>
        </w:rPr>
        <w:t>2019.gadā pēc astoņiem mēnešiem</w:t>
      </w:r>
      <w:r w:rsidRPr="00411108">
        <w:rPr>
          <w:rFonts w:asciiTheme="minorHAnsi" w:eastAsiaTheme="minorEastAsia" w:hAnsiTheme="minorHAnsi" w:cstheme="minorBidi"/>
          <w:bCs/>
          <w:sz w:val="22"/>
          <w:szCs w:val="22"/>
          <w:lang w:val="lv-LV"/>
        </w:rPr>
        <w:t xml:space="preserve"> </w:t>
      </w:r>
      <w:r w:rsidR="0021615D">
        <w:rPr>
          <w:rFonts w:asciiTheme="minorHAnsi" w:eastAsiaTheme="minorEastAsia" w:hAnsiTheme="minorHAnsi" w:cstheme="minorBidi"/>
          <w:bCs/>
          <w:sz w:val="22"/>
          <w:szCs w:val="22"/>
          <w:lang w:val="lv-LV"/>
        </w:rPr>
        <w:t xml:space="preserve"> proficīts bija 2% no IKP (skatīt attēlu </w:t>
      </w:r>
      <w:r w:rsidR="001E2DE3" w:rsidRPr="001E2DE3">
        <w:rPr>
          <w:rFonts w:asciiTheme="minorHAnsi" w:eastAsiaTheme="minorEastAsia" w:hAnsiTheme="minorHAnsi" w:cstheme="minorBidi"/>
          <w:bCs/>
          <w:sz w:val="22"/>
          <w:szCs w:val="22"/>
          <w:lang w:val="lv-LV"/>
        </w:rPr>
        <w:t>1</w:t>
      </w:r>
      <w:r w:rsidR="0021615D">
        <w:rPr>
          <w:rFonts w:asciiTheme="minorHAnsi" w:eastAsiaTheme="minorEastAsia" w:hAnsiTheme="minorHAnsi" w:cstheme="minorBidi"/>
          <w:bCs/>
          <w:sz w:val="22"/>
          <w:szCs w:val="22"/>
          <w:lang w:val="lv-LV"/>
        </w:rPr>
        <w:t xml:space="preserve"> zemāk)</w:t>
      </w:r>
      <w:r w:rsidRPr="00411108">
        <w:rPr>
          <w:rFonts w:asciiTheme="minorHAnsi" w:eastAsiaTheme="minorEastAsia" w:hAnsiTheme="minorHAnsi" w:cstheme="minorBidi"/>
          <w:bCs/>
          <w:sz w:val="22"/>
          <w:szCs w:val="22"/>
          <w:lang w:val="lv-LV"/>
        </w:rPr>
        <w:t>. Pēc FM aprēķiniem 2020. gadā konsolidētā kopbudžeta bilance varētu sasniegt 2</w:t>
      </w:r>
      <w:r w:rsidR="00B768C4">
        <w:rPr>
          <w:rFonts w:asciiTheme="minorHAnsi" w:eastAsiaTheme="minorEastAsia" w:hAnsiTheme="minorHAnsi" w:cstheme="minorBidi"/>
          <w:bCs/>
          <w:sz w:val="22"/>
          <w:szCs w:val="22"/>
          <w:lang w:val="lv-LV"/>
        </w:rPr>
        <w:t>.1</w:t>
      </w:r>
      <w:r w:rsidR="0021615D">
        <w:rPr>
          <w:rFonts w:asciiTheme="minorHAnsi" w:eastAsiaTheme="minorEastAsia" w:hAnsiTheme="minorHAnsi" w:cstheme="minorBidi"/>
          <w:bCs/>
          <w:sz w:val="22"/>
          <w:szCs w:val="22"/>
          <w:lang w:val="lv-LV"/>
        </w:rPr>
        <w:t xml:space="preserve"> miljardu deficītu, kas ir 7</w:t>
      </w:r>
      <w:r w:rsidR="005F637A">
        <w:rPr>
          <w:rFonts w:asciiTheme="minorHAnsi" w:eastAsiaTheme="minorEastAsia" w:hAnsiTheme="minorHAnsi" w:cstheme="minorBidi"/>
          <w:bCs/>
          <w:sz w:val="22"/>
          <w:szCs w:val="22"/>
          <w:lang w:val="lv-LV"/>
        </w:rPr>
        <w:t>.6</w:t>
      </w:r>
      <w:r w:rsidRPr="00411108">
        <w:rPr>
          <w:rFonts w:asciiTheme="minorHAnsi" w:eastAsiaTheme="minorEastAsia" w:hAnsiTheme="minorHAnsi" w:cstheme="minorBidi"/>
          <w:bCs/>
          <w:sz w:val="22"/>
          <w:szCs w:val="22"/>
          <w:lang w:val="lv-LV"/>
        </w:rPr>
        <w:t>% no IKP. Protams</w:t>
      </w:r>
      <w:r w:rsidR="00D831FB">
        <w:rPr>
          <w:rFonts w:asciiTheme="minorHAnsi" w:eastAsiaTheme="minorEastAsia" w:hAnsiTheme="minorHAnsi" w:cstheme="minorBidi"/>
          <w:bCs/>
          <w:sz w:val="22"/>
          <w:szCs w:val="22"/>
          <w:lang w:val="lv-LV"/>
        </w:rPr>
        <w:t>,</w:t>
      </w:r>
      <w:r w:rsidRPr="00411108">
        <w:rPr>
          <w:rFonts w:asciiTheme="minorHAnsi" w:eastAsiaTheme="minorEastAsia" w:hAnsiTheme="minorHAnsi" w:cstheme="minorBidi"/>
          <w:bCs/>
          <w:sz w:val="22"/>
          <w:szCs w:val="22"/>
          <w:lang w:val="lv-LV"/>
        </w:rPr>
        <w:t xml:space="preserve"> </w:t>
      </w:r>
      <w:r w:rsidR="00B768C4">
        <w:rPr>
          <w:rFonts w:asciiTheme="minorHAnsi" w:eastAsiaTheme="minorEastAsia" w:hAnsiTheme="minorHAnsi" w:cstheme="minorBidi"/>
          <w:bCs/>
          <w:sz w:val="22"/>
          <w:szCs w:val="22"/>
          <w:lang w:val="lv-LV"/>
        </w:rPr>
        <w:t>šis rādītājs ir atkarīgs no vairākiem faktoriem</w:t>
      </w:r>
      <w:r w:rsidRPr="00411108">
        <w:rPr>
          <w:rFonts w:asciiTheme="minorHAnsi" w:eastAsiaTheme="minorEastAsia" w:hAnsiTheme="minorHAnsi" w:cstheme="minorBidi"/>
          <w:bCs/>
          <w:sz w:val="22"/>
          <w:szCs w:val="22"/>
          <w:lang w:val="lv-LV"/>
        </w:rPr>
        <w:t>, kuru</w:t>
      </w:r>
      <w:r w:rsidR="00B768C4">
        <w:rPr>
          <w:rFonts w:asciiTheme="minorHAnsi" w:eastAsiaTheme="minorEastAsia" w:hAnsiTheme="minorHAnsi" w:cstheme="minorBidi"/>
          <w:bCs/>
          <w:sz w:val="22"/>
          <w:szCs w:val="22"/>
          <w:lang w:val="lv-LV"/>
        </w:rPr>
        <w:t>s</w:t>
      </w:r>
      <w:r w:rsidRPr="00411108">
        <w:rPr>
          <w:rFonts w:asciiTheme="minorHAnsi" w:eastAsiaTheme="minorEastAsia" w:hAnsiTheme="minorHAnsi" w:cstheme="minorBidi"/>
          <w:bCs/>
          <w:sz w:val="22"/>
          <w:szCs w:val="22"/>
          <w:lang w:val="lv-LV"/>
        </w:rPr>
        <w:t xml:space="preserve"> šobrīd ir grūti prognozēt.</w:t>
      </w:r>
      <w:r w:rsidR="00B768C4">
        <w:rPr>
          <w:rFonts w:asciiTheme="minorHAnsi" w:eastAsiaTheme="minorEastAsia" w:hAnsiTheme="minorHAnsi" w:cstheme="minorBidi"/>
          <w:bCs/>
          <w:sz w:val="22"/>
          <w:szCs w:val="22"/>
          <w:lang w:val="lv-LV"/>
        </w:rPr>
        <w:t xml:space="preserve"> Pēc FM novērtējuma iz</w:t>
      </w:r>
      <w:r w:rsidR="00E66A28">
        <w:rPr>
          <w:rFonts w:asciiTheme="minorHAnsi" w:eastAsiaTheme="minorEastAsia" w:hAnsiTheme="minorHAnsi" w:cstheme="minorBidi"/>
          <w:bCs/>
          <w:sz w:val="22"/>
          <w:szCs w:val="22"/>
          <w:lang w:val="lv-LV"/>
        </w:rPr>
        <w:t>laižu starpība 2020. gadā ir 7.7</w:t>
      </w:r>
      <w:r w:rsidR="00B768C4">
        <w:rPr>
          <w:rFonts w:asciiTheme="minorHAnsi" w:eastAsiaTheme="minorEastAsia" w:hAnsiTheme="minorHAnsi" w:cstheme="minorBidi"/>
          <w:bCs/>
          <w:sz w:val="22"/>
          <w:szCs w:val="22"/>
          <w:lang w:val="lv-LV"/>
        </w:rPr>
        <w:t>% no potenciālā IKP, kas kopā ar – 0.12% vienr</w:t>
      </w:r>
      <w:r w:rsidR="001E2DE3">
        <w:rPr>
          <w:rFonts w:asciiTheme="minorHAnsi" w:eastAsiaTheme="minorEastAsia" w:hAnsiTheme="minorHAnsi" w:cstheme="minorBidi"/>
          <w:bCs/>
          <w:sz w:val="22"/>
          <w:szCs w:val="22"/>
          <w:lang w:val="lv-LV"/>
        </w:rPr>
        <w:t>eiz</w:t>
      </w:r>
      <w:r w:rsidR="00B768C4">
        <w:rPr>
          <w:rFonts w:asciiTheme="minorHAnsi" w:eastAsiaTheme="minorEastAsia" w:hAnsiTheme="minorHAnsi" w:cstheme="minorBidi"/>
          <w:bCs/>
          <w:sz w:val="22"/>
          <w:szCs w:val="22"/>
          <w:lang w:val="lv-LV"/>
        </w:rPr>
        <w:t>ējo pasākumu ietekmi (</w:t>
      </w:r>
      <w:r w:rsidR="001E2DE3">
        <w:rPr>
          <w:rFonts w:asciiTheme="minorHAnsi" w:eastAsiaTheme="minorEastAsia" w:hAnsiTheme="minorHAnsi" w:cstheme="minorBidi"/>
          <w:bCs/>
          <w:sz w:val="22"/>
          <w:szCs w:val="22"/>
          <w:lang w:val="lv-LV"/>
        </w:rPr>
        <w:t xml:space="preserve">ieskaitot 0.3% ietekmi no nodokļu reformas, </w:t>
      </w:r>
      <w:r w:rsidR="00B768C4">
        <w:rPr>
          <w:rFonts w:asciiTheme="minorHAnsi" w:eastAsiaTheme="minorEastAsia" w:hAnsiTheme="minorHAnsi" w:cstheme="minorBidi"/>
          <w:bCs/>
          <w:sz w:val="22"/>
          <w:szCs w:val="22"/>
          <w:lang w:val="lv-LV"/>
        </w:rPr>
        <w:t>ko Padome neatdzīst)</w:t>
      </w:r>
      <w:r w:rsidR="001E2DE3">
        <w:rPr>
          <w:rFonts w:asciiTheme="minorHAnsi" w:eastAsiaTheme="minorEastAsia" w:hAnsiTheme="minorHAnsi" w:cstheme="minorBidi"/>
          <w:bCs/>
          <w:sz w:val="22"/>
          <w:szCs w:val="22"/>
          <w:lang w:val="lv-LV"/>
        </w:rPr>
        <w:t xml:space="preserve">, dotu </w:t>
      </w:r>
      <w:r w:rsidR="001E2DE3" w:rsidRPr="001E2DE3">
        <w:rPr>
          <w:rFonts w:asciiTheme="minorHAnsi" w:eastAsiaTheme="minorEastAsia" w:hAnsiTheme="minorHAnsi" w:cstheme="minorBidi"/>
          <w:b/>
          <w:bCs/>
          <w:sz w:val="22"/>
          <w:szCs w:val="22"/>
          <w:lang w:val="lv-LV"/>
        </w:rPr>
        <w:t>st</w:t>
      </w:r>
      <w:r w:rsidR="00E66A28">
        <w:rPr>
          <w:rFonts w:asciiTheme="minorHAnsi" w:eastAsiaTheme="minorEastAsia" w:hAnsiTheme="minorHAnsi" w:cstheme="minorBidi"/>
          <w:b/>
          <w:bCs/>
          <w:sz w:val="22"/>
          <w:szCs w:val="22"/>
          <w:lang w:val="lv-LV"/>
        </w:rPr>
        <w:t>rukturālās bilances deficītu 4.6</w:t>
      </w:r>
      <w:r w:rsidR="001E2DE3" w:rsidRPr="001E2DE3">
        <w:rPr>
          <w:rFonts w:asciiTheme="minorHAnsi" w:eastAsiaTheme="minorEastAsia" w:hAnsiTheme="minorHAnsi" w:cstheme="minorBidi"/>
          <w:b/>
          <w:bCs/>
          <w:sz w:val="22"/>
          <w:szCs w:val="22"/>
          <w:lang w:val="lv-LV"/>
        </w:rPr>
        <w:t>% apmērā no IKP 2020. gadā.</w:t>
      </w:r>
    </w:p>
    <w:p w14:paraId="7B51EF8C" w14:textId="3C66BFC0" w:rsidR="003A4449" w:rsidRPr="001E2DE3" w:rsidRDefault="003A4449" w:rsidP="009A1EF2">
      <w:pPr>
        <w:pStyle w:val="NormalWeb"/>
        <w:spacing w:before="0" w:beforeAutospacing="0" w:after="0" w:afterAutospacing="0"/>
        <w:ind w:firstLine="567"/>
        <w:jc w:val="center"/>
        <w:rPr>
          <w:rFonts w:asciiTheme="minorHAnsi" w:eastAsiaTheme="minorEastAsia" w:hAnsiTheme="minorHAnsi" w:cstheme="minorHAnsi"/>
          <w:b/>
          <w:sz w:val="20"/>
          <w:szCs w:val="20"/>
          <w:highlight w:val="yellow"/>
          <w:lang w:val="lv-LV"/>
        </w:rPr>
      </w:pPr>
    </w:p>
    <w:p w14:paraId="5681534F" w14:textId="43FF0E89" w:rsidR="003A4449" w:rsidRPr="00E01B4C" w:rsidRDefault="001E2DE3" w:rsidP="009A1EF2">
      <w:pPr>
        <w:pStyle w:val="ListParagraph"/>
        <w:ind w:left="426"/>
        <w:jc w:val="both"/>
        <w:rPr>
          <w:rFonts w:asciiTheme="minorHAnsi" w:eastAsiaTheme="minorHAnsi" w:hAnsiTheme="minorHAnsi" w:cstheme="minorHAnsi"/>
          <w:b/>
          <w:sz w:val="20"/>
          <w:szCs w:val="20"/>
          <w:lang w:val="lv-LV"/>
        </w:rPr>
      </w:pPr>
      <w:r w:rsidRPr="00E01B4C">
        <w:rPr>
          <w:noProof/>
          <w:sz w:val="20"/>
          <w:szCs w:val="20"/>
          <w:lang w:val="lv-LV" w:eastAsia="lv-LV"/>
        </w:rPr>
        <w:drawing>
          <wp:inline distT="0" distB="0" distL="0" distR="0" wp14:anchorId="74FC51A2" wp14:editId="1DBA249A">
            <wp:extent cx="4834255" cy="2167890"/>
            <wp:effectExtent l="0" t="0" r="4445" b="3810"/>
            <wp:docPr id="1" name="Chart 1">
              <a:extLst xmlns:a="http://schemas.openxmlformats.org/drawingml/2006/main">
                <a:ext uri="{FF2B5EF4-FFF2-40B4-BE49-F238E27FC236}">
                  <a16:creationId xmlns:a16="http://schemas.microsoft.com/office/drawing/2014/main" id="{00000000-0008-0000-02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A65DF42" w14:textId="77777777" w:rsidR="003A4449" w:rsidRPr="00E01B4C" w:rsidRDefault="003A4449" w:rsidP="00E01B4C">
      <w:pPr>
        <w:pStyle w:val="NormalWeb"/>
        <w:spacing w:before="0" w:beforeAutospacing="0" w:after="0" w:afterAutospacing="0"/>
        <w:ind w:firstLine="426"/>
        <w:rPr>
          <w:rFonts w:asciiTheme="minorHAnsi" w:eastAsiaTheme="minorEastAsia" w:hAnsiTheme="minorHAnsi" w:cstheme="minorHAnsi"/>
          <w:i/>
          <w:sz w:val="20"/>
          <w:szCs w:val="20"/>
          <w:lang w:val="lv-LV"/>
        </w:rPr>
      </w:pPr>
      <w:r w:rsidRPr="00E01B4C">
        <w:rPr>
          <w:rFonts w:asciiTheme="minorHAnsi" w:eastAsiaTheme="minorEastAsia" w:hAnsiTheme="minorHAnsi" w:cstheme="minorHAnsi"/>
          <w:i/>
          <w:sz w:val="20"/>
          <w:szCs w:val="20"/>
          <w:lang w:val="lv-LV"/>
        </w:rPr>
        <w:t xml:space="preserve">Avots: Valsts Kase </w:t>
      </w:r>
    </w:p>
    <w:p w14:paraId="1828735F" w14:textId="166342FC" w:rsidR="003A4449" w:rsidRPr="00E01B4C" w:rsidRDefault="00E01B4C" w:rsidP="00E01B4C">
      <w:pPr>
        <w:ind w:left="426"/>
        <w:jc w:val="both"/>
        <w:rPr>
          <w:rFonts w:asciiTheme="minorHAnsi" w:eastAsiaTheme="minorEastAsia" w:hAnsiTheme="minorHAnsi" w:cstheme="minorHAnsi"/>
          <w:b/>
          <w:sz w:val="20"/>
          <w:szCs w:val="20"/>
          <w:lang w:val="lv-LV"/>
        </w:rPr>
      </w:pPr>
      <w:r>
        <w:rPr>
          <w:rFonts w:asciiTheme="minorHAnsi" w:eastAsiaTheme="minorEastAsia" w:hAnsiTheme="minorHAnsi" w:cstheme="minorHAnsi"/>
          <w:b/>
          <w:sz w:val="20"/>
          <w:szCs w:val="20"/>
          <w:lang w:val="lv-LV"/>
        </w:rPr>
        <w:t>1.a</w:t>
      </w:r>
      <w:r w:rsidR="00A00F2A" w:rsidRPr="00E01B4C">
        <w:rPr>
          <w:rFonts w:asciiTheme="minorHAnsi" w:eastAsiaTheme="minorEastAsia" w:hAnsiTheme="minorHAnsi" w:cstheme="minorHAnsi"/>
          <w:b/>
          <w:sz w:val="20"/>
          <w:szCs w:val="20"/>
          <w:lang w:val="lv-LV"/>
        </w:rPr>
        <w:t>tt</w:t>
      </w:r>
      <w:r w:rsidRPr="00E01B4C">
        <w:rPr>
          <w:rFonts w:asciiTheme="minorHAnsi" w:eastAsiaTheme="minorEastAsia" w:hAnsiTheme="minorHAnsi" w:cstheme="minorHAnsi"/>
          <w:b/>
          <w:sz w:val="20"/>
          <w:szCs w:val="20"/>
          <w:lang w:val="lv-LV"/>
        </w:rPr>
        <w:t>ēls:</w:t>
      </w:r>
      <w:r w:rsidR="00A00F2A" w:rsidRPr="00E01B4C">
        <w:rPr>
          <w:rFonts w:asciiTheme="minorHAnsi" w:eastAsiaTheme="minorEastAsia" w:hAnsiTheme="minorHAnsi" w:cstheme="minorHAnsi"/>
          <w:b/>
          <w:sz w:val="20"/>
          <w:szCs w:val="20"/>
          <w:lang w:val="lv-LV"/>
        </w:rPr>
        <w:t xml:space="preserve"> </w:t>
      </w:r>
      <w:r w:rsidR="00A00F2A" w:rsidRPr="00E01B4C">
        <w:rPr>
          <w:rFonts w:asciiTheme="minorHAnsi" w:eastAsiaTheme="minorEastAsia" w:hAnsiTheme="minorHAnsi" w:cstheme="minorHAnsi"/>
          <w:sz w:val="20"/>
          <w:szCs w:val="20"/>
          <w:lang w:val="lv-LV"/>
        </w:rPr>
        <w:t>Konsolidētā kopbudžeta bilance, % no IKP uzkrātās vienībās mēneša beigās</w:t>
      </w:r>
    </w:p>
    <w:p w14:paraId="13BD1926" w14:textId="77777777" w:rsidR="00A00F2A" w:rsidRPr="0078054E" w:rsidRDefault="00A00F2A" w:rsidP="009A1EF2">
      <w:pPr>
        <w:pStyle w:val="ListParagraph"/>
        <w:jc w:val="both"/>
        <w:rPr>
          <w:rFonts w:asciiTheme="minorHAnsi" w:eastAsiaTheme="minorEastAsia" w:hAnsiTheme="minorHAnsi" w:cstheme="minorBidi"/>
          <w:sz w:val="22"/>
          <w:szCs w:val="22"/>
          <w:lang w:val="lv-LV"/>
        </w:rPr>
      </w:pPr>
    </w:p>
    <w:p w14:paraId="3EC18288" w14:textId="36A9C0FC" w:rsidR="00400F43" w:rsidRPr="00400F43" w:rsidRDefault="00400F43" w:rsidP="009A1EF2">
      <w:pPr>
        <w:keepNext/>
        <w:keepLines/>
        <w:numPr>
          <w:ilvl w:val="1"/>
          <w:numId w:val="3"/>
        </w:numPr>
        <w:spacing w:before="40" w:after="240"/>
        <w:outlineLvl w:val="1"/>
        <w:rPr>
          <w:rFonts w:asciiTheme="majorHAnsi" w:eastAsiaTheme="majorEastAsia" w:hAnsiTheme="majorHAnsi" w:cstheme="majorBidi"/>
          <w:color w:val="2F5496" w:themeColor="accent5" w:themeShade="BF"/>
          <w:sz w:val="26"/>
          <w:szCs w:val="26"/>
          <w:lang w:val="lv-LV"/>
        </w:rPr>
      </w:pPr>
      <w:bookmarkStart w:id="7" w:name="_Toc21590736"/>
      <w:bookmarkStart w:id="8" w:name="_Toc53387626"/>
      <w:r>
        <w:rPr>
          <w:rFonts w:asciiTheme="majorHAnsi" w:eastAsiaTheme="majorEastAsia" w:hAnsiTheme="majorHAnsi" w:cstheme="majorBidi"/>
          <w:i/>
          <w:iCs/>
          <w:color w:val="2F5496" w:themeColor="accent5" w:themeShade="BF"/>
          <w:sz w:val="26"/>
          <w:szCs w:val="26"/>
          <w:lang w:val="lv-LV"/>
        </w:rPr>
        <w:t>Fiskālā pozīcija 2021-2023</w:t>
      </w:r>
      <w:r w:rsidRPr="00400F43">
        <w:rPr>
          <w:rFonts w:asciiTheme="majorHAnsi" w:eastAsiaTheme="majorEastAsia" w:hAnsiTheme="majorHAnsi" w:cstheme="majorBidi"/>
          <w:i/>
          <w:iCs/>
          <w:color w:val="2F5496" w:themeColor="accent5" w:themeShade="BF"/>
          <w:sz w:val="26"/>
          <w:szCs w:val="26"/>
          <w:lang w:val="lv-LV"/>
        </w:rPr>
        <w:t xml:space="preserve"> gadiem</w:t>
      </w:r>
      <w:bookmarkEnd w:id="7"/>
      <w:bookmarkEnd w:id="8"/>
    </w:p>
    <w:p w14:paraId="076EA4A5" w14:textId="366500F1" w:rsidR="00BF43C7" w:rsidRPr="0006276C" w:rsidRDefault="00B43D3A" w:rsidP="72B40892">
      <w:pPr>
        <w:pStyle w:val="ListParagraph"/>
        <w:numPr>
          <w:ilvl w:val="0"/>
          <w:numId w:val="2"/>
        </w:numPr>
        <w:ind w:left="426" w:hanging="426"/>
        <w:jc w:val="both"/>
        <w:rPr>
          <w:rFonts w:asciiTheme="minorHAnsi" w:eastAsiaTheme="minorEastAsia" w:hAnsiTheme="minorHAnsi" w:cstheme="minorBidi"/>
          <w:b/>
          <w:bCs/>
          <w:sz w:val="22"/>
          <w:szCs w:val="22"/>
          <w:lang w:val="lv-LV"/>
        </w:rPr>
      </w:pPr>
      <w:r w:rsidRPr="72B40892">
        <w:rPr>
          <w:rFonts w:asciiTheme="minorHAnsi" w:eastAsiaTheme="minorEastAsia" w:hAnsiTheme="minorHAnsi" w:cstheme="minorBidi"/>
          <w:b/>
          <w:bCs/>
          <w:sz w:val="22"/>
          <w:szCs w:val="22"/>
          <w:lang w:val="lv-LV"/>
        </w:rPr>
        <w:t xml:space="preserve">Nākošie gadi būs sarežģīti no valsts fiskālā aspekta </w:t>
      </w:r>
      <w:r w:rsidR="009E2772" w:rsidRPr="72B40892">
        <w:rPr>
          <w:rFonts w:asciiTheme="minorHAnsi" w:eastAsiaTheme="minorEastAsia" w:hAnsiTheme="minorHAnsi" w:cstheme="minorBidi"/>
          <w:b/>
          <w:bCs/>
          <w:sz w:val="22"/>
          <w:szCs w:val="22"/>
          <w:lang w:val="lv-LV"/>
        </w:rPr>
        <w:t>–</w:t>
      </w:r>
      <w:r w:rsidRPr="72B40892">
        <w:rPr>
          <w:rFonts w:asciiTheme="minorHAnsi" w:eastAsiaTheme="minorEastAsia" w:hAnsiTheme="minorHAnsi" w:cstheme="minorBidi"/>
          <w:b/>
          <w:bCs/>
          <w:sz w:val="22"/>
          <w:szCs w:val="22"/>
          <w:lang w:val="lv-LV"/>
        </w:rPr>
        <w:t xml:space="preserve"> </w:t>
      </w:r>
      <w:r w:rsidR="1059FED8" w:rsidRPr="72B40892">
        <w:rPr>
          <w:rFonts w:asciiTheme="minorHAnsi" w:eastAsiaTheme="minorEastAsia" w:hAnsiTheme="minorHAnsi" w:cstheme="minorBidi"/>
          <w:b/>
          <w:bCs/>
          <w:sz w:val="22"/>
          <w:szCs w:val="22"/>
          <w:lang w:val="lv-LV"/>
        </w:rPr>
        <w:t xml:space="preserve">neskaidrība ar Covid-19 vīrusa izplatību, </w:t>
      </w:r>
      <w:r w:rsidR="009E2772" w:rsidRPr="72B40892">
        <w:rPr>
          <w:rFonts w:asciiTheme="minorHAnsi" w:eastAsiaTheme="minorEastAsia" w:hAnsiTheme="minorHAnsi" w:cstheme="minorBidi"/>
          <w:b/>
          <w:bCs/>
          <w:sz w:val="22"/>
          <w:szCs w:val="22"/>
          <w:lang w:val="lv-LV"/>
        </w:rPr>
        <w:t>neskaidrība ārējā ekonomisk</w:t>
      </w:r>
      <w:r w:rsidR="00DA2517" w:rsidRPr="72B40892">
        <w:rPr>
          <w:rFonts w:asciiTheme="minorHAnsi" w:eastAsiaTheme="minorEastAsia" w:hAnsiTheme="minorHAnsi" w:cstheme="minorBidi"/>
          <w:b/>
          <w:bCs/>
          <w:sz w:val="22"/>
          <w:szCs w:val="22"/>
          <w:lang w:val="lv-LV"/>
        </w:rPr>
        <w:t>aj</w:t>
      </w:r>
      <w:r w:rsidR="009E2772" w:rsidRPr="72B40892">
        <w:rPr>
          <w:rFonts w:asciiTheme="minorHAnsi" w:eastAsiaTheme="minorEastAsia" w:hAnsiTheme="minorHAnsi" w:cstheme="minorBidi"/>
          <w:b/>
          <w:bCs/>
          <w:sz w:val="22"/>
          <w:szCs w:val="22"/>
          <w:lang w:val="lv-LV"/>
        </w:rPr>
        <w:t>ā un politisk</w:t>
      </w:r>
      <w:r w:rsidR="00DA2517" w:rsidRPr="72B40892">
        <w:rPr>
          <w:rFonts w:asciiTheme="minorHAnsi" w:eastAsiaTheme="minorEastAsia" w:hAnsiTheme="minorHAnsi" w:cstheme="minorBidi"/>
          <w:b/>
          <w:bCs/>
          <w:sz w:val="22"/>
          <w:szCs w:val="22"/>
          <w:lang w:val="lv-LV"/>
        </w:rPr>
        <w:t>aj</w:t>
      </w:r>
      <w:r w:rsidR="009E2772" w:rsidRPr="72B40892">
        <w:rPr>
          <w:rFonts w:asciiTheme="minorHAnsi" w:eastAsiaTheme="minorEastAsia" w:hAnsiTheme="minorHAnsi" w:cstheme="minorBidi"/>
          <w:b/>
          <w:bCs/>
          <w:sz w:val="22"/>
          <w:szCs w:val="22"/>
          <w:lang w:val="lv-LV"/>
        </w:rPr>
        <w:t xml:space="preserve">ā vidē, palielināts valsts parāds, nepieciešamība atgriezties pie ilgtspējīgas fiskālās politikas. </w:t>
      </w:r>
      <w:r w:rsidR="002D6125" w:rsidRPr="72B40892">
        <w:rPr>
          <w:rFonts w:asciiTheme="minorHAnsi" w:eastAsiaTheme="minorEastAsia" w:hAnsiTheme="minorHAnsi" w:cstheme="minorBidi"/>
          <w:sz w:val="22"/>
          <w:szCs w:val="22"/>
          <w:lang w:val="lv-LV"/>
        </w:rPr>
        <w:t>Lai arī Latvija Covid-19 izraisīto ekonomisko krīzi pārvar salīdzinoši labi, esam maza un atvērta ekonomika, kuru vienmēr ietekmēs ārējie faktori. Joprojām nav skaidrs kad tiks attīstīta Covid-19 vakcīna, līdz ar to nav zināms pašreizējās krīzes dziļums un ilgums. Lai arī daļa ekonomikas La</w:t>
      </w:r>
      <w:r w:rsidR="00DA2517" w:rsidRPr="72B40892">
        <w:rPr>
          <w:rFonts w:asciiTheme="minorHAnsi" w:eastAsiaTheme="minorEastAsia" w:hAnsiTheme="minorHAnsi" w:cstheme="minorBidi"/>
          <w:sz w:val="22"/>
          <w:szCs w:val="22"/>
          <w:lang w:val="lv-LV"/>
        </w:rPr>
        <w:t>tvijā un pasaulē funkcionāli ier</w:t>
      </w:r>
      <w:r w:rsidR="002D6125" w:rsidRPr="72B40892">
        <w:rPr>
          <w:rFonts w:asciiTheme="minorHAnsi" w:eastAsiaTheme="minorEastAsia" w:hAnsiTheme="minorHAnsi" w:cstheme="minorBidi"/>
          <w:sz w:val="22"/>
          <w:szCs w:val="22"/>
          <w:lang w:val="lv-LV"/>
        </w:rPr>
        <w:t xml:space="preserve">astā režīmā, ir nozares, kuru attīstību Covid-19 ir nobremzējis. Lai arī pēc ekonomistu viedokļa </w:t>
      </w:r>
      <w:r w:rsidR="00A074D0" w:rsidRPr="72B40892">
        <w:rPr>
          <w:rFonts w:asciiTheme="minorHAnsi" w:eastAsiaTheme="minorEastAsia" w:hAnsiTheme="minorHAnsi" w:cstheme="minorBidi"/>
          <w:sz w:val="22"/>
          <w:szCs w:val="22"/>
          <w:lang w:val="lv-LV"/>
        </w:rPr>
        <w:t>straujš inflācijas pieagums</w:t>
      </w:r>
      <w:r w:rsidR="002D6125" w:rsidRPr="72B40892">
        <w:rPr>
          <w:rFonts w:asciiTheme="minorHAnsi" w:eastAsiaTheme="minorEastAsia" w:hAnsiTheme="minorHAnsi" w:cstheme="minorBidi"/>
          <w:sz w:val="22"/>
          <w:szCs w:val="22"/>
          <w:lang w:val="lv-LV"/>
        </w:rPr>
        <w:t xml:space="preserve"> tuvākos nedraud, pasaulē ir ievērojami palielināta naudas bā</w:t>
      </w:r>
      <w:r w:rsidR="006E20BE" w:rsidRPr="72B40892">
        <w:rPr>
          <w:rFonts w:asciiTheme="minorHAnsi" w:eastAsiaTheme="minorEastAsia" w:hAnsiTheme="minorHAnsi" w:cstheme="minorBidi"/>
          <w:sz w:val="22"/>
          <w:szCs w:val="22"/>
          <w:lang w:val="lv-LV"/>
        </w:rPr>
        <w:t>ze, kas nākotnē var izdarīt spiedienu uz</w:t>
      </w:r>
      <w:r w:rsidR="002D6125" w:rsidRPr="72B40892">
        <w:rPr>
          <w:rFonts w:asciiTheme="minorHAnsi" w:eastAsiaTheme="minorEastAsia" w:hAnsiTheme="minorHAnsi" w:cstheme="minorBidi"/>
          <w:sz w:val="22"/>
          <w:szCs w:val="22"/>
          <w:lang w:val="lv-LV"/>
        </w:rPr>
        <w:t xml:space="preserve"> inflāciju. Arī ekspansīvā fiskālā politika ir ievē</w:t>
      </w:r>
      <w:r w:rsidR="00AA4B7C" w:rsidRPr="72B40892">
        <w:rPr>
          <w:rFonts w:asciiTheme="minorHAnsi" w:eastAsiaTheme="minorEastAsia" w:hAnsiTheme="minorHAnsi" w:cstheme="minorBidi"/>
          <w:sz w:val="22"/>
          <w:szCs w:val="22"/>
          <w:lang w:val="lv-LV"/>
        </w:rPr>
        <w:t>r</w:t>
      </w:r>
      <w:r w:rsidR="002D6125" w:rsidRPr="72B40892">
        <w:rPr>
          <w:rFonts w:asciiTheme="minorHAnsi" w:eastAsiaTheme="minorEastAsia" w:hAnsiTheme="minorHAnsi" w:cstheme="minorBidi"/>
          <w:sz w:val="22"/>
          <w:szCs w:val="22"/>
          <w:lang w:val="lv-LV"/>
        </w:rPr>
        <w:t>oja</w:t>
      </w:r>
      <w:r w:rsidR="000D133B" w:rsidRPr="72B40892">
        <w:rPr>
          <w:rFonts w:asciiTheme="minorHAnsi" w:eastAsiaTheme="minorEastAsia" w:hAnsiTheme="minorHAnsi" w:cstheme="minorBidi"/>
          <w:sz w:val="22"/>
          <w:szCs w:val="22"/>
          <w:lang w:val="lv-LV"/>
        </w:rPr>
        <w:t>mi palielinājusi valstu parādus un veicinājusi pārmērīgas valsts iejaukšanās ekonomikas procesos kultūru. Pēc SVF aprēķiniem jau pirms Covid-19 krīzes attīstīto valstu parāds sasniedza 105% no to IKP, tomēr jau šī gada beigās parāda līmenis var</w:t>
      </w:r>
      <w:r w:rsidR="005F637A" w:rsidRPr="72B40892">
        <w:rPr>
          <w:rFonts w:asciiTheme="minorHAnsi" w:eastAsiaTheme="minorEastAsia" w:hAnsiTheme="minorHAnsi" w:cstheme="minorBidi"/>
          <w:sz w:val="22"/>
          <w:szCs w:val="22"/>
          <w:lang w:val="lv-LV"/>
        </w:rPr>
        <w:t>ētu</w:t>
      </w:r>
      <w:r w:rsidR="000D133B" w:rsidRPr="72B40892">
        <w:rPr>
          <w:rFonts w:asciiTheme="minorHAnsi" w:eastAsiaTheme="minorEastAsia" w:hAnsiTheme="minorHAnsi" w:cstheme="minorBidi"/>
          <w:sz w:val="22"/>
          <w:szCs w:val="22"/>
          <w:lang w:val="lv-LV"/>
        </w:rPr>
        <w:t xml:space="preserve"> pārsniegt 120%</w:t>
      </w:r>
      <w:r w:rsidR="00AA4B7C" w:rsidRPr="72B40892">
        <w:rPr>
          <w:rFonts w:asciiTheme="minorHAnsi" w:eastAsiaTheme="minorEastAsia" w:hAnsiTheme="minorHAnsi" w:cstheme="minorBidi"/>
          <w:sz w:val="22"/>
          <w:szCs w:val="22"/>
          <w:lang w:val="lv-LV"/>
        </w:rPr>
        <w:t xml:space="preserve"> </w:t>
      </w:r>
      <w:r w:rsidR="000D133B" w:rsidRPr="72B40892">
        <w:rPr>
          <w:rFonts w:asciiTheme="minorHAnsi" w:eastAsiaTheme="minorEastAsia" w:hAnsiTheme="minorHAnsi" w:cstheme="minorBidi"/>
          <w:sz w:val="22"/>
          <w:szCs w:val="22"/>
          <w:lang w:val="lv-LV"/>
        </w:rPr>
        <w:t xml:space="preserve">no IKP. </w:t>
      </w:r>
      <w:r w:rsidR="003823A6" w:rsidRPr="72B40892">
        <w:rPr>
          <w:rFonts w:asciiTheme="minorHAnsi" w:eastAsiaTheme="minorEastAsia" w:hAnsiTheme="minorHAnsi" w:cstheme="minorBidi"/>
          <w:sz w:val="22"/>
          <w:szCs w:val="22"/>
          <w:lang w:val="lv-LV"/>
        </w:rPr>
        <w:t>Fiskālā un monetārā politika nav pilnvērtīgs aizvietotājs strukturālām reformām ilgtermiņā.</w:t>
      </w:r>
    </w:p>
    <w:p w14:paraId="088FBF95" w14:textId="77777777" w:rsidR="0006276C" w:rsidRPr="00BF43C7" w:rsidRDefault="0006276C" w:rsidP="009A1EF2">
      <w:pPr>
        <w:pStyle w:val="ListParagraph"/>
        <w:ind w:left="426"/>
        <w:jc w:val="both"/>
        <w:rPr>
          <w:rFonts w:asciiTheme="minorHAnsi" w:eastAsiaTheme="minorEastAsia" w:hAnsiTheme="minorHAnsi" w:cstheme="minorBidi"/>
          <w:b/>
          <w:bCs/>
          <w:sz w:val="22"/>
          <w:szCs w:val="22"/>
          <w:lang w:val="lv-LV"/>
        </w:rPr>
      </w:pPr>
    </w:p>
    <w:p w14:paraId="59F4629E" w14:textId="183B42D7" w:rsidR="00B43D3A" w:rsidRPr="0006276C" w:rsidRDefault="00BF43C7" w:rsidP="009A1EF2">
      <w:pPr>
        <w:pStyle w:val="ListParagraph"/>
        <w:numPr>
          <w:ilvl w:val="0"/>
          <w:numId w:val="2"/>
        </w:numPr>
        <w:ind w:left="426" w:hanging="426"/>
        <w:jc w:val="both"/>
        <w:rPr>
          <w:rFonts w:asciiTheme="minorHAnsi" w:eastAsiaTheme="minorEastAsia" w:hAnsiTheme="minorHAnsi" w:cstheme="minorBidi"/>
          <w:b/>
          <w:bCs/>
          <w:sz w:val="22"/>
          <w:szCs w:val="22"/>
          <w:lang w:val="lv-LV"/>
        </w:rPr>
      </w:pPr>
      <w:r w:rsidRPr="00BF43C7">
        <w:rPr>
          <w:rFonts w:asciiTheme="minorHAnsi" w:eastAsiaTheme="minorEastAsia" w:hAnsiTheme="minorHAnsi" w:cstheme="minorBidi"/>
          <w:b/>
          <w:bCs/>
          <w:sz w:val="22"/>
          <w:szCs w:val="22"/>
          <w:lang w:val="lv-LV"/>
        </w:rPr>
        <w:t>Lai gan</w:t>
      </w:r>
      <w:r w:rsidR="006E20BE">
        <w:rPr>
          <w:rFonts w:asciiTheme="minorHAnsi" w:eastAsiaTheme="minorEastAsia" w:hAnsiTheme="minorHAnsi" w:cstheme="minorBidi"/>
          <w:bCs/>
          <w:sz w:val="22"/>
          <w:szCs w:val="22"/>
          <w:lang w:val="lv-LV"/>
        </w:rPr>
        <w:t xml:space="preserve"> </w:t>
      </w:r>
      <w:r w:rsidRPr="00BF43C7">
        <w:rPr>
          <w:rFonts w:asciiTheme="minorHAnsi" w:eastAsiaTheme="minorEastAsia" w:hAnsiTheme="minorHAnsi" w:cstheme="minorBidi"/>
          <w:b/>
          <w:bCs/>
          <w:sz w:val="22"/>
          <w:szCs w:val="22"/>
          <w:lang w:val="lv-LV"/>
        </w:rPr>
        <w:t>EK nav noteikusi termiņu, līdz kuram būs spēkā vispārējā izņēmuma klauzula</w:t>
      </w:r>
      <w:r>
        <w:rPr>
          <w:rFonts w:asciiTheme="minorHAnsi" w:eastAsiaTheme="minorEastAsia" w:hAnsiTheme="minorHAnsi" w:cstheme="minorBidi"/>
          <w:b/>
          <w:bCs/>
          <w:sz w:val="22"/>
          <w:szCs w:val="22"/>
          <w:lang w:val="lv-LV"/>
        </w:rPr>
        <w:t xml:space="preserve"> </w:t>
      </w:r>
      <w:r w:rsidRPr="00BF43C7">
        <w:rPr>
          <w:rFonts w:asciiTheme="minorHAnsi" w:eastAsiaTheme="minorEastAsia" w:hAnsiTheme="minorHAnsi" w:cstheme="minorBidi"/>
          <w:b/>
          <w:bCs/>
          <w:sz w:val="22"/>
          <w:szCs w:val="22"/>
          <w:lang w:val="lv-LV"/>
        </w:rPr>
        <w:t>ir augsta varbūtība</w:t>
      </w:r>
      <w:r>
        <w:rPr>
          <w:rFonts w:asciiTheme="minorHAnsi" w:eastAsiaTheme="minorEastAsia" w:hAnsiTheme="minorHAnsi" w:cstheme="minorBidi"/>
          <w:b/>
          <w:bCs/>
          <w:sz w:val="22"/>
          <w:szCs w:val="22"/>
          <w:lang w:val="lv-LV"/>
        </w:rPr>
        <w:t>, ka tā</w:t>
      </w:r>
      <w:r w:rsidRPr="00BF43C7">
        <w:rPr>
          <w:rFonts w:asciiTheme="minorHAnsi" w:eastAsiaTheme="minorEastAsia" w:hAnsiTheme="minorHAnsi" w:cstheme="minorBidi"/>
          <w:b/>
          <w:bCs/>
          <w:sz w:val="22"/>
          <w:szCs w:val="22"/>
          <w:lang w:val="lv-LV"/>
        </w:rPr>
        <w:t xml:space="preserve"> paliks spēkā 2021. g</w:t>
      </w:r>
      <w:r w:rsidR="005F637A">
        <w:rPr>
          <w:rFonts w:asciiTheme="minorHAnsi" w:eastAsiaTheme="minorEastAsia" w:hAnsiTheme="minorHAnsi" w:cstheme="minorBidi"/>
          <w:b/>
          <w:bCs/>
          <w:sz w:val="22"/>
          <w:szCs w:val="22"/>
          <w:lang w:val="lv-LV"/>
        </w:rPr>
        <w:t>adā, jo pēc 2020. gada IKP</w:t>
      </w:r>
      <w:r w:rsidRPr="00BF43C7">
        <w:rPr>
          <w:rFonts w:asciiTheme="minorHAnsi" w:eastAsiaTheme="minorEastAsia" w:hAnsiTheme="minorHAnsi" w:cstheme="minorBidi"/>
          <w:b/>
          <w:bCs/>
          <w:sz w:val="22"/>
          <w:szCs w:val="22"/>
          <w:lang w:val="lv-LV"/>
        </w:rPr>
        <w:t xml:space="preserve"> krituma, 2021. gadā prognozētā izaugsme nekompensēs iepriekšējā gada kritumu un fiskālā politika būs jāsaglabā stimulējoša</w:t>
      </w:r>
      <w:r w:rsidRPr="00BF43C7">
        <w:rPr>
          <w:rFonts w:asciiTheme="minorHAnsi" w:eastAsiaTheme="minorEastAsia" w:hAnsiTheme="minorHAnsi" w:cstheme="minorBidi"/>
          <w:bCs/>
          <w:sz w:val="22"/>
          <w:szCs w:val="22"/>
          <w:lang w:val="lv-LV"/>
        </w:rPr>
        <w:t xml:space="preserve">. </w:t>
      </w:r>
      <w:r>
        <w:rPr>
          <w:rFonts w:asciiTheme="minorHAnsi" w:eastAsiaTheme="minorEastAsia" w:hAnsiTheme="minorHAnsi" w:cstheme="minorBidi"/>
          <w:bCs/>
          <w:sz w:val="22"/>
          <w:szCs w:val="22"/>
          <w:lang w:val="lv-LV"/>
        </w:rPr>
        <w:t xml:space="preserve">Savukārt, </w:t>
      </w:r>
      <w:r w:rsidRPr="00BF43C7">
        <w:rPr>
          <w:rFonts w:asciiTheme="minorHAnsi" w:eastAsiaTheme="minorEastAsia" w:hAnsiTheme="minorHAnsi" w:cstheme="minorBidi"/>
          <w:bCs/>
          <w:sz w:val="22"/>
          <w:szCs w:val="22"/>
          <w:lang w:val="lv-LV"/>
        </w:rPr>
        <w:t>“Covid-19 infekcijas izplatības se</w:t>
      </w:r>
      <w:r w:rsidR="002C62C5">
        <w:rPr>
          <w:rFonts w:asciiTheme="minorHAnsi" w:eastAsiaTheme="minorEastAsia" w:hAnsiTheme="minorHAnsi" w:cstheme="minorBidi"/>
          <w:bCs/>
          <w:sz w:val="22"/>
          <w:szCs w:val="22"/>
          <w:lang w:val="lv-LV"/>
        </w:rPr>
        <w:t>ku pārvarēšanas likuma</w:t>
      </w:r>
      <w:r>
        <w:rPr>
          <w:rFonts w:asciiTheme="minorHAnsi" w:eastAsiaTheme="minorEastAsia" w:hAnsiTheme="minorHAnsi" w:cstheme="minorBidi"/>
          <w:bCs/>
          <w:sz w:val="22"/>
          <w:szCs w:val="22"/>
          <w:lang w:val="lv-LV"/>
        </w:rPr>
        <w:t>” 33.pants</w:t>
      </w:r>
      <w:r w:rsidRPr="00BF43C7">
        <w:rPr>
          <w:rFonts w:asciiTheme="minorHAnsi" w:eastAsiaTheme="minorEastAsia" w:hAnsiTheme="minorHAnsi" w:cstheme="minorBidi"/>
          <w:bCs/>
          <w:sz w:val="22"/>
          <w:szCs w:val="22"/>
          <w:lang w:val="lv-LV"/>
        </w:rPr>
        <w:t xml:space="preserve"> paredz atkāpes no fiskālās</w:t>
      </w:r>
      <w:r>
        <w:rPr>
          <w:rFonts w:asciiTheme="minorHAnsi" w:eastAsiaTheme="minorEastAsia" w:hAnsiTheme="minorHAnsi" w:cstheme="minorBidi"/>
          <w:bCs/>
          <w:sz w:val="22"/>
          <w:szCs w:val="22"/>
          <w:lang w:val="lv-LV"/>
        </w:rPr>
        <w:t xml:space="preserve"> disciplīnas nosacījumiem </w:t>
      </w:r>
      <w:r w:rsidRPr="00BF43C7">
        <w:rPr>
          <w:rFonts w:asciiTheme="minorHAnsi" w:eastAsiaTheme="minorEastAsia" w:hAnsiTheme="minorHAnsi" w:cstheme="minorBidi"/>
          <w:bCs/>
          <w:sz w:val="22"/>
          <w:szCs w:val="22"/>
          <w:lang w:val="lv-LV"/>
        </w:rPr>
        <w:t>2020. un 2021. gadā.</w:t>
      </w:r>
      <w:r w:rsidRPr="00BF43C7">
        <w:rPr>
          <w:rFonts w:asciiTheme="minorHAnsi" w:eastAsiaTheme="minorEastAsia" w:hAnsiTheme="minorHAnsi" w:cstheme="minorBidi"/>
          <w:b/>
          <w:bCs/>
          <w:sz w:val="22"/>
          <w:szCs w:val="22"/>
          <w:lang w:val="lv-LV"/>
        </w:rPr>
        <w:t xml:space="preserve">  </w:t>
      </w:r>
      <w:r w:rsidRPr="00BF43C7">
        <w:rPr>
          <w:rFonts w:asciiTheme="minorHAnsi" w:eastAsiaTheme="minorEastAsia" w:hAnsiTheme="minorHAnsi" w:cstheme="minorBidi"/>
          <w:bCs/>
          <w:sz w:val="22"/>
          <w:szCs w:val="22"/>
          <w:lang w:val="lv-LV"/>
        </w:rPr>
        <w:t>Ja</w:t>
      </w:r>
      <w:r>
        <w:rPr>
          <w:rFonts w:asciiTheme="minorHAnsi" w:eastAsiaTheme="minorEastAsia" w:hAnsiTheme="minorHAnsi" w:cstheme="minorBidi"/>
          <w:b/>
          <w:bCs/>
          <w:sz w:val="22"/>
          <w:szCs w:val="22"/>
          <w:lang w:val="lv-LV"/>
        </w:rPr>
        <w:t xml:space="preserve"> </w:t>
      </w:r>
      <w:r w:rsidRPr="00BF43C7">
        <w:rPr>
          <w:rFonts w:asciiTheme="minorHAnsi" w:eastAsiaTheme="minorEastAsia" w:hAnsiTheme="minorHAnsi" w:cstheme="minorBidi"/>
          <w:bCs/>
          <w:sz w:val="22"/>
          <w:szCs w:val="22"/>
          <w:lang w:val="lv-LV"/>
        </w:rPr>
        <w:t>tomēr</w:t>
      </w:r>
      <w:r>
        <w:rPr>
          <w:rFonts w:asciiTheme="minorHAnsi" w:eastAsiaTheme="minorEastAsia" w:hAnsiTheme="minorHAnsi" w:cstheme="minorBidi"/>
          <w:bCs/>
          <w:sz w:val="22"/>
          <w:szCs w:val="22"/>
          <w:lang w:val="lv-LV"/>
        </w:rPr>
        <w:t xml:space="preserve"> vispārējā izņēmuma klauzula netiks pagarināta 2021.gadā, ir varbūtība, ka pret Latviju tiks uzsākta pārmērīga budžeta deficīta procedūra, kura nosaka </w:t>
      </w:r>
      <w:r>
        <w:rPr>
          <w:rFonts w:asciiTheme="minorHAnsi" w:eastAsiaTheme="minorEastAsia" w:hAnsiTheme="minorHAnsi" w:cstheme="minorBidi"/>
          <w:bCs/>
          <w:sz w:val="22"/>
          <w:szCs w:val="22"/>
          <w:lang w:val="lv-LV"/>
        </w:rPr>
        <w:lastRenderedPageBreak/>
        <w:t>rekomendācijas ar mērķi</w:t>
      </w:r>
      <w:r w:rsidR="002C62C5">
        <w:rPr>
          <w:rFonts w:asciiTheme="minorHAnsi" w:eastAsiaTheme="minorEastAsia" w:hAnsiTheme="minorHAnsi" w:cstheme="minorBidi"/>
          <w:bCs/>
          <w:sz w:val="22"/>
          <w:szCs w:val="22"/>
          <w:lang w:val="lv-LV"/>
        </w:rPr>
        <w:t>, lai valsts budžeta deficīts 3 gadu laikā</w:t>
      </w:r>
      <w:r w:rsidR="002C62C5" w:rsidRPr="002C62C5">
        <w:rPr>
          <w:rFonts w:asciiTheme="minorHAnsi" w:eastAsiaTheme="minorEastAsia" w:hAnsiTheme="minorHAnsi" w:cstheme="minorBidi"/>
          <w:bCs/>
          <w:sz w:val="22"/>
          <w:szCs w:val="22"/>
          <w:lang w:val="lv-LV"/>
        </w:rPr>
        <w:t xml:space="preserve"> atbilstu Māstrihtas kritērijam.</w:t>
      </w:r>
    </w:p>
    <w:p w14:paraId="347FE309" w14:textId="77777777" w:rsidR="0006276C" w:rsidRDefault="0006276C" w:rsidP="009A1EF2">
      <w:pPr>
        <w:pStyle w:val="ListParagraph"/>
        <w:ind w:left="426"/>
        <w:jc w:val="both"/>
        <w:rPr>
          <w:rFonts w:asciiTheme="minorHAnsi" w:eastAsiaTheme="minorEastAsia" w:hAnsiTheme="minorHAnsi" w:cstheme="minorBidi"/>
          <w:b/>
          <w:bCs/>
          <w:sz w:val="22"/>
          <w:szCs w:val="22"/>
          <w:lang w:val="lv-LV"/>
        </w:rPr>
      </w:pPr>
    </w:p>
    <w:p w14:paraId="2E355460" w14:textId="1B8CE232" w:rsidR="00F0555F" w:rsidRPr="007071FD" w:rsidRDefault="00F0555F" w:rsidP="009A1EF2">
      <w:pPr>
        <w:pStyle w:val="ListParagraph"/>
        <w:numPr>
          <w:ilvl w:val="0"/>
          <w:numId w:val="2"/>
        </w:numPr>
        <w:ind w:left="426" w:hanging="426"/>
        <w:jc w:val="both"/>
        <w:rPr>
          <w:rFonts w:asciiTheme="minorHAnsi" w:eastAsiaTheme="minorEastAsia" w:hAnsiTheme="minorHAnsi" w:cstheme="minorBidi"/>
          <w:b/>
          <w:bCs/>
          <w:sz w:val="22"/>
          <w:szCs w:val="22"/>
          <w:lang w:val="lv-LV"/>
        </w:rPr>
      </w:pPr>
      <w:r w:rsidRPr="007071FD">
        <w:rPr>
          <w:rFonts w:asciiTheme="minorHAnsi" w:eastAsiaTheme="minorEastAsia" w:hAnsiTheme="minorHAnsi" w:cstheme="minorBidi"/>
          <w:b/>
          <w:bCs/>
          <w:sz w:val="22"/>
          <w:szCs w:val="22"/>
          <w:lang w:val="lv-LV"/>
        </w:rPr>
        <w:t xml:space="preserve">Informatīvajā ziņojumā “Par makroekonomisko rādītāju, ieņēmumu un vispārējās valdības budžeta bilances prognozēm 2021. – 2023. gadam”  valdība </w:t>
      </w:r>
      <w:r w:rsidR="007071FD" w:rsidRPr="007071FD">
        <w:rPr>
          <w:rFonts w:asciiTheme="minorHAnsi" w:eastAsiaTheme="minorEastAsia" w:hAnsiTheme="minorHAnsi" w:cstheme="minorBidi"/>
          <w:b/>
          <w:bCs/>
          <w:sz w:val="22"/>
          <w:szCs w:val="22"/>
          <w:lang w:val="lv-LV"/>
        </w:rPr>
        <w:t>prognozē sekojošas budžeta bilances pie nemainīgas politikas  -3.9% 2021. gadā, -2.8% 2022. gadā un -1.7%. 2023</w:t>
      </w:r>
      <w:r w:rsidRPr="007071FD">
        <w:rPr>
          <w:rFonts w:asciiTheme="minorHAnsi" w:eastAsiaTheme="minorEastAsia" w:hAnsiTheme="minorHAnsi" w:cstheme="minorBidi"/>
          <w:b/>
          <w:bCs/>
          <w:sz w:val="22"/>
          <w:szCs w:val="22"/>
          <w:lang w:val="lv-LV"/>
        </w:rPr>
        <w:t xml:space="preserve">. gadā. </w:t>
      </w:r>
      <w:r w:rsidRPr="005F637A">
        <w:rPr>
          <w:rFonts w:asciiTheme="minorHAnsi" w:eastAsiaTheme="minorEastAsia" w:hAnsiTheme="minorHAnsi" w:cstheme="minorBidi"/>
          <w:b/>
          <w:bCs/>
          <w:sz w:val="22"/>
          <w:szCs w:val="22"/>
          <w:lang w:val="lv-LV"/>
        </w:rPr>
        <w:t>Iepriekš minētie mērķi atbilstoši Finanšu ministrijas aprēķiniem nodrošinātu va</w:t>
      </w:r>
      <w:r w:rsidR="007071FD" w:rsidRPr="005F637A">
        <w:rPr>
          <w:rFonts w:asciiTheme="minorHAnsi" w:eastAsiaTheme="minorEastAsia" w:hAnsiTheme="minorHAnsi" w:cstheme="minorBidi"/>
          <w:b/>
          <w:bCs/>
          <w:sz w:val="22"/>
          <w:szCs w:val="22"/>
          <w:lang w:val="lv-LV"/>
        </w:rPr>
        <w:t>ld</w:t>
      </w:r>
      <w:r w:rsidR="00E66A28">
        <w:rPr>
          <w:rFonts w:asciiTheme="minorHAnsi" w:eastAsiaTheme="minorEastAsia" w:hAnsiTheme="minorHAnsi" w:cstheme="minorBidi"/>
          <w:b/>
          <w:bCs/>
          <w:sz w:val="22"/>
          <w:szCs w:val="22"/>
          <w:lang w:val="lv-LV"/>
        </w:rPr>
        <w:t>ības strukturālo bilanci -2.0% 2021. gadā, -1.0</w:t>
      </w:r>
      <w:r w:rsidR="007071FD" w:rsidRPr="005F637A">
        <w:rPr>
          <w:rFonts w:asciiTheme="minorHAnsi" w:eastAsiaTheme="minorEastAsia" w:hAnsiTheme="minorHAnsi" w:cstheme="minorBidi"/>
          <w:b/>
          <w:bCs/>
          <w:sz w:val="22"/>
          <w:szCs w:val="22"/>
          <w:lang w:val="lv-LV"/>
        </w:rPr>
        <w:t>% 2022</w:t>
      </w:r>
      <w:r w:rsidRPr="005F637A">
        <w:rPr>
          <w:rFonts w:asciiTheme="minorHAnsi" w:eastAsiaTheme="minorEastAsia" w:hAnsiTheme="minorHAnsi" w:cstheme="minorBidi"/>
          <w:b/>
          <w:bCs/>
          <w:sz w:val="22"/>
          <w:szCs w:val="22"/>
          <w:lang w:val="lv-LV"/>
        </w:rPr>
        <w:t>. gadā un -0.</w:t>
      </w:r>
      <w:r w:rsidR="00E66A28">
        <w:rPr>
          <w:rFonts w:asciiTheme="minorHAnsi" w:eastAsiaTheme="minorEastAsia" w:hAnsiTheme="minorHAnsi" w:cstheme="minorBidi"/>
          <w:b/>
          <w:bCs/>
          <w:sz w:val="22"/>
          <w:szCs w:val="22"/>
          <w:lang w:val="lv-LV"/>
        </w:rPr>
        <w:t>1</w:t>
      </w:r>
      <w:r w:rsidR="007071FD" w:rsidRPr="005F637A">
        <w:rPr>
          <w:rFonts w:asciiTheme="minorHAnsi" w:eastAsiaTheme="minorEastAsia" w:hAnsiTheme="minorHAnsi" w:cstheme="minorBidi"/>
          <w:b/>
          <w:bCs/>
          <w:sz w:val="22"/>
          <w:szCs w:val="22"/>
          <w:lang w:val="lv-LV"/>
        </w:rPr>
        <w:t>% 2023</w:t>
      </w:r>
      <w:r w:rsidRPr="005F637A">
        <w:rPr>
          <w:rFonts w:asciiTheme="minorHAnsi" w:eastAsiaTheme="minorEastAsia" w:hAnsiTheme="minorHAnsi" w:cstheme="minorBidi"/>
          <w:b/>
          <w:bCs/>
          <w:sz w:val="22"/>
          <w:szCs w:val="22"/>
          <w:lang w:val="lv-LV"/>
        </w:rPr>
        <w:t xml:space="preserve">. gadā. </w:t>
      </w:r>
      <w:r w:rsidR="007071FD" w:rsidRPr="005F637A">
        <w:rPr>
          <w:rFonts w:asciiTheme="minorHAnsi" w:eastAsiaTheme="minorEastAsia" w:hAnsiTheme="minorHAnsi" w:cstheme="minorBidi"/>
          <w:b/>
          <w:bCs/>
          <w:sz w:val="22"/>
          <w:szCs w:val="22"/>
          <w:lang w:val="lv-LV"/>
        </w:rPr>
        <w:t xml:space="preserve"> </w:t>
      </w:r>
      <w:r w:rsidR="007071FD">
        <w:rPr>
          <w:rFonts w:asciiTheme="minorHAnsi" w:eastAsiaTheme="minorEastAsia" w:hAnsiTheme="minorHAnsi" w:cstheme="minorBidi"/>
          <w:bCs/>
          <w:sz w:val="22"/>
          <w:szCs w:val="22"/>
          <w:lang w:val="lv-LV"/>
        </w:rPr>
        <w:t xml:space="preserve">Kā jau pieminēts iepriekš, ja </w:t>
      </w:r>
      <w:r w:rsidR="007071FD" w:rsidRPr="007071FD">
        <w:rPr>
          <w:rFonts w:asciiTheme="minorHAnsi" w:eastAsiaTheme="minorEastAsia" w:hAnsiTheme="minorHAnsi" w:cstheme="minorBidi"/>
          <w:bCs/>
          <w:sz w:val="22"/>
          <w:szCs w:val="22"/>
          <w:lang w:val="lv-LV"/>
        </w:rPr>
        <w:t>2021. gadā strukturālā bilance netiek ierobežota a</w:t>
      </w:r>
      <w:r w:rsidR="007071FD">
        <w:rPr>
          <w:rFonts w:asciiTheme="minorHAnsi" w:eastAsiaTheme="minorEastAsia" w:hAnsiTheme="minorHAnsi" w:cstheme="minorBidi"/>
          <w:bCs/>
          <w:sz w:val="22"/>
          <w:szCs w:val="22"/>
          <w:lang w:val="lv-LV"/>
        </w:rPr>
        <w:t>r skaitlisko fiskālo nosacījumu, tad</w:t>
      </w:r>
      <w:r w:rsidR="007071FD" w:rsidRPr="007071FD">
        <w:rPr>
          <w:rFonts w:asciiTheme="minorHAnsi" w:eastAsiaTheme="minorEastAsia" w:hAnsiTheme="minorHAnsi" w:cstheme="minorBidi"/>
          <w:bCs/>
          <w:sz w:val="22"/>
          <w:szCs w:val="22"/>
          <w:lang w:val="lv-LV"/>
        </w:rPr>
        <w:t xml:space="preserve"> 2022. gadā jau scenā</w:t>
      </w:r>
      <w:r w:rsidR="007071FD">
        <w:rPr>
          <w:rFonts w:asciiTheme="minorHAnsi" w:eastAsiaTheme="minorEastAsia" w:hAnsiTheme="minorHAnsi" w:cstheme="minorBidi"/>
          <w:bCs/>
          <w:sz w:val="22"/>
          <w:szCs w:val="22"/>
          <w:lang w:val="lv-LV"/>
        </w:rPr>
        <w:t>rijā pie nemainīgas politikas 0.</w:t>
      </w:r>
      <w:r w:rsidR="007071FD" w:rsidRPr="007071FD">
        <w:rPr>
          <w:rFonts w:asciiTheme="minorHAnsi" w:eastAsiaTheme="minorEastAsia" w:hAnsiTheme="minorHAnsi" w:cstheme="minorBidi"/>
          <w:bCs/>
          <w:sz w:val="22"/>
          <w:szCs w:val="22"/>
          <w:lang w:val="lv-LV"/>
        </w:rPr>
        <w:t>5% strukturālais</w:t>
      </w:r>
      <w:r w:rsidR="007071FD">
        <w:rPr>
          <w:rFonts w:asciiTheme="minorHAnsi" w:eastAsiaTheme="minorEastAsia" w:hAnsiTheme="minorHAnsi" w:cstheme="minorBidi"/>
          <w:bCs/>
          <w:sz w:val="22"/>
          <w:szCs w:val="22"/>
          <w:lang w:val="lv-LV"/>
        </w:rPr>
        <w:t xml:space="preserve"> deficīts tiek pārsniegts par 0.</w:t>
      </w:r>
      <w:r w:rsidR="00E66A28">
        <w:rPr>
          <w:rFonts w:asciiTheme="minorHAnsi" w:eastAsiaTheme="minorEastAsia" w:hAnsiTheme="minorHAnsi" w:cstheme="minorBidi"/>
          <w:bCs/>
          <w:sz w:val="22"/>
          <w:szCs w:val="22"/>
          <w:lang w:val="lv-LV"/>
        </w:rPr>
        <w:t>5</w:t>
      </w:r>
      <w:r w:rsidR="007071FD" w:rsidRPr="007071FD">
        <w:rPr>
          <w:rFonts w:asciiTheme="minorHAnsi" w:eastAsiaTheme="minorEastAsia" w:hAnsiTheme="minorHAnsi" w:cstheme="minorBidi"/>
          <w:bCs/>
          <w:sz w:val="22"/>
          <w:szCs w:val="22"/>
          <w:lang w:val="lv-LV"/>
        </w:rPr>
        <w:t xml:space="preserve">% no IKP, bet 2023. gadā valsts var atļauties </w:t>
      </w:r>
      <w:r w:rsidR="005F637A">
        <w:rPr>
          <w:rFonts w:asciiTheme="minorHAnsi" w:eastAsiaTheme="minorEastAsia" w:hAnsiTheme="minorHAnsi" w:cstheme="minorBidi"/>
          <w:bCs/>
          <w:sz w:val="22"/>
          <w:szCs w:val="22"/>
          <w:lang w:val="lv-LV"/>
        </w:rPr>
        <w:t xml:space="preserve">aizpildīt fiskālo telpu </w:t>
      </w:r>
      <w:r w:rsidR="007071FD" w:rsidRPr="007071FD">
        <w:rPr>
          <w:rFonts w:asciiTheme="minorHAnsi" w:eastAsiaTheme="minorEastAsia" w:hAnsiTheme="minorHAnsi" w:cstheme="minorBidi"/>
          <w:bCs/>
          <w:sz w:val="22"/>
          <w:szCs w:val="22"/>
          <w:lang w:val="lv-LV"/>
        </w:rPr>
        <w:t>p</w:t>
      </w:r>
      <w:r w:rsidR="00B47819">
        <w:rPr>
          <w:rFonts w:asciiTheme="minorHAnsi" w:eastAsiaTheme="minorEastAsia" w:hAnsiTheme="minorHAnsi" w:cstheme="minorBidi"/>
          <w:bCs/>
          <w:sz w:val="22"/>
          <w:szCs w:val="22"/>
          <w:lang w:val="lv-LV"/>
        </w:rPr>
        <w:t>ar 0.</w:t>
      </w:r>
      <w:r w:rsidR="00E66A28">
        <w:rPr>
          <w:rFonts w:asciiTheme="minorHAnsi" w:eastAsiaTheme="minorEastAsia" w:hAnsiTheme="minorHAnsi" w:cstheme="minorBidi"/>
          <w:bCs/>
          <w:sz w:val="22"/>
          <w:szCs w:val="22"/>
          <w:lang w:val="lv-LV"/>
        </w:rPr>
        <w:t>4</w:t>
      </w:r>
      <w:r w:rsidR="007071FD" w:rsidRPr="007071FD">
        <w:rPr>
          <w:rFonts w:asciiTheme="minorHAnsi" w:eastAsiaTheme="minorEastAsia" w:hAnsiTheme="minorHAnsi" w:cstheme="minorBidi"/>
          <w:bCs/>
          <w:sz w:val="22"/>
          <w:szCs w:val="22"/>
          <w:lang w:val="lv-LV"/>
        </w:rPr>
        <w:t>%</w:t>
      </w:r>
      <w:r w:rsidR="005F637A">
        <w:rPr>
          <w:rFonts w:asciiTheme="minorHAnsi" w:eastAsiaTheme="minorEastAsia" w:hAnsiTheme="minorHAnsi" w:cstheme="minorBidi"/>
          <w:bCs/>
          <w:sz w:val="22"/>
          <w:szCs w:val="22"/>
          <w:lang w:val="lv-LV"/>
        </w:rPr>
        <w:t>,</w:t>
      </w:r>
      <w:r w:rsidR="007071FD" w:rsidRPr="007071FD">
        <w:rPr>
          <w:rFonts w:asciiTheme="minorHAnsi" w:eastAsiaTheme="minorEastAsia" w:hAnsiTheme="minorHAnsi" w:cstheme="minorBidi"/>
          <w:bCs/>
          <w:sz w:val="22"/>
          <w:szCs w:val="22"/>
          <w:lang w:val="lv-LV"/>
        </w:rPr>
        <w:t xml:space="preserve"> </w:t>
      </w:r>
      <w:r w:rsidR="005F637A">
        <w:rPr>
          <w:rFonts w:asciiTheme="minorHAnsi" w:eastAsiaTheme="minorEastAsia" w:hAnsiTheme="minorHAnsi" w:cstheme="minorBidi"/>
          <w:bCs/>
          <w:sz w:val="22"/>
          <w:szCs w:val="22"/>
          <w:lang w:val="lv-LV"/>
        </w:rPr>
        <w:t>kura tiek prognozēta</w:t>
      </w:r>
      <w:r w:rsidR="007071FD" w:rsidRPr="007071FD">
        <w:rPr>
          <w:rFonts w:asciiTheme="minorHAnsi" w:eastAsiaTheme="minorEastAsia" w:hAnsiTheme="minorHAnsi" w:cstheme="minorBidi"/>
          <w:bCs/>
          <w:sz w:val="22"/>
          <w:szCs w:val="22"/>
          <w:lang w:val="lv-LV"/>
        </w:rPr>
        <w:t xml:space="preserve"> pie nemainīgas politikas.</w:t>
      </w:r>
      <w:r w:rsidR="00B47819">
        <w:rPr>
          <w:rFonts w:asciiTheme="minorHAnsi" w:eastAsiaTheme="minorEastAsia" w:hAnsiTheme="minorHAnsi" w:cstheme="minorBidi"/>
          <w:bCs/>
          <w:sz w:val="22"/>
          <w:szCs w:val="22"/>
          <w:lang w:val="lv-LV"/>
        </w:rPr>
        <w:t xml:space="preserve"> Ņemot vērā ievērojamo plānoto izlaižu starpību 2</w:t>
      </w:r>
      <w:r w:rsidR="00E66A28">
        <w:rPr>
          <w:rFonts w:asciiTheme="minorHAnsi" w:eastAsiaTheme="minorEastAsia" w:hAnsiTheme="minorHAnsi" w:cstheme="minorBidi"/>
          <w:bCs/>
          <w:sz w:val="22"/>
          <w:szCs w:val="22"/>
          <w:lang w:val="lv-LV"/>
        </w:rPr>
        <w:t>021. un 2022.gadā, attiecīgi 5.4</w:t>
      </w:r>
      <w:r w:rsidR="00B47819">
        <w:rPr>
          <w:rFonts w:asciiTheme="minorHAnsi" w:eastAsiaTheme="minorEastAsia" w:hAnsiTheme="minorHAnsi" w:cstheme="minorBidi"/>
          <w:bCs/>
          <w:sz w:val="22"/>
          <w:szCs w:val="22"/>
          <w:lang w:val="lv-LV"/>
        </w:rPr>
        <w:t>% u</w:t>
      </w:r>
      <w:r w:rsidR="00E66A28">
        <w:rPr>
          <w:rFonts w:asciiTheme="minorHAnsi" w:eastAsiaTheme="minorEastAsia" w:hAnsiTheme="minorHAnsi" w:cstheme="minorBidi"/>
          <w:bCs/>
          <w:sz w:val="22"/>
          <w:szCs w:val="22"/>
          <w:lang w:val="lv-LV"/>
        </w:rPr>
        <w:t>n 4.8</w:t>
      </w:r>
      <w:r w:rsidR="00B47819" w:rsidRPr="00C64F16">
        <w:rPr>
          <w:rFonts w:asciiTheme="minorHAnsi" w:eastAsiaTheme="minorEastAsia" w:hAnsiTheme="minorHAnsi" w:cstheme="minorBidi"/>
          <w:b/>
          <w:bCs/>
          <w:sz w:val="22"/>
          <w:szCs w:val="22"/>
          <w:lang w:val="lv-LV"/>
        </w:rPr>
        <w:t>%, Padome uzskata, ka nospraustie bilances mērķi ir samērīgi ar ekonomisko lejupslīdi un ievēro p</w:t>
      </w:r>
      <w:r w:rsidR="005F637A">
        <w:rPr>
          <w:rFonts w:asciiTheme="minorHAnsi" w:eastAsiaTheme="minorEastAsia" w:hAnsiTheme="minorHAnsi" w:cstheme="minorBidi"/>
          <w:b/>
          <w:bCs/>
          <w:sz w:val="22"/>
          <w:szCs w:val="22"/>
          <w:lang w:val="lv-LV"/>
        </w:rPr>
        <w:t>retcikliskās politikas principu, lai arī formāli FDP likuma prasības tiek nedaudz pārkāptas.</w:t>
      </w:r>
      <w:r w:rsidR="00B47819">
        <w:rPr>
          <w:rFonts w:asciiTheme="minorHAnsi" w:eastAsiaTheme="minorEastAsia" w:hAnsiTheme="minorHAnsi" w:cstheme="minorBidi"/>
          <w:bCs/>
          <w:sz w:val="22"/>
          <w:szCs w:val="22"/>
          <w:lang w:val="lv-LV"/>
        </w:rPr>
        <w:t xml:space="preserve"> Šādu mērķu nospraušana no vienas puses neprasītu konsolidāciju 2022. gadā, bet no otras – nepieļautu apstiprināt jaun</w:t>
      </w:r>
      <w:r w:rsidR="00C64F16">
        <w:rPr>
          <w:rFonts w:asciiTheme="minorHAnsi" w:eastAsiaTheme="minorEastAsia" w:hAnsiTheme="minorHAnsi" w:cstheme="minorBidi"/>
          <w:bCs/>
          <w:sz w:val="22"/>
          <w:szCs w:val="22"/>
          <w:lang w:val="lv-LV"/>
        </w:rPr>
        <w:t xml:space="preserve">us izdevumus </w:t>
      </w:r>
      <w:r w:rsidR="00B47819">
        <w:rPr>
          <w:rFonts w:asciiTheme="minorHAnsi" w:eastAsiaTheme="minorEastAsia" w:hAnsiTheme="minorHAnsi" w:cstheme="minorBidi"/>
          <w:bCs/>
          <w:sz w:val="22"/>
          <w:szCs w:val="22"/>
          <w:lang w:val="lv-LV"/>
        </w:rPr>
        <w:t>palielinošus vai ieņēmumus samazinošus pasākumus</w:t>
      </w:r>
      <w:r w:rsidR="00C64F16">
        <w:rPr>
          <w:rFonts w:asciiTheme="minorHAnsi" w:eastAsiaTheme="minorEastAsia" w:hAnsiTheme="minorHAnsi" w:cstheme="minorBidi"/>
          <w:bCs/>
          <w:sz w:val="22"/>
          <w:szCs w:val="22"/>
          <w:lang w:val="lv-LV"/>
        </w:rPr>
        <w:t xml:space="preserve"> 2021-2023 gados</w:t>
      </w:r>
      <w:r w:rsidR="00B47819">
        <w:rPr>
          <w:rFonts w:asciiTheme="minorHAnsi" w:eastAsiaTheme="minorEastAsia" w:hAnsiTheme="minorHAnsi" w:cstheme="minorBidi"/>
          <w:bCs/>
          <w:sz w:val="22"/>
          <w:szCs w:val="22"/>
          <w:lang w:val="lv-LV"/>
        </w:rPr>
        <w:t xml:space="preserve">. Protams, šādi mērķi un fiskālā politika </w:t>
      </w:r>
      <w:r w:rsidR="00C64F16">
        <w:rPr>
          <w:rFonts w:asciiTheme="minorHAnsi" w:eastAsiaTheme="minorEastAsia" w:hAnsiTheme="minorHAnsi" w:cstheme="minorBidi"/>
          <w:bCs/>
          <w:sz w:val="22"/>
          <w:szCs w:val="22"/>
          <w:lang w:val="lv-LV"/>
        </w:rPr>
        <w:t xml:space="preserve">ir optimāli, ar pieņēmumu, ka tuvākajos gados nav jaunu ārējo vai iekšējo ekonomisko šoku. </w:t>
      </w:r>
    </w:p>
    <w:p w14:paraId="76CE6A7A" w14:textId="71BE9B5F" w:rsidR="00D40B5E" w:rsidRDefault="00D40B5E" w:rsidP="009A1EF2">
      <w:pPr>
        <w:pStyle w:val="ListParagraph"/>
        <w:ind w:left="426"/>
        <w:jc w:val="both"/>
        <w:rPr>
          <w:rFonts w:asciiTheme="minorHAnsi" w:eastAsiaTheme="minorEastAsia" w:hAnsiTheme="minorHAnsi" w:cstheme="minorBidi"/>
          <w:b/>
          <w:bCs/>
          <w:sz w:val="22"/>
          <w:szCs w:val="22"/>
          <w:lang w:val="lv-LV"/>
        </w:rPr>
      </w:pPr>
    </w:p>
    <w:p w14:paraId="0255879C" w14:textId="5F67FFD0" w:rsidR="00205923" w:rsidRPr="00644A95" w:rsidRDefault="00057D0D" w:rsidP="72B40892">
      <w:pPr>
        <w:pStyle w:val="ListParagraph"/>
        <w:numPr>
          <w:ilvl w:val="0"/>
          <w:numId w:val="2"/>
        </w:numPr>
        <w:ind w:left="426" w:hanging="426"/>
        <w:jc w:val="both"/>
        <w:rPr>
          <w:rFonts w:asciiTheme="minorHAnsi" w:eastAsiaTheme="minorEastAsia" w:hAnsiTheme="minorHAnsi" w:cstheme="minorBidi"/>
          <w:b/>
          <w:bCs/>
          <w:color w:val="1F4E79" w:themeColor="accent1" w:themeShade="80"/>
          <w:sz w:val="22"/>
          <w:szCs w:val="22"/>
          <w:lang w:val="lv-LV"/>
        </w:rPr>
      </w:pPr>
      <w:r w:rsidRPr="72B40892">
        <w:rPr>
          <w:rFonts w:asciiTheme="minorHAnsi" w:hAnsiTheme="minorHAnsi" w:cstheme="minorBidi"/>
          <w:b/>
          <w:bCs/>
          <w:sz w:val="22"/>
          <w:szCs w:val="22"/>
          <w:lang w:val="lv-LV"/>
        </w:rPr>
        <w:t>Valdības pretcikliskā</w:t>
      </w:r>
      <w:r w:rsidR="00205923" w:rsidRPr="72B40892">
        <w:rPr>
          <w:rFonts w:asciiTheme="minorHAnsi" w:hAnsiTheme="minorHAnsi" w:cstheme="minorBidi"/>
          <w:b/>
          <w:bCs/>
          <w:sz w:val="22"/>
          <w:szCs w:val="22"/>
          <w:lang w:val="lv-LV"/>
        </w:rPr>
        <w:t xml:space="preserve"> politika ir uzlabojusies pēdējos gados</w:t>
      </w:r>
      <w:r w:rsidR="209D37FC" w:rsidRPr="72B40892">
        <w:rPr>
          <w:rFonts w:asciiTheme="minorHAnsi" w:hAnsiTheme="minorHAnsi" w:cstheme="minorBidi"/>
          <w:b/>
          <w:bCs/>
          <w:sz w:val="22"/>
          <w:szCs w:val="22"/>
          <w:lang w:val="lv-LV"/>
        </w:rPr>
        <w:t xml:space="preserve">, tomēr tai vajadzētu būt ievērotai arī “labos laikos”. </w:t>
      </w:r>
      <w:r w:rsidR="00205923" w:rsidRPr="72B40892">
        <w:rPr>
          <w:rFonts w:asciiTheme="minorHAnsi" w:hAnsiTheme="minorHAnsi" w:cstheme="minorBidi"/>
          <w:b/>
          <w:bCs/>
          <w:sz w:val="22"/>
          <w:szCs w:val="22"/>
          <w:lang w:val="lv-LV"/>
        </w:rPr>
        <w:t xml:space="preserve"> </w:t>
      </w:r>
      <w:r w:rsidR="00205923" w:rsidRPr="72B40892">
        <w:rPr>
          <w:rFonts w:asciiTheme="minorHAnsi" w:hAnsiTheme="minorHAnsi" w:cstheme="minorBidi"/>
          <w:sz w:val="22"/>
          <w:szCs w:val="22"/>
          <w:lang w:val="lv-LV"/>
        </w:rPr>
        <w:t xml:space="preserve">Zemāk grafikā redzams, ka </w:t>
      </w:r>
      <w:r w:rsidR="009F3BF5" w:rsidRPr="72B40892">
        <w:rPr>
          <w:rFonts w:asciiTheme="minorHAnsi" w:hAnsiTheme="minorHAnsi" w:cstheme="minorBidi"/>
          <w:sz w:val="22"/>
          <w:szCs w:val="22"/>
          <w:lang w:val="lv-LV"/>
        </w:rPr>
        <w:t xml:space="preserve">sākot ar 2019. gadu tiek ievērots svarīgais </w:t>
      </w:r>
      <w:r w:rsidRPr="72B40892">
        <w:rPr>
          <w:rFonts w:asciiTheme="minorHAnsi" w:hAnsiTheme="minorHAnsi" w:cstheme="minorBidi"/>
          <w:sz w:val="22"/>
          <w:szCs w:val="22"/>
          <w:lang w:val="lv-LV"/>
        </w:rPr>
        <w:t xml:space="preserve">pretcikliskās </w:t>
      </w:r>
      <w:r w:rsidR="009F3BF5" w:rsidRPr="72B40892">
        <w:rPr>
          <w:rFonts w:asciiTheme="minorHAnsi" w:hAnsiTheme="minorHAnsi" w:cstheme="minorBidi"/>
          <w:sz w:val="22"/>
          <w:szCs w:val="22"/>
          <w:lang w:val="lv-LV"/>
        </w:rPr>
        <w:t>fiskālās politikas princips – valdībai ir fiskāli jāstimulē ekonomika, kad ekonomika darbojas zem sava potenciāl</w:t>
      </w:r>
      <w:r w:rsidR="00EE24A8" w:rsidRPr="72B40892">
        <w:rPr>
          <w:rFonts w:asciiTheme="minorHAnsi" w:hAnsiTheme="minorHAnsi" w:cstheme="minorBidi"/>
          <w:sz w:val="22"/>
          <w:szCs w:val="22"/>
          <w:lang w:val="lv-LV"/>
        </w:rPr>
        <w:t>a</w:t>
      </w:r>
      <w:r w:rsidR="009F3BF5" w:rsidRPr="72B40892">
        <w:rPr>
          <w:rFonts w:asciiTheme="minorHAnsi" w:hAnsiTheme="minorHAnsi" w:cstheme="minorBidi"/>
          <w:sz w:val="22"/>
          <w:szCs w:val="22"/>
          <w:lang w:val="lv-LV"/>
        </w:rPr>
        <w:t xml:space="preserve"> un otrādāk. </w:t>
      </w:r>
      <w:r w:rsidR="00205923" w:rsidRPr="72B40892">
        <w:rPr>
          <w:rFonts w:asciiTheme="minorHAnsi" w:hAnsiTheme="minorHAnsi" w:cstheme="minorBidi"/>
          <w:sz w:val="22"/>
          <w:szCs w:val="22"/>
          <w:lang w:val="lv-LV"/>
        </w:rPr>
        <w:t xml:space="preserve">Covid-19 izraisītās  krīzes dēļ </w:t>
      </w:r>
      <w:r w:rsidR="009F3BF5" w:rsidRPr="72B40892">
        <w:rPr>
          <w:rFonts w:asciiTheme="minorHAnsi" w:hAnsiTheme="minorHAnsi" w:cstheme="minorBidi"/>
          <w:sz w:val="22"/>
          <w:szCs w:val="22"/>
          <w:lang w:val="lv-LV"/>
        </w:rPr>
        <w:t>2020. gads un tuvākie</w:t>
      </w:r>
      <w:r w:rsidR="00205923" w:rsidRPr="72B40892">
        <w:rPr>
          <w:rFonts w:asciiTheme="minorHAnsi" w:hAnsiTheme="minorHAnsi" w:cstheme="minorBidi"/>
          <w:sz w:val="22"/>
          <w:szCs w:val="22"/>
          <w:lang w:val="lv-LV"/>
        </w:rPr>
        <w:t xml:space="preserve"> gadi  tiek prognozēti ar</w:t>
      </w:r>
      <w:r w:rsidR="009F3BF5" w:rsidRPr="72B40892">
        <w:rPr>
          <w:rFonts w:asciiTheme="minorHAnsi" w:hAnsiTheme="minorHAnsi" w:cstheme="minorBidi"/>
          <w:sz w:val="22"/>
          <w:szCs w:val="22"/>
          <w:lang w:val="lv-LV"/>
        </w:rPr>
        <w:t xml:space="preserve"> negatīvu izlaižu starpību. Šī iemesla dēļ, valdības fiskālais impulss ir bijis visievērojamākais šogad.</w:t>
      </w:r>
      <w:r w:rsidR="00205923" w:rsidRPr="72B40892">
        <w:rPr>
          <w:rFonts w:asciiTheme="minorHAnsi" w:hAnsiTheme="minorHAnsi" w:cstheme="minorBidi"/>
          <w:sz w:val="22"/>
          <w:szCs w:val="22"/>
          <w:lang w:val="lv-LV"/>
        </w:rPr>
        <w:t xml:space="preserve"> </w:t>
      </w:r>
      <w:r w:rsidR="009F3BF5" w:rsidRPr="72B40892">
        <w:rPr>
          <w:rFonts w:asciiTheme="minorHAnsi" w:hAnsiTheme="minorHAnsi" w:cstheme="minorBidi"/>
          <w:sz w:val="22"/>
          <w:szCs w:val="22"/>
          <w:lang w:val="lv-LV"/>
        </w:rPr>
        <w:t>T</w:t>
      </w:r>
      <w:r w:rsidR="00205923" w:rsidRPr="72B40892">
        <w:rPr>
          <w:rFonts w:asciiTheme="minorHAnsi" w:hAnsiTheme="minorHAnsi" w:cstheme="minorBidi"/>
          <w:sz w:val="22"/>
          <w:szCs w:val="22"/>
          <w:lang w:val="lv-LV"/>
        </w:rPr>
        <w:t>omēr fiskālā impulsa iespējas bremzē fiskālā ilgtspēja</w:t>
      </w:r>
      <w:r w:rsidR="009F3BF5" w:rsidRPr="72B40892">
        <w:rPr>
          <w:rFonts w:asciiTheme="minorHAnsi" w:hAnsiTheme="minorHAnsi" w:cstheme="minorBidi"/>
          <w:sz w:val="22"/>
          <w:szCs w:val="22"/>
          <w:lang w:val="lv-LV"/>
        </w:rPr>
        <w:t xml:space="preserve"> un vietējie un ES fiskālie noteikumi, tāpēc turpmākajos gados</w:t>
      </w:r>
      <w:r w:rsidRPr="72B40892">
        <w:rPr>
          <w:rFonts w:asciiTheme="minorHAnsi" w:hAnsiTheme="minorHAnsi" w:cstheme="minorBidi"/>
          <w:sz w:val="22"/>
          <w:szCs w:val="22"/>
          <w:lang w:val="lv-LV"/>
        </w:rPr>
        <w:t xml:space="preserve">, lai arī fiskālā politika būs ekspansīva, </w:t>
      </w:r>
      <w:r w:rsidR="009F3BF5" w:rsidRPr="72B40892">
        <w:rPr>
          <w:rFonts w:asciiTheme="minorHAnsi" w:hAnsiTheme="minorHAnsi" w:cstheme="minorBidi"/>
          <w:sz w:val="22"/>
          <w:szCs w:val="22"/>
          <w:lang w:val="lv-LV"/>
        </w:rPr>
        <w:t xml:space="preserve"> fiskālais impulss tiek plānots negatīvs, ar tendenci </w:t>
      </w:r>
      <w:r w:rsidR="00EE24A8" w:rsidRPr="72B40892">
        <w:rPr>
          <w:rFonts w:asciiTheme="minorHAnsi" w:hAnsiTheme="minorHAnsi" w:cstheme="minorBidi"/>
          <w:sz w:val="22"/>
          <w:szCs w:val="22"/>
          <w:lang w:val="lv-LV"/>
        </w:rPr>
        <w:t>tuvoties 0, jo tiek plānots arī ekonomikas atjaunošanās process</w:t>
      </w:r>
      <w:r w:rsidR="009F3BF5" w:rsidRPr="72B40892">
        <w:rPr>
          <w:rFonts w:asciiTheme="minorHAnsi" w:hAnsiTheme="minorHAnsi" w:cstheme="minorBidi"/>
          <w:sz w:val="22"/>
          <w:szCs w:val="22"/>
          <w:lang w:val="lv-LV"/>
        </w:rPr>
        <w:t>.</w:t>
      </w:r>
      <w:r w:rsidR="00205923" w:rsidRPr="72B40892">
        <w:rPr>
          <w:rFonts w:asciiTheme="minorHAnsi" w:hAnsiTheme="minorHAnsi" w:cstheme="minorBidi"/>
          <w:sz w:val="22"/>
          <w:szCs w:val="22"/>
          <w:lang w:val="lv-LV"/>
        </w:rPr>
        <w:t xml:space="preserve"> </w:t>
      </w:r>
    </w:p>
    <w:p w14:paraId="4C7AC060" w14:textId="77777777" w:rsidR="00644A95" w:rsidRPr="00205923" w:rsidRDefault="00644A95" w:rsidP="00644A95">
      <w:pPr>
        <w:pStyle w:val="ListParagraph"/>
        <w:ind w:left="426"/>
        <w:jc w:val="both"/>
        <w:rPr>
          <w:rFonts w:asciiTheme="minorHAnsi" w:eastAsiaTheme="minorEastAsia" w:hAnsiTheme="minorHAnsi" w:cstheme="minorBidi"/>
          <w:b/>
          <w:bCs/>
          <w:color w:val="1F4E79" w:themeColor="accent1" w:themeShade="80"/>
          <w:sz w:val="22"/>
          <w:szCs w:val="22"/>
          <w:lang w:val="lv-LV"/>
        </w:rPr>
      </w:pPr>
    </w:p>
    <w:p w14:paraId="0097812C" w14:textId="4FB6A631" w:rsidR="00205923" w:rsidRDefault="00DF25C2" w:rsidP="009A1EF2">
      <w:pPr>
        <w:pStyle w:val="ListParagraph"/>
        <w:ind w:left="426"/>
        <w:jc w:val="both"/>
        <w:rPr>
          <w:rFonts w:asciiTheme="minorHAnsi" w:eastAsiaTheme="minorEastAsia" w:hAnsiTheme="minorHAnsi" w:cstheme="minorBidi"/>
          <w:b/>
          <w:bCs/>
          <w:sz w:val="22"/>
          <w:szCs w:val="22"/>
          <w:lang w:val="lv-LV"/>
        </w:rPr>
      </w:pPr>
      <w:r>
        <w:rPr>
          <w:noProof/>
          <w:lang w:val="lv-LV" w:eastAsia="lv-LV"/>
        </w:rPr>
        <w:drawing>
          <wp:inline distT="0" distB="0" distL="0" distR="0" wp14:anchorId="2D128B41" wp14:editId="1A325F91">
            <wp:extent cx="4876800" cy="2362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703235E" w14:textId="182895AF" w:rsidR="00057D0D" w:rsidRPr="00644A95" w:rsidRDefault="00057D0D" w:rsidP="009A1EF2">
      <w:pPr>
        <w:ind w:firstLine="426"/>
        <w:rPr>
          <w:rFonts w:asciiTheme="minorHAnsi" w:eastAsiaTheme="minorEastAsia" w:hAnsiTheme="minorHAnsi" w:cstheme="minorBidi"/>
          <w:i/>
          <w:iCs/>
          <w:sz w:val="20"/>
          <w:szCs w:val="20"/>
          <w:lang w:val="lv-LV"/>
        </w:rPr>
      </w:pPr>
      <w:r w:rsidRPr="00644A95">
        <w:rPr>
          <w:rFonts w:asciiTheme="minorHAnsi" w:eastAsiaTheme="minorEastAsia" w:hAnsiTheme="minorHAnsi" w:cstheme="minorBidi"/>
          <w:i/>
          <w:iCs/>
          <w:sz w:val="20"/>
          <w:szCs w:val="20"/>
          <w:lang w:val="lv-LV"/>
        </w:rPr>
        <w:t>Avots: Finanšu Ministrija un Padomes aprēķini</w:t>
      </w:r>
    </w:p>
    <w:p w14:paraId="5988671D" w14:textId="3F5D1F68" w:rsidR="00A00F2A" w:rsidRPr="00644A95" w:rsidRDefault="00644A95" w:rsidP="009A1EF2">
      <w:pPr>
        <w:pStyle w:val="NormalWeb"/>
        <w:spacing w:before="0" w:beforeAutospacing="0" w:after="0" w:afterAutospacing="0"/>
        <w:ind w:left="426"/>
        <w:rPr>
          <w:rFonts w:asciiTheme="minorHAnsi" w:eastAsiaTheme="minorEastAsia" w:hAnsiTheme="minorHAnsi" w:cstheme="minorBidi"/>
          <w:bCs/>
          <w:sz w:val="20"/>
          <w:szCs w:val="20"/>
          <w:lang w:val="lv-LV"/>
        </w:rPr>
      </w:pPr>
      <w:r w:rsidRPr="00644A95">
        <w:rPr>
          <w:rFonts w:asciiTheme="minorHAnsi" w:eastAsiaTheme="minorEastAsia" w:hAnsiTheme="minorHAnsi" w:cstheme="minorBidi"/>
          <w:b/>
          <w:sz w:val="20"/>
          <w:szCs w:val="20"/>
          <w:lang w:val="lv-LV"/>
        </w:rPr>
        <w:t>2.attēls:</w:t>
      </w:r>
      <w:r w:rsidR="00A00F2A" w:rsidRPr="00644A95">
        <w:rPr>
          <w:rFonts w:asciiTheme="minorHAnsi" w:eastAsiaTheme="minorEastAsia" w:hAnsiTheme="minorHAnsi" w:cstheme="minorBidi"/>
          <w:b/>
          <w:sz w:val="20"/>
          <w:szCs w:val="20"/>
          <w:lang w:val="lv-LV"/>
        </w:rPr>
        <w:t xml:space="preserve"> </w:t>
      </w:r>
      <w:r w:rsidR="00A00F2A" w:rsidRPr="00644A95">
        <w:rPr>
          <w:rFonts w:asciiTheme="minorHAnsi" w:eastAsiaTheme="minorEastAsia" w:hAnsiTheme="minorHAnsi" w:cstheme="minorBidi"/>
          <w:bCs/>
          <w:sz w:val="20"/>
          <w:szCs w:val="20"/>
          <w:lang w:val="lv-LV"/>
        </w:rPr>
        <w:t>Izlaižu starpība un fiskālais stimuls</w:t>
      </w:r>
      <w:r w:rsidR="00A00F2A" w:rsidRPr="00644A95">
        <w:rPr>
          <w:rStyle w:val="FootnoteReference"/>
          <w:rFonts w:asciiTheme="minorHAnsi" w:eastAsiaTheme="minorEastAsia" w:hAnsiTheme="minorHAnsi" w:cstheme="minorBidi"/>
          <w:bCs/>
          <w:sz w:val="20"/>
          <w:szCs w:val="20"/>
          <w:lang w:val="lv-LV"/>
        </w:rPr>
        <w:footnoteReference w:id="5"/>
      </w:r>
      <w:r w:rsidR="00A00F2A" w:rsidRPr="00644A95">
        <w:rPr>
          <w:rFonts w:asciiTheme="minorHAnsi" w:eastAsiaTheme="minorEastAsia" w:hAnsiTheme="minorHAnsi" w:cstheme="minorBidi"/>
          <w:bCs/>
          <w:sz w:val="20"/>
          <w:szCs w:val="20"/>
          <w:lang w:val="lv-LV"/>
        </w:rPr>
        <w:t xml:space="preserve"> (% no IKP) periodā no 2015.g.-2023.g. t.sk. prognoze 2020.g-2023.g.</w:t>
      </w:r>
    </w:p>
    <w:p w14:paraId="098E6EB1" w14:textId="77777777" w:rsidR="00205923" w:rsidRDefault="00205923" w:rsidP="009A1EF2">
      <w:pPr>
        <w:pStyle w:val="ListParagraph"/>
        <w:ind w:left="426"/>
        <w:jc w:val="both"/>
        <w:rPr>
          <w:rFonts w:asciiTheme="minorHAnsi" w:eastAsiaTheme="minorEastAsia" w:hAnsiTheme="minorHAnsi" w:cstheme="minorBidi"/>
          <w:b/>
          <w:bCs/>
          <w:sz w:val="22"/>
          <w:szCs w:val="22"/>
          <w:lang w:val="lv-LV"/>
        </w:rPr>
      </w:pPr>
    </w:p>
    <w:p w14:paraId="4D138181" w14:textId="1FB61D4B" w:rsidR="00613D1E" w:rsidRPr="00886488" w:rsidRDefault="00613D1E" w:rsidP="009A1EF2">
      <w:pPr>
        <w:pStyle w:val="ListParagraph"/>
        <w:numPr>
          <w:ilvl w:val="0"/>
          <w:numId w:val="2"/>
        </w:numPr>
        <w:tabs>
          <w:tab w:val="left" w:pos="426"/>
        </w:tabs>
        <w:ind w:left="426" w:hanging="426"/>
        <w:jc w:val="both"/>
        <w:rPr>
          <w:rFonts w:asciiTheme="minorHAnsi" w:eastAsiaTheme="minorEastAsia" w:hAnsiTheme="minorHAnsi" w:cstheme="minorBidi"/>
          <w:b/>
          <w:bCs/>
          <w:sz w:val="22"/>
          <w:szCs w:val="22"/>
          <w:lang w:val="lv-LV"/>
        </w:rPr>
      </w:pPr>
      <w:r w:rsidRPr="00DA2517">
        <w:rPr>
          <w:rFonts w:asciiTheme="minorHAnsi" w:eastAsiaTheme="minorEastAsia" w:hAnsiTheme="minorHAnsi" w:cstheme="minorBidi"/>
          <w:b/>
          <w:bCs/>
          <w:sz w:val="22"/>
          <w:szCs w:val="22"/>
          <w:lang w:val="lv-LV"/>
        </w:rPr>
        <w:lastRenderedPageBreak/>
        <w:t xml:space="preserve">Valdība ar 2021.gadu veic nodokļu izmaiņas, kas </w:t>
      </w:r>
      <w:r w:rsidR="00B43D3A" w:rsidRPr="00DA2517">
        <w:rPr>
          <w:rFonts w:asciiTheme="minorHAnsi" w:eastAsiaTheme="minorEastAsia" w:hAnsiTheme="minorHAnsi" w:cstheme="minorBidi"/>
          <w:b/>
          <w:bCs/>
          <w:sz w:val="22"/>
          <w:szCs w:val="22"/>
          <w:lang w:val="lv-LV"/>
        </w:rPr>
        <w:t>mērķētas</w:t>
      </w:r>
      <w:r w:rsidR="00D831FB">
        <w:rPr>
          <w:rFonts w:asciiTheme="minorHAnsi" w:eastAsiaTheme="minorEastAsia" w:hAnsiTheme="minorHAnsi" w:cstheme="minorBidi"/>
          <w:b/>
          <w:bCs/>
          <w:sz w:val="22"/>
          <w:szCs w:val="22"/>
          <w:lang w:val="lv-LV"/>
        </w:rPr>
        <w:t xml:space="preserve"> </w:t>
      </w:r>
      <w:r w:rsidR="00D831FB" w:rsidRPr="00DA2517">
        <w:rPr>
          <w:rFonts w:asciiTheme="minorHAnsi" w:eastAsiaTheme="minorEastAsia" w:hAnsiTheme="minorHAnsi" w:cstheme="minorBidi"/>
          <w:b/>
          <w:bCs/>
          <w:sz w:val="22"/>
          <w:szCs w:val="22"/>
          <w:lang w:val="lv-LV"/>
        </w:rPr>
        <w:t>uz</w:t>
      </w:r>
      <w:r w:rsidR="00DA2517" w:rsidRPr="00DA2517">
        <w:rPr>
          <w:rFonts w:asciiTheme="minorHAnsi" w:eastAsiaTheme="minorEastAsia" w:hAnsiTheme="minorHAnsi" w:cstheme="minorBidi"/>
          <w:b/>
          <w:bCs/>
          <w:sz w:val="22"/>
          <w:szCs w:val="22"/>
          <w:lang w:val="lv-LV"/>
        </w:rPr>
        <w:t>: (i)</w:t>
      </w:r>
      <w:r w:rsidRPr="00DA2517">
        <w:rPr>
          <w:rFonts w:asciiTheme="minorHAnsi" w:eastAsiaTheme="minorEastAsia" w:hAnsiTheme="minorHAnsi" w:cstheme="minorBidi"/>
          <w:b/>
          <w:bCs/>
          <w:sz w:val="22"/>
          <w:szCs w:val="22"/>
          <w:lang w:val="lv-LV"/>
        </w:rPr>
        <w:t xml:space="preserve"> </w:t>
      </w:r>
      <w:r w:rsidR="00DA2517" w:rsidRPr="00DA2517">
        <w:rPr>
          <w:rFonts w:asciiTheme="minorHAnsi" w:eastAsiaTheme="minorEastAsia" w:hAnsiTheme="minorHAnsi" w:cstheme="minorBidi"/>
          <w:b/>
          <w:bCs/>
          <w:sz w:val="22"/>
          <w:szCs w:val="22"/>
          <w:lang w:val="lv-LV"/>
        </w:rPr>
        <w:t xml:space="preserve">sociālo ilgtspēju un nodokļu sloga vienādošanu, </w:t>
      </w:r>
      <w:r w:rsidR="00DA2517">
        <w:rPr>
          <w:rFonts w:asciiTheme="minorHAnsi" w:eastAsiaTheme="minorEastAsia" w:hAnsiTheme="minorHAnsi" w:cstheme="minorBidi"/>
          <w:b/>
          <w:bCs/>
          <w:sz w:val="22"/>
          <w:szCs w:val="22"/>
          <w:lang w:val="lv-LV"/>
        </w:rPr>
        <w:t>(ii) darbaspēka nodokļu samazināšanu, (iii) nodokļu sloga palielināšanu u</w:t>
      </w:r>
      <w:r w:rsidR="00D831FB">
        <w:rPr>
          <w:rFonts w:asciiTheme="minorHAnsi" w:eastAsiaTheme="minorEastAsia" w:hAnsiTheme="minorHAnsi" w:cstheme="minorBidi"/>
          <w:b/>
          <w:bCs/>
          <w:sz w:val="22"/>
          <w:szCs w:val="22"/>
          <w:lang w:val="lv-LV"/>
        </w:rPr>
        <w:t>z</w:t>
      </w:r>
      <w:r w:rsidR="00DA2517">
        <w:rPr>
          <w:rFonts w:asciiTheme="minorHAnsi" w:eastAsiaTheme="minorEastAsia" w:hAnsiTheme="minorHAnsi" w:cstheme="minorBidi"/>
          <w:b/>
          <w:bCs/>
          <w:sz w:val="22"/>
          <w:szCs w:val="22"/>
          <w:lang w:val="lv-LV"/>
        </w:rPr>
        <w:t xml:space="preserve"> dažām akcīzes precēm. </w:t>
      </w:r>
      <w:r w:rsidR="00DA2517" w:rsidRPr="00DA2517">
        <w:rPr>
          <w:rFonts w:asciiTheme="minorHAnsi" w:eastAsiaTheme="minorEastAsia" w:hAnsiTheme="minorHAnsi" w:cstheme="minorBidi"/>
          <w:bCs/>
          <w:sz w:val="22"/>
          <w:szCs w:val="22"/>
          <w:lang w:val="lv-LV"/>
        </w:rPr>
        <w:t>Padome kopumā vērtē nodokļu izmaiņas pozitīvi</w:t>
      </w:r>
      <w:r w:rsidR="00DA2517">
        <w:rPr>
          <w:rFonts w:asciiTheme="minorHAnsi" w:eastAsiaTheme="minorEastAsia" w:hAnsiTheme="minorHAnsi" w:cstheme="minorBidi"/>
          <w:bCs/>
          <w:sz w:val="22"/>
          <w:szCs w:val="22"/>
          <w:lang w:val="lv-LV"/>
        </w:rPr>
        <w:t>, tomēr vērš uzmanību, ka vidējā termiņā var</w:t>
      </w:r>
      <w:r w:rsidR="00EC4882">
        <w:rPr>
          <w:rFonts w:asciiTheme="minorHAnsi" w:eastAsiaTheme="minorEastAsia" w:hAnsiTheme="minorHAnsi" w:cstheme="minorBidi"/>
          <w:bCs/>
          <w:sz w:val="22"/>
          <w:szCs w:val="22"/>
          <w:lang w:val="lv-LV"/>
        </w:rPr>
        <w:t>ētu būt nepieciešamas nozīmīgākas</w:t>
      </w:r>
      <w:r w:rsidR="00DA2517">
        <w:rPr>
          <w:rFonts w:asciiTheme="minorHAnsi" w:eastAsiaTheme="minorEastAsia" w:hAnsiTheme="minorHAnsi" w:cstheme="minorBidi"/>
          <w:bCs/>
          <w:sz w:val="22"/>
          <w:szCs w:val="22"/>
          <w:lang w:val="lv-LV"/>
        </w:rPr>
        <w:t xml:space="preserve"> izmaiņas nodokļu politikā, kas vērstas uz iekas</w:t>
      </w:r>
      <w:r w:rsidR="00D40B5E">
        <w:rPr>
          <w:rFonts w:asciiTheme="minorHAnsi" w:eastAsiaTheme="minorEastAsia" w:hAnsiTheme="minorHAnsi" w:cstheme="minorBidi"/>
          <w:bCs/>
          <w:sz w:val="22"/>
          <w:szCs w:val="22"/>
          <w:lang w:val="lv-LV"/>
        </w:rPr>
        <w:t>ēto nodokļu masas palielinājumu</w:t>
      </w:r>
      <w:r w:rsidR="003823A6">
        <w:rPr>
          <w:rStyle w:val="FootnoteReference"/>
          <w:rFonts w:asciiTheme="minorHAnsi" w:eastAsiaTheme="minorEastAsia" w:hAnsiTheme="minorHAnsi" w:cstheme="minorBidi"/>
          <w:bCs/>
          <w:sz w:val="22"/>
          <w:szCs w:val="22"/>
          <w:lang w:val="lv-LV"/>
        </w:rPr>
        <w:footnoteReference w:id="6"/>
      </w:r>
      <w:r w:rsidR="00D40B5E">
        <w:rPr>
          <w:rFonts w:asciiTheme="minorHAnsi" w:eastAsiaTheme="minorEastAsia" w:hAnsiTheme="minorHAnsi" w:cstheme="minorBidi"/>
          <w:bCs/>
          <w:sz w:val="22"/>
          <w:szCs w:val="22"/>
          <w:lang w:val="lv-LV"/>
        </w:rPr>
        <w:t>.</w:t>
      </w:r>
      <w:r w:rsidR="00DA2517">
        <w:rPr>
          <w:rFonts w:asciiTheme="minorHAnsi" w:eastAsiaTheme="minorEastAsia" w:hAnsiTheme="minorHAnsi" w:cstheme="minorBidi"/>
          <w:bCs/>
          <w:sz w:val="22"/>
          <w:szCs w:val="22"/>
          <w:lang w:val="lv-LV"/>
        </w:rPr>
        <w:t xml:space="preserve"> </w:t>
      </w:r>
      <w:r w:rsidR="00D40B5E">
        <w:rPr>
          <w:rFonts w:asciiTheme="minorHAnsi" w:eastAsiaTheme="minorEastAsia" w:hAnsiTheme="minorHAnsi" w:cstheme="minorBidi"/>
          <w:bCs/>
          <w:sz w:val="22"/>
          <w:szCs w:val="22"/>
          <w:lang w:val="lv-LV"/>
        </w:rPr>
        <w:t xml:space="preserve">Radikālākas izmaiņas nodokļu politikā būtu jāveic pēc </w:t>
      </w:r>
      <w:r w:rsidR="00DA2517" w:rsidRPr="00DA2517">
        <w:rPr>
          <w:rFonts w:asciiTheme="minorHAnsi" w:eastAsiaTheme="minorEastAsia" w:hAnsiTheme="minorHAnsi" w:cstheme="minorBidi"/>
          <w:bCs/>
          <w:sz w:val="22"/>
          <w:szCs w:val="22"/>
          <w:lang w:val="lv-LV"/>
        </w:rPr>
        <w:t>C</w:t>
      </w:r>
      <w:r w:rsidR="00D40B5E">
        <w:rPr>
          <w:rFonts w:asciiTheme="minorHAnsi" w:eastAsiaTheme="minorEastAsia" w:hAnsiTheme="minorHAnsi" w:cstheme="minorBidi"/>
          <w:bCs/>
          <w:sz w:val="22"/>
          <w:szCs w:val="22"/>
          <w:lang w:val="lv-LV"/>
        </w:rPr>
        <w:t>ovid-</w:t>
      </w:r>
      <w:r w:rsidR="00DA2517" w:rsidRPr="00DA2517">
        <w:rPr>
          <w:rFonts w:asciiTheme="minorHAnsi" w:eastAsiaTheme="minorEastAsia" w:hAnsiTheme="minorHAnsi" w:cstheme="minorBidi"/>
          <w:bCs/>
          <w:sz w:val="22"/>
          <w:szCs w:val="22"/>
          <w:lang w:val="lv-LV"/>
        </w:rPr>
        <w:t xml:space="preserve">19 </w:t>
      </w:r>
      <w:r w:rsidR="00D40B5E">
        <w:rPr>
          <w:rFonts w:asciiTheme="minorHAnsi" w:eastAsiaTheme="minorEastAsia" w:hAnsiTheme="minorHAnsi" w:cstheme="minorBidi"/>
          <w:bCs/>
          <w:sz w:val="22"/>
          <w:szCs w:val="22"/>
          <w:lang w:val="lv-LV"/>
        </w:rPr>
        <w:t xml:space="preserve">krīzes beigām un valsts parāda politikas un mērķu izstrādes. </w:t>
      </w:r>
    </w:p>
    <w:p w14:paraId="12CA26C1" w14:textId="77777777" w:rsidR="00886488" w:rsidRPr="00886488" w:rsidRDefault="00886488" w:rsidP="009A1EF2">
      <w:pPr>
        <w:pStyle w:val="ListParagraph"/>
        <w:rPr>
          <w:rFonts w:asciiTheme="minorHAnsi" w:eastAsiaTheme="minorEastAsia" w:hAnsiTheme="minorHAnsi" w:cstheme="minorBidi"/>
          <w:b/>
          <w:bCs/>
          <w:sz w:val="22"/>
          <w:szCs w:val="22"/>
          <w:lang w:val="lv-LV"/>
        </w:rPr>
      </w:pPr>
    </w:p>
    <w:p w14:paraId="29F76428" w14:textId="288E82DD" w:rsidR="00886488" w:rsidRPr="00282BB5" w:rsidRDefault="00886488" w:rsidP="009A1EF2">
      <w:pPr>
        <w:pStyle w:val="ListParagraph"/>
        <w:numPr>
          <w:ilvl w:val="0"/>
          <w:numId w:val="2"/>
        </w:numPr>
        <w:tabs>
          <w:tab w:val="left" w:pos="426"/>
        </w:tabs>
        <w:ind w:left="426" w:hanging="426"/>
        <w:jc w:val="both"/>
        <w:rPr>
          <w:rFonts w:asciiTheme="minorHAnsi" w:eastAsiaTheme="minorEastAsia" w:hAnsiTheme="minorHAnsi" w:cstheme="minorBidi"/>
          <w:bCs/>
          <w:sz w:val="22"/>
          <w:szCs w:val="22"/>
          <w:lang w:val="lv-LV"/>
        </w:rPr>
      </w:pPr>
      <w:r>
        <w:rPr>
          <w:rFonts w:asciiTheme="minorHAnsi" w:eastAsiaTheme="minorEastAsia" w:hAnsiTheme="minorHAnsi" w:cstheme="minorBidi"/>
          <w:b/>
          <w:bCs/>
          <w:sz w:val="22"/>
          <w:szCs w:val="22"/>
          <w:lang w:val="lv-LV"/>
        </w:rPr>
        <w:t>2021</w:t>
      </w:r>
      <w:r w:rsidR="00D831FB">
        <w:rPr>
          <w:rFonts w:asciiTheme="minorHAnsi" w:eastAsiaTheme="minorEastAsia" w:hAnsiTheme="minorHAnsi" w:cstheme="minorBidi"/>
          <w:b/>
          <w:bCs/>
          <w:sz w:val="22"/>
          <w:szCs w:val="22"/>
          <w:lang w:val="lv-LV"/>
        </w:rPr>
        <w:t>.</w:t>
      </w:r>
      <w:r>
        <w:rPr>
          <w:rFonts w:asciiTheme="minorHAnsi" w:eastAsiaTheme="minorEastAsia" w:hAnsiTheme="minorHAnsi" w:cstheme="minorBidi"/>
          <w:b/>
          <w:bCs/>
          <w:sz w:val="22"/>
          <w:szCs w:val="22"/>
          <w:lang w:val="lv-LV"/>
        </w:rPr>
        <w:t xml:space="preserve"> gada Budžeta projekta nodokļu ieņēmumu progno</w:t>
      </w:r>
      <w:r w:rsidR="00175A64">
        <w:rPr>
          <w:rFonts w:asciiTheme="minorHAnsi" w:eastAsiaTheme="minorEastAsia" w:hAnsiTheme="minorHAnsi" w:cstheme="minorBidi"/>
          <w:b/>
          <w:bCs/>
          <w:sz w:val="22"/>
          <w:szCs w:val="22"/>
          <w:lang w:val="lv-LV"/>
        </w:rPr>
        <w:t>zes izskatās konservatīvas</w:t>
      </w:r>
      <w:r>
        <w:rPr>
          <w:rFonts w:asciiTheme="minorHAnsi" w:eastAsiaTheme="minorEastAsia" w:hAnsiTheme="minorHAnsi" w:cstheme="minorBidi"/>
          <w:b/>
          <w:bCs/>
          <w:sz w:val="22"/>
          <w:szCs w:val="22"/>
          <w:lang w:val="lv-LV"/>
        </w:rPr>
        <w:t>.</w:t>
      </w:r>
      <w:r w:rsidR="00282BB5">
        <w:rPr>
          <w:rFonts w:asciiTheme="minorHAnsi" w:eastAsiaTheme="minorEastAsia" w:hAnsiTheme="minorHAnsi" w:cstheme="minorBidi"/>
          <w:b/>
          <w:bCs/>
          <w:sz w:val="22"/>
          <w:szCs w:val="22"/>
          <w:lang w:val="lv-LV"/>
        </w:rPr>
        <w:t xml:space="preserve"> </w:t>
      </w:r>
      <w:r>
        <w:rPr>
          <w:rFonts w:asciiTheme="minorHAnsi" w:eastAsiaTheme="minorEastAsia" w:hAnsiTheme="minorHAnsi" w:cstheme="minorBidi"/>
          <w:b/>
          <w:bCs/>
          <w:sz w:val="22"/>
          <w:szCs w:val="22"/>
          <w:lang w:val="lv-LV"/>
        </w:rPr>
        <w:t xml:space="preserve"> </w:t>
      </w:r>
      <w:r w:rsidR="00175A64">
        <w:rPr>
          <w:rFonts w:asciiTheme="minorHAnsi" w:eastAsiaTheme="minorEastAsia" w:hAnsiTheme="minorHAnsi" w:cstheme="minorBidi"/>
          <w:bCs/>
          <w:sz w:val="22"/>
          <w:szCs w:val="22"/>
          <w:lang w:val="lv-LV"/>
        </w:rPr>
        <w:t xml:space="preserve">2. tabulā redzams, ka nākošgad nodokļu ieņēmumi tiek plānoti par 3.5% mazāk nekā tika plānots 2020.gada budžetā. Lielākais kritums tiek sagaidīts akcīzes nodokļa ieņēmumos – 7.4% un PVN -5.2%. IIN ienākumos tiek plānots 1.2% pieaugums. </w:t>
      </w:r>
    </w:p>
    <w:p w14:paraId="4C5188F6" w14:textId="709344A0" w:rsidR="00AC6EDC" w:rsidRPr="00644A95" w:rsidRDefault="00AC6EDC" w:rsidP="009A1EF2">
      <w:pPr>
        <w:ind w:left="360"/>
        <w:jc w:val="right"/>
        <w:rPr>
          <w:rFonts w:asciiTheme="minorHAnsi" w:hAnsiTheme="minorHAnsi" w:cstheme="minorHAnsi"/>
          <w:sz w:val="20"/>
          <w:szCs w:val="20"/>
          <w:lang w:val="lv-LV"/>
        </w:rPr>
      </w:pPr>
      <w:r w:rsidRPr="00644A95">
        <w:rPr>
          <w:rFonts w:asciiTheme="minorHAnsi" w:eastAsia="Calibri" w:hAnsiTheme="minorHAnsi" w:cstheme="minorHAnsi"/>
          <w:sz w:val="20"/>
          <w:szCs w:val="20"/>
          <w:lang w:val="lv-LV"/>
        </w:rPr>
        <w:t xml:space="preserve">2.tabula </w:t>
      </w:r>
    </w:p>
    <w:p w14:paraId="6F001876" w14:textId="74A7DD64" w:rsidR="00AC6EDC" w:rsidRPr="00644A95" w:rsidRDefault="00AC6EDC" w:rsidP="009A1EF2">
      <w:pPr>
        <w:jc w:val="center"/>
        <w:rPr>
          <w:rFonts w:asciiTheme="minorHAnsi" w:eastAsia="Calibri" w:hAnsiTheme="minorHAnsi" w:cstheme="minorHAnsi"/>
          <w:b/>
          <w:bCs/>
          <w:sz w:val="20"/>
          <w:szCs w:val="20"/>
          <w:lang w:val="lv-LV"/>
        </w:rPr>
      </w:pPr>
      <w:r w:rsidRPr="00644A95">
        <w:rPr>
          <w:rFonts w:asciiTheme="minorHAnsi" w:eastAsia="Calibri" w:hAnsiTheme="minorHAnsi" w:cstheme="minorHAnsi"/>
          <w:b/>
          <w:bCs/>
          <w:sz w:val="20"/>
          <w:szCs w:val="20"/>
          <w:lang w:val="lv-LV"/>
        </w:rPr>
        <w:t>Nodokļu ieņēmumu dinamika,</w:t>
      </w:r>
      <w:r w:rsidRPr="00644A95">
        <w:rPr>
          <w:rFonts w:asciiTheme="minorHAnsi" w:eastAsia="Calibri" w:hAnsiTheme="minorHAnsi" w:cstheme="minorHAnsi"/>
          <w:b/>
          <w:sz w:val="20"/>
          <w:szCs w:val="20"/>
          <w:lang w:val="lv-LV"/>
        </w:rPr>
        <w:t xml:space="preserve"> plāni un izpilde</w:t>
      </w:r>
      <w:r w:rsidRPr="00644A95">
        <w:rPr>
          <w:rFonts w:asciiTheme="minorHAnsi" w:eastAsia="Calibri" w:hAnsiTheme="minorHAnsi" w:cstheme="minorHAnsi"/>
          <w:b/>
          <w:bCs/>
          <w:sz w:val="20"/>
          <w:szCs w:val="20"/>
          <w:lang w:val="lv-LV"/>
        </w:rPr>
        <w:t xml:space="preserve"> 2019.-2021. gadiem., %</w:t>
      </w:r>
    </w:p>
    <w:p w14:paraId="66E5386A" w14:textId="77777777" w:rsidR="00A00F2A" w:rsidRPr="00644A95" w:rsidRDefault="00A00F2A" w:rsidP="009A1EF2">
      <w:pPr>
        <w:jc w:val="center"/>
        <w:rPr>
          <w:rFonts w:asciiTheme="minorHAnsi" w:hAnsiTheme="minorHAnsi" w:cstheme="minorHAnsi"/>
          <w:sz w:val="20"/>
          <w:szCs w:val="20"/>
          <w:lang w:val="lv-LV"/>
        </w:rPr>
      </w:pPr>
    </w:p>
    <w:tbl>
      <w:tblPr>
        <w:tblStyle w:val="TableGrid2"/>
        <w:tblW w:w="7797" w:type="dxa"/>
        <w:tblInd w:w="-5" w:type="dxa"/>
        <w:tblLook w:val="04A0" w:firstRow="1" w:lastRow="0" w:firstColumn="1" w:lastColumn="0" w:noHBand="0" w:noVBand="1"/>
      </w:tblPr>
      <w:tblGrid>
        <w:gridCol w:w="2410"/>
        <w:gridCol w:w="1129"/>
        <w:gridCol w:w="1423"/>
        <w:gridCol w:w="1417"/>
        <w:gridCol w:w="1418"/>
      </w:tblGrid>
      <w:tr w:rsidR="00886488" w:rsidRPr="00644A95" w14:paraId="5E61303A" w14:textId="77777777" w:rsidTr="00282BB5">
        <w:trPr>
          <w:trHeight w:val="300"/>
        </w:trPr>
        <w:tc>
          <w:tcPr>
            <w:tcW w:w="2410" w:type="dxa"/>
            <w:noWrap/>
            <w:hideMark/>
          </w:tcPr>
          <w:p w14:paraId="085EE633" w14:textId="77777777" w:rsidR="00886488" w:rsidRPr="00644A95" w:rsidRDefault="00886488" w:rsidP="009A1EF2">
            <w:pPr>
              <w:rPr>
                <w:rFonts w:asciiTheme="minorHAnsi" w:eastAsiaTheme="minorHAnsi" w:hAnsiTheme="minorHAnsi" w:cstheme="minorBidi"/>
                <w:b/>
                <w:sz w:val="20"/>
                <w:szCs w:val="20"/>
                <w:lang w:val="lv-LV"/>
              </w:rPr>
            </w:pPr>
          </w:p>
        </w:tc>
        <w:tc>
          <w:tcPr>
            <w:tcW w:w="1129" w:type="dxa"/>
            <w:noWrap/>
            <w:hideMark/>
          </w:tcPr>
          <w:p w14:paraId="3BB1F79D" w14:textId="77777777" w:rsidR="00886488" w:rsidRPr="00644A95" w:rsidRDefault="00886488" w:rsidP="009A1EF2">
            <w:pPr>
              <w:rPr>
                <w:rFonts w:asciiTheme="minorHAnsi" w:eastAsiaTheme="minorHAnsi" w:hAnsiTheme="minorHAnsi" w:cstheme="minorBidi"/>
                <w:b/>
                <w:sz w:val="20"/>
                <w:szCs w:val="20"/>
                <w:lang w:val="lv-LV"/>
              </w:rPr>
            </w:pPr>
            <w:r w:rsidRPr="00644A95">
              <w:rPr>
                <w:rFonts w:asciiTheme="minorHAnsi" w:eastAsiaTheme="minorHAnsi" w:hAnsiTheme="minorHAnsi" w:cstheme="minorBidi"/>
                <w:b/>
                <w:sz w:val="20"/>
                <w:szCs w:val="20"/>
                <w:lang w:val="lv-LV"/>
              </w:rPr>
              <w:t>2019 fakts/ 2018 fakts</w:t>
            </w:r>
          </w:p>
        </w:tc>
        <w:tc>
          <w:tcPr>
            <w:tcW w:w="1423" w:type="dxa"/>
            <w:noWrap/>
            <w:hideMark/>
          </w:tcPr>
          <w:p w14:paraId="357507A5" w14:textId="77777777" w:rsidR="00886488" w:rsidRPr="00644A95" w:rsidRDefault="00886488" w:rsidP="009A1EF2">
            <w:pPr>
              <w:rPr>
                <w:rFonts w:asciiTheme="minorHAnsi" w:eastAsiaTheme="minorHAnsi" w:hAnsiTheme="minorHAnsi" w:cstheme="minorBidi"/>
                <w:b/>
                <w:sz w:val="20"/>
                <w:szCs w:val="20"/>
                <w:lang w:val="lv-LV"/>
              </w:rPr>
            </w:pPr>
            <w:r w:rsidRPr="00644A95">
              <w:rPr>
                <w:rFonts w:asciiTheme="minorHAnsi" w:eastAsiaTheme="minorHAnsi" w:hAnsiTheme="minorHAnsi" w:cstheme="minorBidi"/>
                <w:b/>
                <w:sz w:val="20"/>
                <w:szCs w:val="20"/>
                <w:lang w:val="lv-LV"/>
              </w:rPr>
              <w:t>2020 budžets/ 2019 fakts</w:t>
            </w:r>
          </w:p>
        </w:tc>
        <w:tc>
          <w:tcPr>
            <w:tcW w:w="1417" w:type="dxa"/>
            <w:noWrap/>
            <w:hideMark/>
          </w:tcPr>
          <w:p w14:paraId="65B314F6" w14:textId="77777777" w:rsidR="00886488" w:rsidRPr="00644A95" w:rsidRDefault="00886488" w:rsidP="009A1EF2">
            <w:pPr>
              <w:rPr>
                <w:rFonts w:asciiTheme="minorHAnsi" w:eastAsiaTheme="minorHAnsi" w:hAnsiTheme="minorHAnsi" w:cstheme="minorBidi"/>
                <w:b/>
                <w:sz w:val="20"/>
                <w:szCs w:val="20"/>
                <w:lang w:val="lv-LV"/>
              </w:rPr>
            </w:pPr>
            <w:r w:rsidRPr="00644A95">
              <w:rPr>
                <w:rFonts w:asciiTheme="minorHAnsi" w:eastAsiaTheme="minorHAnsi" w:hAnsiTheme="minorHAnsi" w:cstheme="minorBidi"/>
                <w:b/>
                <w:sz w:val="20"/>
                <w:szCs w:val="20"/>
                <w:lang w:val="lv-LV"/>
              </w:rPr>
              <w:t>8 m 2020 fakts /8 m 2019 fakts</w:t>
            </w:r>
          </w:p>
        </w:tc>
        <w:tc>
          <w:tcPr>
            <w:tcW w:w="1418" w:type="dxa"/>
            <w:noWrap/>
            <w:hideMark/>
          </w:tcPr>
          <w:p w14:paraId="22382146" w14:textId="347899E2" w:rsidR="00886488" w:rsidRPr="00644A95" w:rsidRDefault="004C63CB" w:rsidP="009A1EF2">
            <w:pPr>
              <w:rPr>
                <w:rFonts w:asciiTheme="minorHAnsi" w:eastAsiaTheme="minorHAnsi" w:hAnsiTheme="minorHAnsi" w:cstheme="minorBidi"/>
                <w:b/>
                <w:bCs/>
                <w:sz w:val="20"/>
                <w:szCs w:val="20"/>
                <w:highlight w:val="yellow"/>
                <w:lang w:val="lv-LV"/>
              </w:rPr>
            </w:pPr>
            <w:r w:rsidRPr="00644A95">
              <w:rPr>
                <w:rFonts w:asciiTheme="minorHAnsi" w:eastAsiaTheme="minorHAnsi" w:hAnsiTheme="minorHAnsi" w:cstheme="minorBidi"/>
                <w:b/>
                <w:bCs/>
                <w:sz w:val="20"/>
                <w:szCs w:val="20"/>
                <w:lang w:val="lv-LV"/>
              </w:rPr>
              <w:t xml:space="preserve">2021 BPP </w:t>
            </w:r>
            <w:r w:rsidR="00886488" w:rsidRPr="00644A95">
              <w:rPr>
                <w:rFonts w:asciiTheme="minorHAnsi" w:eastAsiaTheme="minorHAnsi" w:hAnsiTheme="minorHAnsi" w:cstheme="minorBidi"/>
                <w:b/>
                <w:bCs/>
                <w:sz w:val="20"/>
                <w:szCs w:val="20"/>
                <w:lang w:val="lv-LV"/>
              </w:rPr>
              <w:t>/    2020 budžets</w:t>
            </w:r>
          </w:p>
        </w:tc>
      </w:tr>
      <w:tr w:rsidR="00886488" w:rsidRPr="00644A95" w14:paraId="79A848B0" w14:textId="77777777" w:rsidTr="00282BB5">
        <w:trPr>
          <w:trHeight w:val="300"/>
        </w:trPr>
        <w:tc>
          <w:tcPr>
            <w:tcW w:w="2410" w:type="dxa"/>
            <w:shd w:val="clear" w:color="auto" w:fill="DEEAF6" w:themeFill="accent1" w:themeFillTint="33"/>
            <w:noWrap/>
            <w:hideMark/>
          </w:tcPr>
          <w:p w14:paraId="51840AF1" w14:textId="77777777" w:rsidR="00886488" w:rsidRPr="00644A95" w:rsidRDefault="00886488" w:rsidP="009A1EF2">
            <w:pPr>
              <w:rPr>
                <w:rFonts w:asciiTheme="minorHAnsi" w:eastAsiaTheme="minorHAnsi" w:hAnsiTheme="minorHAnsi" w:cstheme="minorBidi"/>
                <w:sz w:val="20"/>
                <w:szCs w:val="20"/>
                <w:lang w:val="lv-LV"/>
              </w:rPr>
            </w:pPr>
            <w:r w:rsidRPr="00644A95">
              <w:rPr>
                <w:rFonts w:asciiTheme="minorHAnsi" w:eastAsiaTheme="minorHAnsi" w:hAnsiTheme="minorHAnsi" w:cstheme="minorBidi"/>
                <w:sz w:val="20"/>
                <w:szCs w:val="20"/>
                <w:lang w:val="lv-LV"/>
              </w:rPr>
              <w:t>Nodokļu ieņēmumi</w:t>
            </w:r>
          </w:p>
        </w:tc>
        <w:tc>
          <w:tcPr>
            <w:tcW w:w="1129" w:type="dxa"/>
            <w:shd w:val="clear" w:color="auto" w:fill="DEEAF6" w:themeFill="accent1" w:themeFillTint="33"/>
            <w:noWrap/>
            <w:vAlign w:val="bottom"/>
            <w:hideMark/>
          </w:tcPr>
          <w:p w14:paraId="51A4B2A4" w14:textId="77777777" w:rsidR="00886488" w:rsidRPr="00644A95" w:rsidRDefault="00886488" w:rsidP="009A1EF2">
            <w:pPr>
              <w:jc w:val="center"/>
              <w:rPr>
                <w:rFonts w:asciiTheme="minorHAnsi" w:eastAsiaTheme="minorHAnsi" w:hAnsiTheme="minorHAnsi" w:cstheme="minorBidi"/>
                <w:sz w:val="20"/>
                <w:szCs w:val="20"/>
                <w:lang w:val="lv-LV"/>
              </w:rPr>
            </w:pPr>
            <w:r w:rsidRPr="00644A95">
              <w:rPr>
                <w:rFonts w:ascii="Calibri" w:eastAsiaTheme="minorHAnsi" w:hAnsi="Calibri" w:cs="Calibri"/>
                <w:color w:val="000000"/>
                <w:sz w:val="20"/>
                <w:szCs w:val="20"/>
                <w:lang w:val="lv-LV"/>
              </w:rPr>
              <w:t>4.6%</w:t>
            </w:r>
          </w:p>
        </w:tc>
        <w:tc>
          <w:tcPr>
            <w:tcW w:w="1423" w:type="dxa"/>
            <w:shd w:val="clear" w:color="auto" w:fill="DEEAF6" w:themeFill="accent1" w:themeFillTint="33"/>
            <w:noWrap/>
            <w:vAlign w:val="bottom"/>
            <w:hideMark/>
          </w:tcPr>
          <w:p w14:paraId="3666176B" w14:textId="77777777" w:rsidR="00886488" w:rsidRPr="00644A95" w:rsidRDefault="00886488" w:rsidP="009A1EF2">
            <w:pPr>
              <w:jc w:val="center"/>
              <w:rPr>
                <w:rFonts w:asciiTheme="minorHAnsi" w:eastAsiaTheme="minorHAnsi" w:hAnsiTheme="minorHAnsi" w:cstheme="minorBidi"/>
                <w:sz w:val="20"/>
                <w:szCs w:val="20"/>
                <w:lang w:val="lv-LV"/>
              </w:rPr>
            </w:pPr>
            <w:r w:rsidRPr="00644A95">
              <w:rPr>
                <w:rFonts w:ascii="Calibri" w:eastAsiaTheme="minorHAnsi" w:hAnsi="Calibri" w:cs="Calibri"/>
                <w:color w:val="000000"/>
                <w:sz w:val="20"/>
                <w:szCs w:val="20"/>
                <w:lang w:val="lv-LV"/>
              </w:rPr>
              <w:t>6.9%</w:t>
            </w:r>
          </w:p>
        </w:tc>
        <w:tc>
          <w:tcPr>
            <w:tcW w:w="1417" w:type="dxa"/>
            <w:shd w:val="clear" w:color="auto" w:fill="DEEAF6" w:themeFill="accent1" w:themeFillTint="33"/>
            <w:noWrap/>
            <w:vAlign w:val="bottom"/>
            <w:hideMark/>
          </w:tcPr>
          <w:p w14:paraId="059D358C" w14:textId="77777777" w:rsidR="00886488" w:rsidRPr="00644A95" w:rsidRDefault="00886488" w:rsidP="009A1EF2">
            <w:pPr>
              <w:jc w:val="center"/>
              <w:rPr>
                <w:rFonts w:asciiTheme="minorHAnsi" w:eastAsiaTheme="minorHAnsi" w:hAnsiTheme="minorHAnsi" w:cstheme="minorBidi"/>
                <w:sz w:val="20"/>
                <w:szCs w:val="20"/>
                <w:lang w:val="lv-LV"/>
              </w:rPr>
            </w:pPr>
            <w:r w:rsidRPr="00644A95">
              <w:rPr>
                <w:rFonts w:ascii="Calibri" w:eastAsiaTheme="minorHAnsi" w:hAnsi="Calibri" w:cs="Calibri"/>
                <w:color w:val="000000"/>
                <w:sz w:val="20"/>
                <w:szCs w:val="20"/>
                <w:lang w:val="lv-LV"/>
              </w:rPr>
              <w:t>-1.1%</w:t>
            </w:r>
          </w:p>
        </w:tc>
        <w:tc>
          <w:tcPr>
            <w:tcW w:w="1418" w:type="dxa"/>
            <w:shd w:val="clear" w:color="auto" w:fill="DEEAF6" w:themeFill="accent1" w:themeFillTint="33"/>
            <w:noWrap/>
            <w:vAlign w:val="bottom"/>
            <w:hideMark/>
          </w:tcPr>
          <w:p w14:paraId="7B1BEEE2" w14:textId="2D99CDB9" w:rsidR="00886488" w:rsidRPr="00644A95" w:rsidRDefault="00175A64" w:rsidP="009A1EF2">
            <w:pPr>
              <w:jc w:val="center"/>
              <w:rPr>
                <w:rFonts w:asciiTheme="minorHAnsi" w:eastAsiaTheme="minorHAnsi" w:hAnsiTheme="minorHAnsi" w:cstheme="minorBidi"/>
                <w:sz w:val="20"/>
                <w:szCs w:val="20"/>
                <w:highlight w:val="yellow"/>
                <w:lang w:val="lv-LV"/>
              </w:rPr>
            </w:pPr>
            <w:r w:rsidRPr="00644A95">
              <w:rPr>
                <w:rFonts w:ascii="Calibri" w:eastAsiaTheme="minorHAnsi" w:hAnsi="Calibri" w:cs="Calibri"/>
                <w:color w:val="000000"/>
                <w:sz w:val="20"/>
                <w:szCs w:val="20"/>
                <w:lang w:val="lv-LV"/>
              </w:rPr>
              <w:t>-3.5</w:t>
            </w:r>
            <w:r w:rsidR="00886488" w:rsidRPr="00644A95">
              <w:rPr>
                <w:rFonts w:ascii="Calibri" w:eastAsiaTheme="minorHAnsi" w:hAnsi="Calibri" w:cs="Calibri"/>
                <w:color w:val="000000"/>
                <w:sz w:val="20"/>
                <w:szCs w:val="20"/>
                <w:lang w:val="lv-LV"/>
              </w:rPr>
              <w:t>%</w:t>
            </w:r>
          </w:p>
        </w:tc>
      </w:tr>
      <w:tr w:rsidR="00886488" w:rsidRPr="00644A95" w14:paraId="4759234A" w14:textId="77777777" w:rsidTr="00282BB5">
        <w:trPr>
          <w:trHeight w:val="300"/>
        </w:trPr>
        <w:tc>
          <w:tcPr>
            <w:tcW w:w="2410" w:type="dxa"/>
            <w:noWrap/>
            <w:hideMark/>
          </w:tcPr>
          <w:p w14:paraId="47F97A0E" w14:textId="77777777" w:rsidR="00886488" w:rsidRPr="00644A95" w:rsidRDefault="00886488" w:rsidP="009A1EF2">
            <w:pPr>
              <w:rPr>
                <w:rFonts w:asciiTheme="minorHAnsi" w:eastAsiaTheme="minorHAnsi" w:hAnsiTheme="minorHAnsi" w:cstheme="minorBidi"/>
                <w:sz w:val="20"/>
                <w:szCs w:val="20"/>
                <w:lang w:val="lv-LV"/>
              </w:rPr>
            </w:pPr>
            <w:r w:rsidRPr="00644A95">
              <w:rPr>
                <w:rFonts w:asciiTheme="minorHAnsi" w:eastAsiaTheme="minorHAnsi" w:hAnsiTheme="minorHAnsi" w:cstheme="minorBidi"/>
                <w:sz w:val="20"/>
                <w:szCs w:val="20"/>
                <w:lang w:val="lv-LV"/>
              </w:rPr>
              <w:t xml:space="preserve"> UIN</w:t>
            </w:r>
          </w:p>
        </w:tc>
        <w:tc>
          <w:tcPr>
            <w:tcW w:w="1129" w:type="dxa"/>
            <w:noWrap/>
            <w:vAlign w:val="bottom"/>
            <w:hideMark/>
          </w:tcPr>
          <w:p w14:paraId="48CC3723" w14:textId="77777777" w:rsidR="00886488" w:rsidRPr="00644A95" w:rsidRDefault="00886488" w:rsidP="009A1EF2">
            <w:pPr>
              <w:jc w:val="center"/>
              <w:rPr>
                <w:rFonts w:asciiTheme="minorHAnsi" w:eastAsiaTheme="minorHAnsi" w:hAnsiTheme="minorHAnsi" w:cstheme="minorBidi"/>
                <w:sz w:val="20"/>
                <w:szCs w:val="20"/>
                <w:lang w:val="lv-LV"/>
              </w:rPr>
            </w:pPr>
            <w:r w:rsidRPr="00644A95">
              <w:rPr>
                <w:rFonts w:ascii="Calibri" w:eastAsiaTheme="minorHAnsi" w:hAnsi="Calibri" w:cs="Calibri"/>
                <w:color w:val="000000"/>
                <w:sz w:val="20"/>
                <w:szCs w:val="20"/>
                <w:lang w:val="lv-LV"/>
              </w:rPr>
              <w:t>-85.3%</w:t>
            </w:r>
          </w:p>
        </w:tc>
        <w:tc>
          <w:tcPr>
            <w:tcW w:w="1423" w:type="dxa"/>
            <w:noWrap/>
            <w:vAlign w:val="bottom"/>
            <w:hideMark/>
          </w:tcPr>
          <w:p w14:paraId="5D6C2190" w14:textId="77777777" w:rsidR="00886488" w:rsidRPr="00644A95" w:rsidRDefault="00886488" w:rsidP="009A1EF2">
            <w:pPr>
              <w:jc w:val="center"/>
              <w:rPr>
                <w:rFonts w:asciiTheme="minorHAnsi" w:eastAsiaTheme="minorHAnsi" w:hAnsiTheme="minorHAnsi" w:cstheme="minorBidi"/>
                <w:sz w:val="20"/>
                <w:szCs w:val="20"/>
                <w:lang w:val="lv-LV"/>
              </w:rPr>
            </w:pPr>
            <w:r w:rsidRPr="00644A95">
              <w:rPr>
                <w:rFonts w:ascii="Calibri" w:eastAsiaTheme="minorHAnsi" w:hAnsi="Calibri" w:cs="Calibri"/>
                <w:color w:val="000000"/>
                <w:sz w:val="20"/>
                <w:szCs w:val="20"/>
                <w:lang w:val="lv-LV"/>
              </w:rPr>
              <w:t>483.0%</w:t>
            </w:r>
          </w:p>
        </w:tc>
        <w:tc>
          <w:tcPr>
            <w:tcW w:w="1417" w:type="dxa"/>
            <w:noWrap/>
            <w:vAlign w:val="bottom"/>
            <w:hideMark/>
          </w:tcPr>
          <w:p w14:paraId="18508814" w14:textId="77777777" w:rsidR="00886488" w:rsidRPr="00644A95" w:rsidRDefault="00886488" w:rsidP="009A1EF2">
            <w:pPr>
              <w:jc w:val="center"/>
              <w:rPr>
                <w:rFonts w:asciiTheme="minorHAnsi" w:eastAsiaTheme="minorHAnsi" w:hAnsiTheme="minorHAnsi" w:cstheme="minorBidi"/>
                <w:sz w:val="20"/>
                <w:szCs w:val="20"/>
                <w:lang w:val="lv-LV"/>
              </w:rPr>
            </w:pPr>
            <w:r w:rsidRPr="00644A95">
              <w:rPr>
                <w:rFonts w:ascii="Calibri" w:eastAsiaTheme="minorHAnsi" w:hAnsi="Calibri" w:cs="Calibri"/>
                <w:color w:val="000000"/>
                <w:sz w:val="20"/>
                <w:szCs w:val="20"/>
                <w:lang w:val="lv-LV"/>
              </w:rPr>
              <w:t>707.0%</w:t>
            </w:r>
          </w:p>
        </w:tc>
        <w:tc>
          <w:tcPr>
            <w:tcW w:w="1418" w:type="dxa"/>
            <w:noWrap/>
            <w:vAlign w:val="bottom"/>
            <w:hideMark/>
          </w:tcPr>
          <w:p w14:paraId="648116EB" w14:textId="42EA4AC4" w:rsidR="00886488" w:rsidRPr="00644A95" w:rsidRDefault="004C63CB" w:rsidP="009A1EF2">
            <w:pPr>
              <w:jc w:val="center"/>
              <w:rPr>
                <w:rFonts w:asciiTheme="minorHAnsi" w:eastAsiaTheme="minorHAnsi" w:hAnsiTheme="minorHAnsi" w:cstheme="minorBidi"/>
                <w:sz w:val="20"/>
                <w:szCs w:val="20"/>
                <w:highlight w:val="yellow"/>
                <w:lang w:val="lv-LV"/>
              </w:rPr>
            </w:pPr>
            <w:r w:rsidRPr="00644A95">
              <w:rPr>
                <w:rFonts w:ascii="Calibri" w:eastAsiaTheme="minorHAnsi" w:hAnsi="Calibri" w:cs="Calibri"/>
                <w:color w:val="000000"/>
                <w:sz w:val="20"/>
                <w:szCs w:val="20"/>
                <w:lang w:val="lv-LV"/>
              </w:rPr>
              <w:t>0.8</w:t>
            </w:r>
            <w:r w:rsidR="00886488" w:rsidRPr="00644A95">
              <w:rPr>
                <w:rFonts w:ascii="Calibri" w:eastAsiaTheme="minorHAnsi" w:hAnsi="Calibri" w:cs="Calibri"/>
                <w:color w:val="000000"/>
                <w:sz w:val="20"/>
                <w:szCs w:val="20"/>
                <w:lang w:val="lv-LV"/>
              </w:rPr>
              <w:t>%</w:t>
            </w:r>
          </w:p>
        </w:tc>
      </w:tr>
      <w:tr w:rsidR="00886488" w:rsidRPr="00644A95" w14:paraId="48A88DEA" w14:textId="77777777" w:rsidTr="00282BB5">
        <w:trPr>
          <w:trHeight w:val="300"/>
        </w:trPr>
        <w:tc>
          <w:tcPr>
            <w:tcW w:w="2410" w:type="dxa"/>
            <w:noWrap/>
            <w:hideMark/>
          </w:tcPr>
          <w:p w14:paraId="41ABB9A1" w14:textId="77777777" w:rsidR="00886488" w:rsidRPr="00644A95" w:rsidRDefault="00886488" w:rsidP="009A1EF2">
            <w:pPr>
              <w:rPr>
                <w:rFonts w:asciiTheme="minorHAnsi" w:eastAsiaTheme="minorHAnsi" w:hAnsiTheme="minorHAnsi" w:cstheme="minorBidi"/>
                <w:sz w:val="20"/>
                <w:szCs w:val="20"/>
                <w:lang w:val="lv-LV"/>
              </w:rPr>
            </w:pPr>
            <w:r w:rsidRPr="00644A95">
              <w:rPr>
                <w:rFonts w:asciiTheme="minorHAnsi" w:eastAsiaTheme="minorHAnsi" w:hAnsiTheme="minorHAnsi" w:cstheme="minorBidi"/>
                <w:sz w:val="20"/>
                <w:szCs w:val="20"/>
                <w:lang w:val="lv-LV"/>
              </w:rPr>
              <w:t xml:space="preserve"> IIN</w:t>
            </w:r>
          </w:p>
        </w:tc>
        <w:tc>
          <w:tcPr>
            <w:tcW w:w="1129" w:type="dxa"/>
            <w:noWrap/>
            <w:vAlign w:val="bottom"/>
            <w:hideMark/>
          </w:tcPr>
          <w:p w14:paraId="73FD36F8" w14:textId="77777777" w:rsidR="00886488" w:rsidRPr="00644A95" w:rsidRDefault="00886488" w:rsidP="009A1EF2">
            <w:pPr>
              <w:jc w:val="center"/>
              <w:rPr>
                <w:rFonts w:asciiTheme="minorHAnsi" w:eastAsiaTheme="minorHAnsi" w:hAnsiTheme="minorHAnsi" w:cstheme="minorBidi"/>
                <w:sz w:val="20"/>
                <w:szCs w:val="20"/>
                <w:lang w:val="lv-LV"/>
              </w:rPr>
            </w:pPr>
            <w:r w:rsidRPr="00644A95">
              <w:rPr>
                <w:rFonts w:ascii="Calibri" w:eastAsiaTheme="minorHAnsi" w:hAnsi="Calibri" w:cs="Calibri"/>
                <w:color w:val="000000"/>
                <w:sz w:val="20"/>
                <w:szCs w:val="20"/>
                <w:lang w:val="lv-LV"/>
              </w:rPr>
              <w:t>11.6%</w:t>
            </w:r>
          </w:p>
        </w:tc>
        <w:tc>
          <w:tcPr>
            <w:tcW w:w="1423" w:type="dxa"/>
            <w:noWrap/>
            <w:vAlign w:val="bottom"/>
            <w:hideMark/>
          </w:tcPr>
          <w:p w14:paraId="5432ADFF" w14:textId="5281E4B6" w:rsidR="00886488" w:rsidRPr="00644A95" w:rsidRDefault="00886488" w:rsidP="009A1EF2">
            <w:pPr>
              <w:jc w:val="center"/>
              <w:rPr>
                <w:rFonts w:asciiTheme="minorHAnsi" w:eastAsiaTheme="minorHAnsi" w:hAnsiTheme="minorHAnsi" w:cstheme="minorBidi"/>
                <w:sz w:val="20"/>
                <w:szCs w:val="20"/>
                <w:lang w:val="lv-LV"/>
              </w:rPr>
            </w:pPr>
            <w:r w:rsidRPr="00644A95">
              <w:rPr>
                <w:rFonts w:ascii="Calibri" w:eastAsiaTheme="minorHAnsi" w:hAnsi="Calibri" w:cs="Calibri"/>
                <w:color w:val="000000"/>
                <w:sz w:val="20"/>
                <w:szCs w:val="20"/>
                <w:lang w:val="lv-LV"/>
              </w:rPr>
              <w:t>-8.9%</w:t>
            </w:r>
          </w:p>
        </w:tc>
        <w:tc>
          <w:tcPr>
            <w:tcW w:w="1417" w:type="dxa"/>
            <w:noWrap/>
            <w:vAlign w:val="bottom"/>
            <w:hideMark/>
          </w:tcPr>
          <w:p w14:paraId="3749EAAD" w14:textId="77777777" w:rsidR="00886488" w:rsidRPr="00644A95" w:rsidRDefault="00886488" w:rsidP="009A1EF2">
            <w:pPr>
              <w:jc w:val="center"/>
              <w:rPr>
                <w:rFonts w:asciiTheme="minorHAnsi" w:eastAsiaTheme="minorHAnsi" w:hAnsiTheme="minorHAnsi" w:cstheme="minorBidi"/>
                <w:sz w:val="20"/>
                <w:szCs w:val="20"/>
                <w:lang w:val="lv-LV"/>
              </w:rPr>
            </w:pPr>
            <w:r w:rsidRPr="00644A95">
              <w:rPr>
                <w:rFonts w:ascii="Calibri" w:eastAsiaTheme="minorHAnsi" w:hAnsi="Calibri" w:cs="Calibri"/>
                <w:color w:val="000000"/>
                <w:sz w:val="20"/>
                <w:szCs w:val="20"/>
                <w:lang w:val="lv-LV"/>
              </w:rPr>
              <w:t>-2.1%</w:t>
            </w:r>
          </w:p>
        </w:tc>
        <w:tc>
          <w:tcPr>
            <w:tcW w:w="1418" w:type="dxa"/>
            <w:noWrap/>
            <w:vAlign w:val="bottom"/>
            <w:hideMark/>
          </w:tcPr>
          <w:p w14:paraId="29BCBCED" w14:textId="4AAA4CC7" w:rsidR="00886488" w:rsidRPr="00644A95" w:rsidRDefault="004C63CB" w:rsidP="009A1EF2">
            <w:pPr>
              <w:jc w:val="center"/>
              <w:rPr>
                <w:rFonts w:asciiTheme="minorHAnsi" w:eastAsiaTheme="minorHAnsi" w:hAnsiTheme="minorHAnsi" w:cstheme="minorBidi"/>
                <w:sz w:val="20"/>
                <w:szCs w:val="20"/>
                <w:highlight w:val="yellow"/>
                <w:lang w:val="lv-LV"/>
              </w:rPr>
            </w:pPr>
            <w:r w:rsidRPr="00644A95">
              <w:rPr>
                <w:rFonts w:ascii="Calibri" w:eastAsiaTheme="minorHAnsi" w:hAnsi="Calibri" w:cs="Calibri"/>
                <w:color w:val="000000"/>
                <w:sz w:val="20"/>
                <w:szCs w:val="20"/>
                <w:lang w:val="lv-LV"/>
              </w:rPr>
              <w:t>1.2</w:t>
            </w:r>
            <w:r w:rsidR="00886488" w:rsidRPr="00644A95">
              <w:rPr>
                <w:rFonts w:ascii="Calibri" w:eastAsiaTheme="minorHAnsi" w:hAnsi="Calibri" w:cs="Calibri"/>
                <w:color w:val="000000"/>
                <w:sz w:val="20"/>
                <w:szCs w:val="20"/>
                <w:lang w:val="lv-LV"/>
              </w:rPr>
              <w:t>%</w:t>
            </w:r>
          </w:p>
        </w:tc>
      </w:tr>
      <w:tr w:rsidR="00886488" w:rsidRPr="00644A95" w14:paraId="07BDE6EB" w14:textId="77777777" w:rsidTr="00175A64">
        <w:trPr>
          <w:trHeight w:val="300"/>
        </w:trPr>
        <w:tc>
          <w:tcPr>
            <w:tcW w:w="2410" w:type="dxa"/>
            <w:noWrap/>
            <w:hideMark/>
          </w:tcPr>
          <w:p w14:paraId="05591E3B" w14:textId="77777777" w:rsidR="00886488" w:rsidRPr="00644A95" w:rsidRDefault="00886488" w:rsidP="009A1EF2">
            <w:pPr>
              <w:rPr>
                <w:rFonts w:asciiTheme="minorHAnsi" w:eastAsiaTheme="minorHAnsi" w:hAnsiTheme="minorHAnsi" w:cstheme="minorBidi"/>
                <w:sz w:val="20"/>
                <w:szCs w:val="20"/>
                <w:lang w:val="lv-LV"/>
              </w:rPr>
            </w:pPr>
            <w:r w:rsidRPr="00644A95">
              <w:rPr>
                <w:rFonts w:asciiTheme="minorHAnsi" w:eastAsiaTheme="minorHAnsi" w:hAnsiTheme="minorHAnsi" w:cstheme="minorBidi"/>
                <w:sz w:val="20"/>
                <w:szCs w:val="20"/>
                <w:lang w:val="lv-LV"/>
              </w:rPr>
              <w:t xml:space="preserve"> Sociālās iemaksas</w:t>
            </w:r>
          </w:p>
        </w:tc>
        <w:tc>
          <w:tcPr>
            <w:tcW w:w="1129" w:type="dxa"/>
            <w:noWrap/>
            <w:vAlign w:val="bottom"/>
            <w:hideMark/>
          </w:tcPr>
          <w:p w14:paraId="46E97734" w14:textId="77777777" w:rsidR="00886488" w:rsidRPr="00644A95" w:rsidRDefault="00886488" w:rsidP="009A1EF2">
            <w:pPr>
              <w:jc w:val="center"/>
              <w:rPr>
                <w:rFonts w:asciiTheme="minorHAnsi" w:eastAsiaTheme="minorHAnsi" w:hAnsiTheme="minorHAnsi" w:cstheme="minorBidi"/>
                <w:sz w:val="20"/>
                <w:szCs w:val="20"/>
                <w:lang w:val="lv-LV"/>
              </w:rPr>
            </w:pPr>
            <w:r w:rsidRPr="00644A95">
              <w:rPr>
                <w:rFonts w:ascii="Calibri" w:eastAsiaTheme="minorHAnsi" w:hAnsi="Calibri" w:cs="Calibri"/>
                <w:color w:val="000000"/>
                <w:sz w:val="20"/>
                <w:szCs w:val="20"/>
                <w:lang w:val="lv-LV"/>
              </w:rPr>
              <w:t>8.8%</w:t>
            </w:r>
          </w:p>
        </w:tc>
        <w:tc>
          <w:tcPr>
            <w:tcW w:w="1423" w:type="dxa"/>
            <w:noWrap/>
            <w:vAlign w:val="bottom"/>
            <w:hideMark/>
          </w:tcPr>
          <w:p w14:paraId="058EE175" w14:textId="77777777" w:rsidR="00886488" w:rsidRPr="00644A95" w:rsidRDefault="00886488" w:rsidP="009A1EF2">
            <w:pPr>
              <w:jc w:val="center"/>
              <w:rPr>
                <w:rFonts w:asciiTheme="minorHAnsi" w:eastAsiaTheme="minorHAnsi" w:hAnsiTheme="minorHAnsi" w:cstheme="minorBidi"/>
                <w:sz w:val="20"/>
                <w:szCs w:val="20"/>
                <w:lang w:val="lv-LV"/>
              </w:rPr>
            </w:pPr>
            <w:r w:rsidRPr="00644A95">
              <w:rPr>
                <w:rFonts w:ascii="Calibri" w:eastAsiaTheme="minorHAnsi" w:hAnsi="Calibri" w:cs="Calibri"/>
                <w:color w:val="000000"/>
                <w:sz w:val="20"/>
                <w:szCs w:val="20"/>
                <w:lang w:val="lv-LV"/>
              </w:rPr>
              <w:t>5.7%</w:t>
            </w:r>
          </w:p>
        </w:tc>
        <w:tc>
          <w:tcPr>
            <w:tcW w:w="1417" w:type="dxa"/>
            <w:noWrap/>
            <w:vAlign w:val="bottom"/>
            <w:hideMark/>
          </w:tcPr>
          <w:p w14:paraId="556BF7A1" w14:textId="77777777" w:rsidR="00886488" w:rsidRPr="00644A95" w:rsidRDefault="00886488" w:rsidP="009A1EF2">
            <w:pPr>
              <w:jc w:val="center"/>
              <w:rPr>
                <w:rFonts w:asciiTheme="minorHAnsi" w:eastAsiaTheme="minorHAnsi" w:hAnsiTheme="minorHAnsi" w:cstheme="minorBidi"/>
                <w:sz w:val="20"/>
                <w:szCs w:val="20"/>
                <w:lang w:val="lv-LV"/>
              </w:rPr>
            </w:pPr>
            <w:r w:rsidRPr="00644A95">
              <w:rPr>
                <w:rFonts w:ascii="Calibri" w:eastAsiaTheme="minorHAnsi" w:hAnsi="Calibri" w:cs="Calibri"/>
                <w:color w:val="000000"/>
                <w:sz w:val="20"/>
                <w:szCs w:val="20"/>
                <w:lang w:val="lv-LV"/>
              </w:rPr>
              <w:t>-1.8%</w:t>
            </w:r>
          </w:p>
        </w:tc>
        <w:tc>
          <w:tcPr>
            <w:tcW w:w="1418" w:type="dxa"/>
            <w:shd w:val="clear" w:color="auto" w:fill="auto"/>
            <w:noWrap/>
            <w:vAlign w:val="bottom"/>
            <w:hideMark/>
          </w:tcPr>
          <w:p w14:paraId="2A07C92F" w14:textId="0FADDF9C" w:rsidR="00886488" w:rsidRPr="00644A95" w:rsidRDefault="004C63CB" w:rsidP="009A1EF2">
            <w:pPr>
              <w:jc w:val="center"/>
              <w:rPr>
                <w:rFonts w:asciiTheme="minorHAnsi" w:eastAsiaTheme="minorHAnsi" w:hAnsiTheme="minorHAnsi" w:cstheme="minorBidi"/>
                <w:sz w:val="20"/>
                <w:szCs w:val="20"/>
                <w:highlight w:val="yellow"/>
                <w:lang w:val="lv-LV"/>
              </w:rPr>
            </w:pPr>
            <w:r w:rsidRPr="00644A95">
              <w:rPr>
                <w:rFonts w:ascii="Calibri" w:eastAsiaTheme="minorHAnsi" w:hAnsi="Calibri" w:cs="Calibri"/>
                <w:color w:val="000000"/>
                <w:sz w:val="20"/>
                <w:szCs w:val="20"/>
                <w:lang w:val="lv-LV"/>
              </w:rPr>
              <w:t>-4.0</w:t>
            </w:r>
            <w:r w:rsidR="00886488" w:rsidRPr="00644A95">
              <w:rPr>
                <w:rFonts w:ascii="Calibri" w:eastAsiaTheme="minorHAnsi" w:hAnsi="Calibri" w:cs="Calibri"/>
                <w:color w:val="000000"/>
                <w:sz w:val="20"/>
                <w:szCs w:val="20"/>
                <w:lang w:val="lv-LV"/>
              </w:rPr>
              <w:t>%</w:t>
            </w:r>
          </w:p>
        </w:tc>
      </w:tr>
      <w:tr w:rsidR="00886488" w:rsidRPr="00644A95" w14:paraId="7EC0FA11" w14:textId="77777777" w:rsidTr="00175A64">
        <w:trPr>
          <w:trHeight w:val="300"/>
        </w:trPr>
        <w:tc>
          <w:tcPr>
            <w:tcW w:w="2410" w:type="dxa"/>
            <w:noWrap/>
            <w:hideMark/>
          </w:tcPr>
          <w:p w14:paraId="1B508CDB" w14:textId="77777777" w:rsidR="00886488" w:rsidRPr="00644A95" w:rsidRDefault="00886488" w:rsidP="009A1EF2">
            <w:pPr>
              <w:rPr>
                <w:rFonts w:asciiTheme="minorHAnsi" w:eastAsiaTheme="minorHAnsi" w:hAnsiTheme="minorHAnsi" w:cstheme="minorBidi"/>
                <w:sz w:val="20"/>
                <w:szCs w:val="20"/>
                <w:lang w:val="lv-LV"/>
              </w:rPr>
            </w:pPr>
            <w:r w:rsidRPr="00644A95">
              <w:rPr>
                <w:rFonts w:asciiTheme="minorHAnsi" w:eastAsiaTheme="minorHAnsi" w:hAnsiTheme="minorHAnsi" w:cstheme="minorBidi"/>
                <w:sz w:val="20"/>
                <w:szCs w:val="20"/>
                <w:lang w:val="lv-LV"/>
              </w:rPr>
              <w:t xml:space="preserve"> Nekustāmā īpašuma n.</w:t>
            </w:r>
          </w:p>
        </w:tc>
        <w:tc>
          <w:tcPr>
            <w:tcW w:w="1129" w:type="dxa"/>
            <w:noWrap/>
            <w:vAlign w:val="bottom"/>
            <w:hideMark/>
          </w:tcPr>
          <w:p w14:paraId="7C386BF8" w14:textId="77777777" w:rsidR="00886488" w:rsidRPr="00644A95" w:rsidRDefault="00886488" w:rsidP="009A1EF2">
            <w:pPr>
              <w:jc w:val="center"/>
              <w:rPr>
                <w:rFonts w:asciiTheme="minorHAnsi" w:eastAsiaTheme="minorHAnsi" w:hAnsiTheme="minorHAnsi" w:cstheme="minorBidi"/>
                <w:sz w:val="20"/>
                <w:szCs w:val="20"/>
                <w:lang w:val="lv-LV"/>
              </w:rPr>
            </w:pPr>
            <w:r w:rsidRPr="00644A95">
              <w:rPr>
                <w:rFonts w:ascii="Calibri" w:eastAsiaTheme="minorHAnsi" w:hAnsi="Calibri" w:cs="Calibri"/>
                <w:color w:val="000000"/>
                <w:sz w:val="20"/>
                <w:szCs w:val="20"/>
                <w:lang w:val="lv-LV"/>
              </w:rPr>
              <w:t>1.5%</w:t>
            </w:r>
          </w:p>
        </w:tc>
        <w:tc>
          <w:tcPr>
            <w:tcW w:w="1423" w:type="dxa"/>
            <w:noWrap/>
            <w:vAlign w:val="bottom"/>
            <w:hideMark/>
          </w:tcPr>
          <w:p w14:paraId="1B931510" w14:textId="77777777" w:rsidR="00886488" w:rsidRPr="00644A95" w:rsidRDefault="00886488" w:rsidP="009A1EF2">
            <w:pPr>
              <w:jc w:val="center"/>
              <w:rPr>
                <w:rFonts w:asciiTheme="minorHAnsi" w:eastAsiaTheme="minorHAnsi" w:hAnsiTheme="minorHAnsi" w:cstheme="minorBidi"/>
                <w:sz w:val="20"/>
                <w:szCs w:val="20"/>
                <w:lang w:val="lv-LV"/>
              </w:rPr>
            </w:pPr>
            <w:r w:rsidRPr="00644A95">
              <w:rPr>
                <w:rFonts w:ascii="Calibri" w:eastAsiaTheme="minorHAnsi" w:hAnsi="Calibri" w:cs="Calibri"/>
                <w:color w:val="000000"/>
                <w:sz w:val="20"/>
                <w:szCs w:val="20"/>
                <w:lang w:val="lv-LV"/>
              </w:rPr>
              <w:t>4.0%</w:t>
            </w:r>
          </w:p>
        </w:tc>
        <w:tc>
          <w:tcPr>
            <w:tcW w:w="1417" w:type="dxa"/>
            <w:noWrap/>
            <w:vAlign w:val="bottom"/>
            <w:hideMark/>
          </w:tcPr>
          <w:p w14:paraId="749BC5F9" w14:textId="77777777" w:rsidR="00886488" w:rsidRPr="00644A95" w:rsidRDefault="00886488" w:rsidP="009A1EF2">
            <w:pPr>
              <w:jc w:val="center"/>
              <w:rPr>
                <w:rFonts w:asciiTheme="minorHAnsi" w:eastAsiaTheme="minorHAnsi" w:hAnsiTheme="minorHAnsi" w:cstheme="minorBidi"/>
                <w:sz w:val="20"/>
                <w:szCs w:val="20"/>
                <w:lang w:val="lv-LV"/>
              </w:rPr>
            </w:pPr>
            <w:r w:rsidRPr="00644A95">
              <w:rPr>
                <w:rFonts w:ascii="Calibri" w:eastAsiaTheme="minorHAnsi" w:hAnsi="Calibri" w:cs="Calibri"/>
                <w:color w:val="000000"/>
                <w:sz w:val="20"/>
                <w:szCs w:val="20"/>
                <w:lang w:val="lv-LV"/>
              </w:rPr>
              <w:t>-6.6%</w:t>
            </w:r>
          </w:p>
        </w:tc>
        <w:tc>
          <w:tcPr>
            <w:tcW w:w="1418" w:type="dxa"/>
            <w:shd w:val="clear" w:color="auto" w:fill="auto"/>
            <w:noWrap/>
            <w:vAlign w:val="bottom"/>
            <w:hideMark/>
          </w:tcPr>
          <w:p w14:paraId="1706E662" w14:textId="480C5585" w:rsidR="00886488" w:rsidRPr="00644A95" w:rsidRDefault="004C63CB" w:rsidP="009A1EF2">
            <w:pPr>
              <w:jc w:val="center"/>
              <w:rPr>
                <w:rFonts w:asciiTheme="minorHAnsi" w:eastAsiaTheme="minorHAnsi" w:hAnsiTheme="minorHAnsi" w:cstheme="minorBidi"/>
                <w:sz w:val="20"/>
                <w:szCs w:val="20"/>
                <w:highlight w:val="yellow"/>
                <w:lang w:val="lv-LV"/>
              </w:rPr>
            </w:pPr>
            <w:r w:rsidRPr="00644A95">
              <w:rPr>
                <w:rFonts w:ascii="Calibri" w:eastAsiaTheme="minorHAnsi" w:hAnsi="Calibri" w:cs="Calibri"/>
                <w:color w:val="000000"/>
                <w:sz w:val="20"/>
                <w:szCs w:val="20"/>
                <w:lang w:val="lv-LV"/>
              </w:rPr>
              <w:t>-2.1</w:t>
            </w:r>
            <w:r w:rsidR="00886488" w:rsidRPr="00644A95">
              <w:rPr>
                <w:rFonts w:ascii="Calibri" w:eastAsiaTheme="minorHAnsi" w:hAnsi="Calibri" w:cs="Calibri"/>
                <w:color w:val="000000"/>
                <w:sz w:val="20"/>
                <w:szCs w:val="20"/>
                <w:lang w:val="lv-LV"/>
              </w:rPr>
              <w:t>%</w:t>
            </w:r>
          </w:p>
        </w:tc>
      </w:tr>
      <w:tr w:rsidR="00886488" w:rsidRPr="00644A95" w14:paraId="3EEA9479" w14:textId="77777777" w:rsidTr="00282BB5">
        <w:trPr>
          <w:trHeight w:val="300"/>
        </w:trPr>
        <w:tc>
          <w:tcPr>
            <w:tcW w:w="2410" w:type="dxa"/>
            <w:noWrap/>
            <w:hideMark/>
          </w:tcPr>
          <w:p w14:paraId="4C464E6B" w14:textId="77777777" w:rsidR="00886488" w:rsidRPr="00644A95" w:rsidRDefault="00886488" w:rsidP="009A1EF2">
            <w:pPr>
              <w:rPr>
                <w:rFonts w:asciiTheme="minorHAnsi" w:eastAsiaTheme="minorHAnsi" w:hAnsiTheme="minorHAnsi" w:cstheme="minorBidi"/>
                <w:sz w:val="20"/>
                <w:szCs w:val="20"/>
                <w:lang w:val="lv-LV"/>
              </w:rPr>
            </w:pPr>
            <w:r w:rsidRPr="00644A95">
              <w:rPr>
                <w:rFonts w:asciiTheme="minorHAnsi" w:eastAsiaTheme="minorHAnsi" w:hAnsiTheme="minorHAnsi" w:cstheme="minorBidi"/>
                <w:sz w:val="20"/>
                <w:szCs w:val="20"/>
                <w:lang w:val="lv-LV"/>
              </w:rPr>
              <w:t xml:space="preserve"> PVN</w:t>
            </w:r>
          </w:p>
        </w:tc>
        <w:tc>
          <w:tcPr>
            <w:tcW w:w="1129" w:type="dxa"/>
            <w:noWrap/>
            <w:vAlign w:val="bottom"/>
            <w:hideMark/>
          </w:tcPr>
          <w:p w14:paraId="403B3C9B" w14:textId="77777777" w:rsidR="00886488" w:rsidRPr="00644A95" w:rsidRDefault="00886488" w:rsidP="009A1EF2">
            <w:pPr>
              <w:jc w:val="center"/>
              <w:rPr>
                <w:rFonts w:asciiTheme="minorHAnsi" w:eastAsiaTheme="minorHAnsi" w:hAnsiTheme="minorHAnsi" w:cstheme="minorBidi"/>
                <w:sz w:val="20"/>
                <w:szCs w:val="20"/>
                <w:lang w:val="lv-LV"/>
              </w:rPr>
            </w:pPr>
            <w:r w:rsidRPr="00644A95">
              <w:rPr>
                <w:rFonts w:ascii="Calibri" w:eastAsiaTheme="minorHAnsi" w:hAnsi="Calibri" w:cs="Calibri"/>
                <w:color w:val="000000"/>
                <w:sz w:val="20"/>
                <w:szCs w:val="20"/>
                <w:lang w:val="lv-LV"/>
              </w:rPr>
              <w:t>7.8%</w:t>
            </w:r>
          </w:p>
        </w:tc>
        <w:tc>
          <w:tcPr>
            <w:tcW w:w="1423" w:type="dxa"/>
            <w:noWrap/>
            <w:vAlign w:val="bottom"/>
            <w:hideMark/>
          </w:tcPr>
          <w:p w14:paraId="3B90E911" w14:textId="77777777" w:rsidR="00886488" w:rsidRPr="00644A95" w:rsidRDefault="00886488" w:rsidP="009A1EF2">
            <w:pPr>
              <w:jc w:val="center"/>
              <w:rPr>
                <w:rFonts w:asciiTheme="minorHAnsi" w:eastAsiaTheme="minorHAnsi" w:hAnsiTheme="minorHAnsi" w:cstheme="minorBidi"/>
                <w:sz w:val="20"/>
                <w:szCs w:val="20"/>
                <w:lang w:val="lv-LV"/>
              </w:rPr>
            </w:pPr>
            <w:r w:rsidRPr="00644A95">
              <w:rPr>
                <w:rFonts w:ascii="Calibri" w:eastAsiaTheme="minorHAnsi" w:hAnsi="Calibri" w:cs="Calibri"/>
                <w:color w:val="000000"/>
                <w:sz w:val="20"/>
                <w:szCs w:val="20"/>
                <w:lang w:val="lv-LV"/>
              </w:rPr>
              <w:t>8.9%</w:t>
            </w:r>
          </w:p>
        </w:tc>
        <w:tc>
          <w:tcPr>
            <w:tcW w:w="1417" w:type="dxa"/>
            <w:noWrap/>
            <w:vAlign w:val="bottom"/>
            <w:hideMark/>
          </w:tcPr>
          <w:p w14:paraId="4149F416" w14:textId="77777777" w:rsidR="00886488" w:rsidRPr="00644A95" w:rsidRDefault="00886488" w:rsidP="009A1EF2">
            <w:pPr>
              <w:jc w:val="center"/>
              <w:rPr>
                <w:rFonts w:asciiTheme="minorHAnsi" w:eastAsiaTheme="minorHAnsi" w:hAnsiTheme="minorHAnsi" w:cstheme="minorBidi"/>
                <w:sz w:val="20"/>
                <w:szCs w:val="20"/>
                <w:lang w:val="lv-LV"/>
              </w:rPr>
            </w:pPr>
            <w:r w:rsidRPr="00644A95">
              <w:rPr>
                <w:rFonts w:ascii="Calibri" w:eastAsiaTheme="minorHAnsi" w:hAnsi="Calibri" w:cs="Calibri"/>
                <w:color w:val="000000"/>
                <w:sz w:val="20"/>
                <w:szCs w:val="20"/>
                <w:lang w:val="lv-LV"/>
              </w:rPr>
              <w:t>-5.9%</w:t>
            </w:r>
          </w:p>
        </w:tc>
        <w:tc>
          <w:tcPr>
            <w:tcW w:w="1418" w:type="dxa"/>
            <w:noWrap/>
            <w:vAlign w:val="bottom"/>
            <w:hideMark/>
          </w:tcPr>
          <w:p w14:paraId="4D25D1B3" w14:textId="56C53274" w:rsidR="00886488" w:rsidRPr="00644A95" w:rsidRDefault="004C63CB" w:rsidP="009A1EF2">
            <w:pPr>
              <w:jc w:val="center"/>
              <w:rPr>
                <w:rFonts w:asciiTheme="minorHAnsi" w:eastAsiaTheme="minorHAnsi" w:hAnsiTheme="minorHAnsi" w:cstheme="minorBidi"/>
                <w:sz w:val="20"/>
                <w:szCs w:val="20"/>
                <w:highlight w:val="yellow"/>
                <w:lang w:val="lv-LV"/>
              </w:rPr>
            </w:pPr>
            <w:r w:rsidRPr="00644A95">
              <w:rPr>
                <w:rFonts w:ascii="Calibri" w:eastAsiaTheme="minorHAnsi" w:hAnsi="Calibri" w:cs="Calibri"/>
                <w:color w:val="000000"/>
                <w:sz w:val="20"/>
                <w:szCs w:val="20"/>
                <w:lang w:val="lv-LV"/>
              </w:rPr>
              <w:t>-5.2</w:t>
            </w:r>
            <w:r w:rsidR="00886488" w:rsidRPr="00644A95">
              <w:rPr>
                <w:rFonts w:ascii="Calibri" w:eastAsiaTheme="minorHAnsi" w:hAnsi="Calibri" w:cs="Calibri"/>
                <w:color w:val="000000"/>
                <w:sz w:val="20"/>
                <w:szCs w:val="20"/>
                <w:lang w:val="lv-LV"/>
              </w:rPr>
              <w:t>%</w:t>
            </w:r>
          </w:p>
        </w:tc>
      </w:tr>
      <w:tr w:rsidR="00886488" w:rsidRPr="00644A95" w14:paraId="284063F5" w14:textId="77777777" w:rsidTr="00175A64">
        <w:trPr>
          <w:trHeight w:val="300"/>
        </w:trPr>
        <w:tc>
          <w:tcPr>
            <w:tcW w:w="2410" w:type="dxa"/>
            <w:noWrap/>
            <w:hideMark/>
          </w:tcPr>
          <w:p w14:paraId="484EB4A2" w14:textId="7B823CBD" w:rsidR="00886488" w:rsidRPr="00644A95" w:rsidRDefault="00886488" w:rsidP="009A1EF2">
            <w:pPr>
              <w:rPr>
                <w:rFonts w:asciiTheme="minorHAnsi" w:eastAsiaTheme="minorHAnsi" w:hAnsiTheme="minorHAnsi" w:cstheme="minorBidi"/>
                <w:sz w:val="20"/>
                <w:szCs w:val="20"/>
                <w:lang w:val="lv-LV"/>
              </w:rPr>
            </w:pPr>
            <w:r w:rsidRPr="00644A95">
              <w:rPr>
                <w:rFonts w:asciiTheme="minorHAnsi" w:eastAsiaTheme="minorHAnsi" w:hAnsiTheme="minorHAnsi" w:cstheme="minorBidi"/>
                <w:sz w:val="20"/>
                <w:szCs w:val="20"/>
                <w:lang w:val="lv-LV"/>
              </w:rPr>
              <w:t xml:space="preserve"> Akcīzes nodokli</w:t>
            </w:r>
            <w:r w:rsidR="004C63CB" w:rsidRPr="00644A95">
              <w:rPr>
                <w:rFonts w:asciiTheme="minorHAnsi" w:eastAsiaTheme="minorHAnsi" w:hAnsiTheme="minorHAnsi" w:cstheme="minorBidi"/>
                <w:sz w:val="20"/>
                <w:szCs w:val="20"/>
                <w:lang w:val="lv-LV"/>
              </w:rPr>
              <w:t>s</w:t>
            </w:r>
          </w:p>
        </w:tc>
        <w:tc>
          <w:tcPr>
            <w:tcW w:w="1129" w:type="dxa"/>
            <w:noWrap/>
            <w:vAlign w:val="bottom"/>
            <w:hideMark/>
          </w:tcPr>
          <w:p w14:paraId="0E747A0E" w14:textId="77777777" w:rsidR="00886488" w:rsidRPr="00644A95" w:rsidRDefault="00886488" w:rsidP="009A1EF2">
            <w:pPr>
              <w:jc w:val="center"/>
              <w:rPr>
                <w:rFonts w:asciiTheme="minorHAnsi" w:eastAsiaTheme="minorHAnsi" w:hAnsiTheme="minorHAnsi" w:cstheme="minorBidi"/>
                <w:sz w:val="20"/>
                <w:szCs w:val="20"/>
                <w:lang w:val="lv-LV"/>
              </w:rPr>
            </w:pPr>
            <w:r w:rsidRPr="00644A95">
              <w:rPr>
                <w:rFonts w:ascii="Calibri" w:eastAsiaTheme="minorHAnsi" w:hAnsi="Calibri" w:cs="Calibri"/>
                <w:color w:val="000000"/>
                <w:sz w:val="20"/>
                <w:szCs w:val="20"/>
                <w:lang w:val="lv-LV"/>
              </w:rPr>
              <w:t>3.4%</w:t>
            </w:r>
          </w:p>
        </w:tc>
        <w:tc>
          <w:tcPr>
            <w:tcW w:w="1423" w:type="dxa"/>
            <w:noWrap/>
            <w:vAlign w:val="bottom"/>
            <w:hideMark/>
          </w:tcPr>
          <w:p w14:paraId="257B1E57" w14:textId="77777777" w:rsidR="00886488" w:rsidRPr="00644A95" w:rsidRDefault="00886488" w:rsidP="009A1EF2">
            <w:pPr>
              <w:jc w:val="center"/>
              <w:rPr>
                <w:rFonts w:asciiTheme="minorHAnsi" w:eastAsiaTheme="minorHAnsi" w:hAnsiTheme="minorHAnsi" w:cstheme="minorBidi"/>
                <w:sz w:val="20"/>
                <w:szCs w:val="20"/>
                <w:lang w:val="lv-LV"/>
              </w:rPr>
            </w:pPr>
            <w:r w:rsidRPr="00644A95">
              <w:rPr>
                <w:rFonts w:ascii="Calibri" w:eastAsiaTheme="minorHAnsi" w:hAnsi="Calibri" w:cs="Calibri"/>
                <w:color w:val="000000"/>
                <w:sz w:val="20"/>
                <w:szCs w:val="20"/>
                <w:lang w:val="lv-LV"/>
              </w:rPr>
              <w:t>13.1%</w:t>
            </w:r>
          </w:p>
        </w:tc>
        <w:tc>
          <w:tcPr>
            <w:tcW w:w="1417" w:type="dxa"/>
            <w:noWrap/>
            <w:vAlign w:val="bottom"/>
            <w:hideMark/>
          </w:tcPr>
          <w:p w14:paraId="7F47AC5E" w14:textId="77777777" w:rsidR="00886488" w:rsidRPr="00644A95" w:rsidRDefault="00886488" w:rsidP="009A1EF2">
            <w:pPr>
              <w:jc w:val="center"/>
              <w:rPr>
                <w:rFonts w:asciiTheme="minorHAnsi" w:eastAsiaTheme="minorHAnsi" w:hAnsiTheme="minorHAnsi" w:cstheme="minorBidi"/>
                <w:sz w:val="20"/>
                <w:szCs w:val="20"/>
                <w:lang w:val="lv-LV"/>
              </w:rPr>
            </w:pPr>
            <w:r w:rsidRPr="00644A95">
              <w:rPr>
                <w:rFonts w:ascii="Calibri" w:eastAsiaTheme="minorHAnsi" w:hAnsi="Calibri" w:cs="Calibri"/>
                <w:color w:val="000000"/>
                <w:sz w:val="20"/>
                <w:szCs w:val="20"/>
                <w:lang w:val="lv-LV"/>
              </w:rPr>
              <w:t>-2.2%</w:t>
            </w:r>
          </w:p>
        </w:tc>
        <w:tc>
          <w:tcPr>
            <w:tcW w:w="1418" w:type="dxa"/>
            <w:shd w:val="clear" w:color="auto" w:fill="auto"/>
            <w:noWrap/>
            <w:vAlign w:val="bottom"/>
            <w:hideMark/>
          </w:tcPr>
          <w:p w14:paraId="7BAC9E43" w14:textId="7EBB0D84" w:rsidR="00886488" w:rsidRPr="00644A95" w:rsidRDefault="004C63CB" w:rsidP="009A1EF2">
            <w:pPr>
              <w:jc w:val="center"/>
              <w:rPr>
                <w:rFonts w:asciiTheme="minorHAnsi" w:eastAsiaTheme="minorHAnsi" w:hAnsiTheme="minorHAnsi" w:cstheme="minorBidi"/>
                <w:sz w:val="20"/>
                <w:szCs w:val="20"/>
                <w:highlight w:val="yellow"/>
                <w:lang w:val="lv-LV"/>
              </w:rPr>
            </w:pPr>
            <w:r w:rsidRPr="00644A95">
              <w:rPr>
                <w:rFonts w:ascii="Calibri" w:eastAsiaTheme="minorHAnsi" w:hAnsi="Calibri" w:cs="Calibri"/>
                <w:color w:val="000000"/>
                <w:sz w:val="20"/>
                <w:szCs w:val="20"/>
                <w:lang w:val="lv-LV"/>
              </w:rPr>
              <w:t>-7.4</w:t>
            </w:r>
            <w:r w:rsidR="00886488" w:rsidRPr="00644A95">
              <w:rPr>
                <w:rFonts w:ascii="Calibri" w:eastAsiaTheme="minorHAnsi" w:hAnsi="Calibri" w:cs="Calibri"/>
                <w:color w:val="000000"/>
                <w:sz w:val="20"/>
                <w:szCs w:val="20"/>
                <w:lang w:val="lv-LV"/>
              </w:rPr>
              <w:t>%</w:t>
            </w:r>
          </w:p>
        </w:tc>
      </w:tr>
      <w:tr w:rsidR="00886488" w:rsidRPr="00644A95" w14:paraId="348E35C8" w14:textId="77777777" w:rsidTr="00282BB5">
        <w:trPr>
          <w:trHeight w:val="300"/>
        </w:trPr>
        <w:tc>
          <w:tcPr>
            <w:tcW w:w="2410" w:type="dxa"/>
            <w:noWrap/>
            <w:hideMark/>
          </w:tcPr>
          <w:p w14:paraId="49476BF8" w14:textId="77777777" w:rsidR="00886488" w:rsidRPr="00644A95" w:rsidRDefault="00886488" w:rsidP="009A1EF2">
            <w:pPr>
              <w:rPr>
                <w:rFonts w:asciiTheme="minorHAnsi" w:eastAsiaTheme="minorHAnsi" w:hAnsiTheme="minorHAnsi" w:cstheme="minorBidi"/>
                <w:sz w:val="20"/>
                <w:szCs w:val="20"/>
                <w:lang w:val="lv-LV"/>
              </w:rPr>
            </w:pPr>
            <w:r w:rsidRPr="00644A95">
              <w:rPr>
                <w:rFonts w:asciiTheme="minorHAnsi" w:eastAsiaTheme="minorHAnsi" w:hAnsiTheme="minorHAnsi" w:cstheme="minorBidi"/>
                <w:sz w:val="20"/>
                <w:szCs w:val="20"/>
                <w:lang w:val="lv-LV"/>
              </w:rPr>
              <w:t xml:space="preserve"> Citi netieši n.</w:t>
            </w:r>
          </w:p>
        </w:tc>
        <w:tc>
          <w:tcPr>
            <w:tcW w:w="1129" w:type="dxa"/>
            <w:noWrap/>
            <w:vAlign w:val="bottom"/>
            <w:hideMark/>
          </w:tcPr>
          <w:p w14:paraId="5405EB40" w14:textId="77777777" w:rsidR="00886488" w:rsidRPr="00644A95" w:rsidRDefault="00886488" w:rsidP="009A1EF2">
            <w:pPr>
              <w:jc w:val="center"/>
              <w:rPr>
                <w:rFonts w:asciiTheme="minorHAnsi" w:eastAsiaTheme="minorHAnsi" w:hAnsiTheme="minorHAnsi" w:cstheme="minorBidi"/>
                <w:sz w:val="20"/>
                <w:szCs w:val="20"/>
                <w:lang w:val="lv-LV"/>
              </w:rPr>
            </w:pPr>
            <w:r w:rsidRPr="00644A95">
              <w:rPr>
                <w:rFonts w:ascii="Calibri" w:eastAsiaTheme="minorHAnsi" w:hAnsi="Calibri" w:cs="Calibri"/>
                <w:color w:val="000000"/>
                <w:sz w:val="20"/>
                <w:szCs w:val="20"/>
                <w:lang w:val="lv-LV"/>
              </w:rPr>
              <w:t>-1.9%</w:t>
            </w:r>
          </w:p>
        </w:tc>
        <w:tc>
          <w:tcPr>
            <w:tcW w:w="1423" w:type="dxa"/>
            <w:noWrap/>
            <w:vAlign w:val="bottom"/>
            <w:hideMark/>
          </w:tcPr>
          <w:p w14:paraId="021ECE25" w14:textId="77777777" w:rsidR="00886488" w:rsidRPr="00644A95" w:rsidRDefault="00886488" w:rsidP="009A1EF2">
            <w:pPr>
              <w:jc w:val="center"/>
              <w:rPr>
                <w:rFonts w:asciiTheme="minorHAnsi" w:eastAsiaTheme="minorHAnsi" w:hAnsiTheme="minorHAnsi" w:cstheme="minorBidi"/>
                <w:sz w:val="20"/>
                <w:szCs w:val="20"/>
                <w:lang w:val="lv-LV"/>
              </w:rPr>
            </w:pPr>
            <w:r w:rsidRPr="00644A95">
              <w:rPr>
                <w:rFonts w:ascii="Calibri" w:eastAsiaTheme="minorHAnsi" w:hAnsi="Calibri" w:cs="Calibri"/>
                <w:color w:val="000000"/>
                <w:sz w:val="20"/>
                <w:szCs w:val="20"/>
                <w:lang w:val="lv-LV"/>
              </w:rPr>
              <w:t>12.4%</w:t>
            </w:r>
          </w:p>
        </w:tc>
        <w:tc>
          <w:tcPr>
            <w:tcW w:w="1417" w:type="dxa"/>
            <w:noWrap/>
            <w:vAlign w:val="bottom"/>
            <w:hideMark/>
          </w:tcPr>
          <w:p w14:paraId="72D71763" w14:textId="77777777" w:rsidR="00886488" w:rsidRPr="00644A95" w:rsidRDefault="00886488" w:rsidP="009A1EF2">
            <w:pPr>
              <w:jc w:val="center"/>
              <w:rPr>
                <w:rFonts w:ascii="Calibri" w:eastAsiaTheme="minorHAnsi" w:hAnsi="Calibri" w:cs="Calibri"/>
                <w:color w:val="000000"/>
                <w:sz w:val="20"/>
                <w:szCs w:val="20"/>
                <w:lang w:val="lv-LV"/>
              </w:rPr>
            </w:pPr>
            <w:r w:rsidRPr="00644A95">
              <w:rPr>
                <w:rFonts w:ascii="Calibri" w:eastAsiaTheme="minorHAnsi" w:hAnsi="Calibri" w:cs="Calibri"/>
                <w:color w:val="000000"/>
                <w:sz w:val="20"/>
                <w:szCs w:val="20"/>
                <w:lang w:val="lv-LV"/>
              </w:rPr>
              <w:t>-4.3%</w:t>
            </w:r>
          </w:p>
        </w:tc>
        <w:tc>
          <w:tcPr>
            <w:tcW w:w="1418" w:type="dxa"/>
            <w:noWrap/>
            <w:vAlign w:val="bottom"/>
            <w:hideMark/>
          </w:tcPr>
          <w:p w14:paraId="40A928C7" w14:textId="6AA7DD46" w:rsidR="00886488" w:rsidRPr="00644A95" w:rsidRDefault="004C63CB" w:rsidP="009A1EF2">
            <w:pPr>
              <w:jc w:val="center"/>
              <w:rPr>
                <w:rFonts w:asciiTheme="minorHAnsi" w:eastAsiaTheme="minorHAnsi" w:hAnsiTheme="minorHAnsi" w:cstheme="minorBidi"/>
                <w:sz w:val="20"/>
                <w:szCs w:val="20"/>
                <w:highlight w:val="yellow"/>
                <w:lang w:val="lv-LV"/>
              </w:rPr>
            </w:pPr>
            <w:r w:rsidRPr="00644A95">
              <w:rPr>
                <w:rFonts w:ascii="Calibri" w:eastAsiaTheme="minorHAnsi" w:hAnsi="Calibri" w:cs="Calibri"/>
                <w:color w:val="000000"/>
                <w:sz w:val="20"/>
                <w:szCs w:val="20"/>
                <w:lang w:val="lv-LV"/>
              </w:rPr>
              <w:t>2.4</w:t>
            </w:r>
            <w:r w:rsidR="00886488" w:rsidRPr="00644A95">
              <w:rPr>
                <w:rFonts w:ascii="Calibri" w:eastAsiaTheme="minorHAnsi" w:hAnsi="Calibri" w:cs="Calibri"/>
                <w:color w:val="000000"/>
                <w:sz w:val="20"/>
                <w:szCs w:val="20"/>
                <w:lang w:val="lv-LV"/>
              </w:rPr>
              <w:t>%</w:t>
            </w:r>
          </w:p>
        </w:tc>
      </w:tr>
    </w:tbl>
    <w:p w14:paraId="4286F282" w14:textId="45EE6733" w:rsidR="009A1EF2" w:rsidRPr="00644A95" w:rsidRDefault="00390462" w:rsidP="009A1EF2">
      <w:pPr>
        <w:ind w:firstLine="426"/>
        <w:rPr>
          <w:rFonts w:asciiTheme="minorHAnsi" w:eastAsiaTheme="minorEastAsia" w:hAnsiTheme="minorHAnsi" w:cstheme="minorBidi"/>
          <w:i/>
          <w:iCs/>
          <w:sz w:val="20"/>
          <w:szCs w:val="20"/>
          <w:lang w:val="lv-LV"/>
        </w:rPr>
      </w:pPr>
      <w:r w:rsidRPr="00390462">
        <w:rPr>
          <w:rFonts w:asciiTheme="minorHAnsi" w:eastAsiaTheme="minorEastAsia" w:hAnsiTheme="minorHAnsi" w:cstheme="minorBidi"/>
          <w:i/>
          <w:iCs/>
          <w:sz w:val="20"/>
          <w:szCs w:val="20"/>
          <w:lang w:val="lv-LV"/>
        </w:rPr>
        <w:t>Avots Finanšu ministrija un Padomes aprēķini</w:t>
      </w:r>
      <w:r w:rsidR="009A1EF2" w:rsidRPr="00390462">
        <w:rPr>
          <w:rFonts w:asciiTheme="minorHAnsi" w:eastAsiaTheme="minorEastAsia" w:hAnsiTheme="minorHAnsi" w:cstheme="minorBidi"/>
          <w:i/>
          <w:iCs/>
          <w:sz w:val="20"/>
          <w:szCs w:val="20"/>
          <w:lang w:val="lv-LV"/>
        </w:rPr>
        <w:t xml:space="preserve">:  </w:t>
      </w:r>
    </w:p>
    <w:p w14:paraId="2BA8B0C2" w14:textId="77777777" w:rsidR="009A1EF2" w:rsidRPr="004920AA" w:rsidRDefault="009A1EF2" w:rsidP="009A1EF2">
      <w:pPr>
        <w:ind w:firstLine="426"/>
        <w:rPr>
          <w:rFonts w:asciiTheme="minorHAnsi" w:eastAsiaTheme="minorEastAsia" w:hAnsiTheme="minorHAnsi" w:cstheme="minorBidi"/>
          <w:i/>
          <w:iCs/>
          <w:sz w:val="20"/>
          <w:szCs w:val="20"/>
          <w:lang w:val="lv-LV"/>
        </w:rPr>
      </w:pPr>
    </w:p>
    <w:p w14:paraId="3CBB954B" w14:textId="3E3F7144" w:rsidR="00886488" w:rsidRDefault="00AC6EDC" w:rsidP="009A1EF2">
      <w:pPr>
        <w:pStyle w:val="ListParagraph"/>
        <w:numPr>
          <w:ilvl w:val="0"/>
          <w:numId w:val="2"/>
        </w:numPr>
        <w:tabs>
          <w:tab w:val="left" w:pos="426"/>
        </w:tabs>
        <w:ind w:left="426" w:hanging="426"/>
        <w:jc w:val="both"/>
        <w:rPr>
          <w:rFonts w:asciiTheme="minorHAnsi" w:eastAsiaTheme="minorEastAsia" w:hAnsiTheme="minorHAnsi" w:cstheme="minorBidi"/>
          <w:b/>
          <w:bCs/>
          <w:sz w:val="22"/>
          <w:szCs w:val="22"/>
          <w:lang w:val="lv-LV"/>
        </w:rPr>
      </w:pPr>
      <w:r>
        <w:rPr>
          <w:rFonts w:asciiTheme="minorHAnsi" w:eastAsiaTheme="minorEastAsia" w:hAnsiTheme="minorHAnsi" w:cstheme="minorBidi"/>
          <w:b/>
          <w:bCs/>
          <w:sz w:val="22"/>
          <w:szCs w:val="22"/>
          <w:lang w:val="lv-LV"/>
        </w:rPr>
        <w:t xml:space="preserve">Kopumā ir jāatzīmē, ka FM nodokļu ieņēmumu prognozēšana ir bijusi konservatīva pēdējos gadus un reālie nodokļu ieņēmumi vienmēr ir bijuši lielāki par budžeta likumā plānotajiem. </w:t>
      </w:r>
      <w:r w:rsidR="0023230A">
        <w:rPr>
          <w:rFonts w:asciiTheme="minorHAnsi" w:eastAsiaTheme="minorEastAsia" w:hAnsiTheme="minorHAnsi" w:cstheme="minorBidi"/>
          <w:bCs/>
          <w:sz w:val="22"/>
          <w:szCs w:val="22"/>
          <w:lang w:val="lv-LV"/>
        </w:rPr>
        <w:t xml:space="preserve">Zemāk 4. attēlā redzams, ka nodokļu iekasēšanas plāns vienmēr ir pārpildīts, pat gados ar zemāku ekonomikas izaugsmi nekā plānots. </w:t>
      </w:r>
      <w:r w:rsidR="00A14C0B">
        <w:rPr>
          <w:rFonts w:asciiTheme="minorHAnsi" w:eastAsiaTheme="minorEastAsia" w:hAnsiTheme="minorHAnsi" w:cstheme="minorBidi"/>
          <w:bCs/>
          <w:sz w:val="22"/>
          <w:szCs w:val="22"/>
          <w:lang w:val="lv-LV"/>
        </w:rPr>
        <w:t>Protams, šī gada plāns visticamāk netiks izpildīts Covid-19 dēļ. Papildus nodokļu iekasēšanas plāna izpildi šogad ietekmē valdības piešķirtās nodokļu brīvdienas Covid-19 dēļ, kuru apjomu FM novērtē</w:t>
      </w:r>
      <w:r w:rsidR="004C2909">
        <w:rPr>
          <w:rFonts w:asciiTheme="minorHAnsi" w:eastAsiaTheme="minorEastAsia" w:hAnsiTheme="minorHAnsi" w:cstheme="minorBidi"/>
          <w:bCs/>
          <w:sz w:val="22"/>
          <w:szCs w:val="22"/>
          <w:lang w:val="lv-LV"/>
        </w:rPr>
        <w:t xml:space="preserve"> 140 miljonu eiro apmērā. </w:t>
      </w:r>
    </w:p>
    <w:p w14:paraId="1CADC3B3" w14:textId="6DBBE3F6" w:rsidR="00AC6EDC" w:rsidRDefault="00AC6EDC" w:rsidP="009A1EF2">
      <w:pPr>
        <w:tabs>
          <w:tab w:val="left" w:pos="426"/>
        </w:tabs>
        <w:jc w:val="both"/>
        <w:rPr>
          <w:rFonts w:asciiTheme="minorHAnsi" w:eastAsiaTheme="minorEastAsia" w:hAnsiTheme="minorHAnsi" w:cstheme="minorBidi"/>
          <w:b/>
          <w:bCs/>
          <w:sz w:val="22"/>
          <w:szCs w:val="22"/>
          <w:lang w:val="lv-LV"/>
        </w:rPr>
      </w:pPr>
    </w:p>
    <w:p w14:paraId="217447A6" w14:textId="27D43B34" w:rsidR="00AC6EDC" w:rsidRPr="00AC6EDC" w:rsidRDefault="00AC6EDC" w:rsidP="009A1EF2">
      <w:pPr>
        <w:tabs>
          <w:tab w:val="left" w:pos="426"/>
        </w:tabs>
        <w:jc w:val="both"/>
        <w:rPr>
          <w:rFonts w:asciiTheme="minorHAnsi" w:eastAsiaTheme="minorEastAsia" w:hAnsiTheme="minorHAnsi" w:cstheme="minorBidi"/>
          <w:b/>
          <w:bCs/>
          <w:sz w:val="22"/>
          <w:szCs w:val="22"/>
          <w:lang w:val="lv-LV"/>
        </w:rPr>
      </w:pPr>
      <w:r>
        <w:rPr>
          <w:noProof/>
          <w:lang w:val="lv-LV" w:eastAsia="lv-LV"/>
        </w:rPr>
        <w:lastRenderedPageBreak/>
        <w:drawing>
          <wp:inline distT="0" distB="0" distL="0" distR="0" wp14:anchorId="13EFF1A4" wp14:editId="3D532E19">
            <wp:extent cx="5200650" cy="25812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211D21A" w14:textId="4CF9F374" w:rsidR="00B37357" w:rsidRPr="009A1EF2" w:rsidRDefault="00A00F2A" w:rsidP="009A1EF2">
      <w:pPr>
        <w:tabs>
          <w:tab w:val="left" w:pos="426"/>
        </w:tabs>
        <w:jc w:val="both"/>
        <w:rPr>
          <w:rFonts w:asciiTheme="minorHAnsi" w:eastAsiaTheme="minorEastAsia" w:hAnsiTheme="minorHAnsi" w:cstheme="minorBidi"/>
          <w:bCs/>
          <w:i/>
          <w:sz w:val="20"/>
          <w:szCs w:val="20"/>
          <w:lang w:val="lv-LV"/>
        </w:rPr>
      </w:pPr>
      <w:r w:rsidRPr="009A1EF2">
        <w:rPr>
          <w:rFonts w:asciiTheme="minorHAnsi" w:eastAsiaTheme="minorEastAsia" w:hAnsiTheme="minorHAnsi" w:cstheme="minorBidi"/>
          <w:bCs/>
          <w:i/>
          <w:sz w:val="20"/>
          <w:szCs w:val="20"/>
          <w:lang w:val="lv-LV"/>
        </w:rPr>
        <w:t>Avots</w:t>
      </w:r>
      <w:r w:rsidR="00390462">
        <w:rPr>
          <w:rFonts w:asciiTheme="minorHAnsi" w:eastAsiaTheme="minorEastAsia" w:hAnsiTheme="minorHAnsi" w:cstheme="minorBidi"/>
          <w:bCs/>
          <w:i/>
          <w:sz w:val="20"/>
          <w:szCs w:val="20"/>
          <w:lang w:val="lv-LV"/>
        </w:rPr>
        <w:t>: Finanšu ministrija un Padomes aprēķini</w:t>
      </w:r>
    </w:p>
    <w:p w14:paraId="79739A93" w14:textId="5A217FFD" w:rsidR="00A00F2A" w:rsidRPr="009A1EF2" w:rsidRDefault="00644A95" w:rsidP="009A1EF2">
      <w:pPr>
        <w:pStyle w:val="NormalWeb"/>
        <w:spacing w:before="0" w:beforeAutospacing="0" w:after="0" w:afterAutospacing="0"/>
        <w:rPr>
          <w:rFonts w:asciiTheme="minorHAnsi" w:eastAsiaTheme="minorEastAsia" w:hAnsiTheme="minorHAnsi" w:cstheme="minorBidi"/>
          <w:b/>
          <w:bCs/>
          <w:sz w:val="20"/>
          <w:szCs w:val="20"/>
          <w:lang w:val="lv-LV"/>
        </w:rPr>
      </w:pPr>
      <w:r w:rsidRPr="00644A95">
        <w:rPr>
          <w:rFonts w:asciiTheme="minorHAnsi" w:eastAsiaTheme="minorEastAsia" w:hAnsiTheme="minorHAnsi" w:cstheme="minorBidi"/>
          <w:b/>
          <w:sz w:val="20"/>
          <w:szCs w:val="20"/>
          <w:lang w:val="lv-LV"/>
        </w:rPr>
        <w:t>3</w:t>
      </w:r>
      <w:r w:rsidR="00A00F2A" w:rsidRPr="00644A95">
        <w:rPr>
          <w:rFonts w:asciiTheme="minorHAnsi" w:eastAsiaTheme="minorEastAsia" w:hAnsiTheme="minorHAnsi" w:cstheme="minorBidi"/>
          <w:b/>
          <w:sz w:val="20"/>
          <w:szCs w:val="20"/>
          <w:lang w:val="lv-LV"/>
        </w:rPr>
        <w:t>.</w:t>
      </w:r>
      <w:r w:rsidRPr="00644A95">
        <w:rPr>
          <w:rFonts w:asciiTheme="minorHAnsi" w:eastAsiaTheme="minorEastAsia" w:hAnsiTheme="minorHAnsi" w:cstheme="minorBidi"/>
          <w:b/>
          <w:sz w:val="20"/>
          <w:szCs w:val="20"/>
          <w:lang w:val="lv-LV"/>
        </w:rPr>
        <w:t>attēls</w:t>
      </w:r>
      <w:r w:rsidRPr="00644A95">
        <w:rPr>
          <w:rFonts w:asciiTheme="minorHAnsi" w:eastAsiaTheme="minorEastAsia" w:hAnsiTheme="minorHAnsi" w:cstheme="minorBidi"/>
          <w:sz w:val="20"/>
          <w:szCs w:val="20"/>
          <w:lang w:val="lv-LV"/>
        </w:rPr>
        <w:t>:</w:t>
      </w:r>
      <w:r w:rsidR="00A00F2A" w:rsidRPr="00644A95">
        <w:rPr>
          <w:rFonts w:asciiTheme="minorHAnsi" w:eastAsiaTheme="minorEastAsia" w:hAnsiTheme="minorHAnsi" w:cstheme="minorBidi"/>
          <w:sz w:val="20"/>
          <w:szCs w:val="20"/>
          <w:lang w:val="lv-LV"/>
        </w:rPr>
        <w:t xml:space="preserve"> Kopbudžeta nodokļu ieņēmumu plāns, izpilde un pārpilde</w:t>
      </w:r>
      <w:r w:rsidR="00A00F2A" w:rsidRPr="00644A95">
        <w:rPr>
          <w:rFonts w:asciiTheme="minorHAnsi" w:eastAsiaTheme="minorEastAsia" w:hAnsiTheme="minorHAnsi" w:cstheme="minorBidi"/>
          <w:bCs/>
          <w:sz w:val="20"/>
          <w:szCs w:val="20"/>
          <w:lang w:val="lv-LV"/>
        </w:rPr>
        <w:t xml:space="preserve"> no 2015.g.-2019.g. (tūkstošos eiro un pārpilde %)</w:t>
      </w:r>
    </w:p>
    <w:p w14:paraId="7923876E" w14:textId="77777777" w:rsidR="00B37357" w:rsidRDefault="00B37357" w:rsidP="009A1EF2">
      <w:pPr>
        <w:tabs>
          <w:tab w:val="left" w:pos="426"/>
        </w:tabs>
        <w:jc w:val="both"/>
        <w:rPr>
          <w:rFonts w:asciiTheme="minorHAnsi" w:eastAsiaTheme="minorEastAsia" w:hAnsiTheme="minorHAnsi" w:cstheme="minorBidi"/>
          <w:b/>
          <w:bCs/>
          <w:sz w:val="22"/>
          <w:szCs w:val="22"/>
          <w:lang w:val="lv-LV"/>
        </w:rPr>
      </w:pPr>
    </w:p>
    <w:p w14:paraId="3CEF8275" w14:textId="3055856B" w:rsidR="00886488" w:rsidRDefault="009555D7" w:rsidP="009A1EF2">
      <w:pPr>
        <w:pStyle w:val="ListParagraph"/>
        <w:numPr>
          <w:ilvl w:val="0"/>
          <w:numId w:val="2"/>
        </w:numPr>
        <w:tabs>
          <w:tab w:val="left" w:pos="426"/>
        </w:tabs>
        <w:ind w:left="426" w:hanging="426"/>
        <w:jc w:val="both"/>
        <w:rPr>
          <w:rFonts w:asciiTheme="minorHAnsi" w:eastAsiaTheme="minorEastAsia" w:hAnsiTheme="minorHAnsi" w:cstheme="minorBidi"/>
          <w:bCs/>
          <w:sz w:val="22"/>
          <w:szCs w:val="22"/>
          <w:lang w:val="lv-LV"/>
        </w:rPr>
      </w:pPr>
      <w:r w:rsidRPr="009555D7">
        <w:rPr>
          <w:rFonts w:asciiTheme="minorHAnsi" w:eastAsiaTheme="minorEastAsia" w:hAnsiTheme="minorHAnsi" w:cstheme="minorBidi"/>
          <w:b/>
          <w:bCs/>
          <w:sz w:val="22"/>
          <w:szCs w:val="22"/>
          <w:lang w:val="lv-LV"/>
        </w:rPr>
        <w:t>Padom</w:t>
      </w:r>
      <w:r>
        <w:rPr>
          <w:rFonts w:asciiTheme="minorHAnsi" w:eastAsiaTheme="minorEastAsia" w:hAnsiTheme="minorHAnsi" w:cstheme="minorBidi"/>
          <w:b/>
          <w:bCs/>
          <w:sz w:val="22"/>
          <w:szCs w:val="22"/>
          <w:lang w:val="lv-LV"/>
        </w:rPr>
        <w:t>e atzīmē, ka pilnībā netiek izmantots</w:t>
      </w:r>
      <w:r w:rsidRPr="009555D7">
        <w:rPr>
          <w:rFonts w:asciiTheme="minorHAnsi" w:eastAsiaTheme="minorEastAsia" w:hAnsiTheme="minorHAnsi" w:cstheme="minorBidi"/>
          <w:b/>
          <w:bCs/>
          <w:sz w:val="22"/>
          <w:szCs w:val="22"/>
          <w:lang w:val="lv-LV"/>
        </w:rPr>
        <w:t xml:space="preserve"> budžeta</w:t>
      </w:r>
      <w:r>
        <w:rPr>
          <w:rFonts w:asciiTheme="minorHAnsi" w:eastAsiaTheme="minorEastAsia" w:hAnsiTheme="minorHAnsi" w:cstheme="minorBidi"/>
          <w:b/>
          <w:bCs/>
          <w:sz w:val="22"/>
          <w:szCs w:val="22"/>
          <w:lang w:val="lv-LV"/>
        </w:rPr>
        <w:t xml:space="preserve"> izdevumu pārskatīšanas potenciāls</w:t>
      </w:r>
      <w:r w:rsidRPr="009555D7">
        <w:rPr>
          <w:rFonts w:asciiTheme="minorHAnsi" w:eastAsiaTheme="minorEastAsia" w:hAnsiTheme="minorHAnsi" w:cstheme="minorBidi"/>
          <w:b/>
          <w:bCs/>
          <w:sz w:val="22"/>
          <w:szCs w:val="22"/>
          <w:lang w:val="lv-LV"/>
        </w:rPr>
        <w:t xml:space="preserve">, </w:t>
      </w:r>
      <w:r>
        <w:rPr>
          <w:rFonts w:asciiTheme="minorHAnsi" w:eastAsiaTheme="minorEastAsia" w:hAnsiTheme="minorHAnsi" w:cstheme="minorBidi"/>
          <w:b/>
          <w:bCs/>
          <w:sz w:val="22"/>
          <w:szCs w:val="22"/>
          <w:lang w:val="lv-LV"/>
        </w:rPr>
        <w:t xml:space="preserve">tādejādi </w:t>
      </w:r>
      <w:r w:rsidRPr="009555D7">
        <w:rPr>
          <w:rFonts w:asciiTheme="minorHAnsi" w:eastAsiaTheme="minorEastAsia" w:hAnsiTheme="minorHAnsi" w:cstheme="minorBidi"/>
          <w:b/>
          <w:bCs/>
          <w:sz w:val="22"/>
          <w:szCs w:val="22"/>
          <w:lang w:val="lv-LV"/>
        </w:rPr>
        <w:t xml:space="preserve">neiegūstot </w:t>
      </w:r>
      <w:r w:rsidR="00494508">
        <w:rPr>
          <w:rFonts w:asciiTheme="minorHAnsi" w:eastAsiaTheme="minorEastAsia" w:hAnsiTheme="minorHAnsi" w:cstheme="minorBidi"/>
          <w:b/>
          <w:bCs/>
          <w:sz w:val="22"/>
          <w:szCs w:val="22"/>
          <w:lang w:val="lv-LV"/>
        </w:rPr>
        <w:t xml:space="preserve">lielākus </w:t>
      </w:r>
      <w:r w:rsidRPr="009555D7">
        <w:rPr>
          <w:rFonts w:asciiTheme="minorHAnsi" w:eastAsiaTheme="minorEastAsia" w:hAnsiTheme="minorHAnsi" w:cstheme="minorBidi"/>
          <w:b/>
          <w:bCs/>
          <w:sz w:val="22"/>
          <w:szCs w:val="22"/>
          <w:lang w:val="lv-LV"/>
        </w:rPr>
        <w:t>ietaupījumus no strukturālu reformu un neracionālu budžeta izdevumu samazināšanas</w:t>
      </w:r>
      <w:r w:rsidRPr="00AF4C68">
        <w:rPr>
          <w:rFonts w:asciiTheme="minorHAnsi" w:eastAsiaTheme="minorEastAsia" w:hAnsiTheme="minorHAnsi" w:cstheme="minorBidi"/>
          <w:b/>
          <w:bCs/>
          <w:sz w:val="22"/>
          <w:szCs w:val="22"/>
          <w:lang w:val="lv-LV"/>
        </w:rPr>
        <w:t xml:space="preserve">. </w:t>
      </w:r>
      <w:r w:rsidR="00494508" w:rsidRPr="00AF4C68">
        <w:rPr>
          <w:rFonts w:asciiTheme="minorHAnsi" w:eastAsiaTheme="minorEastAsia" w:hAnsiTheme="minorHAnsi" w:cstheme="minorBidi"/>
          <w:bCs/>
          <w:sz w:val="22"/>
          <w:szCs w:val="22"/>
          <w:lang w:val="lv-LV"/>
        </w:rPr>
        <w:t>Ja pagājušā gada budžeta procesa izdevumu pārskatīšanas procesā t</w:t>
      </w:r>
      <w:r w:rsidRPr="00AF4C68">
        <w:rPr>
          <w:rFonts w:asciiTheme="minorHAnsi" w:eastAsiaTheme="minorEastAsia" w:hAnsiTheme="minorHAnsi" w:cstheme="minorBidi"/>
          <w:bCs/>
          <w:sz w:val="22"/>
          <w:szCs w:val="22"/>
          <w:lang w:val="lv-LV"/>
        </w:rPr>
        <w:t>ika atrasti 93.7</w:t>
      </w:r>
      <w:r w:rsidR="00AF4C68">
        <w:rPr>
          <w:rFonts w:asciiTheme="minorHAnsi" w:eastAsiaTheme="minorEastAsia" w:hAnsiTheme="minorHAnsi" w:cstheme="minorBidi"/>
          <w:bCs/>
          <w:sz w:val="22"/>
          <w:szCs w:val="22"/>
          <w:lang w:val="lv-LV"/>
        </w:rPr>
        <w:t xml:space="preserve"> miljoni</w:t>
      </w:r>
      <w:r w:rsidR="008D551E">
        <w:rPr>
          <w:rFonts w:asciiTheme="minorHAnsi" w:eastAsiaTheme="minorEastAsia" w:hAnsiTheme="minorHAnsi" w:cstheme="minorBidi"/>
          <w:bCs/>
          <w:sz w:val="22"/>
          <w:szCs w:val="22"/>
          <w:lang w:val="lv-LV"/>
        </w:rPr>
        <w:t xml:space="preserve"> eiro</w:t>
      </w:r>
      <w:r w:rsidR="00494508" w:rsidRPr="00AF4C68">
        <w:rPr>
          <w:rFonts w:asciiTheme="minorHAnsi" w:eastAsiaTheme="minorEastAsia" w:hAnsiTheme="minorHAnsi" w:cstheme="minorBidi"/>
          <w:bCs/>
          <w:sz w:val="22"/>
          <w:szCs w:val="22"/>
          <w:lang w:val="lv-LV"/>
        </w:rPr>
        <w:t xml:space="preserve"> ietaupījumi 2020. gada budžetam (</w:t>
      </w:r>
      <w:r w:rsidRPr="00AF4C68">
        <w:rPr>
          <w:rFonts w:asciiTheme="minorHAnsi" w:eastAsiaTheme="minorEastAsia" w:hAnsiTheme="minorHAnsi" w:cstheme="minorBidi"/>
          <w:bCs/>
          <w:sz w:val="22"/>
          <w:szCs w:val="22"/>
          <w:lang w:val="lv-LV"/>
        </w:rPr>
        <w:t>47.7 miljoni no tiem tika piešķirti vispārējai fiskālajai telpai, pārējie - attiecīgo ministriju prioritātēm</w:t>
      </w:r>
      <w:r w:rsidR="00494508" w:rsidRPr="00AF4C68">
        <w:rPr>
          <w:rFonts w:asciiTheme="minorHAnsi" w:eastAsiaTheme="minorEastAsia" w:hAnsiTheme="minorHAnsi" w:cstheme="minorBidi"/>
          <w:bCs/>
          <w:sz w:val="22"/>
          <w:szCs w:val="22"/>
          <w:lang w:val="lv-LV"/>
        </w:rPr>
        <w:t>), tad šogad izdevumu pārskat</w:t>
      </w:r>
      <w:r w:rsidR="008D551E">
        <w:rPr>
          <w:rFonts w:asciiTheme="minorHAnsi" w:eastAsiaTheme="minorEastAsia" w:hAnsiTheme="minorHAnsi" w:cstheme="minorBidi"/>
          <w:bCs/>
          <w:sz w:val="22"/>
          <w:szCs w:val="22"/>
          <w:lang w:val="lv-LV"/>
        </w:rPr>
        <w:t>īšanas procesā tika atra</w:t>
      </w:r>
      <w:r w:rsidR="00494508" w:rsidRPr="00AF4C68">
        <w:rPr>
          <w:rFonts w:asciiTheme="minorHAnsi" w:eastAsiaTheme="minorEastAsia" w:hAnsiTheme="minorHAnsi" w:cstheme="minorBidi"/>
          <w:bCs/>
          <w:sz w:val="22"/>
          <w:szCs w:val="22"/>
          <w:lang w:val="lv-LV"/>
        </w:rPr>
        <w:t>sti tikai 53.6 miljoni</w:t>
      </w:r>
      <w:r w:rsidR="008D551E">
        <w:rPr>
          <w:rFonts w:asciiTheme="minorHAnsi" w:eastAsiaTheme="minorEastAsia" w:hAnsiTheme="minorHAnsi" w:cstheme="minorBidi"/>
          <w:bCs/>
          <w:sz w:val="22"/>
          <w:szCs w:val="22"/>
          <w:lang w:val="lv-LV"/>
        </w:rPr>
        <w:t xml:space="preserve"> eiro</w:t>
      </w:r>
      <w:r w:rsidR="00494508" w:rsidRPr="00AF4C68">
        <w:rPr>
          <w:rFonts w:asciiTheme="minorHAnsi" w:eastAsiaTheme="minorEastAsia" w:hAnsiTheme="minorHAnsi" w:cstheme="minorBidi"/>
          <w:bCs/>
          <w:sz w:val="22"/>
          <w:szCs w:val="22"/>
          <w:lang w:val="lv-LV"/>
        </w:rPr>
        <w:t xml:space="preserve"> ietaupījumu 2021.gada budžetam</w:t>
      </w:r>
      <w:r w:rsidR="00AF4C68">
        <w:rPr>
          <w:rFonts w:asciiTheme="minorHAnsi" w:eastAsiaTheme="minorEastAsia" w:hAnsiTheme="minorHAnsi" w:cstheme="minorBidi"/>
          <w:bCs/>
          <w:sz w:val="22"/>
          <w:szCs w:val="22"/>
          <w:lang w:val="lv-LV"/>
        </w:rPr>
        <w:t>, tas ir par 43% mazāk</w:t>
      </w:r>
      <w:r w:rsidR="00494508" w:rsidRPr="00AF4C68">
        <w:rPr>
          <w:rFonts w:asciiTheme="minorHAnsi" w:eastAsiaTheme="minorEastAsia" w:hAnsiTheme="minorHAnsi" w:cstheme="minorBidi"/>
          <w:bCs/>
          <w:sz w:val="22"/>
          <w:szCs w:val="22"/>
          <w:lang w:val="lv-LV"/>
        </w:rPr>
        <w:t>.</w:t>
      </w:r>
      <w:r w:rsidR="00AF4C68" w:rsidRPr="00AF4C68">
        <w:rPr>
          <w:rFonts w:asciiTheme="minorHAnsi" w:eastAsiaTheme="minorEastAsia" w:hAnsiTheme="minorHAnsi" w:cstheme="minorBidi"/>
          <w:bCs/>
          <w:sz w:val="22"/>
          <w:szCs w:val="22"/>
          <w:lang w:val="lv-LV"/>
        </w:rPr>
        <w:t xml:space="preserve"> I</w:t>
      </w:r>
      <w:r w:rsidRPr="00AF4C68">
        <w:rPr>
          <w:rFonts w:asciiTheme="minorHAnsi" w:eastAsiaTheme="minorEastAsia" w:hAnsiTheme="minorHAnsi" w:cstheme="minorBidi"/>
          <w:bCs/>
          <w:sz w:val="22"/>
          <w:szCs w:val="22"/>
          <w:lang w:val="lv-LV"/>
        </w:rPr>
        <w:t>zdevumu pārskatīšana un analīze ir vērtīgs instruments, lai pārdalītu budžeta apropriācijas efektīvākai budžeta līdzekļu izmant</w:t>
      </w:r>
      <w:r w:rsidR="00AF4C68">
        <w:rPr>
          <w:rFonts w:asciiTheme="minorHAnsi" w:eastAsiaTheme="minorEastAsia" w:hAnsiTheme="minorHAnsi" w:cstheme="minorBidi"/>
          <w:bCs/>
          <w:sz w:val="22"/>
          <w:szCs w:val="22"/>
          <w:lang w:val="lv-LV"/>
        </w:rPr>
        <w:t>ošanai un politikas prioritātēm-</w:t>
      </w:r>
      <w:r w:rsidRPr="00AF4C68">
        <w:rPr>
          <w:rFonts w:asciiTheme="minorHAnsi" w:eastAsiaTheme="minorEastAsia" w:hAnsiTheme="minorHAnsi" w:cstheme="minorBidi"/>
          <w:bCs/>
          <w:sz w:val="22"/>
          <w:szCs w:val="22"/>
          <w:lang w:val="lv-LV"/>
        </w:rPr>
        <w:t xml:space="preserve"> Padome uzs</w:t>
      </w:r>
      <w:r w:rsidR="00AF4C68" w:rsidRPr="00AF4C68">
        <w:rPr>
          <w:rFonts w:asciiTheme="minorHAnsi" w:eastAsiaTheme="minorEastAsia" w:hAnsiTheme="minorHAnsi" w:cstheme="minorBidi"/>
          <w:bCs/>
          <w:sz w:val="22"/>
          <w:szCs w:val="22"/>
          <w:lang w:val="lv-LV"/>
        </w:rPr>
        <w:t xml:space="preserve">kata, ka izdevumu </w:t>
      </w:r>
      <w:r w:rsidR="00AF4C68">
        <w:rPr>
          <w:rFonts w:asciiTheme="minorHAnsi" w:eastAsiaTheme="minorEastAsia" w:hAnsiTheme="minorHAnsi" w:cstheme="minorBidi"/>
          <w:bCs/>
          <w:sz w:val="22"/>
          <w:szCs w:val="22"/>
          <w:lang w:val="lv-LV"/>
        </w:rPr>
        <w:t xml:space="preserve">pārskatīšanu var veikt efektīvāk. </w:t>
      </w:r>
    </w:p>
    <w:p w14:paraId="5BEC2C97" w14:textId="77777777" w:rsidR="008D551E" w:rsidRDefault="008D551E" w:rsidP="009A1EF2">
      <w:pPr>
        <w:pStyle w:val="ListParagraph"/>
        <w:tabs>
          <w:tab w:val="left" w:pos="426"/>
        </w:tabs>
        <w:ind w:left="426"/>
        <w:jc w:val="both"/>
        <w:rPr>
          <w:rFonts w:asciiTheme="minorHAnsi" w:eastAsiaTheme="minorEastAsia" w:hAnsiTheme="minorHAnsi" w:cstheme="minorBidi"/>
          <w:bCs/>
          <w:sz w:val="22"/>
          <w:szCs w:val="22"/>
          <w:lang w:val="lv-LV"/>
        </w:rPr>
      </w:pPr>
    </w:p>
    <w:p w14:paraId="4CE34C39" w14:textId="6BCA3F2E" w:rsidR="000F611F" w:rsidRDefault="007A4A01" w:rsidP="009A1EF2">
      <w:pPr>
        <w:pStyle w:val="ListParagraph"/>
        <w:numPr>
          <w:ilvl w:val="0"/>
          <w:numId w:val="2"/>
        </w:numPr>
        <w:tabs>
          <w:tab w:val="left" w:pos="426"/>
        </w:tabs>
        <w:ind w:left="426" w:hanging="426"/>
        <w:jc w:val="both"/>
        <w:rPr>
          <w:rFonts w:asciiTheme="minorHAnsi" w:eastAsiaTheme="minorEastAsia" w:hAnsiTheme="minorHAnsi" w:cstheme="minorBidi"/>
          <w:bCs/>
          <w:sz w:val="22"/>
          <w:szCs w:val="22"/>
          <w:lang w:val="lv-LV"/>
        </w:rPr>
      </w:pPr>
      <w:r>
        <w:rPr>
          <w:rFonts w:asciiTheme="minorHAnsi" w:eastAsiaTheme="minorEastAsia" w:hAnsiTheme="minorHAnsi" w:cstheme="minorBidi"/>
          <w:b/>
          <w:bCs/>
          <w:sz w:val="22"/>
          <w:szCs w:val="22"/>
          <w:lang w:val="lv-LV"/>
        </w:rPr>
        <w:t>2021.gada budžeta prioritātes</w:t>
      </w:r>
      <w:r w:rsidR="00C64EE8">
        <w:rPr>
          <w:rFonts w:asciiTheme="minorHAnsi" w:eastAsiaTheme="minorEastAsia" w:hAnsiTheme="minorHAnsi" w:cstheme="minorBidi"/>
          <w:b/>
          <w:bCs/>
          <w:sz w:val="22"/>
          <w:szCs w:val="22"/>
          <w:lang w:val="lv-LV"/>
        </w:rPr>
        <w:t xml:space="preserve"> ir sociāli orientētas, ar potenciālu fiskāli stimulēt kopējo iekšējo</w:t>
      </w:r>
      <w:r w:rsidR="006B1403">
        <w:rPr>
          <w:rFonts w:asciiTheme="minorHAnsi" w:eastAsiaTheme="minorEastAsia" w:hAnsiTheme="minorHAnsi" w:cstheme="minorBidi"/>
          <w:b/>
          <w:bCs/>
          <w:sz w:val="22"/>
          <w:szCs w:val="22"/>
          <w:lang w:val="lv-LV"/>
        </w:rPr>
        <w:t xml:space="preserve"> pieprasījumu, </w:t>
      </w:r>
      <w:r w:rsidR="00C64EE8">
        <w:rPr>
          <w:rFonts w:asciiTheme="minorHAnsi" w:eastAsiaTheme="minorEastAsia" w:hAnsiTheme="minorHAnsi" w:cstheme="minorBidi"/>
          <w:b/>
          <w:bCs/>
          <w:sz w:val="22"/>
          <w:szCs w:val="22"/>
          <w:lang w:val="lv-LV"/>
        </w:rPr>
        <w:t xml:space="preserve">uzlabot </w:t>
      </w:r>
      <w:r w:rsidR="006B1403">
        <w:rPr>
          <w:rFonts w:asciiTheme="minorHAnsi" w:eastAsiaTheme="minorEastAsia" w:hAnsiTheme="minorHAnsi" w:cstheme="minorBidi"/>
          <w:b/>
          <w:bCs/>
          <w:sz w:val="22"/>
          <w:szCs w:val="22"/>
          <w:lang w:val="lv-LV"/>
        </w:rPr>
        <w:t xml:space="preserve">veselības aprūpes sistēmas kapacitāti un mazināt </w:t>
      </w:r>
      <w:r w:rsidR="005F637A">
        <w:rPr>
          <w:rFonts w:asciiTheme="minorHAnsi" w:eastAsiaTheme="minorEastAsia" w:hAnsiTheme="minorHAnsi" w:cstheme="minorBidi"/>
          <w:b/>
          <w:bCs/>
          <w:sz w:val="22"/>
          <w:szCs w:val="22"/>
          <w:lang w:val="lv-LV"/>
        </w:rPr>
        <w:t xml:space="preserve">sociālo </w:t>
      </w:r>
      <w:r w:rsidR="006B1403">
        <w:rPr>
          <w:rFonts w:asciiTheme="minorHAnsi" w:eastAsiaTheme="minorEastAsia" w:hAnsiTheme="minorHAnsi" w:cstheme="minorBidi"/>
          <w:b/>
          <w:bCs/>
          <w:sz w:val="22"/>
          <w:szCs w:val="22"/>
          <w:lang w:val="lv-LV"/>
        </w:rPr>
        <w:t>nevienlīdzību</w:t>
      </w:r>
      <w:r w:rsidR="00C64EE8">
        <w:rPr>
          <w:rFonts w:asciiTheme="minorHAnsi" w:eastAsiaTheme="minorEastAsia" w:hAnsiTheme="minorHAnsi" w:cstheme="minorBidi"/>
          <w:b/>
          <w:bCs/>
          <w:sz w:val="22"/>
          <w:szCs w:val="22"/>
          <w:lang w:val="lv-LV"/>
        </w:rPr>
        <w:t xml:space="preserve">. </w:t>
      </w:r>
      <w:r w:rsidR="006B1403">
        <w:rPr>
          <w:rFonts w:asciiTheme="minorHAnsi" w:eastAsiaTheme="minorEastAsia" w:hAnsiTheme="minorHAnsi" w:cstheme="minorBidi"/>
          <w:bCs/>
          <w:sz w:val="22"/>
          <w:szCs w:val="22"/>
          <w:lang w:val="lv-LV"/>
        </w:rPr>
        <w:t>Ministru kabinets 2020. gada 22.septembra sēdē apstiprināja informatīvo ziņojumu “Par priekšlikumiem valsts budžeta ieņēmumiem un izdevumiem 2021.gadam un ietvaram 2021.-2023.gadam”,</w:t>
      </w:r>
      <w:r w:rsidR="006B1403">
        <w:rPr>
          <w:rStyle w:val="FootnoteReference"/>
          <w:rFonts w:asciiTheme="minorHAnsi" w:eastAsiaTheme="minorEastAsia" w:hAnsiTheme="minorHAnsi" w:cstheme="minorBidi"/>
          <w:bCs/>
          <w:sz w:val="22"/>
          <w:szCs w:val="22"/>
          <w:lang w:val="lv-LV"/>
        </w:rPr>
        <w:footnoteReference w:id="7"/>
      </w:r>
      <w:r w:rsidR="006B1403">
        <w:rPr>
          <w:rFonts w:asciiTheme="minorHAnsi" w:eastAsiaTheme="minorEastAsia" w:hAnsiTheme="minorHAnsi" w:cstheme="minorBidi"/>
          <w:bCs/>
          <w:sz w:val="22"/>
          <w:szCs w:val="22"/>
          <w:lang w:val="lv-LV"/>
        </w:rPr>
        <w:t xml:space="preserve"> kas noteica bu</w:t>
      </w:r>
      <w:r w:rsidR="00CD2EE0">
        <w:rPr>
          <w:rFonts w:asciiTheme="minorHAnsi" w:eastAsiaTheme="minorEastAsia" w:hAnsiTheme="minorHAnsi" w:cstheme="minorBidi"/>
          <w:bCs/>
          <w:sz w:val="22"/>
          <w:szCs w:val="22"/>
          <w:lang w:val="lv-LV"/>
        </w:rPr>
        <w:t>džeta prioritātes. Lielākais finansējums tika novirzīts veselības aprūpes finansēšanas normu</w:t>
      </w:r>
      <w:r w:rsidR="006B1403">
        <w:rPr>
          <w:rFonts w:asciiTheme="minorHAnsi" w:eastAsiaTheme="minorEastAsia" w:hAnsiTheme="minorHAnsi" w:cstheme="minorBidi"/>
          <w:bCs/>
          <w:sz w:val="22"/>
          <w:szCs w:val="22"/>
          <w:lang w:val="lv-LV"/>
        </w:rPr>
        <w:t xml:space="preserve"> </w:t>
      </w:r>
      <w:r w:rsidR="00CD2EE0">
        <w:rPr>
          <w:rFonts w:asciiTheme="minorHAnsi" w:eastAsiaTheme="minorEastAsia" w:hAnsiTheme="minorHAnsi" w:cstheme="minorBidi"/>
          <w:bCs/>
          <w:sz w:val="22"/>
          <w:szCs w:val="22"/>
          <w:lang w:val="lv-LV"/>
        </w:rPr>
        <w:t xml:space="preserve">izpildei 183 miljoni eiro, 40.6 miljoni eiro 2021.gadā tiks novirzīti pedagogu un akadēmiskā personāla atlīdzības palielināšanai, un </w:t>
      </w:r>
      <w:r w:rsidR="005456AD">
        <w:rPr>
          <w:rFonts w:asciiTheme="minorHAnsi" w:eastAsiaTheme="minorEastAsia" w:hAnsiTheme="minorHAnsi" w:cstheme="minorBidi"/>
          <w:bCs/>
          <w:sz w:val="22"/>
          <w:szCs w:val="22"/>
          <w:lang w:val="lv-LV"/>
        </w:rPr>
        <w:t xml:space="preserve">70.7 miljoni eiro 2021. gadā tiks novirzīti valsts budžetā Satversmes tiesas spriedumu izpildei labklājības jomā. Augstāk pieminētās trīs prioritātes palielina budžeta bāzi arī turpmākajos gados.  Tomēr, ņemot vērā, ka papildus budžeta finansējums paredzēts iedzīvotāju grupām ar salīdzinoši zemu ienākuma līmeni, var sagaidīt, ka šiem izdevumiem būs salīdzinoši augsts fiskālais multiplikators, tas ir, liela daļa no tiem palielinās valsts IKP, kā arī budžeta ieņēmumus.  </w:t>
      </w:r>
      <w:r w:rsidR="007D22FA">
        <w:rPr>
          <w:rFonts w:asciiTheme="minorHAnsi" w:eastAsiaTheme="minorEastAsia" w:hAnsiTheme="minorHAnsi" w:cstheme="minorBidi"/>
          <w:bCs/>
          <w:sz w:val="22"/>
          <w:szCs w:val="22"/>
          <w:lang w:val="lv-LV"/>
        </w:rPr>
        <w:t>Šiem izdevumiem</w:t>
      </w:r>
      <w:r w:rsidR="00F93070">
        <w:rPr>
          <w:rFonts w:asciiTheme="minorHAnsi" w:eastAsiaTheme="minorEastAsia" w:hAnsiTheme="minorHAnsi" w:cstheme="minorBidi"/>
          <w:bCs/>
          <w:sz w:val="22"/>
          <w:szCs w:val="22"/>
          <w:lang w:val="lv-LV"/>
        </w:rPr>
        <w:t xml:space="preserve">, kā arī minimālās algas un diferencētā neapliekamā minimuma palielināšanai, </w:t>
      </w:r>
      <w:r w:rsidR="007D22FA">
        <w:rPr>
          <w:rFonts w:asciiTheme="minorHAnsi" w:eastAsiaTheme="minorEastAsia" w:hAnsiTheme="minorHAnsi" w:cstheme="minorBidi"/>
          <w:bCs/>
          <w:sz w:val="22"/>
          <w:szCs w:val="22"/>
          <w:lang w:val="lv-LV"/>
        </w:rPr>
        <w:t xml:space="preserve">vajadzētu mazināt sociālo nevienlīdzību par ko atkārtoti iestājas gan FDP, gan arī ES institūcijas savos ziņojumos. </w:t>
      </w:r>
      <w:r w:rsidR="0072767A">
        <w:rPr>
          <w:rFonts w:asciiTheme="minorHAnsi" w:eastAsiaTheme="minorEastAsia" w:hAnsiTheme="minorHAnsi" w:cstheme="minorBidi"/>
          <w:bCs/>
          <w:sz w:val="22"/>
          <w:szCs w:val="22"/>
          <w:lang w:val="lv-LV"/>
        </w:rPr>
        <w:t>Papildus finansējuma avoti prioritātēm 2021</w:t>
      </w:r>
      <w:r w:rsidR="004E1C78">
        <w:rPr>
          <w:rFonts w:asciiTheme="minorHAnsi" w:eastAsiaTheme="minorEastAsia" w:hAnsiTheme="minorHAnsi" w:cstheme="minorBidi"/>
          <w:bCs/>
          <w:sz w:val="22"/>
          <w:szCs w:val="22"/>
          <w:lang w:val="lv-LV"/>
        </w:rPr>
        <w:t>.</w:t>
      </w:r>
      <w:r w:rsidR="0072767A">
        <w:rPr>
          <w:rFonts w:asciiTheme="minorHAnsi" w:eastAsiaTheme="minorEastAsia" w:hAnsiTheme="minorHAnsi" w:cstheme="minorBidi"/>
          <w:bCs/>
          <w:sz w:val="22"/>
          <w:szCs w:val="22"/>
          <w:lang w:val="lv-LV"/>
        </w:rPr>
        <w:t xml:space="preserve"> gadā ir IIN pārdale no pašvaldībām (90.9 miljoni eiro), Eiropas </w:t>
      </w:r>
      <w:r w:rsidR="005F637A">
        <w:rPr>
          <w:rFonts w:asciiTheme="minorHAnsi" w:eastAsiaTheme="minorEastAsia" w:hAnsiTheme="minorHAnsi" w:cstheme="minorBidi"/>
          <w:bCs/>
          <w:sz w:val="22"/>
          <w:szCs w:val="22"/>
          <w:lang w:val="lv-LV"/>
        </w:rPr>
        <w:t>Atveseļošanās un noturības mehānisms</w:t>
      </w:r>
      <w:r w:rsidR="0072767A">
        <w:rPr>
          <w:rFonts w:asciiTheme="minorHAnsi" w:eastAsiaTheme="minorEastAsia" w:hAnsiTheme="minorHAnsi" w:cstheme="minorBidi"/>
          <w:bCs/>
          <w:sz w:val="22"/>
          <w:szCs w:val="22"/>
          <w:lang w:val="lv-LV"/>
        </w:rPr>
        <w:t xml:space="preserve"> (50 miljoni eiro), Kohēzijas finansējums (2012-2020, 20 miljoni eiro), minimālā VSAOI ieviešana (53.3 miljoni eiro). </w:t>
      </w:r>
      <w:r w:rsidR="00F93070">
        <w:rPr>
          <w:rFonts w:asciiTheme="minorHAnsi" w:eastAsiaTheme="minorEastAsia" w:hAnsiTheme="minorHAnsi" w:cstheme="minorBidi"/>
          <w:bCs/>
          <w:sz w:val="22"/>
          <w:szCs w:val="22"/>
          <w:lang w:val="lv-LV"/>
        </w:rPr>
        <w:t xml:space="preserve">2022. un 2023.gados no minimālā VSAOI ieviešanas tiek plānoti ievērojams pieaugums sociālā budžeta ieņēmumos – attiecīgi 118.9 un 137.2 miljoni eiro. </w:t>
      </w:r>
    </w:p>
    <w:p w14:paraId="7FFFA878" w14:textId="77777777" w:rsidR="00E35441" w:rsidRPr="00E35441" w:rsidRDefault="00E35441" w:rsidP="009A1EF2">
      <w:pPr>
        <w:tabs>
          <w:tab w:val="left" w:pos="426"/>
        </w:tabs>
        <w:jc w:val="both"/>
        <w:rPr>
          <w:rFonts w:asciiTheme="minorHAnsi" w:eastAsiaTheme="minorEastAsia" w:hAnsiTheme="minorHAnsi" w:cstheme="minorBidi"/>
          <w:bCs/>
          <w:sz w:val="22"/>
          <w:szCs w:val="22"/>
          <w:lang w:val="lv-LV"/>
        </w:rPr>
      </w:pPr>
    </w:p>
    <w:p w14:paraId="4CE1EF64" w14:textId="318C42C8" w:rsidR="00E35441" w:rsidRPr="00AF4C68" w:rsidRDefault="636F3AF3" w:rsidP="72B40892">
      <w:pPr>
        <w:pStyle w:val="ListParagraph"/>
        <w:numPr>
          <w:ilvl w:val="0"/>
          <w:numId w:val="2"/>
        </w:numPr>
        <w:tabs>
          <w:tab w:val="left" w:pos="426"/>
        </w:tabs>
        <w:ind w:left="426" w:hanging="426"/>
        <w:jc w:val="both"/>
        <w:rPr>
          <w:rFonts w:asciiTheme="minorHAnsi" w:eastAsiaTheme="minorEastAsia" w:hAnsiTheme="minorHAnsi" w:cstheme="minorBidi"/>
          <w:sz w:val="22"/>
          <w:szCs w:val="22"/>
          <w:lang w:val="lv-LV"/>
        </w:rPr>
      </w:pPr>
      <w:r w:rsidRPr="72B40892">
        <w:rPr>
          <w:rFonts w:asciiTheme="minorHAnsi" w:eastAsiaTheme="minorEastAsia" w:hAnsiTheme="minorHAnsi" w:cstheme="minorBidi"/>
          <w:b/>
          <w:bCs/>
          <w:sz w:val="22"/>
          <w:szCs w:val="22"/>
          <w:lang w:val="lv-LV"/>
        </w:rPr>
        <w:t>Covid-19 krīzes un ā</w:t>
      </w:r>
      <w:r w:rsidR="000B4064" w:rsidRPr="72B40892">
        <w:rPr>
          <w:rFonts w:asciiTheme="minorHAnsi" w:eastAsiaTheme="minorEastAsia" w:hAnsiTheme="minorHAnsi" w:cstheme="minorBidi"/>
          <w:b/>
          <w:bCs/>
          <w:sz w:val="22"/>
          <w:szCs w:val="22"/>
          <w:lang w:val="lv-LV"/>
        </w:rPr>
        <w:t xml:space="preserve">rējās vides lielās nenoteiktības apstākļos tuvākie gadi var būt sarežģīti Latvijas ekonomikai. Šādos apstākļos valdībai ir jābūt spējīgai ātri reaģēt un stabilizēt ekonomiku. </w:t>
      </w:r>
      <w:r w:rsidR="000B4064" w:rsidRPr="72B40892">
        <w:rPr>
          <w:rFonts w:asciiTheme="minorHAnsi" w:eastAsiaTheme="minorEastAsia" w:hAnsiTheme="minorHAnsi" w:cstheme="minorBidi"/>
          <w:sz w:val="22"/>
          <w:szCs w:val="22"/>
          <w:lang w:val="lv-LV"/>
        </w:rPr>
        <w:t xml:space="preserve">Kopumā, valdība līdz šim ir veiksmīgi izdevies cīnīties ar Covid-19 izraisītās krīzes sekām. Tomēr krīze vēl nav pilnībā pārvarēta un ir </w:t>
      </w:r>
      <w:r w:rsidR="00C926F8" w:rsidRPr="72B40892">
        <w:rPr>
          <w:rFonts w:asciiTheme="minorHAnsi" w:eastAsiaTheme="minorEastAsia" w:hAnsiTheme="minorHAnsi" w:cstheme="minorBidi"/>
          <w:sz w:val="22"/>
          <w:szCs w:val="22"/>
          <w:lang w:val="lv-LV"/>
        </w:rPr>
        <w:t>iespējami papildus sarežģījumi, kas prasīs valdības aktīvu reaģēšanu. Kā tuvākā prioritāte ir uzskatāma Eiropas Atveseļ</w:t>
      </w:r>
      <w:r w:rsidR="00C71763" w:rsidRPr="72B40892">
        <w:rPr>
          <w:rFonts w:asciiTheme="minorHAnsi" w:eastAsiaTheme="minorEastAsia" w:hAnsiTheme="minorHAnsi" w:cstheme="minorBidi"/>
          <w:sz w:val="22"/>
          <w:szCs w:val="22"/>
          <w:lang w:val="lv-LV"/>
        </w:rPr>
        <w:t>ošanās un noturības mehānisma</w:t>
      </w:r>
      <w:r w:rsidR="00C926F8" w:rsidRPr="72B40892">
        <w:rPr>
          <w:rFonts w:asciiTheme="minorHAnsi" w:eastAsiaTheme="minorEastAsia" w:hAnsiTheme="minorHAnsi" w:cstheme="minorBidi"/>
          <w:sz w:val="22"/>
          <w:szCs w:val="22"/>
          <w:lang w:val="lv-LV"/>
        </w:rPr>
        <w:t xml:space="preserve"> </w:t>
      </w:r>
      <w:r w:rsidR="00837C78" w:rsidRPr="72B40892">
        <w:rPr>
          <w:rFonts w:asciiTheme="minorHAnsi" w:eastAsiaTheme="minorEastAsia" w:hAnsiTheme="minorHAnsi" w:cstheme="minorBidi"/>
          <w:sz w:val="22"/>
          <w:szCs w:val="22"/>
          <w:lang w:val="lv-LV"/>
        </w:rPr>
        <w:t xml:space="preserve">ātra un </w:t>
      </w:r>
      <w:r w:rsidR="00C926F8" w:rsidRPr="72B40892">
        <w:rPr>
          <w:rFonts w:asciiTheme="minorHAnsi" w:eastAsiaTheme="minorEastAsia" w:hAnsiTheme="minorHAnsi" w:cstheme="minorBidi"/>
          <w:sz w:val="22"/>
          <w:szCs w:val="22"/>
          <w:lang w:val="lv-LV"/>
        </w:rPr>
        <w:t xml:space="preserve">efektīva izmantošana tuvākajos </w:t>
      </w:r>
      <w:r w:rsidR="00837C78" w:rsidRPr="72B40892">
        <w:rPr>
          <w:rFonts w:asciiTheme="minorHAnsi" w:eastAsiaTheme="minorEastAsia" w:hAnsiTheme="minorHAnsi" w:cstheme="minorBidi"/>
          <w:sz w:val="22"/>
          <w:szCs w:val="22"/>
          <w:lang w:val="lv-LV"/>
        </w:rPr>
        <w:t xml:space="preserve">divos </w:t>
      </w:r>
      <w:r w:rsidR="00C926F8" w:rsidRPr="72B40892">
        <w:rPr>
          <w:rFonts w:asciiTheme="minorHAnsi" w:eastAsiaTheme="minorEastAsia" w:hAnsiTheme="minorHAnsi" w:cstheme="minorBidi"/>
          <w:sz w:val="22"/>
          <w:szCs w:val="22"/>
          <w:lang w:val="lv-LV"/>
        </w:rPr>
        <w:t>gados, lai stiprinātu Latvijas ekonomikas potenciālu saskaņā</w:t>
      </w:r>
      <w:r w:rsidR="00837C78" w:rsidRPr="72B40892">
        <w:rPr>
          <w:rFonts w:asciiTheme="minorHAnsi" w:eastAsiaTheme="minorEastAsia" w:hAnsiTheme="minorHAnsi" w:cstheme="minorBidi"/>
          <w:sz w:val="22"/>
          <w:szCs w:val="22"/>
          <w:lang w:val="lv-LV"/>
        </w:rPr>
        <w:t xml:space="preserve"> ar ES izvirzītajām prioritātēm</w:t>
      </w:r>
      <w:r w:rsidR="00837C78" w:rsidRPr="72B40892">
        <w:rPr>
          <w:rStyle w:val="FootnoteReference"/>
          <w:rFonts w:asciiTheme="minorHAnsi" w:eastAsiaTheme="minorEastAsia" w:hAnsiTheme="minorHAnsi" w:cstheme="minorBidi"/>
          <w:sz w:val="22"/>
          <w:szCs w:val="22"/>
          <w:lang w:val="lv-LV"/>
        </w:rPr>
        <w:footnoteReference w:id="8"/>
      </w:r>
      <w:r w:rsidR="00837C78" w:rsidRPr="72B40892">
        <w:rPr>
          <w:rFonts w:asciiTheme="minorHAnsi" w:eastAsiaTheme="minorEastAsia" w:hAnsiTheme="minorHAnsi" w:cstheme="minorBidi"/>
          <w:sz w:val="22"/>
          <w:szCs w:val="22"/>
          <w:lang w:val="lv-LV"/>
        </w:rPr>
        <w:t xml:space="preserve">: (i) veicināt ES ekonomisko, sociālo, un teritoriālo kohēziju, (ii) stiprināt ekonomisko un sociālo noturību, (iii) mīkstināt krīzes sociālo un ekonomisko ietekmi, (iv) atbalstīt zaļās un digitālās transformācijas. </w:t>
      </w:r>
      <w:r w:rsidR="00C926F8" w:rsidRPr="72B40892">
        <w:rPr>
          <w:rFonts w:asciiTheme="minorHAnsi" w:eastAsiaTheme="minorEastAsia" w:hAnsiTheme="minorHAnsi" w:cstheme="minorBidi"/>
          <w:sz w:val="22"/>
          <w:szCs w:val="22"/>
          <w:lang w:val="lv-LV"/>
        </w:rPr>
        <w:t xml:space="preserve"> </w:t>
      </w:r>
    </w:p>
    <w:p w14:paraId="3CDE1202" w14:textId="77777777" w:rsidR="00400F43" w:rsidRPr="00D9596B" w:rsidRDefault="00400F43" w:rsidP="009A1EF2">
      <w:pPr>
        <w:pStyle w:val="ListParagraph"/>
        <w:rPr>
          <w:rFonts w:cstheme="minorBidi"/>
          <w:b/>
          <w:bCs/>
          <w:lang w:val="lv-LV"/>
        </w:rPr>
      </w:pPr>
    </w:p>
    <w:p w14:paraId="04EB9CBC" w14:textId="44DEA903" w:rsidR="00D9596B" w:rsidRPr="00D9596B" w:rsidRDefault="001F17AA" w:rsidP="009A1EF2">
      <w:pPr>
        <w:pStyle w:val="Heading2"/>
        <w:numPr>
          <w:ilvl w:val="1"/>
          <w:numId w:val="3"/>
        </w:numPr>
        <w:spacing w:after="240"/>
        <w:rPr>
          <w:lang w:val="lv-LV"/>
        </w:rPr>
      </w:pPr>
      <w:bookmarkStart w:id="9" w:name="_Toc53387627"/>
      <w:r>
        <w:rPr>
          <w:rStyle w:val="SubtleEmphasis"/>
          <w:i w:val="0"/>
          <w:iCs w:val="0"/>
          <w:color w:val="2E74B5" w:themeColor="accent1" w:themeShade="BF"/>
          <w:lang w:val="lv-LV"/>
        </w:rPr>
        <w:t>Pēdējo gadu fiskālā</w:t>
      </w:r>
      <w:r w:rsidR="00D9596B">
        <w:rPr>
          <w:rStyle w:val="SubtleEmphasis"/>
          <w:i w:val="0"/>
          <w:iCs w:val="0"/>
          <w:color w:val="2E74B5" w:themeColor="accent1" w:themeShade="BF"/>
          <w:lang w:val="lv-LV"/>
        </w:rPr>
        <w:t xml:space="preserve"> retrospekcija</w:t>
      </w:r>
      <w:bookmarkEnd w:id="9"/>
    </w:p>
    <w:p w14:paraId="19A9FC38" w14:textId="59AEDB17" w:rsidR="001F4A32" w:rsidRPr="000637F7" w:rsidRDefault="00FF2F42" w:rsidP="72B40892">
      <w:pPr>
        <w:pStyle w:val="ListParagraph"/>
        <w:numPr>
          <w:ilvl w:val="0"/>
          <w:numId w:val="2"/>
        </w:numPr>
        <w:ind w:left="360"/>
        <w:jc w:val="both"/>
        <w:rPr>
          <w:rFonts w:asciiTheme="minorHAnsi" w:hAnsiTheme="minorHAnsi" w:cstheme="minorBidi"/>
          <w:b/>
          <w:bCs/>
          <w:sz w:val="22"/>
          <w:szCs w:val="22"/>
          <w:lang w:val="lv-LV"/>
        </w:rPr>
      </w:pPr>
      <w:r w:rsidRPr="72B40892">
        <w:rPr>
          <w:rFonts w:asciiTheme="minorHAnsi" w:hAnsiTheme="minorHAnsi"/>
          <w:b/>
          <w:bCs/>
          <w:sz w:val="22"/>
          <w:szCs w:val="22"/>
          <w:lang w:val="lv-LV"/>
        </w:rPr>
        <w:t xml:space="preserve">2019.gadā Valsts konsolidētajā kopbudžetā ir bijis </w:t>
      </w:r>
      <w:r w:rsidR="005264BE" w:rsidRPr="72B40892">
        <w:rPr>
          <w:rFonts w:asciiTheme="minorHAnsi" w:hAnsiTheme="minorHAnsi"/>
          <w:b/>
          <w:bCs/>
          <w:sz w:val="22"/>
          <w:szCs w:val="22"/>
          <w:lang w:val="lv-LV"/>
        </w:rPr>
        <w:t>117.</w:t>
      </w:r>
      <w:r w:rsidRPr="72B40892">
        <w:rPr>
          <w:rFonts w:asciiTheme="minorHAnsi" w:hAnsiTheme="minorHAnsi"/>
          <w:b/>
          <w:bCs/>
          <w:sz w:val="22"/>
          <w:szCs w:val="22"/>
          <w:lang w:val="lv-LV"/>
        </w:rPr>
        <w:t>6 miljo</w:t>
      </w:r>
      <w:r w:rsidR="00D16653" w:rsidRPr="72B40892">
        <w:rPr>
          <w:rFonts w:asciiTheme="minorHAnsi" w:hAnsiTheme="minorHAnsi"/>
          <w:b/>
          <w:bCs/>
          <w:sz w:val="22"/>
          <w:szCs w:val="22"/>
          <w:lang w:val="lv-LV"/>
        </w:rPr>
        <w:t xml:space="preserve">nu </w:t>
      </w:r>
      <w:r w:rsidR="005E701A" w:rsidRPr="72B40892">
        <w:rPr>
          <w:rFonts w:asciiTheme="minorHAnsi" w:hAnsiTheme="minorHAnsi"/>
          <w:b/>
          <w:bCs/>
          <w:sz w:val="22"/>
          <w:szCs w:val="22"/>
          <w:lang w:val="lv-LV"/>
        </w:rPr>
        <w:t>E</w:t>
      </w:r>
      <w:r w:rsidR="00D16653" w:rsidRPr="72B40892">
        <w:rPr>
          <w:rFonts w:asciiTheme="minorHAnsi" w:hAnsiTheme="minorHAnsi"/>
          <w:b/>
          <w:bCs/>
          <w:sz w:val="22"/>
          <w:szCs w:val="22"/>
          <w:lang w:val="lv-LV"/>
        </w:rPr>
        <w:t>iro deficīts, kas ir par 97.</w:t>
      </w:r>
      <w:r w:rsidR="00E661C5" w:rsidRPr="72B40892">
        <w:rPr>
          <w:rFonts w:asciiTheme="minorHAnsi" w:hAnsiTheme="minorHAnsi"/>
          <w:b/>
          <w:bCs/>
          <w:sz w:val="22"/>
          <w:szCs w:val="22"/>
          <w:lang w:val="lv-LV"/>
        </w:rPr>
        <w:t xml:space="preserve">8 </w:t>
      </w:r>
      <w:r w:rsidRPr="72B40892">
        <w:rPr>
          <w:rFonts w:asciiTheme="minorHAnsi" w:hAnsiTheme="minorHAnsi"/>
          <w:b/>
          <w:bCs/>
          <w:sz w:val="22"/>
          <w:szCs w:val="22"/>
          <w:lang w:val="lv-LV"/>
        </w:rPr>
        <w:t xml:space="preserve">miljoniem </w:t>
      </w:r>
      <w:r w:rsidR="005E701A" w:rsidRPr="72B40892">
        <w:rPr>
          <w:rFonts w:asciiTheme="minorHAnsi" w:hAnsiTheme="minorHAnsi"/>
          <w:b/>
          <w:bCs/>
          <w:sz w:val="22"/>
          <w:szCs w:val="22"/>
          <w:lang w:val="lv-LV"/>
        </w:rPr>
        <w:t>E</w:t>
      </w:r>
      <w:r w:rsidRPr="72B40892">
        <w:rPr>
          <w:rFonts w:asciiTheme="minorHAnsi" w:hAnsiTheme="minorHAnsi"/>
          <w:b/>
          <w:bCs/>
          <w:sz w:val="22"/>
          <w:szCs w:val="22"/>
          <w:lang w:val="lv-LV"/>
        </w:rPr>
        <w:t xml:space="preserve">iro </w:t>
      </w:r>
      <w:r w:rsidR="00D16653" w:rsidRPr="72B40892">
        <w:rPr>
          <w:rFonts w:asciiTheme="minorHAnsi" w:hAnsiTheme="minorHAnsi"/>
          <w:b/>
          <w:bCs/>
          <w:sz w:val="22"/>
          <w:szCs w:val="22"/>
          <w:lang w:val="lv-LV"/>
        </w:rPr>
        <w:t xml:space="preserve">mazāk kā 2018. gadā, un par </w:t>
      </w:r>
      <w:r w:rsidR="007A57AC" w:rsidRPr="72B40892">
        <w:rPr>
          <w:rFonts w:asciiTheme="minorHAnsi" w:hAnsiTheme="minorHAnsi"/>
          <w:b/>
          <w:bCs/>
          <w:sz w:val="22"/>
          <w:szCs w:val="22"/>
          <w:lang w:val="lv-LV"/>
        </w:rPr>
        <w:t>154.1</w:t>
      </w:r>
      <w:r w:rsidRPr="72B40892">
        <w:rPr>
          <w:rFonts w:asciiTheme="minorHAnsi" w:hAnsiTheme="minorHAnsi"/>
          <w:b/>
          <w:bCs/>
          <w:sz w:val="22"/>
          <w:szCs w:val="22"/>
          <w:lang w:val="lv-LV"/>
        </w:rPr>
        <w:t xml:space="preserve"> miljoniem mazāk nekā</w:t>
      </w:r>
      <w:r>
        <w:rPr>
          <w:noProof/>
          <w:lang w:val="lv-LV" w:eastAsia="lv-LV"/>
        </w:rPr>
        <w:drawing>
          <wp:inline distT="0" distB="0" distL="0" distR="0" wp14:anchorId="73092802" wp14:editId="59B8384D">
            <wp:extent cx="43815" cy="123190"/>
            <wp:effectExtent l="0" t="0" r="0" b="0"/>
            <wp:docPr id="61727632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43815" cy="123190"/>
                    </a:xfrm>
                    <a:prstGeom prst="rect">
                      <a:avLst/>
                    </a:prstGeom>
                  </pic:spPr>
                </pic:pic>
              </a:graphicData>
            </a:graphic>
          </wp:inline>
        </w:drawing>
      </w:r>
      <w:r w:rsidRPr="72B40892">
        <w:rPr>
          <w:rFonts w:asciiTheme="minorHAnsi" w:hAnsiTheme="minorHAnsi"/>
          <w:b/>
          <w:bCs/>
          <w:sz w:val="22"/>
          <w:szCs w:val="22"/>
          <w:lang w:val="lv-LV"/>
        </w:rPr>
        <w:t xml:space="preserve">prognozēts likumā “Par valsts budžetu 2019. gadam”. </w:t>
      </w:r>
      <w:r w:rsidRPr="72B40892">
        <w:rPr>
          <w:rFonts w:asciiTheme="minorHAnsi" w:hAnsiTheme="minorHAnsi"/>
          <w:sz w:val="22"/>
          <w:szCs w:val="22"/>
          <w:lang w:val="lv-LV"/>
        </w:rPr>
        <w:t>Pozitīvāka</w:t>
      </w:r>
      <w:r w:rsidRPr="72B40892">
        <w:rPr>
          <w:rFonts w:asciiTheme="minorHAnsi" w:hAnsiTheme="minorHAnsi"/>
          <w:b/>
          <w:bCs/>
          <w:sz w:val="22"/>
          <w:szCs w:val="22"/>
          <w:lang w:val="lv-LV"/>
        </w:rPr>
        <w:t xml:space="preserve"> </w:t>
      </w:r>
      <w:r w:rsidRPr="72B40892">
        <w:rPr>
          <w:rFonts w:asciiTheme="minorHAnsi" w:hAnsiTheme="minorHAnsi"/>
          <w:sz w:val="22"/>
          <w:szCs w:val="22"/>
          <w:lang w:val="lv-LV"/>
        </w:rPr>
        <w:t>kopbudžeta bilance</w:t>
      </w:r>
      <w:r w:rsidRPr="72B40892">
        <w:rPr>
          <w:rFonts w:asciiTheme="minorHAnsi" w:hAnsiTheme="minorHAnsi"/>
          <w:b/>
          <w:bCs/>
          <w:sz w:val="22"/>
          <w:szCs w:val="22"/>
          <w:lang w:val="lv-LV"/>
        </w:rPr>
        <w:t xml:space="preserve"> </w:t>
      </w:r>
      <w:r w:rsidRPr="72B40892">
        <w:rPr>
          <w:rFonts w:asciiTheme="minorHAnsi" w:hAnsiTheme="minorHAnsi"/>
          <w:sz w:val="22"/>
          <w:szCs w:val="22"/>
          <w:lang w:val="lv-LV"/>
        </w:rPr>
        <w:t>skaidrojama ar</w:t>
      </w:r>
      <w:r w:rsidRPr="72B40892">
        <w:rPr>
          <w:rFonts w:asciiTheme="minorHAnsi" w:hAnsiTheme="minorHAnsi"/>
          <w:b/>
          <w:bCs/>
          <w:sz w:val="22"/>
          <w:szCs w:val="22"/>
          <w:lang w:val="lv-LV"/>
        </w:rPr>
        <w:t xml:space="preserve"> </w:t>
      </w:r>
      <w:r w:rsidRPr="72B40892">
        <w:rPr>
          <w:rFonts w:asciiTheme="minorHAnsi" w:hAnsiTheme="minorHAnsi"/>
          <w:sz w:val="22"/>
          <w:szCs w:val="22"/>
          <w:lang w:val="lv-LV"/>
        </w:rPr>
        <w:t>lielākiem ārvalstu</w:t>
      </w:r>
      <w:r w:rsidRPr="72B40892">
        <w:rPr>
          <w:rFonts w:asciiTheme="minorHAnsi" w:hAnsiTheme="minorHAnsi"/>
          <w:b/>
          <w:bCs/>
          <w:sz w:val="22"/>
          <w:szCs w:val="22"/>
          <w:lang w:val="lv-LV"/>
        </w:rPr>
        <w:t xml:space="preserve"> </w:t>
      </w:r>
      <w:r w:rsidRPr="72B40892">
        <w:rPr>
          <w:rFonts w:asciiTheme="minorHAnsi" w:hAnsiTheme="minorHAnsi"/>
          <w:sz w:val="22"/>
          <w:szCs w:val="22"/>
          <w:lang w:val="lv-LV"/>
        </w:rPr>
        <w:t>finanšu palīd</w:t>
      </w:r>
      <w:r w:rsidR="00D16653" w:rsidRPr="72B40892">
        <w:rPr>
          <w:rFonts w:asciiTheme="minorHAnsi" w:hAnsiTheme="minorHAnsi"/>
          <w:sz w:val="22"/>
          <w:szCs w:val="22"/>
          <w:lang w:val="lv-LV"/>
        </w:rPr>
        <w:t>zības (ĀFP) ieņēmumiem (par 178.</w:t>
      </w:r>
      <w:r w:rsidRPr="72B40892">
        <w:rPr>
          <w:rFonts w:asciiTheme="minorHAnsi" w:hAnsiTheme="minorHAnsi"/>
          <w:sz w:val="22"/>
          <w:szCs w:val="22"/>
          <w:lang w:val="lv-LV"/>
        </w:rPr>
        <w:t xml:space="preserve">3 miljoniem </w:t>
      </w:r>
      <w:r w:rsidR="005E701A" w:rsidRPr="72B40892">
        <w:rPr>
          <w:rFonts w:asciiTheme="minorHAnsi" w:hAnsiTheme="minorHAnsi"/>
          <w:sz w:val="22"/>
          <w:szCs w:val="22"/>
          <w:lang w:val="lv-LV"/>
        </w:rPr>
        <w:t>E</w:t>
      </w:r>
      <w:r w:rsidRPr="72B40892">
        <w:rPr>
          <w:rFonts w:asciiTheme="minorHAnsi" w:hAnsiTheme="minorHAnsi"/>
          <w:sz w:val="22"/>
          <w:szCs w:val="22"/>
          <w:lang w:val="lv-LV"/>
        </w:rPr>
        <w:t xml:space="preserve">iro </w:t>
      </w:r>
      <w:r w:rsidR="001F4A32" w:rsidRPr="72B40892">
        <w:rPr>
          <w:rFonts w:asciiTheme="minorHAnsi" w:hAnsiTheme="minorHAnsi"/>
          <w:sz w:val="22"/>
          <w:szCs w:val="22"/>
          <w:lang w:val="lv-LV"/>
        </w:rPr>
        <w:t>vairāk kā budžetā) un pozitīvākām</w:t>
      </w:r>
      <w:r w:rsidRPr="72B40892">
        <w:rPr>
          <w:rFonts w:asciiTheme="minorHAnsi" w:hAnsiTheme="minorHAnsi"/>
          <w:sz w:val="22"/>
          <w:szCs w:val="22"/>
          <w:lang w:val="lv-LV"/>
        </w:rPr>
        <w:t xml:space="preserve"> pašvaldību</w:t>
      </w:r>
      <w:r w:rsidR="001F4A32" w:rsidRPr="72B40892">
        <w:rPr>
          <w:rFonts w:asciiTheme="minorHAnsi" w:hAnsiTheme="minorHAnsi"/>
          <w:sz w:val="22"/>
          <w:szCs w:val="22"/>
          <w:lang w:val="lv-LV"/>
        </w:rPr>
        <w:t xml:space="preserve"> un speciālā budžeta bilancēm</w:t>
      </w:r>
      <w:r w:rsidRPr="72B40892">
        <w:rPr>
          <w:rFonts w:asciiTheme="minorHAnsi" w:hAnsiTheme="minorHAnsi"/>
          <w:sz w:val="22"/>
          <w:szCs w:val="22"/>
          <w:lang w:val="lv-LV"/>
        </w:rPr>
        <w:t xml:space="preserve"> (</w:t>
      </w:r>
      <w:r w:rsidR="001F4A32" w:rsidRPr="72B40892">
        <w:rPr>
          <w:rFonts w:asciiTheme="minorHAnsi" w:hAnsiTheme="minorHAnsi"/>
          <w:sz w:val="22"/>
          <w:szCs w:val="22"/>
          <w:lang w:val="lv-LV"/>
        </w:rPr>
        <w:t xml:space="preserve">attiecīgi </w:t>
      </w:r>
      <w:r w:rsidR="00D16653" w:rsidRPr="72B40892">
        <w:rPr>
          <w:rFonts w:asciiTheme="minorHAnsi" w:hAnsiTheme="minorHAnsi"/>
          <w:sz w:val="22"/>
          <w:szCs w:val="22"/>
          <w:lang w:val="lv-LV"/>
        </w:rPr>
        <w:t>par 111.</w:t>
      </w:r>
      <w:r w:rsidRPr="72B40892">
        <w:rPr>
          <w:rFonts w:asciiTheme="minorHAnsi" w:hAnsiTheme="minorHAnsi"/>
          <w:sz w:val="22"/>
          <w:szCs w:val="22"/>
          <w:lang w:val="lv-LV"/>
        </w:rPr>
        <w:t xml:space="preserve">6 </w:t>
      </w:r>
      <w:r w:rsidR="00D16653" w:rsidRPr="72B40892">
        <w:rPr>
          <w:rFonts w:asciiTheme="minorHAnsi" w:hAnsiTheme="minorHAnsi"/>
          <w:sz w:val="22"/>
          <w:szCs w:val="22"/>
          <w:lang w:val="lv-LV"/>
        </w:rPr>
        <w:t>un 75.</w:t>
      </w:r>
      <w:r w:rsidR="007A57AC" w:rsidRPr="72B40892">
        <w:rPr>
          <w:rFonts w:asciiTheme="minorHAnsi" w:hAnsiTheme="minorHAnsi"/>
          <w:sz w:val="22"/>
          <w:szCs w:val="22"/>
          <w:lang w:val="lv-LV"/>
        </w:rPr>
        <w:t xml:space="preserve">8 </w:t>
      </w:r>
      <w:r w:rsidRPr="72B40892">
        <w:rPr>
          <w:rFonts w:asciiTheme="minorHAnsi" w:hAnsiTheme="minorHAnsi"/>
          <w:sz w:val="22"/>
          <w:szCs w:val="22"/>
          <w:lang w:val="lv-LV"/>
        </w:rPr>
        <w:t>miljoniem pozitīvāka</w:t>
      </w:r>
      <w:r w:rsidR="001F4A32" w:rsidRPr="72B40892">
        <w:rPr>
          <w:rFonts w:asciiTheme="minorHAnsi" w:hAnsiTheme="minorHAnsi"/>
          <w:sz w:val="22"/>
          <w:szCs w:val="22"/>
          <w:lang w:val="lv-LV"/>
        </w:rPr>
        <w:t>s</w:t>
      </w:r>
      <w:r w:rsidRPr="72B40892">
        <w:rPr>
          <w:rFonts w:asciiTheme="minorHAnsi" w:hAnsiTheme="minorHAnsi"/>
          <w:sz w:val="22"/>
          <w:szCs w:val="22"/>
          <w:lang w:val="lv-LV"/>
        </w:rPr>
        <w:t xml:space="preserve"> bilance</w:t>
      </w:r>
      <w:r w:rsidR="001F4A32" w:rsidRPr="72B40892">
        <w:rPr>
          <w:rFonts w:asciiTheme="minorHAnsi" w:hAnsiTheme="minorHAnsi"/>
          <w:sz w:val="22"/>
          <w:szCs w:val="22"/>
          <w:lang w:val="lv-LV"/>
        </w:rPr>
        <w:t>s</w:t>
      </w:r>
      <w:r w:rsidRPr="72B40892">
        <w:rPr>
          <w:rFonts w:asciiTheme="minorHAnsi" w:hAnsiTheme="minorHAnsi"/>
          <w:sz w:val="22"/>
          <w:szCs w:val="22"/>
          <w:lang w:val="lv-LV"/>
        </w:rPr>
        <w:t xml:space="preserve"> nekā budžetā). </w:t>
      </w:r>
      <w:r w:rsidR="0057178B" w:rsidRPr="72B40892">
        <w:rPr>
          <w:rFonts w:asciiTheme="minorHAnsi" w:hAnsiTheme="minorHAnsi"/>
          <w:sz w:val="22"/>
          <w:szCs w:val="22"/>
          <w:lang w:val="lv-LV"/>
        </w:rPr>
        <w:t>Lai arī EKS korekcijas ir nedaudz slikt</w:t>
      </w:r>
      <w:r w:rsidR="00D16653" w:rsidRPr="72B40892">
        <w:rPr>
          <w:rFonts w:asciiTheme="minorHAnsi" w:hAnsiTheme="minorHAnsi"/>
          <w:sz w:val="22"/>
          <w:szCs w:val="22"/>
          <w:lang w:val="lv-LV"/>
        </w:rPr>
        <w:t>ākas</w:t>
      </w:r>
      <w:r w:rsidR="0057178B" w:rsidRPr="72B40892">
        <w:rPr>
          <w:rFonts w:asciiTheme="minorHAnsi" w:hAnsiTheme="minorHAnsi"/>
          <w:sz w:val="22"/>
          <w:szCs w:val="22"/>
          <w:lang w:val="lv-LV"/>
        </w:rPr>
        <w:t xml:space="preserve"> kā tika plānots</w:t>
      </w:r>
      <w:r w:rsidR="001F4A32" w:rsidRPr="72B40892">
        <w:rPr>
          <w:rFonts w:asciiTheme="minorHAnsi" w:hAnsiTheme="minorHAnsi"/>
          <w:sz w:val="22"/>
          <w:szCs w:val="22"/>
          <w:lang w:val="lv-LV"/>
        </w:rPr>
        <w:t xml:space="preserve"> budžetā</w:t>
      </w:r>
      <w:r w:rsidR="00D16653" w:rsidRPr="72B40892">
        <w:rPr>
          <w:rFonts w:asciiTheme="minorHAnsi" w:hAnsiTheme="minorHAnsi"/>
          <w:sz w:val="22"/>
          <w:szCs w:val="22"/>
          <w:lang w:val="lv-LV"/>
        </w:rPr>
        <w:t>,</w:t>
      </w:r>
      <w:r w:rsidR="001F4A32" w:rsidRPr="72B40892">
        <w:rPr>
          <w:rFonts w:asciiTheme="minorHAnsi" w:hAnsiTheme="minorHAnsi"/>
          <w:sz w:val="22"/>
          <w:szCs w:val="22"/>
          <w:lang w:val="lv-LV"/>
        </w:rPr>
        <w:t xml:space="preserve"> </w:t>
      </w:r>
      <w:r w:rsidR="00D16653" w:rsidRPr="72B40892">
        <w:rPr>
          <w:rFonts w:asciiTheme="minorHAnsi" w:hAnsiTheme="minorHAnsi"/>
          <w:sz w:val="22"/>
          <w:szCs w:val="22"/>
          <w:lang w:val="lv-LV"/>
        </w:rPr>
        <w:t xml:space="preserve">provizoriski </w:t>
      </w:r>
      <w:r w:rsidR="001F4A32" w:rsidRPr="72B40892">
        <w:rPr>
          <w:rFonts w:asciiTheme="minorHAnsi" w:hAnsiTheme="minorHAnsi"/>
          <w:sz w:val="22"/>
          <w:szCs w:val="22"/>
          <w:lang w:val="lv-LV"/>
        </w:rPr>
        <w:t>vispār</w:t>
      </w:r>
      <w:r w:rsidR="00D16653" w:rsidRPr="72B40892">
        <w:rPr>
          <w:rFonts w:asciiTheme="minorHAnsi" w:hAnsiTheme="minorHAnsi"/>
          <w:sz w:val="22"/>
          <w:szCs w:val="22"/>
          <w:lang w:val="lv-LV"/>
        </w:rPr>
        <w:t xml:space="preserve">ējās valdības budžeta bilance 2019.gadā ir -63.2 miljoni </w:t>
      </w:r>
      <w:r w:rsidR="004A7AF2" w:rsidRPr="72B40892">
        <w:rPr>
          <w:rFonts w:asciiTheme="minorHAnsi" w:hAnsiTheme="minorHAnsi"/>
          <w:sz w:val="22"/>
          <w:szCs w:val="22"/>
          <w:lang w:val="lv-LV"/>
        </w:rPr>
        <w:t>E</w:t>
      </w:r>
      <w:r w:rsidR="005111DA" w:rsidRPr="72B40892">
        <w:rPr>
          <w:rFonts w:asciiTheme="minorHAnsi" w:hAnsiTheme="minorHAnsi"/>
          <w:sz w:val="22"/>
          <w:szCs w:val="22"/>
          <w:lang w:val="lv-LV"/>
        </w:rPr>
        <w:t>iro</w:t>
      </w:r>
      <w:r w:rsidR="00D16653" w:rsidRPr="72B40892">
        <w:rPr>
          <w:rFonts w:asciiTheme="minorHAnsi" w:hAnsiTheme="minorHAnsi"/>
          <w:sz w:val="22"/>
          <w:szCs w:val="22"/>
          <w:lang w:val="lv-LV"/>
        </w:rPr>
        <w:t>, t</w:t>
      </w:r>
      <w:r w:rsidR="001F4A32" w:rsidRPr="72B40892">
        <w:rPr>
          <w:rFonts w:asciiTheme="minorHAnsi" w:hAnsiTheme="minorHAnsi"/>
          <w:sz w:val="22"/>
          <w:szCs w:val="22"/>
          <w:lang w:val="lv-LV"/>
        </w:rPr>
        <w:t xml:space="preserve">as ir </w:t>
      </w:r>
      <w:r w:rsidR="00D16653" w:rsidRPr="72B40892">
        <w:rPr>
          <w:rFonts w:asciiTheme="minorHAnsi" w:hAnsiTheme="minorHAnsi"/>
          <w:sz w:val="22"/>
          <w:szCs w:val="22"/>
          <w:lang w:val="lv-LV"/>
        </w:rPr>
        <w:t>-0.2% no IKP</w:t>
      </w:r>
      <w:r w:rsidR="001F4A32" w:rsidRPr="72B40892">
        <w:rPr>
          <w:rFonts w:asciiTheme="minorHAnsi" w:hAnsiTheme="minorHAnsi"/>
          <w:sz w:val="22"/>
          <w:szCs w:val="22"/>
          <w:lang w:val="lv-LV"/>
        </w:rPr>
        <w:t>,</w:t>
      </w:r>
      <w:r w:rsidR="00D16653" w:rsidRPr="72B40892">
        <w:rPr>
          <w:rFonts w:asciiTheme="minorHAnsi" w:hAnsiTheme="minorHAnsi"/>
          <w:sz w:val="22"/>
          <w:szCs w:val="22"/>
          <w:lang w:val="lv-LV"/>
        </w:rPr>
        <w:t xml:space="preserve"> kas ir ievērojami labāk nekā tika plānots.</w:t>
      </w:r>
      <w:r w:rsidR="001F4A32" w:rsidRPr="72B40892">
        <w:rPr>
          <w:rFonts w:asciiTheme="minorHAnsi" w:hAnsiTheme="minorHAnsi"/>
          <w:b/>
          <w:bCs/>
          <w:sz w:val="22"/>
          <w:szCs w:val="22"/>
          <w:lang w:val="lv-LV"/>
        </w:rPr>
        <w:t xml:space="preserve"> </w:t>
      </w:r>
      <w:r w:rsidR="001F4A32" w:rsidRPr="72B40892">
        <w:rPr>
          <w:rFonts w:asciiTheme="minorHAnsi" w:hAnsiTheme="minorHAnsi"/>
          <w:sz w:val="22"/>
          <w:szCs w:val="22"/>
          <w:lang w:val="lv-LV"/>
        </w:rPr>
        <w:t xml:space="preserve">Budžeta bilances plānu un iznākumus 2019. un 2018. gadā skatīties tabulā zemāk. </w:t>
      </w:r>
    </w:p>
    <w:p w14:paraId="2417EE27" w14:textId="25FE77F5" w:rsidR="000637F7" w:rsidRDefault="000637F7" w:rsidP="009A1EF2">
      <w:pPr>
        <w:pStyle w:val="ListParagraph"/>
        <w:ind w:left="360"/>
        <w:jc w:val="both"/>
        <w:rPr>
          <w:rFonts w:asciiTheme="minorHAnsi" w:hAnsiTheme="minorHAnsi"/>
          <w:b/>
          <w:bCs/>
          <w:sz w:val="22"/>
          <w:szCs w:val="22"/>
          <w:lang w:val="lv-LV"/>
        </w:rPr>
      </w:pPr>
    </w:p>
    <w:p w14:paraId="038B587E" w14:textId="46A55A90" w:rsidR="1496833C" w:rsidRPr="0078054E" w:rsidRDefault="00BA7C68" w:rsidP="009A1EF2">
      <w:pPr>
        <w:ind w:left="360"/>
        <w:jc w:val="right"/>
        <w:rPr>
          <w:rFonts w:asciiTheme="minorHAnsi" w:hAnsiTheme="minorHAnsi" w:cstheme="minorHAnsi"/>
          <w:sz w:val="20"/>
          <w:szCs w:val="20"/>
          <w:lang w:val="lv-LV"/>
        </w:rPr>
      </w:pPr>
      <w:bookmarkStart w:id="10" w:name="_Hlk38937403"/>
      <w:r>
        <w:rPr>
          <w:rFonts w:asciiTheme="minorHAnsi" w:eastAsia="Calibri" w:hAnsiTheme="minorHAnsi" w:cstheme="minorHAnsi"/>
          <w:sz w:val="20"/>
          <w:szCs w:val="20"/>
          <w:lang w:val="lv-LV"/>
        </w:rPr>
        <w:t>3</w:t>
      </w:r>
      <w:r w:rsidR="6ABECBC9" w:rsidRPr="0078054E">
        <w:rPr>
          <w:rFonts w:asciiTheme="minorHAnsi" w:eastAsia="Calibri" w:hAnsiTheme="minorHAnsi" w:cstheme="minorHAnsi"/>
          <w:sz w:val="20"/>
          <w:szCs w:val="20"/>
          <w:lang w:val="lv-LV"/>
        </w:rPr>
        <w:t>.</w:t>
      </w:r>
      <w:r w:rsidR="2A3E1B49" w:rsidRPr="0078054E">
        <w:rPr>
          <w:rFonts w:asciiTheme="minorHAnsi" w:eastAsia="Calibri" w:hAnsiTheme="minorHAnsi" w:cstheme="minorHAnsi"/>
          <w:sz w:val="20"/>
          <w:szCs w:val="20"/>
          <w:lang w:val="lv-LV"/>
        </w:rPr>
        <w:t>t</w:t>
      </w:r>
      <w:r w:rsidR="7AA9AFA0" w:rsidRPr="0078054E">
        <w:rPr>
          <w:rFonts w:asciiTheme="minorHAnsi" w:eastAsia="Calibri" w:hAnsiTheme="minorHAnsi" w:cstheme="minorHAnsi"/>
          <w:sz w:val="20"/>
          <w:szCs w:val="20"/>
          <w:lang w:val="lv-LV"/>
        </w:rPr>
        <w:t xml:space="preserve">abula </w:t>
      </w:r>
    </w:p>
    <w:p w14:paraId="604536CC" w14:textId="7E836130" w:rsidR="1496833C" w:rsidRPr="0078054E" w:rsidRDefault="74F8A5FC" w:rsidP="009A1EF2">
      <w:pPr>
        <w:jc w:val="center"/>
        <w:rPr>
          <w:rFonts w:asciiTheme="minorHAnsi" w:hAnsiTheme="minorHAnsi" w:cstheme="minorHAnsi"/>
          <w:b/>
          <w:i/>
          <w:sz w:val="20"/>
          <w:szCs w:val="20"/>
          <w:lang w:val="lv-LV"/>
        </w:rPr>
      </w:pPr>
      <w:r w:rsidRPr="0078054E">
        <w:rPr>
          <w:rFonts w:asciiTheme="minorHAnsi" w:eastAsia="Calibri" w:hAnsiTheme="minorHAnsi" w:cstheme="minorHAnsi"/>
          <w:b/>
          <w:bCs/>
          <w:sz w:val="20"/>
          <w:szCs w:val="20"/>
          <w:lang w:val="lv-LV"/>
        </w:rPr>
        <w:t>B</w:t>
      </w:r>
      <w:r w:rsidR="7AA9AFA0" w:rsidRPr="0078054E">
        <w:rPr>
          <w:rFonts w:asciiTheme="minorHAnsi" w:eastAsia="Calibri" w:hAnsiTheme="minorHAnsi" w:cstheme="minorHAnsi"/>
          <w:b/>
          <w:bCs/>
          <w:sz w:val="20"/>
          <w:szCs w:val="20"/>
          <w:lang w:val="lv-LV"/>
        </w:rPr>
        <w:t>udžeta</w:t>
      </w:r>
      <w:r w:rsidR="1496833C" w:rsidRPr="0078054E">
        <w:rPr>
          <w:rFonts w:asciiTheme="minorHAnsi" w:eastAsia="Calibri" w:hAnsiTheme="minorHAnsi" w:cstheme="minorHAnsi"/>
          <w:b/>
          <w:sz w:val="20"/>
          <w:szCs w:val="20"/>
          <w:lang w:val="lv-LV"/>
        </w:rPr>
        <w:t xml:space="preserve"> bilances plāni un iznākumi</w:t>
      </w:r>
      <w:r w:rsidR="00242B5D" w:rsidRPr="0078054E">
        <w:rPr>
          <w:rFonts w:asciiTheme="minorHAnsi" w:eastAsia="Calibri" w:hAnsiTheme="minorHAnsi" w:cstheme="minorHAnsi"/>
          <w:b/>
          <w:bCs/>
          <w:sz w:val="20"/>
          <w:szCs w:val="20"/>
          <w:lang w:val="lv-LV"/>
        </w:rPr>
        <w:t xml:space="preserve"> 2018</w:t>
      </w:r>
      <w:r w:rsidR="7A4A2A68" w:rsidRPr="0078054E">
        <w:rPr>
          <w:rFonts w:asciiTheme="minorHAnsi" w:eastAsia="Calibri" w:hAnsiTheme="minorHAnsi" w:cstheme="minorHAnsi"/>
          <w:b/>
          <w:bCs/>
          <w:sz w:val="20"/>
          <w:szCs w:val="20"/>
          <w:lang w:val="lv-LV"/>
        </w:rPr>
        <w:t>.</w:t>
      </w:r>
      <w:r w:rsidR="747CABC7" w:rsidRPr="0078054E">
        <w:rPr>
          <w:rFonts w:asciiTheme="minorHAnsi" w:eastAsia="Calibri" w:hAnsiTheme="minorHAnsi" w:cstheme="minorHAnsi"/>
          <w:b/>
          <w:bCs/>
          <w:sz w:val="20"/>
          <w:szCs w:val="20"/>
          <w:lang w:val="lv-LV"/>
        </w:rPr>
        <w:t xml:space="preserve">g.  </w:t>
      </w:r>
      <w:r w:rsidR="00242B5D" w:rsidRPr="0078054E">
        <w:rPr>
          <w:rFonts w:asciiTheme="minorHAnsi" w:eastAsia="Calibri" w:hAnsiTheme="minorHAnsi" w:cstheme="minorHAnsi"/>
          <w:b/>
          <w:bCs/>
          <w:sz w:val="20"/>
          <w:szCs w:val="20"/>
          <w:lang w:val="lv-LV"/>
        </w:rPr>
        <w:t>-2019</w:t>
      </w:r>
      <w:r w:rsidR="52153391" w:rsidRPr="0078054E">
        <w:rPr>
          <w:rFonts w:asciiTheme="minorHAnsi" w:eastAsia="Calibri" w:hAnsiTheme="minorHAnsi" w:cstheme="minorHAnsi"/>
          <w:b/>
          <w:bCs/>
          <w:sz w:val="20"/>
          <w:szCs w:val="20"/>
          <w:lang w:val="lv-LV"/>
        </w:rPr>
        <w:t>.</w:t>
      </w:r>
      <w:r w:rsidR="57DED930" w:rsidRPr="0078054E">
        <w:rPr>
          <w:rFonts w:asciiTheme="minorHAnsi" w:eastAsia="Calibri" w:hAnsiTheme="minorHAnsi" w:cstheme="minorHAnsi"/>
          <w:b/>
          <w:bCs/>
          <w:sz w:val="20"/>
          <w:szCs w:val="20"/>
          <w:lang w:val="lv-LV"/>
        </w:rPr>
        <w:t>g</w:t>
      </w:r>
      <w:r w:rsidR="52153391" w:rsidRPr="0078054E">
        <w:rPr>
          <w:rFonts w:asciiTheme="minorHAnsi" w:eastAsia="Calibri" w:hAnsiTheme="minorHAnsi" w:cstheme="minorHAnsi"/>
          <w:b/>
          <w:bCs/>
          <w:sz w:val="20"/>
          <w:szCs w:val="20"/>
          <w:lang w:val="lv-LV"/>
        </w:rPr>
        <w:t>.</w:t>
      </w:r>
      <w:r w:rsidR="7AA9AFA0" w:rsidRPr="0078054E">
        <w:rPr>
          <w:rFonts w:asciiTheme="minorHAnsi" w:eastAsia="Calibri" w:hAnsiTheme="minorHAnsi" w:cstheme="minorHAnsi"/>
          <w:b/>
          <w:bCs/>
          <w:sz w:val="20"/>
          <w:szCs w:val="20"/>
          <w:lang w:val="lv-LV"/>
        </w:rPr>
        <w:t>, milj</w:t>
      </w:r>
      <w:r w:rsidR="13DC3979" w:rsidRPr="0078054E">
        <w:rPr>
          <w:rFonts w:asciiTheme="minorHAnsi" w:eastAsia="Calibri" w:hAnsiTheme="minorHAnsi" w:cstheme="minorHAnsi"/>
          <w:b/>
          <w:bCs/>
          <w:sz w:val="20"/>
          <w:szCs w:val="20"/>
          <w:lang w:val="lv-LV"/>
        </w:rPr>
        <w:t>.</w:t>
      </w:r>
      <w:r w:rsidR="7AA9AFA0" w:rsidRPr="0078054E">
        <w:rPr>
          <w:rFonts w:asciiTheme="minorHAnsi" w:eastAsia="Calibri" w:hAnsiTheme="minorHAnsi" w:cstheme="minorHAnsi"/>
          <w:b/>
          <w:bCs/>
          <w:sz w:val="20"/>
          <w:szCs w:val="20"/>
          <w:lang w:val="lv-LV"/>
        </w:rPr>
        <w:t xml:space="preserve"> </w:t>
      </w:r>
      <w:r w:rsidR="7EF1BBA9" w:rsidRPr="0078054E">
        <w:rPr>
          <w:rFonts w:asciiTheme="minorHAnsi" w:eastAsia="Calibri" w:hAnsiTheme="minorHAnsi" w:cstheme="minorHAnsi"/>
          <w:b/>
          <w:bCs/>
          <w:sz w:val="20"/>
          <w:szCs w:val="20"/>
          <w:lang w:val="lv-LV"/>
        </w:rPr>
        <w:t>Eiro</w:t>
      </w:r>
      <w:r w:rsidR="1496833C" w:rsidRPr="0078054E">
        <w:rPr>
          <w:rFonts w:asciiTheme="minorHAnsi" w:eastAsia="Calibri" w:hAnsiTheme="minorHAnsi" w:cstheme="minorHAnsi"/>
          <w:b/>
          <w:sz w:val="20"/>
          <w:szCs w:val="20"/>
          <w:lang w:val="lv-LV"/>
        </w:rPr>
        <w:t>.</w:t>
      </w:r>
    </w:p>
    <w:tbl>
      <w:tblPr>
        <w:tblStyle w:val="TableGrid"/>
        <w:tblW w:w="0" w:type="auto"/>
        <w:tblInd w:w="137" w:type="dxa"/>
        <w:tblLook w:val="04A0" w:firstRow="1" w:lastRow="0" w:firstColumn="1" w:lastColumn="0" w:noHBand="0" w:noVBand="1"/>
      </w:tblPr>
      <w:tblGrid>
        <w:gridCol w:w="3253"/>
        <w:gridCol w:w="1141"/>
        <w:gridCol w:w="1254"/>
        <w:gridCol w:w="1173"/>
        <w:gridCol w:w="1338"/>
      </w:tblGrid>
      <w:tr w:rsidR="00B6363A" w:rsidRPr="00A00F2A" w14:paraId="6FA7346D" w14:textId="77777777" w:rsidTr="1B18E59A">
        <w:trPr>
          <w:trHeight w:val="253"/>
        </w:trPr>
        <w:tc>
          <w:tcPr>
            <w:tcW w:w="3253" w:type="dxa"/>
            <w:vMerge w:val="restart"/>
            <w:shd w:val="clear" w:color="auto" w:fill="FFFFFF" w:themeFill="background1"/>
            <w:vAlign w:val="center"/>
          </w:tcPr>
          <w:p w14:paraId="63B0EA74" w14:textId="77777777" w:rsidR="00B6363A" w:rsidRPr="00A00F2A" w:rsidRDefault="00B6363A" w:rsidP="009A1EF2">
            <w:pPr>
              <w:rPr>
                <w:rFonts w:asciiTheme="minorHAnsi" w:eastAsia="Calibri" w:hAnsiTheme="minorHAnsi" w:cstheme="minorHAnsi"/>
                <w:b/>
                <w:bCs/>
                <w:sz w:val="20"/>
                <w:szCs w:val="20"/>
                <w:lang w:val="lv-LV"/>
              </w:rPr>
            </w:pPr>
            <w:r w:rsidRPr="00A00F2A">
              <w:rPr>
                <w:rFonts w:asciiTheme="minorHAnsi" w:eastAsia="Calibri" w:hAnsiTheme="minorHAnsi" w:cstheme="minorHAnsi"/>
                <w:b/>
                <w:bCs/>
                <w:sz w:val="20"/>
                <w:szCs w:val="20"/>
                <w:lang w:val="lv-LV"/>
              </w:rPr>
              <w:t>Bilance</w:t>
            </w:r>
          </w:p>
        </w:tc>
        <w:tc>
          <w:tcPr>
            <w:tcW w:w="2395" w:type="dxa"/>
            <w:gridSpan w:val="2"/>
            <w:shd w:val="clear" w:color="auto" w:fill="FFFFFF" w:themeFill="background1"/>
            <w:vAlign w:val="center"/>
          </w:tcPr>
          <w:p w14:paraId="151F5237" w14:textId="65CC9699" w:rsidR="00B6363A" w:rsidRPr="00A00F2A" w:rsidRDefault="00547DA5" w:rsidP="009A1EF2">
            <w:pPr>
              <w:jc w:val="center"/>
              <w:rPr>
                <w:rFonts w:asciiTheme="minorHAnsi" w:eastAsia="Calibri" w:hAnsiTheme="minorHAnsi" w:cstheme="minorHAnsi"/>
                <w:b/>
                <w:bCs/>
                <w:sz w:val="20"/>
                <w:szCs w:val="20"/>
                <w:lang w:val="lv-LV"/>
              </w:rPr>
            </w:pPr>
            <w:r w:rsidRPr="00A00F2A">
              <w:rPr>
                <w:rFonts w:asciiTheme="minorHAnsi" w:eastAsia="Calibri" w:hAnsiTheme="minorHAnsi" w:cstheme="minorHAnsi"/>
                <w:b/>
                <w:bCs/>
                <w:sz w:val="20"/>
                <w:szCs w:val="20"/>
                <w:lang w:val="lv-LV"/>
              </w:rPr>
              <w:t>2019</w:t>
            </w:r>
          </w:p>
        </w:tc>
        <w:tc>
          <w:tcPr>
            <w:tcW w:w="2511" w:type="dxa"/>
            <w:gridSpan w:val="2"/>
            <w:shd w:val="clear" w:color="auto" w:fill="FFFFFF" w:themeFill="background1"/>
            <w:vAlign w:val="center"/>
          </w:tcPr>
          <w:p w14:paraId="6DA1B4EF" w14:textId="7F9D5E67" w:rsidR="00B6363A" w:rsidRPr="00A00F2A" w:rsidRDefault="00547DA5" w:rsidP="009A1EF2">
            <w:pPr>
              <w:jc w:val="center"/>
              <w:rPr>
                <w:rFonts w:asciiTheme="minorHAnsi" w:eastAsia="Calibri" w:hAnsiTheme="minorHAnsi" w:cstheme="minorHAnsi"/>
                <w:b/>
                <w:bCs/>
                <w:sz w:val="20"/>
                <w:szCs w:val="20"/>
                <w:lang w:val="lv-LV"/>
              </w:rPr>
            </w:pPr>
            <w:r w:rsidRPr="00A00F2A">
              <w:rPr>
                <w:rFonts w:asciiTheme="minorHAnsi" w:eastAsia="Calibri" w:hAnsiTheme="minorHAnsi" w:cstheme="minorHAnsi"/>
                <w:b/>
                <w:bCs/>
                <w:sz w:val="20"/>
                <w:szCs w:val="20"/>
                <w:lang w:val="lv-LV"/>
              </w:rPr>
              <w:t>2018</w:t>
            </w:r>
          </w:p>
        </w:tc>
      </w:tr>
      <w:tr w:rsidR="00B6363A" w:rsidRPr="00A00F2A" w14:paraId="088D662E" w14:textId="77777777" w:rsidTr="1B18E59A">
        <w:trPr>
          <w:trHeight w:val="253"/>
        </w:trPr>
        <w:tc>
          <w:tcPr>
            <w:tcW w:w="3253" w:type="dxa"/>
            <w:vMerge/>
          </w:tcPr>
          <w:p w14:paraId="7C932052" w14:textId="77777777" w:rsidR="00B6363A" w:rsidRPr="00A00F2A" w:rsidRDefault="00B6363A" w:rsidP="009A1EF2">
            <w:pPr>
              <w:rPr>
                <w:rFonts w:asciiTheme="minorHAnsi" w:hAnsiTheme="minorHAnsi" w:cstheme="minorHAnsi"/>
                <w:sz w:val="20"/>
                <w:szCs w:val="20"/>
                <w:lang w:val="lv-LV"/>
              </w:rPr>
            </w:pPr>
          </w:p>
        </w:tc>
        <w:tc>
          <w:tcPr>
            <w:tcW w:w="1141" w:type="dxa"/>
            <w:shd w:val="clear" w:color="auto" w:fill="FFFFFF" w:themeFill="background1"/>
          </w:tcPr>
          <w:p w14:paraId="334BEB31" w14:textId="77777777" w:rsidR="00B6363A" w:rsidRPr="00A00F2A" w:rsidRDefault="00B6363A" w:rsidP="009A1EF2">
            <w:pPr>
              <w:jc w:val="center"/>
              <w:rPr>
                <w:rFonts w:asciiTheme="minorHAnsi" w:eastAsia="Calibri" w:hAnsiTheme="minorHAnsi" w:cstheme="minorHAnsi"/>
                <w:b/>
                <w:bCs/>
                <w:sz w:val="20"/>
                <w:szCs w:val="20"/>
                <w:lang w:val="lv-LV"/>
              </w:rPr>
            </w:pPr>
            <w:r w:rsidRPr="00A00F2A">
              <w:rPr>
                <w:rFonts w:asciiTheme="minorHAnsi" w:eastAsia="Calibri" w:hAnsiTheme="minorHAnsi" w:cstheme="minorBidi"/>
                <w:b/>
                <w:bCs/>
                <w:sz w:val="20"/>
                <w:szCs w:val="20"/>
                <w:lang w:val="lv-LV"/>
              </w:rPr>
              <w:t>plāns</w:t>
            </w:r>
            <w:r w:rsidRPr="00A00F2A">
              <w:rPr>
                <w:rFonts w:asciiTheme="minorHAnsi" w:eastAsia="Calibri" w:hAnsiTheme="minorHAnsi" w:cstheme="minorBidi"/>
                <w:b/>
                <w:bCs/>
                <w:sz w:val="20"/>
                <w:szCs w:val="20"/>
                <w:vertAlign w:val="superscript"/>
                <w:lang w:val="lv-LV"/>
              </w:rPr>
              <w:footnoteReference w:id="9"/>
            </w:r>
          </w:p>
        </w:tc>
        <w:tc>
          <w:tcPr>
            <w:tcW w:w="1254" w:type="dxa"/>
            <w:shd w:val="clear" w:color="auto" w:fill="DEEAF6" w:themeFill="accent1" w:themeFillTint="33"/>
            <w:vAlign w:val="center"/>
          </w:tcPr>
          <w:p w14:paraId="028A84F4" w14:textId="77777777" w:rsidR="00B6363A" w:rsidRPr="00A00F2A" w:rsidRDefault="00B6363A" w:rsidP="009A1EF2">
            <w:pPr>
              <w:jc w:val="center"/>
              <w:rPr>
                <w:rFonts w:asciiTheme="minorHAnsi" w:eastAsia="Calibri" w:hAnsiTheme="minorHAnsi" w:cstheme="minorHAnsi"/>
                <w:b/>
                <w:bCs/>
                <w:sz w:val="20"/>
                <w:szCs w:val="20"/>
                <w:lang w:val="lv-LV"/>
              </w:rPr>
            </w:pPr>
            <w:r w:rsidRPr="00A00F2A">
              <w:rPr>
                <w:rFonts w:asciiTheme="minorHAnsi" w:eastAsia="Calibri" w:hAnsiTheme="minorHAnsi" w:cstheme="minorHAnsi"/>
                <w:b/>
                <w:bCs/>
                <w:sz w:val="20"/>
                <w:szCs w:val="20"/>
                <w:lang w:val="lv-LV"/>
              </w:rPr>
              <w:t>iznākums</w:t>
            </w:r>
          </w:p>
        </w:tc>
        <w:tc>
          <w:tcPr>
            <w:tcW w:w="1173" w:type="dxa"/>
            <w:shd w:val="clear" w:color="auto" w:fill="FFFFFF" w:themeFill="background1"/>
          </w:tcPr>
          <w:p w14:paraId="171B496D" w14:textId="77777777" w:rsidR="00B6363A" w:rsidRPr="00A00F2A" w:rsidRDefault="00B6363A" w:rsidP="009A1EF2">
            <w:pPr>
              <w:jc w:val="center"/>
              <w:rPr>
                <w:rFonts w:asciiTheme="minorHAnsi" w:eastAsia="Calibri" w:hAnsiTheme="minorHAnsi" w:cstheme="minorHAnsi"/>
                <w:b/>
                <w:bCs/>
                <w:sz w:val="20"/>
                <w:szCs w:val="20"/>
                <w:lang w:val="lv-LV"/>
              </w:rPr>
            </w:pPr>
            <w:r w:rsidRPr="00A00F2A">
              <w:rPr>
                <w:rFonts w:asciiTheme="minorHAnsi" w:eastAsia="Calibri" w:hAnsiTheme="minorHAnsi" w:cstheme="minorBidi"/>
                <w:b/>
                <w:bCs/>
                <w:sz w:val="20"/>
                <w:szCs w:val="20"/>
                <w:lang w:val="lv-LV"/>
              </w:rPr>
              <w:t>plāns</w:t>
            </w:r>
            <w:r w:rsidRPr="00A00F2A">
              <w:rPr>
                <w:rFonts w:asciiTheme="minorHAnsi" w:eastAsia="Calibri" w:hAnsiTheme="minorHAnsi" w:cstheme="minorBidi"/>
                <w:b/>
                <w:bCs/>
                <w:sz w:val="20"/>
                <w:szCs w:val="20"/>
                <w:vertAlign w:val="superscript"/>
                <w:lang w:val="lv-LV"/>
              </w:rPr>
              <w:footnoteReference w:id="10"/>
            </w:r>
          </w:p>
        </w:tc>
        <w:tc>
          <w:tcPr>
            <w:tcW w:w="1338" w:type="dxa"/>
            <w:shd w:val="clear" w:color="auto" w:fill="DEEAF6" w:themeFill="accent1" w:themeFillTint="33"/>
            <w:vAlign w:val="center"/>
          </w:tcPr>
          <w:p w14:paraId="0CDCAAB4" w14:textId="77777777" w:rsidR="00B6363A" w:rsidRPr="00A00F2A" w:rsidRDefault="00B6363A" w:rsidP="009A1EF2">
            <w:pPr>
              <w:jc w:val="center"/>
              <w:rPr>
                <w:rFonts w:asciiTheme="minorHAnsi" w:eastAsia="Calibri" w:hAnsiTheme="minorHAnsi" w:cstheme="minorHAnsi"/>
                <w:b/>
                <w:bCs/>
                <w:sz w:val="20"/>
                <w:szCs w:val="20"/>
                <w:lang w:val="lv-LV"/>
              </w:rPr>
            </w:pPr>
            <w:r w:rsidRPr="00A00F2A">
              <w:rPr>
                <w:rFonts w:asciiTheme="minorHAnsi" w:eastAsia="Calibri" w:hAnsiTheme="minorHAnsi" w:cstheme="minorHAnsi"/>
                <w:b/>
                <w:bCs/>
                <w:sz w:val="20"/>
                <w:szCs w:val="20"/>
                <w:lang w:val="lv-LV"/>
              </w:rPr>
              <w:t>iznākums</w:t>
            </w:r>
          </w:p>
        </w:tc>
      </w:tr>
      <w:tr w:rsidR="00547DA5" w:rsidRPr="00A00F2A" w14:paraId="27A62A03" w14:textId="77777777" w:rsidTr="1B18E59A">
        <w:trPr>
          <w:trHeight w:val="253"/>
        </w:trPr>
        <w:tc>
          <w:tcPr>
            <w:tcW w:w="3253" w:type="dxa"/>
          </w:tcPr>
          <w:p w14:paraId="33959B53" w14:textId="77777777" w:rsidR="00547DA5" w:rsidRPr="00A00F2A" w:rsidRDefault="00547DA5" w:rsidP="009A1EF2">
            <w:pPr>
              <w:jc w:val="both"/>
              <w:rPr>
                <w:rFonts w:asciiTheme="minorHAnsi" w:eastAsia="Calibri" w:hAnsiTheme="minorHAnsi" w:cstheme="minorHAnsi"/>
                <w:sz w:val="20"/>
                <w:szCs w:val="20"/>
                <w:lang w:val="lv-LV"/>
              </w:rPr>
            </w:pPr>
            <w:r w:rsidRPr="00A00F2A">
              <w:rPr>
                <w:rFonts w:asciiTheme="minorHAnsi" w:eastAsia="Calibri" w:hAnsiTheme="minorHAnsi" w:cstheme="minorHAnsi"/>
                <w:sz w:val="20"/>
                <w:szCs w:val="20"/>
                <w:lang w:val="lv-LV"/>
              </w:rPr>
              <w:t>Vispārējās valdības budžeta bilance</w:t>
            </w:r>
          </w:p>
        </w:tc>
        <w:tc>
          <w:tcPr>
            <w:tcW w:w="1141" w:type="dxa"/>
            <w:shd w:val="clear" w:color="auto" w:fill="auto"/>
            <w:vAlign w:val="center"/>
          </w:tcPr>
          <w:p w14:paraId="0D7483DD" w14:textId="23A6F703" w:rsidR="00547DA5" w:rsidRPr="00A00F2A" w:rsidRDefault="00547DA5" w:rsidP="009A1EF2">
            <w:pPr>
              <w:jc w:val="right"/>
              <w:rPr>
                <w:rFonts w:asciiTheme="minorHAnsi" w:eastAsia="Calibri" w:hAnsiTheme="minorHAnsi" w:cstheme="minorHAnsi"/>
                <w:sz w:val="20"/>
                <w:szCs w:val="20"/>
                <w:lang w:val="lv-LV"/>
              </w:rPr>
            </w:pPr>
            <w:r w:rsidRPr="00A00F2A">
              <w:rPr>
                <w:rFonts w:asciiTheme="minorHAnsi" w:eastAsia="Calibri" w:hAnsiTheme="minorHAnsi" w:cstheme="minorHAnsi"/>
                <w:sz w:val="20"/>
                <w:szCs w:val="20"/>
                <w:lang w:val="lv-LV"/>
              </w:rPr>
              <w:t>-168.6</w:t>
            </w:r>
          </w:p>
        </w:tc>
        <w:tc>
          <w:tcPr>
            <w:tcW w:w="1254" w:type="dxa"/>
            <w:shd w:val="clear" w:color="auto" w:fill="DEEAF6" w:themeFill="accent1" w:themeFillTint="33"/>
            <w:vAlign w:val="center"/>
          </w:tcPr>
          <w:p w14:paraId="49F37E6A" w14:textId="2A65E632" w:rsidR="00547DA5" w:rsidRPr="00A00F2A" w:rsidRDefault="00C51992" w:rsidP="009A1EF2">
            <w:pPr>
              <w:jc w:val="right"/>
              <w:rPr>
                <w:rFonts w:asciiTheme="minorHAnsi" w:eastAsia="Calibri" w:hAnsiTheme="minorHAnsi" w:cstheme="minorHAnsi"/>
                <w:sz w:val="20"/>
                <w:szCs w:val="20"/>
                <w:lang w:val="lv-LV"/>
              </w:rPr>
            </w:pPr>
            <w:r w:rsidRPr="00A00F2A">
              <w:rPr>
                <w:rFonts w:asciiTheme="minorHAnsi" w:eastAsia="Calibri" w:hAnsiTheme="minorHAnsi" w:cstheme="minorHAnsi"/>
                <w:sz w:val="20"/>
                <w:szCs w:val="20"/>
                <w:lang w:val="lv-LV"/>
              </w:rPr>
              <w:t>-63.2</w:t>
            </w:r>
          </w:p>
        </w:tc>
        <w:tc>
          <w:tcPr>
            <w:tcW w:w="1173" w:type="dxa"/>
            <w:vAlign w:val="center"/>
          </w:tcPr>
          <w:p w14:paraId="1D458D24" w14:textId="7C4A95BE" w:rsidR="00547DA5" w:rsidRPr="00A00F2A" w:rsidRDefault="00547DA5" w:rsidP="009A1EF2">
            <w:pPr>
              <w:jc w:val="right"/>
              <w:rPr>
                <w:rFonts w:asciiTheme="minorHAnsi" w:eastAsia="Calibri" w:hAnsiTheme="minorHAnsi" w:cstheme="minorHAnsi"/>
                <w:sz w:val="20"/>
                <w:szCs w:val="20"/>
                <w:lang w:val="lv-LV"/>
              </w:rPr>
            </w:pPr>
            <w:r w:rsidRPr="00A00F2A">
              <w:rPr>
                <w:rFonts w:asciiTheme="minorHAnsi" w:eastAsia="Calibri" w:hAnsiTheme="minorHAnsi" w:cstheme="minorHAnsi"/>
                <w:sz w:val="20"/>
                <w:szCs w:val="20"/>
                <w:lang w:val="lv-LV"/>
              </w:rPr>
              <w:t>-265.3</w:t>
            </w:r>
          </w:p>
        </w:tc>
        <w:tc>
          <w:tcPr>
            <w:tcW w:w="1338" w:type="dxa"/>
            <w:shd w:val="clear" w:color="auto" w:fill="DEEAF6" w:themeFill="accent1" w:themeFillTint="33"/>
            <w:vAlign w:val="center"/>
          </w:tcPr>
          <w:p w14:paraId="10444F62" w14:textId="23713D3A" w:rsidR="00547DA5" w:rsidRPr="00A00F2A" w:rsidRDefault="00547DA5" w:rsidP="009A1EF2">
            <w:pPr>
              <w:jc w:val="right"/>
              <w:rPr>
                <w:rFonts w:asciiTheme="minorHAnsi" w:eastAsia="Calibri" w:hAnsiTheme="minorHAnsi" w:cstheme="minorHAnsi"/>
                <w:sz w:val="20"/>
                <w:szCs w:val="20"/>
                <w:lang w:val="lv-LV"/>
              </w:rPr>
            </w:pPr>
            <w:r w:rsidRPr="00A00F2A">
              <w:rPr>
                <w:rFonts w:asciiTheme="minorHAnsi" w:eastAsia="Calibri" w:hAnsiTheme="minorHAnsi" w:cstheme="minorHAnsi"/>
                <w:sz w:val="20"/>
                <w:szCs w:val="20"/>
                <w:lang w:val="lv-LV"/>
              </w:rPr>
              <w:t>-</w:t>
            </w:r>
            <w:r w:rsidR="007A57AC" w:rsidRPr="00A00F2A">
              <w:rPr>
                <w:rFonts w:asciiTheme="minorHAnsi" w:eastAsia="Calibri" w:hAnsiTheme="minorHAnsi" w:cstheme="minorHAnsi"/>
                <w:sz w:val="20"/>
                <w:szCs w:val="20"/>
                <w:lang w:val="lv-LV"/>
              </w:rPr>
              <w:t>242.9</w:t>
            </w:r>
          </w:p>
        </w:tc>
      </w:tr>
      <w:tr w:rsidR="00547DA5" w:rsidRPr="00A00F2A" w14:paraId="48F1F928" w14:textId="77777777" w:rsidTr="1B18E59A">
        <w:trPr>
          <w:trHeight w:val="253"/>
        </w:trPr>
        <w:tc>
          <w:tcPr>
            <w:tcW w:w="3253" w:type="dxa"/>
          </w:tcPr>
          <w:p w14:paraId="2CA66C8A" w14:textId="07E3C8FC" w:rsidR="00547DA5" w:rsidRPr="00A00F2A" w:rsidRDefault="00547DA5" w:rsidP="009A1EF2">
            <w:pPr>
              <w:ind w:left="179"/>
              <w:jc w:val="both"/>
              <w:rPr>
                <w:rFonts w:asciiTheme="minorHAnsi" w:eastAsia="Calibri" w:hAnsiTheme="minorHAnsi" w:cstheme="minorHAnsi"/>
                <w:sz w:val="20"/>
                <w:szCs w:val="20"/>
                <w:lang w:val="lv-LV"/>
              </w:rPr>
            </w:pPr>
            <w:r w:rsidRPr="00A00F2A">
              <w:rPr>
                <w:rFonts w:asciiTheme="minorHAnsi" w:eastAsia="Calibri" w:hAnsiTheme="minorHAnsi" w:cstheme="minorBidi"/>
                <w:sz w:val="20"/>
                <w:szCs w:val="20"/>
                <w:lang w:val="lv-LV"/>
              </w:rPr>
              <w:t>EKS2010</w:t>
            </w:r>
            <w:r w:rsidRPr="00A00F2A">
              <w:rPr>
                <w:rStyle w:val="FootnoteReference"/>
                <w:rFonts w:asciiTheme="minorHAnsi" w:eastAsia="Calibri" w:hAnsiTheme="minorHAnsi" w:cstheme="minorBidi"/>
                <w:sz w:val="20"/>
                <w:szCs w:val="20"/>
                <w:lang w:val="lv-LV"/>
              </w:rPr>
              <w:footnoteReference w:id="11"/>
            </w:r>
            <w:r w:rsidRPr="00A00F2A">
              <w:rPr>
                <w:rFonts w:asciiTheme="minorHAnsi" w:eastAsia="Calibri" w:hAnsiTheme="minorHAnsi" w:cstheme="minorBidi"/>
                <w:sz w:val="20"/>
                <w:szCs w:val="20"/>
                <w:lang w:val="lv-LV"/>
              </w:rPr>
              <w:t xml:space="preserve"> korekcijas</w:t>
            </w:r>
          </w:p>
        </w:tc>
        <w:tc>
          <w:tcPr>
            <w:tcW w:w="1141" w:type="dxa"/>
            <w:shd w:val="clear" w:color="auto" w:fill="auto"/>
            <w:vAlign w:val="center"/>
          </w:tcPr>
          <w:p w14:paraId="079EAD7F" w14:textId="406A4182" w:rsidR="00547DA5" w:rsidRPr="00A00F2A" w:rsidRDefault="00547DA5" w:rsidP="009A1EF2">
            <w:pPr>
              <w:jc w:val="right"/>
              <w:rPr>
                <w:rFonts w:asciiTheme="minorHAnsi" w:eastAsia="Calibri" w:hAnsiTheme="minorHAnsi" w:cstheme="minorHAnsi"/>
                <w:sz w:val="20"/>
                <w:szCs w:val="20"/>
                <w:lang w:val="lv-LV"/>
              </w:rPr>
            </w:pPr>
            <w:r w:rsidRPr="00A00F2A">
              <w:rPr>
                <w:rFonts w:asciiTheme="minorHAnsi" w:eastAsia="Calibri" w:hAnsiTheme="minorHAnsi" w:cstheme="minorHAnsi"/>
                <w:sz w:val="20"/>
                <w:szCs w:val="20"/>
                <w:lang w:val="lv-LV"/>
              </w:rPr>
              <w:t>103.1</w:t>
            </w:r>
          </w:p>
        </w:tc>
        <w:tc>
          <w:tcPr>
            <w:tcW w:w="1254" w:type="dxa"/>
            <w:shd w:val="clear" w:color="auto" w:fill="DEEAF6" w:themeFill="accent1" w:themeFillTint="33"/>
            <w:vAlign w:val="center"/>
          </w:tcPr>
          <w:p w14:paraId="6D729FED" w14:textId="223CDA3E" w:rsidR="00547DA5" w:rsidRPr="00A00F2A" w:rsidRDefault="00C51992" w:rsidP="009A1EF2">
            <w:pPr>
              <w:jc w:val="right"/>
              <w:rPr>
                <w:rFonts w:asciiTheme="minorHAnsi" w:eastAsia="Calibri" w:hAnsiTheme="minorHAnsi" w:cstheme="minorHAnsi"/>
                <w:sz w:val="20"/>
                <w:szCs w:val="20"/>
                <w:lang w:val="lv-LV"/>
              </w:rPr>
            </w:pPr>
            <w:r w:rsidRPr="00A00F2A">
              <w:rPr>
                <w:rFonts w:asciiTheme="minorHAnsi" w:eastAsia="Calibri" w:hAnsiTheme="minorHAnsi" w:cstheme="minorHAnsi"/>
                <w:sz w:val="20"/>
                <w:szCs w:val="20"/>
                <w:lang w:val="lv-LV"/>
              </w:rPr>
              <w:t>54.4</w:t>
            </w:r>
          </w:p>
        </w:tc>
        <w:tc>
          <w:tcPr>
            <w:tcW w:w="1173" w:type="dxa"/>
            <w:vAlign w:val="center"/>
          </w:tcPr>
          <w:p w14:paraId="616E292D" w14:textId="1C910697" w:rsidR="00547DA5" w:rsidRPr="00A00F2A" w:rsidRDefault="00547DA5" w:rsidP="009A1EF2">
            <w:pPr>
              <w:jc w:val="right"/>
              <w:rPr>
                <w:rFonts w:asciiTheme="minorHAnsi" w:eastAsia="Calibri" w:hAnsiTheme="minorHAnsi" w:cstheme="minorHAnsi"/>
                <w:sz w:val="20"/>
                <w:szCs w:val="20"/>
                <w:lang w:val="lv-LV"/>
              </w:rPr>
            </w:pPr>
            <w:r w:rsidRPr="00A00F2A">
              <w:rPr>
                <w:rFonts w:asciiTheme="minorHAnsi" w:eastAsia="Calibri" w:hAnsiTheme="minorHAnsi" w:cstheme="minorHAnsi"/>
                <w:sz w:val="20"/>
                <w:szCs w:val="20"/>
                <w:lang w:val="lv-LV"/>
              </w:rPr>
              <w:t>-101.6</w:t>
            </w:r>
          </w:p>
        </w:tc>
        <w:tc>
          <w:tcPr>
            <w:tcW w:w="1338" w:type="dxa"/>
            <w:shd w:val="clear" w:color="auto" w:fill="DEEAF6" w:themeFill="accent1" w:themeFillTint="33"/>
            <w:vAlign w:val="center"/>
          </w:tcPr>
          <w:p w14:paraId="5A2E9AB5" w14:textId="4A46B1E3" w:rsidR="00547DA5" w:rsidRPr="00A00F2A" w:rsidRDefault="00547DA5" w:rsidP="009A1EF2">
            <w:pPr>
              <w:jc w:val="right"/>
              <w:rPr>
                <w:rFonts w:asciiTheme="minorHAnsi" w:eastAsia="Calibri" w:hAnsiTheme="minorHAnsi" w:cstheme="minorHAnsi"/>
                <w:sz w:val="20"/>
                <w:szCs w:val="20"/>
                <w:lang w:val="lv-LV"/>
              </w:rPr>
            </w:pPr>
            <w:r w:rsidRPr="00A00F2A">
              <w:rPr>
                <w:rFonts w:asciiTheme="minorHAnsi" w:eastAsia="Calibri" w:hAnsiTheme="minorHAnsi" w:cstheme="minorHAnsi"/>
                <w:sz w:val="20"/>
                <w:szCs w:val="20"/>
                <w:lang w:val="lv-LV"/>
              </w:rPr>
              <w:t>-</w:t>
            </w:r>
            <w:r w:rsidR="007A57AC" w:rsidRPr="00A00F2A">
              <w:rPr>
                <w:rFonts w:asciiTheme="minorHAnsi" w:eastAsia="Calibri" w:hAnsiTheme="minorHAnsi" w:cstheme="minorHAnsi"/>
                <w:sz w:val="20"/>
                <w:szCs w:val="20"/>
                <w:lang w:val="lv-LV"/>
              </w:rPr>
              <w:t>27.5</w:t>
            </w:r>
          </w:p>
        </w:tc>
      </w:tr>
      <w:tr w:rsidR="00547DA5" w:rsidRPr="00A00F2A" w14:paraId="54C8CFF0" w14:textId="77777777" w:rsidTr="1B18E59A">
        <w:trPr>
          <w:trHeight w:val="253"/>
        </w:trPr>
        <w:tc>
          <w:tcPr>
            <w:tcW w:w="3253" w:type="dxa"/>
          </w:tcPr>
          <w:p w14:paraId="05F0407D" w14:textId="77777777" w:rsidR="00547DA5" w:rsidRPr="00A00F2A" w:rsidRDefault="00547DA5" w:rsidP="009A1EF2">
            <w:pPr>
              <w:jc w:val="both"/>
              <w:rPr>
                <w:rFonts w:asciiTheme="minorHAnsi" w:eastAsia="Calibri" w:hAnsiTheme="minorHAnsi" w:cstheme="minorHAnsi"/>
                <w:sz w:val="20"/>
                <w:szCs w:val="20"/>
                <w:lang w:val="lv-LV"/>
              </w:rPr>
            </w:pPr>
            <w:r w:rsidRPr="00A00F2A">
              <w:rPr>
                <w:rFonts w:asciiTheme="minorHAnsi" w:eastAsia="Calibri" w:hAnsiTheme="minorHAnsi" w:cstheme="minorHAnsi"/>
                <w:sz w:val="20"/>
                <w:szCs w:val="20"/>
                <w:lang w:val="lv-LV"/>
              </w:rPr>
              <w:t>Valsts konsolidētais kopbudžets</w:t>
            </w:r>
          </w:p>
        </w:tc>
        <w:tc>
          <w:tcPr>
            <w:tcW w:w="1141" w:type="dxa"/>
            <w:shd w:val="clear" w:color="auto" w:fill="auto"/>
            <w:vAlign w:val="center"/>
          </w:tcPr>
          <w:p w14:paraId="6CE69D6D" w14:textId="1B2E21D0" w:rsidR="00547DA5" w:rsidRPr="00A00F2A" w:rsidRDefault="00547DA5" w:rsidP="009A1EF2">
            <w:pPr>
              <w:jc w:val="right"/>
              <w:rPr>
                <w:rFonts w:asciiTheme="minorHAnsi" w:eastAsia="Calibri" w:hAnsiTheme="minorHAnsi" w:cstheme="minorHAnsi"/>
                <w:sz w:val="20"/>
                <w:szCs w:val="20"/>
                <w:lang w:val="lv-LV"/>
              </w:rPr>
            </w:pPr>
            <w:r w:rsidRPr="00A00F2A">
              <w:rPr>
                <w:rFonts w:asciiTheme="minorHAnsi" w:eastAsia="Calibri" w:hAnsiTheme="minorHAnsi" w:cstheme="minorHAnsi"/>
                <w:sz w:val="20"/>
                <w:szCs w:val="20"/>
                <w:lang w:val="lv-LV"/>
              </w:rPr>
              <w:t>-271.7</w:t>
            </w:r>
          </w:p>
        </w:tc>
        <w:tc>
          <w:tcPr>
            <w:tcW w:w="1254" w:type="dxa"/>
            <w:shd w:val="clear" w:color="auto" w:fill="DEEAF6" w:themeFill="accent1" w:themeFillTint="33"/>
            <w:vAlign w:val="center"/>
          </w:tcPr>
          <w:p w14:paraId="66324A45" w14:textId="575EE204" w:rsidR="00547DA5" w:rsidRPr="00A00F2A" w:rsidRDefault="00547DA5" w:rsidP="009A1EF2">
            <w:pPr>
              <w:jc w:val="right"/>
              <w:rPr>
                <w:rFonts w:asciiTheme="minorHAnsi" w:eastAsia="Calibri" w:hAnsiTheme="minorHAnsi" w:cstheme="minorHAnsi"/>
                <w:sz w:val="20"/>
                <w:szCs w:val="20"/>
                <w:lang w:val="lv-LV"/>
              </w:rPr>
            </w:pPr>
            <w:r w:rsidRPr="00A00F2A">
              <w:rPr>
                <w:rFonts w:asciiTheme="minorHAnsi" w:eastAsia="Calibri" w:hAnsiTheme="minorHAnsi" w:cstheme="minorHAnsi"/>
                <w:sz w:val="20"/>
                <w:szCs w:val="20"/>
                <w:lang w:val="lv-LV"/>
              </w:rPr>
              <w:t>-117.6</w:t>
            </w:r>
          </w:p>
        </w:tc>
        <w:tc>
          <w:tcPr>
            <w:tcW w:w="1173" w:type="dxa"/>
            <w:vAlign w:val="center"/>
          </w:tcPr>
          <w:p w14:paraId="325813A8" w14:textId="6E051680" w:rsidR="00547DA5" w:rsidRPr="00A00F2A" w:rsidRDefault="00547DA5" w:rsidP="009A1EF2">
            <w:pPr>
              <w:jc w:val="right"/>
              <w:rPr>
                <w:rFonts w:asciiTheme="minorHAnsi" w:eastAsia="Calibri" w:hAnsiTheme="minorHAnsi" w:cstheme="minorHAnsi"/>
                <w:sz w:val="20"/>
                <w:szCs w:val="20"/>
                <w:lang w:val="lv-LV"/>
              </w:rPr>
            </w:pPr>
            <w:r w:rsidRPr="00A00F2A">
              <w:rPr>
                <w:rFonts w:asciiTheme="minorHAnsi" w:eastAsia="Calibri" w:hAnsiTheme="minorHAnsi" w:cstheme="minorHAnsi"/>
                <w:sz w:val="20"/>
                <w:szCs w:val="20"/>
                <w:lang w:val="lv-LV"/>
              </w:rPr>
              <w:t>-163.7</w:t>
            </w:r>
          </w:p>
        </w:tc>
        <w:tc>
          <w:tcPr>
            <w:tcW w:w="1338" w:type="dxa"/>
            <w:shd w:val="clear" w:color="auto" w:fill="DEEAF6" w:themeFill="accent1" w:themeFillTint="33"/>
            <w:vAlign w:val="center"/>
          </w:tcPr>
          <w:p w14:paraId="77F6DEA8" w14:textId="6851C14B" w:rsidR="00547DA5" w:rsidRPr="00A00F2A" w:rsidRDefault="00547DA5" w:rsidP="009A1EF2">
            <w:pPr>
              <w:jc w:val="right"/>
              <w:rPr>
                <w:rFonts w:asciiTheme="minorHAnsi" w:eastAsia="Calibri" w:hAnsiTheme="minorHAnsi" w:cstheme="minorHAnsi"/>
                <w:sz w:val="20"/>
                <w:szCs w:val="20"/>
                <w:lang w:val="lv-LV"/>
              </w:rPr>
            </w:pPr>
            <w:r w:rsidRPr="00A00F2A">
              <w:rPr>
                <w:rFonts w:asciiTheme="minorHAnsi" w:eastAsia="Calibri" w:hAnsiTheme="minorHAnsi" w:cstheme="minorHAnsi"/>
                <w:sz w:val="20"/>
                <w:szCs w:val="20"/>
                <w:lang w:val="lv-LV"/>
              </w:rPr>
              <w:t>-215.</w:t>
            </w:r>
            <w:r w:rsidR="007A57AC" w:rsidRPr="00A00F2A">
              <w:rPr>
                <w:rFonts w:asciiTheme="minorHAnsi" w:eastAsia="Calibri" w:hAnsiTheme="minorHAnsi" w:cstheme="minorHAnsi"/>
                <w:sz w:val="20"/>
                <w:szCs w:val="20"/>
                <w:lang w:val="lv-LV"/>
              </w:rPr>
              <w:t>4</w:t>
            </w:r>
          </w:p>
        </w:tc>
      </w:tr>
      <w:tr w:rsidR="00547DA5" w:rsidRPr="00A00F2A" w14:paraId="3C580F1B" w14:textId="77777777" w:rsidTr="1B18E59A">
        <w:trPr>
          <w:trHeight w:val="253"/>
        </w:trPr>
        <w:tc>
          <w:tcPr>
            <w:tcW w:w="3253" w:type="dxa"/>
          </w:tcPr>
          <w:p w14:paraId="36DDFC3C" w14:textId="77777777" w:rsidR="00547DA5" w:rsidRPr="00A00F2A" w:rsidRDefault="00547DA5" w:rsidP="009A1EF2">
            <w:pPr>
              <w:jc w:val="both"/>
              <w:rPr>
                <w:rFonts w:asciiTheme="minorHAnsi" w:eastAsia="Calibri" w:hAnsiTheme="minorHAnsi" w:cstheme="minorHAnsi"/>
                <w:sz w:val="20"/>
                <w:szCs w:val="20"/>
                <w:lang w:val="lv-LV"/>
              </w:rPr>
            </w:pPr>
            <w:r w:rsidRPr="00A00F2A">
              <w:rPr>
                <w:rFonts w:asciiTheme="minorHAnsi" w:eastAsia="Calibri" w:hAnsiTheme="minorHAnsi" w:cstheme="minorHAnsi"/>
                <w:sz w:val="20"/>
                <w:szCs w:val="20"/>
                <w:lang w:val="lv-LV"/>
              </w:rPr>
              <w:t xml:space="preserve">        Valsts pamatbudžets</w:t>
            </w:r>
          </w:p>
        </w:tc>
        <w:tc>
          <w:tcPr>
            <w:tcW w:w="1141" w:type="dxa"/>
            <w:shd w:val="clear" w:color="auto" w:fill="auto"/>
            <w:vAlign w:val="center"/>
          </w:tcPr>
          <w:p w14:paraId="7D225FA9" w14:textId="33837801" w:rsidR="00547DA5" w:rsidRPr="00A00F2A" w:rsidRDefault="00547DA5" w:rsidP="009A1EF2">
            <w:pPr>
              <w:jc w:val="right"/>
              <w:rPr>
                <w:rFonts w:asciiTheme="minorHAnsi" w:eastAsia="Calibri" w:hAnsiTheme="minorHAnsi" w:cstheme="minorHAnsi"/>
                <w:sz w:val="20"/>
                <w:szCs w:val="20"/>
                <w:lang w:val="lv-LV"/>
              </w:rPr>
            </w:pPr>
            <w:r w:rsidRPr="00A00F2A">
              <w:rPr>
                <w:rFonts w:asciiTheme="minorHAnsi" w:eastAsia="Calibri" w:hAnsiTheme="minorHAnsi" w:cstheme="minorHAnsi"/>
                <w:sz w:val="20"/>
                <w:szCs w:val="20"/>
                <w:lang w:val="lv-LV"/>
              </w:rPr>
              <w:t>-438.3</w:t>
            </w:r>
          </w:p>
        </w:tc>
        <w:tc>
          <w:tcPr>
            <w:tcW w:w="1254" w:type="dxa"/>
            <w:shd w:val="clear" w:color="auto" w:fill="DEEAF6" w:themeFill="accent1" w:themeFillTint="33"/>
            <w:vAlign w:val="center"/>
          </w:tcPr>
          <w:p w14:paraId="2ABCDCBE" w14:textId="21CF6CFD" w:rsidR="00547DA5" w:rsidRPr="00A00F2A" w:rsidRDefault="00493672" w:rsidP="009A1EF2">
            <w:pPr>
              <w:jc w:val="right"/>
              <w:rPr>
                <w:rFonts w:asciiTheme="minorHAnsi" w:eastAsia="Calibri" w:hAnsiTheme="minorHAnsi" w:cstheme="minorHAnsi"/>
                <w:sz w:val="20"/>
                <w:szCs w:val="20"/>
                <w:lang w:val="lv-LV"/>
              </w:rPr>
            </w:pPr>
            <w:r w:rsidRPr="00A00F2A">
              <w:rPr>
                <w:rFonts w:asciiTheme="minorHAnsi" w:eastAsia="Calibri" w:hAnsiTheme="minorHAnsi" w:cstheme="minorHAnsi"/>
                <w:sz w:val="20"/>
                <w:szCs w:val="20"/>
                <w:lang w:val="lv-LV"/>
              </w:rPr>
              <w:t>-</w:t>
            </w:r>
            <w:r w:rsidR="00752730" w:rsidRPr="00A00F2A">
              <w:rPr>
                <w:rFonts w:asciiTheme="minorHAnsi" w:eastAsia="Calibri" w:hAnsiTheme="minorHAnsi" w:cstheme="minorHAnsi"/>
                <w:sz w:val="20"/>
                <w:szCs w:val="20"/>
                <w:lang w:val="lv-LV"/>
              </w:rPr>
              <w:t>485.0</w:t>
            </w:r>
          </w:p>
        </w:tc>
        <w:tc>
          <w:tcPr>
            <w:tcW w:w="1173" w:type="dxa"/>
            <w:vAlign w:val="center"/>
          </w:tcPr>
          <w:p w14:paraId="2A6D32BA" w14:textId="2C863053" w:rsidR="00547DA5" w:rsidRPr="00A00F2A" w:rsidRDefault="00547DA5" w:rsidP="009A1EF2">
            <w:pPr>
              <w:jc w:val="right"/>
              <w:rPr>
                <w:rFonts w:asciiTheme="minorHAnsi" w:eastAsia="Calibri" w:hAnsiTheme="minorHAnsi" w:cstheme="minorHAnsi"/>
                <w:sz w:val="20"/>
                <w:szCs w:val="20"/>
                <w:lang w:val="lv-LV"/>
              </w:rPr>
            </w:pPr>
            <w:r w:rsidRPr="00A00F2A">
              <w:rPr>
                <w:rFonts w:asciiTheme="minorHAnsi" w:eastAsia="Calibri" w:hAnsiTheme="minorHAnsi" w:cstheme="minorHAnsi"/>
                <w:sz w:val="20"/>
                <w:szCs w:val="20"/>
                <w:lang w:val="lv-LV"/>
              </w:rPr>
              <w:t>-321.7</w:t>
            </w:r>
          </w:p>
        </w:tc>
        <w:tc>
          <w:tcPr>
            <w:tcW w:w="1338" w:type="dxa"/>
            <w:shd w:val="clear" w:color="auto" w:fill="DEEAF6" w:themeFill="accent1" w:themeFillTint="33"/>
            <w:vAlign w:val="center"/>
          </w:tcPr>
          <w:p w14:paraId="3A3FCAE9" w14:textId="0B0CB690" w:rsidR="00547DA5" w:rsidRPr="00A00F2A" w:rsidRDefault="00547DA5" w:rsidP="009A1EF2">
            <w:pPr>
              <w:jc w:val="right"/>
              <w:rPr>
                <w:rFonts w:asciiTheme="minorHAnsi" w:eastAsia="Calibri" w:hAnsiTheme="minorHAnsi" w:cstheme="minorHAnsi"/>
                <w:sz w:val="20"/>
                <w:szCs w:val="20"/>
                <w:lang w:val="lv-LV"/>
              </w:rPr>
            </w:pPr>
            <w:r w:rsidRPr="00A00F2A">
              <w:rPr>
                <w:rFonts w:asciiTheme="minorHAnsi" w:eastAsia="Calibri" w:hAnsiTheme="minorHAnsi" w:cstheme="minorHAnsi"/>
                <w:sz w:val="20"/>
                <w:szCs w:val="20"/>
                <w:lang w:val="lv-LV"/>
              </w:rPr>
              <w:t>-302.1</w:t>
            </w:r>
          </w:p>
        </w:tc>
      </w:tr>
      <w:tr w:rsidR="00547DA5" w:rsidRPr="00A00F2A" w14:paraId="7CD55A50" w14:textId="77777777" w:rsidTr="1B18E59A">
        <w:trPr>
          <w:trHeight w:val="253"/>
        </w:trPr>
        <w:tc>
          <w:tcPr>
            <w:tcW w:w="3253" w:type="dxa"/>
          </w:tcPr>
          <w:p w14:paraId="19485D12" w14:textId="77777777" w:rsidR="00547DA5" w:rsidRPr="00A00F2A" w:rsidRDefault="00547DA5" w:rsidP="009A1EF2">
            <w:pPr>
              <w:jc w:val="both"/>
              <w:rPr>
                <w:rFonts w:asciiTheme="minorHAnsi" w:eastAsia="Calibri" w:hAnsiTheme="minorHAnsi" w:cstheme="minorHAnsi"/>
                <w:sz w:val="20"/>
                <w:szCs w:val="20"/>
                <w:lang w:val="lv-LV"/>
              </w:rPr>
            </w:pPr>
            <w:r w:rsidRPr="00A00F2A">
              <w:rPr>
                <w:rFonts w:asciiTheme="minorHAnsi" w:eastAsia="Calibri" w:hAnsiTheme="minorHAnsi" w:cstheme="minorHAnsi"/>
                <w:sz w:val="20"/>
                <w:szCs w:val="20"/>
                <w:lang w:val="lv-LV"/>
              </w:rPr>
              <w:t xml:space="preserve">        Valsts speciālais budžets</w:t>
            </w:r>
          </w:p>
        </w:tc>
        <w:tc>
          <w:tcPr>
            <w:tcW w:w="1141" w:type="dxa"/>
            <w:shd w:val="clear" w:color="auto" w:fill="auto"/>
            <w:vAlign w:val="center"/>
          </w:tcPr>
          <w:p w14:paraId="0827425A" w14:textId="25D561F9" w:rsidR="00547DA5" w:rsidRPr="00A00F2A" w:rsidRDefault="00547DA5" w:rsidP="009A1EF2">
            <w:pPr>
              <w:jc w:val="right"/>
              <w:rPr>
                <w:rFonts w:asciiTheme="minorHAnsi" w:eastAsia="Calibri" w:hAnsiTheme="minorHAnsi" w:cstheme="minorHAnsi"/>
                <w:sz w:val="20"/>
                <w:szCs w:val="20"/>
                <w:lang w:val="lv-LV"/>
              </w:rPr>
            </w:pPr>
            <w:r w:rsidRPr="00A00F2A">
              <w:rPr>
                <w:rFonts w:asciiTheme="minorHAnsi" w:eastAsia="Calibri" w:hAnsiTheme="minorHAnsi" w:cstheme="minorHAnsi"/>
                <w:sz w:val="20"/>
                <w:szCs w:val="20"/>
                <w:lang w:val="lv-LV"/>
              </w:rPr>
              <w:t>223.8</w:t>
            </w:r>
          </w:p>
        </w:tc>
        <w:tc>
          <w:tcPr>
            <w:tcW w:w="1254" w:type="dxa"/>
            <w:shd w:val="clear" w:color="auto" w:fill="DEEAF6" w:themeFill="accent1" w:themeFillTint="33"/>
            <w:vAlign w:val="center"/>
          </w:tcPr>
          <w:p w14:paraId="65291CC2" w14:textId="2D94F1E4" w:rsidR="00547DA5" w:rsidRPr="00A00F2A" w:rsidRDefault="00752730" w:rsidP="009A1EF2">
            <w:pPr>
              <w:jc w:val="right"/>
              <w:rPr>
                <w:rFonts w:asciiTheme="minorHAnsi" w:eastAsia="Calibri" w:hAnsiTheme="minorHAnsi" w:cstheme="minorHAnsi"/>
                <w:sz w:val="20"/>
                <w:szCs w:val="20"/>
                <w:lang w:val="lv-LV"/>
              </w:rPr>
            </w:pPr>
            <w:r w:rsidRPr="00A00F2A">
              <w:rPr>
                <w:rFonts w:asciiTheme="minorHAnsi" w:eastAsia="Calibri" w:hAnsiTheme="minorHAnsi" w:cstheme="minorHAnsi"/>
                <w:sz w:val="20"/>
                <w:szCs w:val="20"/>
                <w:lang w:val="lv-LV"/>
              </w:rPr>
              <w:t>299.6</w:t>
            </w:r>
          </w:p>
        </w:tc>
        <w:tc>
          <w:tcPr>
            <w:tcW w:w="1173" w:type="dxa"/>
            <w:vAlign w:val="center"/>
          </w:tcPr>
          <w:p w14:paraId="754122CD" w14:textId="64963E2B" w:rsidR="00547DA5" w:rsidRPr="00A00F2A" w:rsidRDefault="00547DA5" w:rsidP="009A1EF2">
            <w:pPr>
              <w:jc w:val="right"/>
              <w:rPr>
                <w:rFonts w:asciiTheme="minorHAnsi" w:eastAsia="Calibri" w:hAnsiTheme="minorHAnsi" w:cstheme="minorHAnsi"/>
                <w:sz w:val="20"/>
                <w:szCs w:val="20"/>
                <w:lang w:val="lv-LV"/>
              </w:rPr>
            </w:pPr>
            <w:r w:rsidRPr="00A00F2A">
              <w:rPr>
                <w:rFonts w:asciiTheme="minorHAnsi" w:eastAsia="Calibri" w:hAnsiTheme="minorHAnsi" w:cstheme="minorHAnsi"/>
                <w:sz w:val="20"/>
                <w:szCs w:val="20"/>
                <w:lang w:val="lv-LV"/>
              </w:rPr>
              <w:t>125.9</w:t>
            </w:r>
          </w:p>
        </w:tc>
        <w:tc>
          <w:tcPr>
            <w:tcW w:w="1338" w:type="dxa"/>
            <w:shd w:val="clear" w:color="auto" w:fill="DEEAF6" w:themeFill="accent1" w:themeFillTint="33"/>
            <w:vAlign w:val="center"/>
          </w:tcPr>
          <w:p w14:paraId="5EE11AFE" w14:textId="780D8CDF" w:rsidR="00547DA5" w:rsidRPr="00A00F2A" w:rsidRDefault="00547DA5" w:rsidP="009A1EF2">
            <w:pPr>
              <w:jc w:val="right"/>
              <w:rPr>
                <w:rFonts w:asciiTheme="minorHAnsi" w:eastAsia="Calibri" w:hAnsiTheme="minorHAnsi" w:cstheme="minorHAnsi"/>
                <w:sz w:val="20"/>
                <w:szCs w:val="20"/>
                <w:lang w:val="lv-LV"/>
              </w:rPr>
            </w:pPr>
            <w:r w:rsidRPr="00A00F2A">
              <w:rPr>
                <w:rFonts w:asciiTheme="minorHAnsi" w:eastAsia="Calibri" w:hAnsiTheme="minorHAnsi" w:cstheme="minorHAnsi"/>
                <w:sz w:val="20"/>
                <w:szCs w:val="20"/>
                <w:lang w:val="lv-LV"/>
              </w:rPr>
              <w:t>202.2</w:t>
            </w:r>
          </w:p>
        </w:tc>
      </w:tr>
      <w:tr w:rsidR="00547DA5" w:rsidRPr="00A00F2A" w14:paraId="31E421FB" w14:textId="77777777" w:rsidTr="1B18E59A">
        <w:trPr>
          <w:trHeight w:val="253"/>
        </w:trPr>
        <w:tc>
          <w:tcPr>
            <w:tcW w:w="3253" w:type="dxa"/>
          </w:tcPr>
          <w:p w14:paraId="1FF69950" w14:textId="77777777" w:rsidR="00547DA5" w:rsidRPr="00A00F2A" w:rsidRDefault="00547DA5" w:rsidP="009A1EF2">
            <w:pPr>
              <w:jc w:val="both"/>
              <w:rPr>
                <w:rFonts w:asciiTheme="minorHAnsi" w:eastAsia="Calibri" w:hAnsiTheme="minorHAnsi" w:cstheme="minorHAnsi"/>
                <w:sz w:val="20"/>
                <w:szCs w:val="20"/>
                <w:lang w:val="lv-LV"/>
              </w:rPr>
            </w:pPr>
            <w:r w:rsidRPr="00A00F2A">
              <w:rPr>
                <w:rFonts w:asciiTheme="minorHAnsi" w:eastAsia="Calibri" w:hAnsiTheme="minorHAnsi" w:cstheme="minorHAnsi"/>
                <w:sz w:val="20"/>
                <w:szCs w:val="20"/>
                <w:lang w:val="lv-LV"/>
              </w:rPr>
              <w:t xml:space="preserve">        Pašvaldību budžeti</w:t>
            </w:r>
          </w:p>
        </w:tc>
        <w:tc>
          <w:tcPr>
            <w:tcW w:w="1141" w:type="dxa"/>
            <w:shd w:val="clear" w:color="auto" w:fill="auto"/>
            <w:vAlign w:val="center"/>
          </w:tcPr>
          <w:p w14:paraId="52645B6B" w14:textId="41E9FB08" w:rsidR="00547DA5" w:rsidRPr="00A00F2A" w:rsidRDefault="00547DA5" w:rsidP="009A1EF2">
            <w:pPr>
              <w:jc w:val="right"/>
              <w:rPr>
                <w:rFonts w:asciiTheme="minorHAnsi" w:eastAsia="Calibri" w:hAnsiTheme="minorHAnsi" w:cstheme="minorHAnsi"/>
                <w:sz w:val="20"/>
                <w:szCs w:val="20"/>
                <w:lang w:val="lv-LV"/>
              </w:rPr>
            </w:pPr>
            <w:r w:rsidRPr="00A00F2A">
              <w:rPr>
                <w:rFonts w:asciiTheme="minorHAnsi" w:eastAsia="Calibri" w:hAnsiTheme="minorHAnsi" w:cstheme="minorHAnsi"/>
                <w:sz w:val="20"/>
                <w:szCs w:val="20"/>
                <w:lang w:val="lv-LV"/>
              </w:rPr>
              <w:t>-61.4</w:t>
            </w:r>
          </w:p>
        </w:tc>
        <w:tc>
          <w:tcPr>
            <w:tcW w:w="1254" w:type="dxa"/>
            <w:shd w:val="clear" w:color="auto" w:fill="DEEAF6" w:themeFill="accent1" w:themeFillTint="33"/>
            <w:vAlign w:val="center"/>
          </w:tcPr>
          <w:p w14:paraId="6F13EB0A" w14:textId="57A3B742" w:rsidR="00547DA5" w:rsidRPr="00A00F2A" w:rsidRDefault="00752730" w:rsidP="009A1EF2">
            <w:pPr>
              <w:jc w:val="right"/>
              <w:rPr>
                <w:rFonts w:asciiTheme="minorHAnsi" w:eastAsia="Calibri" w:hAnsiTheme="minorHAnsi" w:cstheme="minorHAnsi"/>
                <w:sz w:val="20"/>
                <w:szCs w:val="20"/>
                <w:lang w:val="lv-LV"/>
              </w:rPr>
            </w:pPr>
            <w:r w:rsidRPr="00A00F2A">
              <w:rPr>
                <w:rFonts w:asciiTheme="minorHAnsi" w:eastAsia="Calibri" w:hAnsiTheme="minorHAnsi" w:cstheme="minorHAnsi"/>
                <w:sz w:val="20"/>
                <w:szCs w:val="20"/>
                <w:lang w:val="lv-LV"/>
              </w:rPr>
              <w:t>50.1</w:t>
            </w:r>
          </w:p>
        </w:tc>
        <w:tc>
          <w:tcPr>
            <w:tcW w:w="1173" w:type="dxa"/>
            <w:vAlign w:val="center"/>
          </w:tcPr>
          <w:p w14:paraId="6A2CD04C" w14:textId="165CD486" w:rsidR="00547DA5" w:rsidRPr="00A00F2A" w:rsidRDefault="00547DA5" w:rsidP="009A1EF2">
            <w:pPr>
              <w:jc w:val="right"/>
              <w:rPr>
                <w:rFonts w:asciiTheme="minorHAnsi" w:eastAsia="Calibri" w:hAnsiTheme="minorHAnsi" w:cstheme="minorHAnsi"/>
                <w:sz w:val="20"/>
                <w:szCs w:val="20"/>
                <w:lang w:val="lv-LV"/>
              </w:rPr>
            </w:pPr>
            <w:r w:rsidRPr="00A00F2A">
              <w:rPr>
                <w:rFonts w:asciiTheme="minorHAnsi" w:eastAsia="Calibri" w:hAnsiTheme="minorHAnsi" w:cstheme="minorHAnsi"/>
                <w:sz w:val="20"/>
                <w:szCs w:val="20"/>
                <w:lang w:val="lv-LV"/>
              </w:rPr>
              <w:t>31.6</w:t>
            </w:r>
          </w:p>
        </w:tc>
        <w:tc>
          <w:tcPr>
            <w:tcW w:w="1338" w:type="dxa"/>
            <w:shd w:val="clear" w:color="auto" w:fill="DEEAF6" w:themeFill="accent1" w:themeFillTint="33"/>
            <w:vAlign w:val="center"/>
          </w:tcPr>
          <w:p w14:paraId="543FE294" w14:textId="17260B4D" w:rsidR="00547DA5" w:rsidRPr="00A00F2A" w:rsidRDefault="00547DA5" w:rsidP="009A1EF2">
            <w:pPr>
              <w:jc w:val="right"/>
              <w:rPr>
                <w:rFonts w:asciiTheme="minorHAnsi" w:eastAsia="Calibri" w:hAnsiTheme="minorHAnsi" w:cstheme="minorHAnsi"/>
                <w:sz w:val="20"/>
                <w:szCs w:val="20"/>
                <w:lang w:val="lv-LV"/>
              </w:rPr>
            </w:pPr>
            <w:r w:rsidRPr="00A00F2A">
              <w:rPr>
                <w:rFonts w:asciiTheme="minorHAnsi" w:eastAsia="Calibri" w:hAnsiTheme="minorHAnsi" w:cstheme="minorHAnsi"/>
                <w:sz w:val="20"/>
                <w:szCs w:val="20"/>
                <w:lang w:val="lv-LV"/>
              </w:rPr>
              <w:t>-150.5</w:t>
            </w:r>
          </w:p>
        </w:tc>
      </w:tr>
      <w:tr w:rsidR="00547DA5" w:rsidRPr="00A00F2A" w14:paraId="47570128" w14:textId="77777777" w:rsidTr="1B18E59A">
        <w:trPr>
          <w:trHeight w:val="253"/>
        </w:trPr>
        <w:tc>
          <w:tcPr>
            <w:tcW w:w="3253" w:type="dxa"/>
          </w:tcPr>
          <w:p w14:paraId="17F86856" w14:textId="77777777" w:rsidR="00547DA5" w:rsidRPr="00A00F2A" w:rsidRDefault="00547DA5" w:rsidP="009A1EF2">
            <w:pPr>
              <w:jc w:val="both"/>
              <w:rPr>
                <w:rFonts w:asciiTheme="minorHAnsi" w:eastAsia="Calibri" w:hAnsiTheme="minorHAnsi" w:cstheme="minorHAnsi"/>
                <w:sz w:val="20"/>
                <w:szCs w:val="20"/>
                <w:lang w:val="lv-LV"/>
              </w:rPr>
            </w:pPr>
            <w:r w:rsidRPr="00A00F2A">
              <w:rPr>
                <w:rFonts w:asciiTheme="minorHAnsi" w:eastAsia="Calibri" w:hAnsiTheme="minorHAnsi" w:cstheme="minorHAnsi"/>
                <w:sz w:val="20"/>
                <w:szCs w:val="20"/>
                <w:lang w:val="lv-LV"/>
              </w:rPr>
              <w:t xml:space="preserve">        Atvasināto publisko personu b.</w:t>
            </w:r>
          </w:p>
        </w:tc>
        <w:tc>
          <w:tcPr>
            <w:tcW w:w="1141" w:type="dxa"/>
            <w:shd w:val="clear" w:color="auto" w:fill="auto"/>
            <w:vAlign w:val="center"/>
          </w:tcPr>
          <w:p w14:paraId="2FC77007" w14:textId="4E5B796E" w:rsidR="00547DA5" w:rsidRPr="00A00F2A" w:rsidRDefault="00547DA5" w:rsidP="009A1EF2">
            <w:pPr>
              <w:jc w:val="right"/>
              <w:rPr>
                <w:rFonts w:asciiTheme="minorHAnsi" w:eastAsia="Calibri" w:hAnsiTheme="minorHAnsi" w:cstheme="minorHAnsi"/>
                <w:sz w:val="20"/>
                <w:szCs w:val="20"/>
                <w:lang w:val="lv-LV"/>
              </w:rPr>
            </w:pPr>
            <w:r w:rsidRPr="00A00F2A">
              <w:rPr>
                <w:rFonts w:asciiTheme="minorHAnsi" w:eastAsia="Calibri" w:hAnsiTheme="minorHAnsi" w:cstheme="minorHAnsi"/>
                <w:sz w:val="20"/>
                <w:szCs w:val="20"/>
                <w:lang w:val="lv-LV"/>
              </w:rPr>
              <w:t>4.2</w:t>
            </w:r>
          </w:p>
        </w:tc>
        <w:tc>
          <w:tcPr>
            <w:tcW w:w="1254" w:type="dxa"/>
            <w:shd w:val="clear" w:color="auto" w:fill="DEEAF6" w:themeFill="accent1" w:themeFillTint="33"/>
            <w:vAlign w:val="center"/>
          </w:tcPr>
          <w:p w14:paraId="11218CA5" w14:textId="7FFF94D9" w:rsidR="00547DA5" w:rsidRPr="00A00F2A" w:rsidRDefault="00752730" w:rsidP="009A1EF2">
            <w:pPr>
              <w:jc w:val="right"/>
              <w:rPr>
                <w:rFonts w:asciiTheme="minorHAnsi" w:eastAsia="Calibri" w:hAnsiTheme="minorHAnsi" w:cstheme="minorHAnsi"/>
                <w:sz w:val="20"/>
                <w:szCs w:val="20"/>
                <w:lang w:val="lv-LV"/>
              </w:rPr>
            </w:pPr>
            <w:r w:rsidRPr="00A00F2A">
              <w:rPr>
                <w:rFonts w:asciiTheme="minorHAnsi" w:eastAsia="Calibri" w:hAnsiTheme="minorHAnsi" w:cstheme="minorHAnsi"/>
                <w:sz w:val="20"/>
                <w:szCs w:val="20"/>
                <w:lang w:val="lv-LV"/>
              </w:rPr>
              <w:t>17.9</w:t>
            </w:r>
          </w:p>
        </w:tc>
        <w:tc>
          <w:tcPr>
            <w:tcW w:w="1173" w:type="dxa"/>
            <w:vAlign w:val="center"/>
          </w:tcPr>
          <w:p w14:paraId="4F1D5016" w14:textId="298C4585" w:rsidR="00547DA5" w:rsidRPr="00A00F2A" w:rsidRDefault="00547DA5" w:rsidP="009A1EF2">
            <w:pPr>
              <w:jc w:val="right"/>
              <w:rPr>
                <w:rFonts w:asciiTheme="minorHAnsi" w:eastAsia="Calibri" w:hAnsiTheme="minorHAnsi" w:cstheme="minorHAnsi"/>
                <w:sz w:val="20"/>
                <w:szCs w:val="20"/>
                <w:lang w:val="lv-LV"/>
              </w:rPr>
            </w:pPr>
            <w:r w:rsidRPr="00A00F2A">
              <w:rPr>
                <w:rFonts w:asciiTheme="minorHAnsi" w:eastAsia="Calibri" w:hAnsiTheme="minorHAnsi" w:cstheme="minorHAnsi"/>
                <w:sz w:val="20"/>
                <w:szCs w:val="20"/>
                <w:lang w:val="lv-LV"/>
              </w:rPr>
              <w:t>0.6</w:t>
            </w:r>
          </w:p>
        </w:tc>
        <w:tc>
          <w:tcPr>
            <w:tcW w:w="1338" w:type="dxa"/>
            <w:shd w:val="clear" w:color="auto" w:fill="DEEAF6" w:themeFill="accent1" w:themeFillTint="33"/>
            <w:vAlign w:val="center"/>
          </w:tcPr>
          <w:p w14:paraId="32963409" w14:textId="0553C0CF" w:rsidR="00547DA5" w:rsidRPr="00A00F2A" w:rsidRDefault="00547DA5" w:rsidP="009A1EF2">
            <w:pPr>
              <w:jc w:val="right"/>
              <w:rPr>
                <w:rFonts w:asciiTheme="minorHAnsi" w:eastAsia="Calibri" w:hAnsiTheme="minorHAnsi" w:cstheme="minorHAnsi"/>
                <w:sz w:val="20"/>
                <w:szCs w:val="20"/>
                <w:lang w:val="lv-LV"/>
              </w:rPr>
            </w:pPr>
            <w:r w:rsidRPr="00A00F2A">
              <w:rPr>
                <w:rFonts w:asciiTheme="minorHAnsi" w:eastAsia="Calibri" w:hAnsiTheme="minorHAnsi" w:cstheme="minorHAnsi"/>
                <w:sz w:val="20"/>
                <w:szCs w:val="20"/>
                <w:lang w:val="lv-LV"/>
              </w:rPr>
              <w:t>35.2</w:t>
            </w:r>
          </w:p>
        </w:tc>
      </w:tr>
    </w:tbl>
    <w:p w14:paraId="6FD424BC" w14:textId="59136EBD" w:rsidR="00B6363A" w:rsidRDefault="00B6363A" w:rsidP="009A1EF2">
      <w:pPr>
        <w:rPr>
          <w:rFonts w:asciiTheme="minorHAnsi" w:eastAsia="Calibri" w:hAnsiTheme="minorHAnsi" w:cstheme="minorHAnsi"/>
          <w:i/>
          <w:iCs/>
          <w:sz w:val="20"/>
          <w:szCs w:val="20"/>
          <w:lang w:val="lv-LV"/>
        </w:rPr>
      </w:pPr>
      <w:r w:rsidRPr="0078054E">
        <w:rPr>
          <w:rFonts w:asciiTheme="minorHAnsi" w:eastAsia="Calibri" w:hAnsiTheme="minorHAnsi" w:cstheme="minorHAnsi"/>
          <w:i/>
          <w:iCs/>
          <w:sz w:val="20"/>
          <w:szCs w:val="20"/>
          <w:lang w:val="lv-LV"/>
        </w:rPr>
        <w:t xml:space="preserve"> Avots: Finanšu Ministrija </w:t>
      </w:r>
    </w:p>
    <w:bookmarkEnd w:id="10"/>
    <w:p w14:paraId="0B8106D4" w14:textId="57ADA320" w:rsidR="00A00F2A" w:rsidRPr="0078054E" w:rsidRDefault="00A00F2A" w:rsidP="009A1EF2">
      <w:pPr>
        <w:rPr>
          <w:rFonts w:asciiTheme="minorHAnsi" w:eastAsia="Calibri" w:hAnsiTheme="minorHAnsi" w:cstheme="minorHAnsi"/>
          <w:i/>
          <w:sz w:val="20"/>
          <w:szCs w:val="20"/>
          <w:lang w:val="lv-LV"/>
        </w:rPr>
      </w:pPr>
    </w:p>
    <w:p w14:paraId="4B2816DD" w14:textId="7E3F3019" w:rsidR="00D9596B" w:rsidRPr="001F17AA" w:rsidRDefault="00BA7BDA" w:rsidP="009A1EF2">
      <w:pPr>
        <w:pStyle w:val="ListParagraph"/>
        <w:numPr>
          <w:ilvl w:val="0"/>
          <w:numId w:val="2"/>
        </w:numPr>
        <w:ind w:left="426" w:right="20" w:hanging="426"/>
        <w:jc w:val="both"/>
        <w:rPr>
          <w:rFonts w:asciiTheme="minorHAnsi" w:hAnsiTheme="minorHAnsi"/>
          <w:sz w:val="22"/>
          <w:szCs w:val="22"/>
          <w:lang w:val="lv-LV"/>
        </w:rPr>
      </w:pPr>
      <w:r w:rsidRPr="0078054E">
        <w:rPr>
          <w:rFonts w:asciiTheme="minorHAnsi" w:hAnsiTheme="minorHAnsi"/>
          <w:b/>
          <w:sz w:val="22"/>
          <w:szCs w:val="22"/>
          <w:lang w:val="lv-LV"/>
        </w:rPr>
        <w:t>2019.gadā konsolidētā ko</w:t>
      </w:r>
      <w:r w:rsidR="00D16653" w:rsidRPr="0078054E">
        <w:rPr>
          <w:rFonts w:asciiTheme="minorHAnsi" w:hAnsiTheme="minorHAnsi"/>
          <w:b/>
          <w:sz w:val="22"/>
          <w:szCs w:val="22"/>
          <w:lang w:val="lv-LV"/>
        </w:rPr>
        <w:t>pbudžeta ieņēmumi pieauga par 4.</w:t>
      </w:r>
      <w:r w:rsidRPr="0078054E">
        <w:rPr>
          <w:rFonts w:asciiTheme="minorHAnsi" w:hAnsiTheme="minorHAnsi"/>
          <w:b/>
          <w:sz w:val="22"/>
          <w:szCs w:val="22"/>
          <w:lang w:val="lv-LV"/>
        </w:rPr>
        <w:t xml:space="preserve">9% salīdzinot ar </w:t>
      </w:r>
      <w:r w:rsidR="00D16653" w:rsidRPr="0078054E">
        <w:rPr>
          <w:rFonts w:asciiTheme="minorHAnsi" w:hAnsiTheme="minorHAnsi"/>
          <w:b/>
          <w:sz w:val="22"/>
          <w:szCs w:val="22"/>
          <w:lang w:val="lv-LV"/>
        </w:rPr>
        <w:t>iepriekšējo gadu, sasniedzot 11.</w:t>
      </w:r>
      <w:r w:rsidRPr="0078054E">
        <w:rPr>
          <w:rFonts w:asciiTheme="minorHAnsi" w:hAnsiTheme="minorHAnsi"/>
          <w:b/>
          <w:sz w:val="22"/>
          <w:szCs w:val="22"/>
          <w:lang w:val="lv-LV"/>
        </w:rPr>
        <w:t xml:space="preserve">4 miljardus </w:t>
      </w:r>
      <w:r w:rsidR="005E701A">
        <w:rPr>
          <w:rFonts w:asciiTheme="minorHAnsi" w:hAnsiTheme="minorHAnsi"/>
          <w:b/>
          <w:sz w:val="22"/>
          <w:szCs w:val="22"/>
          <w:lang w:val="lv-LV"/>
        </w:rPr>
        <w:t>E</w:t>
      </w:r>
      <w:r w:rsidRPr="0078054E">
        <w:rPr>
          <w:rFonts w:asciiTheme="minorHAnsi" w:hAnsiTheme="minorHAnsi"/>
          <w:b/>
          <w:sz w:val="22"/>
          <w:szCs w:val="22"/>
          <w:lang w:val="lv-LV"/>
        </w:rPr>
        <w:t>iro</w:t>
      </w:r>
      <w:r w:rsidRPr="0078054E">
        <w:rPr>
          <w:rFonts w:asciiTheme="minorHAnsi" w:hAnsiTheme="minorHAnsi"/>
          <w:sz w:val="22"/>
          <w:szCs w:val="22"/>
          <w:lang w:val="lv-LV"/>
        </w:rPr>
        <w:t>.</w:t>
      </w:r>
      <w:r w:rsidRPr="0078054E">
        <w:rPr>
          <w:rFonts w:asciiTheme="minorHAnsi" w:hAnsiTheme="minorHAnsi"/>
          <w:b/>
          <w:sz w:val="22"/>
          <w:szCs w:val="22"/>
          <w:lang w:val="lv-LV"/>
        </w:rPr>
        <w:t xml:space="preserve"> </w:t>
      </w:r>
      <w:r w:rsidRPr="0078054E">
        <w:rPr>
          <w:rFonts w:asciiTheme="minorHAnsi" w:hAnsiTheme="minorHAnsi"/>
          <w:sz w:val="22"/>
          <w:szCs w:val="22"/>
          <w:lang w:val="lv-LV"/>
        </w:rPr>
        <w:t xml:space="preserve">Galvenais kopbudžeta ienākumu avots – nodokļu ieņēmumi </w:t>
      </w:r>
      <w:r w:rsidR="00567CE3" w:rsidRPr="0078054E">
        <w:rPr>
          <w:rFonts w:asciiTheme="minorHAnsi" w:hAnsiTheme="minorHAnsi"/>
          <w:sz w:val="22"/>
          <w:szCs w:val="22"/>
          <w:lang w:val="lv-LV"/>
        </w:rPr>
        <w:t xml:space="preserve">2019.gadā </w:t>
      </w:r>
      <w:r w:rsidR="005264BE" w:rsidRPr="0078054E">
        <w:rPr>
          <w:rFonts w:asciiTheme="minorHAnsi" w:hAnsiTheme="minorHAnsi"/>
          <w:sz w:val="22"/>
          <w:szCs w:val="22"/>
          <w:lang w:val="lv-LV"/>
        </w:rPr>
        <w:t>pieauga par 4.</w:t>
      </w:r>
      <w:r w:rsidRPr="0078054E">
        <w:rPr>
          <w:rFonts w:asciiTheme="minorHAnsi" w:hAnsiTheme="minorHAnsi"/>
          <w:sz w:val="22"/>
          <w:szCs w:val="22"/>
          <w:lang w:val="lv-LV"/>
        </w:rPr>
        <w:t>6%</w:t>
      </w:r>
      <w:r w:rsidR="00567CE3" w:rsidRPr="0078054E">
        <w:rPr>
          <w:rFonts w:asciiTheme="minorHAnsi" w:hAnsiTheme="minorHAnsi"/>
          <w:sz w:val="22"/>
          <w:szCs w:val="22"/>
          <w:lang w:val="lv-LV"/>
        </w:rPr>
        <w:t>, kopbudžeta nodokļu ieka</w:t>
      </w:r>
      <w:r w:rsidR="00417399" w:rsidRPr="0078054E">
        <w:rPr>
          <w:rFonts w:asciiTheme="minorHAnsi" w:hAnsiTheme="minorHAnsi"/>
          <w:sz w:val="22"/>
          <w:szCs w:val="22"/>
          <w:lang w:val="lv-LV"/>
        </w:rPr>
        <w:t>sēšanas plānu pārsniedzot par 0.</w:t>
      </w:r>
      <w:r w:rsidR="00567CE3" w:rsidRPr="0078054E">
        <w:rPr>
          <w:rFonts w:asciiTheme="minorHAnsi" w:hAnsiTheme="minorHAnsi"/>
          <w:sz w:val="22"/>
          <w:szCs w:val="22"/>
          <w:lang w:val="lv-LV"/>
        </w:rPr>
        <w:t xml:space="preserve">2%, lielā mērā pateicoties darbaspēka nodokļu labajiem ieņēmumiem. </w:t>
      </w:r>
      <w:r w:rsidRPr="0078054E">
        <w:rPr>
          <w:rFonts w:asciiTheme="minorHAnsi" w:hAnsiTheme="minorHAnsi"/>
          <w:sz w:val="22"/>
          <w:szCs w:val="22"/>
          <w:lang w:val="lv-LV"/>
        </w:rPr>
        <w:t>ES struktūrfon</w:t>
      </w:r>
      <w:r w:rsidR="005264BE" w:rsidRPr="0078054E">
        <w:rPr>
          <w:rFonts w:asciiTheme="minorHAnsi" w:hAnsiTheme="minorHAnsi"/>
          <w:sz w:val="22"/>
          <w:szCs w:val="22"/>
          <w:lang w:val="lv-LV"/>
        </w:rPr>
        <w:t>du nauda gada laikā ir apgūta 1.</w:t>
      </w:r>
      <w:r w:rsidRPr="0078054E">
        <w:rPr>
          <w:rFonts w:asciiTheme="minorHAnsi" w:hAnsiTheme="minorHAnsi"/>
          <w:sz w:val="22"/>
          <w:szCs w:val="22"/>
          <w:lang w:val="lv-LV"/>
        </w:rPr>
        <w:t>3 miljardu eiro apmērā,</w:t>
      </w:r>
      <w:r w:rsidRPr="0078054E">
        <w:rPr>
          <w:rFonts w:asciiTheme="minorHAnsi" w:hAnsiTheme="minorHAnsi"/>
          <w:b/>
          <w:sz w:val="22"/>
          <w:szCs w:val="22"/>
          <w:lang w:val="lv-LV"/>
        </w:rPr>
        <w:t xml:space="preserve"> </w:t>
      </w:r>
      <w:r w:rsidRPr="0078054E">
        <w:rPr>
          <w:rFonts w:asciiTheme="minorHAnsi" w:hAnsiTheme="minorHAnsi"/>
          <w:sz w:val="22"/>
          <w:szCs w:val="22"/>
          <w:lang w:val="lv-LV"/>
        </w:rPr>
        <w:t xml:space="preserve">kas </w:t>
      </w:r>
      <w:r w:rsidRPr="0078054E">
        <w:rPr>
          <w:rFonts w:asciiTheme="minorHAnsi" w:hAnsiTheme="minorHAnsi"/>
          <w:sz w:val="22"/>
          <w:szCs w:val="22"/>
          <w:lang w:val="lv-LV"/>
        </w:rPr>
        <w:lastRenderedPageBreak/>
        <w:t>ir par</w:t>
      </w:r>
      <w:r w:rsidRPr="0078054E">
        <w:rPr>
          <w:rFonts w:asciiTheme="minorHAnsi" w:hAnsiTheme="minorHAnsi"/>
          <w:b/>
          <w:sz w:val="22"/>
          <w:szCs w:val="22"/>
          <w:lang w:val="lv-LV"/>
        </w:rPr>
        <w:t xml:space="preserve"> </w:t>
      </w:r>
      <w:r w:rsidR="005264BE" w:rsidRPr="0078054E">
        <w:rPr>
          <w:rFonts w:asciiTheme="minorHAnsi" w:hAnsiTheme="minorHAnsi"/>
          <w:sz w:val="22"/>
          <w:szCs w:val="22"/>
          <w:lang w:val="lv-LV"/>
        </w:rPr>
        <w:t xml:space="preserve">189.3 miljoniem </w:t>
      </w:r>
      <w:r w:rsidR="005E701A">
        <w:rPr>
          <w:rFonts w:asciiTheme="minorHAnsi" w:hAnsiTheme="minorHAnsi"/>
          <w:sz w:val="22"/>
          <w:szCs w:val="22"/>
          <w:lang w:val="lv-LV"/>
        </w:rPr>
        <w:t>E</w:t>
      </w:r>
      <w:r w:rsidR="005264BE" w:rsidRPr="0078054E">
        <w:rPr>
          <w:rFonts w:asciiTheme="minorHAnsi" w:hAnsiTheme="minorHAnsi"/>
          <w:sz w:val="22"/>
          <w:szCs w:val="22"/>
          <w:lang w:val="lv-LV"/>
        </w:rPr>
        <w:t>iro jeb 16.</w:t>
      </w:r>
      <w:r w:rsidRPr="0078054E">
        <w:rPr>
          <w:rFonts w:asciiTheme="minorHAnsi" w:hAnsiTheme="minorHAnsi"/>
          <w:sz w:val="22"/>
          <w:szCs w:val="22"/>
          <w:lang w:val="lv-LV"/>
        </w:rPr>
        <w:t>7% vairāk nekā 2018.gadā.</w:t>
      </w:r>
      <w:r w:rsidR="001F17AA">
        <w:rPr>
          <w:rFonts w:asciiTheme="minorHAnsi" w:hAnsiTheme="minorHAnsi"/>
          <w:sz w:val="22"/>
          <w:szCs w:val="22"/>
          <w:lang w:val="lv-LV"/>
        </w:rPr>
        <w:t xml:space="preserve"> </w:t>
      </w:r>
      <w:r w:rsidR="00884AC7" w:rsidRPr="001F17AA">
        <w:rPr>
          <w:rFonts w:asciiTheme="minorHAnsi" w:hAnsiTheme="minorHAnsi"/>
          <w:bCs/>
          <w:sz w:val="22"/>
          <w:szCs w:val="22"/>
          <w:lang w:val="lv-LV"/>
        </w:rPr>
        <w:t>Kopumā 2019.gadu var raksturot kā labu no konsolidētā kopbudžeta ienākumu aspekta, jo ieņēmumu apjoms sasniedza plānotos rādītājus neskatoties uz negatīviem apstākļiem:</w:t>
      </w:r>
      <w:r w:rsidR="00884AC7" w:rsidRPr="001F17AA">
        <w:rPr>
          <w:rFonts w:asciiTheme="minorHAnsi" w:hAnsiTheme="minorHAnsi"/>
          <w:b/>
          <w:bCs/>
          <w:sz w:val="22"/>
          <w:szCs w:val="22"/>
          <w:lang w:val="lv-LV"/>
        </w:rPr>
        <w:t xml:space="preserve"> </w:t>
      </w:r>
      <w:r w:rsidR="00884AC7" w:rsidRPr="001F17AA">
        <w:rPr>
          <w:rFonts w:asciiTheme="minorHAnsi" w:hAnsiTheme="minorHAnsi"/>
          <w:sz w:val="22"/>
          <w:szCs w:val="22"/>
          <w:lang w:val="lv-LV"/>
        </w:rPr>
        <w:t xml:space="preserve"> neplānotās, bet nepieciešamās akcīzes nodokļa samazināšanas stiprajam alkoholam no 2019.gada 1.jūlija, straujākas nekā tika pro</w:t>
      </w:r>
      <w:r w:rsidR="00546C7C" w:rsidRPr="001F17AA">
        <w:rPr>
          <w:rFonts w:asciiTheme="minorHAnsi" w:hAnsiTheme="minorHAnsi"/>
          <w:sz w:val="22"/>
          <w:szCs w:val="22"/>
          <w:lang w:val="lv-LV"/>
        </w:rPr>
        <w:t xml:space="preserve">gnozēta IKP sabremzēšanās, negatīviem arējiem ekonomiskajiem un politiskajiem faktoriem. </w:t>
      </w:r>
      <w:r w:rsidR="00C052EB" w:rsidRPr="001F17AA">
        <w:rPr>
          <w:rFonts w:asciiTheme="minorHAnsi" w:hAnsiTheme="minorHAnsi"/>
          <w:sz w:val="22"/>
          <w:szCs w:val="22"/>
          <w:lang w:val="lv-LV"/>
        </w:rPr>
        <w:t xml:space="preserve">Papildus šiem faktoriem, pēc Padomes aprēķiniem, valsts budžets 2019. gadā neiekasēja gandrīz 400 miljonus </w:t>
      </w:r>
      <w:r w:rsidR="005E701A" w:rsidRPr="001F17AA">
        <w:rPr>
          <w:rFonts w:asciiTheme="minorHAnsi" w:hAnsiTheme="minorHAnsi"/>
          <w:sz w:val="22"/>
          <w:szCs w:val="22"/>
          <w:lang w:val="lv-LV"/>
        </w:rPr>
        <w:t>E</w:t>
      </w:r>
      <w:r w:rsidR="00C052EB" w:rsidRPr="001F17AA">
        <w:rPr>
          <w:rFonts w:asciiTheme="minorHAnsi" w:hAnsiTheme="minorHAnsi"/>
          <w:sz w:val="22"/>
          <w:szCs w:val="22"/>
          <w:lang w:val="lv-LV"/>
        </w:rPr>
        <w:t>iro nodokļu reformas dēļ</w:t>
      </w:r>
      <w:r w:rsidR="00C052EB" w:rsidRPr="0078054E">
        <w:rPr>
          <w:rStyle w:val="FootnoteReference"/>
          <w:rFonts w:asciiTheme="minorHAnsi" w:hAnsiTheme="minorHAnsi"/>
          <w:sz w:val="22"/>
          <w:szCs w:val="22"/>
          <w:lang w:val="lv-LV"/>
        </w:rPr>
        <w:footnoteReference w:id="12"/>
      </w:r>
      <w:r w:rsidR="00C052EB" w:rsidRPr="001F17AA">
        <w:rPr>
          <w:rFonts w:asciiTheme="minorHAnsi" w:hAnsiTheme="minorHAnsi"/>
          <w:sz w:val="22"/>
          <w:szCs w:val="22"/>
          <w:lang w:val="lv-LV"/>
        </w:rPr>
        <w:t xml:space="preserve">. </w:t>
      </w:r>
      <w:r w:rsidR="00546C7C" w:rsidRPr="001F17AA">
        <w:rPr>
          <w:rFonts w:asciiTheme="minorHAnsi" w:hAnsiTheme="minorHAnsi"/>
          <w:sz w:val="22"/>
          <w:szCs w:val="22"/>
          <w:lang w:val="lv-LV"/>
        </w:rPr>
        <w:t>VID administrēto ieņēmumu plāns un tā izpilde 2019.gadā ir zemāk pievienotajā tabulā</w:t>
      </w:r>
      <w:r w:rsidR="00D9596B" w:rsidRPr="001F17AA">
        <w:rPr>
          <w:rFonts w:asciiTheme="minorHAnsi" w:hAnsiTheme="minorHAnsi"/>
          <w:sz w:val="22"/>
          <w:szCs w:val="22"/>
          <w:lang w:val="lv-LV"/>
        </w:rPr>
        <w:t xml:space="preserve"> Neskatoties uz kopbudžeta nodokļu plāna izpildi, ir vairāki nozīmīgāki nodokļi, kuru iekasēšanas plāns netika izpildīts – UIN, AN, Muitas nodoklis, Dabas resursu nodoklis u.t.t. To kompensēja IIN ieņēmumi, kas tika iekasēti par 198.4 miljoniem jeb 11.5% vairāk kā tika ieplānots, un VSAOI, kas tika iekasētas par 70.9 miljoniem jeb 2.5% vairāk kā tika plānots.</w:t>
      </w:r>
    </w:p>
    <w:p w14:paraId="69A5F401" w14:textId="2B9073A5" w:rsidR="00852988" w:rsidRPr="0078054E" w:rsidRDefault="00BA7C68" w:rsidP="009A1EF2">
      <w:pPr>
        <w:pStyle w:val="ListParagraph"/>
        <w:ind w:left="1637"/>
        <w:jc w:val="right"/>
        <w:rPr>
          <w:rFonts w:asciiTheme="minorHAnsi" w:hAnsiTheme="minorHAnsi" w:cstheme="minorHAnsi"/>
          <w:sz w:val="20"/>
          <w:szCs w:val="20"/>
          <w:lang w:val="lv-LV"/>
        </w:rPr>
      </w:pPr>
      <w:r>
        <w:rPr>
          <w:rFonts w:asciiTheme="minorHAnsi" w:eastAsia="Calibri" w:hAnsiTheme="minorHAnsi" w:cstheme="minorHAnsi"/>
          <w:sz w:val="20"/>
          <w:szCs w:val="20"/>
          <w:lang w:val="lv-LV"/>
        </w:rPr>
        <w:t>4</w:t>
      </w:r>
      <w:r w:rsidR="00852988" w:rsidRPr="0078054E">
        <w:rPr>
          <w:rFonts w:asciiTheme="minorHAnsi" w:eastAsia="Calibri" w:hAnsiTheme="minorHAnsi" w:cstheme="minorHAnsi"/>
          <w:sz w:val="20"/>
          <w:szCs w:val="20"/>
          <w:lang w:val="lv-LV"/>
        </w:rPr>
        <w:t xml:space="preserve">.tabula </w:t>
      </w:r>
    </w:p>
    <w:p w14:paraId="111585F0" w14:textId="07F50616" w:rsidR="00546C7C" w:rsidRPr="0078054E" w:rsidRDefault="00852988" w:rsidP="009A1EF2">
      <w:pPr>
        <w:jc w:val="center"/>
        <w:rPr>
          <w:rFonts w:asciiTheme="minorHAnsi" w:hAnsiTheme="minorHAnsi" w:cstheme="minorHAnsi"/>
          <w:b/>
          <w:i/>
          <w:sz w:val="20"/>
          <w:szCs w:val="20"/>
          <w:lang w:val="lv-LV"/>
        </w:rPr>
      </w:pPr>
      <w:r w:rsidRPr="0078054E">
        <w:rPr>
          <w:rFonts w:asciiTheme="minorHAnsi" w:eastAsia="Calibri" w:hAnsiTheme="minorHAnsi" w:cstheme="minorHAnsi"/>
          <w:b/>
          <w:bCs/>
          <w:sz w:val="20"/>
          <w:szCs w:val="20"/>
          <w:lang w:val="lv-LV"/>
        </w:rPr>
        <w:t xml:space="preserve">VID administrēto ieņēmumu plāns un tā izpilde 2019.gadā (tūkst. </w:t>
      </w:r>
      <w:r w:rsidR="005E701A">
        <w:rPr>
          <w:rFonts w:asciiTheme="minorHAnsi" w:eastAsia="Calibri" w:hAnsiTheme="minorHAnsi" w:cstheme="minorHAnsi"/>
          <w:b/>
          <w:bCs/>
          <w:sz w:val="20"/>
          <w:szCs w:val="20"/>
          <w:lang w:val="lv-LV"/>
        </w:rPr>
        <w:t>E</w:t>
      </w:r>
      <w:r w:rsidRPr="0078054E">
        <w:rPr>
          <w:rFonts w:asciiTheme="minorHAnsi" w:eastAsia="Calibri" w:hAnsiTheme="minorHAnsi" w:cstheme="minorHAnsi"/>
          <w:b/>
          <w:bCs/>
          <w:sz w:val="20"/>
          <w:szCs w:val="20"/>
          <w:lang w:val="lv-LV"/>
        </w:rPr>
        <w:t>iro)</w:t>
      </w:r>
    </w:p>
    <w:tbl>
      <w:tblPr>
        <w:tblStyle w:val="TableGrid"/>
        <w:tblW w:w="5000" w:type="pct"/>
        <w:tblLook w:val="04A0" w:firstRow="1" w:lastRow="0" w:firstColumn="1" w:lastColumn="0" w:noHBand="0" w:noVBand="1"/>
      </w:tblPr>
      <w:tblGrid>
        <w:gridCol w:w="2762"/>
        <w:gridCol w:w="1732"/>
        <w:gridCol w:w="1901"/>
        <w:gridCol w:w="1901"/>
      </w:tblGrid>
      <w:tr w:rsidR="00280099" w:rsidRPr="00A00F2A" w14:paraId="4F0A6C88" w14:textId="245D43C4" w:rsidTr="00781C1E">
        <w:trPr>
          <w:trHeight w:val="300"/>
        </w:trPr>
        <w:tc>
          <w:tcPr>
            <w:tcW w:w="1664" w:type="pct"/>
            <w:shd w:val="clear" w:color="auto" w:fill="DEEAF6" w:themeFill="accent1" w:themeFillTint="33"/>
            <w:noWrap/>
            <w:hideMark/>
          </w:tcPr>
          <w:p w14:paraId="03766750" w14:textId="124A5E60" w:rsidR="00280099" w:rsidRPr="00A00F2A" w:rsidRDefault="006E0E37" w:rsidP="009A1EF2">
            <w:pPr>
              <w:rPr>
                <w:rFonts w:asciiTheme="minorHAnsi" w:hAnsiTheme="minorHAnsi"/>
                <w:b/>
                <w:sz w:val="20"/>
                <w:szCs w:val="20"/>
                <w:lang w:val="lv-LV"/>
              </w:rPr>
            </w:pPr>
            <w:r w:rsidRPr="00A00F2A">
              <w:rPr>
                <w:rFonts w:asciiTheme="minorHAnsi" w:hAnsiTheme="minorHAnsi"/>
                <w:b/>
                <w:sz w:val="20"/>
                <w:szCs w:val="20"/>
                <w:lang w:val="lv-LV"/>
              </w:rPr>
              <w:t>Ieņēmumi</w:t>
            </w:r>
          </w:p>
        </w:tc>
        <w:tc>
          <w:tcPr>
            <w:tcW w:w="1043" w:type="pct"/>
            <w:shd w:val="clear" w:color="auto" w:fill="DEEAF6" w:themeFill="accent1" w:themeFillTint="33"/>
            <w:noWrap/>
            <w:hideMark/>
          </w:tcPr>
          <w:p w14:paraId="7066164A" w14:textId="4647FED9" w:rsidR="00280099" w:rsidRPr="00A00F2A" w:rsidRDefault="00280099" w:rsidP="009A1EF2">
            <w:pPr>
              <w:jc w:val="center"/>
              <w:rPr>
                <w:rFonts w:asciiTheme="minorHAnsi" w:hAnsiTheme="minorHAnsi"/>
                <w:b/>
                <w:sz w:val="20"/>
                <w:szCs w:val="20"/>
                <w:lang w:val="lv-LV"/>
              </w:rPr>
            </w:pPr>
            <w:r w:rsidRPr="00A00F2A">
              <w:rPr>
                <w:rFonts w:asciiTheme="minorHAnsi" w:hAnsiTheme="minorHAnsi"/>
                <w:b/>
                <w:sz w:val="20"/>
                <w:szCs w:val="20"/>
                <w:lang w:val="lv-LV"/>
              </w:rPr>
              <w:t>2019 fakts</w:t>
            </w:r>
          </w:p>
        </w:tc>
        <w:tc>
          <w:tcPr>
            <w:tcW w:w="1146" w:type="pct"/>
            <w:shd w:val="clear" w:color="auto" w:fill="DEEAF6" w:themeFill="accent1" w:themeFillTint="33"/>
            <w:noWrap/>
            <w:hideMark/>
          </w:tcPr>
          <w:p w14:paraId="177217DC" w14:textId="6782A5DF" w:rsidR="00280099" w:rsidRPr="00A00F2A" w:rsidRDefault="00280099" w:rsidP="009A1EF2">
            <w:pPr>
              <w:jc w:val="center"/>
              <w:rPr>
                <w:rFonts w:asciiTheme="minorHAnsi" w:hAnsiTheme="minorHAnsi"/>
                <w:b/>
                <w:sz w:val="20"/>
                <w:szCs w:val="20"/>
                <w:lang w:val="lv-LV"/>
              </w:rPr>
            </w:pPr>
            <w:r w:rsidRPr="00A00F2A">
              <w:rPr>
                <w:rFonts w:asciiTheme="minorHAnsi" w:hAnsiTheme="minorHAnsi"/>
                <w:b/>
                <w:sz w:val="20"/>
                <w:szCs w:val="20"/>
                <w:lang w:val="lv-LV"/>
              </w:rPr>
              <w:t>2019 plāns</w:t>
            </w:r>
          </w:p>
        </w:tc>
        <w:tc>
          <w:tcPr>
            <w:tcW w:w="1146" w:type="pct"/>
            <w:shd w:val="clear" w:color="auto" w:fill="DEEAF6" w:themeFill="accent1" w:themeFillTint="33"/>
          </w:tcPr>
          <w:p w14:paraId="28FD816F" w14:textId="5548DE3D" w:rsidR="00280099" w:rsidRPr="00A00F2A" w:rsidRDefault="00280099" w:rsidP="009A1EF2">
            <w:pPr>
              <w:jc w:val="center"/>
              <w:rPr>
                <w:rFonts w:asciiTheme="minorHAnsi" w:hAnsiTheme="minorHAnsi"/>
                <w:b/>
                <w:sz w:val="20"/>
                <w:szCs w:val="20"/>
                <w:lang w:val="lv-LV"/>
              </w:rPr>
            </w:pPr>
            <w:r w:rsidRPr="00A00F2A">
              <w:rPr>
                <w:rFonts w:asciiTheme="minorHAnsi" w:hAnsiTheme="minorHAnsi"/>
                <w:b/>
                <w:sz w:val="20"/>
                <w:szCs w:val="20"/>
                <w:lang w:val="lv-LV"/>
              </w:rPr>
              <w:t>Izpilde (%)</w:t>
            </w:r>
          </w:p>
        </w:tc>
      </w:tr>
      <w:tr w:rsidR="00280099" w:rsidRPr="00A00F2A" w14:paraId="1E8328C5" w14:textId="75998C46" w:rsidTr="00781C1E">
        <w:trPr>
          <w:trHeight w:val="300"/>
        </w:trPr>
        <w:tc>
          <w:tcPr>
            <w:tcW w:w="1664" w:type="pct"/>
            <w:noWrap/>
            <w:hideMark/>
          </w:tcPr>
          <w:p w14:paraId="1C3419FB" w14:textId="77777777" w:rsidR="00280099" w:rsidRPr="00A00F2A" w:rsidRDefault="00280099" w:rsidP="009A1EF2">
            <w:pPr>
              <w:rPr>
                <w:rFonts w:asciiTheme="minorHAnsi" w:hAnsiTheme="minorHAnsi"/>
                <w:b/>
                <w:sz w:val="20"/>
                <w:szCs w:val="20"/>
                <w:lang w:val="lv-LV"/>
              </w:rPr>
            </w:pPr>
            <w:r w:rsidRPr="00A00F2A">
              <w:rPr>
                <w:rFonts w:asciiTheme="minorHAnsi" w:hAnsiTheme="minorHAnsi"/>
                <w:b/>
                <w:sz w:val="20"/>
                <w:szCs w:val="20"/>
                <w:lang w:val="lv-LV"/>
              </w:rPr>
              <w:t xml:space="preserve"> UIN</w:t>
            </w:r>
          </w:p>
        </w:tc>
        <w:tc>
          <w:tcPr>
            <w:tcW w:w="1043" w:type="pct"/>
            <w:noWrap/>
            <w:hideMark/>
          </w:tcPr>
          <w:p w14:paraId="15D5727A" w14:textId="0C4BAC18" w:rsidR="00280099" w:rsidRPr="00A00F2A" w:rsidRDefault="00157CFA" w:rsidP="009A1EF2">
            <w:pPr>
              <w:jc w:val="center"/>
              <w:rPr>
                <w:rFonts w:asciiTheme="minorHAnsi" w:hAnsiTheme="minorHAnsi"/>
                <w:sz w:val="20"/>
                <w:szCs w:val="20"/>
                <w:lang w:val="lv-LV"/>
              </w:rPr>
            </w:pPr>
            <w:r w:rsidRPr="00A00F2A">
              <w:rPr>
                <w:rFonts w:asciiTheme="minorHAnsi" w:hAnsiTheme="minorHAnsi"/>
                <w:sz w:val="20"/>
                <w:szCs w:val="20"/>
                <w:lang w:val="lv-LV"/>
              </w:rPr>
              <w:t>44.</w:t>
            </w:r>
            <w:r w:rsidR="00280099" w:rsidRPr="00A00F2A">
              <w:rPr>
                <w:rFonts w:asciiTheme="minorHAnsi" w:hAnsiTheme="minorHAnsi"/>
                <w:sz w:val="20"/>
                <w:szCs w:val="20"/>
                <w:lang w:val="lv-LV"/>
              </w:rPr>
              <w:t>8</w:t>
            </w:r>
          </w:p>
        </w:tc>
        <w:tc>
          <w:tcPr>
            <w:tcW w:w="1146" w:type="pct"/>
            <w:noWrap/>
            <w:hideMark/>
          </w:tcPr>
          <w:p w14:paraId="38955FF4" w14:textId="6AF30A42" w:rsidR="00280099" w:rsidRPr="00A00F2A" w:rsidRDefault="00157CFA" w:rsidP="009A1EF2">
            <w:pPr>
              <w:jc w:val="center"/>
              <w:rPr>
                <w:rFonts w:asciiTheme="minorHAnsi" w:hAnsiTheme="minorHAnsi"/>
                <w:sz w:val="20"/>
                <w:szCs w:val="20"/>
                <w:lang w:val="lv-LV"/>
              </w:rPr>
            </w:pPr>
            <w:r w:rsidRPr="00A00F2A">
              <w:rPr>
                <w:rFonts w:asciiTheme="minorHAnsi" w:hAnsiTheme="minorHAnsi"/>
                <w:sz w:val="20"/>
                <w:szCs w:val="20"/>
                <w:lang w:val="lv-LV"/>
              </w:rPr>
              <w:t>201.</w:t>
            </w:r>
            <w:r w:rsidR="00ED2915" w:rsidRPr="00A00F2A">
              <w:rPr>
                <w:rFonts w:asciiTheme="minorHAnsi" w:hAnsiTheme="minorHAnsi"/>
                <w:sz w:val="20"/>
                <w:szCs w:val="20"/>
                <w:lang w:val="lv-LV"/>
              </w:rPr>
              <w:t>8</w:t>
            </w:r>
          </w:p>
        </w:tc>
        <w:tc>
          <w:tcPr>
            <w:tcW w:w="1146" w:type="pct"/>
          </w:tcPr>
          <w:p w14:paraId="1EA747BA" w14:textId="3B1B0A6F" w:rsidR="00280099" w:rsidRPr="00A00F2A" w:rsidRDefault="00157CFA" w:rsidP="009A1EF2">
            <w:pPr>
              <w:jc w:val="center"/>
              <w:rPr>
                <w:rFonts w:asciiTheme="minorHAnsi" w:hAnsiTheme="minorHAnsi"/>
                <w:sz w:val="20"/>
                <w:szCs w:val="20"/>
                <w:lang w:val="lv-LV"/>
              </w:rPr>
            </w:pPr>
            <w:r w:rsidRPr="00A00F2A">
              <w:rPr>
                <w:rFonts w:asciiTheme="minorHAnsi" w:hAnsiTheme="minorHAnsi"/>
                <w:sz w:val="20"/>
                <w:szCs w:val="20"/>
                <w:lang w:val="lv-LV"/>
              </w:rPr>
              <w:t>22.</w:t>
            </w:r>
            <w:r w:rsidR="00ED2915" w:rsidRPr="00A00F2A">
              <w:rPr>
                <w:rFonts w:asciiTheme="minorHAnsi" w:hAnsiTheme="minorHAnsi"/>
                <w:sz w:val="20"/>
                <w:szCs w:val="20"/>
                <w:lang w:val="lv-LV"/>
              </w:rPr>
              <w:t>2</w:t>
            </w:r>
          </w:p>
        </w:tc>
      </w:tr>
      <w:tr w:rsidR="00280099" w:rsidRPr="00A00F2A" w14:paraId="3B4DDC34" w14:textId="12776C6F" w:rsidTr="00781C1E">
        <w:trPr>
          <w:trHeight w:val="300"/>
        </w:trPr>
        <w:tc>
          <w:tcPr>
            <w:tcW w:w="1664" w:type="pct"/>
            <w:noWrap/>
            <w:hideMark/>
          </w:tcPr>
          <w:p w14:paraId="28BFDF77" w14:textId="24B0B211" w:rsidR="00280099" w:rsidRPr="00A00F2A" w:rsidRDefault="00280099" w:rsidP="009A1EF2">
            <w:pPr>
              <w:rPr>
                <w:rFonts w:asciiTheme="minorHAnsi" w:hAnsiTheme="minorHAnsi"/>
                <w:b/>
                <w:sz w:val="20"/>
                <w:szCs w:val="20"/>
                <w:lang w:val="lv-LV"/>
              </w:rPr>
            </w:pPr>
            <w:r w:rsidRPr="00A00F2A">
              <w:rPr>
                <w:rFonts w:asciiTheme="minorHAnsi" w:hAnsiTheme="minorHAnsi"/>
                <w:b/>
                <w:sz w:val="20"/>
                <w:szCs w:val="20"/>
                <w:lang w:val="lv-LV"/>
              </w:rPr>
              <w:t xml:space="preserve"> PVN</w:t>
            </w:r>
          </w:p>
        </w:tc>
        <w:tc>
          <w:tcPr>
            <w:tcW w:w="1043" w:type="pct"/>
            <w:noWrap/>
            <w:hideMark/>
          </w:tcPr>
          <w:p w14:paraId="63ECA029" w14:textId="0D1CC0E7" w:rsidR="00280099" w:rsidRPr="00A00F2A" w:rsidRDefault="00157CFA" w:rsidP="009A1EF2">
            <w:pPr>
              <w:jc w:val="center"/>
              <w:rPr>
                <w:rFonts w:asciiTheme="minorHAnsi" w:hAnsiTheme="minorHAnsi"/>
                <w:sz w:val="20"/>
                <w:szCs w:val="20"/>
                <w:lang w:val="lv-LV"/>
              </w:rPr>
            </w:pPr>
            <w:r w:rsidRPr="00A00F2A">
              <w:rPr>
                <w:rFonts w:asciiTheme="minorHAnsi" w:hAnsiTheme="minorHAnsi"/>
                <w:sz w:val="20"/>
                <w:szCs w:val="20"/>
                <w:lang w:val="lv-LV"/>
              </w:rPr>
              <w:t>2 648.</w:t>
            </w:r>
            <w:r w:rsidR="00280099" w:rsidRPr="00A00F2A">
              <w:rPr>
                <w:rFonts w:asciiTheme="minorHAnsi" w:hAnsiTheme="minorHAnsi"/>
                <w:sz w:val="20"/>
                <w:szCs w:val="20"/>
                <w:lang w:val="lv-LV"/>
              </w:rPr>
              <w:t>3</w:t>
            </w:r>
          </w:p>
        </w:tc>
        <w:tc>
          <w:tcPr>
            <w:tcW w:w="1146" w:type="pct"/>
            <w:noWrap/>
            <w:hideMark/>
          </w:tcPr>
          <w:p w14:paraId="07C92D20" w14:textId="4BEEC99D" w:rsidR="00280099" w:rsidRPr="00A00F2A" w:rsidRDefault="00157CFA" w:rsidP="009A1EF2">
            <w:pPr>
              <w:jc w:val="center"/>
              <w:rPr>
                <w:rFonts w:asciiTheme="minorHAnsi" w:hAnsiTheme="minorHAnsi"/>
                <w:sz w:val="20"/>
                <w:szCs w:val="20"/>
                <w:lang w:val="lv-LV"/>
              </w:rPr>
            </w:pPr>
            <w:r w:rsidRPr="00A00F2A">
              <w:rPr>
                <w:rFonts w:asciiTheme="minorHAnsi" w:hAnsiTheme="minorHAnsi"/>
                <w:sz w:val="20"/>
                <w:szCs w:val="20"/>
                <w:lang w:val="lv-LV"/>
              </w:rPr>
              <w:t>2 648.</w:t>
            </w:r>
            <w:r w:rsidR="00ED2915" w:rsidRPr="00A00F2A">
              <w:rPr>
                <w:rFonts w:asciiTheme="minorHAnsi" w:hAnsiTheme="minorHAnsi"/>
                <w:sz w:val="20"/>
                <w:szCs w:val="20"/>
                <w:lang w:val="lv-LV"/>
              </w:rPr>
              <w:t>4</w:t>
            </w:r>
          </w:p>
        </w:tc>
        <w:tc>
          <w:tcPr>
            <w:tcW w:w="1146" w:type="pct"/>
          </w:tcPr>
          <w:p w14:paraId="0A87AB34" w14:textId="25FB5C13" w:rsidR="00280099" w:rsidRPr="00A00F2A" w:rsidRDefault="00157CFA" w:rsidP="009A1EF2">
            <w:pPr>
              <w:jc w:val="center"/>
              <w:rPr>
                <w:rFonts w:asciiTheme="minorHAnsi" w:hAnsiTheme="minorHAnsi"/>
                <w:sz w:val="20"/>
                <w:szCs w:val="20"/>
                <w:lang w:val="lv-LV"/>
              </w:rPr>
            </w:pPr>
            <w:r w:rsidRPr="00A00F2A">
              <w:rPr>
                <w:rFonts w:asciiTheme="minorHAnsi" w:hAnsiTheme="minorHAnsi"/>
                <w:sz w:val="20"/>
                <w:szCs w:val="20"/>
                <w:lang w:val="lv-LV"/>
              </w:rPr>
              <w:t>100.</w:t>
            </w:r>
            <w:r w:rsidR="00ED2915" w:rsidRPr="00A00F2A">
              <w:rPr>
                <w:rFonts w:asciiTheme="minorHAnsi" w:hAnsiTheme="minorHAnsi"/>
                <w:sz w:val="20"/>
                <w:szCs w:val="20"/>
                <w:lang w:val="lv-LV"/>
              </w:rPr>
              <w:t>0</w:t>
            </w:r>
          </w:p>
        </w:tc>
      </w:tr>
      <w:tr w:rsidR="00280099" w:rsidRPr="00A00F2A" w14:paraId="057F51C1" w14:textId="11BFAB4E" w:rsidTr="00781C1E">
        <w:trPr>
          <w:trHeight w:val="300"/>
        </w:trPr>
        <w:tc>
          <w:tcPr>
            <w:tcW w:w="1664" w:type="pct"/>
            <w:noWrap/>
            <w:hideMark/>
          </w:tcPr>
          <w:p w14:paraId="35059108" w14:textId="13388E92" w:rsidR="00280099" w:rsidRPr="00A00F2A" w:rsidRDefault="00280099" w:rsidP="009A1EF2">
            <w:pPr>
              <w:rPr>
                <w:rFonts w:asciiTheme="minorHAnsi" w:hAnsiTheme="minorHAnsi"/>
                <w:b/>
                <w:sz w:val="20"/>
                <w:szCs w:val="20"/>
                <w:lang w:val="lv-LV"/>
              </w:rPr>
            </w:pPr>
            <w:r w:rsidRPr="00A00F2A">
              <w:rPr>
                <w:rFonts w:asciiTheme="minorHAnsi" w:hAnsiTheme="minorHAnsi"/>
                <w:b/>
                <w:sz w:val="20"/>
                <w:szCs w:val="20"/>
                <w:lang w:val="lv-LV"/>
              </w:rPr>
              <w:t xml:space="preserve"> Akcīzes nodoklis</w:t>
            </w:r>
          </w:p>
        </w:tc>
        <w:tc>
          <w:tcPr>
            <w:tcW w:w="1043" w:type="pct"/>
            <w:noWrap/>
            <w:hideMark/>
          </w:tcPr>
          <w:p w14:paraId="3199A717" w14:textId="6FBB2EF2" w:rsidR="00280099" w:rsidRPr="00A00F2A" w:rsidRDefault="00157CFA" w:rsidP="009A1EF2">
            <w:pPr>
              <w:jc w:val="center"/>
              <w:rPr>
                <w:rFonts w:asciiTheme="minorHAnsi" w:hAnsiTheme="minorHAnsi"/>
                <w:sz w:val="20"/>
                <w:szCs w:val="20"/>
                <w:lang w:val="lv-LV"/>
              </w:rPr>
            </w:pPr>
            <w:r w:rsidRPr="00A00F2A">
              <w:rPr>
                <w:rFonts w:asciiTheme="minorHAnsi" w:hAnsiTheme="minorHAnsi"/>
                <w:sz w:val="20"/>
                <w:szCs w:val="20"/>
                <w:lang w:val="lv-LV"/>
              </w:rPr>
              <w:t>1 064.</w:t>
            </w:r>
            <w:r w:rsidR="00280099" w:rsidRPr="00A00F2A">
              <w:rPr>
                <w:rFonts w:asciiTheme="minorHAnsi" w:hAnsiTheme="minorHAnsi"/>
                <w:sz w:val="20"/>
                <w:szCs w:val="20"/>
                <w:lang w:val="lv-LV"/>
              </w:rPr>
              <w:t>1</w:t>
            </w:r>
          </w:p>
        </w:tc>
        <w:tc>
          <w:tcPr>
            <w:tcW w:w="1146" w:type="pct"/>
            <w:noWrap/>
            <w:hideMark/>
          </w:tcPr>
          <w:p w14:paraId="6EABE642" w14:textId="4641295D" w:rsidR="00280099" w:rsidRPr="00A00F2A" w:rsidRDefault="00157CFA" w:rsidP="009A1EF2">
            <w:pPr>
              <w:jc w:val="center"/>
              <w:rPr>
                <w:rFonts w:asciiTheme="minorHAnsi" w:hAnsiTheme="minorHAnsi"/>
                <w:sz w:val="20"/>
                <w:szCs w:val="20"/>
                <w:lang w:val="lv-LV"/>
              </w:rPr>
            </w:pPr>
            <w:r w:rsidRPr="00A00F2A">
              <w:rPr>
                <w:rFonts w:asciiTheme="minorHAnsi" w:hAnsiTheme="minorHAnsi"/>
                <w:sz w:val="20"/>
                <w:szCs w:val="20"/>
                <w:lang w:val="lv-LV"/>
              </w:rPr>
              <w:t>1 118.</w:t>
            </w:r>
            <w:r w:rsidR="00ED2915" w:rsidRPr="00A00F2A">
              <w:rPr>
                <w:rFonts w:asciiTheme="minorHAnsi" w:hAnsiTheme="minorHAnsi"/>
                <w:sz w:val="20"/>
                <w:szCs w:val="20"/>
                <w:lang w:val="lv-LV"/>
              </w:rPr>
              <w:t>9</w:t>
            </w:r>
          </w:p>
        </w:tc>
        <w:tc>
          <w:tcPr>
            <w:tcW w:w="1146" w:type="pct"/>
          </w:tcPr>
          <w:p w14:paraId="011B98C5" w14:textId="3F7BA819" w:rsidR="00280099" w:rsidRPr="00A00F2A" w:rsidRDefault="00157CFA" w:rsidP="009A1EF2">
            <w:pPr>
              <w:jc w:val="center"/>
              <w:rPr>
                <w:rFonts w:asciiTheme="minorHAnsi" w:hAnsiTheme="minorHAnsi"/>
                <w:sz w:val="20"/>
                <w:szCs w:val="20"/>
                <w:lang w:val="lv-LV"/>
              </w:rPr>
            </w:pPr>
            <w:r w:rsidRPr="00A00F2A">
              <w:rPr>
                <w:rFonts w:asciiTheme="minorHAnsi" w:hAnsiTheme="minorHAnsi"/>
                <w:sz w:val="20"/>
                <w:szCs w:val="20"/>
                <w:lang w:val="lv-LV"/>
              </w:rPr>
              <w:t>95.</w:t>
            </w:r>
            <w:r w:rsidR="00ED2915" w:rsidRPr="00A00F2A">
              <w:rPr>
                <w:rFonts w:asciiTheme="minorHAnsi" w:hAnsiTheme="minorHAnsi"/>
                <w:sz w:val="20"/>
                <w:szCs w:val="20"/>
                <w:lang w:val="lv-LV"/>
              </w:rPr>
              <w:t>1</w:t>
            </w:r>
          </w:p>
        </w:tc>
      </w:tr>
      <w:tr w:rsidR="00280099" w:rsidRPr="00A00F2A" w14:paraId="398C7DEB" w14:textId="1AC07158" w:rsidTr="00781C1E">
        <w:trPr>
          <w:trHeight w:val="300"/>
        </w:trPr>
        <w:tc>
          <w:tcPr>
            <w:tcW w:w="1664" w:type="pct"/>
            <w:noWrap/>
            <w:hideMark/>
          </w:tcPr>
          <w:p w14:paraId="00701B21" w14:textId="53CABFE6" w:rsidR="00280099" w:rsidRPr="00A00F2A" w:rsidRDefault="00280099" w:rsidP="009A1EF2">
            <w:pPr>
              <w:rPr>
                <w:rFonts w:asciiTheme="minorHAnsi" w:hAnsiTheme="minorHAnsi"/>
                <w:b/>
                <w:sz w:val="20"/>
                <w:szCs w:val="20"/>
                <w:lang w:val="lv-LV"/>
              </w:rPr>
            </w:pPr>
            <w:r w:rsidRPr="00A00F2A">
              <w:rPr>
                <w:rFonts w:asciiTheme="minorHAnsi" w:hAnsiTheme="minorHAnsi"/>
                <w:b/>
                <w:sz w:val="20"/>
                <w:szCs w:val="20"/>
                <w:lang w:val="lv-LV"/>
              </w:rPr>
              <w:t xml:space="preserve"> IIN</w:t>
            </w:r>
          </w:p>
        </w:tc>
        <w:tc>
          <w:tcPr>
            <w:tcW w:w="1043" w:type="pct"/>
            <w:noWrap/>
            <w:hideMark/>
          </w:tcPr>
          <w:p w14:paraId="67CD7570" w14:textId="67855319" w:rsidR="00280099" w:rsidRPr="00A00F2A" w:rsidRDefault="00157CFA" w:rsidP="009A1EF2">
            <w:pPr>
              <w:jc w:val="center"/>
              <w:rPr>
                <w:rFonts w:asciiTheme="minorHAnsi" w:hAnsiTheme="minorHAnsi"/>
                <w:sz w:val="20"/>
                <w:szCs w:val="20"/>
                <w:lang w:val="lv-LV"/>
              </w:rPr>
            </w:pPr>
            <w:r w:rsidRPr="00A00F2A">
              <w:rPr>
                <w:rFonts w:asciiTheme="minorHAnsi" w:hAnsiTheme="minorHAnsi"/>
                <w:sz w:val="20"/>
                <w:szCs w:val="20"/>
                <w:lang w:val="lv-LV"/>
              </w:rPr>
              <w:t>1 946.</w:t>
            </w:r>
            <w:r w:rsidR="00ED2915" w:rsidRPr="00A00F2A">
              <w:rPr>
                <w:rFonts w:asciiTheme="minorHAnsi" w:hAnsiTheme="minorHAnsi"/>
                <w:sz w:val="20"/>
                <w:szCs w:val="20"/>
                <w:lang w:val="lv-LV"/>
              </w:rPr>
              <w:t>7</w:t>
            </w:r>
          </w:p>
        </w:tc>
        <w:tc>
          <w:tcPr>
            <w:tcW w:w="1146" w:type="pct"/>
            <w:noWrap/>
            <w:hideMark/>
          </w:tcPr>
          <w:p w14:paraId="501F2939" w14:textId="640C6054" w:rsidR="00280099" w:rsidRPr="00A00F2A" w:rsidRDefault="00157CFA" w:rsidP="009A1EF2">
            <w:pPr>
              <w:jc w:val="center"/>
              <w:rPr>
                <w:rFonts w:asciiTheme="minorHAnsi" w:hAnsiTheme="minorHAnsi"/>
                <w:sz w:val="20"/>
                <w:szCs w:val="20"/>
                <w:lang w:val="lv-LV"/>
              </w:rPr>
            </w:pPr>
            <w:r w:rsidRPr="00A00F2A">
              <w:rPr>
                <w:rFonts w:asciiTheme="minorHAnsi" w:hAnsiTheme="minorHAnsi"/>
                <w:sz w:val="20"/>
                <w:szCs w:val="20"/>
                <w:lang w:val="lv-LV"/>
              </w:rPr>
              <w:t>1 731.</w:t>
            </w:r>
            <w:r w:rsidR="00ED2915" w:rsidRPr="00A00F2A">
              <w:rPr>
                <w:rFonts w:asciiTheme="minorHAnsi" w:hAnsiTheme="minorHAnsi"/>
                <w:sz w:val="20"/>
                <w:szCs w:val="20"/>
                <w:lang w:val="lv-LV"/>
              </w:rPr>
              <w:t>2</w:t>
            </w:r>
          </w:p>
        </w:tc>
        <w:tc>
          <w:tcPr>
            <w:tcW w:w="1146" w:type="pct"/>
          </w:tcPr>
          <w:p w14:paraId="63C90426" w14:textId="72D0475D" w:rsidR="00280099" w:rsidRPr="00A00F2A" w:rsidRDefault="00157CFA" w:rsidP="009A1EF2">
            <w:pPr>
              <w:jc w:val="center"/>
              <w:rPr>
                <w:rFonts w:asciiTheme="minorHAnsi" w:hAnsiTheme="minorHAnsi"/>
                <w:sz w:val="20"/>
                <w:szCs w:val="20"/>
                <w:lang w:val="lv-LV"/>
              </w:rPr>
            </w:pPr>
            <w:r w:rsidRPr="00A00F2A">
              <w:rPr>
                <w:rFonts w:asciiTheme="minorHAnsi" w:hAnsiTheme="minorHAnsi"/>
                <w:sz w:val="20"/>
                <w:szCs w:val="20"/>
                <w:lang w:val="lv-LV"/>
              </w:rPr>
              <w:t>112.</w:t>
            </w:r>
            <w:r w:rsidR="00ED2915" w:rsidRPr="00A00F2A">
              <w:rPr>
                <w:rFonts w:asciiTheme="minorHAnsi" w:hAnsiTheme="minorHAnsi"/>
                <w:sz w:val="20"/>
                <w:szCs w:val="20"/>
                <w:lang w:val="lv-LV"/>
              </w:rPr>
              <w:t>5</w:t>
            </w:r>
          </w:p>
        </w:tc>
      </w:tr>
      <w:tr w:rsidR="00280099" w:rsidRPr="00A00F2A" w14:paraId="3A3DE0CB" w14:textId="31B12093" w:rsidTr="00781C1E">
        <w:trPr>
          <w:trHeight w:val="300"/>
        </w:trPr>
        <w:tc>
          <w:tcPr>
            <w:tcW w:w="1664" w:type="pct"/>
            <w:noWrap/>
            <w:hideMark/>
          </w:tcPr>
          <w:p w14:paraId="5DC77FFA" w14:textId="7F437D49" w:rsidR="00280099" w:rsidRPr="00A00F2A" w:rsidRDefault="00280099" w:rsidP="009A1EF2">
            <w:pPr>
              <w:rPr>
                <w:rFonts w:asciiTheme="minorHAnsi" w:hAnsiTheme="minorHAnsi"/>
                <w:b/>
                <w:sz w:val="20"/>
                <w:szCs w:val="20"/>
                <w:lang w:val="lv-LV"/>
              </w:rPr>
            </w:pPr>
            <w:r w:rsidRPr="00A00F2A">
              <w:rPr>
                <w:rFonts w:asciiTheme="minorHAnsi" w:hAnsiTheme="minorHAnsi"/>
                <w:b/>
                <w:sz w:val="20"/>
                <w:szCs w:val="20"/>
                <w:lang w:val="lv-LV"/>
              </w:rPr>
              <w:t xml:space="preserve"> Pārējie nodokļi</w:t>
            </w:r>
          </w:p>
        </w:tc>
        <w:tc>
          <w:tcPr>
            <w:tcW w:w="1043" w:type="pct"/>
            <w:noWrap/>
            <w:hideMark/>
          </w:tcPr>
          <w:p w14:paraId="49859155" w14:textId="2F3C5E4D" w:rsidR="00280099" w:rsidRPr="00A00F2A" w:rsidRDefault="00157CFA" w:rsidP="009A1EF2">
            <w:pPr>
              <w:jc w:val="center"/>
              <w:rPr>
                <w:rFonts w:asciiTheme="minorHAnsi" w:hAnsiTheme="minorHAnsi"/>
                <w:sz w:val="20"/>
                <w:szCs w:val="20"/>
                <w:lang w:val="lv-LV"/>
              </w:rPr>
            </w:pPr>
            <w:r w:rsidRPr="00A00F2A">
              <w:rPr>
                <w:rFonts w:asciiTheme="minorHAnsi" w:hAnsiTheme="minorHAnsi"/>
                <w:sz w:val="20"/>
                <w:szCs w:val="20"/>
                <w:lang w:val="lv-LV"/>
              </w:rPr>
              <w:t>238.</w:t>
            </w:r>
            <w:r w:rsidR="00ED2915" w:rsidRPr="00A00F2A">
              <w:rPr>
                <w:rFonts w:asciiTheme="minorHAnsi" w:hAnsiTheme="minorHAnsi"/>
                <w:sz w:val="20"/>
                <w:szCs w:val="20"/>
                <w:lang w:val="lv-LV"/>
              </w:rPr>
              <w:t>8</w:t>
            </w:r>
          </w:p>
        </w:tc>
        <w:tc>
          <w:tcPr>
            <w:tcW w:w="1146" w:type="pct"/>
            <w:noWrap/>
            <w:hideMark/>
          </w:tcPr>
          <w:p w14:paraId="242538DB" w14:textId="62C82986" w:rsidR="00280099" w:rsidRPr="00A00F2A" w:rsidRDefault="00157CFA" w:rsidP="009A1EF2">
            <w:pPr>
              <w:jc w:val="center"/>
              <w:rPr>
                <w:rFonts w:asciiTheme="minorHAnsi" w:hAnsiTheme="minorHAnsi"/>
                <w:sz w:val="20"/>
                <w:szCs w:val="20"/>
                <w:lang w:val="lv-LV"/>
              </w:rPr>
            </w:pPr>
            <w:r w:rsidRPr="00A00F2A">
              <w:rPr>
                <w:rFonts w:asciiTheme="minorHAnsi" w:hAnsiTheme="minorHAnsi"/>
                <w:sz w:val="20"/>
                <w:szCs w:val="20"/>
                <w:lang w:val="lv-LV"/>
              </w:rPr>
              <w:t>264.</w:t>
            </w:r>
            <w:r w:rsidR="00ED2915" w:rsidRPr="00A00F2A">
              <w:rPr>
                <w:rFonts w:asciiTheme="minorHAnsi" w:hAnsiTheme="minorHAnsi"/>
                <w:sz w:val="20"/>
                <w:szCs w:val="20"/>
                <w:lang w:val="lv-LV"/>
              </w:rPr>
              <w:t>2</w:t>
            </w:r>
          </w:p>
        </w:tc>
        <w:tc>
          <w:tcPr>
            <w:tcW w:w="1146" w:type="pct"/>
          </w:tcPr>
          <w:p w14:paraId="733B85CF" w14:textId="10B73366" w:rsidR="00280099" w:rsidRPr="00A00F2A" w:rsidRDefault="00157CFA" w:rsidP="009A1EF2">
            <w:pPr>
              <w:jc w:val="center"/>
              <w:rPr>
                <w:rFonts w:asciiTheme="minorHAnsi" w:hAnsiTheme="minorHAnsi"/>
                <w:sz w:val="20"/>
                <w:szCs w:val="20"/>
                <w:lang w:val="lv-LV"/>
              </w:rPr>
            </w:pPr>
            <w:r w:rsidRPr="00A00F2A">
              <w:rPr>
                <w:rFonts w:asciiTheme="minorHAnsi" w:hAnsiTheme="minorHAnsi"/>
                <w:sz w:val="20"/>
                <w:szCs w:val="20"/>
                <w:lang w:val="lv-LV"/>
              </w:rPr>
              <w:t>90.</w:t>
            </w:r>
            <w:r w:rsidR="00ED2915" w:rsidRPr="00A00F2A">
              <w:rPr>
                <w:rFonts w:asciiTheme="minorHAnsi" w:hAnsiTheme="minorHAnsi"/>
                <w:sz w:val="20"/>
                <w:szCs w:val="20"/>
                <w:lang w:val="lv-LV"/>
              </w:rPr>
              <w:t>4</w:t>
            </w:r>
          </w:p>
        </w:tc>
      </w:tr>
      <w:tr w:rsidR="00280099" w:rsidRPr="00A00F2A" w14:paraId="41818EAE" w14:textId="4D89514E" w:rsidTr="00781C1E">
        <w:trPr>
          <w:trHeight w:val="300"/>
        </w:trPr>
        <w:tc>
          <w:tcPr>
            <w:tcW w:w="1664" w:type="pct"/>
            <w:noWrap/>
            <w:hideMark/>
          </w:tcPr>
          <w:p w14:paraId="72E5A369" w14:textId="279D7C26" w:rsidR="00280099" w:rsidRPr="00A00F2A" w:rsidRDefault="00280099" w:rsidP="009A1EF2">
            <w:pPr>
              <w:rPr>
                <w:rFonts w:asciiTheme="minorHAnsi" w:hAnsiTheme="minorHAnsi"/>
                <w:b/>
                <w:sz w:val="20"/>
                <w:szCs w:val="20"/>
                <w:lang w:val="lv-LV"/>
              </w:rPr>
            </w:pPr>
            <w:r w:rsidRPr="00A00F2A">
              <w:rPr>
                <w:rFonts w:asciiTheme="minorHAnsi" w:hAnsiTheme="minorHAnsi"/>
                <w:b/>
                <w:sz w:val="20"/>
                <w:szCs w:val="20"/>
                <w:lang w:val="lv-LV"/>
              </w:rPr>
              <w:t xml:space="preserve"> Nenodokļu ieņēmumi</w:t>
            </w:r>
          </w:p>
        </w:tc>
        <w:tc>
          <w:tcPr>
            <w:tcW w:w="1043" w:type="pct"/>
            <w:noWrap/>
            <w:hideMark/>
          </w:tcPr>
          <w:p w14:paraId="6EBAE0E9" w14:textId="10AB43DA" w:rsidR="00280099" w:rsidRPr="00A00F2A" w:rsidRDefault="00157CFA" w:rsidP="009A1EF2">
            <w:pPr>
              <w:jc w:val="center"/>
              <w:rPr>
                <w:rFonts w:asciiTheme="minorHAnsi" w:hAnsiTheme="minorHAnsi"/>
                <w:sz w:val="20"/>
                <w:szCs w:val="20"/>
                <w:lang w:val="lv-LV"/>
              </w:rPr>
            </w:pPr>
            <w:r w:rsidRPr="00A00F2A">
              <w:rPr>
                <w:rFonts w:asciiTheme="minorHAnsi" w:hAnsiTheme="minorHAnsi"/>
                <w:sz w:val="20"/>
                <w:szCs w:val="20"/>
                <w:lang w:val="lv-LV"/>
              </w:rPr>
              <w:t>463.</w:t>
            </w:r>
            <w:r w:rsidR="00ED2915" w:rsidRPr="00A00F2A">
              <w:rPr>
                <w:rFonts w:asciiTheme="minorHAnsi" w:hAnsiTheme="minorHAnsi"/>
                <w:sz w:val="20"/>
                <w:szCs w:val="20"/>
                <w:lang w:val="lv-LV"/>
              </w:rPr>
              <w:t>6</w:t>
            </w:r>
          </w:p>
        </w:tc>
        <w:tc>
          <w:tcPr>
            <w:tcW w:w="1146" w:type="pct"/>
            <w:noWrap/>
            <w:hideMark/>
          </w:tcPr>
          <w:p w14:paraId="12534EE5" w14:textId="3C95D7CF" w:rsidR="00280099" w:rsidRPr="00A00F2A" w:rsidRDefault="00157CFA" w:rsidP="009A1EF2">
            <w:pPr>
              <w:jc w:val="center"/>
              <w:rPr>
                <w:rFonts w:asciiTheme="minorHAnsi" w:hAnsiTheme="minorHAnsi"/>
                <w:sz w:val="20"/>
                <w:szCs w:val="20"/>
                <w:lang w:val="lv-LV"/>
              </w:rPr>
            </w:pPr>
            <w:r w:rsidRPr="00A00F2A">
              <w:rPr>
                <w:rFonts w:asciiTheme="minorHAnsi" w:hAnsiTheme="minorHAnsi"/>
                <w:sz w:val="20"/>
                <w:szCs w:val="20"/>
                <w:lang w:val="lv-LV"/>
              </w:rPr>
              <w:t>448.</w:t>
            </w:r>
            <w:r w:rsidR="00ED2915" w:rsidRPr="00A00F2A">
              <w:rPr>
                <w:rFonts w:asciiTheme="minorHAnsi" w:hAnsiTheme="minorHAnsi"/>
                <w:sz w:val="20"/>
                <w:szCs w:val="20"/>
                <w:lang w:val="lv-LV"/>
              </w:rPr>
              <w:t>5</w:t>
            </w:r>
          </w:p>
        </w:tc>
        <w:tc>
          <w:tcPr>
            <w:tcW w:w="1146" w:type="pct"/>
          </w:tcPr>
          <w:p w14:paraId="280107F6" w14:textId="34197E13" w:rsidR="00280099" w:rsidRPr="00A00F2A" w:rsidRDefault="00157CFA" w:rsidP="009A1EF2">
            <w:pPr>
              <w:jc w:val="center"/>
              <w:rPr>
                <w:rFonts w:asciiTheme="minorHAnsi" w:hAnsiTheme="minorHAnsi"/>
                <w:sz w:val="20"/>
                <w:szCs w:val="20"/>
                <w:lang w:val="lv-LV"/>
              </w:rPr>
            </w:pPr>
            <w:r w:rsidRPr="00A00F2A">
              <w:rPr>
                <w:rFonts w:asciiTheme="minorHAnsi" w:hAnsiTheme="minorHAnsi"/>
                <w:sz w:val="20"/>
                <w:szCs w:val="20"/>
                <w:lang w:val="lv-LV"/>
              </w:rPr>
              <w:t>103.</w:t>
            </w:r>
            <w:r w:rsidR="00ED2915" w:rsidRPr="00A00F2A">
              <w:rPr>
                <w:rFonts w:asciiTheme="minorHAnsi" w:hAnsiTheme="minorHAnsi"/>
                <w:sz w:val="20"/>
                <w:szCs w:val="20"/>
                <w:lang w:val="lv-LV"/>
              </w:rPr>
              <w:t>4</w:t>
            </w:r>
          </w:p>
        </w:tc>
      </w:tr>
      <w:tr w:rsidR="00280099" w:rsidRPr="00A00F2A" w14:paraId="6907C01A" w14:textId="4A9B2E0D" w:rsidTr="00781C1E">
        <w:trPr>
          <w:trHeight w:val="300"/>
        </w:trPr>
        <w:tc>
          <w:tcPr>
            <w:tcW w:w="1664" w:type="pct"/>
            <w:noWrap/>
            <w:hideMark/>
          </w:tcPr>
          <w:p w14:paraId="224B76FD" w14:textId="482A551C" w:rsidR="00280099" w:rsidRPr="00A00F2A" w:rsidRDefault="00280099" w:rsidP="009A1EF2">
            <w:pPr>
              <w:rPr>
                <w:rFonts w:asciiTheme="minorHAnsi" w:hAnsiTheme="minorHAnsi"/>
                <w:b/>
                <w:sz w:val="20"/>
                <w:szCs w:val="20"/>
                <w:lang w:val="lv-LV"/>
              </w:rPr>
            </w:pPr>
            <w:r w:rsidRPr="00A00F2A">
              <w:rPr>
                <w:rFonts w:asciiTheme="minorHAnsi" w:hAnsiTheme="minorHAnsi"/>
                <w:b/>
                <w:sz w:val="20"/>
                <w:szCs w:val="20"/>
                <w:lang w:val="lv-LV"/>
              </w:rPr>
              <w:t xml:space="preserve"> VSAOI</w:t>
            </w:r>
          </w:p>
        </w:tc>
        <w:tc>
          <w:tcPr>
            <w:tcW w:w="1043" w:type="pct"/>
            <w:noWrap/>
            <w:hideMark/>
          </w:tcPr>
          <w:p w14:paraId="44209037" w14:textId="6ACFCD83" w:rsidR="00280099" w:rsidRPr="00A00F2A" w:rsidRDefault="00157CFA" w:rsidP="009A1EF2">
            <w:pPr>
              <w:jc w:val="center"/>
              <w:rPr>
                <w:rFonts w:asciiTheme="minorHAnsi" w:hAnsiTheme="minorHAnsi"/>
                <w:sz w:val="20"/>
                <w:szCs w:val="20"/>
                <w:lang w:val="lv-LV"/>
              </w:rPr>
            </w:pPr>
            <w:r w:rsidRPr="00A00F2A">
              <w:rPr>
                <w:rFonts w:asciiTheme="minorHAnsi" w:hAnsiTheme="minorHAnsi"/>
                <w:sz w:val="20"/>
                <w:szCs w:val="20"/>
                <w:lang w:val="lv-LV"/>
              </w:rPr>
              <w:t>3 509.</w:t>
            </w:r>
            <w:r w:rsidR="00ED2915" w:rsidRPr="00A00F2A">
              <w:rPr>
                <w:rFonts w:asciiTheme="minorHAnsi" w:hAnsiTheme="minorHAnsi"/>
                <w:sz w:val="20"/>
                <w:szCs w:val="20"/>
                <w:lang w:val="lv-LV"/>
              </w:rPr>
              <w:t>9</w:t>
            </w:r>
          </w:p>
        </w:tc>
        <w:tc>
          <w:tcPr>
            <w:tcW w:w="1146" w:type="pct"/>
            <w:noWrap/>
            <w:hideMark/>
          </w:tcPr>
          <w:p w14:paraId="304972AF" w14:textId="3AC8059F" w:rsidR="00280099" w:rsidRPr="00A00F2A" w:rsidRDefault="00157CFA" w:rsidP="009A1EF2">
            <w:pPr>
              <w:jc w:val="center"/>
              <w:rPr>
                <w:rFonts w:asciiTheme="minorHAnsi" w:hAnsiTheme="minorHAnsi"/>
                <w:sz w:val="20"/>
                <w:szCs w:val="20"/>
                <w:lang w:val="lv-LV"/>
              </w:rPr>
            </w:pPr>
            <w:r w:rsidRPr="00A00F2A">
              <w:rPr>
                <w:rFonts w:asciiTheme="minorHAnsi" w:hAnsiTheme="minorHAnsi"/>
                <w:sz w:val="20"/>
                <w:szCs w:val="20"/>
                <w:lang w:val="lv-LV"/>
              </w:rPr>
              <w:t>3 406.</w:t>
            </w:r>
            <w:r w:rsidR="00ED2915" w:rsidRPr="00A00F2A">
              <w:rPr>
                <w:rFonts w:asciiTheme="minorHAnsi" w:hAnsiTheme="minorHAnsi"/>
                <w:sz w:val="20"/>
                <w:szCs w:val="20"/>
                <w:lang w:val="lv-LV"/>
              </w:rPr>
              <w:t>8</w:t>
            </w:r>
          </w:p>
        </w:tc>
        <w:tc>
          <w:tcPr>
            <w:tcW w:w="1146" w:type="pct"/>
          </w:tcPr>
          <w:p w14:paraId="3E427FB7" w14:textId="71867C07" w:rsidR="00280099" w:rsidRPr="00A00F2A" w:rsidRDefault="00157CFA" w:rsidP="009A1EF2">
            <w:pPr>
              <w:jc w:val="center"/>
              <w:rPr>
                <w:rFonts w:asciiTheme="minorHAnsi" w:hAnsiTheme="minorHAnsi"/>
                <w:sz w:val="20"/>
                <w:szCs w:val="20"/>
                <w:lang w:val="lv-LV"/>
              </w:rPr>
            </w:pPr>
            <w:r w:rsidRPr="00A00F2A">
              <w:rPr>
                <w:rFonts w:asciiTheme="minorHAnsi" w:hAnsiTheme="minorHAnsi"/>
                <w:sz w:val="20"/>
                <w:szCs w:val="20"/>
                <w:lang w:val="lv-LV"/>
              </w:rPr>
              <w:t>103.</w:t>
            </w:r>
            <w:r w:rsidR="00ED2915" w:rsidRPr="00A00F2A">
              <w:rPr>
                <w:rFonts w:asciiTheme="minorHAnsi" w:hAnsiTheme="minorHAnsi"/>
                <w:sz w:val="20"/>
                <w:szCs w:val="20"/>
                <w:lang w:val="lv-LV"/>
              </w:rPr>
              <w:t>1</w:t>
            </w:r>
          </w:p>
        </w:tc>
      </w:tr>
      <w:tr w:rsidR="00280099" w:rsidRPr="00A00F2A" w14:paraId="03E1C0EA" w14:textId="77777777" w:rsidTr="00781C1E">
        <w:trPr>
          <w:trHeight w:val="300"/>
        </w:trPr>
        <w:tc>
          <w:tcPr>
            <w:tcW w:w="1664" w:type="pct"/>
            <w:shd w:val="clear" w:color="auto" w:fill="DEEAF6" w:themeFill="accent1" w:themeFillTint="33"/>
            <w:noWrap/>
          </w:tcPr>
          <w:p w14:paraId="7AF27A09" w14:textId="5E3508B6" w:rsidR="00280099" w:rsidRPr="00A00F2A" w:rsidRDefault="00280099" w:rsidP="009A1EF2">
            <w:pPr>
              <w:rPr>
                <w:rFonts w:asciiTheme="minorHAnsi" w:hAnsiTheme="minorHAnsi"/>
                <w:b/>
                <w:sz w:val="20"/>
                <w:szCs w:val="20"/>
                <w:lang w:val="lv-LV"/>
              </w:rPr>
            </w:pPr>
            <w:r w:rsidRPr="00A00F2A">
              <w:rPr>
                <w:rFonts w:asciiTheme="minorHAnsi" w:hAnsiTheme="minorHAnsi"/>
                <w:b/>
                <w:sz w:val="20"/>
                <w:szCs w:val="20"/>
                <w:lang w:val="lv-LV"/>
              </w:rPr>
              <w:t>Kopā</w:t>
            </w:r>
          </w:p>
        </w:tc>
        <w:tc>
          <w:tcPr>
            <w:tcW w:w="1043" w:type="pct"/>
            <w:shd w:val="clear" w:color="auto" w:fill="DEEAF6" w:themeFill="accent1" w:themeFillTint="33"/>
            <w:noWrap/>
          </w:tcPr>
          <w:p w14:paraId="43409FB5" w14:textId="12333AEA" w:rsidR="00280099" w:rsidRPr="00A00F2A" w:rsidRDefault="00157CFA" w:rsidP="009A1EF2">
            <w:pPr>
              <w:jc w:val="center"/>
              <w:rPr>
                <w:rFonts w:asciiTheme="minorHAnsi" w:hAnsiTheme="minorHAnsi"/>
                <w:b/>
                <w:sz w:val="20"/>
                <w:szCs w:val="20"/>
                <w:lang w:val="lv-LV"/>
              </w:rPr>
            </w:pPr>
            <w:r w:rsidRPr="00A00F2A">
              <w:rPr>
                <w:rFonts w:asciiTheme="minorHAnsi" w:hAnsiTheme="minorHAnsi"/>
                <w:b/>
                <w:sz w:val="20"/>
                <w:szCs w:val="20"/>
                <w:lang w:val="lv-LV"/>
              </w:rPr>
              <w:t>9 916.</w:t>
            </w:r>
            <w:r w:rsidR="00ED2915" w:rsidRPr="00A00F2A">
              <w:rPr>
                <w:rFonts w:asciiTheme="minorHAnsi" w:hAnsiTheme="minorHAnsi"/>
                <w:b/>
                <w:sz w:val="20"/>
                <w:szCs w:val="20"/>
                <w:lang w:val="lv-LV"/>
              </w:rPr>
              <w:t>2</w:t>
            </w:r>
          </w:p>
        </w:tc>
        <w:tc>
          <w:tcPr>
            <w:tcW w:w="1146" w:type="pct"/>
            <w:shd w:val="clear" w:color="auto" w:fill="DEEAF6" w:themeFill="accent1" w:themeFillTint="33"/>
            <w:noWrap/>
          </w:tcPr>
          <w:p w14:paraId="213BC716" w14:textId="0DAC20D4" w:rsidR="00280099" w:rsidRPr="00A00F2A" w:rsidRDefault="00157CFA" w:rsidP="009A1EF2">
            <w:pPr>
              <w:jc w:val="center"/>
              <w:rPr>
                <w:rFonts w:asciiTheme="minorHAnsi" w:hAnsiTheme="minorHAnsi"/>
                <w:b/>
                <w:sz w:val="20"/>
                <w:szCs w:val="20"/>
                <w:lang w:val="lv-LV"/>
              </w:rPr>
            </w:pPr>
            <w:r w:rsidRPr="00A00F2A">
              <w:rPr>
                <w:rFonts w:asciiTheme="minorHAnsi" w:hAnsiTheme="minorHAnsi"/>
                <w:b/>
                <w:sz w:val="20"/>
                <w:szCs w:val="20"/>
                <w:lang w:val="lv-LV"/>
              </w:rPr>
              <w:t>9 818.</w:t>
            </w:r>
            <w:r w:rsidR="00ED2915" w:rsidRPr="00A00F2A">
              <w:rPr>
                <w:rFonts w:asciiTheme="minorHAnsi" w:hAnsiTheme="minorHAnsi"/>
                <w:b/>
                <w:sz w:val="20"/>
                <w:szCs w:val="20"/>
                <w:lang w:val="lv-LV"/>
              </w:rPr>
              <w:t>9</w:t>
            </w:r>
          </w:p>
        </w:tc>
        <w:tc>
          <w:tcPr>
            <w:tcW w:w="1146" w:type="pct"/>
            <w:shd w:val="clear" w:color="auto" w:fill="DEEAF6" w:themeFill="accent1" w:themeFillTint="33"/>
          </w:tcPr>
          <w:p w14:paraId="0D5152CA" w14:textId="17E19C95" w:rsidR="00280099" w:rsidRPr="00A00F2A" w:rsidRDefault="00157CFA" w:rsidP="009A1EF2">
            <w:pPr>
              <w:jc w:val="center"/>
              <w:rPr>
                <w:rFonts w:asciiTheme="minorHAnsi" w:hAnsiTheme="minorHAnsi"/>
                <w:b/>
                <w:sz w:val="20"/>
                <w:szCs w:val="20"/>
                <w:lang w:val="lv-LV"/>
              </w:rPr>
            </w:pPr>
            <w:r w:rsidRPr="00A00F2A">
              <w:rPr>
                <w:rFonts w:asciiTheme="minorHAnsi" w:hAnsiTheme="minorHAnsi"/>
                <w:b/>
                <w:sz w:val="20"/>
                <w:szCs w:val="20"/>
                <w:lang w:val="lv-LV"/>
              </w:rPr>
              <w:t>101.</w:t>
            </w:r>
            <w:r w:rsidR="00ED2915" w:rsidRPr="00A00F2A">
              <w:rPr>
                <w:rFonts w:asciiTheme="minorHAnsi" w:hAnsiTheme="minorHAnsi"/>
                <w:b/>
                <w:sz w:val="20"/>
                <w:szCs w:val="20"/>
                <w:lang w:val="lv-LV"/>
              </w:rPr>
              <w:t>0</w:t>
            </w:r>
          </w:p>
        </w:tc>
      </w:tr>
    </w:tbl>
    <w:p w14:paraId="6C0BF0EC" w14:textId="5016E8DD" w:rsidR="001F4A32" w:rsidRPr="0078054E" w:rsidRDefault="00546C7C" w:rsidP="009A1EF2">
      <w:pPr>
        <w:rPr>
          <w:rFonts w:asciiTheme="minorHAnsi" w:hAnsiTheme="minorHAnsi" w:cstheme="minorBidi"/>
          <w:i/>
          <w:sz w:val="20"/>
          <w:szCs w:val="20"/>
          <w:lang w:val="lv-LV"/>
        </w:rPr>
      </w:pPr>
      <w:r w:rsidRPr="0078054E">
        <w:rPr>
          <w:rFonts w:asciiTheme="minorHAnsi" w:hAnsiTheme="minorHAnsi"/>
          <w:i/>
          <w:sz w:val="20"/>
          <w:szCs w:val="20"/>
          <w:lang w:val="lv-LV"/>
        </w:rPr>
        <w:t>Avots: VID</w:t>
      </w:r>
    </w:p>
    <w:p w14:paraId="2E09EA0A" w14:textId="77777777" w:rsidR="00450B4B" w:rsidRPr="0078054E" w:rsidRDefault="00450B4B" w:rsidP="009A1EF2">
      <w:pPr>
        <w:pStyle w:val="ListParagraph"/>
        <w:ind w:left="426"/>
        <w:jc w:val="both"/>
        <w:rPr>
          <w:rFonts w:cstheme="minorHAnsi"/>
          <w:b/>
          <w:bCs/>
          <w:lang w:val="lv-LV"/>
        </w:rPr>
      </w:pPr>
    </w:p>
    <w:p w14:paraId="5AAAC3BC" w14:textId="01E75D08" w:rsidR="00B6363A" w:rsidRPr="00A00F2A" w:rsidRDefault="00450B4B" w:rsidP="009A1EF2">
      <w:pPr>
        <w:pStyle w:val="ListParagraph"/>
        <w:numPr>
          <w:ilvl w:val="0"/>
          <w:numId w:val="2"/>
        </w:numPr>
        <w:ind w:left="426" w:hanging="426"/>
        <w:jc w:val="both"/>
        <w:rPr>
          <w:rFonts w:asciiTheme="minorHAnsi" w:hAnsiTheme="minorHAnsi" w:cstheme="minorHAnsi"/>
          <w:b/>
          <w:bCs/>
          <w:sz w:val="22"/>
          <w:szCs w:val="22"/>
          <w:lang w:val="lv-LV"/>
        </w:rPr>
      </w:pPr>
      <w:r w:rsidRPr="0078054E">
        <w:rPr>
          <w:rFonts w:asciiTheme="minorHAnsi" w:hAnsiTheme="minorHAnsi" w:cstheme="minorHAnsi"/>
          <w:b/>
          <w:bCs/>
          <w:sz w:val="22"/>
          <w:szCs w:val="22"/>
          <w:lang w:val="lv-LV"/>
        </w:rPr>
        <w:t>2019.gada konsolidētā ko</w:t>
      </w:r>
      <w:r w:rsidR="00157CFA" w:rsidRPr="0078054E">
        <w:rPr>
          <w:rFonts w:asciiTheme="minorHAnsi" w:hAnsiTheme="minorHAnsi" w:cstheme="minorHAnsi"/>
          <w:b/>
          <w:bCs/>
          <w:sz w:val="22"/>
          <w:szCs w:val="22"/>
          <w:lang w:val="lv-LV"/>
        </w:rPr>
        <w:t xml:space="preserve">pbudžeta izdevumi pieauga par </w:t>
      </w:r>
      <w:r w:rsidR="0058043D">
        <w:rPr>
          <w:rFonts w:asciiTheme="minorHAnsi" w:hAnsiTheme="minorHAnsi" w:cstheme="minorHAnsi"/>
          <w:b/>
          <w:bCs/>
          <w:sz w:val="22"/>
          <w:szCs w:val="22"/>
          <w:lang w:val="lv-LV"/>
        </w:rPr>
        <w:t>4.0</w:t>
      </w:r>
      <w:r w:rsidR="00157CFA" w:rsidRPr="0078054E">
        <w:rPr>
          <w:rFonts w:asciiTheme="minorHAnsi" w:hAnsiTheme="minorHAnsi" w:cstheme="minorHAnsi"/>
          <w:b/>
          <w:bCs/>
          <w:sz w:val="22"/>
          <w:szCs w:val="22"/>
          <w:lang w:val="lv-LV"/>
        </w:rPr>
        <w:t>%, sasniedzot 11.</w:t>
      </w:r>
      <w:r w:rsidRPr="0078054E">
        <w:rPr>
          <w:rFonts w:asciiTheme="minorHAnsi" w:hAnsiTheme="minorHAnsi" w:cstheme="minorHAnsi"/>
          <w:b/>
          <w:bCs/>
          <w:sz w:val="22"/>
          <w:szCs w:val="22"/>
          <w:lang w:val="lv-LV"/>
        </w:rPr>
        <w:t xml:space="preserve">5 miljardus </w:t>
      </w:r>
      <w:r w:rsidR="00D831FB">
        <w:rPr>
          <w:rFonts w:asciiTheme="minorHAnsi" w:hAnsiTheme="minorHAnsi" w:cstheme="minorHAnsi"/>
          <w:b/>
          <w:bCs/>
          <w:sz w:val="22"/>
          <w:szCs w:val="22"/>
          <w:lang w:val="lv-LV"/>
        </w:rPr>
        <w:t>e</w:t>
      </w:r>
      <w:r w:rsidRPr="0078054E">
        <w:rPr>
          <w:rFonts w:asciiTheme="minorHAnsi" w:hAnsiTheme="minorHAnsi" w:cstheme="minorHAnsi"/>
          <w:b/>
          <w:bCs/>
          <w:sz w:val="22"/>
          <w:szCs w:val="22"/>
          <w:lang w:val="lv-LV"/>
        </w:rPr>
        <w:t xml:space="preserve">iro. </w:t>
      </w:r>
      <w:r w:rsidRPr="0078054E">
        <w:rPr>
          <w:rFonts w:asciiTheme="minorHAnsi" w:hAnsiTheme="minorHAnsi" w:cstheme="minorHAnsi"/>
          <w:bCs/>
          <w:sz w:val="22"/>
          <w:szCs w:val="22"/>
          <w:lang w:val="lv-LV"/>
        </w:rPr>
        <w:t>Procentuāli lielākais īpatsvars valsts konsolidētā kopbudžeta izdevumos ir sociālajiem pabalstiem</w:t>
      </w:r>
      <w:r w:rsidR="006006DE" w:rsidRPr="0078054E">
        <w:rPr>
          <w:rFonts w:asciiTheme="minorHAnsi" w:hAnsiTheme="minorHAnsi" w:cstheme="minorHAnsi"/>
          <w:bCs/>
          <w:sz w:val="22"/>
          <w:szCs w:val="22"/>
          <w:lang w:val="lv-LV"/>
        </w:rPr>
        <w:t xml:space="preserve"> – ap 2</w:t>
      </w:r>
      <w:r w:rsidR="00157CFA" w:rsidRPr="0078054E">
        <w:rPr>
          <w:rFonts w:asciiTheme="minorHAnsi" w:hAnsiTheme="minorHAnsi" w:cstheme="minorHAnsi"/>
          <w:bCs/>
          <w:sz w:val="22"/>
          <w:szCs w:val="22"/>
          <w:lang w:val="lv-LV"/>
        </w:rPr>
        <w:t>8%, kas 2019.gadā pieauga par 6.</w:t>
      </w:r>
      <w:r w:rsidR="0058043D">
        <w:rPr>
          <w:rFonts w:asciiTheme="minorHAnsi" w:hAnsiTheme="minorHAnsi" w:cstheme="minorHAnsi"/>
          <w:bCs/>
          <w:sz w:val="22"/>
          <w:szCs w:val="22"/>
          <w:lang w:val="lv-LV"/>
        </w:rPr>
        <w:t>4</w:t>
      </w:r>
      <w:r w:rsidR="006006DE" w:rsidRPr="0078054E">
        <w:rPr>
          <w:rFonts w:asciiTheme="minorHAnsi" w:hAnsiTheme="minorHAnsi" w:cstheme="minorHAnsi"/>
          <w:bCs/>
          <w:sz w:val="22"/>
          <w:szCs w:val="22"/>
          <w:lang w:val="lv-LV"/>
        </w:rPr>
        <w:t>%. Otrais nozīmīgākais izdevumu postenis ir atlīdzība, kura īpatsvars ir ap 2</w:t>
      </w:r>
      <w:r w:rsidR="00157CFA" w:rsidRPr="0078054E">
        <w:rPr>
          <w:rFonts w:asciiTheme="minorHAnsi" w:hAnsiTheme="minorHAnsi" w:cstheme="minorHAnsi"/>
          <w:bCs/>
          <w:sz w:val="22"/>
          <w:szCs w:val="22"/>
          <w:lang w:val="lv-LV"/>
        </w:rPr>
        <w:t xml:space="preserve">3%, </w:t>
      </w:r>
      <w:r w:rsidR="005264BE" w:rsidRPr="0078054E">
        <w:rPr>
          <w:rFonts w:asciiTheme="minorHAnsi" w:hAnsiTheme="minorHAnsi" w:cstheme="minorHAnsi"/>
          <w:bCs/>
          <w:sz w:val="22"/>
          <w:szCs w:val="22"/>
          <w:lang w:val="lv-LV"/>
        </w:rPr>
        <w:t xml:space="preserve">un </w:t>
      </w:r>
      <w:r w:rsidR="00157CFA" w:rsidRPr="0078054E">
        <w:rPr>
          <w:rFonts w:asciiTheme="minorHAnsi" w:hAnsiTheme="minorHAnsi" w:cstheme="minorHAnsi"/>
          <w:bCs/>
          <w:sz w:val="22"/>
          <w:szCs w:val="22"/>
          <w:lang w:val="lv-LV"/>
        </w:rPr>
        <w:t>kas 2019.gadā pieauga par 6.</w:t>
      </w:r>
      <w:r w:rsidR="006006DE" w:rsidRPr="0078054E">
        <w:rPr>
          <w:rFonts w:asciiTheme="minorHAnsi" w:hAnsiTheme="minorHAnsi" w:cstheme="minorHAnsi"/>
          <w:bCs/>
          <w:sz w:val="22"/>
          <w:szCs w:val="22"/>
          <w:lang w:val="lv-LV"/>
        </w:rPr>
        <w:t>5%. Gada griezumā visstraujāk pieauga iemaksas ES budžetā un finansējums starptautiskai sadar</w:t>
      </w:r>
      <w:r w:rsidR="00C052EB" w:rsidRPr="0078054E">
        <w:rPr>
          <w:rFonts w:asciiTheme="minorHAnsi" w:hAnsiTheme="minorHAnsi" w:cstheme="minorHAnsi"/>
          <w:bCs/>
          <w:sz w:val="22"/>
          <w:szCs w:val="22"/>
          <w:lang w:val="lv-LV"/>
        </w:rPr>
        <w:t>b</w:t>
      </w:r>
      <w:r w:rsidR="00157CFA" w:rsidRPr="0078054E">
        <w:rPr>
          <w:rFonts w:asciiTheme="minorHAnsi" w:hAnsiTheme="minorHAnsi" w:cstheme="minorHAnsi"/>
          <w:bCs/>
          <w:sz w:val="22"/>
          <w:szCs w:val="22"/>
          <w:lang w:val="lv-LV"/>
        </w:rPr>
        <w:t>ībai 13.</w:t>
      </w:r>
      <w:r w:rsidR="006006DE" w:rsidRPr="0078054E">
        <w:rPr>
          <w:rFonts w:asciiTheme="minorHAnsi" w:hAnsiTheme="minorHAnsi" w:cstheme="minorHAnsi"/>
          <w:bCs/>
          <w:sz w:val="22"/>
          <w:szCs w:val="22"/>
          <w:lang w:val="lv-LV"/>
        </w:rPr>
        <w:t>5%. Tomēr šo izdevumu procentuālā daļa konsolidētā kopbudžeta izdevumos ir salīdzinoši neliela – ap 3%. Procentu izdevumi ir samazinājušies 2019. gada konsoli</w:t>
      </w:r>
      <w:r w:rsidR="00157CFA" w:rsidRPr="0078054E">
        <w:rPr>
          <w:rFonts w:asciiTheme="minorHAnsi" w:hAnsiTheme="minorHAnsi" w:cstheme="minorHAnsi"/>
          <w:bCs/>
          <w:sz w:val="22"/>
          <w:szCs w:val="22"/>
          <w:lang w:val="lv-LV"/>
        </w:rPr>
        <w:t>dētā kopbudžeta izdevumos par 4.</w:t>
      </w:r>
      <w:r w:rsidR="006006DE" w:rsidRPr="0078054E">
        <w:rPr>
          <w:rFonts w:asciiTheme="minorHAnsi" w:hAnsiTheme="minorHAnsi" w:cstheme="minorHAnsi"/>
          <w:bCs/>
          <w:sz w:val="22"/>
          <w:szCs w:val="22"/>
          <w:lang w:val="lv-LV"/>
        </w:rPr>
        <w:t>6%</w:t>
      </w:r>
      <w:r w:rsidR="00157CFA" w:rsidRPr="0078054E">
        <w:rPr>
          <w:rFonts w:asciiTheme="minorHAnsi" w:hAnsiTheme="minorHAnsi" w:cstheme="minorHAnsi"/>
          <w:bCs/>
          <w:sz w:val="22"/>
          <w:szCs w:val="22"/>
          <w:lang w:val="lv-LV"/>
        </w:rPr>
        <w:t>.</w:t>
      </w:r>
    </w:p>
    <w:p w14:paraId="388AC133" w14:textId="77777777" w:rsidR="00A00F2A" w:rsidRPr="0078054E" w:rsidRDefault="00A00F2A" w:rsidP="009A1EF2">
      <w:pPr>
        <w:pStyle w:val="ListParagraph"/>
        <w:ind w:left="426"/>
        <w:jc w:val="both"/>
        <w:rPr>
          <w:rFonts w:asciiTheme="minorHAnsi" w:hAnsiTheme="minorHAnsi" w:cstheme="minorHAnsi"/>
          <w:b/>
          <w:bCs/>
          <w:sz w:val="22"/>
          <w:szCs w:val="22"/>
          <w:lang w:val="lv-LV"/>
        </w:rPr>
      </w:pPr>
    </w:p>
    <w:p w14:paraId="3C52CCC4" w14:textId="024AAFD0" w:rsidR="0097456B" w:rsidRPr="001F17AA" w:rsidRDefault="00450B4B" w:rsidP="009A1EF2">
      <w:pPr>
        <w:pStyle w:val="ListParagraph"/>
        <w:numPr>
          <w:ilvl w:val="0"/>
          <w:numId w:val="2"/>
        </w:numPr>
        <w:ind w:left="426" w:hanging="426"/>
        <w:jc w:val="both"/>
        <w:rPr>
          <w:rFonts w:asciiTheme="minorHAnsi" w:eastAsiaTheme="minorEastAsia" w:hAnsiTheme="minorHAnsi" w:cstheme="minorBidi"/>
          <w:b/>
          <w:bCs/>
          <w:sz w:val="22"/>
          <w:szCs w:val="22"/>
          <w:lang w:val="lv-LV"/>
        </w:rPr>
      </w:pPr>
      <w:r w:rsidRPr="0078054E">
        <w:rPr>
          <w:rFonts w:asciiTheme="minorHAnsi" w:hAnsiTheme="minorHAnsi" w:cstheme="minorBidi"/>
          <w:b/>
          <w:bCs/>
          <w:sz w:val="22"/>
          <w:szCs w:val="22"/>
          <w:lang w:val="lv-LV"/>
        </w:rPr>
        <w:t xml:space="preserve">Budžeta likumā noteiktais vispārējās valdības strukturālās bilances mērķis -0.55% no IKP 2019. gadā </w:t>
      </w:r>
      <w:r w:rsidR="00031648" w:rsidRPr="0078054E">
        <w:rPr>
          <w:rFonts w:asciiTheme="minorHAnsi" w:hAnsiTheme="minorHAnsi" w:cstheme="minorBidi"/>
          <w:b/>
          <w:bCs/>
          <w:sz w:val="22"/>
          <w:szCs w:val="22"/>
          <w:lang w:val="lv-LV"/>
        </w:rPr>
        <w:t>nedaudz ne</w:t>
      </w:r>
      <w:r w:rsidRPr="0078054E">
        <w:rPr>
          <w:rFonts w:asciiTheme="minorHAnsi" w:hAnsiTheme="minorHAnsi" w:cstheme="minorBidi"/>
          <w:b/>
          <w:bCs/>
          <w:sz w:val="22"/>
          <w:szCs w:val="22"/>
          <w:lang w:val="lv-LV"/>
        </w:rPr>
        <w:t>tika sasniegts</w:t>
      </w:r>
      <w:r w:rsidR="047D72D6" w:rsidRPr="0078054E">
        <w:rPr>
          <w:rFonts w:asciiTheme="minorHAnsi" w:hAnsiTheme="minorHAnsi" w:cstheme="minorBidi"/>
          <w:b/>
          <w:bCs/>
          <w:sz w:val="22"/>
          <w:szCs w:val="22"/>
          <w:lang w:val="lv-LV"/>
        </w:rPr>
        <w:t>,</w:t>
      </w:r>
      <w:r w:rsidR="00031648" w:rsidRPr="0078054E">
        <w:rPr>
          <w:rFonts w:asciiTheme="minorHAnsi" w:hAnsiTheme="minorHAnsi" w:cstheme="minorBidi"/>
          <w:b/>
          <w:bCs/>
          <w:sz w:val="22"/>
          <w:szCs w:val="22"/>
          <w:lang w:val="lv-LV"/>
        </w:rPr>
        <w:t xml:space="preserve"> neskatoties uz labāku kā  plānots VVBB. P</w:t>
      </w:r>
      <w:r w:rsidRPr="0078054E">
        <w:rPr>
          <w:rFonts w:asciiTheme="minorHAnsi" w:hAnsiTheme="minorHAnsi" w:cstheme="minorBidi"/>
          <w:b/>
          <w:bCs/>
          <w:sz w:val="22"/>
          <w:szCs w:val="22"/>
          <w:lang w:val="lv-LV"/>
        </w:rPr>
        <w:t>ašreizējie apr</w:t>
      </w:r>
      <w:r w:rsidR="00210E30" w:rsidRPr="0078054E">
        <w:rPr>
          <w:rFonts w:asciiTheme="minorHAnsi" w:hAnsiTheme="minorHAnsi" w:cstheme="minorBidi"/>
          <w:b/>
          <w:bCs/>
          <w:sz w:val="22"/>
          <w:szCs w:val="22"/>
          <w:lang w:val="lv-LV"/>
        </w:rPr>
        <w:t xml:space="preserve">ēķini liecina, ka </w:t>
      </w:r>
      <w:r w:rsidR="00031648" w:rsidRPr="0078054E">
        <w:rPr>
          <w:rFonts w:asciiTheme="minorHAnsi" w:hAnsiTheme="minorHAnsi" w:cstheme="minorBidi"/>
          <w:b/>
          <w:bCs/>
          <w:sz w:val="22"/>
          <w:szCs w:val="22"/>
          <w:lang w:val="lv-LV"/>
        </w:rPr>
        <w:t xml:space="preserve">2019. gada budžeta strukturālais </w:t>
      </w:r>
      <w:r w:rsidR="00210E30" w:rsidRPr="0078054E">
        <w:rPr>
          <w:rFonts w:asciiTheme="minorHAnsi" w:hAnsiTheme="minorHAnsi" w:cstheme="minorBidi"/>
          <w:b/>
          <w:bCs/>
          <w:sz w:val="22"/>
          <w:szCs w:val="22"/>
          <w:lang w:val="lv-LV"/>
        </w:rPr>
        <w:t>deficīts ir 0.75</w:t>
      </w:r>
      <w:r w:rsidRPr="0078054E">
        <w:rPr>
          <w:rFonts w:asciiTheme="minorHAnsi" w:hAnsiTheme="minorHAnsi" w:cstheme="minorBidi"/>
          <w:b/>
          <w:bCs/>
          <w:sz w:val="22"/>
          <w:szCs w:val="22"/>
          <w:lang w:val="lv-LV"/>
        </w:rPr>
        <w:t>%</w:t>
      </w:r>
      <w:r w:rsidR="00210E30" w:rsidRPr="0078054E">
        <w:rPr>
          <w:rFonts w:asciiTheme="minorHAnsi" w:hAnsiTheme="minorHAnsi" w:cstheme="minorBidi"/>
          <w:b/>
          <w:bCs/>
          <w:sz w:val="22"/>
          <w:szCs w:val="22"/>
          <w:lang w:val="lv-LV"/>
        </w:rPr>
        <w:t>.</w:t>
      </w:r>
      <w:r w:rsidR="7E283D7D" w:rsidRPr="0078054E">
        <w:rPr>
          <w:rFonts w:asciiTheme="minorHAnsi" w:hAnsiTheme="minorHAnsi" w:cstheme="minorBidi"/>
          <w:sz w:val="22"/>
          <w:szCs w:val="22"/>
          <w:lang w:val="lv-LV"/>
        </w:rPr>
        <w:t xml:space="preserve"> </w:t>
      </w:r>
      <w:r w:rsidR="00210E30" w:rsidRPr="0078054E">
        <w:rPr>
          <w:rFonts w:asciiTheme="minorHAnsi" w:hAnsiTheme="minorHAnsi" w:cstheme="minorBidi"/>
          <w:b/>
          <w:bCs/>
          <w:sz w:val="22"/>
          <w:szCs w:val="22"/>
          <w:lang w:val="lv-LV"/>
        </w:rPr>
        <w:t xml:space="preserve"> </w:t>
      </w:r>
      <w:r w:rsidR="00210E30" w:rsidRPr="0078054E">
        <w:rPr>
          <w:rFonts w:asciiTheme="minorHAnsi" w:hAnsiTheme="minorHAnsi" w:cstheme="minorBidi"/>
          <w:sz w:val="22"/>
          <w:szCs w:val="22"/>
          <w:lang w:val="lv-LV"/>
        </w:rPr>
        <w:t xml:space="preserve">Padome un ES neatdzīst </w:t>
      </w:r>
      <w:r w:rsidR="006E0E37" w:rsidRPr="0078054E">
        <w:rPr>
          <w:rFonts w:asciiTheme="minorHAnsi" w:hAnsiTheme="minorHAnsi" w:cstheme="minorBidi"/>
          <w:sz w:val="22"/>
          <w:szCs w:val="22"/>
          <w:lang w:val="lv-LV"/>
        </w:rPr>
        <w:t>nodokļu reformas ietekmi uz strukturālo bilanci</w:t>
      </w:r>
      <w:r w:rsidR="00210E30" w:rsidRPr="0078054E">
        <w:rPr>
          <w:rFonts w:asciiTheme="minorHAnsi" w:hAnsiTheme="minorHAnsi" w:cstheme="minorBidi"/>
          <w:sz w:val="22"/>
          <w:szCs w:val="22"/>
          <w:lang w:val="lv-LV"/>
        </w:rPr>
        <w:t xml:space="preserve"> kā vienreizēju pasākumu. Ieskaitot nodokļu reformas ietekmi strukturālajā bilancē, kā to dara FM,</w:t>
      </w:r>
      <w:r w:rsidR="00031648" w:rsidRPr="0078054E">
        <w:rPr>
          <w:rFonts w:asciiTheme="minorHAnsi" w:hAnsiTheme="minorHAnsi" w:cstheme="minorBidi"/>
          <w:sz w:val="22"/>
          <w:szCs w:val="22"/>
          <w:lang w:val="lv-LV"/>
        </w:rPr>
        <w:t xml:space="preserve"> pēc </w:t>
      </w:r>
      <w:r w:rsidR="12A78756" w:rsidRPr="0078054E">
        <w:rPr>
          <w:rFonts w:asciiTheme="minorHAnsi" w:hAnsiTheme="minorHAnsi" w:cstheme="minorBidi"/>
          <w:sz w:val="22"/>
          <w:szCs w:val="22"/>
          <w:lang w:val="lv-LV"/>
        </w:rPr>
        <w:t>tās aprēķiniem</w:t>
      </w:r>
      <w:r w:rsidR="00210E30" w:rsidRPr="0078054E">
        <w:rPr>
          <w:rFonts w:asciiTheme="minorHAnsi" w:hAnsiTheme="minorHAnsi" w:cstheme="minorBidi"/>
          <w:sz w:val="22"/>
          <w:szCs w:val="22"/>
          <w:lang w:val="lv-LV"/>
        </w:rPr>
        <w:t xml:space="preserve"> </w:t>
      </w:r>
      <w:r w:rsidR="001F17AA">
        <w:rPr>
          <w:rFonts w:asciiTheme="minorHAnsi" w:hAnsiTheme="minorHAnsi" w:cstheme="minorBidi"/>
          <w:sz w:val="22"/>
          <w:szCs w:val="22"/>
          <w:lang w:val="lv-LV"/>
        </w:rPr>
        <w:t>strukturālais deficīts ir 0.23%</w:t>
      </w:r>
      <w:r w:rsidRPr="0078054E">
        <w:rPr>
          <w:rFonts w:asciiTheme="minorHAnsi" w:hAnsiTheme="minorHAnsi" w:cstheme="minorBidi"/>
          <w:b/>
          <w:bCs/>
          <w:sz w:val="22"/>
          <w:szCs w:val="22"/>
          <w:lang w:val="lv-LV"/>
        </w:rPr>
        <w:t>.</w:t>
      </w:r>
      <w:r w:rsidRPr="0078054E">
        <w:rPr>
          <w:rFonts w:asciiTheme="minorHAnsi" w:hAnsiTheme="minorHAnsi" w:cstheme="minorBidi"/>
          <w:sz w:val="22"/>
          <w:szCs w:val="22"/>
          <w:lang w:val="lv-LV"/>
        </w:rPr>
        <w:t xml:space="preserve"> </w:t>
      </w:r>
      <w:r w:rsidR="00031648" w:rsidRPr="0078054E">
        <w:rPr>
          <w:rFonts w:asciiTheme="minorHAnsi" w:hAnsiTheme="minorHAnsi" w:cstheme="minorBidi"/>
          <w:sz w:val="22"/>
          <w:szCs w:val="22"/>
          <w:lang w:val="lv-LV"/>
        </w:rPr>
        <w:t xml:space="preserve">Valsts pamatbudžeta rezultāts un </w:t>
      </w:r>
      <w:r w:rsidR="0058043D" w:rsidRPr="0078054E">
        <w:rPr>
          <w:rFonts w:asciiTheme="minorHAnsi" w:hAnsiTheme="minorHAnsi" w:cstheme="minorBidi"/>
          <w:sz w:val="22"/>
          <w:szCs w:val="22"/>
          <w:lang w:val="lv-LV"/>
        </w:rPr>
        <w:t>EK</w:t>
      </w:r>
      <w:r w:rsidR="0058043D">
        <w:rPr>
          <w:rFonts w:asciiTheme="minorHAnsi" w:hAnsiTheme="minorHAnsi" w:cstheme="minorBidi"/>
          <w:sz w:val="22"/>
          <w:szCs w:val="22"/>
          <w:lang w:val="lv-LV"/>
        </w:rPr>
        <w:t>S</w:t>
      </w:r>
      <w:r w:rsidR="0058043D" w:rsidRPr="0078054E">
        <w:rPr>
          <w:rFonts w:asciiTheme="minorHAnsi" w:hAnsiTheme="minorHAnsi" w:cstheme="minorBidi"/>
          <w:sz w:val="22"/>
          <w:szCs w:val="22"/>
          <w:lang w:val="lv-LV"/>
        </w:rPr>
        <w:t xml:space="preserve"> </w:t>
      </w:r>
      <w:r w:rsidR="00031648" w:rsidRPr="0078054E">
        <w:rPr>
          <w:rFonts w:asciiTheme="minorHAnsi" w:hAnsiTheme="minorHAnsi" w:cstheme="minorBidi"/>
          <w:sz w:val="22"/>
          <w:szCs w:val="22"/>
          <w:lang w:val="lv-LV"/>
        </w:rPr>
        <w:t xml:space="preserve">korekcijas pasliktināja strukturālās bilances rezultātu </w:t>
      </w:r>
      <w:r w:rsidR="173F40E7" w:rsidRPr="0078054E">
        <w:rPr>
          <w:rFonts w:asciiTheme="minorHAnsi" w:hAnsiTheme="minorHAnsi" w:cstheme="minorBidi"/>
          <w:sz w:val="22"/>
          <w:szCs w:val="22"/>
          <w:lang w:val="lv-LV"/>
        </w:rPr>
        <w:t>attiecībā pret budžetā</w:t>
      </w:r>
      <w:r w:rsidR="00031648" w:rsidRPr="0078054E">
        <w:rPr>
          <w:rFonts w:asciiTheme="minorHAnsi" w:hAnsiTheme="minorHAnsi" w:cstheme="minorBidi"/>
          <w:sz w:val="22"/>
          <w:szCs w:val="22"/>
          <w:lang w:val="lv-LV"/>
        </w:rPr>
        <w:t xml:space="preserve"> plānot</w:t>
      </w:r>
      <w:r w:rsidR="28052E0E" w:rsidRPr="0078054E">
        <w:rPr>
          <w:rFonts w:asciiTheme="minorHAnsi" w:hAnsiTheme="minorHAnsi" w:cstheme="minorBidi"/>
          <w:sz w:val="22"/>
          <w:szCs w:val="22"/>
          <w:lang w:val="lv-LV"/>
        </w:rPr>
        <w:t>o</w:t>
      </w:r>
      <w:r w:rsidR="06C0508A" w:rsidRPr="0078054E">
        <w:rPr>
          <w:rFonts w:asciiTheme="minorHAnsi" w:hAnsiTheme="minorHAnsi" w:cstheme="minorBidi"/>
          <w:sz w:val="22"/>
          <w:szCs w:val="22"/>
          <w:lang w:val="lv-LV"/>
        </w:rPr>
        <w:t>,</w:t>
      </w:r>
      <w:r w:rsidR="00031648" w:rsidRPr="0078054E">
        <w:rPr>
          <w:rFonts w:asciiTheme="minorHAnsi" w:hAnsiTheme="minorHAnsi" w:cstheme="minorBidi"/>
          <w:sz w:val="22"/>
          <w:szCs w:val="22"/>
          <w:lang w:val="lv-LV"/>
        </w:rPr>
        <w:t xml:space="preserve"> bet </w:t>
      </w:r>
      <w:r w:rsidRPr="0078054E">
        <w:rPr>
          <w:rFonts w:asciiTheme="minorHAnsi" w:hAnsiTheme="minorHAnsi" w:cstheme="minorBidi"/>
          <w:sz w:val="22"/>
          <w:szCs w:val="22"/>
          <w:lang w:val="lv-LV"/>
        </w:rPr>
        <w:t xml:space="preserve">pašvaldību </w:t>
      </w:r>
      <w:r w:rsidR="00031648" w:rsidRPr="0078054E">
        <w:rPr>
          <w:rFonts w:asciiTheme="minorHAnsi" w:hAnsiTheme="minorHAnsi" w:cstheme="minorBidi"/>
          <w:sz w:val="22"/>
          <w:szCs w:val="22"/>
          <w:lang w:val="lv-LV"/>
        </w:rPr>
        <w:t xml:space="preserve"> budžetu un sociālā budžeta </w:t>
      </w:r>
      <w:r w:rsidRPr="0078054E">
        <w:rPr>
          <w:rFonts w:asciiTheme="minorHAnsi" w:hAnsiTheme="minorHAnsi" w:cstheme="minorBidi"/>
          <w:sz w:val="22"/>
          <w:szCs w:val="22"/>
          <w:lang w:val="lv-LV"/>
        </w:rPr>
        <w:t xml:space="preserve">bilances </w:t>
      </w:r>
      <w:r w:rsidR="0097456B" w:rsidRPr="0078054E">
        <w:rPr>
          <w:rFonts w:asciiTheme="minorHAnsi" w:hAnsiTheme="minorHAnsi" w:cstheme="minorBidi"/>
          <w:sz w:val="22"/>
          <w:szCs w:val="22"/>
          <w:lang w:val="lv-LV"/>
        </w:rPr>
        <w:t xml:space="preserve">uzlaboja Vispārējās valdības strukturālās bilances rezultātu. </w:t>
      </w:r>
    </w:p>
    <w:p w14:paraId="4C360F5C" w14:textId="77777777" w:rsidR="001F17AA" w:rsidRPr="001F17AA" w:rsidRDefault="001F17AA" w:rsidP="009A1EF2">
      <w:pPr>
        <w:pStyle w:val="ListParagraph"/>
        <w:ind w:left="426"/>
        <w:jc w:val="both"/>
        <w:rPr>
          <w:rFonts w:asciiTheme="minorHAnsi" w:eastAsiaTheme="minorEastAsia" w:hAnsiTheme="minorHAnsi" w:cstheme="minorBidi"/>
          <w:b/>
          <w:bCs/>
          <w:sz w:val="22"/>
          <w:szCs w:val="22"/>
          <w:lang w:val="lv-LV"/>
        </w:rPr>
      </w:pPr>
    </w:p>
    <w:p w14:paraId="341FE66D" w14:textId="2E66CDC1" w:rsidR="00B37357" w:rsidRPr="00A00F2A" w:rsidRDefault="001F17AA" w:rsidP="009A1EF2">
      <w:pPr>
        <w:pStyle w:val="ListParagraph"/>
        <w:numPr>
          <w:ilvl w:val="0"/>
          <w:numId w:val="2"/>
        </w:numPr>
        <w:ind w:left="426" w:hanging="426"/>
        <w:jc w:val="both"/>
        <w:rPr>
          <w:rFonts w:asciiTheme="minorHAnsi" w:eastAsiaTheme="minorEastAsia" w:hAnsiTheme="minorHAnsi" w:cstheme="minorBidi"/>
          <w:bCs/>
          <w:sz w:val="22"/>
          <w:szCs w:val="22"/>
          <w:lang w:val="lv-LV"/>
        </w:rPr>
      </w:pPr>
      <w:r>
        <w:rPr>
          <w:rFonts w:asciiTheme="minorHAnsi" w:eastAsiaTheme="minorEastAsia" w:hAnsiTheme="minorHAnsi" w:cstheme="minorBidi"/>
          <w:b/>
          <w:bCs/>
          <w:sz w:val="22"/>
          <w:szCs w:val="22"/>
          <w:lang w:val="lv-LV"/>
        </w:rPr>
        <w:t>Kopumā, pēdējos gadus</w:t>
      </w:r>
      <w:r w:rsidRPr="001F17AA">
        <w:rPr>
          <w:rFonts w:asciiTheme="minorHAnsi" w:eastAsiaTheme="minorEastAsia" w:hAnsiTheme="minorHAnsi" w:cstheme="minorBidi"/>
          <w:b/>
          <w:bCs/>
          <w:sz w:val="22"/>
          <w:szCs w:val="22"/>
          <w:lang w:val="lv-LV"/>
        </w:rPr>
        <w:t xml:space="preserve"> Latvijas valsts kopbudžeta deficīts ir kontrolējamā līmenī.  </w:t>
      </w:r>
      <w:r>
        <w:rPr>
          <w:rFonts w:asciiTheme="minorHAnsi" w:eastAsiaTheme="minorEastAsia" w:hAnsiTheme="minorHAnsi" w:cstheme="minorBidi"/>
          <w:b/>
          <w:bCs/>
          <w:sz w:val="22"/>
          <w:szCs w:val="22"/>
          <w:lang w:val="lv-LV"/>
        </w:rPr>
        <w:t xml:space="preserve">Tas ir </w:t>
      </w:r>
      <w:r w:rsidRPr="001F17AA">
        <w:rPr>
          <w:rFonts w:asciiTheme="minorHAnsi" w:eastAsiaTheme="minorEastAsia" w:hAnsiTheme="minorHAnsi" w:cstheme="minorBidi"/>
          <w:b/>
          <w:bCs/>
          <w:sz w:val="22"/>
          <w:szCs w:val="22"/>
          <w:lang w:val="lv-LV"/>
        </w:rPr>
        <w:t xml:space="preserve">vidēji bija zemāks nekā ES un eiro </w:t>
      </w:r>
      <w:r w:rsidRPr="00205923">
        <w:rPr>
          <w:rFonts w:asciiTheme="minorHAnsi" w:eastAsiaTheme="minorEastAsia" w:hAnsiTheme="minorHAnsi" w:cstheme="minorBidi"/>
          <w:b/>
          <w:bCs/>
          <w:sz w:val="22"/>
          <w:szCs w:val="22"/>
          <w:lang w:val="lv-LV"/>
        </w:rPr>
        <w:t>zonas valstīs</w:t>
      </w:r>
      <w:r w:rsidRPr="001F17AA">
        <w:rPr>
          <w:rFonts w:asciiTheme="minorHAnsi" w:eastAsiaTheme="minorEastAsia" w:hAnsiTheme="minorHAnsi" w:cstheme="minorBidi"/>
          <w:bCs/>
          <w:sz w:val="22"/>
          <w:szCs w:val="22"/>
          <w:lang w:val="lv-LV"/>
        </w:rPr>
        <w:t xml:space="preserve"> un atbilst Māstrihtas līguma kritērijie</w:t>
      </w:r>
      <w:r w:rsidR="00205923">
        <w:rPr>
          <w:rFonts w:asciiTheme="minorHAnsi" w:eastAsiaTheme="minorEastAsia" w:hAnsiTheme="minorHAnsi" w:cstheme="minorBidi"/>
          <w:bCs/>
          <w:sz w:val="22"/>
          <w:szCs w:val="22"/>
          <w:lang w:val="lv-LV"/>
        </w:rPr>
        <w:t xml:space="preserve">m attiecībā uz budžeta deficītu. Uz citu valstu fona izceļas Lietuva, kas pēdējos gados ir bijusi </w:t>
      </w:r>
      <w:r w:rsidR="00205923">
        <w:rPr>
          <w:rFonts w:asciiTheme="minorHAnsi" w:eastAsiaTheme="minorEastAsia" w:hAnsiTheme="minorHAnsi" w:cstheme="minorBidi"/>
          <w:bCs/>
          <w:sz w:val="22"/>
          <w:szCs w:val="22"/>
          <w:lang w:val="lv-LV"/>
        </w:rPr>
        <w:lastRenderedPageBreak/>
        <w:t>spējīga strādāt ar proficītu</w:t>
      </w:r>
      <w:r w:rsidRPr="001F17AA">
        <w:rPr>
          <w:rFonts w:asciiTheme="minorHAnsi" w:eastAsiaTheme="minorEastAsia" w:hAnsiTheme="minorHAnsi" w:cstheme="minorBidi"/>
          <w:bCs/>
          <w:sz w:val="22"/>
          <w:szCs w:val="22"/>
          <w:lang w:val="lv-LV"/>
        </w:rPr>
        <w:t xml:space="preserve"> (ska</w:t>
      </w:r>
      <w:r>
        <w:rPr>
          <w:rFonts w:asciiTheme="minorHAnsi" w:eastAsiaTheme="minorEastAsia" w:hAnsiTheme="minorHAnsi" w:cstheme="minorBidi"/>
          <w:bCs/>
          <w:sz w:val="22"/>
          <w:szCs w:val="22"/>
          <w:lang w:val="lv-LV"/>
        </w:rPr>
        <w:t xml:space="preserve">tīt </w:t>
      </w:r>
      <w:r w:rsidR="00D831FB">
        <w:rPr>
          <w:rFonts w:asciiTheme="minorHAnsi" w:eastAsiaTheme="minorEastAsia" w:hAnsiTheme="minorHAnsi" w:cstheme="minorBidi"/>
          <w:bCs/>
          <w:sz w:val="22"/>
          <w:szCs w:val="22"/>
          <w:lang w:val="lv-LV"/>
        </w:rPr>
        <w:t>4</w:t>
      </w:r>
      <w:r w:rsidR="000637F7" w:rsidRPr="000637F7">
        <w:rPr>
          <w:rFonts w:asciiTheme="minorHAnsi" w:eastAsiaTheme="minorEastAsia" w:hAnsiTheme="minorHAnsi" w:cstheme="minorBidi"/>
          <w:bCs/>
          <w:sz w:val="22"/>
          <w:szCs w:val="22"/>
          <w:lang w:val="lv-LV"/>
        </w:rPr>
        <w:t>.</w:t>
      </w:r>
      <w:r>
        <w:rPr>
          <w:rFonts w:asciiTheme="minorHAnsi" w:eastAsiaTheme="minorEastAsia" w:hAnsiTheme="minorHAnsi" w:cstheme="minorBidi"/>
          <w:bCs/>
          <w:sz w:val="22"/>
          <w:szCs w:val="22"/>
          <w:lang w:val="lv-LV"/>
        </w:rPr>
        <w:t xml:space="preserve"> attēlu). </w:t>
      </w:r>
      <w:r w:rsidRPr="001F17AA">
        <w:rPr>
          <w:rFonts w:asciiTheme="minorHAnsi" w:eastAsiaTheme="minorEastAsia" w:hAnsiTheme="minorHAnsi" w:cstheme="minorBidi"/>
          <w:bCs/>
          <w:sz w:val="22"/>
          <w:szCs w:val="22"/>
          <w:lang w:val="lv-LV"/>
        </w:rPr>
        <w:t>2019. gadā notika Latvijas kopbudžeta deficīta samazinājums – tas ir joprojām negatīvs, bet ir pietuvojies nullei.</w:t>
      </w:r>
      <w:r w:rsidR="00B37357">
        <w:rPr>
          <w:rFonts w:asciiTheme="minorHAnsi" w:eastAsiaTheme="minorEastAsia" w:hAnsiTheme="minorHAnsi" w:cstheme="minorBidi"/>
          <w:bCs/>
          <w:sz w:val="22"/>
          <w:szCs w:val="22"/>
          <w:lang w:val="lv-LV"/>
        </w:rPr>
        <w:t xml:space="preserve"> Protams, Covid-19 dēļ, tuvākos gados ir sagaidāmi budžeta deficīti gan Latvijā, gan visās ES valstīs.</w:t>
      </w:r>
    </w:p>
    <w:p w14:paraId="064B151C" w14:textId="77777777" w:rsidR="0021495B" w:rsidRDefault="0021495B" w:rsidP="009A1EF2">
      <w:pPr>
        <w:pStyle w:val="ListParagraph"/>
        <w:ind w:left="426"/>
        <w:jc w:val="both"/>
        <w:rPr>
          <w:rFonts w:asciiTheme="minorHAnsi" w:eastAsiaTheme="minorEastAsia" w:hAnsiTheme="minorHAnsi" w:cstheme="minorBidi"/>
          <w:b/>
          <w:bCs/>
          <w:sz w:val="22"/>
          <w:szCs w:val="22"/>
          <w:lang w:val="lv-LV"/>
        </w:rPr>
      </w:pPr>
    </w:p>
    <w:p w14:paraId="1D445860" w14:textId="0F83EE90" w:rsidR="001F17AA" w:rsidRPr="001F17AA" w:rsidRDefault="001F17AA" w:rsidP="009A1EF2">
      <w:pPr>
        <w:pStyle w:val="ListParagraph"/>
        <w:ind w:left="426"/>
        <w:jc w:val="both"/>
        <w:rPr>
          <w:rFonts w:asciiTheme="minorHAnsi" w:eastAsiaTheme="minorEastAsia" w:hAnsiTheme="minorHAnsi" w:cstheme="minorBidi"/>
          <w:b/>
          <w:bCs/>
          <w:sz w:val="22"/>
          <w:szCs w:val="22"/>
          <w:lang w:val="lv-LV"/>
        </w:rPr>
      </w:pPr>
      <w:r>
        <w:rPr>
          <w:noProof/>
          <w:lang w:val="lv-LV" w:eastAsia="lv-LV"/>
        </w:rPr>
        <w:drawing>
          <wp:inline distT="0" distB="0" distL="0" distR="0" wp14:anchorId="5363BF23" wp14:editId="34A87DBA">
            <wp:extent cx="4700867" cy="2755526"/>
            <wp:effectExtent l="0" t="0" r="5080" b="698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A8B9094" w14:textId="2C03FE98" w:rsidR="001F17AA" w:rsidRPr="001F17AA" w:rsidRDefault="001F17AA" w:rsidP="009A1EF2">
      <w:pPr>
        <w:ind w:firstLine="360"/>
        <w:jc w:val="both"/>
        <w:rPr>
          <w:rFonts w:asciiTheme="minorHAnsi" w:eastAsiaTheme="minorEastAsia" w:hAnsiTheme="minorHAnsi" w:cstheme="minorBidi"/>
          <w:bCs/>
          <w:i/>
          <w:sz w:val="20"/>
          <w:szCs w:val="20"/>
          <w:lang w:val="lv-LV"/>
        </w:rPr>
      </w:pPr>
      <w:r w:rsidRPr="001F17AA">
        <w:rPr>
          <w:rFonts w:asciiTheme="minorHAnsi" w:eastAsiaTheme="minorEastAsia" w:hAnsiTheme="minorHAnsi" w:cstheme="minorBidi"/>
          <w:bCs/>
          <w:i/>
          <w:sz w:val="20"/>
          <w:szCs w:val="20"/>
          <w:lang w:val="lv-LV"/>
        </w:rPr>
        <w:t>Avots: Eurostat</w:t>
      </w:r>
    </w:p>
    <w:p w14:paraId="0EAB9040" w14:textId="6D60CC20" w:rsidR="00A00F2A" w:rsidRPr="0021495B" w:rsidRDefault="00644A95" w:rsidP="009A1EF2">
      <w:pPr>
        <w:pStyle w:val="NormalWeb"/>
        <w:spacing w:before="0" w:beforeAutospacing="0" w:after="0" w:afterAutospacing="0"/>
        <w:ind w:left="426"/>
        <w:rPr>
          <w:rFonts w:asciiTheme="minorHAnsi" w:eastAsiaTheme="minorEastAsia" w:hAnsiTheme="minorHAnsi" w:cstheme="minorHAnsi"/>
          <w:b/>
          <w:bCs/>
          <w:color w:val="000000" w:themeColor="text1"/>
          <w:sz w:val="20"/>
          <w:szCs w:val="20"/>
          <w:lang w:val="lv-LV"/>
        </w:rPr>
      </w:pPr>
      <w:r w:rsidRPr="00644A95">
        <w:rPr>
          <w:rFonts w:asciiTheme="minorHAnsi" w:eastAsiaTheme="minorEastAsia" w:hAnsiTheme="minorHAnsi" w:cstheme="minorHAnsi"/>
          <w:b/>
          <w:color w:val="000000" w:themeColor="text1"/>
          <w:sz w:val="20"/>
          <w:szCs w:val="20"/>
          <w:lang w:val="en-US"/>
        </w:rPr>
        <w:t>4</w:t>
      </w:r>
      <w:r w:rsidR="00A00F2A" w:rsidRPr="00644A95">
        <w:rPr>
          <w:rFonts w:asciiTheme="minorHAnsi" w:eastAsiaTheme="minorEastAsia" w:hAnsiTheme="minorHAnsi" w:cstheme="minorHAnsi"/>
          <w:b/>
          <w:color w:val="000000" w:themeColor="text1"/>
          <w:sz w:val="20"/>
          <w:szCs w:val="20"/>
          <w:lang w:val="en-US"/>
        </w:rPr>
        <w:t xml:space="preserve">. </w:t>
      </w:r>
      <w:proofErr w:type="gramStart"/>
      <w:r w:rsidR="00A00F2A" w:rsidRPr="00644A95">
        <w:rPr>
          <w:rFonts w:asciiTheme="minorHAnsi" w:eastAsiaTheme="minorEastAsia" w:hAnsiTheme="minorHAnsi" w:cstheme="minorHAnsi"/>
          <w:b/>
          <w:color w:val="000000" w:themeColor="text1"/>
          <w:sz w:val="20"/>
          <w:szCs w:val="20"/>
          <w:lang w:val="en-US"/>
        </w:rPr>
        <w:t>att</w:t>
      </w:r>
      <w:r w:rsidRPr="00644A95">
        <w:rPr>
          <w:rFonts w:asciiTheme="minorHAnsi" w:eastAsiaTheme="minorEastAsia" w:hAnsiTheme="minorHAnsi" w:cstheme="minorHAnsi"/>
          <w:b/>
          <w:color w:val="000000" w:themeColor="text1"/>
          <w:sz w:val="20"/>
          <w:szCs w:val="20"/>
          <w:lang w:val="en-US"/>
        </w:rPr>
        <w:t>ēls</w:t>
      </w:r>
      <w:proofErr w:type="gramEnd"/>
      <w:r w:rsidRPr="00644A95">
        <w:rPr>
          <w:rFonts w:asciiTheme="minorHAnsi" w:eastAsiaTheme="minorEastAsia" w:hAnsiTheme="minorHAnsi" w:cstheme="minorHAnsi"/>
          <w:b/>
          <w:color w:val="000000" w:themeColor="text1"/>
          <w:sz w:val="20"/>
          <w:szCs w:val="20"/>
          <w:lang w:val="en-US"/>
        </w:rPr>
        <w:t>:</w:t>
      </w:r>
      <w:r w:rsidR="00A00F2A" w:rsidRPr="0021495B">
        <w:rPr>
          <w:rFonts w:asciiTheme="minorHAnsi" w:eastAsiaTheme="minorEastAsia" w:hAnsiTheme="minorHAnsi" w:cstheme="minorHAnsi"/>
          <w:color w:val="000000" w:themeColor="text1"/>
          <w:sz w:val="20"/>
          <w:szCs w:val="20"/>
          <w:lang w:val="en-US"/>
        </w:rPr>
        <w:t xml:space="preserve"> </w:t>
      </w:r>
      <w:r w:rsidR="00A00F2A" w:rsidRPr="00644A95">
        <w:rPr>
          <w:rFonts w:asciiTheme="minorHAnsi" w:eastAsiaTheme="minorEastAsia" w:hAnsiTheme="minorHAnsi" w:cstheme="minorHAnsi"/>
          <w:bCs/>
          <w:color w:val="000000" w:themeColor="text1"/>
          <w:sz w:val="20"/>
          <w:szCs w:val="20"/>
          <w:lang w:val="lv-LV"/>
        </w:rPr>
        <w:t>Vispārējās valdības budžeta deficīts (% no IKP) ES28, Eirozonā un Baltijas valstīs periodā no 2015.g.-2019.g.</w:t>
      </w:r>
    </w:p>
    <w:p w14:paraId="65872A9B" w14:textId="77777777" w:rsidR="001F17AA" w:rsidRPr="001F17AA" w:rsidRDefault="001F17AA" w:rsidP="009A1EF2">
      <w:pPr>
        <w:jc w:val="both"/>
        <w:rPr>
          <w:rFonts w:asciiTheme="minorHAnsi" w:eastAsiaTheme="minorEastAsia" w:hAnsiTheme="minorHAnsi" w:cstheme="minorBidi"/>
          <w:b/>
          <w:bCs/>
          <w:sz w:val="22"/>
          <w:szCs w:val="22"/>
          <w:lang w:val="lv-LV"/>
        </w:rPr>
      </w:pPr>
    </w:p>
    <w:p w14:paraId="6C3C5134" w14:textId="20819C0A" w:rsidR="00B6363A" w:rsidRPr="0078054E" w:rsidRDefault="00B6363A" w:rsidP="009A1EF2">
      <w:pPr>
        <w:pStyle w:val="ListParagraph"/>
        <w:ind w:left="360"/>
        <w:jc w:val="both"/>
        <w:rPr>
          <w:rFonts w:cstheme="minorHAnsi"/>
          <w:color w:val="1F4E79" w:themeColor="accent1" w:themeShade="80"/>
          <w:lang w:val="lv-LV"/>
        </w:rPr>
      </w:pPr>
    </w:p>
    <w:p w14:paraId="5F567B47" w14:textId="213F9910" w:rsidR="008223F1" w:rsidRPr="00D9596B" w:rsidRDefault="008223F1" w:rsidP="009A1EF2">
      <w:pPr>
        <w:pStyle w:val="Heading2"/>
        <w:numPr>
          <w:ilvl w:val="1"/>
          <w:numId w:val="3"/>
        </w:numPr>
        <w:spacing w:after="240"/>
        <w:rPr>
          <w:lang w:val="lv-LV"/>
        </w:rPr>
      </w:pPr>
      <w:bookmarkStart w:id="11" w:name="_Toc53387628"/>
      <w:r>
        <w:rPr>
          <w:rStyle w:val="SubtleEmphasis"/>
          <w:i w:val="0"/>
          <w:iCs w:val="0"/>
          <w:color w:val="2E74B5" w:themeColor="accent1" w:themeShade="BF"/>
          <w:lang w:val="lv-LV"/>
        </w:rPr>
        <w:t>Ekonomikas stabilizācijas pasākumu fiskālā ietekme</w:t>
      </w:r>
      <w:bookmarkEnd w:id="11"/>
    </w:p>
    <w:p w14:paraId="4CC9B4FB" w14:textId="071351A4" w:rsidR="00B6363A" w:rsidRPr="00103C0E" w:rsidRDefault="00B6363A" w:rsidP="009A1EF2">
      <w:pPr>
        <w:pStyle w:val="ListParagraph"/>
        <w:ind w:left="426"/>
        <w:jc w:val="both"/>
        <w:rPr>
          <w:rFonts w:asciiTheme="majorHAnsi" w:hAnsiTheme="majorHAnsi"/>
          <w:b/>
          <w:sz w:val="22"/>
          <w:szCs w:val="28"/>
          <w:lang w:val="lv-LV"/>
        </w:rPr>
      </w:pPr>
    </w:p>
    <w:p w14:paraId="603F809B" w14:textId="4663B995" w:rsidR="00B6363A" w:rsidRPr="00F552A3" w:rsidRDefault="00704214" w:rsidP="72B40892">
      <w:pPr>
        <w:pStyle w:val="ListParagraph"/>
        <w:numPr>
          <w:ilvl w:val="0"/>
          <w:numId w:val="2"/>
        </w:numPr>
        <w:ind w:left="426" w:hanging="426"/>
        <w:jc w:val="both"/>
        <w:rPr>
          <w:rFonts w:asciiTheme="minorHAnsi" w:hAnsiTheme="minorHAnsi"/>
          <w:b/>
          <w:bCs/>
          <w:sz w:val="22"/>
          <w:szCs w:val="22"/>
          <w:lang w:val="lv-LV"/>
        </w:rPr>
      </w:pPr>
      <w:r w:rsidRPr="72B40892">
        <w:rPr>
          <w:rFonts w:asciiTheme="minorHAnsi" w:eastAsia="Calibri" w:hAnsiTheme="minorHAnsi"/>
          <w:b/>
          <w:bCs/>
          <w:sz w:val="22"/>
          <w:szCs w:val="22"/>
          <w:lang w:val="lv-LV"/>
        </w:rPr>
        <w:t>Latvijas valdība ir operatīvi reaģējusi uz C</w:t>
      </w:r>
      <w:r w:rsidR="00276DF4" w:rsidRPr="72B40892">
        <w:rPr>
          <w:rFonts w:asciiTheme="minorHAnsi" w:eastAsia="Calibri" w:hAnsiTheme="minorHAnsi"/>
          <w:b/>
          <w:bCs/>
          <w:sz w:val="22"/>
          <w:szCs w:val="22"/>
          <w:lang w:val="lv-LV"/>
        </w:rPr>
        <w:t>ovid</w:t>
      </w:r>
      <w:r w:rsidRPr="72B40892">
        <w:rPr>
          <w:rFonts w:asciiTheme="minorHAnsi" w:eastAsia="Calibri" w:hAnsiTheme="minorHAnsi"/>
          <w:b/>
          <w:bCs/>
          <w:sz w:val="22"/>
          <w:szCs w:val="22"/>
          <w:lang w:val="lv-LV"/>
        </w:rPr>
        <w:t>-19 izraisīto krīzi un izveidojusi ekonomikas stabilizācijas un iedzīvotāju atbalsta mehānismus, saskaņā ar starptautisko organizāciju rekomendācijām.</w:t>
      </w:r>
      <w:r w:rsidRPr="72B40892">
        <w:rPr>
          <w:rFonts w:asciiTheme="minorHAnsi" w:eastAsia="Calibri" w:hAnsiTheme="minorHAnsi"/>
          <w:sz w:val="22"/>
          <w:szCs w:val="22"/>
          <w:lang w:val="lv-LV"/>
        </w:rPr>
        <w:t xml:space="preserve"> </w:t>
      </w:r>
      <w:r w:rsidR="008223F1" w:rsidRPr="72B40892">
        <w:rPr>
          <w:rFonts w:asciiTheme="minorHAnsi" w:eastAsia="Calibri" w:hAnsiTheme="minorHAnsi"/>
          <w:b/>
          <w:bCs/>
          <w:sz w:val="22"/>
          <w:szCs w:val="22"/>
          <w:lang w:val="lv-LV"/>
        </w:rPr>
        <w:t xml:space="preserve">Pēc FM </w:t>
      </w:r>
      <w:r w:rsidR="00F552A3" w:rsidRPr="72B40892">
        <w:rPr>
          <w:rFonts w:asciiTheme="minorHAnsi" w:eastAsia="Calibri" w:hAnsiTheme="minorHAnsi"/>
          <w:b/>
          <w:bCs/>
          <w:sz w:val="22"/>
          <w:szCs w:val="22"/>
          <w:lang w:val="lv-LV"/>
        </w:rPr>
        <w:t xml:space="preserve">pašreizējā </w:t>
      </w:r>
      <w:r w:rsidR="008223F1" w:rsidRPr="72B40892">
        <w:rPr>
          <w:rFonts w:asciiTheme="minorHAnsi" w:eastAsia="Calibri" w:hAnsiTheme="minorHAnsi"/>
          <w:b/>
          <w:bCs/>
          <w:sz w:val="22"/>
          <w:szCs w:val="22"/>
          <w:lang w:val="lv-LV"/>
        </w:rPr>
        <w:t xml:space="preserve">novērtējuma, </w:t>
      </w:r>
      <w:r w:rsidR="00F552A3" w:rsidRPr="72B40892">
        <w:rPr>
          <w:rFonts w:asciiTheme="minorHAnsi" w:eastAsia="Calibri" w:hAnsiTheme="minorHAnsi"/>
          <w:b/>
          <w:bCs/>
          <w:sz w:val="22"/>
          <w:szCs w:val="22"/>
          <w:lang w:val="lv-LV"/>
        </w:rPr>
        <w:t>a</w:t>
      </w:r>
      <w:r w:rsidR="00B43970" w:rsidRPr="72B40892">
        <w:rPr>
          <w:rFonts w:asciiTheme="minorHAnsi" w:eastAsia="Calibri" w:hAnsiTheme="minorHAnsi"/>
          <w:b/>
          <w:bCs/>
          <w:sz w:val="22"/>
          <w:szCs w:val="22"/>
          <w:lang w:val="lv-LV"/>
        </w:rPr>
        <w:t>tbalsta pasākumu ietekm</w:t>
      </w:r>
      <w:r w:rsidR="00BA0A23" w:rsidRPr="72B40892">
        <w:rPr>
          <w:rFonts w:asciiTheme="minorHAnsi" w:eastAsia="Calibri" w:hAnsiTheme="minorHAnsi"/>
          <w:b/>
          <w:bCs/>
          <w:sz w:val="22"/>
          <w:szCs w:val="22"/>
          <w:lang w:val="lv-LV"/>
        </w:rPr>
        <w:t>e uz VVBB 2020.gadā sasniegs</w:t>
      </w:r>
      <w:r w:rsidR="006B5BD2" w:rsidRPr="72B40892">
        <w:rPr>
          <w:rFonts w:asciiTheme="minorHAnsi" w:eastAsia="Calibri" w:hAnsiTheme="minorHAnsi"/>
          <w:b/>
          <w:bCs/>
          <w:sz w:val="22"/>
          <w:szCs w:val="22"/>
          <w:lang w:val="lv-LV"/>
        </w:rPr>
        <w:t xml:space="preserve"> gandrīz 1</w:t>
      </w:r>
      <w:r w:rsidR="00BA7C68" w:rsidRPr="72B40892">
        <w:rPr>
          <w:rFonts w:asciiTheme="minorHAnsi" w:eastAsia="Calibri" w:hAnsiTheme="minorHAnsi"/>
          <w:b/>
          <w:bCs/>
          <w:sz w:val="22"/>
          <w:szCs w:val="22"/>
          <w:lang w:val="lv-LV"/>
        </w:rPr>
        <w:t>.2</w:t>
      </w:r>
      <w:r w:rsidR="006B5BD2" w:rsidRPr="72B40892">
        <w:rPr>
          <w:rFonts w:asciiTheme="minorHAnsi" w:eastAsia="Calibri" w:hAnsiTheme="minorHAnsi"/>
          <w:b/>
          <w:bCs/>
          <w:sz w:val="22"/>
          <w:szCs w:val="22"/>
          <w:lang w:val="lv-LV"/>
        </w:rPr>
        <w:t xml:space="preserve"> miljardu</w:t>
      </w:r>
      <w:r w:rsidR="00B43970" w:rsidRPr="72B40892">
        <w:rPr>
          <w:rFonts w:asciiTheme="minorHAnsi" w:eastAsia="Calibri" w:hAnsiTheme="minorHAnsi"/>
          <w:b/>
          <w:bCs/>
          <w:sz w:val="22"/>
          <w:szCs w:val="22"/>
          <w:lang w:val="lv-LV"/>
        </w:rPr>
        <w:t xml:space="preserve"> </w:t>
      </w:r>
      <w:r w:rsidR="00BA7C68" w:rsidRPr="72B40892">
        <w:rPr>
          <w:rFonts w:asciiTheme="minorHAnsi" w:eastAsia="Calibri" w:hAnsiTheme="minorHAnsi"/>
          <w:b/>
          <w:bCs/>
          <w:sz w:val="22"/>
          <w:szCs w:val="22"/>
          <w:lang w:val="lv-LV"/>
        </w:rPr>
        <w:t>eiro, kas ir 4</w:t>
      </w:r>
      <w:r w:rsidR="00BC7F6F" w:rsidRPr="72B40892">
        <w:rPr>
          <w:rFonts w:asciiTheme="minorHAnsi" w:eastAsia="Calibri" w:hAnsiTheme="minorHAnsi"/>
          <w:b/>
          <w:bCs/>
          <w:sz w:val="22"/>
          <w:szCs w:val="22"/>
          <w:lang w:val="lv-LV"/>
        </w:rPr>
        <w:t>.3</w:t>
      </w:r>
      <w:r w:rsidR="00B43970" w:rsidRPr="72B40892">
        <w:rPr>
          <w:rFonts w:asciiTheme="minorHAnsi" w:eastAsia="Calibri" w:hAnsiTheme="minorHAnsi"/>
          <w:b/>
          <w:bCs/>
          <w:sz w:val="22"/>
          <w:szCs w:val="22"/>
          <w:lang w:val="lv-LV"/>
        </w:rPr>
        <w:t xml:space="preserve">% no IKP. </w:t>
      </w:r>
      <w:r w:rsidR="00BA0A23" w:rsidRPr="72B40892">
        <w:rPr>
          <w:rFonts w:asciiTheme="minorHAnsi" w:eastAsia="Calibri" w:hAnsiTheme="minorHAnsi"/>
          <w:sz w:val="22"/>
          <w:szCs w:val="22"/>
          <w:lang w:val="lv-LV"/>
        </w:rPr>
        <w:t>Patiesībā pasākumu ietekme uz ekonomiku būs pat lielāka, jo daļa no pasākumiem, piemēram garantijas, ES fondu pārdale, neatstāj iespaidu uz VVBB</w:t>
      </w:r>
      <w:r w:rsidR="002E3965" w:rsidRPr="72B40892">
        <w:rPr>
          <w:rFonts w:asciiTheme="minorHAnsi" w:eastAsia="Calibri" w:hAnsiTheme="minorHAnsi"/>
          <w:sz w:val="22"/>
          <w:szCs w:val="22"/>
          <w:lang w:val="lv-LV"/>
        </w:rPr>
        <w:t xml:space="preserve"> (skatīt 5. tabulu zemāk)</w:t>
      </w:r>
      <w:r w:rsidR="00BA0A23" w:rsidRPr="72B40892">
        <w:rPr>
          <w:rFonts w:asciiTheme="minorHAnsi" w:eastAsia="Calibri" w:hAnsiTheme="minorHAnsi"/>
          <w:sz w:val="22"/>
          <w:szCs w:val="22"/>
          <w:lang w:val="lv-LV"/>
        </w:rPr>
        <w:t xml:space="preserve">. Šobrīd tikai daļa no pasākumiem ir reāli iedarbināti un darbojas – pēc FM novērtējuma septembra vidū atbalsta pasākumu ietekme uz VVBB ir apmēram 0.7 miljardi eiro. </w:t>
      </w:r>
      <w:r w:rsidRPr="72B40892">
        <w:rPr>
          <w:rFonts w:asciiTheme="minorHAnsi" w:eastAsia="Calibri" w:hAnsiTheme="minorHAnsi"/>
          <w:sz w:val="22"/>
          <w:szCs w:val="22"/>
          <w:lang w:val="lv-LV"/>
        </w:rPr>
        <w:t>Pasākumi ir</w:t>
      </w:r>
      <w:r w:rsidR="00751AF9" w:rsidRPr="72B40892">
        <w:rPr>
          <w:rFonts w:asciiTheme="minorHAnsi" w:eastAsia="Calibri" w:hAnsiTheme="minorHAnsi"/>
          <w:sz w:val="22"/>
          <w:szCs w:val="22"/>
          <w:lang w:val="lv-LV"/>
        </w:rPr>
        <w:t xml:space="preserve"> terminēti uz krīzes laiku un</w:t>
      </w:r>
      <w:r w:rsidRPr="72B40892">
        <w:rPr>
          <w:rFonts w:asciiTheme="minorHAnsi" w:eastAsia="Calibri" w:hAnsiTheme="minorHAnsi"/>
          <w:sz w:val="22"/>
          <w:szCs w:val="22"/>
          <w:lang w:val="lv-LV"/>
        </w:rPr>
        <w:t xml:space="preserve"> </w:t>
      </w:r>
      <w:r w:rsidR="00751AF9" w:rsidRPr="72B40892">
        <w:rPr>
          <w:rFonts w:asciiTheme="minorHAnsi" w:eastAsia="Calibri" w:hAnsiTheme="minorHAnsi"/>
          <w:sz w:val="22"/>
          <w:szCs w:val="22"/>
          <w:lang w:val="lv-LV"/>
        </w:rPr>
        <w:t xml:space="preserve">ir </w:t>
      </w:r>
      <w:r w:rsidRPr="72B40892">
        <w:rPr>
          <w:rFonts w:asciiTheme="minorHAnsi" w:eastAsia="Calibri" w:hAnsiTheme="minorHAnsi"/>
          <w:sz w:val="22"/>
          <w:szCs w:val="22"/>
          <w:lang w:val="lv-LV"/>
        </w:rPr>
        <w:t>mērķēti uz likviditātes uzturēšanu, darba ņēmēju un</w:t>
      </w:r>
      <w:r w:rsidR="00E53DB0" w:rsidRPr="72B40892">
        <w:rPr>
          <w:rFonts w:asciiTheme="minorHAnsi" w:eastAsia="Calibri" w:hAnsiTheme="minorHAnsi"/>
          <w:sz w:val="22"/>
          <w:szCs w:val="22"/>
          <w:lang w:val="lv-LV"/>
        </w:rPr>
        <w:t xml:space="preserve"> </w:t>
      </w:r>
      <w:r w:rsidRPr="72B40892">
        <w:rPr>
          <w:rFonts w:asciiTheme="minorHAnsi" w:eastAsia="Calibri" w:hAnsiTheme="minorHAnsi"/>
          <w:sz w:val="22"/>
          <w:szCs w:val="22"/>
          <w:lang w:val="lv-LV"/>
        </w:rPr>
        <w:t>ievainojamāko sabiedrības slāņu sociālo aizsardzību, uzņēmēju un nozaru atbalstu, un veselības aizsardzības</w:t>
      </w:r>
      <w:r w:rsidR="00BA0A23" w:rsidRPr="72B40892">
        <w:rPr>
          <w:rFonts w:asciiTheme="minorHAnsi" w:eastAsia="Calibri" w:hAnsiTheme="minorHAnsi"/>
          <w:sz w:val="22"/>
          <w:szCs w:val="22"/>
          <w:lang w:val="lv-LV"/>
        </w:rPr>
        <w:t xml:space="preserve"> un citu sektoru</w:t>
      </w:r>
      <w:r w:rsidRPr="72B40892">
        <w:rPr>
          <w:rFonts w:asciiTheme="minorHAnsi" w:eastAsia="Calibri" w:hAnsiTheme="minorHAnsi"/>
          <w:sz w:val="22"/>
          <w:szCs w:val="22"/>
          <w:lang w:val="lv-LV"/>
        </w:rPr>
        <w:t xml:space="preserve"> kapacitātes stiprināšanu.</w:t>
      </w:r>
      <w:r w:rsidR="00BF5D2E" w:rsidRPr="72B40892">
        <w:rPr>
          <w:rFonts w:asciiTheme="minorHAnsi" w:eastAsia="Calibri" w:hAnsiTheme="minorHAnsi"/>
          <w:sz w:val="22"/>
          <w:szCs w:val="22"/>
          <w:lang w:val="lv-LV"/>
        </w:rPr>
        <w:t xml:space="preserve"> </w:t>
      </w:r>
    </w:p>
    <w:p w14:paraId="1BC49054" w14:textId="77777777" w:rsidR="00F552A3" w:rsidRPr="00F552A3" w:rsidRDefault="00F552A3" w:rsidP="009A1EF2">
      <w:pPr>
        <w:pStyle w:val="ListParagraph"/>
        <w:ind w:left="426"/>
        <w:jc w:val="both"/>
        <w:rPr>
          <w:rFonts w:asciiTheme="minorHAnsi" w:hAnsiTheme="minorHAnsi"/>
          <w:b/>
          <w:bCs/>
          <w:sz w:val="22"/>
          <w:szCs w:val="22"/>
          <w:lang w:val="lv-LV"/>
        </w:rPr>
      </w:pPr>
    </w:p>
    <w:p w14:paraId="6037D255" w14:textId="28E4C608" w:rsidR="00F552A3" w:rsidRPr="004A3AA5" w:rsidRDefault="00F552A3" w:rsidP="009A1EF2">
      <w:pPr>
        <w:pStyle w:val="ListParagraph"/>
        <w:numPr>
          <w:ilvl w:val="0"/>
          <w:numId w:val="2"/>
        </w:numPr>
        <w:ind w:left="426" w:hanging="426"/>
        <w:jc w:val="both"/>
        <w:rPr>
          <w:rFonts w:asciiTheme="minorHAnsi" w:hAnsiTheme="minorHAnsi"/>
          <w:bCs/>
          <w:sz w:val="22"/>
          <w:szCs w:val="22"/>
          <w:lang w:val="lv-LV"/>
        </w:rPr>
      </w:pPr>
      <w:r w:rsidRPr="004A3AA5">
        <w:rPr>
          <w:rFonts w:asciiTheme="minorHAnsi" w:hAnsiTheme="minorHAnsi"/>
          <w:bCs/>
          <w:sz w:val="22"/>
          <w:szCs w:val="22"/>
          <w:lang w:val="lv-LV"/>
        </w:rPr>
        <w:t>Sākotnēji likuma “Par valsts apdraudējuma un tā seku novēršanas un pārvarēšanas pasākumiem sakarā</w:t>
      </w:r>
      <w:r w:rsidR="004A3AA5">
        <w:rPr>
          <w:rFonts w:asciiTheme="minorHAnsi" w:hAnsiTheme="minorHAnsi"/>
          <w:bCs/>
          <w:sz w:val="22"/>
          <w:szCs w:val="22"/>
          <w:lang w:val="lv-LV"/>
        </w:rPr>
        <w:t xml:space="preserve"> ar Covid-19 izplatību” 28.pants paredzēja, ka visi atbalsta pasākumi ir uzskatāmi par vienreizējiem kam nav ietekmes uz budžeta strukturālo bilanci.  Tomēr</w:t>
      </w:r>
      <w:r w:rsidRPr="004A3AA5">
        <w:rPr>
          <w:rFonts w:asciiTheme="minorHAnsi" w:hAnsiTheme="minorHAnsi"/>
          <w:bCs/>
          <w:sz w:val="22"/>
          <w:szCs w:val="22"/>
          <w:lang w:val="lv-LV"/>
        </w:rPr>
        <w:t xml:space="preserve"> EK pieņēma lēmumu</w:t>
      </w:r>
      <w:r w:rsidR="004A3AA5">
        <w:rPr>
          <w:rFonts w:asciiTheme="minorHAnsi" w:hAnsiTheme="minorHAnsi"/>
          <w:bCs/>
          <w:sz w:val="22"/>
          <w:szCs w:val="22"/>
          <w:lang w:val="lv-LV"/>
        </w:rPr>
        <w:t>, ka izdevumi</w:t>
      </w:r>
      <w:r w:rsidRPr="004A3AA5">
        <w:rPr>
          <w:rFonts w:asciiTheme="minorHAnsi" w:hAnsiTheme="minorHAnsi"/>
          <w:bCs/>
          <w:sz w:val="22"/>
          <w:szCs w:val="22"/>
          <w:lang w:val="lv-LV"/>
        </w:rPr>
        <w:t>, kas saistīti ar krīzes pārvarēšanu nav vienre</w:t>
      </w:r>
      <w:r w:rsidR="004A3AA5">
        <w:rPr>
          <w:rFonts w:asciiTheme="minorHAnsi" w:hAnsiTheme="minorHAnsi"/>
          <w:bCs/>
          <w:sz w:val="22"/>
          <w:szCs w:val="22"/>
          <w:lang w:val="lv-LV"/>
        </w:rPr>
        <w:t>izēji un</w:t>
      </w:r>
      <w:r w:rsidRPr="004A3AA5">
        <w:rPr>
          <w:rFonts w:asciiTheme="minorHAnsi" w:hAnsiTheme="minorHAnsi"/>
          <w:bCs/>
          <w:sz w:val="22"/>
          <w:szCs w:val="22"/>
          <w:lang w:val="lv-LV"/>
        </w:rPr>
        <w:t xml:space="preserve"> tiem ir ietekme uz</w:t>
      </w:r>
      <w:r w:rsidR="004A3AA5">
        <w:rPr>
          <w:rFonts w:asciiTheme="minorHAnsi" w:hAnsiTheme="minorHAnsi"/>
          <w:bCs/>
          <w:sz w:val="22"/>
          <w:szCs w:val="22"/>
          <w:lang w:val="lv-LV"/>
        </w:rPr>
        <w:t xml:space="preserve"> strukturālo deficītu. Līdz ar to,</w:t>
      </w:r>
      <w:r w:rsidRPr="004A3AA5">
        <w:rPr>
          <w:rFonts w:asciiTheme="minorHAnsi" w:hAnsiTheme="minorHAnsi"/>
          <w:bCs/>
          <w:sz w:val="22"/>
          <w:szCs w:val="22"/>
          <w:lang w:val="lv-LV"/>
        </w:rPr>
        <w:t xml:space="preserve"> likumā “Covid-19 infekcijas izplatības seku pārvarēšanas likums” vairs netika paredzēts likuma pants, kas noteiktu, ka pasākumi ar Covid-19 izplatību saistītās ārkārtējās situācijas ietekmes mazināšanai ir vienreizēji pasākumi. </w:t>
      </w:r>
      <w:r w:rsidR="002E3965">
        <w:rPr>
          <w:rFonts w:asciiTheme="minorHAnsi" w:hAnsiTheme="minorHAnsi"/>
          <w:bCs/>
          <w:sz w:val="22"/>
          <w:szCs w:val="22"/>
          <w:lang w:val="lv-LV"/>
        </w:rPr>
        <w:t xml:space="preserve">Līdz ar to strukturālais deficīts 2020. un 2021. gadā būs ievērojami lielāks. </w:t>
      </w:r>
    </w:p>
    <w:p w14:paraId="622092EA" w14:textId="4C94DCEF" w:rsidR="001233F4" w:rsidRPr="00931516" w:rsidRDefault="001233F4" w:rsidP="009A1EF2">
      <w:pPr>
        <w:jc w:val="both"/>
        <w:rPr>
          <w:rFonts w:asciiTheme="minorHAnsi" w:hAnsiTheme="minorHAnsi"/>
          <w:b/>
          <w:bCs/>
          <w:sz w:val="22"/>
          <w:szCs w:val="22"/>
          <w:lang w:val="lv-LV"/>
        </w:rPr>
      </w:pPr>
    </w:p>
    <w:p w14:paraId="13A9FD3C" w14:textId="0D1FE784" w:rsidR="00931516" w:rsidRPr="0042639E" w:rsidRDefault="00BE2208" w:rsidP="009A1EF2">
      <w:pPr>
        <w:pStyle w:val="ListParagraph"/>
        <w:numPr>
          <w:ilvl w:val="0"/>
          <w:numId w:val="2"/>
        </w:numPr>
        <w:ind w:left="426" w:hanging="426"/>
        <w:jc w:val="both"/>
        <w:rPr>
          <w:rFonts w:asciiTheme="minorHAnsi" w:hAnsiTheme="minorHAnsi"/>
          <w:b/>
          <w:bCs/>
          <w:sz w:val="22"/>
          <w:szCs w:val="22"/>
          <w:lang w:val="lv-LV"/>
        </w:rPr>
      </w:pPr>
      <w:r w:rsidRPr="0078054E">
        <w:rPr>
          <w:rFonts w:asciiTheme="minorHAnsi" w:eastAsia="Calibri" w:hAnsiTheme="minorHAnsi"/>
          <w:b/>
          <w:bCs/>
          <w:sz w:val="22"/>
          <w:szCs w:val="22"/>
          <w:lang w:val="lv-LV"/>
        </w:rPr>
        <w:t>K</w:t>
      </w:r>
      <w:r w:rsidR="00E53DB0" w:rsidRPr="0078054E">
        <w:rPr>
          <w:rFonts w:asciiTheme="minorHAnsi" w:eastAsia="Calibri" w:hAnsiTheme="minorHAnsi"/>
          <w:b/>
          <w:bCs/>
          <w:sz w:val="22"/>
          <w:szCs w:val="22"/>
          <w:lang w:val="lv-LV"/>
        </w:rPr>
        <w:t xml:space="preserve">opumā Padome atbalsta valdības izveidoto </w:t>
      </w:r>
      <w:r w:rsidRPr="0078054E">
        <w:rPr>
          <w:rFonts w:asciiTheme="minorHAnsi" w:eastAsia="Calibri" w:hAnsiTheme="minorHAnsi"/>
          <w:b/>
          <w:bCs/>
          <w:sz w:val="22"/>
          <w:szCs w:val="22"/>
          <w:lang w:val="lv-LV"/>
        </w:rPr>
        <w:t xml:space="preserve">atbalsta </w:t>
      </w:r>
      <w:r w:rsidR="00E53DB0" w:rsidRPr="0078054E">
        <w:rPr>
          <w:rFonts w:asciiTheme="minorHAnsi" w:eastAsia="Calibri" w:hAnsiTheme="minorHAnsi"/>
          <w:b/>
          <w:bCs/>
          <w:sz w:val="22"/>
          <w:szCs w:val="22"/>
          <w:lang w:val="lv-LV"/>
        </w:rPr>
        <w:t>pasā</w:t>
      </w:r>
      <w:r w:rsidRPr="0078054E">
        <w:rPr>
          <w:rFonts w:asciiTheme="minorHAnsi" w:eastAsia="Calibri" w:hAnsiTheme="minorHAnsi"/>
          <w:b/>
          <w:bCs/>
          <w:sz w:val="22"/>
          <w:szCs w:val="22"/>
          <w:lang w:val="lv-LV"/>
        </w:rPr>
        <w:t>kumu</w:t>
      </w:r>
      <w:r w:rsidR="00310942">
        <w:rPr>
          <w:rFonts w:asciiTheme="minorHAnsi" w:eastAsia="Calibri" w:hAnsiTheme="minorHAnsi"/>
          <w:b/>
          <w:bCs/>
          <w:sz w:val="22"/>
          <w:szCs w:val="22"/>
          <w:lang w:val="lv-LV"/>
        </w:rPr>
        <w:t xml:space="preserve"> programmu, lai arī dažu pasākumu saistība</w:t>
      </w:r>
      <w:r w:rsidR="00B104C7">
        <w:rPr>
          <w:rFonts w:asciiTheme="minorHAnsi" w:eastAsia="Calibri" w:hAnsiTheme="minorHAnsi"/>
          <w:b/>
          <w:bCs/>
          <w:sz w:val="22"/>
          <w:szCs w:val="22"/>
          <w:lang w:val="lv-LV"/>
        </w:rPr>
        <w:t xml:space="preserve"> ar Covid-19 krīzi izskatās nepārliecinoša</w:t>
      </w:r>
      <w:r w:rsidR="00751AF9" w:rsidRPr="0078054E">
        <w:rPr>
          <w:rFonts w:asciiTheme="minorHAnsi" w:eastAsia="Calibri" w:hAnsiTheme="minorHAnsi"/>
          <w:b/>
          <w:bCs/>
          <w:sz w:val="22"/>
          <w:szCs w:val="22"/>
          <w:lang w:val="lv-LV"/>
        </w:rPr>
        <w:t xml:space="preserve">. </w:t>
      </w:r>
      <w:r w:rsidRPr="0078054E">
        <w:rPr>
          <w:rFonts w:asciiTheme="minorHAnsi" w:eastAsia="Calibri" w:hAnsiTheme="minorHAnsi"/>
          <w:b/>
          <w:bCs/>
          <w:sz w:val="22"/>
          <w:szCs w:val="22"/>
          <w:lang w:val="lv-LV"/>
        </w:rPr>
        <w:t xml:space="preserve"> </w:t>
      </w:r>
      <w:r w:rsidR="00310942">
        <w:rPr>
          <w:rFonts w:asciiTheme="minorHAnsi" w:eastAsia="Calibri" w:hAnsiTheme="minorHAnsi"/>
          <w:bCs/>
          <w:sz w:val="22"/>
          <w:szCs w:val="22"/>
          <w:lang w:val="lv-LV"/>
        </w:rPr>
        <w:t xml:space="preserve">Ir izskanējusi kritika </w:t>
      </w:r>
      <w:r w:rsidR="00310942">
        <w:rPr>
          <w:rFonts w:asciiTheme="minorHAnsi" w:eastAsia="Calibri" w:hAnsiTheme="minorHAnsi"/>
          <w:bCs/>
          <w:sz w:val="22"/>
          <w:szCs w:val="22"/>
          <w:lang w:val="lv-LV"/>
        </w:rPr>
        <w:lastRenderedPageBreak/>
        <w:t>par programmas salīdzinoši mazo apjomu</w:t>
      </w:r>
      <w:r w:rsidR="00310942">
        <w:rPr>
          <w:rStyle w:val="FootnoteReference"/>
          <w:rFonts w:asciiTheme="minorHAnsi" w:eastAsia="Calibri" w:hAnsiTheme="minorHAnsi"/>
          <w:bCs/>
          <w:sz w:val="22"/>
          <w:szCs w:val="22"/>
          <w:lang w:val="lv-LV"/>
        </w:rPr>
        <w:footnoteReference w:id="13"/>
      </w:r>
      <w:r w:rsidR="00310942">
        <w:rPr>
          <w:rFonts w:asciiTheme="minorHAnsi" w:eastAsia="Calibri" w:hAnsiTheme="minorHAnsi"/>
          <w:bCs/>
          <w:sz w:val="22"/>
          <w:szCs w:val="22"/>
          <w:lang w:val="lv-LV"/>
        </w:rPr>
        <w:t>. Tomēr ir jāņem vērā, ka starpvalstu atbalsta programmu salīdzinājums ir subjektīvs dažādi pielietotu uzskaites metodoloģi</w:t>
      </w:r>
      <w:r w:rsidR="00931516">
        <w:rPr>
          <w:rFonts w:asciiTheme="minorHAnsi" w:eastAsia="Calibri" w:hAnsiTheme="minorHAnsi"/>
          <w:bCs/>
          <w:sz w:val="22"/>
          <w:szCs w:val="22"/>
          <w:lang w:val="lv-LV"/>
        </w:rPr>
        <w:t>ju</w:t>
      </w:r>
      <w:r w:rsidR="00B104C7">
        <w:rPr>
          <w:rFonts w:asciiTheme="minorHAnsi" w:eastAsia="Calibri" w:hAnsiTheme="minorHAnsi"/>
          <w:bCs/>
          <w:sz w:val="22"/>
          <w:szCs w:val="22"/>
          <w:lang w:val="lv-LV"/>
        </w:rPr>
        <w:t xml:space="preserve"> dēļ, kā arī dažādu</w:t>
      </w:r>
      <w:r w:rsidR="00931516">
        <w:rPr>
          <w:rFonts w:asciiTheme="minorHAnsi" w:eastAsia="Calibri" w:hAnsiTheme="minorHAnsi"/>
          <w:bCs/>
          <w:sz w:val="22"/>
          <w:szCs w:val="22"/>
          <w:lang w:val="lv-LV"/>
        </w:rPr>
        <w:t xml:space="preserve"> pielietoto</w:t>
      </w:r>
      <w:r w:rsidR="00B104C7">
        <w:rPr>
          <w:rFonts w:asciiTheme="minorHAnsi" w:eastAsia="Calibri" w:hAnsiTheme="minorHAnsi"/>
          <w:bCs/>
          <w:sz w:val="22"/>
          <w:szCs w:val="22"/>
          <w:lang w:val="lv-LV"/>
        </w:rPr>
        <w:t xml:space="preserve"> kritēriju – ko uzskatīt par krīzes pasākumu. </w:t>
      </w:r>
      <w:r w:rsidR="00310942">
        <w:rPr>
          <w:rFonts w:asciiTheme="minorHAnsi" w:eastAsia="Calibri" w:hAnsiTheme="minorHAnsi"/>
          <w:bCs/>
          <w:sz w:val="22"/>
          <w:szCs w:val="22"/>
          <w:lang w:val="lv-LV"/>
        </w:rPr>
        <w:t xml:space="preserve">Piedevām, dažādām valstīm atbalsta mehānismi var būt dažādās attīstības stadijās. Piemēram, Latvijā daži no pasākumiem vēl nav pat sākuši darbību.  </w:t>
      </w:r>
      <w:r w:rsidR="00B104C7">
        <w:rPr>
          <w:rFonts w:asciiTheme="minorHAnsi" w:eastAsia="Calibri" w:hAnsiTheme="minorHAnsi"/>
          <w:bCs/>
          <w:sz w:val="22"/>
          <w:szCs w:val="22"/>
          <w:lang w:val="lv-LV"/>
        </w:rPr>
        <w:t>Latvijas programmai arī pēc būtības vajadzētu būt mazāk ambiciozai salīdzinoši pieticīgā vīrusa izplatības dēļ. Objektīvāk atbalsta programmas varēs izvērtē</w:t>
      </w:r>
      <w:r w:rsidR="0042639E">
        <w:rPr>
          <w:rFonts w:asciiTheme="minorHAnsi" w:eastAsia="Calibri" w:hAnsiTheme="minorHAnsi"/>
          <w:bCs/>
          <w:sz w:val="22"/>
          <w:szCs w:val="22"/>
          <w:lang w:val="lv-LV"/>
        </w:rPr>
        <w:t>t pēc krīzes beigām.</w:t>
      </w:r>
    </w:p>
    <w:p w14:paraId="61B5B9E9" w14:textId="77777777" w:rsidR="00931516" w:rsidRPr="00310942" w:rsidRDefault="00931516" w:rsidP="009A1EF2">
      <w:pPr>
        <w:pStyle w:val="ListParagraph"/>
        <w:ind w:left="426"/>
        <w:jc w:val="both"/>
        <w:rPr>
          <w:rFonts w:asciiTheme="minorHAnsi" w:hAnsiTheme="minorHAnsi"/>
          <w:b/>
          <w:bCs/>
          <w:sz w:val="22"/>
          <w:szCs w:val="22"/>
          <w:lang w:val="lv-LV"/>
        </w:rPr>
      </w:pPr>
    </w:p>
    <w:p w14:paraId="039378F1" w14:textId="7E4A6F02" w:rsidR="009A26C1" w:rsidRDefault="005B3208" w:rsidP="009A1EF2">
      <w:pPr>
        <w:pStyle w:val="ListParagraph"/>
        <w:numPr>
          <w:ilvl w:val="0"/>
          <w:numId w:val="2"/>
        </w:numPr>
        <w:ind w:left="426" w:hanging="426"/>
        <w:jc w:val="both"/>
        <w:rPr>
          <w:rFonts w:asciiTheme="minorHAnsi" w:hAnsiTheme="minorHAnsi"/>
          <w:b/>
          <w:bCs/>
          <w:sz w:val="22"/>
          <w:szCs w:val="22"/>
          <w:lang w:val="lv-LV"/>
        </w:rPr>
      </w:pPr>
      <w:r w:rsidRPr="0078054E">
        <w:rPr>
          <w:rFonts w:asciiTheme="minorHAnsi" w:eastAsia="Calibri" w:hAnsiTheme="minorHAnsi"/>
          <w:sz w:val="22"/>
          <w:szCs w:val="22"/>
          <w:lang w:val="lv-LV"/>
        </w:rPr>
        <w:t xml:space="preserve">Zemāk </w:t>
      </w:r>
      <w:r w:rsidR="00D20F0C">
        <w:rPr>
          <w:rFonts w:asciiTheme="minorHAnsi" w:eastAsia="Calibri" w:hAnsiTheme="minorHAnsi"/>
          <w:sz w:val="22"/>
          <w:szCs w:val="22"/>
          <w:lang w:val="lv-LV"/>
        </w:rPr>
        <w:t>5</w:t>
      </w:r>
      <w:r w:rsidRPr="0078054E">
        <w:rPr>
          <w:rFonts w:asciiTheme="minorHAnsi" w:eastAsia="Calibri" w:hAnsiTheme="minorHAnsi"/>
          <w:sz w:val="22"/>
          <w:szCs w:val="22"/>
          <w:lang w:val="lv-LV"/>
        </w:rPr>
        <w:t xml:space="preserve">. tabulā ir apkopoti </w:t>
      </w:r>
      <w:r w:rsidR="00806F52" w:rsidRPr="0078054E">
        <w:rPr>
          <w:rFonts w:asciiTheme="minorHAnsi" w:eastAsia="Calibri" w:hAnsiTheme="minorHAnsi"/>
          <w:sz w:val="22"/>
          <w:szCs w:val="22"/>
          <w:lang w:val="lv-LV"/>
        </w:rPr>
        <w:t xml:space="preserve">Latvijas </w:t>
      </w:r>
      <w:r w:rsidRPr="0078054E">
        <w:rPr>
          <w:rFonts w:asciiTheme="minorHAnsi" w:eastAsia="Calibri" w:hAnsiTheme="minorHAnsi"/>
          <w:sz w:val="22"/>
          <w:szCs w:val="22"/>
          <w:lang w:val="lv-LV"/>
        </w:rPr>
        <w:t xml:space="preserve">atbalsta pasākumu statistika grupējot pa pabalstu saņēmēju grupām. </w:t>
      </w:r>
      <w:r w:rsidR="00C66393" w:rsidRPr="0078054E">
        <w:rPr>
          <w:rFonts w:asciiTheme="minorHAnsi" w:eastAsia="Calibri" w:hAnsiTheme="minorHAnsi"/>
          <w:sz w:val="22"/>
          <w:szCs w:val="22"/>
          <w:lang w:val="lv-LV"/>
        </w:rPr>
        <w:t>Protams, piedāvātie aprēķini ir</w:t>
      </w:r>
      <w:r w:rsidR="00001AF1" w:rsidRPr="0078054E">
        <w:rPr>
          <w:rFonts w:asciiTheme="minorHAnsi" w:eastAsia="Calibri" w:hAnsiTheme="minorHAnsi"/>
          <w:sz w:val="22"/>
          <w:szCs w:val="22"/>
          <w:lang w:val="lv-LV"/>
        </w:rPr>
        <w:t xml:space="preserve"> tikai provizoriski, balstīti uz</w:t>
      </w:r>
      <w:r w:rsidR="00D20F0C">
        <w:rPr>
          <w:rFonts w:asciiTheme="minorHAnsi" w:eastAsia="Calibri" w:hAnsiTheme="minorHAnsi"/>
          <w:sz w:val="22"/>
          <w:szCs w:val="22"/>
          <w:lang w:val="lv-LV"/>
        </w:rPr>
        <w:t xml:space="preserve"> MK lēmumiem un apstiprinātajām programmām</w:t>
      </w:r>
      <w:r w:rsidR="00C66393" w:rsidRPr="0078054E">
        <w:rPr>
          <w:rFonts w:asciiTheme="minorHAnsi" w:eastAsia="Calibri" w:hAnsiTheme="minorHAnsi"/>
          <w:sz w:val="22"/>
          <w:szCs w:val="22"/>
          <w:lang w:val="lv-LV"/>
        </w:rPr>
        <w:t xml:space="preserve">. </w:t>
      </w:r>
      <w:r w:rsidR="009A26C1" w:rsidRPr="0078054E">
        <w:rPr>
          <w:rFonts w:asciiTheme="minorHAnsi" w:hAnsiTheme="minorHAnsi"/>
          <w:sz w:val="22"/>
          <w:szCs w:val="22"/>
          <w:lang w:val="lv-LV"/>
        </w:rPr>
        <w:t xml:space="preserve">Salīdzinoši lielu atbalstu saņem valsts aviopārvadājumu </w:t>
      </w:r>
      <w:r w:rsidR="00D20F0C">
        <w:rPr>
          <w:rFonts w:asciiTheme="minorHAnsi" w:hAnsiTheme="minorHAnsi"/>
          <w:sz w:val="22"/>
          <w:szCs w:val="22"/>
          <w:lang w:val="lv-LV"/>
        </w:rPr>
        <w:t xml:space="preserve">un sabiedriskā transporta </w:t>
      </w:r>
      <w:r w:rsidR="005B12A2">
        <w:rPr>
          <w:rFonts w:asciiTheme="minorHAnsi" w:hAnsiTheme="minorHAnsi"/>
          <w:sz w:val="22"/>
          <w:szCs w:val="22"/>
          <w:lang w:val="lv-LV"/>
        </w:rPr>
        <w:t xml:space="preserve">nozares. </w:t>
      </w:r>
      <w:r w:rsidR="009A26C1" w:rsidRPr="0078054E">
        <w:rPr>
          <w:rFonts w:asciiTheme="minorHAnsi" w:hAnsiTheme="minorHAnsi"/>
          <w:sz w:val="22"/>
          <w:szCs w:val="22"/>
          <w:lang w:val="lv-LV"/>
        </w:rPr>
        <w:t xml:space="preserve"> </w:t>
      </w:r>
      <w:r w:rsidR="005B12A2">
        <w:rPr>
          <w:rFonts w:asciiTheme="minorHAnsi" w:hAnsiTheme="minorHAnsi"/>
          <w:sz w:val="22"/>
          <w:szCs w:val="22"/>
          <w:lang w:val="lv-LV"/>
        </w:rPr>
        <w:t>Salīdzinoši maz līdzekļi tika novirzīti iedzīvotāju sociālajai aizsardzībai</w:t>
      </w:r>
      <w:r w:rsidR="00806F52" w:rsidRPr="0078054E">
        <w:rPr>
          <w:rFonts w:asciiTheme="minorHAnsi" w:hAnsiTheme="minorHAnsi"/>
          <w:sz w:val="22"/>
          <w:szCs w:val="22"/>
          <w:lang w:val="lv-LV"/>
        </w:rPr>
        <w:t xml:space="preserve">. </w:t>
      </w:r>
      <w:r w:rsidR="005B12A2">
        <w:rPr>
          <w:rFonts w:asciiTheme="minorHAnsi" w:hAnsiTheme="minorHAnsi"/>
          <w:sz w:val="22"/>
          <w:szCs w:val="22"/>
          <w:lang w:val="lv-LV"/>
        </w:rPr>
        <w:t xml:space="preserve">Likumdošana nosaka, ka gandrīz </w:t>
      </w:r>
      <w:r w:rsidR="009A26C1" w:rsidRPr="0078054E">
        <w:rPr>
          <w:rFonts w:asciiTheme="minorHAnsi" w:hAnsiTheme="minorHAnsi"/>
          <w:b/>
          <w:bCs/>
          <w:sz w:val="22"/>
          <w:szCs w:val="22"/>
          <w:lang w:val="lv-LV"/>
        </w:rPr>
        <w:t>visiem atbalsta pasākumie</w:t>
      </w:r>
      <w:r w:rsidR="00EE35A1" w:rsidRPr="0078054E">
        <w:rPr>
          <w:rFonts w:asciiTheme="minorHAnsi" w:hAnsiTheme="minorHAnsi"/>
          <w:b/>
          <w:bCs/>
          <w:sz w:val="22"/>
          <w:szCs w:val="22"/>
          <w:lang w:val="lv-LV"/>
        </w:rPr>
        <w:t xml:space="preserve">m ir ierobežots darbības laiks, un tiek plānots, ka </w:t>
      </w:r>
      <w:r w:rsidR="005B12A2">
        <w:rPr>
          <w:rFonts w:asciiTheme="minorHAnsi" w:hAnsiTheme="minorHAnsi"/>
          <w:b/>
          <w:bCs/>
          <w:sz w:val="22"/>
          <w:szCs w:val="22"/>
          <w:lang w:val="lv-LV"/>
        </w:rPr>
        <w:t xml:space="preserve">lielākai daļai no </w:t>
      </w:r>
      <w:r w:rsidR="00EE35A1" w:rsidRPr="0078054E">
        <w:rPr>
          <w:rFonts w:asciiTheme="minorHAnsi" w:hAnsiTheme="minorHAnsi"/>
          <w:b/>
          <w:bCs/>
          <w:sz w:val="22"/>
          <w:szCs w:val="22"/>
          <w:lang w:val="lv-LV"/>
        </w:rPr>
        <w:t xml:space="preserve">tiem būs iespaids tikai uz 2020. gada VVBB. </w:t>
      </w:r>
    </w:p>
    <w:p w14:paraId="1A1FDD70" w14:textId="77777777" w:rsidR="00103C0E" w:rsidRPr="00103C0E" w:rsidRDefault="00103C0E" w:rsidP="009A1EF2">
      <w:pPr>
        <w:jc w:val="both"/>
        <w:rPr>
          <w:rFonts w:asciiTheme="minorHAnsi" w:hAnsiTheme="minorHAnsi"/>
          <w:bCs/>
          <w:sz w:val="22"/>
          <w:szCs w:val="22"/>
          <w:lang w:val="lv-LV"/>
        </w:rPr>
      </w:pPr>
    </w:p>
    <w:p w14:paraId="66BDD27E" w14:textId="07916831" w:rsidR="00204192" w:rsidRPr="0078054E" w:rsidRDefault="0095074F" w:rsidP="009A1EF2">
      <w:pPr>
        <w:pStyle w:val="ListParagraph"/>
        <w:ind w:left="1637"/>
        <w:jc w:val="right"/>
        <w:rPr>
          <w:rFonts w:asciiTheme="minorHAnsi" w:hAnsiTheme="minorHAnsi" w:cstheme="minorHAnsi"/>
          <w:sz w:val="20"/>
          <w:szCs w:val="20"/>
          <w:lang w:val="lv-LV"/>
        </w:rPr>
      </w:pPr>
      <w:r>
        <w:rPr>
          <w:rFonts w:asciiTheme="minorHAnsi" w:eastAsia="Calibri" w:hAnsiTheme="minorHAnsi" w:cstheme="minorHAnsi"/>
          <w:sz w:val="20"/>
          <w:szCs w:val="20"/>
          <w:lang w:val="lv-LV"/>
        </w:rPr>
        <w:t>5</w:t>
      </w:r>
      <w:r w:rsidR="00204192" w:rsidRPr="0078054E">
        <w:rPr>
          <w:rFonts w:asciiTheme="minorHAnsi" w:eastAsia="Calibri" w:hAnsiTheme="minorHAnsi" w:cstheme="minorHAnsi"/>
          <w:sz w:val="20"/>
          <w:szCs w:val="20"/>
          <w:lang w:val="lv-LV"/>
        </w:rPr>
        <w:t xml:space="preserve">.tabula </w:t>
      </w:r>
    </w:p>
    <w:p w14:paraId="1B4109F6" w14:textId="5E6E7285" w:rsidR="00204192" w:rsidRPr="0078054E" w:rsidRDefault="00204192" w:rsidP="009A1EF2">
      <w:pPr>
        <w:jc w:val="center"/>
        <w:rPr>
          <w:rFonts w:asciiTheme="minorHAnsi" w:hAnsiTheme="minorHAnsi" w:cstheme="minorHAnsi"/>
          <w:b/>
          <w:i/>
          <w:sz w:val="20"/>
          <w:szCs w:val="20"/>
          <w:lang w:val="lv-LV"/>
        </w:rPr>
      </w:pPr>
      <w:r w:rsidRPr="0078054E">
        <w:rPr>
          <w:rFonts w:asciiTheme="minorHAnsi" w:eastAsia="Calibri" w:hAnsiTheme="minorHAnsi" w:cstheme="minorBidi"/>
          <w:b/>
          <w:bCs/>
          <w:sz w:val="20"/>
          <w:szCs w:val="20"/>
          <w:lang w:val="lv-LV"/>
        </w:rPr>
        <w:t>Atbalsta pasākumu novērtētā ietekme uz VVBB 2020.</w:t>
      </w:r>
      <w:r w:rsidR="004E1C78">
        <w:rPr>
          <w:rFonts w:asciiTheme="minorHAnsi" w:eastAsia="Calibri" w:hAnsiTheme="minorHAnsi" w:cstheme="minorBidi"/>
          <w:b/>
          <w:bCs/>
          <w:sz w:val="20"/>
          <w:szCs w:val="20"/>
          <w:lang w:val="lv-LV"/>
        </w:rPr>
        <w:t xml:space="preserve">-2021. </w:t>
      </w:r>
      <w:r w:rsidRPr="0078054E">
        <w:rPr>
          <w:rFonts w:asciiTheme="minorHAnsi" w:eastAsia="Calibri" w:hAnsiTheme="minorHAnsi" w:cstheme="minorBidi"/>
          <w:b/>
          <w:bCs/>
          <w:sz w:val="20"/>
          <w:szCs w:val="20"/>
          <w:lang w:val="lv-LV"/>
        </w:rPr>
        <w:t>gadā un to īpatsvars (%)</w:t>
      </w:r>
    </w:p>
    <w:tbl>
      <w:tblPr>
        <w:tblStyle w:val="TableGrid"/>
        <w:tblW w:w="93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023"/>
        <w:gridCol w:w="1063"/>
        <w:gridCol w:w="1063"/>
        <w:gridCol w:w="1064"/>
        <w:gridCol w:w="1063"/>
        <w:gridCol w:w="1064"/>
      </w:tblGrid>
      <w:tr w:rsidR="00D20F0C" w:rsidRPr="00D20F0C" w14:paraId="1D7ACA24" w14:textId="77777777" w:rsidTr="72B40892">
        <w:tc>
          <w:tcPr>
            <w:tcW w:w="4023" w:type="dxa"/>
            <w:shd w:val="clear" w:color="auto" w:fill="auto"/>
            <w:vAlign w:val="center"/>
            <w:hideMark/>
          </w:tcPr>
          <w:p w14:paraId="02AE726F" w14:textId="77777777" w:rsidR="00D20F0C" w:rsidRPr="00D20F0C" w:rsidRDefault="00D20F0C" w:rsidP="009A1EF2">
            <w:pPr>
              <w:jc w:val="both"/>
              <w:rPr>
                <w:rFonts w:asciiTheme="minorHAnsi" w:hAnsiTheme="minorHAnsi"/>
                <w:b/>
                <w:bCs/>
                <w:sz w:val="22"/>
                <w:szCs w:val="22"/>
                <w:lang w:val="lv-LV"/>
              </w:rPr>
            </w:pPr>
            <w:r w:rsidRPr="00D20F0C">
              <w:rPr>
                <w:rFonts w:asciiTheme="minorHAnsi" w:hAnsiTheme="minorHAnsi"/>
                <w:b/>
                <w:bCs/>
                <w:sz w:val="22"/>
                <w:szCs w:val="22"/>
                <w:lang w:val="lv-LV"/>
              </w:rPr>
              <w:t>Pasākums</w:t>
            </w:r>
          </w:p>
        </w:tc>
        <w:tc>
          <w:tcPr>
            <w:tcW w:w="1063" w:type="dxa"/>
            <w:shd w:val="clear" w:color="auto" w:fill="auto"/>
            <w:vAlign w:val="center"/>
          </w:tcPr>
          <w:p w14:paraId="7968C7E4" w14:textId="77777777" w:rsidR="00D20F0C" w:rsidRPr="00D20F0C" w:rsidRDefault="00D20F0C" w:rsidP="009A1EF2">
            <w:pPr>
              <w:jc w:val="both"/>
              <w:rPr>
                <w:rFonts w:asciiTheme="minorHAnsi" w:hAnsiTheme="minorHAnsi"/>
                <w:b/>
                <w:bCs/>
                <w:sz w:val="22"/>
                <w:szCs w:val="22"/>
                <w:lang w:val="lv-LV"/>
              </w:rPr>
            </w:pPr>
            <w:r w:rsidRPr="00D20F0C">
              <w:rPr>
                <w:rFonts w:asciiTheme="minorHAnsi" w:hAnsiTheme="minorHAnsi"/>
                <w:b/>
                <w:bCs/>
                <w:sz w:val="22"/>
                <w:szCs w:val="22"/>
                <w:lang w:val="lv-LV"/>
              </w:rPr>
              <w:t>VVBB 2020/2021  (milj. eiro)*</w:t>
            </w:r>
          </w:p>
        </w:tc>
        <w:tc>
          <w:tcPr>
            <w:tcW w:w="1063" w:type="dxa"/>
            <w:vAlign w:val="center"/>
          </w:tcPr>
          <w:p w14:paraId="43C95F2E" w14:textId="77777777" w:rsidR="00D20F0C" w:rsidRPr="00D20F0C" w:rsidRDefault="00D20F0C" w:rsidP="009A1EF2">
            <w:pPr>
              <w:jc w:val="both"/>
              <w:rPr>
                <w:rFonts w:asciiTheme="minorHAnsi" w:hAnsiTheme="minorHAnsi"/>
                <w:b/>
                <w:bCs/>
                <w:sz w:val="22"/>
                <w:szCs w:val="22"/>
                <w:lang w:val="lv-LV"/>
              </w:rPr>
            </w:pPr>
            <w:r w:rsidRPr="00D20F0C">
              <w:rPr>
                <w:rFonts w:asciiTheme="minorHAnsi" w:hAnsiTheme="minorHAnsi"/>
                <w:b/>
                <w:bCs/>
                <w:sz w:val="22"/>
                <w:szCs w:val="22"/>
                <w:lang w:val="lv-LV"/>
              </w:rPr>
              <w:t>ES fondu pārdales (bez ietekmes uz VVBB)</w:t>
            </w:r>
          </w:p>
        </w:tc>
        <w:tc>
          <w:tcPr>
            <w:tcW w:w="1064" w:type="dxa"/>
            <w:shd w:val="clear" w:color="auto" w:fill="auto"/>
            <w:vAlign w:val="center"/>
          </w:tcPr>
          <w:p w14:paraId="1F55411A" w14:textId="77777777" w:rsidR="00D20F0C" w:rsidRPr="00D20F0C" w:rsidRDefault="00D20F0C" w:rsidP="009A1EF2">
            <w:pPr>
              <w:jc w:val="both"/>
              <w:rPr>
                <w:rFonts w:asciiTheme="minorHAnsi" w:hAnsiTheme="minorHAnsi"/>
                <w:b/>
                <w:bCs/>
                <w:sz w:val="22"/>
                <w:szCs w:val="22"/>
                <w:lang w:val="lv-LV"/>
              </w:rPr>
            </w:pPr>
            <w:r w:rsidRPr="00D20F0C">
              <w:rPr>
                <w:rFonts w:asciiTheme="minorHAnsi" w:hAnsiTheme="minorHAnsi"/>
                <w:b/>
                <w:bCs/>
                <w:sz w:val="22"/>
                <w:szCs w:val="22"/>
                <w:lang w:val="lv-LV"/>
              </w:rPr>
              <w:t>Pasāku-mi bez ietekmes uz VVBB</w:t>
            </w:r>
          </w:p>
        </w:tc>
        <w:tc>
          <w:tcPr>
            <w:tcW w:w="1063" w:type="dxa"/>
            <w:shd w:val="clear" w:color="auto" w:fill="auto"/>
            <w:vAlign w:val="center"/>
          </w:tcPr>
          <w:p w14:paraId="24AF50AC" w14:textId="77777777" w:rsidR="00D20F0C" w:rsidRPr="00D20F0C" w:rsidRDefault="00D20F0C" w:rsidP="009A1EF2">
            <w:pPr>
              <w:jc w:val="both"/>
              <w:rPr>
                <w:rFonts w:asciiTheme="minorHAnsi" w:hAnsiTheme="minorHAnsi"/>
                <w:b/>
                <w:bCs/>
                <w:sz w:val="22"/>
                <w:szCs w:val="22"/>
                <w:lang w:val="lv-LV"/>
              </w:rPr>
            </w:pPr>
            <w:r w:rsidRPr="00D20F0C">
              <w:rPr>
                <w:rFonts w:asciiTheme="minorHAnsi" w:hAnsiTheme="minorHAnsi"/>
                <w:b/>
                <w:bCs/>
                <w:sz w:val="22"/>
                <w:szCs w:val="22"/>
                <w:lang w:val="lv-LV"/>
              </w:rPr>
              <w:t>Kopā</w:t>
            </w:r>
          </w:p>
        </w:tc>
        <w:tc>
          <w:tcPr>
            <w:tcW w:w="1064" w:type="dxa"/>
            <w:shd w:val="clear" w:color="auto" w:fill="auto"/>
            <w:vAlign w:val="center"/>
          </w:tcPr>
          <w:p w14:paraId="74B6A23C" w14:textId="77777777" w:rsidR="00D20F0C" w:rsidRPr="00D20F0C" w:rsidRDefault="00D20F0C" w:rsidP="009A1EF2">
            <w:pPr>
              <w:jc w:val="both"/>
              <w:rPr>
                <w:rFonts w:asciiTheme="minorHAnsi" w:hAnsiTheme="minorHAnsi"/>
                <w:b/>
                <w:bCs/>
                <w:sz w:val="22"/>
                <w:szCs w:val="22"/>
                <w:lang w:val="lv-LV"/>
              </w:rPr>
            </w:pPr>
            <w:r w:rsidRPr="00D20F0C">
              <w:rPr>
                <w:rFonts w:asciiTheme="minorHAnsi" w:hAnsiTheme="minorHAnsi"/>
                <w:b/>
                <w:bCs/>
                <w:sz w:val="22"/>
                <w:szCs w:val="22"/>
                <w:lang w:val="lv-LV"/>
              </w:rPr>
              <w:t>Kopējā atbalsta īpatsvars %</w:t>
            </w:r>
          </w:p>
        </w:tc>
      </w:tr>
      <w:tr w:rsidR="00D20F0C" w:rsidRPr="00D20F0C" w14:paraId="65816EF0" w14:textId="77777777" w:rsidTr="72B40892">
        <w:tc>
          <w:tcPr>
            <w:tcW w:w="4023" w:type="dxa"/>
            <w:shd w:val="clear" w:color="auto" w:fill="BDD6EE" w:themeFill="accent1" w:themeFillTint="66"/>
            <w:hideMark/>
          </w:tcPr>
          <w:p w14:paraId="0AA981C0" w14:textId="77777777" w:rsidR="00D20F0C" w:rsidRPr="005B12A2" w:rsidRDefault="00D20F0C" w:rsidP="009A1EF2">
            <w:pPr>
              <w:jc w:val="both"/>
              <w:rPr>
                <w:rFonts w:asciiTheme="minorHAnsi" w:hAnsiTheme="minorHAnsi"/>
                <w:b/>
                <w:bCs/>
                <w:sz w:val="22"/>
                <w:szCs w:val="22"/>
                <w:lang w:val="lv-LV"/>
              </w:rPr>
            </w:pPr>
            <w:r w:rsidRPr="005B12A2">
              <w:rPr>
                <w:rFonts w:asciiTheme="minorHAnsi" w:hAnsiTheme="minorHAnsi"/>
                <w:b/>
                <w:bCs/>
                <w:sz w:val="22"/>
                <w:szCs w:val="22"/>
                <w:lang w:val="lv-LV"/>
              </w:rPr>
              <w:t>Atbalsts iedzīvotājiem un darbaspēkam</w:t>
            </w:r>
          </w:p>
        </w:tc>
        <w:tc>
          <w:tcPr>
            <w:tcW w:w="1063" w:type="dxa"/>
            <w:shd w:val="clear" w:color="auto" w:fill="BDD6EE" w:themeFill="accent1" w:themeFillTint="66"/>
          </w:tcPr>
          <w:p w14:paraId="23E35ED8" w14:textId="607D9078" w:rsidR="00D20F0C" w:rsidRPr="005B12A2" w:rsidRDefault="00BC7F6F" w:rsidP="009A1EF2">
            <w:pPr>
              <w:jc w:val="both"/>
              <w:rPr>
                <w:rFonts w:asciiTheme="minorHAnsi" w:hAnsiTheme="minorHAnsi"/>
                <w:b/>
                <w:bCs/>
                <w:sz w:val="22"/>
                <w:szCs w:val="22"/>
                <w:lang w:val="lv-LV"/>
              </w:rPr>
            </w:pPr>
            <w:r>
              <w:rPr>
                <w:rFonts w:asciiTheme="minorHAnsi" w:hAnsiTheme="minorHAnsi"/>
                <w:b/>
                <w:bCs/>
                <w:sz w:val="22"/>
                <w:szCs w:val="22"/>
                <w:lang w:val="lv-LV"/>
              </w:rPr>
              <w:t>155.0</w:t>
            </w:r>
          </w:p>
        </w:tc>
        <w:tc>
          <w:tcPr>
            <w:tcW w:w="1063" w:type="dxa"/>
            <w:shd w:val="clear" w:color="auto" w:fill="BDD6EE" w:themeFill="accent1" w:themeFillTint="66"/>
            <w:vAlign w:val="bottom"/>
          </w:tcPr>
          <w:p w14:paraId="64BA51DE" w14:textId="77777777" w:rsidR="00D20F0C" w:rsidRPr="005B12A2" w:rsidRDefault="00D20F0C" w:rsidP="009A1EF2">
            <w:pPr>
              <w:jc w:val="both"/>
              <w:rPr>
                <w:rFonts w:asciiTheme="minorHAnsi" w:hAnsiTheme="minorHAnsi"/>
                <w:b/>
                <w:bCs/>
                <w:sz w:val="22"/>
                <w:szCs w:val="22"/>
                <w:lang w:val="lv-LV"/>
              </w:rPr>
            </w:pPr>
            <w:r w:rsidRPr="005B12A2">
              <w:rPr>
                <w:rFonts w:asciiTheme="minorHAnsi" w:hAnsiTheme="minorHAnsi"/>
                <w:b/>
                <w:bCs/>
                <w:sz w:val="22"/>
                <w:szCs w:val="22"/>
                <w:lang w:val="lv-LV"/>
              </w:rPr>
              <w:t>88.7</w:t>
            </w:r>
          </w:p>
        </w:tc>
        <w:tc>
          <w:tcPr>
            <w:tcW w:w="1064" w:type="dxa"/>
            <w:shd w:val="clear" w:color="auto" w:fill="BDD6EE" w:themeFill="accent1" w:themeFillTint="66"/>
          </w:tcPr>
          <w:p w14:paraId="5AE3A3D6" w14:textId="77777777" w:rsidR="00D20F0C" w:rsidRPr="005B12A2" w:rsidRDefault="00D20F0C" w:rsidP="009A1EF2">
            <w:pPr>
              <w:jc w:val="both"/>
              <w:rPr>
                <w:rFonts w:asciiTheme="minorHAnsi" w:hAnsiTheme="minorHAnsi"/>
                <w:b/>
                <w:bCs/>
                <w:sz w:val="22"/>
                <w:szCs w:val="22"/>
                <w:lang w:val="lv-LV"/>
              </w:rPr>
            </w:pPr>
            <w:r w:rsidRPr="005B12A2">
              <w:rPr>
                <w:rFonts w:asciiTheme="minorHAnsi" w:hAnsiTheme="minorHAnsi"/>
                <w:b/>
                <w:bCs/>
                <w:sz w:val="22"/>
                <w:szCs w:val="22"/>
                <w:lang w:val="lv-LV"/>
              </w:rPr>
              <w:t>19.7</w:t>
            </w:r>
          </w:p>
        </w:tc>
        <w:tc>
          <w:tcPr>
            <w:tcW w:w="1063" w:type="dxa"/>
            <w:shd w:val="clear" w:color="auto" w:fill="BDD6EE" w:themeFill="accent1" w:themeFillTint="66"/>
          </w:tcPr>
          <w:p w14:paraId="6A11420D" w14:textId="3C14A363" w:rsidR="00D20F0C" w:rsidRPr="005B12A2" w:rsidRDefault="00581D60" w:rsidP="009A1EF2">
            <w:pPr>
              <w:jc w:val="both"/>
              <w:rPr>
                <w:rFonts w:asciiTheme="minorHAnsi" w:hAnsiTheme="minorHAnsi"/>
                <w:b/>
                <w:bCs/>
                <w:sz w:val="22"/>
                <w:szCs w:val="22"/>
                <w:lang w:val="lv-LV"/>
              </w:rPr>
            </w:pPr>
            <w:r>
              <w:rPr>
                <w:rFonts w:asciiTheme="minorHAnsi" w:hAnsiTheme="minorHAnsi"/>
                <w:b/>
                <w:bCs/>
                <w:sz w:val="22"/>
                <w:szCs w:val="22"/>
                <w:lang w:val="lv-LV"/>
              </w:rPr>
              <w:t>264</w:t>
            </w:r>
            <w:r w:rsidR="00D20F0C" w:rsidRPr="005B12A2">
              <w:rPr>
                <w:rFonts w:asciiTheme="minorHAnsi" w:hAnsiTheme="minorHAnsi"/>
                <w:b/>
                <w:bCs/>
                <w:sz w:val="22"/>
                <w:szCs w:val="22"/>
                <w:lang w:val="lv-LV"/>
              </w:rPr>
              <w:t>.9</w:t>
            </w:r>
          </w:p>
        </w:tc>
        <w:tc>
          <w:tcPr>
            <w:tcW w:w="1064" w:type="dxa"/>
            <w:shd w:val="clear" w:color="auto" w:fill="BDD6EE" w:themeFill="accent1" w:themeFillTint="66"/>
          </w:tcPr>
          <w:p w14:paraId="331FC97C" w14:textId="0775AF3D" w:rsidR="00D20F0C" w:rsidRPr="005B12A2" w:rsidRDefault="00D20F0C" w:rsidP="009A1EF2">
            <w:pPr>
              <w:jc w:val="both"/>
              <w:rPr>
                <w:rFonts w:asciiTheme="minorHAnsi" w:hAnsiTheme="minorHAnsi"/>
                <w:b/>
                <w:bCs/>
                <w:sz w:val="22"/>
                <w:szCs w:val="22"/>
                <w:lang w:val="lv-LV"/>
              </w:rPr>
            </w:pPr>
            <w:r w:rsidRPr="005B12A2">
              <w:rPr>
                <w:rFonts w:asciiTheme="minorHAnsi" w:hAnsiTheme="minorHAnsi"/>
                <w:b/>
                <w:bCs/>
                <w:sz w:val="22"/>
                <w:szCs w:val="22"/>
                <w:lang w:val="lv-LV"/>
              </w:rPr>
              <w:t>1</w:t>
            </w:r>
            <w:r w:rsidR="00581D60">
              <w:rPr>
                <w:rFonts w:asciiTheme="minorHAnsi" w:hAnsiTheme="minorHAnsi"/>
                <w:b/>
                <w:bCs/>
                <w:sz w:val="22"/>
                <w:szCs w:val="22"/>
                <w:lang w:val="lv-LV"/>
              </w:rPr>
              <w:t>1.9</w:t>
            </w:r>
          </w:p>
        </w:tc>
      </w:tr>
      <w:tr w:rsidR="00D20F0C" w:rsidRPr="00D20F0C" w14:paraId="12C7271B" w14:textId="77777777" w:rsidTr="72B40892">
        <w:tc>
          <w:tcPr>
            <w:tcW w:w="4023" w:type="dxa"/>
            <w:hideMark/>
          </w:tcPr>
          <w:p w14:paraId="3189E5AC" w14:textId="77777777" w:rsidR="00D20F0C" w:rsidRPr="00D20F0C" w:rsidRDefault="00D20F0C" w:rsidP="72B40892">
            <w:pPr>
              <w:jc w:val="both"/>
              <w:rPr>
                <w:rFonts w:asciiTheme="minorHAnsi" w:hAnsiTheme="minorHAnsi"/>
                <w:sz w:val="22"/>
                <w:szCs w:val="22"/>
                <w:lang w:val="lv-LV"/>
              </w:rPr>
            </w:pPr>
            <w:r w:rsidRPr="72B40892">
              <w:rPr>
                <w:rFonts w:asciiTheme="minorHAnsi" w:hAnsiTheme="minorHAnsi"/>
                <w:sz w:val="22"/>
                <w:szCs w:val="22"/>
                <w:lang w:val="lv-LV"/>
              </w:rPr>
              <w:t xml:space="preserve">Dīkstāves (arī palīdzības) pabalsts </w:t>
            </w:r>
          </w:p>
        </w:tc>
        <w:tc>
          <w:tcPr>
            <w:tcW w:w="1063" w:type="dxa"/>
          </w:tcPr>
          <w:p w14:paraId="123CD453" w14:textId="3E5CDA5D" w:rsidR="00D20F0C" w:rsidRPr="00D20F0C" w:rsidRDefault="00BC7F6F" w:rsidP="72B40892">
            <w:pPr>
              <w:jc w:val="both"/>
              <w:rPr>
                <w:rFonts w:asciiTheme="minorHAnsi" w:hAnsiTheme="minorHAnsi"/>
                <w:sz w:val="22"/>
                <w:szCs w:val="22"/>
                <w:lang w:val="lv-LV"/>
              </w:rPr>
            </w:pPr>
            <w:r w:rsidRPr="72B40892">
              <w:rPr>
                <w:rFonts w:asciiTheme="minorHAnsi" w:hAnsiTheme="minorHAnsi"/>
                <w:sz w:val="22"/>
                <w:szCs w:val="22"/>
                <w:lang w:val="lv-LV"/>
              </w:rPr>
              <w:t>56.9</w:t>
            </w:r>
          </w:p>
        </w:tc>
        <w:tc>
          <w:tcPr>
            <w:tcW w:w="1063" w:type="dxa"/>
            <w:vAlign w:val="bottom"/>
          </w:tcPr>
          <w:p w14:paraId="42AA29A7" w14:textId="77777777" w:rsidR="00D20F0C" w:rsidRPr="00D20F0C" w:rsidRDefault="00D20F0C" w:rsidP="72B40892">
            <w:pPr>
              <w:jc w:val="both"/>
              <w:rPr>
                <w:rFonts w:asciiTheme="minorHAnsi" w:hAnsiTheme="minorHAnsi"/>
                <w:sz w:val="22"/>
                <w:szCs w:val="22"/>
                <w:lang w:val="lv-LV"/>
              </w:rPr>
            </w:pPr>
          </w:p>
        </w:tc>
        <w:tc>
          <w:tcPr>
            <w:tcW w:w="1064" w:type="dxa"/>
          </w:tcPr>
          <w:p w14:paraId="150CB9AC" w14:textId="77777777" w:rsidR="00D20F0C" w:rsidRPr="00D20F0C" w:rsidRDefault="00D20F0C" w:rsidP="72B40892">
            <w:pPr>
              <w:jc w:val="both"/>
              <w:rPr>
                <w:rFonts w:asciiTheme="minorHAnsi" w:hAnsiTheme="minorHAnsi"/>
                <w:sz w:val="22"/>
                <w:szCs w:val="22"/>
                <w:lang w:val="lv-LV"/>
              </w:rPr>
            </w:pPr>
          </w:p>
        </w:tc>
        <w:tc>
          <w:tcPr>
            <w:tcW w:w="1063" w:type="dxa"/>
          </w:tcPr>
          <w:p w14:paraId="243BB255" w14:textId="4D8A5BB0" w:rsidR="00D20F0C" w:rsidRPr="00D20F0C" w:rsidRDefault="00BC7F6F" w:rsidP="72B40892">
            <w:pPr>
              <w:jc w:val="both"/>
              <w:rPr>
                <w:rFonts w:asciiTheme="minorHAnsi" w:hAnsiTheme="minorHAnsi"/>
                <w:sz w:val="22"/>
                <w:szCs w:val="22"/>
                <w:lang w:val="lv-LV"/>
              </w:rPr>
            </w:pPr>
            <w:r w:rsidRPr="72B40892">
              <w:rPr>
                <w:rFonts w:asciiTheme="minorHAnsi" w:hAnsiTheme="minorHAnsi"/>
                <w:sz w:val="22"/>
                <w:szCs w:val="22"/>
                <w:lang w:val="lv-LV"/>
              </w:rPr>
              <w:t>56.9</w:t>
            </w:r>
          </w:p>
        </w:tc>
        <w:tc>
          <w:tcPr>
            <w:tcW w:w="1064" w:type="dxa"/>
          </w:tcPr>
          <w:p w14:paraId="21353F39" w14:textId="4BE45B80" w:rsidR="00D20F0C" w:rsidRPr="00D20F0C" w:rsidRDefault="2D389D1D" w:rsidP="72B40892">
            <w:pPr>
              <w:jc w:val="both"/>
              <w:rPr>
                <w:rFonts w:asciiTheme="minorHAnsi" w:hAnsiTheme="minorHAnsi"/>
                <w:sz w:val="22"/>
                <w:szCs w:val="22"/>
                <w:lang w:val="lv-LV"/>
              </w:rPr>
            </w:pPr>
            <w:r w:rsidRPr="72B40892">
              <w:rPr>
                <w:rFonts w:asciiTheme="minorHAnsi" w:hAnsiTheme="minorHAnsi"/>
                <w:sz w:val="22"/>
                <w:szCs w:val="22"/>
                <w:lang w:val="lv-LV"/>
              </w:rPr>
              <w:t>2.6</w:t>
            </w:r>
          </w:p>
        </w:tc>
      </w:tr>
      <w:tr w:rsidR="00D20F0C" w:rsidRPr="00D20F0C" w14:paraId="68D6657D" w14:textId="77777777" w:rsidTr="72B40892">
        <w:tc>
          <w:tcPr>
            <w:tcW w:w="4023" w:type="dxa"/>
            <w:hideMark/>
          </w:tcPr>
          <w:p w14:paraId="7D33EF87" w14:textId="77777777" w:rsidR="00D20F0C" w:rsidRPr="00D20F0C" w:rsidRDefault="00D20F0C" w:rsidP="72B40892">
            <w:pPr>
              <w:jc w:val="both"/>
              <w:rPr>
                <w:rFonts w:asciiTheme="minorHAnsi" w:hAnsiTheme="minorHAnsi"/>
                <w:sz w:val="22"/>
                <w:szCs w:val="22"/>
                <w:lang w:val="lv-LV"/>
              </w:rPr>
            </w:pPr>
            <w:r w:rsidRPr="72B40892">
              <w:rPr>
                <w:rFonts w:asciiTheme="minorHAnsi" w:hAnsiTheme="minorHAnsi"/>
                <w:sz w:val="22"/>
                <w:szCs w:val="22"/>
                <w:lang w:val="lv-LV"/>
              </w:rPr>
              <w:t>Dažāda veida pabalsti – bezdarbnieka, ģimenēm, bērniem u.tml.</w:t>
            </w:r>
          </w:p>
        </w:tc>
        <w:tc>
          <w:tcPr>
            <w:tcW w:w="1063" w:type="dxa"/>
          </w:tcPr>
          <w:p w14:paraId="4C78FB23" w14:textId="77777777" w:rsidR="00D20F0C" w:rsidRPr="00D20F0C" w:rsidRDefault="00D20F0C" w:rsidP="72B40892">
            <w:pPr>
              <w:jc w:val="both"/>
              <w:rPr>
                <w:rFonts w:asciiTheme="minorHAnsi" w:hAnsiTheme="minorHAnsi"/>
                <w:sz w:val="22"/>
                <w:szCs w:val="22"/>
                <w:lang w:val="lv-LV"/>
              </w:rPr>
            </w:pPr>
          </w:p>
          <w:p w14:paraId="58475989" w14:textId="00EB6A77" w:rsidR="00D20F0C" w:rsidRPr="00D20F0C" w:rsidRDefault="005B12A2" w:rsidP="72B40892">
            <w:pPr>
              <w:jc w:val="both"/>
              <w:rPr>
                <w:rFonts w:asciiTheme="minorHAnsi" w:hAnsiTheme="minorHAnsi"/>
                <w:sz w:val="22"/>
                <w:szCs w:val="22"/>
                <w:lang w:val="lv-LV"/>
              </w:rPr>
            </w:pPr>
            <w:r w:rsidRPr="72B40892">
              <w:rPr>
                <w:rFonts w:asciiTheme="minorHAnsi" w:hAnsiTheme="minorHAnsi"/>
                <w:sz w:val="22"/>
                <w:szCs w:val="22"/>
                <w:lang w:val="lv-LV"/>
              </w:rPr>
              <w:t>25</w:t>
            </w:r>
            <w:r w:rsidR="00D20F0C" w:rsidRPr="72B40892">
              <w:rPr>
                <w:rFonts w:asciiTheme="minorHAnsi" w:hAnsiTheme="minorHAnsi"/>
                <w:sz w:val="22"/>
                <w:szCs w:val="22"/>
                <w:lang w:val="lv-LV"/>
              </w:rPr>
              <w:t>.9</w:t>
            </w:r>
          </w:p>
        </w:tc>
        <w:tc>
          <w:tcPr>
            <w:tcW w:w="1063" w:type="dxa"/>
            <w:vAlign w:val="bottom"/>
          </w:tcPr>
          <w:p w14:paraId="4442C538" w14:textId="77777777" w:rsidR="00D20F0C" w:rsidRPr="00D20F0C" w:rsidRDefault="00D20F0C" w:rsidP="72B40892">
            <w:pPr>
              <w:jc w:val="both"/>
              <w:rPr>
                <w:rFonts w:asciiTheme="minorHAnsi" w:hAnsiTheme="minorHAnsi"/>
                <w:sz w:val="22"/>
                <w:szCs w:val="22"/>
                <w:lang w:val="lv-LV"/>
              </w:rPr>
            </w:pPr>
          </w:p>
        </w:tc>
        <w:tc>
          <w:tcPr>
            <w:tcW w:w="1064" w:type="dxa"/>
          </w:tcPr>
          <w:p w14:paraId="5094D720" w14:textId="77777777" w:rsidR="00D20F0C" w:rsidRPr="00D20F0C" w:rsidRDefault="00D20F0C" w:rsidP="72B40892">
            <w:pPr>
              <w:jc w:val="both"/>
              <w:rPr>
                <w:rFonts w:asciiTheme="minorHAnsi" w:hAnsiTheme="minorHAnsi"/>
                <w:sz w:val="22"/>
                <w:szCs w:val="22"/>
                <w:lang w:val="lv-LV"/>
              </w:rPr>
            </w:pPr>
          </w:p>
        </w:tc>
        <w:tc>
          <w:tcPr>
            <w:tcW w:w="1063" w:type="dxa"/>
          </w:tcPr>
          <w:p w14:paraId="790DC209" w14:textId="77777777" w:rsidR="00D20F0C" w:rsidRPr="00D20F0C" w:rsidRDefault="00D20F0C" w:rsidP="72B40892">
            <w:pPr>
              <w:jc w:val="both"/>
              <w:rPr>
                <w:rFonts w:asciiTheme="minorHAnsi" w:hAnsiTheme="minorHAnsi"/>
                <w:sz w:val="22"/>
                <w:szCs w:val="22"/>
                <w:lang w:val="lv-LV"/>
              </w:rPr>
            </w:pPr>
          </w:p>
          <w:p w14:paraId="1FD9C430" w14:textId="77777777" w:rsidR="00D20F0C" w:rsidRPr="00D20F0C" w:rsidRDefault="00D20F0C" w:rsidP="72B40892">
            <w:pPr>
              <w:jc w:val="both"/>
              <w:rPr>
                <w:rFonts w:asciiTheme="minorHAnsi" w:hAnsiTheme="minorHAnsi"/>
                <w:sz w:val="22"/>
                <w:szCs w:val="22"/>
                <w:lang w:val="lv-LV"/>
              </w:rPr>
            </w:pPr>
            <w:r w:rsidRPr="72B40892">
              <w:rPr>
                <w:rFonts w:asciiTheme="minorHAnsi" w:hAnsiTheme="minorHAnsi"/>
                <w:sz w:val="22"/>
                <w:szCs w:val="22"/>
                <w:lang w:val="lv-LV"/>
              </w:rPr>
              <w:t>18.9</w:t>
            </w:r>
          </w:p>
        </w:tc>
        <w:tc>
          <w:tcPr>
            <w:tcW w:w="1064" w:type="dxa"/>
          </w:tcPr>
          <w:p w14:paraId="00483517" w14:textId="77777777" w:rsidR="00D20F0C" w:rsidRPr="00D20F0C" w:rsidRDefault="00D20F0C" w:rsidP="72B40892">
            <w:pPr>
              <w:jc w:val="both"/>
              <w:rPr>
                <w:rFonts w:asciiTheme="minorHAnsi" w:hAnsiTheme="minorHAnsi"/>
                <w:sz w:val="22"/>
                <w:szCs w:val="22"/>
                <w:lang w:val="lv-LV"/>
              </w:rPr>
            </w:pPr>
          </w:p>
          <w:p w14:paraId="6D296A0D" w14:textId="1787EA73" w:rsidR="00D20F0C" w:rsidRPr="00D20F0C" w:rsidRDefault="00D20F0C" w:rsidP="72B40892">
            <w:pPr>
              <w:jc w:val="both"/>
              <w:rPr>
                <w:rFonts w:asciiTheme="minorHAnsi" w:hAnsiTheme="minorHAnsi"/>
                <w:sz w:val="22"/>
                <w:szCs w:val="22"/>
                <w:lang w:val="lv-LV"/>
              </w:rPr>
            </w:pPr>
            <w:r w:rsidRPr="72B40892">
              <w:rPr>
                <w:rFonts w:asciiTheme="minorHAnsi" w:hAnsiTheme="minorHAnsi"/>
                <w:sz w:val="22"/>
                <w:szCs w:val="22"/>
                <w:lang w:val="lv-LV"/>
              </w:rPr>
              <w:t>1</w:t>
            </w:r>
            <w:r w:rsidR="005B12A2" w:rsidRPr="72B40892">
              <w:rPr>
                <w:rFonts w:asciiTheme="minorHAnsi" w:hAnsiTheme="minorHAnsi"/>
                <w:sz w:val="22"/>
                <w:szCs w:val="22"/>
                <w:lang w:val="lv-LV"/>
              </w:rPr>
              <w:t>.2</w:t>
            </w:r>
          </w:p>
        </w:tc>
      </w:tr>
      <w:tr w:rsidR="00D20F0C" w:rsidRPr="00D20F0C" w14:paraId="71277F5E" w14:textId="77777777" w:rsidTr="72B40892">
        <w:tc>
          <w:tcPr>
            <w:tcW w:w="4023" w:type="dxa"/>
            <w:hideMark/>
          </w:tcPr>
          <w:p w14:paraId="040062E0" w14:textId="3EC2F89E" w:rsidR="00D20F0C" w:rsidRPr="00D20F0C" w:rsidRDefault="55F18CBB" w:rsidP="72B40892">
            <w:pPr>
              <w:jc w:val="both"/>
              <w:rPr>
                <w:rFonts w:asciiTheme="minorHAnsi" w:hAnsiTheme="minorHAnsi"/>
                <w:sz w:val="22"/>
                <w:szCs w:val="22"/>
                <w:lang w:val="lv-LV"/>
              </w:rPr>
            </w:pPr>
            <w:r w:rsidRPr="72B40892">
              <w:rPr>
                <w:rFonts w:asciiTheme="minorHAnsi" w:hAnsiTheme="minorHAnsi"/>
                <w:sz w:val="22"/>
                <w:szCs w:val="22"/>
                <w:lang w:val="lv-LV"/>
              </w:rPr>
              <w:t>Cilvēk kapitāls un demogrāfija</w:t>
            </w:r>
            <w:r w:rsidR="005B12A2" w:rsidRPr="72B40892">
              <w:rPr>
                <w:rFonts w:asciiTheme="minorHAnsi" w:hAnsiTheme="minorHAnsi"/>
                <w:sz w:val="22"/>
                <w:szCs w:val="22"/>
                <w:lang w:val="lv-LV"/>
              </w:rPr>
              <w:t>, d</w:t>
            </w:r>
            <w:r w:rsidR="00D20F0C" w:rsidRPr="72B40892">
              <w:rPr>
                <w:rFonts w:asciiTheme="minorHAnsi" w:hAnsiTheme="minorHAnsi"/>
                <w:sz w:val="22"/>
                <w:szCs w:val="22"/>
                <w:lang w:val="lv-LV"/>
              </w:rPr>
              <w:t>arbinieku pārkvalifikācija</w:t>
            </w:r>
          </w:p>
        </w:tc>
        <w:tc>
          <w:tcPr>
            <w:tcW w:w="1063" w:type="dxa"/>
          </w:tcPr>
          <w:p w14:paraId="1DDDE586" w14:textId="33DC7C81" w:rsidR="00D20F0C" w:rsidRPr="00D20F0C" w:rsidRDefault="3C347B60" w:rsidP="72B40892">
            <w:pPr>
              <w:jc w:val="both"/>
              <w:rPr>
                <w:rFonts w:asciiTheme="minorHAnsi" w:hAnsiTheme="minorHAnsi"/>
                <w:sz w:val="22"/>
                <w:szCs w:val="22"/>
                <w:lang w:val="lv-LV"/>
              </w:rPr>
            </w:pPr>
            <w:r w:rsidRPr="72B40892">
              <w:rPr>
                <w:rFonts w:asciiTheme="minorHAnsi" w:hAnsiTheme="minorHAnsi"/>
                <w:sz w:val="22"/>
                <w:szCs w:val="22"/>
                <w:lang w:val="lv-LV"/>
              </w:rPr>
              <w:t>2.0</w:t>
            </w:r>
          </w:p>
        </w:tc>
        <w:tc>
          <w:tcPr>
            <w:tcW w:w="1063" w:type="dxa"/>
            <w:vAlign w:val="bottom"/>
          </w:tcPr>
          <w:p w14:paraId="64BAF75B" w14:textId="52543EE6" w:rsidR="00D20F0C" w:rsidRPr="00D20F0C" w:rsidRDefault="39B435DA" w:rsidP="72B40892">
            <w:pPr>
              <w:jc w:val="both"/>
              <w:rPr>
                <w:rFonts w:asciiTheme="minorHAnsi" w:hAnsiTheme="minorHAnsi"/>
                <w:sz w:val="22"/>
                <w:szCs w:val="22"/>
                <w:lang w:val="lv-LV"/>
              </w:rPr>
            </w:pPr>
            <w:r w:rsidRPr="72B40892">
              <w:rPr>
                <w:rFonts w:asciiTheme="minorHAnsi" w:hAnsiTheme="minorHAnsi"/>
                <w:sz w:val="22"/>
                <w:szCs w:val="22"/>
                <w:lang w:val="lv-LV"/>
              </w:rPr>
              <w:t>25</w:t>
            </w:r>
            <w:r w:rsidR="00D20F0C" w:rsidRPr="72B40892">
              <w:rPr>
                <w:rFonts w:asciiTheme="minorHAnsi" w:hAnsiTheme="minorHAnsi"/>
                <w:sz w:val="22"/>
                <w:szCs w:val="22"/>
                <w:lang w:val="lv-LV"/>
              </w:rPr>
              <w:t>.7</w:t>
            </w:r>
          </w:p>
        </w:tc>
        <w:tc>
          <w:tcPr>
            <w:tcW w:w="1064" w:type="dxa"/>
          </w:tcPr>
          <w:p w14:paraId="73B0484E" w14:textId="3252C580" w:rsidR="00D20F0C" w:rsidRPr="00D20F0C" w:rsidRDefault="005B12A2" w:rsidP="72B40892">
            <w:pPr>
              <w:jc w:val="both"/>
              <w:rPr>
                <w:rFonts w:asciiTheme="minorHAnsi" w:hAnsiTheme="minorHAnsi"/>
                <w:sz w:val="22"/>
                <w:szCs w:val="22"/>
                <w:lang w:val="lv-LV"/>
              </w:rPr>
            </w:pPr>
            <w:r w:rsidRPr="72B40892">
              <w:rPr>
                <w:rFonts w:asciiTheme="minorHAnsi" w:hAnsiTheme="minorHAnsi"/>
                <w:sz w:val="22"/>
                <w:szCs w:val="22"/>
                <w:lang w:val="lv-LV"/>
              </w:rPr>
              <w:t>19.7</w:t>
            </w:r>
          </w:p>
        </w:tc>
        <w:tc>
          <w:tcPr>
            <w:tcW w:w="1063" w:type="dxa"/>
          </w:tcPr>
          <w:p w14:paraId="4CD2C7E7" w14:textId="17DE96FB" w:rsidR="00D20F0C" w:rsidRPr="00D20F0C" w:rsidRDefault="2D389D1D" w:rsidP="72B40892">
            <w:pPr>
              <w:jc w:val="both"/>
              <w:rPr>
                <w:rFonts w:asciiTheme="minorHAnsi" w:hAnsiTheme="minorHAnsi"/>
                <w:sz w:val="22"/>
                <w:szCs w:val="22"/>
                <w:lang w:val="lv-LV"/>
              </w:rPr>
            </w:pPr>
            <w:r w:rsidRPr="72B40892">
              <w:rPr>
                <w:rFonts w:asciiTheme="minorHAnsi" w:hAnsiTheme="minorHAnsi"/>
                <w:sz w:val="22"/>
                <w:szCs w:val="22"/>
                <w:lang w:val="lv-LV"/>
              </w:rPr>
              <w:t>47.4</w:t>
            </w:r>
          </w:p>
        </w:tc>
        <w:tc>
          <w:tcPr>
            <w:tcW w:w="1064" w:type="dxa"/>
          </w:tcPr>
          <w:p w14:paraId="4D4BD497" w14:textId="028A389F" w:rsidR="00D20F0C" w:rsidRPr="00D20F0C" w:rsidRDefault="2D389D1D" w:rsidP="72B40892">
            <w:pPr>
              <w:jc w:val="both"/>
              <w:rPr>
                <w:rFonts w:asciiTheme="minorHAnsi" w:hAnsiTheme="minorHAnsi"/>
                <w:sz w:val="22"/>
                <w:szCs w:val="22"/>
                <w:lang w:val="lv-LV"/>
              </w:rPr>
            </w:pPr>
            <w:r w:rsidRPr="72B40892">
              <w:rPr>
                <w:rFonts w:asciiTheme="minorHAnsi" w:hAnsiTheme="minorHAnsi"/>
                <w:sz w:val="22"/>
                <w:szCs w:val="22"/>
                <w:lang w:val="lv-LV"/>
              </w:rPr>
              <w:t>2.1</w:t>
            </w:r>
          </w:p>
        </w:tc>
      </w:tr>
      <w:tr w:rsidR="00D20F0C" w:rsidRPr="00D20F0C" w14:paraId="1939D74D" w14:textId="77777777" w:rsidTr="72B40892">
        <w:tc>
          <w:tcPr>
            <w:tcW w:w="4023" w:type="dxa"/>
          </w:tcPr>
          <w:p w14:paraId="134E232D" w14:textId="0418BE1F" w:rsidR="00D20F0C" w:rsidRPr="00D20F0C" w:rsidRDefault="00D20F0C" w:rsidP="72B40892">
            <w:pPr>
              <w:jc w:val="both"/>
              <w:rPr>
                <w:rFonts w:asciiTheme="minorHAnsi" w:hAnsiTheme="minorHAnsi"/>
                <w:sz w:val="22"/>
                <w:szCs w:val="22"/>
                <w:lang w:val="lv-LV"/>
              </w:rPr>
            </w:pPr>
            <w:r w:rsidRPr="72B40892">
              <w:rPr>
                <w:rFonts w:asciiTheme="minorHAnsi" w:hAnsiTheme="minorHAnsi"/>
                <w:sz w:val="22"/>
                <w:szCs w:val="22"/>
                <w:lang w:val="lv-LV"/>
              </w:rPr>
              <w:t xml:space="preserve">Subsidētās </w:t>
            </w:r>
            <w:r w:rsidR="2D389D1D" w:rsidRPr="72B40892">
              <w:rPr>
                <w:rFonts w:asciiTheme="minorHAnsi" w:hAnsiTheme="minorHAnsi"/>
                <w:sz w:val="22"/>
                <w:szCs w:val="22"/>
                <w:lang w:val="lv-LV"/>
              </w:rPr>
              <w:t xml:space="preserve">darba vietas tūrisma nozarei un </w:t>
            </w:r>
            <w:r w:rsidR="005B12A2" w:rsidRPr="72B40892">
              <w:rPr>
                <w:rFonts w:asciiTheme="minorHAnsi" w:hAnsiTheme="minorHAnsi"/>
                <w:sz w:val="22"/>
                <w:szCs w:val="22"/>
                <w:lang w:val="lv-LV"/>
              </w:rPr>
              <w:t>eksportētājiem</w:t>
            </w:r>
            <w:r w:rsidR="55F18CBB" w:rsidRPr="72B40892">
              <w:rPr>
                <w:rFonts w:asciiTheme="minorHAnsi" w:hAnsiTheme="minorHAnsi"/>
                <w:sz w:val="22"/>
                <w:szCs w:val="22"/>
                <w:lang w:val="lv-LV"/>
              </w:rPr>
              <w:t>, Subsidētā nodarbinātība</w:t>
            </w:r>
          </w:p>
        </w:tc>
        <w:tc>
          <w:tcPr>
            <w:tcW w:w="1063" w:type="dxa"/>
          </w:tcPr>
          <w:p w14:paraId="37A829B9" w14:textId="7AF209C2" w:rsidR="00D20F0C" w:rsidRPr="00D20F0C" w:rsidRDefault="005B12A2" w:rsidP="72B40892">
            <w:pPr>
              <w:jc w:val="both"/>
              <w:rPr>
                <w:rFonts w:asciiTheme="minorHAnsi" w:hAnsiTheme="minorHAnsi"/>
                <w:sz w:val="22"/>
                <w:szCs w:val="22"/>
                <w:lang w:val="lv-LV"/>
              </w:rPr>
            </w:pPr>
            <w:r w:rsidRPr="72B40892">
              <w:rPr>
                <w:rFonts w:asciiTheme="minorHAnsi" w:hAnsiTheme="minorHAnsi"/>
                <w:sz w:val="22"/>
                <w:szCs w:val="22"/>
                <w:lang w:val="lv-LV"/>
              </w:rPr>
              <w:t>70.2</w:t>
            </w:r>
          </w:p>
        </w:tc>
        <w:tc>
          <w:tcPr>
            <w:tcW w:w="1063" w:type="dxa"/>
            <w:vAlign w:val="bottom"/>
          </w:tcPr>
          <w:p w14:paraId="290DA5C1" w14:textId="160C815A" w:rsidR="00D20F0C" w:rsidRDefault="3C347B60" w:rsidP="72B40892">
            <w:pPr>
              <w:jc w:val="both"/>
              <w:rPr>
                <w:rFonts w:asciiTheme="minorHAnsi" w:hAnsiTheme="minorHAnsi"/>
                <w:sz w:val="22"/>
                <w:szCs w:val="22"/>
                <w:lang w:val="lv-LV"/>
              </w:rPr>
            </w:pPr>
            <w:r w:rsidRPr="72B40892">
              <w:rPr>
                <w:rFonts w:asciiTheme="minorHAnsi" w:hAnsiTheme="minorHAnsi"/>
                <w:sz w:val="22"/>
                <w:szCs w:val="22"/>
                <w:lang w:val="lv-LV"/>
              </w:rPr>
              <w:t>63</w:t>
            </w:r>
          </w:p>
          <w:p w14:paraId="495576C6" w14:textId="0D02373C" w:rsidR="009D19E2" w:rsidRPr="00D20F0C" w:rsidRDefault="009D19E2" w:rsidP="72B40892">
            <w:pPr>
              <w:jc w:val="both"/>
              <w:rPr>
                <w:rFonts w:asciiTheme="minorHAnsi" w:hAnsiTheme="minorHAnsi"/>
                <w:sz w:val="22"/>
                <w:szCs w:val="22"/>
                <w:lang w:val="lv-LV"/>
              </w:rPr>
            </w:pPr>
          </w:p>
        </w:tc>
        <w:tc>
          <w:tcPr>
            <w:tcW w:w="1064" w:type="dxa"/>
          </w:tcPr>
          <w:p w14:paraId="6EBA583A" w14:textId="77777777" w:rsidR="00D20F0C" w:rsidRPr="00D20F0C" w:rsidRDefault="00D20F0C" w:rsidP="72B40892">
            <w:pPr>
              <w:jc w:val="both"/>
              <w:rPr>
                <w:rFonts w:asciiTheme="minorHAnsi" w:hAnsiTheme="minorHAnsi"/>
                <w:sz w:val="22"/>
                <w:szCs w:val="22"/>
                <w:lang w:val="lv-LV"/>
              </w:rPr>
            </w:pPr>
          </w:p>
        </w:tc>
        <w:tc>
          <w:tcPr>
            <w:tcW w:w="1063" w:type="dxa"/>
          </w:tcPr>
          <w:p w14:paraId="7DD7A227" w14:textId="5FC31409" w:rsidR="00D20F0C" w:rsidRPr="00D20F0C" w:rsidRDefault="3C347B60" w:rsidP="72B40892">
            <w:pPr>
              <w:jc w:val="both"/>
              <w:rPr>
                <w:rFonts w:asciiTheme="minorHAnsi" w:hAnsiTheme="minorHAnsi"/>
                <w:sz w:val="22"/>
                <w:szCs w:val="22"/>
                <w:lang w:val="lv-LV"/>
              </w:rPr>
            </w:pPr>
            <w:r w:rsidRPr="72B40892">
              <w:rPr>
                <w:rFonts w:asciiTheme="minorHAnsi" w:hAnsiTheme="minorHAnsi"/>
                <w:sz w:val="22"/>
                <w:szCs w:val="22"/>
                <w:lang w:val="lv-LV"/>
              </w:rPr>
              <w:t>133</w:t>
            </w:r>
            <w:r w:rsidR="46EAE0A1" w:rsidRPr="72B40892">
              <w:rPr>
                <w:rFonts w:asciiTheme="minorHAnsi" w:hAnsiTheme="minorHAnsi"/>
                <w:sz w:val="22"/>
                <w:szCs w:val="22"/>
                <w:lang w:val="lv-LV"/>
              </w:rPr>
              <w:t>.2</w:t>
            </w:r>
          </w:p>
        </w:tc>
        <w:tc>
          <w:tcPr>
            <w:tcW w:w="1064" w:type="dxa"/>
          </w:tcPr>
          <w:p w14:paraId="5474A063" w14:textId="130142F2" w:rsidR="00D20F0C" w:rsidRPr="00D20F0C" w:rsidRDefault="3C347B60" w:rsidP="72B40892">
            <w:pPr>
              <w:jc w:val="both"/>
              <w:rPr>
                <w:rFonts w:asciiTheme="minorHAnsi" w:hAnsiTheme="minorHAnsi"/>
                <w:sz w:val="22"/>
                <w:szCs w:val="22"/>
                <w:lang w:val="lv-LV"/>
              </w:rPr>
            </w:pPr>
            <w:r w:rsidRPr="72B40892">
              <w:rPr>
                <w:rFonts w:asciiTheme="minorHAnsi" w:hAnsiTheme="minorHAnsi"/>
                <w:sz w:val="22"/>
                <w:szCs w:val="22"/>
                <w:lang w:val="lv-LV"/>
              </w:rPr>
              <w:t>6</w:t>
            </w:r>
            <w:r w:rsidR="2D389D1D" w:rsidRPr="72B40892">
              <w:rPr>
                <w:rFonts w:asciiTheme="minorHAnsi" w:hAnsiTheme="minorHAnsi"/>
                <w:sz w:val="22"/>
                <w:szCs w:val="22"/>
                <w:lang w:val="lv-LV"/>
              </w:rPr>
              <w:t>.0</w:t>
            </w:r>
          </w:p>
        </w:tc>
      </w:tr>
      <w:tr w:rsidR="00D20F0C" w:rsidRPr="00D20F0C" w14:paraId="6F82E42F" w14:textId="77777777" w:rsidTr="72B40892">
        <w:tc>
          <w:tcPr>
            <w:tcW w:w="4023" w:type="dxa"/>
            <w:shd w:val="clear" w:color="auto" w:fill="BDD6EE" w:themeFill="accent1" w:themeFillTint="66"/>
            <w:hideMark/>
          </w:tcPr>
          <w:p w14:paraId="00983D8D" w14:textId="77777777" w:rsidR="00D20F0C" w:rsidRPr="00D20F0C" w:rsidRDefault="00D20F0C" w:rsidP="009A1EF2">
            <w:pPr>
              <w:jc w:val="both"/>
              <w:rPr>
                <w:rFonts w:asciiTheme="minorHAnsi" w:hAnsiTheme="minorHAnsi"/>
                <w:b/>
                <w:bCs/>
                <w:sz w:val="22"/>
                <w:szCs w:val="22"/>
                <w:lang w:val="lv-LV"/>
              </w:rPr>
            </w:pPr>
            <w:r w:rsidRPr="00D20F0C">
              <w:rPr>
                <w:rFonts w:asciiTheme="minorHAnsi" w:hAnsiTheme="minorHAnsi"/>
                <w:b/>
                <w:bCs/>
                <w:sz w:val="22"/>
                <w:szCs w:val="22"/>
                <w:lang w:val="lv-LV"/>
              </w:rPr>
              <w:t>Atbalsts uzņēmējiem</w:t>
            </w:r>
          </w:p>
        </w:tc>
        <w:tc>
          <w:tcPr>
            <w:tcW w:w="1063" w:type="dxa"/>
            <w:shd w:val="clear" w:color="auto" w:fill="BDD6EE" w:themeFill="accent1" w:themeFillTint="66"/>
          </w:tcPr>
          <w:p w14:paraId="6B7DF980" w14:textId="4C2D20B2" w:rsidR="000838EF" w:rsidRPr="00D20F0C" w:rsidRDefault="000838EF" w:rsidP="009A1EF2">
            <w:pPr>
              <w:jc w:val="both"/>
              <w:rPr>
                <w:rFonts w:asciiTheme="minorHAnsi" w:hAnsiTheme="minorHAnsi"/>
                <w:b/>
                <w:bCs/>
                <w:sz w:val="22"/>
                <w:szCs w:val="22"/>
                <w:lang w:val="lv-LV"/>
              </w:rPr>
            </w:pPr>
            <w:r>
              <w:rPr>
                <w:rFonts w:asciiTheme="minorHAnsi" w:hAnsiTheme="minorHAnsi"/>
                <w:b/>
                <w:bCs/>
                <w:sz w:val="22"/>
                <w:szCs w:val="22"/>
                <w:lang w:val="lv-LV"/>
              </w:rPr>
              <w:t>475.7</w:t>
            </w:r>
          </w:p>
        </w:tc>
        <w:tc>
          <w:tcPr>
            <w:tcW w:w="1063" w:type="dxa"/>
            <w:shd w:val="clear" w:color="auto" w:fill="BDD6EE" w:themeFill="accent1" w:themeFillTint="66"/>
            <w:vAlign w:val="bottom"/>
          </w:tcPr>
          <w:p w14:paraId="5AD994F1" w14:textId="77777777" w:rsidR="00D20F0C" w:rsidRPr="00D20F0C" w:rsidRDefault="00D20F0C" w:rsidP="009A1EF2">
            <w:pPr>
              <w:jc w:val="both"/>
              <w:rPr>
                <w:rFonts w:asciiTheme="minorHAnsi" w:hAnsiTheme="minorHAnsi"/>
                <w:b/>
                <w:bCs/>
                <w:sz w:val="22"/>
                <w:szCs w:val="22"/>
                <w:lang w:val="lv-LV"/>
              </w:rPr>
            </w:pPr>
            <w:r w:rsidRPr="00D20F0C">
              <w:rPr>
                <w:rFonts w:asciiTheme="minorHAnsi" w:hAnsiTheme="minorHAnsi"/>
                <w:b/>
                <w:bCs/>
                <w:sz w:val="22"/>
                <w:szCs w:val="22"/>
                <w:lang w:val="lv-LV"/>
              </w:rPr>
              <w:t>52.8</w:t>
            </w:r>
          </w:p>
        </w:tc>
        <w:tc>
          <w:tcPr>
            <w:tcW w:w="1064" w:type="dxa"/>
            <w:shd w:val="clear" w:color="auto" w:fill="BDD6EE" w:themeFill="accent1" w:themeFillTint="66"/>
          </w:tcPr>
          <w:p w14:paraId="6833C714" w14:textId="72B02C39" w:rsidR="00D20F0C" w:rsidRPr="00D20F0C" w:rsidRDefault="000838EF" w:rsidP="009A1EF2">
            <w:pPr>
              <w:jc w:val="both"/>
              <w:rPr>
                <w:rFonts w:asciiTheme="minorHAnsi" w:hAnsiTheme="minorHAnsi"/>
                <w:b/>
                <w:bCs/>
                <w:sz w:val="22"/>
                <w:szCs w:val="22"/>
                <w:lang w:val="lv-LV"/>
              </w:rPr>
            </w:pPr>
            <w:r>
              <w:rPr>
                <w:rFonts w:asciiTheme="minorHAnsi" w:hAnsiTheme="minorHAnsi"/>
                <w:b/>
                <w:bCs/>
                <w:sz w:val="22"/>
                <w:szCs w:val="22"/>
                <w:lang w:val="lv-LV"/>
              </w:rPr>
              <w:t>142.1</w:t>
            </w:r>
          </w:p>
        </w:tc>
        <w:tc>
          <w:tcPr>
            <w:tcW w:w="1063" w:type="dxa"/>
            <w:shd w:val="clear" w:color="auto" w:fill="BDD6EE" w:themeFill="accent1" w:themeFillTint="66"/>
          </w:tcPr>
          <w:p w14:paraId="256928D4" w14:textId="49030FDB" w:rsidR="00D20F0C" w:rsidRPr="00D20F0C" w:rsidRDefault="000838EF" w:rsidP="009A1EF2">
            <w:pPr>
              <w:jc w:val="both"/>
              <w:rPr>
                <w:rFonts w:asciiTheme="minorHAnsi" w:hAnsiTheme="minorHAnsi"/>
                <w:b/>
                <w:bCs/>
                <w:sz w:val="22"/>
                <w:szCs w:val="22"/>
                <w:lang w:val="lv-LV"/>
              </w:rPr>
            </w:pPr>
            <w:r>
              <w:rPr>
                <w:rFonts w:asciiTheme="minorHAnsi" w:hAnsiTheme="minorHAnsi"/>
                <w:b/>
                <w:bCs/>
                <w:sz w:val="22"/>
                <w:szCs w:val="22"/>
                <w:lang w:val="lv-LV"/>
              </w:rPr>
              <w:t>670.6</w:t>
            </w:r>
          </w:p>
        </w:tc>
        <w:tc>
          <w:tcPr>
            <w:tcW w:w="1064" w:type="dxa"/>
            <w:shd w:val="clear" w:color="auto" w:fill="BDD6EE" w:themeFill="accent1" w:themeFillTint="66"/>
          </w:tcPr>
          <w:p w14:paraId="4E500955" w14:textId="6AEDF6CC" w:rsidR="00D20F0C" w:rsidRPr="00D20F0C" w:rsidRDefault="00D20F0C" w:rsidP="009A1EF2">
            <w:pPr>
              <w:jc w:val="both"/>
              <w:rPr>
                <w:rFonts w:asciiTheme="minorHAnsi" w:hAnsiTheme="minorHAnsi"/>
                <w:b/>
                <w:bCs/>
                <w:sz w:val="22"/>
                <w:szCs w:val="22"/>
                <w:lang w:val="lv-LV"/>
              </w:rPr>
            </w:pPr>
            <w:r w:rsidRPr="00D20F0C">
              <w:rPr>
                <w:rFonts w:asciiTheme="minorHAnsi" w:hAnsiTheme="minorHAnsi"/>
                <w:b/>
                <w:bCs/>
                <w:sz w:val="22"/>
                <w:szCs w:val="22"/>
                <w:lang w:val="lv-LV"/>
              </w:rPr>
              <w:t>30</w:t>
            </w:r>
            <w:r w:rsidR="000838EF">
              <w:rPr>
                <w:rFonts w:asciiTheme="minorHAnsi" w:hAnsiTheme="minorHAnsi"/>
                <w:b/>
                <w:bCs/>
                <w:sz w:val="22"/>
                <w:szCs w:val="22"/>
                <w:lang w:val="lv-LV"/>
              </w:rPr>
              <w:t>.1</w:t>
            </w:r>
          </w:p>
        </w:tc>
      </w:tr>
      <w:tr w:rsidR="00D20F0C" w:rsidRPr="00D20F0C" w14:paraId="0E11FC9C" w14:textId="77777777" w:rsidTr="72B40892">
        <w:tc>
          <w:tcPr>
            <w:tcW w:w="4023" w:type="dxa"/>
            <w:hideMark/>
          </w:tcPr>
          <w:p w14:paraId="0B78C4E8" w14:textId="14401088" w:rsidR="00D20F0C" w:rsidRPr="00D20F0C" w:rsidRDefault="00D20F0C" w:rsidP="72B40892">
            <w:pPr>
              <w:jc w:val="both"/>
              <w:rPr>
                <w:rFonts w:asciiTheme="minorHAnsi" w:hAnsiTheme="minorHAnsi"/>
                <w:sz w:val="22"/>
                <w:szCs w:val="22"/>
                <w:lang w:val="lv-LV"/>
              </w:rPr>
            </w:pPr>
            <w:r w:rsidRPr="72B40892">
              <w:rPr>
                <w:rFonts w:asciiTheme="minorHAnsi" w:hAnsiTheme="minorHAnsi"/>
                <w:sz w:val="22"/>
                <w:szCs w:val="22"/>
                <w:lang w:val="lv-LV"/>
              </w:rPr>
              <w:t>Atbalsts saistībā ar nodokļu maksājumu termiņiem*</w:t>
            </w:r>
          </w:p>
        </w:tc>
        <w:tc>
          <w:tcPr>
            <w:tcW w:w="1063" w:type="dxa"/>
          </w:tcPr>
          <w:p w14:paraId="3326A610" w14:textId="26A0AF88" w:rsidR="00D20F0C" w:rsidRPr="00D20F0C" w:rsidRDefault="6582E00D" w:rsidP="72B40892">
            <w:pPr>
              <w:jc w:val="both"/>
              <w:rPr>
                <w:rFonts w:asciiTheme="minorHAnsi" w:hAnsiTheme="minorHAnsi"/>
                <w:sz w:val="22"/>
                <w:szCs w:val="22"/>
                <w:lang w:val="lv-LV"/>
              </w:rPr>
            </w:pPr>
            <w:r w:rsidRPr="72B40892">
              <w:rPr>
                <w:rFonts w:asciiTheme="minorHAnsi" w:hAnsiTheme="minorHAnsi"/>
                <w:sz w:val="22"/>
                <w:szCs w:val="22"/>
                <w:lang w:val="lv-LV"/>
              </w:rPr>
              <w:t>104.5</w:t>
            </w:r>
          </w:p>
        </w:tc>
        <w:tc>
          <w:tcPr>
            <w:tcW w:w="1063" w:type="dxa"/>
            <w:vAlign w:val="bottom"/>
          </w:tcPr>
          <w:p w14:paraId="6CBD8CFA" w14:textId="77777777" w:rsidR="00D20F0C" w:rsidRPr="00D20F0C" w:rsidRDefault="00D20F0C" w:rsidP="72B40892">
            <w:pPr>
              <w:jc w:val="both"/>
              <w:rPr>
                <w:rFonts w:asciiTheme="minorHAnsi" w:hAnsiTheme="minorHAnsi"/>
                <w:sz w:val="22"/>
                <w:szCs w:val="22"/>
                <w:lang w:val="lv-LV"/>
              </w:rPr>
            </w:pPr>
          </w:p>
        </w:tc>
        <w:tc>
          <w:tcPr>
            <w:tcW w:w="1064" w:type="dxa"/>
          </w:tcPr>
          <w:p w14:paraId="3ED63281" w14:textId="77777777" w:rsidR="00D20F0C" w:rsidRPr="00D20F0C" w:rsidRDefault="00D20F0C" w:rsidP="72B40892">
            <w:pPr>
              <w:jc w:val="both"/>
              <w:rPr>
                <w:rFonts w:asciiTheme="minorHAnsi" w:hAnsiTheme="minorHAnsi"/>
                <w:sz w:val="22"/>
                <w:szCs w:val="22"/>
                <w:lang w:val="lv-LV"/>
              </w:rPr>
            </w:pPr>
          </w:p>
        </w:tc>
        <w:tc>
          <w:tcPr>
            <w:tcW w:w="1063" w:type="dxa"/>
          </w:tcPr>
          <w:p w14:paraId="3A5C570E" w14:textId="3C72D49D" w:rsidR="00D20F0C" w:rsidRPr="00D20F0C" w:rsidRDefault="6582E00D" w:rsidP="72B40892">
            <w:pPr>
              <w:jc w:val="both"/>
              <w:rPr>
                <w:rFonts w:asciiTheme="minorHAnsi" w:hAnsiTheme="minorHAnsi"/>
                <w:sz w:val="22"/>
                <w:szCs w:val="22"/>
                <w:lang w:val="lv-LV"/>
              </w:rPr>
            </w:pPr>
            <w:r w:rsidRPr="72B40892">
              <w:rPr>
                <w:rFonts w:asciiTheme="minorHAnsi" w:hAnsiTheme="minorHAnsi"/>
                <w:sz w:val="22"/>
                <w:szCs w:val="22"/>
                <w:lang w:val="lv-LV"/>
              </w:rPr>
              <w:t>104.5</w:t>
            </w:r>
          </w:p>
        </w:tc>
        <w:tc>
          <w:tcPr>
            <w:tcW w:w="1064" w:type="dxa"/>
          </w:tcPr>
          <w:p w14:paraId="038485E9" w14:textId="32D5609C" w:rsidR="00D20F0C" w:rsidRPr="00D20F0C" w:rsidRDefault="3875D335" w:rsidP="72B40892">
            <w:pPr>
              <w:jc w:val="both"/>
              <w:rPr>
                <w:rFonts w:asciiTheme="minorHAnsi" w:hAnsiTheme="minorHAnsi"/>
                <w:sz w:val="22"/>
                <w:szCs w:val="22"/>
                <w:lang w:val="lv-LV"/>
              </w:rPr>
            </w:pPr>
            <w:r w:rsidRPr="72B40892">
              <w:rPr>
                <w:rFonts w:asciiTheme="minorHAnsi" w:hAnsiTheme="minorHAnsi"/>
                <w:sz w:val="22"/>
                <w:szCs w:val="22"/>
                <w:lang w:val="lv-LV"/>
              </w:rPr>
              <w:t>4.7</w:t>
            </w:r>
          </w:p>
        </w:tc>
      </w:tr>
      <w:tr w:rsidR="00D20F0C" w:rsidRPr="00D20F0C" w14:paraId="45FF5BFF" w14:textId="77777777" w:rsidTr="72B40892">
        <w:tc>
          <w:tcPr>
            <w:tcW w:w="4023" w:type="dxa"/>
            <w:hideMark/>
          </w:tcPr>
          <w:p w14:paraId="6314B2A7" w14:textId="77777777" w:rsidR="00D20F0C" w:rsidRPr="00D20F0C" w:rsidRDefault="00D20F0C" w:rsidP="72B40892">
            <w:pPr>
              <w:jc w:val="both"/>
              <w:rPr>
                <w:rFonts w:asciiTheme="minorHAnsi" w:hAnsiTheme="minorHAnsi"/>
                <w:sz w:val="22"/>
                <w:szCs w:val="22"/>
                <w:lang w:val="lv-LV"/>
              </w:rPr>
            </w:pPr>
            <w:r w:rsidRPr="72B40892">
              <w:rPr>
                <w:rFonts w:asciiTheme="minorHAnsi" w:hAnsiTheme="minorHAnsi"/>
                <w:sz w:val="22"/>
                <w:szCs w:val="22"/>
                <w:lang w:val="lv-LV"/>
              </w:rPr>
              <w:t>ALTUM aizdevumi apgrozāmiem līdzekļiem</w:t>
            </w:r>
          </w:p>
        </w:tc>
        <w:tc>
          <w:tcPr>
            <w:tcW w:w="1063" w:type="dxa"/>
          </w:tcPr>
          <w:p w14:paraId="2C16A389" w14:textId="77777777" w:rsidR="00D20F0C" w:rsidRPr="00D20F0C" w:rsidRDefault="00D20F0C" w:rsidP="72B40892">
            <w:pPr>
              <w:jc w:val="both"/>
              <w:rPr>
                <w:rFonts w:asciiTheme="minorHAnsi" w:hAnsiTheme="minorHAnsi"/>
                <w:sz w:val="22"/>
                <w:szCs w:val="22"/>
                <w:lang w:val="lv-LV"/>
              </w:rPr>
            </w:pPr>
            <w:r w:rsidRPr="72B40892">
              <w:rPr>
                <w:rFonts w:asciiTheme="minorHAnsi" w:hAnsiTheme="minorHAnsi"/>
                <w:sz w:val="22"/>
                <w:szCs w:val="22"/>
                <w:lang w:val="lv-LV"/>
              </w:rPr>
              <w:t>50.0</w:t>
            </w:r>
          </w:p>
        </w:tc>
        <w:tc>
          <w:tcPr>
            <w:tcW w:w="1063" w:type="dxa"/>
            <w:vAlign w:val="bottom"/>
          </w:tcPr>
          <w:p w14:paraId="7B8C83B3" w14:textId="5F401E0E" w:rsidR="00D20F0C" w:rsidRPr="00D20F0C" w:rsidRDefault="00D20F0C" w:rsidP="72B40892">
            <w:pPr>
              <w:jc w:val="both"/>
              <w:rPr>
                <w:rFonts w:asciiTheme="minorHAnsi" w:hAnsiTheme="minorHAnsi"/>
                <w:sz w:val="22"/>
                <w:szCs w:val="22"/>
                <w:lang w:val="lv-LV"/>
              </w:rPr>
            </w:pPr>
          </w:p>
        </w:tc>
        <w:tc>
          <w:tcPr>
            <w:tcW w:w="1064" w:type="dxa"/>
          </w:tcPr>
          <w:p w14:paraId="58A56E6D" w14:textId="77777777" w:rsidR="00D20F0C" w:rsidRPr="00D20F0C" w:rsidRDefault="00D20F0C" w:rsidP="72B40892">
            <w:pPr>
              <w:jc w:val="both"/>
              <w:rPr>
                <w:rFonts w:asciiTheme="minorHAnsi" w:hAnsiTheme="minorHAnsi"/>
                <w:sz w:val="22"/>
                <w:szCs w:val="22"/>
                <w:lang w:val="lv-LV"/>
              </w:rPr>
            </w:pPr>
          </w:p>
        </w:tc>
        <w:tc>
          <w:tcPr>
            <w:tcW w:w="1063" w:type="dxa"/>
          </w:tcPr>
          <w:p w14:paraId="5D8A23F0" w14:textId="044109B8" w:rsidR="00D20F0C" w:rsidRPr="00D20F0C" w:rsidRDefault="3875D335" w:rsidP="72B40892">
            <w:pPr>
              <w:jc w:val="both"/>
              <w:rPr>
                <w:rFonts w:asciiTheme="minorHAnsi" w:hAnsiTheme="minorHAnsi"/>
                <w:sz w:val="22"/>
                <w:szCs w:val="22"/>
                <w:lang w:val="lv-LV"/>
              </w:rPr>
            </w:pPr>
            <w:r w:rsidRPr="72B40892">
              <w:rPr>
                <w:rFonts w:asciiTheme="minorHAnsi" w:hAnsiTheme="minorHAnsi"/>
                <w:sz w:val="22"/>
                <w:szCs w:val="22"/>
                <w:lang w:val="lv-LV"/>
              </w:rPr>
              <w:t>50</w:t>
            </w:r>
            <w:r w:rsidR="00D20F0C" w:rsidRPr="72B40892">
              <w:rPr>
                <w:rFonts w:asciiTheme="minorHAnsi" w:hAnsiTheme="minorHAnsi"/>
                <w:sz w:val="22"/>
                <w:szCs w:val="22"/>
                <w:lang w:val="lv-LV"/>
              </w:rPr>
              <w:t>.0</w:t>
            </w:r>
          </w:p>
        </w:tc>
        <w:tc>
          <w:tcPr>
            <w:tcW w:w="1064" w:type="dxa"/>
          </w:tcPr>
          <w:p w14:paraId="17918DF3" w14:textId="43AB57D2" w:rsidR="00D20F0C" w:rsidRPr="00D20F0C" w:rsidRDefault="3875D335" w:rsidP="72B40892">
            <w:pPr>
              <w:jc w:val="both"/>
              <w:rPr>
                <w:rFonts w:asciiTheme="minorHAnsi" w:hAnsiTheme="minorHAnsi"/>
                <w:sz w:val="22"/>
                <w:szCs w:val="22"/>
                <w:lang w:val="lv-LV"/>
              </w:rPr>
            </w:pPr>
            <w:r w:rsidRPr="72B40892">
              <w:rPr>
                <w:rFonts w:asciiTheme="minorHAnsi" w:hAnsiTheme="minorHAnsi"/>
                <w:sz w:val="22"/>
                <w:szCs w:val="22"/>
                <w:lang w:val="lv-LV"/>
              </w:rPr>
              <w:t>2.2</w:t>
            </w:r>
          </w:p>
        </w:tc>
      </w:tr>
      <w:tr w:rsidR="00D20F0C" w:rsidRPr="00D20F0C" w14:paraId="3D5E4A6D" w14:textId="77777777" w:rsidTr="72B40892">
        <w:tc>
          <w:tcPr>
            <w:tcW w:w="4023" w:type="dxa"/>
            <w:hideMark/>
          </w:tcPr>
          <w:p w14:paraId="707932BB" w14:textId="77777777" w:rsidR="00D20F0C" w:rsidRPr="00D20F0C" w:rsidRDefault="00D20F0C" w:rsidP="72B40892">
            <w:pPr>
              <w:jc w:val="both"/>
              <w:rPr>
                <w:rFonts w:asciiTheme="minorHAnsi" w:hAnsiTheme="minorHAnsi"/>
                <w:sz w:val="22"/>
                <w:szCs w:val="22"/>
                <w:lang w:val="lv-LV"/>
              </w:rPr>
            </w:pPr>
            <w:r w:rsidRPr="72B40892">
              <w:rPr>
                <w:rFonts w:asciiTheme="minorHAnsi" w:hAnsiTheme="minorHAnsi"/>
                <w:sz w:val="22"/>
                <w:szCs w:val="22"/>
                <w:lang w:val="lv-LV"/>
              </w:rPr>
              <w:t>ALTUM garantijas un ieguldījumi</w:t>
            </w:r>
          </w:p>
        </w:tc>
        <w:tc>
          <w:tcPr>
            <w:tcW w:w="1063" w:type="dxa"/>
          </w:tcPr>
          <w:p w14:paraId="749C1BC1" w14:textId="77777777" w:rsidR="00D20F0C" w:rsidRPr="00D20F0C" w:rsidRDefault="00D20F0C" w:rsidP="72B40892">
            <w:pPr>
              <w:jc w:val="both"/>
              <w:rPr>
                <w:rFonts w:asciiTheme="minorHAnsi" w:hAnsiTheme="minorHAnsi"/>
                <w:sz w:val="22"/>
                <w:szCs w:val="22"/>
                <w:lang w:val="lv-LV"/>
              </w:rPr>
            </w:pPr>
            <w:r w:rsidRPr="72B40892">
              <w:rPr>
                <w:rFonts w:asciiTheme="minorHAnsi" w:hAnsiTheme="minorHAnsi"/>
                <w:sz w:val="22"/>
                <w:szCs w:val="22"/>
                <w:lang w:val="lv-LV"/>
              </w:rPr>
              <w:t>190.0</w:t>
            </w:r>
          </w:p>
        </w:tc>
        <w:tc>
          <w:tcPr>
            <w:tcW w:w="1063" w:type="dxa"/>
            <w:vAlign w:val="bottom"/>
          </w:tcPr>
          <w:p w14:paraId="23E1A3A4" w14:textId="7F84E7D8" w:rsidR="00D20F0C" w:rsidRPr="00D20F0C" w:rsidRDefault="3875D335" w:rsidP="72B40892">
            <w:pPr>
              <w:jc w:val="both"/>
              <w:rPr>
                <w:rFonts w:asciiTheme="minorHAnsi" w:hAnsiTheme="minorHAnsi"/>
                <w:sz w:val="22"/>
                <w:szCs w:val="22"/>
                <w:lang w:val="lv-LV"/>
              </w:rPr>
            </w:pPr>
            <w:r w:rsidRPr="72B40892">
              <w:rPr>
                <w:rFonts w:asciiTheme="minorHAnsi" w:hAnsiTheme="minorHAnsi"/>
                <w:sz w:val="22"/>
                <w:szCs w:val="22"/>
                <w:lang w:val="lv-LV"/>
              </w:rPr>
              <w:t>35.0</w:t>
            </w:r>
          </w:p>
        </w:tc>
        <w:tc>
          <w:tcPr>
            <w:tcW w:w="1064" w:type="dxa"/>
          </w:tcPr>
          <w:p w14:paraId="224F8D0B" w14:textId="7CCB042E" w:rsidR="00D20F0C" w:rsidRPr="00D20F0C" w:rsidRDefault="3875D335" w:rsidP="72B40892">
            <w:pPr>
              <w:jc w:val="both"/>
              <w:rPr>
                <w:rFonts w:asciiTheme="minorHAnsi" w:hAnsiTheme="minorHAnsi"/>
                <w:sz w:val="22"/>
                <w:szCs w:val="22"/>
                <w:lang w:val="lv-LV"/>
              </w:rPr>
            </w:pPr>
            <w:r w:rsidRPr="72B40892">
              <w:rPr>
                <w:rFonts w:asciiTheme="minorHAnsi" w:hAnsiTheme="minorHAnsi"/>
                <w:sz w:val="22"/>
                <w:szCs w:val="22"/>
                <w:lang w:val="lv-LV"/>
              </w:rPr>
              <w:t>25.0</w:t>
            </w:r>
          </w:p>
        </w:tc>
        <w:tc>
          <w:tcPr>
            <w:tcW w:w="1063" w:type="dxa"/>
          </w:tcPr>
          <w:p w14:paraId="60E296E4" w14:textId="656F8DFB" w:rsidR="00D20F0C" w:rsidRPr="00D20F0C" w:rsidRDefault="3875D335" w:rsidP="72B40892">
            <w:pPr>
              <w:jc w:val="both"/>
              <w:rPr>
                <w:rFonts w:asciiTheme="minorHAnsi" w:hAnsiTheme="minorHAnsi"/>
                <w:sz w:val="22"/>
                <w:szCs w:val="22"/>
                <w:lang w:val="lv-LV"/>
              </w:rPr>
            </w:pPr>
            <w:r w:rsidRPr="72B40892">
              <w:rPr>
                <w:rFonts w:asciiTheme="minorHAnsi" w:hAnsiTheme="minorHAnsi"/>
                <w:sz w:val="22"/>
                <w:szCs w:val="22"/>
                <w:lang w:val="lv-LV"/>
              </w:rPr>
              <w:t>250</w:t>
            </w:r>
            <w:r w:rsidR="00D20F0C" w:rsidRPr="72B40892">
              <w:rPr>
                <w:rFonts w:asciiTheme="minorHAnsi" w:hAnsiTheme="minorHAnsi"/>
                <w:sz w:val="22"/>
                <w:szCs w:val="22"/>
                <w:lang w:val="lv-LV"/>
              </w:rPr>
              <w:t>.0</w:t>
            </w:r>
          </w:p>
        </w:tc>
        <w:tc>
          <w:tcPr>
            <w:tcW w:w="1064" w:type="dxa"/>
          </w:tcPr>
          <w:p w14:paraId="6FC395FF" w14:textId="228F4B77" w:rsidR="00D20F0C" w:rsidRPr="00D20F0C" w:rsidRDefault="3875D335" w:rsidP="72B40892">
            <w:pPr>
              <w:jc w:val="both"/>
              <w:rPr>
                <w:rFonts w:asciiTheme="minorHAnsi" w:hAnsiTheme="minorHAnsi"/>
                <w:sz w:val="22"/>
                <w:szCs w:val="22"/>
                <w:lang w:val="lv-LV"/>
              </w:rPr>
            </w:pPr>
            <w:r w:rsidRPr="72B40892">
              <w:rPr>
                <w:rFonts w:asciiTheme="minorHAnsi" w:hAnsiTheme="minorHAnsi"/>
                <w:sz w:val="22"/>
                <w:szCs w:val="22"/>
                <w:lang w:val="lv-LV"/>
              </w:rPr>
              <w:t>11.2</w:t>
            </w:r>
          </w:p>
        </w:tc>
      </w:tr>
      <w:tr w:rsidR="00D20F0C" w:rsidRPr="00D20F0C" w14:paraId="025BB5DF" w14:textId="77777777" w:rsidTr="72B40892">
        <w:tc>
          <w:tcPr>
            <w:tcW w:w="4023" w:type="dxa"/>
            <w:hideMark/>
          </w:tcPr>
          <w:p w14:paraId="2A47BCD4" w14:textId="77777777" w:rsidR="00D20F0C" w:rsidRPr="00D20F0C" w:rsidRDefault="00D20F0C" w:rsidP="72B40892">
            <w:pPr>
              <w:jc w:val="both"/>
              <w:rPr>
                <w:rFonts w:asciiTheme="minorHAnsi" w:hAnsiTheme="minorHAnsi"/>
                <w:sz w:val="22"/>
                <w:szCs w:val="22"/>
                <w:lang w:val="lv-LV"/>
              </w:rPr>
            </w:pPr>
            <w:r w:rsidRPr="72B40892">
              <w:rPr>
                <w:rFonts w:asciiTheme="minorHAnsi" w:hAnsiTheme="minorHAnsi"/>
                <w:sz w:val="22"/>
                <w:szCs w:val="22"/>
                <w:lang w:val="lv-LV"/>
              </w:rPr>
              <w:t>Atbalsts autoceļu nozarei</w:t>
            </w:r>
          </w:p>
        </w:tc>
        <w:tc>
          <w:tcPr>
            <w:tcW w:w="1063" w:type="dxa"/>
          </w:tcPr>
          <w:p w14:paraId="1D23E78F" w14:textId="77777777" w:rsidR="00D20F0C" w:rsidRPr="00D20F0C" w:rsidRDefault="00D20F0C" w:rsidP="72B40892">
            <w:pPr>
              <w:jc w:val="both"/>
              <w:rPr>
                <w:rFonts w:asciiTheme="minorHAnsi" w:hAnsiTheme="minorHAnsi"/>
                <w:sz w:val="22"/>
                <w:szCs w:val="22"/>
                <w:lang w:val="lv-LV"/>
              </w:rPr>
            </w:pPr>
            <w:r w:rsidRPr="72B40892">
              <w:rPr>
                <w:rFonts w:asciiTheme="minorHAnsi" w:hAnsiTheme="minorHAnsi"/>
                <w:sz w:val="22"/>
                <w:szCs w:val="22"/>
                <w:lang w:val="lv-LV"/>
              </w:rPr>
              <w:t>75.0</w:t>
            </w:r>
          </w:p>
        </w:tc>
        <w:tc>
          <w:tcPr>
            <w:tcW w:w="1063" w:type="dxa"/>
            <w:vAlign w:val="bottom"/>
          </w:tcPr>
          <w:p w14:paraId="05772AED" w14:textId="77777777" w:rsidR="00D20F0C" w:rsidRPr="00D20F0C" w:rsidRDefault="00D20F0C" w:rsidP="72B40892">
            <w:pPr>
              <w:jc w:val="both"/>
              <w:rPr>
                <w:rFonts w:asciiTheme="minorHAnsi" w:hAnsiTheme="minorHAnsi"/>
                <w:sz w:val="22"/>
                <w:szCs w:val="22"/>
                <w:lang w:val="lv-LV"/>
              </w:rPr>
            </w:pPr>
          </w:p>
        </w:tc>
        <w:tc>
          <w:tcPr>
            <w:tcW w:w="1064" w:type="dxa"/>
          </w:tcPr>
          <w:p w14:paraId="47B66EA2" w14:textId="77777777" w:rsidR="00D20F0C" w:rsidRPr="00D20F0C" w:rsidRDefault="00D20F0C" w:rsidP="72B40892">
            <w:pPr>
              <w:jc w:val="both"/>
              <w:rPr>
                <w:rFonts w:asciiTheme="minorHAnsi" w:hAnsiTheme="minorHAnsi"/>
                <w:sz w:val="22"/>
                <w:szCs w:val="22"/>
                <w:lang w:val="lv-LV"/>
              </w:rPr>
            </w:pPr>
          </w:p>
        </w:tc>
        <w:tc>
          <w:tcPr>
            <w:tcW w:w="1063" w:type="dxa"/>
          </w:tcPr>
          <w:p w14:paraId="3CBF20F5" w14:textId="77777777" w:rsidR="00D20F0C" w:rsidRPr="00D20F0C" w:rsidRDefault="00D20F0C" w:rsidP="72B40892">
            <w:pPr>
              <w:jc w:val="both"/>
              <w:rPr>
                <w:rFonts w:asciiTheme="minorHAnsi" w:hAnsiTheme="minorHAnsi"/>
                <w:sz w:val="22"/>
                <w:szCs w:val="22"/>
                <w:lang w:val="lv-LV"/>
              </w:rPr>
            </w:pPr>
            <w:r w:rsidRPr="72B40892">
              <w:rPr>
                <w:rFonts w:asciiTheme="minorHAnsi" w:hAnsiTheme="minorHAnsi"/>
                <w:sz w:val="22"/>
                <w:szCs w:val="22"/>
                <w:lang w:val="lv-LV"/>
              </w:rPr>
              <w:t>75.0</w:t>
            </w:r>
          </w:p>
        </w:tc>
        <w:tc>
          <w:tcPr>
            <w:tcW w:w="1064" w:type="dxa"/>
          </w:tcPr>
          <w:p w14:paraId="0B602442" w14:textId="63720CD5" w:rsidR="00D20F0C" w:rsidRPr="00D20F0C" w:rsidRDefault="00D20F0C" w:rsidP="72B40892">
            <w:pPr>
              <w:jc w:val="both"/>
              <w:rPr>
                <w:rFonts w:asciiTheme="minorHAnsi" w:hAnsiTheme="minorHAnsi"/>
                <w:sz w:val="22"/>
                <w:szCs w:val="22"/>
                <w:lang w:val="lv-LV"/>
              </w:rPr>
            </w:pPr>
            <w:r w:rsidRPr="72B40892">
              <w:rPr>
                <w:rFonts w:asciiTheme="minorHAnsi" w:hAnsiTheme="minorHAnsi"/>
                <w:sz w:val="22"/>
                <w:szCs w:val="22"/>
                <w:lang w:val="lv-LV"/>
              </w:rPr>
              <w:t>3</w:t>
            </w:r>
            <w:r w:rsidR="3875D335" w:rsidRPr="72B40892">
              <w:rPr>
                <w:rFonts w:asciiTheme="minorHAnsi" w:hAnsiTheme="minorHAnsi"/>
                <w:sz w:val="22"/>
                <w:szCs w:val="22"/>
                <w:lang w:val="lv-LV"/>
              </w:rPr>
              <w:t>.4</w:t>
            </w:r>
          </w:p>
        </w:tc>
      </w:tr>
      <w:tr w:rsidR="00D20F0C" w:rsidRPr="00D20F0C" w14:paraId="2EB0E7A2" w14:textId="77777777" w:rsidTr="72B40892">
        <w:tc>
          <w:tcPr>
            <w:tcW w:w="4023" w:type="dxa"/>
            <w:hideMark/>
          </w:tcPr>
          <w:p w14:paraId="135CE0D7" w14:textId="77777777" w:rsidR="00D20F0C" w:rsidRPr="00D20F0C" w:rsidRDefault="00D20F0C" w:rsidP="72B40892">
            <w:pPr>
              <w:jc w:val="both"/>
              <w:rPr>
                <w:rFonts w:asciiTheme="minorHAnsi" w:hAnsiTheme="minorHAnsi"/>
                <w:sz w:val="22"/>
                <w:szCs w:val="22"/>
                <w:lang w:val="lv-LV"/>
              </w:rPr>
            </w:pPr>
            <w:r w:rsidRPr="72B40892">
              <w:rPr>
                <w:rFonts w:asciiTheme="minorHAnsi" w:hAnsiTheme="minorHAnsi"/>
                <w:sz w:val="22"/>
                <w:szCs w:val="22"/>
                <w:lang w:val="lv-LV"/>
              </w:rPr>
              <w:t>Atbalsts uzņēmumiem starptautiskajai konkurētspējai</w:t>
            </w:r>
          </w:p>
        </w:tc>
        <w:tc>
          <w:tcPr>
            <w:tcW w:w="1063" w:type="dxa"/>
          </w:tcPr>
          <w:p w14:paraId="6D2A4DC1" w14:textId="77777777" w:rsidR="00D20F0C" w:rsidRPr="00D20F0C" w:rsidRDefault="00D20F0C" w:rsidP="72B40892">
            <w:pPr>
              <w:jc w:val="both"/>
              <w:rPr>
                <w:rFonts w:asciiTheme="minorHAnsi" w:hAnsiTheme="minorHAnsi"/>
                <w:sz w:val="22"/>
                <w:szCs w:val="22"/>
                <w:lang w:val="lv-LV"/>
              </w:rPr>
            </w:pPr>
          </w:p>
        </w:tc>
        <w:tc>
          <w:tcPr>
            <w:tcW w:w="1063" w:type="dxa"/>
            <w:vAlign w:val="bottom"/>
          </w:tcPr>
          <w:p w14:paraId="0AF5D80F" w14:textId="77777777" w:rsidR="00D20F0C" w:rsidRPr="00D20F0C" w:rsidRDefault="00D20F0C" w:rsidP="72B40892">
            <w:pPr>
              <w:jc w:val="both"/>
              <w:rPr>
                <w:rFonts w:asciiTheme="minorHAnsi" w:hAnsiTheme="minorHAnsi"/>
                <w:sz w:val="22"/>
                <w:szCs w:val="22"/>
                <w:lang w:val="lv-LV"/>
              </w:rPr>
            </w:pPr>
            <w:r w:rsidRPr="72B40892">
              <w:rPr>
                <w:rFonts w:asciiTheme="minorHAnsi" w:hAnsiTheme="minorHAnsi"/>
                <w:sz w:val="22"/>
                <w:szCs w:val="22"/>
                <w:lang w:val="lv-LV"/>
              </w:rPr>
              <w:t>17.8</w:t>
            </w:r>
          </w:p>
        </w:tc>
        <w:tc>
          <w:tcPr>
            <w:tcW w:w="1064" w:type="dxa"/>
          </w:tcPr>
          <w:p w14:paraId="146E5D24" w14:textId="77777777" w:rsidR="00D20F0C" w:rsidRPr="00D20F0C" w:rsidRDefault="00D20F0C" w:rsidP="72B40892">
            <w:pPr>
              <w:jc w:val="both"/>
              <w:rPr>
                <w:rFonts w:asciiTheme="minorHAnsi" w:hAnsiTheme="minorHAnsi"/>
                <w:sz w:val="22"/>
                <w:szCs w:val="22"/>
                <w:lang w:val="lv-LV"/>
              </w:rPr>
            </w:pPr>
          </w:p>
        </w:tc>
        <w:tc>
          <w:tcPr>
            <w:tcW w:w="1063" w:type="dxa"/>
          </w:tcPr>
          <w:p w14:paraId="68F7EF90" w14:textId="77777777" w:rsidR="00D20F0C" w:rsidRPr="00D20F0C" w:rsidRDefault="00D20F0C" w:rsidP="72B40892">
            <w:pPr>
              <w:jc w:val="both"/>
              <w:rPr>
                <w:rFonts w:asciiTheme="minorHAnsi" w:hAnsiTheme="minorHAnsi"/>
                <w:sz w:val="22"/>
                <w:szCs w:val="22"/>
                <w:lang w:val="lv-LV"/>
              </w:rPr>
            </w:pPr>
          </w:p>
          <w:p w14:paraId="0AAE5E14" w14:textId="77777777" w:rsidR="00D20F0C" w:rsidRPr="00D20F0C" w:rsidRDefault="00D20F0C" w:rsidP="72B40892">
            <w:pPr>
              <w:jc w:val="both"/>
              <w:rPr>
                <w:rFonts w:asciiTheme="minorHAnsi" w:hAnsiTheme="minorHAnsi"/>
                <w:sz w:val="22"/>
                <w:szCs w:val="22"/>
                <w:lang w:val="lv-LV"/>
              </w:rPr>
            </w:pPr>
            <w:r w:rsidRPr="72B40892">
              <w:rPr>
                <w:rFonts w:asciiTheme="minorHAnsi" w:hAnsiTheme="minorHAnsi"/>
                <w:sz w:val="22"/>
                <w:szCs w:val="22"/>
                <w:lang w:val="lv-LV"/>
              </w:rPr>
              <w:t>17.8</w:t>
            </w:r>
          </w:p>
        </w:tc>
        <w:tc>
          <w:tcPr>
            <w:tcW w:w="1064" w:type="dxa"/>
          </w:tcPr>
          <w:p w14:paraId="5E5BD4EB" w14:textId="77777777" w:rsidR="00D20F0C" w:rsidRPr="00D20F0C" w:rsidRDefault="00D20F0C" w:rsidP="72B40892">
            <w:pPr>
              <w:jc w:val="both"/>
              <w:rPr>
                <w:rFonts w:asciiTheme="minorHAnsi" w:hAnsiTheme="minorHAnsi"/>
                <w:sz w:val="22"/>
                <w:szCs w:val="22"/>
                <w:lang w:val="lv-LV"/>
              </w:rPr>
            </w:pPr>
          </w:p>
          <w:p w14:paraId="0404294B" w14:textId="6BE6807F" w:rsidR="00D20F0C" w:rsidRPr="00D20F0C" w:rsidRDefault="3875D335" w:rsidP="72B40892">
            <w:pPr>
              <w:jc w:val="both"/>
              <w:rPr>
                <w:rFonts w:asciiTheme="minorHAnsi" w:hAnsiTheme="minorHAnsi"/>
                <w:sz w:val="22"/>
                <w:szCs w:val="22"/>
                <w:lang w:val="lv-LV"/>
              </w:rPr>
            </w:pPr>
            <w:r w:rsidRPr="72B40892">
              <w:rPr>
                <w:rFonts w:asciiTheme="minorHAnsi" w:hAnsiTheme="minorHAnsi"/>
                <w:sz w:val="22"/>
                <w:szCs w:val="22"/>
                <w:lang w:val="lv-LV"/>
              </w:rPr>
              <w:t>0.8</w:t>
            </w:r>
          </w:p>
        </w:tc>
      </w:tr>
      <w:tr w:rsidR="00D20F0C" w:rsidRPr="00D20F0C" w14:paraId="518848AB" w14:textId="77777777" w:rsidTr="72B40892">
        <w:tc>
          <w:tcPr>
            <w:tcW w:w="4023" w:type="dxa"/>
            <w:hideMark/>
          </w:tcPr>
          <w:p w14:paraId="53B2ECF8" w14:textId="77777777" w:rsidR="00D20F0C" w:rsidRPr="00D20F0C" w:rsidRDefault="00D20F0C" w:rsidP="72B40892">
            <w:pPr>
              <w:jc w:val="both"/>
              <w:rPr>
                <w:rFonts w:asciiTheme="minorHAnsi" w:hAnsiTheme="minorHAnsi"/>
                <w:sz w:val="22"/>
                <w:szCs w:val="22"/>
                <w:lang w:val="lv-LV"/>
              </w:rPr>
            </w:pPr>
            <w:r w:rsidRPr="72B40892">
              <w:rPr>
                <w:rFonts w:asciiTheme="minorHAnsi" w:hAnsiTheme="minorHAnsi"/>
                <w:sz w:val="22"/>
                <w:szCs w:val="22"/>
                <w:lang w:val="lv-LV"/>
              </w:rPr>
              <w:t>Atbalsts lauksaimniecības un pārtikas ražošanas nozares uzņēmumiem</w:t>
            </w:r>
          </w:p>
        </w:tc>
        <w:tc>
          <w:tcPr>
            <w:tcW w:w="1063" w:type="dxa"/>
          </w:tcPr>
          <w:p w14:paraId="1239CC00" w14:textId="77777777" w:rsidR="00D20F0C" w:rsidRPr="00D20F0C" w:rsidRDefault="00D20F0C" w:rsidP="72B40892">
            <w:pPr>
              <w:jc w:val="both"/>
              <w:rPr>
                <w:rFonts w:asciiTheme="minorHAnsi" w:hAnsiTheme="minorHAnsi"/>
                <w:sz w:val="22"/>
                <w:szCs w:val="22"/>
                <w:lang w:val="lv-LV"/>
              </w:rPr>
            </w:pPr>
            <w:r w:rsidRPr="72B40892">
              <w:rPr>
                <w:rFonts w:asciiTheme="minorHAnsi" w:hAnsiTheme="minorHAnsi"/>
                <w:sz w:val="22"/>
                <w:szCs w:val="22"/>
                <w:lang w:val="lv-LV"/>
              </w:rPr>
              <w:t>56.3</w:t>
            </w:r>
          </w:p>
        </w:tc>
        <w:tc>
          <w:tcPr>
            <w:tcW w:w="1063" w:type="dxa"/>
            <w:vAlign w:val="bottom"/>
          </w:tcPr>
          <w:p w14:paraId="4E53D0AD" w14:textId="77777777" w:rsidR="00D20F0C" w:rsidRPr="00D20F0C" w:rsidRDefault="00D20F0C" w:rsidP="72B40892">
            <w:pPr>
              <w:jc w:val="both"/>
              <w:rPr>
                <w:rFonts w:asciiTheme="minorHAnsi" w:hAnsiTheme="minorHAnsi"/>
                <w:sz w:val="22"/>
                <w:szCs w:val="22"/>
                <w:lang w:val="lv-LV"/>
              </w:rPr>
            </w:pPr>
          </w:p>
        </w:tc>
        <w:tc>
          <w:tcPr>
            <w:tcW w:w="1064" w:type="dxa"/>
          </w:tcPr>
          <w:p w14:paraId="00794AED" w14:textId="60ABCEFE" w:rsidR="00D20F0C" w:rsidRPr="00D20F0C" w:rsidRDefault="3875D335" w:rsidP="72B40892">
            <w:pPr>
              <w:jc w:val="both"/>
              <w:rPr>
                <w:rFonts w:asciiTheme="minorHAnsi" w:hAnsiTheme="minorHAnsi"/>
                <w:sz w:val="22"/>
                <w:szCs w:val="22"/>
                <w:lang w:val="lv-LV"/>
              </w:rPr>
            </w:pPr>
            <w:r w:rsidRPr="72B40892">
              <w:rPr>
                <w:rFonts w:asciiTheme="minorHAnsi" w:hAnsiTheme="minorHAnsi"/>
                <w:sz w:val="22"/>
                <w:szCs w:val="22"/>
                <w:lang w:val="lv-LV"/>
              </w:rPr>
              <w:t>117.1</w:t>
            </w:r>
          </w:p>
        </w:tc>
        <w:tc>
          <w:tcPr>
            <w:tcW w:w="1063" w:type="dxa"/>
          </w:tcPr>
          <w:p w14:paraId="483C23EA" w14:textId="03D324A3" w:rsidR="00D20F0C" w:rsidRPr="00D20F0C" w:rsidRDefault="3875D335" w:rsidP="72B40892">
            <w:pPr>
              <w:jc w:val="both"/>
              <w:rPr>
                <w:rFonts w:asciiTheme="minorHAnsi" w:hAnsiTheme="minorHAnsi"/>
                <w:sz w:val="22"/>
                <w:szCs w:val="22"/>
                <w:lang w:val="lv-LV"/>
              </w:rPr>
            </w:pPr>
            <w:r w:rsidRPr="72B40892">
              <w:rPr>
                <w:rFonts w:asciiTheme="minorHAnsi" w:hAnsiTheme="minorHAnsi"/>
                <w:sz w:val="22"/>
                <w:szCs w:val="22"/>
                <w:lang w:val="lv-LV"/>
              </w:rPr>
              <w:t>173.4</w:t>
            </w:r>
          </w:p>
        </w:tc>
        <w:tc>
          <w:tcPr>
            <w:tcW w:w="1064" w:type="dxa"/>
          </w:tcPr>
          <w:p w14:paraId="463A9C3A" w14:textId="3882DEB0" w:rsidR="00D20F0C" w:rsidRPr="00D20F0C" w:rsidRDefault="3875D335" w:rsidP="72B40892">
            <w:pPr>
              <w:jc w:val="both"/>
              <w:rPr>
                <w:rFonts w:asciiTheme="minorHAnsi" w:hAnsiTheme="minorHAnsi"/>
                <w:sz w:val="22"/>
                <w:szCs w:val="22"/>
                <w:lang w:val="lv-LV"/>
              </w:rPr>
            </w:pPr>
            <w:r w:rsidRPr="72B40892">
              <w:rPr>
                <w:rFonts w:asciiTheme="minorHAnsi" w:hAnsiTheme="minorHAnsi"/>
                <w:sz w:val="22"/>
                <w:szCs w:val="22"/>
                <w:lang w:val="lv-LV"/>
              </w:rPr>
              <w:t>7.</w:t>
            </w:r>
            <w:r w:rsidR="00D20F0C" w:rsidRPr="72B40892">
              <w:rPr>
                <w:rFonts w:asciiTheme="minorHAnsi" w:hAnsiTheme="minorHAnsi"/>
                <w:sz w:val="22"/>
                <w:szCs w:val="22"/>
                <w:lang w:val="lv-LV"/>
              </w:rPr>
              <w:t>8</w:t>
            </w:r>
          </w:p>
        </w:tc>
      </w:tr>
      <w:tr w:rsidR="00D20F0C" w:rsidRPr="00D20F0C" w14:paraId="63535B08" w14:textId="77777777" w:rsidTr="72B40892">
        <w:tc>
          <w:tcPr>
            <w:tcW w:w="4023" w:type="dxa"/>
            <w:shd w:val="clear" w:color="auto" w:fill="BDD6EE" w:themeFill="accent1" w:themeFillTint="66"/>
            <w:hideMark/>
          </w:tcPr>
          <w:p w14:paraId="74589BAA" w14:textId="77777777" w:rsidR="00D20F0C" w:rsidRPr="00D20F0C" w:rsidRDefault="00D20F0C" w:rsidP="009A1EF2">
            <w:pPr>
              <w:jc w:val="both"/>
              <w:rPr>
                <w:rFonts w:asciiTheme="minorHAnsi" w:hAnsiTheme="minorHAnsi"/>
                <w:b/>
                <w:bCs/>
                <w:sz w:val="22"/>
                <w:szCs w:val="22"/>
                <w:lang w:val="lv-LV"/>
              </w:rPr>
            </w:pPr>
            <w:r w:rsidRPr="00D20F0C">
              <w:rPr>
                <w:rFonts w:asciiTheme="minorHAnsi" w:hAnsiTheme="minorHAnsi"/>
                <w:b/>
                <w:bCs/>
                <w:sz w:val="22"/>
                <w:szCs w:val="22"/>
                <w:lang w:val="lv-LV"/>
              </w:rPr>
              <w:t>Atbalsts valsts AS un sektoriem</w:t>
            </w:r>
          </w:p>
        </w:tc>
        <w:tc>
          <w:tcPr>
            <w:tcW w:w="1063" w:type="dxa"/>
            <w:shd w:val="clear" w:color="auto" w:fill="BDD6EE" w:themeFill="accent1" w:themeFillTint="66"/>
          </w:tcPr>
          <w:p w14:paraId="0658B6E8" w14:textId="77777777" w:rsidR="00D20F0C" w:rsidRPr="00D20F0C" w:rsidRDefault="00D20F0C" w:rsidP="009A1EF2">
            <w:pPr>
              <w:jc w:val="both"/>
              <w:rPr>
                <w:rFonts w:asciiTheme="minorHAnsi" w:hAnsiTheme="minorHAnsi"/>
                <w:b/>
                <w:bCs/>
                <w:sz w:val="22"/>
                <w:szCs w:val="22"/>
                <w:lang w:val="lv-LV"/>
              </w:rPr>
            </w:pPr>
            <w:r w:rsidRPr="00D20F0C">
              <w:rPr>
                <w:rFonts w:asciiTheme="minorHAnsi" w:hAnsiTheme="minorHAnsi"/>
                <w:b/>
                <w:bCs/>
                <w:sz w:val="22"/>
                <w:szCs w:val="22"/>
                <w:lang w:val="lv-LV"/>
              </w:rPr>
              <w:t>811.5</w:t>
            </w:r>
          </w:p>
        </w:tc>
        <w:tc>
          <w:tcPr>
            <w:tcW w:w="1063" w:type="dxa"/>
            <w:shd w:val="clear" w:color="auto" w:fill="BDD6EE" w:themeFill="accent1" w:themeFillTint="66"/>
            <w:vAlign w:val="bottom"/>
          </w:tcPr>
          <w:p w14:paraId="146D965C" w14:textId="77777777" w:rsidR="00D20F0C" w:rsidRPr="00D20F0C" w:rsidRDefault="00D20F0C" w:rsidP="009A1EF2">
            <w:pPr>
              <w:jc w:val="both"/>
              <w:rPr>
                <w:rFonts w:asciiTheme="minorHAnsi" w:hAnsiTheme="minorHAnsi"/>
                <w:b/>
                <w:bCs/>
                <w:sz w:val="22"/>
                <w:szCs w:val="22"/>
                <w:lang w:val="lv-LV"/>
              </w:rPr>
            </w:pPr>
            <w:r w:rsidRPr="00D20F0C">
              <w:rPr>
                <w:rFonts w:asciiTheme="minorHAnsi" w:hAnsiTheme="minorHAnsi"/>
                <w:b/>
                <w:bCs/>
                <w:sz w:val="22"/>
                <w:szCs w:val="22"/>
                <w:lang w:val="lv-LV"/>
              </w:rPr>
              <w:t>354.5</w:t>
            </w:r>
          </w:p>
        </w:tc>
        <w:tc>
          <w:tcPr>
            <w:tcW w:w="1064" w:type="dxa"/>
            <w:shd w:val="clear" w:color="auto" w:fill="BDD6EE" w:themeFill="accent1" w:themeFillTint="66"/>
          </w:tcPr>
          <w:p w14:paraId="4B2E041D" w14:textId="77777777" w:rsidR="00D20F0C" w:rsidRPr="00D20F0C" w:rsidRDefault="00D20F0C" w:rsidP="009A1EF2">
            <w:pPr>
              <w:jc w:val="both"/>
              <w:rPr>
                <w:rFonts w:asciiTheme="minorHAnsi" w:hAnsiTheme="minorHAnsi"/>
                <w:b/>
                <w:bCs/>
                <w:sz w:val="22"/>
                <w:szCs w:val="22"/>
                <w:lang w:val="lv-LV"/>
              </w:rPr>
            </w:pPr>
            <w:r w:rsidRPr="00D20F0C">
              <w:rPr>
                <w:rFonts w:asciiTheme="minorHAnsi" w:hAnsiTheme="minorHAnsi"/>
                <w:b/>
                <w:bCs/>
                <w:sz w:val="22"/>
                <w:szCs w:val="22"/>
                <w:lang w:val="lv-LV"/>
              </w:rPr>
              <w:t>135.8</w:t>
            </w:r>
          </w:p>
        </w:tc>
        <w:tc>
          <w:tcPr>
            <w:tcW w:w="1063" w:type="dxa"/>
            <w:shd w:val="clear" w:color="auto" w:fill="BDD6EE" w:themeFill="accent1" w:themeFillTint="66"/>
          </w:tcPr>
          <w:p w14:paraId="3F60AB52" w14:textId="77777777" w:rsidR="00D20F0C" w:rsidRPr="00D20F0C" w:rsidRDefault="00D20F0C" w:rsidP="009A1EF2">
            <w:pPr>
              <w:jc w:val="both"/>
              <w:rPr>
                <w:rFonts w:asciiTheme="minorHAnsi" w:hAnsiTheme="minorHAnsi"/>
                <w:b/>
                <w:bCs/>
                <w:sz w:val="22"/>
                <w:szCs w:val="22"/>
                <w:lang w:val="lv-LV"/>
              </w:rPr>
            </w:pPr>
            <w:r w:rsidRPr="00D20F0C">
              <w:rPr>
                <w:rFonts w:asciiTheme="minorHAnsi" w:hAnsiTheme="minorHAnsi"/>
                <w:b/>
                <w:bCs/>
                <w:sz w:val="22"/>
                <w:szCs w:val="22"/>
                <w:lang w:val="lv-LV"/>
              </w:rPr>
              <w:t>1301.9</w:t>
            </w:r>
          </w:p>
        </w:tc>
        <w:tc>
          <w:tcPr>
            <w:tcW w:w="1064" w:type="dxa"/>
            <w:shd w:val="clear" w:color="auto" w:fill="BDD6EE" w:themeFill="accent1" w:themeFillTint="66"/>
          </w:tcPr>
          <w:p w14:paraId="7A993A02" w14:textId="77777777" w:rsidR="00D20F0C" w:rsidRPr="00D20F0C" w:rsidRDefault="00D20F0C" w:rsidP="009A1EF2">
            <w:pPr>
              <w:jc w:val="both"/>
              <w:rPr>
                <w:rFonts w:asciiTheme="minorHAnsi" w:hAnsiTheme="minorHAnsi"/>
                <w:b/>
                <w:bCs/>
                <w:sz w:val="22"/>
                <w:szCs w:val="22"/>
                <w:lang w:val="lv-LV"/>
              </w:rPr>
            </w:pPr>
            <w:r w:rsidRPr="00D20F0C">
              <w:rPr>
                <w:rFonts w:asciiTheme="minorHAnsi" w:hAnsiTheme="minorHAnsi"/>
                <w:b/>
                <w:bCs/>
                <w:sz w:val="22"/>
                <w:szCs w:val="22"/>
                <w:lang w:val="lv-LV"/>
              </w:rPr>
              <w:t>58</w:t>
            </w:r>
          </w:p>
        </w:tc>
      </w:tr>
      <w:tr w:rsidR="00D20F0C" w:rsidRPr="00D20F0C" w14:paraId="0E44594A" w14:textId="77777777" w:rsidTr="72B40892">
        <w:tc>
          <w:tcPr>
            <w:tcW w:w="4023" w:type="dxa"/>
            <w:hideMark/>
          </w:tcPr>
          <w:p w14:paraId="0FD828F0" w14:textId="77777777" w:rsidR="00D20F0C" w:rsidRPr="00D20F0C" w:rsidRDefault="00D20F0C" w:rsidP="72B40892">
            <w:pPr>
              <w:jc w:val="both"/>
              <w:rPr>
                <w:rFonts w:asciiTheme="minorHAnsi" w:hAnsiTheme="minorHAnsi"/>
                <w:sz w:val="22"/>
                <w:szCs w:val="22"/>
                <w:lang w:val="lv-LV"/>
              </w:rPr>
            </w:pPr>
            <w:r w:rsidRPr="72B40892">
              <w:rPr>
                <w:rFonts w:asciiTheme="minorHAnsi" w:hAnsiTheme="minorHAnsi"/>
                <w:sz w:val="22"/>
                <w:szCs w:val="22"/>
                <w:lang w:val="lv-LV"/>
              </w:rPr>
              <w:t xml:space="preserve"> Atbalsts aviopārvadājumu nozarei</w:t>
            </w:r>
          </w:p>
        </w:tc>
        <w:tc>
          <w:tcPr>
            <w:tcW w:w="1063" w:type="dxa"/>
          </w:tcPr>
          <w:p w14:paraId="72A7294B" w14:textId="77777777" w:rsidR="00D20F0C" w:rsidRPr="00D20F0C" w:rsidRDefault="00D20F0C" w:rsidP="72B40892">
            <w:pPr>
              <w:jc w:val="both"/>
              <w:rPr>
                <w:rFonts w:asciiTheme="minorHAnsi" w:hAnsiTheme="minorHAnsi"/>
                <w:sz w:val="22"/>
                <w:szCs w:val="22"/>
                <w:lang w:val="lv-LV"/>
              </w:rPr>
            </w:pPr>
            <w:r w:rsidRPr="72B40892">
              <w:rPr>
                <w:rFonts w:asciiTheme="minorHAnsi" w:hAnsiTheme="minorHAnsi"/>
                <w:sz w:val="22"/>
                <w:szCs w:val="22"/>
                <w:lang w:val="lv-LV"/>
              </w:rPr>
              <w:t>310.4</w:t>
            </w:r>
          </w:p>
        </w:tc>
        <w:tc>
          <w:tcPr>
            <w:tcW w:w="1063" w:type="dxa"/>
            <w:vAlign w:val="bottom"/>
          </w:tcPr>
          <w:p w14:paraId="11E82599" w14:textId="77777777" w:rsidR="00D20F0C" w:rsidRPr="00D20F0C" w:rsidRDefault="00D20F0C" w:rsidP="72B40892">
            <w:pPr>
              <w:jc w:val="both"/>
              <w:rPr>
                <w:rFonts w:asciiTheme="minorHAnsi" w:hAnsiTheme="minorHAnsi"/>
                <w:sz w:val="22"/>
                <w:szCs w:val="22"/>
                <w:lang w:val="lv-LV"/>
              </w:rPr>
            </w:pPr>
          </w:p>
        </w:tc>
        <w:tc>
          <w:tcPr>
            <w:tcW w:w="1064" w:type="dxa"/>
          </w:tcPr>
          <w:p w14:paraId="11F72218" w14:textId="77777777" w:rsidR="00D20F0C" w:rsidRPr="00D20F0C" w:rsidRDefault="00D20F0C" w:rsidP="72B40892">
            <w:pPr>
              <w:jc w:val="both"/>
              <w:rPr>
                <w:rFonts w:asciiTheme="minorHAnsi" w:hAnsiTheme="minorHAnsi"/>
                <w:sz w:val="22"/>
                <w:szCs w:val="22"/>
                <w:lang w:val="lv-LV"/>
              </w:rPr>
            </w:pPr>
            <w:r w:rsidRPr="72B40892">
              <w:rPr>
                <w:rFonts w:asciiTheme="minorHAnsi" w:hAnsiTheme="minorHAnsi"/>
                <w:sz w:val="22"/>
                <w:szCs w:val="22"/>
                <w:lang w:val="lv-LV"/>
              </w:rPr>
              <w:t>36.1</w:t>
            </w:r>
          </w:p>
        </w:tc>
        <w:tc>
          <w:tcPr>
            <w:tcW w:w="1063" w:type="dxa"/>
          </w:tcPr>
          <w:p w14:paraId="50E3BF72" w14:textId="77777777" w:rsidR="00D20F0C" w:rsidRPr="00D20F0C" w:rsidRDefault="00D20F0C" w:rsidP="72B40892">
            <w:pPr>
              <w:jc w:val="both"/>
              <w:rPr>
                <w:rFonts w:asciiTheme="minorHAnsi" w:hAnsiTheme="minorHAnsi"/>
                <w:sz w:val="22"/>
                <w:szCs w:val="22"/>
                <w:lang w:val="lv-LV"/>
              </w:rPr>
            </w:pPr>
            <w:r w:rsidRPr="72B40892">
              <w:rPr>
                <w:rFonts w:asciiTheme="minorHAnsi" w:hAnsiTheme="minorHAnsi"/>
                <w:sz w:val="22"/>
                <w:szCs w:val="22"/>
                <w:lang w:val="lv-LV"/>
              </w:rPr>
              <w:t>346.5</w:t>
            </w:r>
          </w:p>
        </w:tc>
        <w:tc>
          <w:tcPr>
            <w:tcW w:w="1064" w:type="dxa"/>
          </w:tcPr>
          <w:p w14:paraId="4C345241" w14:textId="5684F380" w:rsidR="00D20F0C" w:rsidRPr="00D20F0C" w:rsidRDefault="00D20F0C" w:rsidP="72B40892">
            <w:pPr>
              <w:jc w:val="both"/>
              <w:rPr>
                <w:rFonts w:asciiTheme="minorHAnsi" w:hAnsiTheme="minorHAnsi"/>
                <w:sz w:val="22"/>
                <w:szCs w:val="22"/>
                <w:lang w:val="lv-LV"/>
              </w:rPr>
            </w:pPr>
            <w:r w:rsidRPr="72B40892">
              <w:rPr>
                <w:rFonts w:asciiTheme="minorHAnsi" w:hAnsiTheme="minorHAnsi"/>
                <w:sz w:val="22"/>
                <w:szCs w:val="22"/>
                <w:lang w:val="lv-LV"/>
              </w:rPr>
              <w:t>15</w:t>
            </w:r>
            <w:r w:rsidR="3875D335" w:rsidRPr="72B40892">
              <w:rPr>
                <w:rFonts w:asciiTheme="minorHAnsi" w:hAnsiTheme="minorHAnsi"/>
                <w:sz w:val="22"/>
                <w:szCs w:val="22"/>
                <w:lang w:val="lv-LV"/>
              </w:rPr>
              <w:t>.6</w:t>
            </w:r>
          </w:p>
        </w:tc>
      </w:tr>
      <w:tr w:rsidR="00D20F0C" w:rsidRPr="00D20F0C" w14:paraId="77F2574D" w14:textId="77777777" w:rsidTr="72B40892">
        <w:tc>
          <w:tcPr>
            <w:tcW w:w="4023" w:type="dxa"/>
            <w:hideMark/>
          </w:tcPr>
          <w:p w14:paraId="6F221EE8" w14:textId="77777777" w:rsidR="00D20F0C" w:rsidRPr="00D20F0C" w:rsidRDefault="00D20F0C" w:rsidP="72B40892">
            <w:pPr>
              <w:jc w:val="both"/>
              <w:rPr>
                <w:rFonts w:asciiTheme="minorHAnsi" w:hAnsiTheme="minorHAnsi"/>
                <w:sz w:val="22"/>
                <w:szCs w:val="22"/>
                <w:lang w:val="lv-LV"/>
              </w:rPr>
            </w:pPr>
            <w:r w:rsidRPr="72B40892">
              <w:rPr>
                <w:rFonts w:asciiTheme="minorHAnsi" w:hAnsiTheme="minorHAnsi"/>
                <w:sz w:val="22"/>
                <w:szCs w:val="22"/>
                <w:lang w:val="lv-LV"/>
              </w:rPr>
              <w:t>Atbalsts sabiedriskā transporta jomai</w:t>
            </w:r>
          </w:p>
        </w:tc>
        <w:tc>
          <w:tcPr>
            <w:tcW w:w="1063" w:type="dxa"/>
          </w:tcPr>
          <w:p w14:paraId="0B089EE0" w14:textId="77777777" w:rsidR="00D20F0C" w:rsidRPr="00D20F0C" w:rsidRDefault="00D20F0C" w:rsidP="72B40892">
            <w:pPr>
              <w:jc w:val="both"/>
              <w:rPr>
                <w:rFonts w:asciiTheme="minorHAnsi" w:hAnsiTheme="minorHAnsi"/>
                <w:sz w:val="22"/>
                <w:szCs w:val="22"/>
                <w:lang w:val="lv-LV"/>
              </w:rPr>
            </w:pPr>
            <w:r w:rsidRPr="72B40892">
              <w:rPr>
                <w:rFonts w:asciiTheme="minorHAnsi" w:hAnsiTheme="minorHAnsi"/>
                <w:sz w:val="22"/>
                <w:szCs w:val="22"/>
                <w:lang w:val="lv-LV"/>
              </w:rPr>
              <w:t>66.0</w:t>
            </w:r>
          </w:p>
        </w:tc>
        <w:tc>
          <w:tcPr>
            <w:tcW w:w="1063" w:type="dxa"/>
            <w:vAlign w:val="bottom"/>
          </w:tcPr>
          <w:p w14:paraId="64C39CC3" w14:textId="77777777" w:rsidR="00D20F0C" w:rsidRPr="00D20F0C" w:rsidRDefault="00D20F0C" w:rsidP="72B40892">
            <w:pPr>
              <w:jc w:val="both"/>
              <w:rPr>
                <w:rFonts w:asciiTheme="minorHAnsi" w:hAnsiTheme="minorHAnsi"/>
                <w:sz w:val="22"/>
                <w:szCs w:val="22"/>
                <w:lang w:val="lv-LV"/>
              </w:rPr>
            </w:pPr>
            <w:r w:rsidRPr="72B40892">
              <w:rPr>
                <w:rFonts w:asciiTheme="minorHAnsi" w:hAnsiTheme="minorHAnsi"/>
                <w:sz w:val="22"/>
                <w:szCs w:val="22"/>
                <w:lang w:val="lv-LV"/>
              </w:rPr>
              <w:t>283.0</w:t>
            </w:r>
          </w:p>
        </w:tc>
        <w:tc>
          <w:tcPr>
            <w:tcW w:w="1064" w:type="dxa"/>
          </w:tcPr>
          <w:p w14:paraId="3F61D72E" w14:textId="77777777" w:rsidR="00D20F0C" w:rsidRPr="00D20F0C" w:rsidRDefault="00D20F0C" w:rsidP="72B40892">
            <w:pPr>
              <w:jc w:val="both"/>
              <w:rPr>
                <w:rFonts w:asciiTheme="minorHAnsi" w:hAnsiTheme="minorHAnsi"/>
                <w:sz w:val="22"/>
                <w:szCs w:val="22"/>
                <w:lang w:val="lv-LV"/>
              </w:rPr>
            </w:pPr>
          </w:p>
        </w:tc>
        <w:tc>
          <w:tcPr>
            <w:tcW w:w="1063" w:type="dxa"/>
          </w:tcPr>
          <w:p w14:paraId="2788E098" w14:textId="77777777" w:rsidR="00D20F0C" w:rsidRPr="00D20F0C" w:rsidRDefault="00D20F0C" w:rsidP="72B40892">
            <w:pPr>
              <w:jc w:val="both"/>
              <w:rPr>
                <w:rFonts w:asciiTheme="minorHAnsi" w:hAnsiTheme="minorHAnsi"/>
                <w:sz w:val="22"/>
                <w:szCs w:val="22"/>
                <w:lang w:val="lv-LV"/>
              </w:rPr>
            </w:pPr>
            <w:r w:rsidRPr="72B40892">
              <w:rPr>
                <w:rFonts w:asciiTheme="minorHAnsi" w:hAnsiTheme="minorHAnsi"/>
                <w:sz w:val="22"/>
                <w:szCs w:val="22"/>
                <w:lang w:val="lv-LV"/>
              </w:rPr>
              <w:t>349.0</w:t>
            </w:r>
          </w:p>
        </w:tc>
        <w:tc>
          <w:tcPr>
            <w:tcW w:w="1064" w:type="dxa"/>
          </w:tcPr>
          <w:p w14:paraId="491CFBBD" w14:textId="2F784AD1" w:rsidR="00D20F0C" w:rsidRPr="00D20F0C" w:rsidRDefault="3875D335" w:rsidP="72B40892">
            <w:pPr>
              <w:jc w:val="both"/>
              <w:rPr>
                <w:rFonts w:asciiTheme="minorHAnsi" w:hAnsiTheme="minorHAnsi"/>
                <w:sz w:val="22"/>
                <w:szCs w:val="22"/>
                <w:lang w:val="lv-LV"/>
              </w:rPr>
            </w:pPr>
            <w:r w:rsidRPr="72B40892">
              <w:rPr>
                <w:rFonts w:asciiTheme="minorHAnsi" w:hAnsiTheme="minorHAnsi"/>
                <w:sz w:val="22"/>
                <w:szCs w:val="22"/>
                <w:lang w:val="lv-LV"/>
              </w:rPr>
              <w:t>15.7</w:t>
            </w:r>
          </w:p>
        </w:tc>
      </w:tr>
      <w:tr w:rsidR="00D20F0C" w:rsidRPr="00D20F0C" w14:paraId="606CE106" w14:textId="77777777" w:rsidTr="72B40892">
        <w:tc>
          <w:tcPr>
            <w:tcW w:w="4023" w:type="dxa"/>
            <w:hideMark/>
          </w:tcPr>
          <w:p w14:paraId="270C166A" w14:textId="77777777" w:rsidR="00D20F0C" w:rsidRPr="00D20F0C" w:rsidRDefault="00D20F0C" w:rsidP="72B40892">
            <w:pPr>
              <w:jc w:val="both"/>
              <w:rPr>
                <w:rFonts w:asciiTheme="minorHAnsi" w:hAnsiTheme="minorHAnsi"/>
                <w:sz w:val="22"/>
                <w:szCs w:val="22"/>
                <w:lang w:val="lv-LV"/>
              </w:rPr>
            </w:pPr>
            <w:r w:rsidRPr="72B40892">
              <w:rPr>
                <w:rFonts w:asciiTheme="minorHAnsi" w:hAnsiTheme="minorHAnsi"/>
                <w:sz w:val="22"/>
                <w:szCs w:val="22"/>
                <w:lang w:val="lv-LV"/>
              </w:rPr>
              <w:t>Atbalsts veselības aprūpes nozarei</w:t>
            </w:r>
          </w:p>
        </w:tc>
        <w:tc>
          <w:tcPr>
            <w:tcW w:w="1063" w:type="dxa"/>
          </w:tcPr>
          <w:p w14:paraId="15C4BAA6" w14:textId="790D0EEF" w:rsidR="00D20F0C" w:rsidRPr="00D20F0C" w:rsidRDefault="3875D335" w:rsidP="72B40892">
            <w:pPr>
              <w:jc w:val="both"/>
              <w:rPr>
                <w:rFonts w:asciiTheme="minorHAnsi" w:hAnsiTheme="minorHAnsi"/>
                <w:sz w:val="22"/>
                <w:szCs w:val="22"/>
                <w:lang w:val="lv-LV"/>
              </w:rPr>
            </w:pPr>
            <w:r w:rsidRPr="72B40892">
              <w:rPr>
                <w:rFonts w:asciiTheme="minorHAnsi" w:hAnsiTheme="minorHAnsi"/>
                <w:sz w:val="22"/>
                <w:szCs w:val="22"/>
                <w:lang w:val="lv-LV"/>
              </w:rPr>
              <w:t>214.7</w:t>
            </w:r>
          </w:p>
        </w:tc>
        <w:tc>
          <w:tcPr>
            <w:tcW w:w="1063" w:type="dxa"/>
            <w:vAlign w:val="bottom"/>
          </w:tcPr>
          <w:p w14:paraId="3739397D" w14:textId="77777777" w:rsidR="00D20F0C" w:rsidRPr="00D20F0C" w:rsidRDefault="00D20F0C" w:rsidP="72B40892">
            <w:pPr>
              <w:jc w:val="both"/>
              <w:rPr>
                <w:rFonts w:asciiTheme="minorHAnsi" w:hAnsiTheme="minorHAnsi"/>
                <w:sz w:val="22"/>
                <w:szCs w:val="22"/>
                <w:lang w:val="lv-LV"/>
              </w:rPr>
            </w:pPr>
            <w:r w:rsidRPr="72B40892">
              <w:rPr>
                <w:rFonts w:asciiTheme="minorHAnsi" w:hAnsiTheme="minorHAnsi"/>
                <w:sz w:val="22"/>
                <w:szCs w:val="22"/>
                <w:lang w:val="lv-LV"/>
              </w:rPr>
              <w:t>30.0</w:t>
            </w:r>
          </w:p>
        </w:tc>
        <w:tc>
          <w:tcPr>
            <w:tcW w:w="1064" w:type="dxa"/>
          </w:tcPr>
          <w:p w14:paraId="295F3951" w14:textId="77777777" w:rsidR="00D20F0C" w:rsidRPr="00D20F0C" w:rsidRDefault="00D20F0C" w:rsidP="72B40892">
            <w:pPr>
              <w:jc w:val="both"/>
              <w:rPr>
                <w:rFonts w:asciiTheme="minorHAnsi" w:hAnsiTheme="minorHAnsi"/>
                <w:sz w:val="22"/>
                <w:szCs w:val="22"/>
                <w:lang w:val="lv-LV"/>
              </w:rPr>
            </w:pPr>
            <w:r w:rsidRPr="72B40892">
              <w:rPr>
                <w:rFonts w:asciiTheme="minorHAnsi" w:hAnsiTheme="minorHAnsi"/>
                <w:sz w:val="22"/>
                <w:szCs w:val="22"/>
                <w:lang w:val="lv-LV"/>
              </w:rPr>
              <w:t>42.4</w:t>
            </w:r>
          </w:p>
        </w:tc>
        <w:tc>
          <w:tcPr>
            <w:tcW w:w="1063" w:type="dxa"/>
          </w:tcPr>
          <w:p w14:paraId="4526A826" w14:textId="14ACB4AD" w:rsidR="00D20F0C" w:rsidRPr="00D20F0C" w:rsidRDefault="00D20F0C" w:rsidP="72B40892">
            <w:pPr>
              <w:jc w:val="both"/>
              <w:rPr>
                <w:rFonts w:asciiTheme="minorHAnsi" w:hAnsiTheme="minorHAnsi"/>
                <w:sz w:val="22"/>
                <w:szCs w:val="22"/>
                <w:lang w:val="lv-LV"/>
              </w:rPr>
            </w:pPr>
            <w:r w:rsidRPr="72B40892">
              <w:rPr>
                <w:rFonts w:asciiTheme="minorHAnsi" w:hAnsiTheme="minorHAnsi"/>
                <w:sz w:val="22"/>
                <w:szCs w:val="22"/>
                <w:lang w:val="lv-LV"/>
              </w:rPr>
              <w:t>2</w:t>
            </w:r>
            <w:r w:rsidR="3875D335" w:rsidRPr="72B40892">
              <w:rPr>
                <w:rFonts w:asciiTheme="minorHAnsi" w:hAnsiTheme="minorHAnsi"/>
                <w:sz w:val="22"/>
                <w:szCs w:val="22"/>
                <w:lang w:val="lv-LV"/>
              </w:rPr>
              <w:t>8</w:t>
            </w:r>
            <w:r w:rsidRPr="72B40892">
              <w:rPr>
                <w:rFonts w:asciiTheme="minorHAnsi" w:hAnsiTheme="minorHAnsi"/>
                <w:sz w:val="22"/>
                <w:szCs w:val="22"/>
                <w:lang w:val="lv-LV"/>
              </w:rPr>
              <w:t>7.</w:t>
            </w:r>
            <w:r w:rsidR="3875D335" w:rsidRPr="72B40892">
              <w:rPr>
                <w:rFonts w:asciiTheme="minorHAnsi" w:hAnsiTheme="minorHAnsi"/>
                <w:sz w:val="22"/>
                <w:szCs w:val="22"/>
                <w:lang w:val="lv-LV"/>
              </w:rPr>
              <w:t>1</w:t>
            </w:r>
          </w:p>
        </w:tc>
        <w:tc>
          <w:tcPr>
            <w:tcW w:w="1064" w:type="dxa"/>
          </w:tcPr>
          <w:p w14:paraId="770D9DD5" w14:textId="14BE52A8" w:rsidR="00D20F0C" w:rsidRPr="00D20F0C" w:rsidRDefault="00D20F0C" w:rsidP="72B40892">
            <w:pPr>
              <w:jc w:val="both"/>
              <w:rPr>
                <w:rFonts w:asciiTheme="minorHAnsi" w:hAnsiTheme="minorHAnsi"/>
                <w:sz w:val="22"/>
                <w:szCs w:val="22"/>
                <w:lang w:val="lv-LV"/>
              </w:rPr>
            </w:pPr>
            <w:r w:rsidRPr="72B40892">
              <w:rPr>
                <w:rFonts w:asciiTheme="minorHAnsi" w:hAnsiTheme="minorHAnsi"/>
                <w:sz w:val="22"/>
                <w:szCs w:val="22"/>
                <w:lang w:val="lv-LV"/>
              </w:rPr>
              <w:t>12</w:t>
            </w:r>
            <w:r w:rsidR="3875D335" w:rsidRPr="72B40892">
              <w:rPr>
                <w:rFonts w:asciiTheme="minorHAnsi" w:hAnsiTheme="minorHAnsi"/>
                <w:sz w:val="22"/>
                <w:szCs w:val="22"/>
                <w:lang w:val="lv-LV"/>
              </w:rPr>
              <w:t>.9</w:t>
            </w:r>
          </w:p>
        </w:tc>
      </w:tr>
      <w:tr w:rsidR="00D20F0C" w:rsidRPr="00D20F0C" w14:paraId="7C54BC48" w14:textId="77777777" w:rsidTr="72B40892">
        <w:tc>
          <w:tcPr>
            <w:tcW w:w="4023" w:type="dxa"/>
          </w:tcPr>
          <w:p w14:paraId="4C018BB4" w14:textId="77777777" w:rsidR="00D20F0C" w:rsidRPr="00D20F0C" w:rsidRDefault="00D20F0C" w:rsidP="72B40892">
            <w:pPr>
              <w:jc w:val="both"/>
              <w:rPr>
                <w:rFonts w:asciiTheme="minorHAnsi" w:hAnsiTheme="minorHAnsi"/>
                <w:sz w:val="22"/>
                <w:szCs w:val="22"/>
                <w:lang w:val="lv-LV"/>
              </w:rPr>
            </w:pPr>
            <w:r w:rsidRPr="72B40892">
              <w:rPr>
                <w:rFonts w:asciiTheme="minorHAnsi" w:hAnsiTheme="minorHAnsi"/>
                <w:sz w:val="22"/>
                <w:szCs w:val="22"/>
                <w:lang w:val="lv-LV"/>
              </w:rPr>
              <w:t>Atbalsts kultūras nozarei un sportam</w:t>
            </w:r>
          </w:p>
        </w:tc>
        <w:tc>
          <w:tcPr>
            <w:tcW w:w="1063" w:type="dxa"/>
          </w:tcPr>
          <w:p w14:paraId="72596123" w14:textId="2902A94D" w:rsidR="00D20F0C" w:rsidRPr="00D20F0C" w:rsidRDefault="3875D335" w:rsidP="72B40892">
            <w:pPr>
              <w:jc w:val="both"/>
              <w:rPr>
                <w:rFonts w:asciiTheme="minorHAnsi" w:hAnsiTheme="minorHAnsi"/>
                <w:sz w:val="22"/>
                <w:szCs w:val="22"/>
                <w:lang w:val="lv-LV"/>
              </w:rPr>
            </w:pPr>
            <w:r w:rsidRPr="72B40892">
              <w:rPr>
                <w:rFonts w:asciiTheme="minorHAnsi" w:hAnsiTheme="minorHAnsi"/>
                <w:sz w:val="22"/>
                <w:szCs w:val="22"/>
                <w:lang w:val="lv-LV"/>
              </w:rPr>
              <w:t>37.7</w:t>
            </w:r>
          </w:p>
        </w:tc>
        <w:tc>
          <w:tcPr>
            <w:tcW w:w="1063" w:type="dxa"/>
            <w:vAlign w:val="bottom"/>
          </w:tcPr>
          <w:p w14:paraId="69F0795E" w14:textId="77777777" w:rsidR="00D20F0C" w:rsidRPr="00D20F0C" w:rsidRDefault="00D20F0C" w:rsidP="72B40892">
            <w:pPr>
              <w:jc w:val="both"/>
              <w:rPr>
                <w:rFonts w:asciiTheme="minorHAnsi" w:hAnsiTheme="minorHAnsi"/>
                <w:sz w:val="22"/>
                <w:szCs w:val="22"/>
                <w:lang w:val="lv-LV"/>
              </w:rPr>
            </w:pPr>
          </w:p>
        </w:tc>
        <w:tc>
          <w:tcPr>
            <w:tcW w:w="1064" w:type="dxa"/>
          </w:tcPr>
          <w:p w14:paraId="496CFC84" w14:textId="77777777" w:rsidR="00D20F0C" w:rsidRPr="00D20F0C" w:rsidRDefault="00D20F0C" w:rsidP="72B40892">
            <w:pPr>
              <w:jc w:val="both"/>
              <w:rPr>
                <w:rFonts w:asciiTheme="minorHAnsi" w:hAnsiTheme="minorHAnsi"/>
                <w:sz w:val="22"/>
                <w:szCs w:val="22"/>
                <w:lang w:val="lv-LV"/>
              </w:rPr>
            </w:pPr>
          </w:p>
        </w:tc>
        <w:tc>
          <w:tcPr>
            <w:tcW w:w="1063" w:type="dxa"/>
          </w:tcPr>
          <w:p w14:paraId="752026F9" w14:textId="38BABEEE" w:rsidR="00D20F0C" w:rsidRPr="00D20F0C" w:rsidRDefault="3875D335" w:rsidP="72B40892">
            <w:pPr>
              <w:jc w:val="both"/>
              <w:rPr>
                <w:rFonts w:asciiTheme="minorHAnsi" w:hAnsiTheme="minorHAnsi"/>
                <w:sz w:val="22"/>
                <w:szCs w:val="22"/>
                <w:lang w:val="lv-LV"/>
              </w:rPr>
            </w:pPr>
            <w:r w:rsidRPr="72B40892">
              <w:rPr>
                <w:rFonts w:asciiTheme="minorHAnsi" w:hAnsiTheme="minorHAnsi"/>
                <w:sz w:val="22"/>
                <w:szCs w:val="22"/>
                <w:lang w:val="lv-LV"/>
              </w:rPr>
              <w:t>37.7</w:t>
            </w:r>
          </w:p>
        </w:tc>
        <w:tc>
          <w:tcPr>
            <w:tcW w:w="1064" w:type="dxa"/>
          </w:tcPr>
          <w:p w14:paraId="6D84022F" w14:textId="0D8BC05B" w:rsidR="00D20F0C" w:rsidRPr="00D20F0C" w:rsidRDefault="3875D335" w:rsidP="72B40892">
            <w:pPr>
              <w:jc w:val="both"/>
              <w:rPr>
                <w:rFonts w:asciiTheme="minorHAnsi" w:hAnsiTheme="minorHAnsi"/>
                <w:sz w:val="22"/>
                <w:szCs w:val="22"/>
                <w:lang w:val="lv-LV"/>
              </w:rPr>
            </w:pPr>
            <w:r w:rsidRPr="72B40892">
              <w:rPr>
                <w:rFonts w:asciiTheme="minorHAnsi" w:hAnsiTheme="minorHAnsi"/>
                <w:sz w:val="22"/>
                <w:szCs w:val="22"/>
                <w:lang w:val="lv-LV"/>
              </w:rPr>
              <w:t>1.7</w:t>
            </w:r>
          </w:p>
        </w:tc>
      </w:tr>
      <w:tr w:rsidR="00D20F0C" w:rsidRPr="00D20F0C" w14:paraId="52FFDA00" w14:textId="77777777" w:rsidTr="72B40892">
        <w:tc>
          <w:tcPr>
            <w:tcW w:w="4023" w:type="dxa"/>
            <w:hideMark/>
          </w:tcPr>
          <w:p w14:paraId="59C8160F" w14:textId="77777777" w:rsidR="00D20F0C" w:rsidRPr="00D20F0C" w:rsidRDefault="00D20F0C" w:rsidP="72B40892">
            <w:pPr>
              <w:jc w:val="both"/>
              <w:rPr>
                <w:rFonts w:asciiTheme="minorHAnsi" w:hAnsiTheme="minorHAnsi"/>
                <w:sz w:val="22"/>
                <w:szCs w:val="22"/>
                <w:lang w:val="lv-LV"/>
              </w:rPr>
            </w:pPr>
            <w:r w:rsidRPr="72B40892">
              <w:rPr>
                <w:rFonts w:asciiTheme="minorHAnsi" w:hAnsiTheme="minorHAnsi"/>
                <w:sz w:val="22"/>
                <w:szCs w:val="22"/>
                <w:lang w:val="lv-LV"/>
              </w:rPr>
              <w:t>Atbalsts pašvaldību investīcijām</w:t>
            </w:r>
          </w:p>
        </w:tc>
        <w:tc>
          <w:tcPr>
            <w:tcW w:w="1063" w:type="dxa"/>
          </w:tcPr>
          <w:p w14:paraId="6C0319AF" w14:textId="029CA7BC" w:rsidR="00D20F0C" w:rsidRPr="00D20F0C" w:rsidRDefault="003236C2" w:rsidP="72B40892">
            <w:pPr>
              <w:jc w:val="both"/>
              <w:rPr>
                <w:rFonts w:asciiTheme="minorHAnsi" w:hAnsiTheme="minorHAnsi"/>
                <w:sz w:val="22"/>
                <w:szCs w:val="22"/>
                <w:lang w:val="lv-LV"/>
              </w:rPr>
            </w:pPr>
            <w:r w:rsidRPr="72B40892">
              <w:rPr>
                <w:rFonts w:asciiTheme="minorHAnsi" w:hAnsiTheme="minorHAnsi"/>
                <w:sz w:val="22"/>
                <w:szCs w:val="22"/>
                <w:lang w:val="lv-LV"/>
              </w:rPr>
              <w:t>122.0</w:t>
            </w:r>
          </w:p>
        </w:tc>
        <w:tc>
          <w:tcPr>
            <w:tcW w:w="1063" w:type="dxa"/>
            <w:vAlign w:val="bottom"/>
          </w:tcPr>
          <w:p w14:paraId="4DFD3F6A" w14:textId="77777777" w:rsidR="00D20F0C" w:rsidRPr="00D20F0C" w:rsidRDefault="00D20F0C" w:rsidP="72B40892">
            <w:pPr>
              <w:jc w:val="both"/>
              <w:rPr>
                <w:rFonts w:asciiTheme="minorHAnsi" w:hAnsiTheme="minorHAnsi"/>
                <w:sz w:val="22"/>
                <w:szCs w:val="22"/>
                <w:lang w:val="lv-LV"/>
              </w:rPr>
            </w:pPr>
            <w:r w:rsidRPr="72B40892">
              <w:rPr>
                <w:rFonts w:asciiTheme="minorHAnsi" w:hAnsiTheme="minorHAnsi"/>
                <w:sz w:val="22"/>
                <w:szCs w:val="22"/>
                <w:lang w:val="lv-LV"/>
              </w:rPr>
              <w:t>41.5</w:t>
            </w:r>
          </w:p>
        </w:tc>
        <w:tc>
          <w:tcPr>
            <w:tcW w:w="1064" w:type="dxa"/>
          </w:tcPr>
          <w:p w14:paraId="0776B4A1" w14:textId="77777777" w:rsidR="00D20F0C" w:rsidRPr="00D20F0C" w:rsidRDefault="00D20F0C" w:rsidP="72B40892">
            <w:pPr>
              <w:jc w:val="both"/>
              <w:rPr>
                <w:rFonts w:asciiTheme="minorHAnsi" w:hAnsiTheme="minorHAnsi"/>
                <w:sz w:val="22"/>
                <w:szCs w:val="22"/>
                <w:lang w:val="lv-LV"/>
              </w:rPr>
            </w:pPr>
            <w:r w:rsidRPr="72B40892">
              <w:rPr>
                <w:rFonts w:asciiTheme="minorHAnsi" w:hAnsiTheme="minorHAnsi"/>
                <w:sz w:val="22"/>
                <w:szCs w:val="22"/>
                <w:lang w:val="lv-LV"/>
              </w:rPr>
              <w:t>35.0</w:t>
            </w:r>
          </w:p>
        </w:tc>
        <w:tc>
          <w:tcPr>
            <w:tcW w:w="1063" w:type="dxa"/>
          </w:tcPr>
          <w:p w14:paraId="6FFC4646" w14:textId="3E6E8DF6" w:rsidR="00D20F0C" w:rsidRPr="00D20F0C" w:rsidRDefault="003236C2" w:rsidP="72B40892">
            <w:pPr>
              <w:jc w:val="both"/>
              <w:rPr>
                <w:rFonts w:asciiTheme="minorHAnsi" w:hAnsiTheme="minorHAnsi"/>
                <w:sz w:val="22"/>
                <w:szCs w:val="22"/>
                <w:lang w:val="lv-LV"/>
              </w:rPr>
            </w:pPr>
            <w:r w:rsidRPr="72B40892">
              <w:rPr>
                <w:rFonts w:asciiTheme="minorHAnsi" w:hAnsiTheme="minorHAnsi"/>
                <w:sz w:val="22"/>
                <w:szCs w:val="22"/>
                <w:lang w:val="lv-LV"/>
              </w:rPr>
              <w:t>198.5</w:t>
            </w:r>
          </w:p>
        </w:tc>
        <w:tc>
          <w:tcPr>
            <w:tcW w:w="1064" w:type="dxa"/>
          </w:tcPr>
          <w:p w14:paraId="3C20D7B4" w14:textId="230E9BFF" w:rsidR="00D20F0C" w:rsidRPr="00D20F0C" w:rsidRDefault="003236C2" w:rsidP="72B40892">
            <w:pPr>
              <w:jc w:val="both"/>
              <w:rPr>
                <w:rFonts w:asciiTheme="minorHAnsi" w:hAnsiTheme="minorHAnsi"/>
                <w:sz w:val="22"/>
                <w:szCs w:val="22"/>
                <w:lang w:val="lv-LV"/>
              </w:rPr>
            </w:pPr>
            <w:r w:rsidRPr="72B40892">
              <w:rPr>
                <w:rFonts w:asciiTheme="minorHAnsi" w:hAnsiTheme="minorHAnsi"/>
                <w:sz w:val="22"/>
                <w:szCs w:val="22"/>
                <w:lang w:val="lv-LV"/>
              </w:rPr>
              <w:t>8.9</w:t>
            </w:r>
          </w:p>
        </w:tc>
      </w:tr>
      <w:tr w:rsidR="00D20F0C" w:rsidRPr="00D20F0C" w14:paraId="096A8C03" w14:textId="77777777" w:rsidTr="72B40892">
        <w:tc>
          <w:tcPr>
            <w:tcW w:w="4023" w:type="dxa"/>
            <w:hideMark/>
          </w:tcPr>
          <w:p w14:paraId="3C5B0206" w14:textId="77777777" w:rsidR="00D20F0C" w:rsidRPr="00D20F0C" w:rsidRDefault="00D20F0C" w:rsidP="72B40892">
            <w:pPr>
              <w:jc w:val="both"/>
              <w:rPr>
                <w:rFonts w:asciiTheme="minorHAnsi" w:hAnsiTheme="minorHAnsi"/>
                <w:sz w:val="22"/>
                <w:szCs w:val="22"/>
                <w:lang w:val="lv-LV"/>
              </w:rPr>
            </w:pPr>
            <w:r w:rsidRPr="72B40892">
              <w:rPr>
                <w:rFonts w:asciiTheme="minorHAnsi" w:hAnsiTheme="minorHAnsi"/>
                <w:sz w:val="22"/>
                <w:szCs w:val="22"/>
                <w:lang w:val="lv-LV"/>
              </w:rPr>
              <w:lastRenderedPageBreak/>
              <w:t xml:space="preserve">Pārējie, ieskaitot privātos un sabiedriskos medijus </w:t>
            </w:r>
          </w:p>
        </w:tc>
        <w:tc>
          <w:tcPr>
            <w:tcW w:w="1063" w:type="dxa"/>
          </w:tcPr>
          <w:p w14:paraId="0A6979B9" w14:textId="3F09F158" w:rsidR="00D20F0C" w:rsidRPr="00D20F0C" w:rsidRDefault="003236C2" w:rsidP="72B40892">
            <w:pPr>
              <w:jc w:val="both"/>
              <w:rPr>
                <w:rFonts w:asciiTheme="minorHAnsi" w:hAnsiTheme="minorHAnsi"/>
                <w:sz w:val="22"/>
                <w:szCs w:val="22"/>
                <w:lang w:val="lv-LV"/>
              </w:rPr>
            </w:pPr>
            <w:r w:rsidRPr="72B40892">
              <w:rPr>
                <w:rFonts w:asciiTheme="minorHAnsi" w:hAnsiTheme="minorHAnsi"/>
                <w:sz w:val="22"/>
                <w:szCs w:val="22"/>
                <w:lang w:val="lv-LV"/>
              </w:rPr>
              <w:t>49.4</w:t>
            </w:r>
          </w:p>
        </w:tc>
        <w:tc>
          <w:tcPr>
            <w:tcW w:w="1063" w:type="dxa"/>
            <w:vAlign w:val="bottom"/>
          </w:tcPr>
          <w:p w14:paraId="0B6F6402" w14:textId="77777777" w:rsidR="00D20F0C" w:rsidRPr="00D20F0C" w:rsidRDefault="00D20F0C" w:rsidP="72B40892">
            <w:pPr>
              <w:jc w:val="both"/>
              <w:rPr>
                <w:rFonts w:asciiTheme="minorHAnsi" w:hAnsiTheme="minorHAnsi"/>
                <w:sz w:val="22"/>
                <w:szCs w:val="22"/>
                <w:lang w:val="lv-LV"/>
              </w:rPr>
            </w:pPr>
          </w:p>
        </w:tc>
        <w:tc>
          <w:tcPr>
            <w:tcW w:w="1064" w:type="dxa"/>
          </w:tcPr>
          <w:p w14:paraId="4B5C643D" w14:textId="77777777" w:rsidR="00D20F0C" w:rsidRPr="00D20F0C" w:rsidRDefault="00D20F0C" w:rsidP="72B40892">
            <w:pPr>
              <w:jc w:val="both"/>
              <w:rPr>
                <w:rFonts w:asciiTheme="minorHAnsi" w:hAnsiTheme="minorHAnsi"/>
                <w:sz w:val="22"/>
                <w:szCs w:val="22"/>
                <w:lang w:val="lv-LV"/>
              </w:rPr>
            </w:pPr>
            <w:r w:rsidRPr="72B40892">
              <w:rPr>
                <w:rFonts w:asciiTheme="minorHAnsi" w:hAnsiTheme="minorHAnsi"/>
                <w:sz w:val="22"/>
                <w:szCs w:val="22"/>
                <w:lang w:val="lv-LV"/>
              </w:rPr>
              <w:t>22.3</w:t>
            </w:r>
          </w:p>
        </w:tc>
        <w:tc>
          <w:tcPr>
            <w:tcW w:w="1063" w:type="dxa"/>
          </w:tcPr>
          <w:p w14:paraId="327E44E3" w14:textId="65472CD1" w:rsidR="00D20F0C" w:rsidRPr="00D20F0C" w:rsidRDefault="003236C2" w:rsidP="72B40892">
            <w:pPr>
              <w:jc w:val="both"/>
              <w:rPr>
                <w:rFonts w:asciiTheme="minorHAnsi" w:hAnsiTheme="minorHAnsi"/>
                <w:sz w:val="22"/>
                <w:szCs w:val="22"/>
                <w:lang w:val="lv-LV"/>
              </w:rPr>
            </w:pPr>
            <w:r w:rsidRPr="72B40892">
              <w:rPr>
                <w:rFonts w:asciiTheme="minorHAnsi" w:hAnsiTheme="minorHAnsi"/>
                <w:sz w:val="22"/>
                <w:szCs w:val="22"/>
                <w:lang w:val="lv-LV"/>
              </w:rPr>
              <w:t>71.7</w:t>
            </w:r>
          </w:p>
        </w:tc>
        <w:tc>
          <w:tcPr>
            <w:tcW w:w="1064" w:type="dxa"/>
          </w:tcPr>
          <w:p w14:paraId="3125924E" w14:textId="6F793EE7" w:rsidR="00D20F0C" w:rsidRPr="00D20F0C" w:rsidRDefault="00D20F0C" w:rsidP="72B40892">
            <w:pPr>
              <w:jc w:val="both"/>
              <w:rPr>
                <w:rFonts w:asciiTheme="minorHAnsi" w:hAnsiTheme="minorHAnsi"/>
                <w:sz w:val="22"/>
                <w:szCs w:val="22"/>
                <w:lang w:val="lv-LV"/>
              </w:rPr>
            </w:pPr>
            <w:r w:rsidRPr="72B40892">
              <w:rPr>
                <w:rFonts w:asciiTheme="minorHAnsi" w:hAnsiTheme="minorHAnsi"/>
                <w:sz w:val="22"/>
                <w:szCs w:val="22"/>
                <w:lang w:val="lv-LV"/>
              </w:rPr>
              <w:t>3</w:t>
            </w:r>
            <w:r w:rsidR="003236C2" w:rsidRPr="72B40892">
              <w:rPr>
                <w:rFonts w:asciiTheme="minorHAnsi" w:hAnsiTheme="minorHAnsi"/>
                <w:sz w:val="22"/>
                <w:szCs w:val="22"/>
                <w:lang w:val="lv-LV"/>
              </w:rPr>
              <w:t>.2</w:t>
            </w:r>
          </w:p>
        </w:tc>
      </w:tr>
      <w:tr w:rsidR="00D20F0C" w:rsidRPr="00D20F0C" w14:paraId="593B977A" w14:textId="77777777" w:rsidTr="72B40892">
        <w:tc>
          <w:tcPr>
            <w:tcW w:w="4023" w:type="dxa"/>
            <w:shd w:val="clear" w:color="auto" w:fill="BDD6EE" w:themeFill="accent1" w:themeFillTint="66"/>
            <w:hideMark/>
          </w:tcPr>
          <w:p w14:paraId="578A021D" w14:textId="77777777" w:rsidR="00D20F0C" w:rsidRPr="00D20F0C" w:rsidRDefault="00D20F0C" w:rsidP="009A1EF2">
            <w:pPr>
              <w:jc w:val="both"/>
              <w:rPr>
                <w:rFonts w:asciiTheme="minorHAnsi" w:hAnsiTheme="minorHAnsi"/>
                <w:b/>
                <w:bCs/>
                <w:sz w:val="22"/>
                <w:szCs w:val="22"/>
                <w:lang w:val="lv-LV"/>
              </w:rPr>
            </w:pPr>
            <w:r w:rsidRPr="00D20F0C">
              <w:rPr>
                <w:rFonts w:asciiTheme="minorHAnsi" w:hAnsiTheme="minorHAnsi"/>
                <w:b/>
                <w:bCs/>
                <w:sz w:val="22"/>
                <w:szCs w:val="22"/>
                <w:lang w:val="lv-LV"/>
              </w:rPr>
              <w:t>KOPĀ</w:t>
            </w:r>
          </w:p>
        </w:tc>
        <w:tc>
          <w:tcPr>
            <w:tcW w:w="1063" w:type="dxa"/>
            <w:shd w:val="clear" w:color="auto" w:fill="BDD6EE" w:themeFill="accent1" w:themeFillTint="66"/>
          </w:tcPr>
          <w:p w14:paraId="6480071F" w14:textId="6654D07B" w:rsidR="00D20F0C" w:rsidRPr="00D20F0C" w:rsidRDefault="00D20F0C" w:rsidP="009A1EF2">
            <w:pPr>
              <w:jc w:val="both"/>
              <w:rPr>
                <w:rFonts w:asciiTheme="minorHAnsi" w:hAnsiTheme="minorHAnsi"/>
                <w:b/>
                <w:bCs/>
                <w:sz w:val="22"/>
                <w:szCs w:val="22"/>
                <w:lang w:val="lv-LV"/>
              </w:rPr>
            </w:pPr>
            <w:r w:rsidRPr="00D20F0C">
              <w:rPr>
                <w:rFonts w:asciiTheme="minorHAnsi" w:hAnsiTheme="minorHAnsi"/>
                <w:b/>
                <w:bCs/>
                <w:sz w:val="22"/>
                <w:szCs w:val="22"/>
                <w:lang w:val="lv-LV"/>
              </w:rPr>
              <w:t>1</w:t>
            </w:r>
            <w:r w:rsidR="00BC7F6F">
              <w:rPr>
                <w:rFonts w:asciiTheme="minorHAnsi" w:hAnsiTheme="minorHAnsi"/>
                <w:b/>
                <w:bCs/>
                <w:sz w:val="22"/>
                <w:szCs w:val="22"/>
                <w:lang w:val="lv-LV"/>
              </w:rPr>
              <w:t>430.9</w:t>
            </w:r>
          </w:p>
        </w:tc>
        <w:tc>
          <w:tcPr>
            <w:tcW w:w="1063" w:type="dxa"/>
            <w:shd w:val="clear" w:color="auto" w:fill="BDD6EE" w:themeFill="accent1" w:themeFillTint="66"/>
            <w:vAlign w:val="bottom"/>
          </w:tcPr>
          <w:p w14:paraId="1E9E2261" w14:textId="77777777" w:rsidR="00D20F0C" w:rsidRPr="00D20F0C" w:rsidRDefault="00D20F0C" w:rsidP="009A1EF2">
            <w:pPr>
              <w:jc w:val="both"/>
              <w:rPr>
                <w:rFonts w:asciiTheme="minorHAnsi" w:hAnsiTheme="minorHAnsi"/>
                <w:b/>
                <w:bCs/>
                <w:sz w:val="22"/>
                <w:szCs w:val="22"/>
                <w:lang w:val="lv-LV"/>
              </w:rPr>
            </w:pPr>
            <w:r w:rsidRPr="00D20F0C">
              <w:rPr>
                <w:rFonts w:asciiTheme="minorHAnsi" w:hAnsiTheme="minorHAnsi"/>
                <w:b/>
                <w:bCs/>
                <w:sz w:val="22"/>
                <w:szCs w:val="22"/>
                <w:lang w:val="lv-LV"/>
              </w:rPr>
              <w:t>496.0</w:t>
            </w:r>
          </w:p>
        </w:tc>
        <w:tc>
          <w:tcPr>
            <w:tcW w:w="1064" w:type="dxa"/>
            <w:shd w:val="clear" w:color="auto" w:fill="BDD6EE" w:themeFill="accent1" w:themeFillTint="66"/>
          </w:tcPr>
          <w:p w14:paraId="3399AF37" w14:textId="7E2AA871" w:rsidR="00D20F0C" w:rsidRPr="00D20F0C" w:rsidRDefault="003236C2" w:rsidP="009A1EF2">
            <w:pPr>
              <w:jc w:val="both"/>
              <w:rPr>
                <w:rFonts w:asciiTheme="minorHAnsi" w:hAnsiTheme="minorHAnsi"/>
                <w:b/>
                <w:bCs/>
                <w:sz w:val="22"/>
                <w:szCs w:val="22"/>
                <w:lang w:val="lv-LV"/>
              </w:rPr>
            </w:pPr>
            <w:r>
              <w:rPr>
                <w:rFonts w:asciiTheme="minorHAnsi" w:hAnsiTheme="minorHAnsi"/>
                <w:b/>
                <w:bCs/>
                <w:sz w:val="22"/>
                <w:szCs w:val="22"/>
                <w:lang w:val="lv-LV"/>
              </w:rPr>
              <w:t>297.6</w:t>
            </w:r>
          </w:p>
        </w:tc>
        <w:tc>
          <w:tcPr>
            <w:tcW w:w="1063" w:type="dxa"/>
            <w:shd w:val="clear" w:color="auto" w:fill="BDD6EE" w:themeFill="accent1" w:themeFillTint="66"/>
          </w:tcPr>
          <w:p w14:paraId="29E3B1DD" w14:textId="380258F5" w:rsidR="00D20F0C" w:rsidRPr="00D20F0C" w:rsidRDefault="00BC7F6F" w:rsidP="009A1EF2">
            <w:pPr>
              <w:jc w:val="both"/>
              <w:rPr>
                <w:rFonts w:asciiTheme="minorHAnsi" w:hAnsiTheme="minorHAnsi"/>
                <w:b/>
                <w:bCs/>
                <w:sz w:val="22"/>
                <w:szCs w:val="22"/>
                <w:lang w:val="lv-LV"/>
              </w:rPr>
            </w:pPr>
            <w:r>
              <w:rPr>
                <w:rFonts w:asciiTheme="minorHAnsi" w:hAnsiTheme="minorHAnsi"/>
                <w:b/>
                <w:bCs/>
                <w:sz w:val="22"/>
                <w:szCs w:val="22"/>
                <w:lang w:val="lv-LV"/>
              </w:rPr>
              <w:t>2224.5</w:t>
            </w:r>
          </w:p>
        </w:tc>
        <w:tc>
          <w:tcPr>
            <w:tcW w:w="1064" w:type="dxa"/>
            <w:shd w:val="clear" w:color="auto" w:fill="BDD6EE" w:themeFill="accent1" w:themeFillTint="66"/>
          </w:tcPr>
          <w:p w14:paraId="1F2B3FCE" w14:textId="77777777" w:rsidR="00D20F0C" w:rsidRPr="00D20F0C" w:rsidRDefault="00D20F0C" w:rsidP="009A1EF2">
            <w:pPr>
              <w:jc w:val="both"/>
              <w:rPr>
                <w:rFonts w:asciiTheme="minorHAnsi" w:hAnsiTheme="minorHAnsi"/>
                <w:b/>
                <w:bCs/>
                <w:sz w:val="22"/>
                <w:szCs w:val="22"/>
                <w:lang w:val="lv-LV"/>
              </w:rPr>
            </w:pPr>
            <w:r w:rsidRPr="00D20F0C">
              <w:rPr>
                <w:rFonts w:asciiTheme="minorHAnsi" w:hAnsiTheme="minorHAnsi"/>
                <w:b/>
                <w:bCs/>
                <w:sz w:val="22"/>
                <w:szCs w:val="22"/>
                <w:lang w:val="lv-LV"/>
              </w:rPr>
              <w:t>100</w:t>
            </w:r>
          </w:p>
        </w:tc>
      </w:tr>
      <w:tr w:rsidR="00D20F0C" w:rsidRPr="00D20F0C" w14:paraId="30F081E8" w14:textId="77777777" w:rsidTr="72B40892">
        <w:tc>
          <w:tcPr>
            <w:tcW w:w="4023" w:type="dxa"/>
            <w:shd w:val="clear" w:color="auto" w:fill="BDD6EE" w:themeFill="accent1" w:themeFillTint="66"/>
            <w:hideMark/>
          </w:tcPr>
          <w:p w14:paraId="5E2F14C3" w14:textId="3613376B" w:rsidR="00D20F0C" w:rsidRPr="00D20F0C" w:rsidRDefault="002E3965" w:rsidP="009A1EF2">
            <w:pPr>
              <w:jc w:val="both"/>
              <w:rPr>
                <w:rFonts w:asciiTheme="minorHAnsi" w:hAnsiTheme="minorHAnsi"/>
                <w:b/>
                <w:bCs/>
                <w:sz w:val="22"/>
                <w:szCs w:val="22"/>
                <w:lang w:val="lv-LV"/>
              </w:rPr>
            </w:pPr>
            <w:r>
              <w:rPr>
                <w:rFonts w:asciiTheme="minorHAnsi" w:hAnsiTheme="minorHAnsi"/>
                <w:b/>
                <w:bCs/>
                <w:sz w:val="22"/>
                <w:szCs w:val="22"/>
                <w:lang w:val="lv-LV"/>
              </w:rPr>
              <w:t>No IKP (28 194</w:t>
            </w:r>
            <w:r w:rsidR="00D20F0C" w:rsidRPr="00D20F0C">
              <w:rPr>
                <w:rFonts w:asciiTheme="minorHAnsi" w:hAnsiTheme="minorHAnsi"/>
                <w:b/>
                <w:bCs/>
                <w:sz w:val="22"/>
                <w:szCs w:val="22"/>
                <w:lang w:val="lv-LV"/>
              </w:rPr>
              <w:t xml:space="preserve"> milj. eiro)</w:t>
            </w:r>
          </w:p>
        </w:tc>
        <w:tc>
          <w:tcPr>
            <w:tcW w:w="1063" w:type="dxa"/>
            <w:shd w:val="clear" w:color="auto" w:fill="BDD6EE" w:themeFill="accent1" w:themeFillTint="66"/>
          </w:tcPr>
          <w:p w14:paraId="4F3C56D4" w14:textId="06E9BC4F" w:rsidR="00D20F0C" w:rsidRPr="00D20F0C" w:rsidRDefault="00D20F0C" w:rsidP="009A1EF2">
            <w:pPr>
              <w:jc w:val="both"/>
              <w:rPr>
                <w:rFonts w:asciiTheme="minorHAnsi" w:hAnsiTheme="minorHAnsi"/>
                <w:b/>
                <w:bCs/>
                <w:sz w:val="22"/>
                <w:szCs w:val="22"/>
                <w:lang w:val="lv-LV"/>
              </w:rPr>
            </w:pPr>
            <w:r w:rsidRPr="00D20F0C">
              <w:rPr>
                <w:rFonts w:asciiTheme="minorHAnsi" w:hAnsiTheme="minorHAnsi"/>
                <w:b/>
                <w:bCs/>
                <w:sz w:val="22"/>
                <w:szCs w:val="22"/>
                <w:lang w:val="lv-LV"/>
              </w:rPr>
              <w:t>5.</w:t>
            </w:r>
            <w:r w:rsidR="003236C2">
              <w:rPr>
                <w:rFonts w:asciiTheme="minorHAnsi" w:hAnsiTheme="minorHAnsi"/>
                <w:b/>
                <w:bCs/>
                <w:sz w:val="22"/>
                <w:szCs w:val="22"/>
                <w:lang w:val="lv-LV"/>
              </w:rPr>
              <w:t>1</w:t>
            </w:r>
            <w:r w:rsidRPr="00D20F0C">
              <w:rPr>
                <w:rFonts w:asciiTheme="minorHAnsi" w:hAnsiTheme="minorHAnsi"/>
                <w:b/>
                <w:bCs/>
                <w:sz w:val="22"/>
                <w:szCs w:val="22"/>
                <w:lang w:val="lv-LV"/>
              </w:rPr>
              <w:t>%</w:t>
            </w:r>
          </w:p>
        </w:tc>
        <w:tc>
          <w:tcPr>
            <w:tcW w:w="1063" w:type="dxa"/>
            <w:shd w:val="clear" w:color="auto" w:fill="BDD6EE" w:themeFill="accent1" w:themeFillTint="66"/>
            <w:vAlign w:val="bottom"/>
          </w:tcPr>
          <w:p w14:paraId="58DBE29F" w14:textId="77777777" w:rsidR="00D20F0C" w:rsidRPr="00D20F0C" w:rsidRDefault="00D20F0C" w:rsidP="009A1EF2">
            <w:pPr>
              <w:jc w:val="both"/>
              <w:rPr>
                <w:rFonts w:asciiTheme="minorHAnsi" w:hAnsiTheme="minorHAnsi"/>
                <w:b/>
                <w:bCs/>
                <w:sz w:val="22"/>
                <w:szCs w:val="22"/>
                <w:lang w:val="lv-LV"/>
              </w:rPr>
            </w:pPr>
            <w:r w:rsidRPr="00D20F0C">
              <w:rPr>
                <w:rFonts w:asciiTheme="minorHAnsi" w:hAnsiTheme="minorHAnsi"/>
                <w:b/>
                <w:bCs/>
                <w:sz w:val="22"/>
                <w:szCs w:val="22"/>
                <w:lang w:val="lv-LV"/>
              </w:rPr>
              <w:t>1.8%</w:t>
            </w:r>
          </w:p>
        </w:tc>
        <w:tc>
          <w:tcPr>
            <w:tcW w:w="1064" w:type="dxa"/>
            <w:shd w:val="clear" w:color="auto" w:fill="BDD6EE" w:themeFill="accent1" w:themeFillTint="66"/>
          </w:tcPr>
          <w:p w14:paraId="0691E547" w14:textId="79883055" w:rsidR="00D20F0C" w:rsidRPr="00D20F0C" w:rsidRDefault="00D20F0C" w:rsidP="009A1EF2">
            <w:pPr>
              <w:jc w:val="both"/>
              <w:rPr>
                <w:rFonts w:asciiTheme="minorHAnsi" w:hAnsiTheme="minorHAnsi"/>
                <w:b/>
                <w:bCs/>
                <w:sz w:val="22"/>
                <w:szCs w:val="22"/>
                <w:lang w:val="lv-LV"/>
              </w:rPr>
            </w:pPr>
            <w:r w:rsidRPr="00D20F0C">
              <w:rPr>
                <w:rFonts w:asciiTheme="minorHAnsi" w:hAnsiTheme="minorHAnsi"/>
                <w:b/>
                <w:bCs/>
                <w:sz w:val="22"/>
                <w:szCs w:val="22"/>
                <w:lang w:val="lv-LV"/>
              </w:rPr>
              <w:t>1.</w:t>
            </w:r>
            <w:r w:rsidR="003236C2">
              <w:rPr>
                <w:rFonts w:asciiTheme="minorHAnsi" w:hAnsiTheme="minorHAnsi"/>
                <w:b/>
                <w:bCs/>
                <w:sz w:val="22"/>
                <w:szCs w:val="22"/>
                <w:lang w:val="lv-LV"/>
              </w:rPr>
              <w:t>1</w:t>
            </w:r>
            <w:r w:rsidRPr="00D20F0C">
              <w:rPr>
                <w:rFonts w:asciiTheme="minorHAnsi" w:hAnsiTheme="minorHAnsi"/>
                <w:b/>
                <w:bCs/>
                <w:sz w:val="22"/>
                <w:szCs w:val="22"/>
                <w:lang w:val="lv-LV"/>
              </w:rPr>
              <w:t>%</w:t>
            </w:r>
          </w:p>
        </w:tc>
        <w:tc>
          <w:tcPr>
            <w:tcW w:w="1063" w:type="dxa"/>
            <w:shd w:val="clear" w:color="auto" w:fill="BDD6EE" w:themeFill="accent1" w:themeFillTint="66"/>
          </w:tcPr>
          <w:p w14:paraId="26157D68" w14:textId="7729926F" w:rsidR="00D20F0C" w:rsidRPr="00D20F0C" w:rsidRDefault="003236C2" w:rsidP="009A1EF2">
            <w:pPr>
              <w:jc w:val="both"/>
              <w:rPr>
                <w:rFonts w:asciiTheme="minorHAnsi" w:hAnsiTheme="minorHAnsi"/>
                <w:b/>
                <w:bCs/>
                <w:sz w:val="22"/>
                <w:szCs w:val="22"/>
                <w:lang w:val="lv-LV"/>
              </w:rPr>
            </w:pPr>
            <w:r>
              <w:rPr>
                <w:rFonts w:asciiTheme="minorHAnsi" w:hAnsiTheme="minorHAnsi"/>
                <w:b/>
                <w:bCs/>
                <w:sz w:val="22"/>
                <w:szCs w:val="22"/>
                <w:lang w:val="lv-LV"/>
              </w:rPr>
              <w:t>7.9</w:t>
            </w:r>
            <w:r w:rsidR="00D20F0C" w:rsidRPr="00D20F0C">
              <w:rPr>
                <w:rFonts w:asciiTheme="minorHAnsi" w:hAnsiTheme="minorHAnsi"/>
                <w:b/>
                <w:bCs/>
                <w:sz w:val="22"/>
                <w:szCs w:val="22"/>
                <w:lang w:val="lv-LV"/>
              </w:rPr>
              <w:t>%</w:t>
            </w:r>
          </w:p>
        </w:tc>
        <w:tc>
          <w:tcPr>
            <w:tcW w:w="1064" w:type="dxa"/>
            <w:shd w:val="clear" w:color="auto" w:fill="BDD6EE" w:themeFill="accent1" w:themeFillTint="66"/>
          </w:tcPr>
          <w:p w14:paraId="2178C37E" w14:textId="77777777" w:rsidR="00D20F0C" w:rsidRPr="00D20F0C" w:rsidRDefault="00D20F0C" w:rsidP="009A1EF2">
            <w:pPr>
              <w:jc w:val="both"/>
              <w:rPr>
                <w:rFonts w:asciiTheme="minorHAnsi" w:hAnsiTheme="minorHAnsi"/>
                <w:b/>
                <w:bCs/>
                <w:sz w:val="22"/>
                <w:szCs w:val="22"/>
                <w:lang w:val="lv-LV"/>
              </w:rPr>
            </w:pPr>
          </w:p>
        </w:tc>
      </w:tr>
      <w:tr w:rsidR="00D20F0C" w:rsidRPr="00D831FB" w14:paraId="1157E374" w14:textId="77777777" w:rsidTr="72B40892">
        <w:tc>
          <w:tcPr>
            <w:tcW w:w="9340" w:type="dxa"/>
            <w:gridSpan w:val="6"/>
          </w:tcPr>
          <w:p w14:paraId="43C25587" w14:textId="78C6E4CE" w:rsidR="00D20F0C" w:rsidRPr="00D20F0C" w:rsidRDefault="000838EF" w:rsidP="009A1EF2">
            <w:pPr>
              <w:jc w:val="both"/>
              <w:rPr>
                <w:rFonts w:asciiTheme="minorHAnsi" w:hAnsiTheme="minorHAnsi"/>
                <w:b/>
                <w:bCs/>
                <w:sz w:val="22"/>
                <w:szCs w:val="22"/>
                <w:lang w:val="lv-LV"/>
              </w:rPr>
            </w:pPr>
            <w:r>
              <w:rPr>
                <w:rFonts w:asciiTheme="minorHAnsi" w:hAnsiTheme="minorHAnsi"/>
                <w:b/>
                <w:bCs/>
                <w:sz w:val="22"/>
                <w:szCs w:val="22"/>
                <w:lang w:val="lv-LV"/>
              </w:rPr>
              <w:t xml:space="preserve">* Aprēķinos </w:t>
            </w:r>
            <w:r w:rsidR="00D20F0C" w:rsidRPr="00D20F0C">
              <w:rPr>
                <w:rFonts w:asciiTheme="minorHAnsi" w:hAnsiTheme="minorHAnsi"/>
                <w:b/>
                <w:bCs/>
                <w:sz w:val="22"/>
                <w:szCs w:val="22"/>
                <w:lang w:val="lv-LV"/>
              </w:rPr>
              <w:t xml:space="preserve">tiek ņemta plānotā nodokļu </w:t>
            </w:r>
            <w:r>
              <w:rPr>
                <w:rFonts w:asciiTheme="minorHAnsi" w:hAnsiTheme="minorHAnsi"/>
                <w:b/>
                <w:bCs/>
                <w:sz w:val="22"/>
                <w:szCs w:val="22"/>
                <w:lang w:val="lv-LV"/>
              </w:rPr>
              <w:t xml:space="preserve">parādu </w:t>
            </w:r>
            <w:r w:rsidR="00D20F0C" w:rsidRPr="00D20F0C">
              <w:rPr>
                <w:rFonts w:asciiTheme="minorHAnsi" w:hAnsiTheme="minorHAnsi"/>
                <w:b/>
                <w:bCs/>
                <w:sz w:val="22"/>
                <w:szCs w:val="22"/>
                <w:lang w:val="lv-LV"/>
              </w:rPr>
              <w:t>atmaksa nākošajos gados</w:t>
            </w:r>
          </w:p>
        </w:tc>
      </w:tr>
    </w:tbl>
    <w:p w14:paraId="7A62F701" w14:textId="74236715" w:rsidR="00325966" w:rsidRPr="0078054E" w:rsidRDefault="003236C2" w:rsidP="009A1EF2">
      <w:pPr>
        <w:rPr>
          <w:rFonts w:asciiTheme="minorHAnsi" w:hAnsiTheme="minorHAnsi"/>
          <w:i/>
          <w:sz w:val="18"/>
          <w:szCs w:val="18"/>
          <w:lang w:val="lv-LV"/>
        </w:rPr>
      </w:pPr>
      <w:r>
        <w:rPr>
          <w:rFonts w:asciiTheme="minorHAnsi" w:hAnsiTheme="minorHAnsi"/>
          <w:sz w:val="18"/>
          <w:szCs w:val="18"/>
          <w:lang w:val="lv-LV"/>
        </w:rPr>
        <w:t xml:space="preserve">Avots: </w:t>
      </w:r>
      <w:r w:rsidR="00997F7D" w:rsidRPr="0078054E">
        <w:rPr>
          <w:rFonts w:asciiTheme="minorHAnsi" w:hAnsiTheme="minorHAnsi"/>
          <w:i/>
          <w:sz w:val="18"/>
          <w:szCs w:val="18"/>
          <w:lang w:val="lv-LV"/>
        </w:rPr>
        <w:t>FM dati un Padomes aprēķini</w:t>
      </w:r>
    </w:p>
    <w:p w14:paraId="11A977BF" w14:textId="6B58066E" w:rsidR="00571712" w:rsidRPr="0078054E" w:rsidRDefault="00571712" w:rsidP="009A1EF2">
      <w:pPr>
        <w:pStyle w:val="ListParagraph"/>
        <w:ind w:left="426"/>
        <w:rPr>
          <w:rFonts w:asciiTheme="minorHAnsi" w:hAnsiTheme="minorHAnsi"/>
          <w:bCs/>
          <w:sz w:val="22"/>
          <w:szCs w:val="22"/>
          <w:lang w:val="lv-LV"/>
        </w:rPr>
      </w:pPr>
    </w:p>
    <w:p w14:paraId="5126C5AB" w14:textId="16D1218B" w:rsidR="00325966" w:rsidRPr="0078054E" w:rsidRDefault="005B3208" w:rsidP="009A1EF2">
      <w:pPr>
        <w:pStyle w:val="ListParagraph"/>
        <w:numPr>
          <w:ilvl w:val="0"/>
          <w:numId w:val="2"/>
        </w:numPr>
        <w:ind w:left="426" w:hanging="426"/>
        <w:jc w:val="both"/>
        <w:rPr>
          <w:rFonts w:asciiTheme="minorHAnsi" w:hAnsiTheme="minorHAnsi"/>
          <w:sz w:val="22"/>
          <w:szCs w:val="22"/>
          <w:lang w:val="lv-LV"/>
        </w:rPr>
      </w:pPr>
      <w:r w:rsidRPr="0078054E">
        <w:rPr>
          <w:rFonts w:asciiTheme="minorHAnsi" w:hAnsiTheme="minorHAnsi"/>
          <w:b/>
          <w:bCs/>
          <w:sz w:val="22"/>
          <w:szCs w:val="22"/>
          <w:lang w:val="lv-LV"/>
        </w:rPr>
        <w:t>Sākotnēji Dīkstāves pabalsts (DP) tika plānots kā visnozīmīgākais un visaptverošākas atbalsta pasākums, kas pozitīvi ietekmētu gan uzņēmējus, gan aizsargātu</w:t>
      </w:r>
      <w:r w:rsidR="0062534F" w:rsidRPr="0078054E">
        <w:rPr>
          <w:rFonts w:asciiTheme="minorHAnsi" w:hAnsiTheme="minorHAnsi"/>
          <w:b/>
          <w:bCs/>
          <w:sz w:val="22"/>
          <w:szCs w:val="22"/>
          <w:lang w:val="lv-LV"/>
        </w:rPr>
        <w:t xml:space="preserve"> darbiniekus no atlaišanas.</w:t>
      </w:r>
      <w:r w:rsidR="0062534F" w:rsidRPr="0078054E">
        <w:rPr>
          <w:rFonts w:asciiTheme="minorHAnsi" w:hAnsiTheme="minorHAnsi"/>
          <w:sz w:val="22"/>
          <w:szCs w:val="22"/>
          <w:lang w:val="lv-LV"/>
        </w:rPr>
        <w:t xml:space="preserve"> Tomēr pasākuma ietekmes potenciāls nesasniedza gaidīto ietekmi pabalsta saņēmēju kritēriju dēļ, neskatoties uz vairākkārtēju potenciālo saņēmēju loka paplašināšanu. Ja sākotnēji izmaksāto pabalstu apjomu novērtēja</w:t>
      </w:r>
      <w:r w:rsidR="008C179E" w:rsidRPr="0078054E">
        <w:rPr>
          <w:rFonts w:asciiTheme="minorHAnsi" w:hAnsiTheme="minorHAnsi"/>
          <w:sz w:val="22"/>
          <w:szCs w:val="22"/>
          <w:lang w:val="lv-LV"/>
        </w:rPr>
        <w:t xml:space="preserve"> vairāk kā 170 miljonu ap</w:t>
      </w:r>
      <w:r w:rsidR="002E3965">
        <w:rPr>
          <w:rFonts w:asciiTheme="minorHAnsi" w:hAnsiTheme="minorHAnsi"/>
          <w:sz w:val="22"/>
          <w:szCs w:val="22"/>
          <w:lang w:val="lv-LV"/>
        </w:rPr>
        <w:t>m</w:t>
      </w:r>
      <w:r w:rsidR="00BC7F6F">
        <w:rPr>
          <w:rFonts w:asciiTheme="minorHAnsi" w:hAnsiTheme="minorHAnsi"/>
          <w:sz w:val="22"/>
          <w:szCs w:val="22"/>
          <w:lang w:val="lv-LV"/>
        </w:rPr>
        <w:t>ērā, tad beigās tas sasniedza 56.9</w:t>
      </w:r>
      <w:r w:rsidR="002E3965">
        <w:rPr>
          <w:rFonts w:asciiTheme="minorHAnsi" w:hAnsiTheme="minorHAnsi"/>
          <w:sz w:val="22"/>
          <w:szCs w:val="22"/>
          <w:lang w:val="lv-LV"/>
        </w:rPr>
        <w:t xml:space="preserve"> miljonus, tas</w:t>
      </w:r>
      <w:r w:rsidR="00985C97" w:rsidRPr="0078054E">
        <w:rPr>
          <w:rFonts w:asciiTheme="minorHAnsi" w:hAnsiTheme="minorHAnsi"/>
          <w:sz w:val="22"/>
          <w:szCs w:val="22"/>
          <w:lang w:val="lv-LV"/>
        </w:rPr>
        <w:t xml:space="preserve"> </w:t>
      </w:r>
      <w:r w:rsidR="002E3965">
        <w:rPr>
          <w:rFonts w:asciiTheme="minorHAnsi" w:hAnsiTheme="minorHAnsi"/>
          <w:sz w:val="22"/>
          <w:szCs w:val="22"/>
          <w:lang w:val="lv-LV"/>
        </w:rPr>
        <w:t xml:space="preserve"> ir tikai 3</w:t>
      </w:r>
      <w:r w:rsidR="00475B21" w:rsidRPr="0078054E">
        <w:rPr>
          <w:rFonts w:asciiTheme="minorHAnsi" w:hAnsiTheme="minorHAnsi"/>
          <w:sz w:val="22"/>
          <w:szCs w:val="22"/>
          <w:lang w:val="lv-LV"/>
        </w:rPr>
        <w:t>4</w:t>
      </w:r>
      <w:r w:rsidR="00985C97" w:rsidRPr="0078054E">
        <w:rPr>
          <w:rFonts w:asciiTheme="minorHAnsi" w:hAnsiTheme="minorHAnsi"/>
          <w:sz w:val="22"/>
          <w:szCs w:val="22"/>
          <w:lang w:val="lv-LV"/>
        </w:rPr>
        <w:t xml:space="preserve">% no </w:t>
      </w:r>
      <w:r w:rsidR="002E3965">
        <w:rPr>
          <w:rFonts w:asciiTheme="minorHAnsi" w:hAnsiTheme="minorHAnsi"/>
          <w:sz w:val="22"/>
          <w:szCs w:val="22"/>
          <w:lang w:val="lv-LV"/>
        </w:rPr>
        <w:t>plānotā apjoma.</w:t>
      </w:r>
      <w:r w:rsidR="00985C97" w:rsidRPr="0078054E">
        <w:rPr>
          <w:rFonts w:asciiTheme="minorHAnsi" w:hAnsiTheme="minorHAnsi"/>
          <w:sz w:val="22"/>
          <w:szCs w:val="22"/>
          <w:lang w:val="lv-LV"/>
        </w:rPr>
        <w:t xml:space="preserve"> </w:t>
      </w:r>
      <w:r w:rsidR="002D6B01">
        <w:rPr>
          <w:rFonts w:asciiTheme="minorHAnsi" w:hAnsiTheme="minorHAnsi"/>
          <w:sz w:val="22"/>
          <w:szCs w:val="22"/>
          <w:lang w:val="lv-LV"/>
        </w:rPr>
        <w:t>Pēc Latvijas bankas novērtējuma</w:t>
      </w:r>
      <w:r w:rsidR="002D6B01">
        <w:rPr>
          <w:rStyle w:val="FootnoteReference"/>
          <w:rFonts w:asciiTheme="minorHAnsi" w:hAnsiTheme="minorHAnsi"/>
          <w:sz w:val="22"/>
          <w:szCs w:val="22"/>
          <w:lang w:val="lv-LV"/>
        </w:rPr>
        <w:footnoteReference w:id="14"/>
      </w:r>
      <w:r w:rsidR="002D6B01">
        <w:rPr>
          <w:rFonts w:asciiTheme="minorHAnsi" w:hAnsiTheme="minorHAnsi"/>
          <w:sz w:val="22"/>
          <w:szCs w:val="22"/>
          <w:lang w:val="lv-LV"/>
        </w:rPr>
        <w:t xml:space="preserve"> Latvijā dīkstāves pabalstu apjoms bija 0.2% no IKP, Lietuvā un Igaunijā attiecīgi 0.3% un 0.9%</w:t>
      </w:r>
      <w:r w:rsidR="00953D4D">
        <w:rPr>
          <w:rFonts w:asciiTheme="minorHAnsi" w:hAnsiTheme="minorHAnsi"/>
          <w:sz w:val="22"/>
          <w:szCs w:val="22"/>
          <w:lang w:val="lv-LV"/>
        </w:rPr>
        <w:t>. Dīkstāves pabalstu saņēmēju skaits Latvijā bija 55.2 tūkstoši, Lietuvā un Igaunijā attiecīgi 137.7 tūkstoši un 200.6 tūkstoši. Vidējais dīkstāves pabalsta apjoms Latvijā, Lietuvā, Igaunijā attiecīgi 974.2 eiro, 766.6 eiro, 1866.6 eiro.</w:t>
      </w:r>
    </w:p>
    <w:p w14:paraId="7FC58C6F" w14:textId="1B2B5949" w:rsidR="000665B0" w:rsidRPr="0078054E" w:rsidRDefault="000665B0" w:rsidP="009A1EF2">
      <w:pPr>
        <w:pStyle w:val="ListParagraph"/>
        <w:ind w:left="426"/>
        <w:jc w:val="both"/>
        <w:rPr>
          <w:rFonts w:asciiTheme="minorHAnsi" w:hAnsiTheme="minorHAnsi"/>
          <w:sz w:val="22"/>
          <w:szCs w:val="22"/>
          <w:lang w:val="lv-LV"/>
        </w:rPr>
      </w:pPr>
    </w:p>
    <w:p w14:paraId="58F2EB5D" w14:textId="537ED07A" w:rsidR="00B47E52" w:rsidRPr="00103C0E" w:rsidRDefault="00763F87" w:rsidP="009A1EF2">
      <w:pPr>
        <w:pStyle w:val="ListParagraph"/>
        <w:numPr>
          <w:ilvl w:val="0"/>
          <w:numId w:val="2"/>
        </w:numPr>
        <w:ind w:left="426" w:hanging="426"/>
        <w:jc w:val="both"/>
        <w:rPr>
          <w:rFonts w:asciiTheme="minorHAnsi" w:hAnsiTheme="minorHAnsi"/>
          <w:b/>
          <w:bCs/>
          <w:sz w:val="22"/>
          <w:szCs w:val="22"/>
          <w:lang w:val="lv-LV"/>
        </w:rPr>
      </w:pPr>
      <w:r>
        <w:rPr>
          <w:rFonts w:asciiTheme="minorHAnsi" w:hAnsiTheme="minorHAnsi"/>
          <w:b/>
          <w:bCs/>
          <w:sz w:val="22"/>
          <w:szCs w:val="22"/>
          <w:lang w:val="lv-LV"/>
        </w:rPr>
        <w:t>Dažādi</w:t>
      </w:r>
      <w:r w:rsidRPr="0078054E">
        <w:rPr>
          <w:rFonts w:asciiTheme="minorHAnsi" w:hAnsiTheme="minorHAnsi"/>
          <w:b/>
          <w:bCs/>
          <w:sz w:val="22"/>
          <w:szCs w:val="22"/>
          <w:lang w:val="lv-LV"/>
        </w:rPr>
        <w:t xml:space="preserve"> nodokļu samaksas termiņu pagarinā</w:t>
      </w:r>
      <w:r>
        <w:rPr>
          <w:rFonts w:asciiTheme="minorHAnsi" w:hAnsiTheme="minorHAnsi"/>
          <w:b/>
          <w:bCs/>
          <w:sz w:val="22"/>
          <w:szCs w:val="22"/>
          <w:lang w:val="lv-LV"/>
        </w:rPr>
        <w:t>jumi tika plānoti kā  viens no būtiskākajiem atbalstiem uzņēmējiem</w:t>
      </w:r>
      <w:r w:rsidR="00527C05" w:rsidRPr="0078054E">
        <w:rPr>
          <w:rFonts w:asciiTheme="minorHAnsi" w:hAnsiTheme="minorHAnsi"/>
          <w:b/>
          <w:bCs/>
          <w:sz w:val="22"/>
          <w:szCs w:val="22"/>
          <w:lang w:val="lv-LV"/>
        </w:rPr>
        <w:t xml:space="preserve">. </w:t>
      </w:r>
      <w:r w:rsidRPr="00763F87">
        <w:rPr>
          <w:rFonts w:asciiTheme="minorHAnsi" w:hAnsiTheme="minorHAnsi"/>
          <w:bCs/>
          <w:sz w:val="22"/>
          <w:szCs w:val="22"/>
          <w:lang w:val="lv-LV"/>
        </w:rPr>
        <w:t>Sākotnēji</w:t>
      </w:r>
      <w:r w:rsidR="00527C05" w:rsidRPr="0078054E">
        <w:rPr>
          <w:rFonts w:asciiTheme="minorHAnsi" w:hAnsiTheme="minorHAnsi"/>
          <w:sz w:val="22"/>
          <w:szCs w:val="22"/>
          <w:lang w:val="lv-LV"/>
        </w:rPr>
        <w:t xml:space="preserve"> </w:t>
      </w:r>
      <w:r>
        <w:rPr>
          <w:rFonts w:asciiTheme="minorHAnsi" w:hAnsiTheme="minorHAnsi"/>
          <w:sz w:val="22"/>
          <w:szCs w:val="22"/>
          <w:lang w:val="lv-LV"/>
        </w:rPr>
        <w:t xml:space="preserve">tika </w:t>
      </w:r>
      <w:r w:rsidR="00527C05" w:rsidRPr="0078054E">
        <w:rPr>
          <w:rFonts w:asciiTheme="minorHAnsi" w:hAnsiTheme="minorHAnsi"/>
          <w:sz w:val="22"/>
          <w:szCs w:val="22"/>
          <w:lang w:val="lv-LV"/>
        </w:rPr>
        <w:t>novērtēts, ka šis pas</w:t>
      </w:r>
      <w:r>
        <w:rPr>
          <w:rFonts w:asciiTheme="minorHAnsi" w:hAnsiTheme="minorHAnsi"/>
          <w:sz w:val="22"/>
          <w:szCs w:val="22"/>
          <w:lang w:val="lv-LV"/>
        </w:rPr>
        <w:t>ākums negatīvi ietekmēs VVBB 2020.gadā</w:t>
      </w:r>
      <w:r w:rsidR="00527C05" w:rsidRPr="0078054E">
        <w:rPr>
          <w:rFonts w:asciiTheme="minorHAnsi" w:hAnsiTheme="minorHAnsi"/>
          <w:sz w:val="22"/>
          <w:szCs w:val="22"/>
          <w:lang w:val="lv-LV"/>
        </w:rPr>
        <w:t xml:space="preserve"> 331 miljonu </w:t>
      </w:r>
      <w:r>
        <w:rPr>
          <w:rFonts w:asciiTheme="minorHAnsi" w:hAnsiTheme="minorHAnsi"/>
          <w:sz w:val="22"/>
          <w:szCs w:val="22"/>
          <w:lang w:val="lv-LV"/>
        </w:rPr>
        <w:t>e</w:t>
      </w:r>
      <w:r w:rsidR="00527C05" w:rsidRPr="0078054E">
        <w:rPr>
          <w:rFonts w:asciiTheme="minorHAnsi" w:hAnsiTheme="minorHAnsi"/>
          <w:sz w:val="22"/>
          <w:szCs w:val="22"/>
          <w:lang w:val="lv-LV"/>
        </w:rPr>
        <w:t>iro</w:t>
      </w:r>
      <w:r>
        <w:rPr>
          <w:rFonts w:asciiTheme="minorHAnsi" w:hAnsiTheme="minorHAnsi"/>
          <w:sz w:val="22"/>
          <w:szCs w:val="22"/>
          <w:lang w:val="lv-LV"/>
        </w:rPr>
        <w:t xml:space="preserve"> apmērā</w:t>
      </w:r>
      <w:r w:rsidR="00527C05" w:rsidRPr="0078054E">
        <w:rPr>
          <w:rFonts w:asciiTheme="minorHAnsi" w:hAnsiTheme="minorHAnsi"/>
          <w:sz w:val="22"/>
          <w:szCs w:val="22"/>
          <w:lang w:val="lv-LV"/>
        </w:rPr>
        <w:t xml:space="preserve">, </w:t>
      </w:r>
      <w:r>
        <w:rPr>
          <w:rFonts w:asciiTheme="minorHAnsi" w:hAnsiTheme="minorHAnsi"/>
          <w:sz w:val="22"/>
          <w:szCs w:val="22"/>
          <w:lang w:val="lv-LV"/>
        </w:rPr>
        <w:t>šobrīd ietekmes novērtējums ir 139.9 miljoni eiro. FM novērtē, ka tuvākajos gados šo nodokļu atmaksas</w:t>
      </w:r>
      <w:r w:rsidR="00527C05" w:rsidRPr="0078054E">
        <w:rPr>
          <w:rFonts w:asciiTheme="minorHAnsi" w:hAnsiTheme="minorHAnsi"/>
          <w:sz w:val="22"/>
          <w:szCs w:val="22"/>
          <w:lang w:val="lv-LV"/>
        </w:rPr>
        <w:t xml:space="preserve"> uzlabos VVBB </w:t>
      </w:r>
      <w:r>
        <w:rPr>
          <w:rFonts w:asciiTheme="minorHAnsi" w:hAnsiTheme="minorHAnsi"/>
          <w:sz w:val="22"/>
          <w:szCs w:val="22"/>
          <w:lang w:val="lv-LV"/>
        </w:rPr>
        <w:t xml:space="preserve">38.4 miljonu eiro apmērā. </w:t>
      </w:r>
    </w:p>
    <w:p w14:paraId="4310BA67" w14:textId="73EDBFAF" w:rsidR="00103C0E" w:rsidRPr="00103C0E" w:rsidRDefault="00103C0E" w:rsidP="009A1EF2">
      <w:pPr>
        <w:ind w:left="426"/>
        <w:jc w:val="both"/>
        <w:rPr>
          <w:rFonts w:asciiTheme="minorHAnsi" w:hAnsiTheme="minorHAnsi"/>
          <w:b/>
          <w:bCs/>
          <w:sz w:val="22"/>
          <w:szCs w:val="22"/>
          <w:lang w:val="lv-LV"/>
        </w:rPr>
      </w:pPr>
    </w:p>
    <w:p w14:paraId="07A41A21" w14:textId="47CA8C6E" w:rsidR="009817ED" w:rsidRPr="00103C0E" w:rsidRDefault="00864B4B" w:rsidP="009A1EF2">
      <w:pPr>
        <w:pStyle w:val="ListParagraph"/>
        <w:numPr>
          <w:ilvl w:val="0"/>
          <w:numId w:val="2"/>
        </w:numPr>
        <w:ind w:left="426" w:hanging="426"/>
        <w:jc w:val="both"/>
        <w:rPr>
          <w:rFonts w:asciiTheme="minorHAnsi" w:hAnsiTheme="minorHAnsi"/>
          <w:b/>
          <w:bCs/>
          <w:sz w:val="22"/>
          <w:szCs w:val="22"/>
          <w:lang w:val="lv-LV"/>
        </w:rPr>
      </w:pPr>
      <w:r w:rsidRPr="0078054E">
        <w:rPr>
          <w:rFonts w:asciiTheme="minorHAnsi" w:hAnsiTheme="minorHAnsi"/>
          <w:b/>
          <w:bCs/>
          <w:sz w:val="22"/>
          <w:szCs w:val="22"/>
          <w:lang w:val="lv-LV"/>
        </w:rPr>
        <w:t>Valsts finanšu attīstības instit</w:t>
      </w:r>
      <w:r w:rsidR="00631BA8" w:rsidRPr="0078054E">
        <w:rPr>
          <w:rFonts w:asciiTheme="minorHAnsi" w:hAnsiTheme="minorHAnsi"/>
          <w:b/>
          <w:bCs/>
          <w:sz w:val="22"/>
          <w:szCs w:val="22"/>
          <w:lang w:val="lv-LV"/>
        </w:rPr>
        <w:t xml:space="preserve">ūcija ALTUM ir </w:t>
      </w:r>
      <w:r w:rsidR="00653C5C">
        <w:rPr>
          <w:rFonts w:asciiTheme="minorHAnsi" w:hAnsiTheme="minorHAnsi"/>
          <w:b/>
          <w:bCs/>
          <w:sz w:val="22"/>
          <w:szCs w:val="22"/>
          <w:lang w:val="lv-LV"/>
        </w:rPr>
        <w:t xml:space="preserve">galvenā institūcija, kas sniedz palīdzību uzņēmējiem ar dažādiem </w:t>
      </w:r>
      <w:r w:rsidR="006613B3">
        <w:rPr>
          <w:rFonts w:asciiTheme="minorHAnsi" w:hAnsiTheme="minorHAnsi"/>
          <w:b/>
          <w:bCs/>
          <w:sz w:val="22"/>
          <w:szCs w:val="22"/>
          <w:lang w:val="lv-LV"/>
        </w:rPr>
        <w:t xml:space="preserve">Covid-19 </w:t>
      </w:r>
      <w:r w:rsidR="00653C5C">
        <w:rPr>
          <w:rFonts w:asciiTheme="minorHAnsi" w:hAnsiTheme="minorHAnsi"/>
          <w:b/>
          <w:bCs/>
          <w:sz w:val="22"/>
          <w:szCs w:val="22"/>
          <w:lang w:val="lv-LV"/>
        </w:rPr>
        <w:t>instrumentiem – aizdevumiem, garantijām, kapitāla ieguldījumiem.</w:t>
      </w:r>
      <w:r w:rsidRPr="0078054E">
        <w:rPr>
          <w:rFonts w:asciiTheme="minorHAnsi" w:hAnsiTheme="minorHAnsi"/>
          <w:b/>
          <w:bCs/>
          <w:sz w:val="22"/>
          <w:szCs w:val="22"/>
          <w:lang w:val="lv-LV"/>
        </w:rPr>
        <w:t xml:space="preserve"> </w:t>
      </w:r>
      <w:r w:rsidRPr="0078054E">
        <w:rPr>
          <w:rFonts w:asciiTheme="minorHAnsi" w:hAnsiTheme="minorHAnsi"/>
          <w:sz w:val="22"/>
          <w:szCs w:val="22"/>
          <w:lang w:val="lv-LV"/>
        </w:rPr>
        <w:t>Līdz</w:t>
      </w:r>
      <w:r w:rsidRPr="0078054E">
        <w:rPr>
          <w:rFonts w:asciiTheme="minorHAnsi" w:hAnsiTheme="minorHAnsi"/>
          <w:b/>
          <w:bCs/>
          <w:sz w:val="22"/>
          <w:szCs w:val="22"/>
          <w:lang w:val="lv-LV"/>
        </w:rPr>
        <w:t xml:space="preserve"> </w:t>
      </w:r>
      <w:r w:rsidR="00653C5C">
        <w:rPr>
          <w:rFonts w:asciiTheme="minorHAnsi" w:hAnsiTheme="minorHAnsi"/>
          <w:sz w:val="22"/>
          <w:szCs w:val="22"/>
          <w:lang w:val="lv-LV"/>
        </w:rPr>
        <w:t>2.oktobrim ir apstiprināti 469 aizdevumi par kopējo summu 86 miljoni eiro un apstiprinātas garantijas 30.8 m apmērā par kopējo finansējuma apmēru</w:t>
      </w:r>
      <w:r w:rsidR="006613B3">
        <w:rPr>
          <w:rFonts w:asciiTheme="minorHAnsi" w:hAnsiTheme="minorHAnsi"/>
          <w:sz w:val="22"/>
          <w:szCs w:val="22"/>
          <w:lang w:val="lv-LV"/>
        </w:rPr>
        <w:t xml:space="preserve"> </w:t>
      </w:r>
      <w:r w:rsidR="00653C5C">
        <w:rPr>
          <w:rFonts w:asciiTheme="minorHAnsi" w:hAnsiTheme="minorHAnsi"/>
          <w:sz w:val="22"/>
          <w:szCs w:val="22"/>
          <w:lang w:val="lv-LV"/>
        </w:rPr>
        <w:t>85 miljoni eiro</w:t>
      </w:r>
      <w:r w:rsidR="006613B3">
        <w:rPr>
          <w:rFonts w:asciiTheme="minorHAnsi" w:hAnsiTheme="minorHAnsi"/>
          <w:sz w:val="22"/>
          <w:szCs w:val="22"/>
          <w:lang w:val="lv-LV"/>
        </w:rPr>
        <w:t>. Papildus šiem instrumentiem, ALTUM kopš krīzes sākuma vēl ir piešķīris ar krīzi nesaistītos instrumentus 172 miljonu apmērā ar kopējo finansējuma apmēru 387 miljoni eiro. Līdz ar to, kopš krīzes sākuma ALTUM darbība ir stimulējusi tautsaimniecību 558 miljonu eiro, jeb gandrīz 2% no IKP apmērā</w:t>
      </w:r>
      <w:r w:rsidR="006613B3">
        <w:rPr>
          <w:rStyle w:val="FootnoteReference"/>
          <w:rFonts w:asciiTheme="minorHAnsi" w:hAnsiTheme="minorHAnsi"/>
          <w:sz w:val="22"/>
          <w:szCs w:val="22"/>
          <w:lang w:val="lv-LV"/>
        </w:rPr>
        <w:footnoteReference w:id="15"/>
      </w:r>
      <w:r w:rsidR="006613B3">
        <w:rPr>
          <w:rFonts w:asciiTheme="minorHAnsi" w:hAnsiTheme="minorHAnsi"/>
          <w:sz w:val="22"/>
          <w:szCs w:val="22"/>
          <w:lang w:val="lv-LV"/>
        </w:rPr>
        <w:t xml:space="preserve">. </w:t>
      </w:r>
      <w:r w:rsidR="006613B3" w:rsidRPr="0078054E">
        <w:rPr>
          <w:rFonts w:asciiTheme="minorHAnsi" w:hAnsiTheme="minorHAnsi"/>
          <w:sz w:val="22"/>
          <w:szCs w:val="22"/>
          <w:lang w:val="lv-LV"/>
        </w:rPr>
        <w:t xml:space="preserve"> </w:t>
      </w:r>
      <w:r w:rsidR="00FC3F55">
        <w:rPr>
          <w:rFonts w:asciiTheme="minorHAnsi" w:hAnsiTheme="minorHAnsi"/>
          <w:sz w:val="22"/>
          <w:szCs w:val="22"/>
          <w:lang w:val="lv-LV"/>
        </w:rPr>
        <w:t>Darbu nesen ir arī uzsācis Kapitāla fonds, kura ietvaros ALTUM investēs lielajos uzņēmumos, kuri cietuši no Covid-19 krīzes.</w:t>
      </w:r>
    </w:p>
    <w:p w14:paraId="407A44C2" w14:textId="7B62042D" w:rsidR="00103C0E" w:rsidRPr="00103C0E" w:rsidRDefault="00103C0E" w:rsidP="009A1EF2">
      <w:pPr>
        <w:ind w:left="426"/>
        <w:jc w:val="both"/>
        <w:rPr>
          <w:rFonts w:asciiTheme="minorHAnsi" w:hAnsiTheme="minorHAnsi"/>
          <w:b/>
          <w:bCs/>
          <w:sz w:val="22"/>
          <w:szCs w:val="22"/>
          <w:lang w:val="lv-LV"/>
        </w:rPr>
      </w:pPr>
    </w:p>
    <w:p w14:paraId="57ADCE43" w14:textId="4E2C359A" w:rsidR="009817ED" w:rsidRPr="00103C0E" w:rsidRDefault="00E961F4" w:rsidP="009A1EF2">
      <w:pPr>
        <w:pStyle w:val="ListParagraph"/>
        <w:numPr>
          <w:ilvl w:val="0"/>
          <w:numId w:val="2"/>
        </w:numPr>
        <w:ind w:left="426" w:hanging="426"/>
        <w:jc w:val="both"/>
        <w:rPr>
          <w:rFonts w:asciiTheme="minorHAnsi" w:hAnsiTheme="minorHAnsi"/>
          <w:b/>
          <w:bCs/>
          <w:sz w:val="22"/>
          <w:szCs w:val="22"/>
          <w:lang w:val="lv-LV"/>
        </w:rPr>
      </w:pPr>
      <w:r w:rsidRPr="0078054E">
        <w:rPr>
          <w:rFonts w:asciiTheme="minorHAnsi" w:hAnsiTheme="minorHAnsi"/>
          <w:b/>
          <w:bCs/>
          <w:sz w:val="22"/>
          <w:szCs w:val="22"/>
          <w:lang w:val="lv-LV"/>
        </w:rPr>
        <w:t>Lielāko valsts</w:t>
      </w:r>
      <w:r w:rsidR="00A10746">
        <w:rPr>
          <w:rFonts w:asciiTheme="minorHAnsi" w:hAnsiTheme="minorHAnsi"/>
          <w:b/>
          <w:bCs/>
          <w:sz w:val="22"/>
          <w:szCs w:val="22"/>
          <w:lang w:val="lv-LV"/>
        </w:rPr>
        <w:t xml:space="preserve"> atbalstu krīzes ietvaros ir saņēmis</w:t>
      </w:r>
      <w:r w:rsidRPr="0078054E">
        <w:rPr>
          <w:rFonts w:asciiTheme="minorHAnsi" w:hAnsiTheme="minorHAnsi"/>
          <w:b/>
          <w:bCs/>
          <w:sz w:val="22"/>
          <w:szCs w:val="22"/>
          <w:lang w:val="lv-LV"/>
        </w:rPr>
        <w:t xml:space="preserve"> </w:t>
      </w:r>
      <w:r w:rsidR="00A10746">
        <w:rPr>
          <w:rFonts w:asciiTheme="minorHAnsi" w:hAnsiTheme="minorHAnsi"/>
          <w:b/>
          <w:bCs/>
          <w:sz w:val="22"/>
          <w:szCs w:val="22"/>
          <w:lang w:val="lv-LV"/>
        </w:rPr>
        <w:t xml:space="preserve">Airbaltic, kam </w:t>
      </w:r>
      <w:r w:rsidR="00463E11" w:rsidRPr="0078054E">
        <w:rPr>
          <w:rFonts w:asciiTheme="minorHAnsi" w:hAnsiTheme="minorHAnsi"/>
          <w:b/>
          <w:bCs/>
          <w:sz w:val="22"/>
          <w:szCs w:val="22"/>
          <w:lang w:val="lv-LV"/>
        </w:rPr>
        <w:t>piešķirti</w:t>
      </w:r>
      <w:r w:rsidR="00A10746">
        <w:rPr>
          <w:rFonts w:asciiTheme="minorHAnsi" w:hAnsiTheme="minorHAnsi"/>
          <w:b/>
          <w:bCs/>
          <w:sz w:val="22"/>
          <w:szCs w:val="22"/>
          <w:lang w:val="lv-LV"/>
        </w:rPr>
        <w:t xml:space="preserve"> 250 miljoni </w:t>
      </w:r>
      <w:r w:rsidR="00A10746" w:rsidRPr="0078054E">
        <w:rPr>
          <w:rFonts w:asciiTheme="minorHAnsi" w:hAnsiTheme="minorHAnsi"/>
          <w:b/>
          <w:bCs/>
          <w:sz w:val="22"/>
          <w:szCs w:val="22"/>
          <w:lang w:val="lv-LV"/>
        </w:rPr>
        <w:t>pamatkapitāla palielināšanai</w:t>
      </w:r>
      <w:r w:rsidR="00A10746">
        <w:rPr>
          <w:rFonts w:asciiTheme="minorHAnsi" w:hAnsiTheme="minorHAnsi"/>
          <w:b/>
          <w:bCs/>
          <w:sz w:val="22"/>
          <w:szCs w:val="22"/>
          <w:lang w:val="lv-LV"/>
        </w:rPr>
        <w:t>, un arī norakstīts valsts parād</w:t>
      </w:r>
      <w:r w:rsidR="004E1C78">
        <w:rPr>
          <w:rFonts w:asciiTheme="minorHAnsi" w:hAnsiTheme="minorHAnsi"/>
          <w:b/>
          <w:bCs/>
          <w:sz w:val="22"/>
          <w:szCs w:val="22"/>
          <w:lang w:val="lv-LV"/>
        </w:rPr>
        <w:t>s</w:t>
      </w:r>
      <w:r w:rsidR="00A10746">
        <w:rPr>
          <w:rFonts w:asciiTheme="minorHAnsi" w:hAnsiTheme="minorHAnsi"/>
          <w:b/>
          <w:bCs/>
          <w:sz w:val="22"/>
          <w:szCs w:val="22"/>
          <w:lang w:val="lv-LV"/>
        </w:rPr>
        <w:t xml:space="preserve"> </w:t>
      </w:r>
      <w:r w:rsidR="00463E11" w:rsidRPr="0078054E">
        <w:rPr>
          <w:rFonts w:asciiTheme="minorHAnsi" w:hAnsiTheme="minorHAnsi"/>
          <w:b/>
          <w:bCs/>
          <w:sz w:val="22"/>
          <w:szCs w:val="22"/>
          <w:lang w:val="lv-LV"/>
        </w:rPr>
        <w:t xml:space="preserve"> 36.</w:t>
      </w:r>
      <w:r w:rsidR="00A10746">
        <w:rPr>
          <w:rFonts w:asciiTheme="minorHAnsi" w:hAnsiTheme="minorHAnsi"/>
          <w:b/>
          <w:bCs/>
          <w:sz w:val="22"/>
          <w:szCs w:val="22"/>
          <w:lang w:val="lv-LV"/>
        </w:rPr>
        <w:t>1 miljona eiro apmērā.</w:t>
      </w:r>
      <w:r w:rsidRPr="0078054E">
        <w:rPr>
          <w:rFonts w:asciiTheme="minorHAnsi" w:hAnsiTheme="minorHAnsi"/>
          <w:b/>
          <w:bCs/>
          <w:sz w:val="22"/>
          <w:szCs w:val="22"/>
          <w:lang w:val="lv-LV"/>
        </w:rPr>
        <w:t xml:space="preserve"> </w:t>
      </w:r>
      <w:r w:rsidRPr="0078054E">
        <w:rPr>
          <w:rFonts w:asciiTheme="minorHAnsi" w:hAnsiTheme="minorHAnsi"/>
          <w:sz w:val="22"/>
          <w:szCs w:val="22"/>
          <w:lang w:val="lv-LV"/>
        </w:rPr>
        <w:t xml:space="preserve">Nacionālā aviokompānija ir izvēlējusies krīzi </w:t>
      </w:r>
      <w:r w:rsidR="00B43970" w:rsidRPr="0078054E">
        <w:rPr>
          <w:rFonts w:asciiTheme="minorHAnsi" w:hAnsiTheme="minorHAnsi"/>
          <w:sz w:val="22"/>
          <w:szCs w:val="22"/>
          <w:lang w:val="lv-LV"/>
        </w:rPr>
        <w:t xml:space="preserve">izmantot </w:t>
      </w:r>
      <w:r w:rsidRPr="0078054E">
        <w:rPr>
          <w:rFonts w:asciiTheme="minorHAnsi" w:hAnsiTheme="minorHAnsi"/>
          <w:sz w:val="22"/>
          <w:szCs w:val="22"/>
          <w:lang w:val="lv-LV"/>
        </w:rPr>
        <w:t>kā iespēju palielināt savu tirgus daļu</w:t>
      </w:r>
      <w:r w:rsidRPr="0078054E">
        <w:rPr>
          <w:rStyle w:val="FootnoteReference"/>
          <w:rFonts w:asciiTheme="minorHAnsi" w:hAnsiTheme="minorHAnsi"/>
          <w:sz w:val="22"/>
          <w:szCs w:val="22"/>
          <w:lang w:val="lv-LV"/>
        </w:rPr>
        <w:footnoteReference w:id="16"/>
      </w:r>
      <w:r w:rsidRPr="0078054E">
        <w:rPr>
          <w:rFonts w:asciiTheme="minorHAnsi" w:hAnsiTheme="minorHAnsi"/>
          <w:sz w:val="22"/>
          <w:szCs w:val="22"/>
          <w:lang w:val="lv-LV"/>
        </w:rPr>
        <w:t>.</w:t>
      </w:r>
      <w:r w:rsidRPr="0078054E">
        <w:rPr>
          <w:rFonts w:asciiTheme="minorHAnsi" w:hAnsiTheme="minorHAnsi"/>
          <w:b/>
          <w:bCs/>
          <w:sz w:val="22"/>
          <w:szCs w:val="22"/>
          <w:lang w:val="lv-LV"/>
        </w:rPr>
        <w:t xml:space="preserve"> </w:t>
      </w:r>
      <w:r w:rsidR="00B43970" w:rsidRPr="0078054E">
        <w:rPr>
          <w:rFonts w:asciiTheme="minorHAnsi" w:hAnsiTheme="minorHAnsi"/>
          <w:sz w:val="22"/>
          <w:szCs w:val="22"/>
          <w:lang w:val="lv-LV"/>
        </w:rPr>
        <w:t xml:space="preserve">Padomes rīcībā nav informācijas, lai novērtētu šādas stratēģijas priekšrocības un riskus. </w:t>
      </w:r>
      <w:r w:rsidR="00DE2D1B" w:rsidRPr="0078054E">
        <w:rPr>
          <w:rFonts w:asciiTheme="minorHAnsi" w:hAnsiTheme="minorHAnsi"/>
          <w:sz w:val="22"/>
          <w:szCs w:val="22"/>
          <w:lang w:val="lv-LV"/>
        </w:rPr>
        <w:t>Avio</w:t>
      </w:r>
      <w:r w:rsidR="00A10746">
        <w:rPr>
          <w:rFonts w:asciiTheme="minorHAnsi" w:hAnsiTheme="minorHAnsi"/>
          <w:sz w:val="22"/>
          <w:szCs w:val="22"/>
          <w:lang w:val="lv-LV"/>
        </w:rPr>
        <w:t>pārvadājumu nozare saņem lielu</w:t>
      </w:r>
      <w:r w:rsidR="00DE2D1B" w:rsidRPr="0078054E">
        <w:rPr>
          <w:rFonts w:asciiTheme="minorHAnsi" w:hAnsiTheme="minorHAnsi"/>
          <w:sz w:val="22"/>
          <w:szCs w:val="22"/>
          <w:lang w:val="lv-LV"/>
        </w:rPr>
        <w:t xml:space="preserve"> daļu no valsts atbalsta – </w:t>
      </w:r>
      <w:r w:rsidR="00A10746">
        <w:rPr>
          <w:rFonts w:asciiTheme="minorHAnsi" w:hAnsiTheme="minorHAnsi"/>
          <w:sz w:val="22"/>
          <w:szCs w:val="22"/>
          <w:lang w:val="lv-LV"/>
        </w:rPr>
        <w:t>346.1 miljona apmērā, kas ir vairāk kā 15</w:t>
      </w:r>
      <w:r w:rsidR="00DE2D1B" w:rsidRPr="0078054E">
        <w:rPr>
          <w:rFonts w:asciiTheme="minorHAnsi" w:hAnsiTheme="minorHAnsi"/>
          <w:sz w:val="22"/>
          <w:szCs w:val="22"/>
          <w:lang w:val="lv-LV"/>
        </w:rPr>
        <w:t>%</w:t>
      </w:r>
      <w:r w:rsidR="00B43970" w:rsidRPr="0078054E">
        <w:rPr>
          <w:rFonts w:asciiTheme="minorHAnsi" w:hAnsiTheme="minorHAnsi"/>
          <w:sz w:val="22"/>
          <w:szCs w:val="22"/>
          <w:lang w:val="lv-LV"/>
        </w:rPr>
        <w:t xml:space="preserve"> no kopējās atbalsta summas. </w:t>
      </w:r>
    </w:p>
    <w:p w14:paraId="1D2D24AE" w14:textId="7CB9B561" w:rsidR="00103C0E" w:rsidRPr="00103C0E" w:rsidRDefault="00103C0E" w:rsidP="009A1EF2">
      <w:pPr>
        <w:ind w:left="426"/>
        <w:jc w:val="both"/>
        <w:rPr>
          <w:rFonts w:asciiTheme="minorHAnsi" w:hAnsiTheme="minorHAnsi"/>
          <w:b/>
          <w:bCs/>
          <w:sz w:val="22"/>
          <w:szCs w:val="22"/>
          <w:lang w:val="lv-LV"/>
        </w:rPr>
      </w:pPr>
    </w:p>
    <w:p w14:paraId="3F725472" w14:textId="7AEA48F9" w:rsidR="00B43970" w:rsidRPr="004E1C78" w:rsidRDefault="00A123FF" w:rsidP="72B40892">
      <w:pPr>
        <w:pStyle w:val="ListParagraph"/>
        <w:numPr>
          <w:ilvl w:val="0"/>
          <w:numId w:val="2"/>
        </w:numPr>
        <w:spacing w:after="240"/>
        <w:ind w:left="426" w:hanging="426"/>
        <w:jc w:val="both"/>
        <w:rPr>
          <w:rFonts w:asciiTheme="minorHAnsi" w:hAnsiTheme="minorHAnsi"/>
          <w:b/>
          <w:bCs/>
          <w:sz w:val="22"/>
          <w:szCs w:val="22"/>
          <w:lang w:val="lv-LV"/>
        </w:rPr>
      </w:pPr>
      <w:r w:rsidRPr="72B40892">
        <w:rPr>
          <w:rFonts w:asciiTheme="minorHAnsi" w:hAnsiTheme="minorHAnsi"/>
          <w:b/>
          <w:bCs/>
          <w:sz w:val="22"/>
          <w:szCs w:val="22"/>
          <w:lang w:val="lv-LV"/>
        </w:rPr>
        <w:t xml:space="preserve">Lai nodrošinātu atbalsta pasākumu finansēšanu, Valsts kase ir veikusi aizņemšanos finanšu tirgos, kā arī nodrošinājusi aizņemšanās iespējas no starptautiskām finanšu institūcijām. </w:t>
      </w:r>
      <w:r w:rsidR="00864B4B" w:rsidRPr="72B40892">
        <w:rPr>
          <w:rFonts w:asciiTheme="minorHAnsi" w:hAnsiTheme="minorHAnsi"/>
          <w:sz w:val="22"/>
          <w:szCs w:val="22"/>
          <w:lang w:val="lv-LV"/>
        </w:rPr>
        <w:t>Aizņēmumi veikti ar Latvijai izdevīgiem nosacījumiem, kas vēlreiz liecina par finanšu tirgus ticību Latvijas valsts fiskālai politika</w:t>
      </w:r>
      <w:r w:rsidR="41655F57" w:rsidRPr="72B40892">
        <w:rPr>
          <w:rFonts w:asciiTheme="minorHAnsi" w:hAnsiTheme="minorHAnsi"/>
          <w:sz w:val="22"/>
          <w:szCs w:val="22"/>
          <w:lang w:val="lv-LV"/>
        </w:rPr>
        <w:t>, un monetārās politikas efektivitāti.</w:t>
      </w:r>
    </w:p>
    <w:p w14:paraId="24F7B9F8" w14:textId="77777777" w:rsidR="004E1C78" w:rsidRPr="004E1C78" w:rsidRDefault="004E1C78" w:rsidP="004E1C78">
      <w:pPr>
        <w:pStyle w:val="ListParagraph"/>
        <w:rPr>
          <w:rFonts w:asciiTheme="minorHAnsi" w:hAnsiTheme="minorHAnsi"/>
          <w:b/>
          <w:bCs/>
          <w:sz w:val="22"/>
          <w:szCs w:val="22"/>
          <w:lang w:val="lv-LV"/>
        </w:rPr>
      </w:pPr>
    </w:p>
    <w:p w14:paraId="0AC43A28" w14:textId="77777777" w:rsidR="004E1C78" w:rsidRPr="004C2909" w:rsidRDefault="004E1C78" w:rsidP="004E1C78">
      <w:pPr>
        <w:pStyle w:val="ListParagraph"/>
        <w:spacing w:after="240"/>
        <w:ind w:left="426"/>
        <w:jc w:val="both"/>
        <w:rPr>
          <w:rFonts w:asciiTheme="minorHAnsi" w:hAnsiTheme="minorHAnsi"/>
          <w:b/>
          <w:bCs/>
          <w:sz w:val="22"/>
          <w:szCs w:val="22"/>
          <w:lang w:val="lv-LV"/>
        </w:rPr>
      </w:pPr>
    </w:p>
    <w:p w14:paraId="0339012A" w14:textId="15FEA9E7" w:rsidR="004C2909" w:rsidRPr="007D0B95" w:rsidRDefault="004C2909" w:rsidP="007D0B95">
      <w:pPr>
        <w:pStyle w:val="Heading1"/>
        <w:numPr>
          <w:ilvl w:val="0"/>
          <w:numId w:val="3"/>
        </w:numPr>
        <w:spacing w:after="240"/>
        <w:rPr>
          <w:lang w:val="lv-LV"/>
        </w:rPr>
      </w:pPr>
      <w:bookmarkStart w:id="12" w:name="_Toc53387629"/>
      <w:r w:rsidRPr="007D0B95">
        <w:rPr>
          <w:lang w:val="lv-LV"/>
        </w:rPr>
        <w:t>Fiskālie riski</w:t>
      </w:r>
      <w:bookmarkEnd w:id="12"/>
    </w:p>
    <w:p w14:paraId="296839D1" w14:textId="690803AE" w:rsidR="009F436C" w:rsidRPr="005329D6" w:rsidRDefault="009F436C" w:rsidP="00467532">
      <w:pPr>
        <w:pStyle w:val="ListParagraph"/>
        <w:numPr>
          <w:ilvl w:val="0"/>
          <w:numId w:val="2"/>
        </w:numPr>
        <w:ind w:left="426" w:hanging="426"/>
        <w:jc w:val="both"/>
        <w:rPr>
          <w:rFonts w:asciiTheme="minorHAnsi" w:hAnsiTheme="minorHAnsi"/>
          <w:b/>
          <w:bCs/>
          <w:sz w:val="22"/>
          <w:szCs w:val="22"/>
          <w:lang w:val="lv-LV"/>
        </w:rPr>
      </w:pPr>
      <w:r w:rsidRPr="0078054E">
        <w:rPr>
          <w:rFonts w:asciiTheme="minorHAnsi" w:hAnsiTheme="minorHAnsi"/>
          <w:b/>
          <w:bCs/>
          <w:sz w:val="22"/>
          <w:szCs w:val="22"/>
          <w:lang w:val="lv-LV"/>
        </w:rPr>
        <w:t xml:space="preserve">Lai arī Covid-19 krīzes izraisītā makroekonomiskā stabilitāte šobrīd ir galvenais fiskālais riska avots, joprojām eksistē citi riski, kas var potenciāli pasliktināt valsts fiskālo pozīciju. </w:t>
      </w:r>
      <w:r w:rsidR="005329D6">
        <w:rPr>
          <w:rFonts w:asciiTheme="minorHAnsi" w:hAnsiTheme="minorHAnsi"/>
          <w:bCs/>
          <w:sz w:val="22"/>
          <w:szCs w:val="22"/>
          <w:lang w:val="lv-LV"/>
        </w:rPr>
        <w:t xml:space="preserve">Globāli ir sācies Covid-19 otrais vilnis un formāli no Covid-19 ir miruši 1 miljons iedzīvotāju visā pasaulē, domājams, ka patiesībā šis cipars varētu būt divas reizes lielāks. Par laimi mirstība no Covid-19 ir ievērojami mazinājusies, tādēļ kopuma valstis neuzliek ekonomikas izaugsmi ierobežojošus pasākums tik lielā apmērā, kā pirmā Covid-19 viļņa laikā. </w:t>
      </w:r>
    </w:p>
    <w:p w14:paraId="738219DA" w14:textId="6B10E045" w:rsidR="005329D6" w:rsidRDefault="005329D6" w:rsidP="00467532">
      <w:pPr>
        <w:pStyle w:val="ListParagraph"/>
        <w:ind w:left="426"/>
        <w:jc w:val="both"/>
        <w:rPr>
          <w:rFonts w:asciiTheme="minorHAnsi" w:hAnsiTheme="minorHAnsi"/>
          <w:b/>
          <w:bCs/>
          <w:sz w:val="22"/>
          <w:szCs w:val="22"/>
          <w:lang w:val="lv-LV"/>
        </w:rPr>
      </w:pPr>
    </w:p>
    <w:p w14:paraId="74561294" w14:textId="5736DC57" w:rsidR="005329D6" w:rsidRPr="001312C2" w:rsidRDefault="005329D6" w:rsidP="00467532">
      <w:pPr>
        <w:pStyle w:val="ListParagraph"/>
        <w:numPr>
          <w:ilvl w:val="0"/>
          <w:numId w:val="2"/>
        </w:numPr>
        <w:ind w:left="426" w:hanging="426"/>
        <w:jc w:val="both"/>
        <w:rPr>
          <w:rFonts w:asciiTheme="minorHAnsi" w:hAnsiTheme="minorHAnsi"/>
          <w:b/>
          <w:bCs/>
          <w:sz w:val="22"/>
          <w:szCs w:val="22"/>
          <w:lang w:val="lv-LV"/>
        </w:rPr>
      </w:pPr>
      <w:r w:rsidRPr="005329D6">
        <w:rPr>
          <w:rFonts w:asciiTheme="minorHAnsi" w:hAnsiTheme="minorHAnsi"/>
          <w:b/>
          <w:bCs/>
          <w:sz w:val="22"/>
          <w:szCs w:val="22"/>
          <w:lang w:val="lv-LV"/>
        </w:rPr>
        <w:t xml:space="preserve">Joprojām vēlama ir Fiskālo risku novērtēšanas padziļināšana un paplašināšana. </w:t>
      </w:r>
      <w:r w:rsidRPr="005329D6">
        <w:rPr>
          <w:rFonts w:asciiTheme="minorHAnsi" w:hAnsiTheme="minorHAnsi"/>
          <w:bCs/>
          <w:sz w:val="22"/>
          <w:szCs w:val="22"/>
          <w:lang w:val="lv-LV"/>
        </w:rPr>
        <w:t>Padome sagaida tālākus uzlabojumus paplašinot kvantitatīvi novērtēto fiskālo risku loku. Starptautiskā pieredze rāda, ka lielāko daļu fiskālo satricinājumu izraisa vai nu makroekonomiskā nestabilitāte, vai arī problēmas finanšu nozarē; bieži vien pirmais izsauc otro, tādējādi saasinot fiskālos riskus un valsts spējas sasniegt nospraustos fiskālos mērķus.</w:t>
      </w:r>
    </w:p>
    <w:p w14:paraId="695C0BBC" w14:textId="77777777" w:rsidR="00D6586B" w:rsidRDefault="00D6586B" w:rsidP="00467532">
      <w:pPr>
        <w:pStyle w:val="ListParagraph"/>
        <w:ind w:left="426"/>
        <w:jc w:val="both"/>
        <w:rPr>
          <w:rFonts w:asciiTheme="minorHAnsi" w:hAnsiTheme="minorHAnsi"/>
          <w:b/>
          <w:bCs/>
          <w:sz w:val="22"/>
          <w:szCs w:val="22"/>
          <w:lang w:val="lv-LV"/>
        </w:rPr>
      </w:pPr>
    </w:p>
    <w:p w14:paraId="619BD177" w14:textId="2DE2F51C" w:rsidR="009F436C" w:rsidRPr="0006276C" w:rsidRDefault="009F436C" w:rsidP="00467532">
      <w:pPr>
        <w:pStyle w:val="ListParagraph"/>
        <w:numPr>
          <w:ilvl w:val="0"/>
          <w:numId w:val="2"/>
        </w:numPr>
        <w:ind w:left="426" w:hanging="426"/>
        <w:jc w:val="both"/>
        <w:rPr>
          <w:rFonts w:asciiTheme="minorHAnsi" w:hAnsiTheme="minorHAnsi"/>
          <w:b/>
          <w:bCs/>
          <w:sz w:val="22"/>
          <w:szCs w:val="22"/>
          <w:lang w:val="lv-LV"/>
        </w:rPr>
      </w:pPr>
      <w:r w:rsidRPr="0078054E">
        <w:rPr>
          <w:rFonts w:asciiTheme="minorHAnsi" w:eastAsia="Calibri" w:hAnsiTheme="minorHAnsi"/>
          <w:b/>
          <w:bCs/>
          <w:sz w:val="22"/>
          <w:szCs w:val="22"/>
          <w:lang w:val="lv-LV"/>
        </w:rPr>
        <w:t>Latvijas finanšu nozarē ir sekmīgi noslēgusies attīrīšanās no nerezidentu apkalpošanas, un šogad ir saņemts pozitīvs Moneyval rekomendāciju ieviešanas novērtējums.</w:t>
      </w:r>
      <w:r w:rsidRPr="0078054E">
        <w:rPr>
          <w:rFonts w:asciiTheme="minorHAnsi" w:eastAsia="Calibri" w:hAnsiTheme="minorHAnsi"/>
          <w:sz w:val="22"/>
          <w:szCs w:val="22"/>
          <w:lang w:val="lv-LV"/>
        </w:rPr>
        <w:t xml:space="preserve"> </w:t>
      </w:r>
      <w:r w:rsidR="005329D6">
        <w:rPr>
          <w:rFonts w:asciiTheme="minorHAnsi" w:eastAsia="Calibri" w:hAnsiTheme="minorHAnsi"/>
          <w:sz w:val="22"/>
          <w:szCs w:val="22"/>
          <w:lang w:val="lv-LV"/>
        </w:rPr>
        <w:t>Latvijas valdība ir izpildījusi visus 11 Finanšu darījumu darba grupas (FATF)</w:t>
      </w:r>
      <w:r w:rsidR="00AD2E75">
        <w:rPr>
          <w:rFonts w:asciiTheme="minorHAnsi" w:eastAsia="Calibri" w:hAnsiTheme="minorHAnsi"/>
          <w:sz w:val="22"/>
          <w:szCs w:val="22"/>
          <w:lang w:val="lv-LV"/>
        </w:rPr>
        <w:t xml:space="preserve"> efektivitātes rādītājus. </w:t>
      </w:r>
      <w:r w:rsidRPr="0078054E">
        <w:rPr>
          <w:rFonts w:asciiTheme="minorHAnsi" w:eastAsia="Calibri" w:hAnsiTheme="minorHAnsi"/>
          <w:sz w:val="22"/>
          <w:szCs w:val="22"/>
          <w:lang w:val="lv-LV"/>
        </w:rPr>
        <w:t xml:space="preserve">Tomēr finanšu sektors joprojām ir nozīmīgs fiskālo risku avots- tie ir rūpīgi jānovērtē un jāievieš attiecīgi risku vadības pasākumi. Latvijā joprojām ir salīdzinoši liels banku skaits, daļai no tām varētu būt grūtības ar ilgtspējīga biznesa modeļa izveidi ņemot vērā nerezidentu kontu slēgšanu, kas norāda uz banku konsolidāciju nepieciešamību. 2018. gadā ABLV uzsāka pašlikvidācijas procesu; 2019. gadā tiesa pasludināja PNB banku par maksātnespējīgu un ir </w:t>
      </w:r>
      <w:r w:rsidR="00AD2E75">
        <w:rPr>
          <w:rFonts w:asciiTheme="minorHAnsi" w:eastAsia="Calibri" w:hAnsiTheme="minorHAnsi"/>
          <w:sz w:val="22"/>
          <w:szCs w:val="22"/>
          <w:lang w:val="lv-LV"/>
        </w:rPr>
        <w:t>uzsākta tās likvidācija. Pēc valdības domām,</w:t>
      </w:r>
      <w:r w:rsidRPr="0078054E">
        <w:rPr>
          <w:rFonts w:asciiTheme="minorHAnsi" w:eastAsia="Calibri" w:hAnsiTheme="minorHAnsi"/>
          <w:sz w:val="22"/>
          <w:szCs w:val="22"/>
          <w:lang w:val="lv-LV"/>
        </w:rPr>
        <w:t xml:space="preserve"> abiem šiem notikumiem nebūs tiešas negatīvas fiskālās ietekmes uz VVBB. </w:t>
      </w:r>
      <w:r w:rsidR="00AD2E75">
        <w:rPr>
          <w:rFonts w:asciiTheme="minorHAnsi" w:eastAsia="Calibri" w:hAnsiTheme="minorHAnsi"/>
          <w:sz w:val="22"/>
          <w:szCs w:val="22"/>
          <w:lang w:val="lv-LV"/>
        </w:rPr>
        <w:t>Padome sagaida, ka FM uzlabos un</w:t>
      </w:r>
      <w:r w:rsidR="00E22E94">
        <w:rPr>
          <w:rFonts w:asciiTheme="minorHAnsi" w:eastAsia="Calibri" w:hAnsiTheme="minorHAnsi"/>
          <w:sz w:val="22"/>
          <w:szCs w:val="22"/>
          <w:lang w:val="lv-LV"/>
        </w:rPr>
        <w:t xml:space="preserve"> paplašinās Finanšu sektora</w:t>
      </w:r>
      <w:r w:rsidR="00AD2E75">
        <w:rPr>
          <w:rFonts w:asciiTheme="minorHAnsi" w:eastAsia="Calibri" w:hAnsiTheme="minorHAnsi"/>
          <w:sz w:val="22"/>
          <w:szCs w:val="22"/>
          <w:lang w:val="lv-LV"/>
        </w:rPr>
        <w:t xml:space="preserve"> nodaļu Fiskālo risku deklarācijā.</w:t>
      </w:r>
    </w:p>
    <w:p w14:paraId="58B8508B" w14:textId="77777777" w:rsidR="0006276C" w:rsidRPr="0006276C" w:rsidRDefault="0006276C" w:rsidP="00467532">
      <w:pPr>
        <w:pStyle w:val="ListParagraph"/>
        <w:ind w:left="426"/>
        <w:rPr>
          <w:rFonts w:asciiTheme="minorHAnsi" w:hAnsiTheme="minorHAnsi"/>
          <w:b/>
          <w:bCs/>
          <w:sz w:val="22"/>
          <w:szCs w:val="22"/>
          <w:lang w:val="lv-LV"/>
        </w:rPr>
      </w:pPr>
    </w:p>
    <w:p w14:paraId="76E20A76" w14:textId="6BF6D3F8" w:rsidR="0006276C" w:rsidRPr="0042639E" w:rsidRDefault="0006276C" w:rsidP="00467532">
      <w:pPr>
        <w:pStyle w:val="ListParagraph"/>
        <w:numPr>
          <w:ilvl w:val="0"/>
          <w:numId w:val="2"/>
        </w:numPr>
        <w:ind w:left="426" w:hanging="426"/>
        <w:jc w:val="both"/>
        <w:rPr>
          <w:rFonts w:asciiTheme="minorHAnsi" w:hAnsiTheme="minorHAnsi"/>
          <w:b/>
          <w:bCs/>
          <w:sz w:val="22"/>
          <w:szCs w:val="22"/>
          <w:lang w:val="lv-LV"/>
        </w:rPr>
      </w:pPr>
      <w:r w:rsidRPr="0006276C">
        <w:rPr>
          <w:rFonts w:asciiTheme="minorHAnsi" w:hAnsiTheme="minorHAnsi"/>
          <w:b/>
          <w:bCs/>
          <w:sz w:val="22"/>
          <w:szCs w:val="22"/>
          <w:lang w:val="lv-LV"/>
        </w:rPr>
        <w:t>Satversmes tiesa 29. oktobr</w:t>
      </w:r>
      <w:r>
        <w:rPr>
          <w:rFonts w:asciiTheme="minorHAnsi" w:hAnsiTheme="minorHAnsi"/>
          <w:b/>
          <w:bCs/>
          <w:sz w:val="22"/>
          <w:szCs w:val="22"/>
          <w:lang w:val="lv-LV"/>
        </w:rPr>
        <w:t>ī</w:t>
      </w:r>
      <w:r w:rsidRPr="0006276C">
        <w:rPr>
          <w:rFonts w:asciiTheme="minorHAnsi" w:hAnsiTheme="minorHAnsi"/>
          <w:b/>
          <w:bCs/>
          <w:sz w:val="22"/>
          <w:szCs w:val="22"/>
          <w:lang w:val="lv-LV"/>
        </w:rPr>
        <w:t xml:space="preserve"> pasludinās nolēmumu lietā </w:t>
      </w:r>
      <w:r>
        <w:rPr>
          <w:rFonts w:asciiTheme="minorHAnsi" w:hAnsiTheme="minorHAnsi"/>
          <w:b/>
          <w:bCs/>
          <w:sz w:val="22"/>
          <w:szCs w:val="22"/>
          <w:lang w:val="lv-LV"/>
        </w:rPr>
        <w:t xml:space="preserve">par 2019.gada valsts budžetā noteiktā finansējuma apjoma studijām valsts dibinātās augstskolās atbilstību Satversmei. </w:t>
      </w:r>
      <w:r>
        <w:rPr>
          <w:rFonts w:asciiTheme="minorHAnsi" w:hAnsiTheme="minorHAnsi"/>
          <w:bCs/>
          <w:sz w:val="22"/>
          <w:szCs w:val="22"/>
          <w:lang w:val="lv-LV"/>
        </w:rPr>
        <w:t xml:space="preserve">Nolēmumam ir potenciāli milzīga ietekme uz </w:t>
      </w:r>
      <w:r w:rsidR="00374E38">
        <w:rPr>
          <w:rFonts w:asciiTheme="minorHAnsi" w:hAnsiTheme="minorHAnsi"/>
          <w:bCs/>
          <w:sz w:val="22"/>
          <w:szCs w:val="22"/>
          <w:lang w:val="lv-LV"/>
        </w:rPr>
        <w:t>valsts budžeta izdevumiem, jo visos likumos noteiktais garantētais budžeta finansējums nav samērojams ar šodienas budžeta iespējām.</w:t>
      </w:r>
    </w:p>
    <w:p w14:paraId="68FEFF24" w14:textId="083345FC" w:rsidR="0042639E" w:rsidRDefault="0042639E" w:rsidP="00467532">
      <w:pPr>
        <w:pStyle w:val="ListParagraph"/>
        <w:ind w:left="426"/>
        <w:jc w:val="both"/>
        <w:rPr>
          <w:rFonts w:asciiTheme="minorHAnsi" w:hAnsiTheme="minorHAnsi"/>
          <w:b/>
          <w:bCs/>
          <w:sz w:val="22"/>
          <w:szCs w:val="22"/>
          <w:lang w:val="lv-LV"/>
        </w:rPr>
      </w:pPr>
    </w:p>
    <w:p w14:paraId="4A38C9CB" w14:textId="555DEE64" w:rsidR="0042639E" w:rsidRPr="0042639E" w:rsidRDefault="0042639E" w:rsidP="72B40892">
      <w:pPr>
        <w:pStyle w:val="ListParagraph"/>
        <w:numPr>
          <w:ilvl w:val="0"/>
          <w:numId w:val="2"/>
        </w:numPr>
        <w:ind w:left="426" w:hanging="426"/>
        <w:jc w:val="both"/>
        <w:rPr>
          <w:rFonts w:asciiTheme="minorHAnsi" w:hAnsiTheme="minorHAnsi"/>
          <w:sz w:val="22"/>
          <w:szCs w:val="22"/>
          <w:lang w:val="lv-LV"/>
        </w:rPr>
      </w:pPr>
      <w:r w:rsidRPr="72B40892">
        <w:rPr>
          <w:rFonts w:asciiTheme="minorHAnsi" w:hAnsiTheme="minorHAnsi"/>
          <w:b/>
          <w:bCs/>
          <w:sz w:val="22"/>
          <w:szCs w:val="22"/>
          <w:lang w:val="lv-LV"/>
        </w:rPr>
        <w:t>Valsts finanšu attīstības institūcijai ALTUM ir uzticēti lieli budžeta līdzekļi saistībā ar Covid-19 atbalsta instrumentiem uzņēm</w:t>
      </w:r>
      <w:r w:rsidR="4424D686" w:rsidRPr="72B40892">
        <w:rPr>
          <w:rFonts w:asciiTheme="minorHAnsi" w:hAnsiTheme="minorHAnsi"/>
          <w:b/>
          <w:bCs/>
          <w:sz w:val="22"/>
          <w:szCs w:val="22"/>
          <w:lang w:val="lv-LV"/>
        </w:rPr>
        <w:t>umiem</w:t>
      </w:r>
      <w:r w:rsidRPr="72B40892">
        <w:rPr>
          <w:rFonts w:asciiTheme="minorHAnsi" w:hAnsiTheme="minorHAnsi"/>
          <w:b/>
          <w:bCs/>
          <w:sz w:val="22"/>
          <w:szCs w:val="22"/>
          <w:lang w:val="lv-LV"/>
        </w:rPr>
        <w:t xml:space="preserve">. </w:t>
      </w:r>
      <w:r w:rsidRPr="72B40892">
        <w:rPr>
          <w:rFonts w:asciiTheme="minorHAnsi" w:hAnsiTheme="minorHAnsi"/>
          <w:sz w:val="22"/>
          <w:szCs w:val="22"/>
          <w:lang w:val="lv-LV"/>
        </w:rPr>
        <w:t>Palielināta atbildība prasa padziļinātu uzraudzību. Padome ir gandarīta, ka FRD norādīts “FM turpina padziļināti uzraudzīt ALTUM darbību”.</w:t>
      </w:r>
      <w:r w:rsidR="003826DB" w:rsidRPr="72B40892">
        <w:rPr>
          <w:rFonts w:asciiTheme="minorHAnsi" w:hAnsiTheme="minorHAnsi"/>
          <w:sz w:val="22"/>
          <w:szCs w:val="22"/>
          <w:lang w:val="lv-LV"/>
        </w:rPr>
        <w:t xml:space="preserve"> </w:t>
      </w:r>
      <w:r w:rsidR="003826DB" w:rsidRPr="72B40892">
        <w:rPr>
          <w:rFonts w:asciiTheme="minorHAnsi" w:hAnsiTheme="minorHAnsi"/>
          <w:b/>
          <w:bCs/>
          <w:sz w:val="22"/>
          <w:szCs w:val="22"/>
          <w:lang w:val="lv-LV"/>
        </w:rPr>
        <w:t>Tomēr Padome aicina FM kvantificēt riskus no ALTUM programmām, jo COVID-19 kontekstā tās rada lielu risku valsts budžetam.</w:t>
      </w:r>
    </w:p>
    <w:p w14:paraId="08AB7388" w14:textId="77777777" w:rsidR="009F436C" w:rsidRPr="0078054E" w:rsidRDefault="009F436C" w:rsidP="00467532">
      <w:pPr>
        <w:ind w:left="426"/>
        <w:jc w:val="both"/>
        <w:rPr>
          <w:rFonts w:asciiTheme="minorHAnsi" w:hAnsiTheme="minorHAnsi"/>
          <w:b/>
          <w:bCs/>
          <w:sz w:val="22"/>
          <w:szCs w:val="22"/>
          <w:lang w:val="lv-LV"/>
        </w:rPr>
      </w:pPr>
    </w:p>
    <w:p w14:paraId="2A14114E" w14:textId="6A625651" w:rsidR="00E24B51" w:rsidRPr="0078054E" w:rsidRDefault="00E24B51" w:rsidP="00467532">
      <w:pPr>
        <w:pStyle w:val="ListParagraph"/>
        <w:numPr>
          <w:ilvl w:val="0"/>
          <w:numId w:val="2"/>
        </w:numPr>
        <w:ind w:left="426"/>
        <w:jc w:val="both"/>
        <w:rPr>
          <w:b/>
          <w:bCs/>
          <w:lang w:val="lv-LV"/>
        </w:rPr>
      </w:pPr>
      <w:r w:rsidRPr="72B40892">
        <w:rPr>
          <w:rFonts w:asciiTheme="minorHAnsi" w:eastAsia="Calibri" w:hAnsiTheme="minorHAnsi"/>
          <w:b/>
          <w:bCs/>
          <w:sz w:val="22"/>
          <w:szCs w:val="22"/>
          <w:lang w:val="lv-LV"/>
        </w:rPr>
        <w:t xml:space="preserve">Korporatīvās pārvaldības problēmām valsts un pašvaldību </w:t>
      </w:r>
      <w:r w:rsidRPr="72B40892">
        <w:rPr>
          <w:rFonts w:ascii="Calibri" w:hAnsi="Calibri"/>
          <w:b/>
          <w:bCs/>
          <w:sz w:val="22"/>
          <w:szCs w:val="22"/>
          <w:lang w:val="lv-LV"/>
        </w:rPr>
        <w:t>kapitālsabiedrībās, kas pieklasificējamas vispārējam valdības sektoram</w:t>
      </w:r>
      <w:r w:rsidRPr="72B40892">
        <w:rPr>
          <w:rFonts w:ascii="Calibri" w:hAnsi="Calibri"/>
          <w:sz w:val="22"/>
          <w:szCs w:val="22"/>
          <w:lang w:val="lv-LV"/>
        </w:rPr>
        <w:t>, ir potenciāls radīt negatīvu ietekmi uz vispārējās valdības budžeta bilanci, kā liecina pēdējā laika notikumi uzņēmumos “Rīgas Satiksme” un “Latvijas Dzelzceļš”</w:t>
      </w:r>
      <w:r w:rsidRPr="72B40892">
        <w:rPr>
          <w:rFonts w:ascii="Calibri" w:hAnsi="Calibri"/>
          <w:b/>
          <w:bCs/>
          <w:sz w:val="22"/>
          <w:szCs w:val="22"/>
          <w:lang w:val="lv-LV"/>
        </w:rPr>
        <w:t>.</w:t>
      </w:r>
      <w:r w:rsidR="003826DB" w:rsidRPr="72B40892">
        <w:rPr>
          <w:rFonts w:ascii="Calibri" w:hAnsi="Calibri"/>
          <w:b/>
          <w:bCs/>
          <w:sz w:val="22"/>
          <w:szCs w:val="22"/>
          <w:lang w:val="lv-LV"/>
        </w:rPr>
        <w:t xml:space="preserve"> Padome uzskata, ka nav pietiekoši pamatota valsts un pašvaldību kapitālsabiedrību neiekļaušana fiskālās nodrošinājuma rezerves aprēķinā.</w:t>
      </w:r>
      <w:r w:rsidR="003826DB" w:rsidRPr="72B40892">
        <w:rPr>
          <w:rFonts w:ascii="Calibri" w:hAnsi="Calibri"/>
          <w:sz w:val="22"/>
          <w:szCs w:val="22"/>
          <w:lang w:val="lv-LV"/>
        </w:rPr>
        <w:t xml:space="preserve"> Valsts un pašvaldību kapitālsabiedrību vēsturiskā ietekme uz budžetu ir bijusi negatīva un nav simetriska</w:t>
      </w:r>
      <w:r w:rsidRPr="72B40892">
        <w:rPr>
          <w:rFonts w:ascii="Calibri" w:hAnsi="Calibri"/>
          <w:sz w:val="22"/>
          <w:szCs w:val="22"/>
          <w:lang w:val="lv-LV"/>
        </w:rPr>
        <w:t xml:space="preserve">. </w:t>
      </w:r>
    </w:p>
    <w:p w14:paraId="2D9AAA71" w14:textId="77777777" w:rsidR="0024725B" w:rsidRPr="0078054E" w:rsidRDefault="0024725B" w:rsidP="00467532">
      <w:pPr>
        <w:pStyle w:val="ListParagraph"/>
        <w:ind w:left="426"/>
        <w:jc w:val="both"/>
        <w:rPr>
          <w:rFonts w:asciiTheme="minorHAnsi" w:eastAsia="Calibri" w:hAnsiTheme="minorHAnsi"/>
          <w:b/>
          <w:bCs/>
          <w:sz w:val="22"/>
          <w:szCs w:val="22"/>
          <w:lang w:val="lv-LV"/>
        </w:rPr>
      </w:pPr>
    </w:p>
    <w:p w14:paraId="6B25FAFB" w14:textId="69DF1273" w:rsidR="006338C6" w:rsidRDefault="00E22E94" w:rsidP="00467532">
      <w:pPr>
        <w:pStyle w:val="ListParagraph"/>
        <w:numPr>
          <w:ilvl w:val="0"/>
          <w:numId w:val="2"/>
        </w:numPr>
        <w:ind w:left="426"/>
        <w:jc w:val="both"/>
        <w:rPr>
          <w:rFonts w:ascii="Calibri" w:eastAsia="Calibri" w:hAnsi="Calibri"/>
          <w:sz w:val="22"/>
          <w:szCs w:val="22"/>
          <w:lang w:val="lv-LV"/>
        </w:rPr>
      </w:pPr>
      <w:r>
        <w:rPr>
          <w:rFonts w:ascii="Calibri" w:eastAsia="Calibri" w:hAnsi="Calibri"/>
          <w:b/>
          <w:bCs/>
          <w:sz w:val="22"/>
          <w:szCs w:val="22"/>
          <w:lang w:val="lv-LV"/>
        </w:rPr>
        <w:lastRenderedPageBreak/>
        <w:t>ES un Lielbritānijas sarunas par</w:t>
      </w:r>
      <w:r w:rsidR="00756906" w:rsidRPr="0078054E">
        <w:rPr>
          <w:rFonts w:ascii="Calibri" w:eastAsia="Calibri" w:hAnsi="Calibri"/>
          <w:b/>
          <w:bCs/>
          <w:sz w:val="22"/>
          <w:szCs w:val="22"/>
          <w:lang w:val="lv-LV"/>
        </w:rPr>
        <w:t xml:space="preserve"> </w:t>
      </w:r>
      <w:r>
        <w:rPr>
          <w:rFonts w:ascii="Calibri" w:eastAsia="Calibri" w:hAnsi="Calibri"/>
          <w:b/>
          <w:bCs/>
          <w:sz w:val="22"/>
          <w:szCs w:val="22"/>
          <w:lang w:val="lv-LV"/>
        </w:rPr>
        <w:t>Lielbritānijas izstāšanos no ES norit sarežģīti-</w:t>
      </w:r>
      <w:r w:rsidR="00756906" w:rsidRPr="0078054E">
        <w:rPr>
          <w:rFonts w:ascii="Calibri" w:eastAsia="Calibri" w:hAnsi="Calibri"/>
          <w:b/>
          <w:bCs/>
          <w:sz w:val="22"/>
          <w:szCs w:val="22"/>
          <w:lang w:val="lv-LV"/>
        </w:rPr>
        <w:t xml:space="preserve"> joprojām nav zināma pilna notikuma ietekme uz Latvijas ekonomiku un fiskālo situāciju.</w:t>
      </w:r>
      <w:r w:rsidR="002A6421">
        <w:rPr>
          <w:rFonts w:ascii="Calibri" w:eastAsia="Calibri" w:hAnsi="Calibri"/>
          <w:b/>
          <w:bCs/>
          <w:sz w:val="22"/>
          <w:szCs w:val="22"/>
          <w:lang w:val="lv-LV"/>
        </w:rPr>
        <w:t xml:space="preserve"> Arī citiem starptautiskiem politiskiem notikumiem ir potenciāls negatīvi ietekmēt Latvijas fiskālo pozīciju.</w:t>
      </w:r>
      <w:r w:rsidR="00756906" w:rsidRPr="0078054E">
        <w:rPr>
          <w:rFonts w:ascii="Calibri" w:eastAsia="Calibri" w:hAnsi="Calibri"/>
          <w:b/>
          <w:bCs/>
          <w:sz w:val="22"/>
          <w:szCs w:val="22"/>
          <w:lang w:val="lv-LV"/>
        </w:rPr>
        <w:t xml:space="preserve"> </w:t>
      </w:r>
      <w:r w:rsidR="00756906" w:rsidRPr="0078054E">
        <w:rPr>
          <w:rFonts w:ascii="Calibri" w:eastAsia="Calibri" w:hAnsi="Calibri"/>
          <w:sz w:val="22"/>
          <w:szCs w:val="22"/>
          <w:lang w:val="lv-LV"/>
        </w:rPr>
        <w:t xml:space="preserve">Ņemot vērā, ka Lielbritānija bija donora valsts ES, ir skaidrs, ka vidējā termiņā pieaugs Latvijas iemaksas ES. </w:t>
      </w:r>
      <w:r w:rsidR="00B6363A" w:rsidRPr="0078054E">
        <w:rPr>
          <w:rFonts w:ascii="Calibri" w:eastAsia="Calibri" w:hAnsi="Calibri"/>
          <w:sz w:val="22"/>
          <w:szCs w:val="22"/>
          <w:lang w:val="lv-LV"/>
        </w:rPr>
        <w:t>Tā kā Brexit ir pārāk daudz aspektu un neskaidrību, tas apgrūtina precīzas Brexit fiskālās ietekmes nodrošināšanu, taču var tikt ietekmēts Latvijas eksports uz Lielbritāniju, kur</w:t>
      </w:r>
      <w:r w:rsidR="00463E11" w:rsidRPr="0078054E">
        <w:rPr>
          <w:rFonts w:ascii="Calibri" w:eastAsia="Calibri" w:hAnsi="Calibri"/>
          <w:sz w:val="22"/>
          <w:szCs w:val="22"/>
          <w:lang w:val="lv-LV"/>
        </w:rPr>
        <w:t>as pašreizējais īpatsvars  ir 6.</w:t>
      </w:r>
      <w:r w:rsidR="00B6363A" w:rsidRPr="0078054E">
        <w:rPr>
          <w:rFonts w:ascii="Calibri" w:eastAsia="Calibri" w:hAnsi="Calibri"/>
          <w:sz w:val="22"/>
          <w:szCs w:val="22"/>
          <w:lang w:val="lv-LV"/>
        </w:rPr>
        <w:t>5%.</w:t>
      </w:r>
      <w:r w:rsidR="002A6421">
        <w:rPr>
          <w:rFonts w:ascii="Calibri" w:eastAsia="Calibri" w:hAnsi="Calibri"/>
          <w:sz w:val="22"/>
          <w:szCs w:val="22"/>
          <w:lang w:val="lv-LV"/>
        </w:rPr>
        <w:t xml:space="preserve"> P</w:t>
      </w:r>
      <w:r w:rsidR="002A6421" w:rsidRPr="002A6421">
        <w:rPr>
          <w:rFonts w:ascii="Calibri" w:eastAsia="Calibri" w:hAnsi="Calibri"/>
          <w:sz w:val="22"/>
          <w:szCs w:val="22"/>
          <w:lang w:val="lv-LV"/>
        </w:rPr>
        <w:t>olitiskā situāc</w:t>
      </w:r>
      <w:r w:rsidR="002A6421">
        <w:rPr>
          <w:rFonts w:ascii="Calibri" w:eastAsia="Calibri" w:hAnsi="Calibri"/>
          <w:sz w:val="22"/>
          <w:szCs w:val="22"/>
          <w:lang w:val="lv-LV"/>
        </w:rPr>
        <w:t xml:space="preserve">ija Baltkrievijā varētu </w:t>
      </w:r>
      <w:r w:rsidR="002A6421" w:rsidRPr="002A6421">
        <w:rPr>
          <w:rFonts w:ascii="Calibri" w:eastAsia="Calibri" w:hAnsi="Calibri"/>
          <w:sz w:val="22"/>
          <w:szCs w:val="22"/>
          <w:lang w:val="lv-LV"/>
        </w:rPr>
        <w:t>palieli</w:t>
      </w:r>
      <w:r w:rsidR="002A6421">
        <w:rPr>
          <w:rFonts w:ascii="Calibri" w:eastAsia="Calibri" w:hAnsi="Calibri"/>
          <w:sz w:val="22"/>
          <w:szCs w:val="22"/>
          <w:lang w:val="lv-LV"/>
        </w:rPr>
        <w:t>nāt Latvijas fiskālos riskus, lai gan pašlaik tikai</w:t>
      </w:r>
      <w:r w:rsidR="002A6421" w:rsidRPr="002A6421">
        <w:rPr>
          <w:rFonts w:ascii="Calibri" w:eastAsia="Calibri" w:hAnsi="Calibri"/>
          <w:sz w:val="22"/>
          <w:szCs w:val="22"/>
          <w:lang w:val="lv-LV"/>
        </w:rPr>
        <w:t xml:space="preserve"> 1.5% no visa Latvijas eksporta aiziet uz Baltkrieviju.</w:t>
      </w:r>
      <w:r w:rsidR="002A6421">
        <w:rPr>
          <w:rFonts w:ascii="Calibri" w:eastAsia="Calibri" w:hAnsi="Calibri"/>
          <w:sz w:val="22"/>
          <w:szCs w:val="22"/>
          <w:lang w:val="lv-LV"/>
        </w:rPr>
        <w:t xml:space="preserve"> Arī Armēnijas-Azerbaidžānas konfliktam ir potenciāls ietekmēt pasaules un līdz ar to arī Latvijas ekonomiskos procesus, ja konflikts turpināsies padziļināties.  </w:t>
      </w:r>
    </w:p>
    <w:p w14:paraId="2BD5B41B" w14:textId="77777777" w:rsidR="002A6421" w:rsidRPr="002A6421" w:rsidRDefault="002A6421" w:rsidP="00467532">
      <w:pPr>
        <w:pStyle w:val="ListParagraph"/>
        <w:ind w:left="426"/>
        <w:rPr>
          <w:rFonts w:ascii="Calibri" w:eastAsia="Calibri" w:hAnsi="Calibri"/>
          <w:sz w:val="22"/>
          <w:szCs w:val="22"/>
          <w:lang w:val="lv-LV"/>
        </w:rPr>
      </w:pPr>
    </w:p>
    <w:p w14:paraId="2DD3A7B6" w14:textId="4150B281" w:rsidR="002A6421" w:rsidRPr="002A6421" w:rsidRDefault="002A6421" w:rsidP="00467532">
      <w:pPr>
        <w:pStyle w:val="ListParagraph"/>
        <w:numPr>
          <w:ilvl w:val="0"/>
          <w:numId w:val="2"/>
        </w:numPr>
        <w:ind w:left="426"/>
        <w:jc w:val="both"/>
        <w:rPr>
          <w:rFonts w:ascii="Calibri" w:eastAsia="Calibri" w:hAnsi="Calibri"/>
          <w:sz w:val="22"/>
          <w:szCs w:val="22"/>
          <w:lang w:val="lv-LV"/>
        </w:rPr>
      </w:pPr>
      <w:r w:rsidRPr="002A6421">
        <w:rPr>
          <w:rFonts w:ascii="Calibri" w:eastAsia="Calibri" w:hAnsi="Calibri"/>
          <w:sz w:val="22"/>
          <w:szCs w:val="22"/>
          <w:lang w:val="lv-LV"/>
        </w:rPr>
        <w:t xml:space="preserve">Fiskālo risku deklarācija ir spēlē lomu fiskālo risku vadībā un kalpo par pamatu fiskālā nodrošinājuma rezerves aprēķinam. Tomēr, ņemot vērā “Covid-19 infekcijas izplatības seku pārvarēšanas likuma” 33. pantu, kas pēc būtības atceļ valsts budžeta izdevumu griestus 2021.gada valsts budžetam, fiskālā nodrošinājuma rezervei ir formāls raksturs 2021.gada budžeta kontekstā. Tādēļ, </w:t>
      </w:r>
      <w:r w:rsidRPr="002A6421">
        <w:rPr>
          <w:rFonts w:ascii="Calibri" w:eastAsia="Calibri" w:hAnsi="Calibri"/>
          <w:b/>
          <w:sz w:val="22"/>
          <w:szCs w:val="22"/>
          <w:lang w:val="lv-LV"/>
        </w:rPr>
        <w:t>Fiskālās disciplīnas padomes fiskālo risku grupa akceptēja fiskālā nodrošinājuma rezervi 0</w:t>
      </w:r>
      <w:r w:rsidR="00D831FB">
        <w:rPr>
          <w:rFonts w:ascii="Calibri" w:eastAsia="Calibri" w:hAnsi="Calibri"/>
          <w:b/>
          <w:sz w:val="22"/>
          <w:szCs w:val="22"/>
          <w:lang w:val="lv-LV"/>
        </w:rPr>
        <w:t>.</w:t>
      </w:r>
      <w:r w:rsidRPr="002A6421">
        <w:rPr>
          <w:rFonts w:ascii="Calibri" w:eastAsia="Calibri" w:hAnsi="Calibri"/>
          <w:b/>
          <w:sz w:val="22"/>
          <w:szCs w:val="22"/>
          <w:lang w:val="lv-LV"/>
        </w:rPr>
        <w:t>1% apmērā no IKP 2021.gadam</w:t>
      </w:r>
      <w:r w:rsidRPr="002A6421">
        <w:rPr>
          <w:rFonts w:ascii="Calibri" w:eastAsia="Calibri" w:hAnsi="Calibri"/>
          <w:sz w:val="22"/>
          <w:szCs w:val="22"/>
          <w:lang w:val="lv-LV"/>
        </w:rPr>
        <w:t>. Pašreizējā situācijā ir pārāk daudz juridisko, makroekonomisko, un fiskālo nezināmo, tāpēc fiskālo risku darba grupa šobrīd atliek viedokļa izteikšanu par 2022. un 2023.gadu gadu fiskālā nodrošinājuma rezerves nepieciešamajiem apmēriem.</w:t>
      </w:r>
    </w:p>
    <w:p w14:paraId="19CCD7B4" w14:textId="19936F60" w:rsidR="00DB5CF6" w:rsidRDefault="00DB5CF6">
      <w:pPr>
        <w:spacing w:after="160" w:line="259" w:lineRule="auto"/>
        <w:rPr>
          <w:rFonts w:ascii="Calibri" w:eastAsia="Calibri" w:hAnsi="Calibri"/>
          <w:lang w:val="lv-LV"/>
        </w:rPr>
      </w:pPr>
      <w:r>
        <w:rPr>
          <w:rFonts w:ascii="Calibri" w:eastAsia="Calibri" w:hAnsi="Calibri"/>
          <w:lang w:val="lv-LV"/>
        </w:rPr>
        <w:br w:type="page"/>
      </w:r>
    </w:p>
    <w:p w14:paraId="6AD07D96" w14:textId="36A1D09C" w:rsidR="00DB5CF6" w:rsidRPr="007D0B95" w:rsidRDefault="00DB5CF6" w:rsidP="007D0B95">
      <w:pPr>
        <w:pStyle w:val="Heading1"/>
        <w:numPr>
          <w:ilvl w:val="0"/>
          <w:numId w:val="3"/>
        </w:numPr>
        <w:spacing w:after="240"/>
        <w:rPr>
          <w:lang w:val="lv-LV"/>
        </w:rPr>
      </w:pPr>
      <w:bookmarkStart w:id="13" w:name="_Toc53387630"/>
      <w:r w:rsidRPr="007D0B95">
        <w:rPr>
          <w:lang w:val="lv-LV"/>
        </w:rPr>
        <w:lastRenderedPageBreak/>
        <w:t>Fiskālie</w:t>
      </w:r>
      <w:r w:rsidR="009A1EF2" w:rsidRPr="007D0B95">
        <w:rPr>
          <w:lang w:val="lv-LV"/>
        </w:rPr>
        <w:t xml:space="preserve"> s</w:t>
      </w:r>
      <w:r w:rsidRPr="007D0B95">
        <w:rPr>
          <w:lang w:val="lv-LV"/>
        </w:rPr>
        <w:t>kaitliskie nosacījumi</w:t>
      </w:r>
      <w:bookmarkEnd w:id="13"/>
    </w:p>
    <w:p w14:paraId="5B6EDB27" w14:textId="77777777" w:rsidR="00DB5CF6" w:rsidRPr="00681918" w:rsidRDefault="00DB5CF6" w:rsidP="00DB5CF6"/>
    <w:p w14:paraId="491E39FC" w14:textId="78EBD647" w:rsidR="00CD10AC" w:rsidRPr="00DF74F7" w:rsidRDefault="00983083" w:rsidP="72B40892">
      <w:pPr>
        <w:pStyle w:val="ListParagraph"/>
        <w:numPr>
          <w:ilvl w:val="0"/>
          <w:numId w:val="23"/>
        </w:numPr>
        <w:spacing w:line="235" w:lineRule="auto"/>
        <w:ind w:left="426" w:right="20" w:hanging="426"/>
        <w:jc w:val="both"/>
        <w:rPr>
          <w:rFonts w:asciiTheme="minorHAnsi" w:eastAsiaTheme="minorEastAsia" w:hAnsiTheme="minorHAnsi"/>
          <w:b/>
          <w:bCs/>
          <w:color w:val="000000" w:themeColor="text1"/>
          <w:sz w:val="22"/>
          <w:szCs w:val="22"/>
          <w:lang w:val="lv-LV"/>
        </w:rPr>
      </w:pPr>
      <w:r w:rsidRPr="72B40892">
        <w:rPr>
          <w:rFonts w:asciiTheme="minorHAnsi" w:eastAsiaTheme="minorEastAsia" w:hAnsiTheme="minorHAnsi"/>
          <w:b/>
          <w:bCs/>
          <w:sz w:val="22"/>
          <w:szCs w:val="22"/>
          <w:lang w:val="lv-LV"/>
        </w:rPr>
        <w:t xml:space="preserve">Ievērojot Covid-19 infekcijas izplatības seku pārvarēšanas likuma 33. Panta normas un  izpildot Fiskālās disciplīnas likuma 28. panta 3. punktā noteikto Padomes kompetenci Padome veica alternatīvu skaitlisko fiskālo nosacījumu novērtējumu 2021. gada budžetam un 2021.-2023. gadu budžeta ietvaram, kā arī formulēja viedokli saskaņā ar FDL 12.panta 3. punktu par pieļaujamo atkāpi no bilances nosacījuma straujas ekonomikas lejupslīdes gadījumā. </w:t>
      </w:r>
      <w:r w:rsidR="00597DAB" w:rsidRPr="72B40892">
        <w:rPr>
          <w:rFonts w:asciiTheme="minorHAnsi" w:eastAsiaTheme="minorEastAsia" w:hAnsiTheme="minorHAnsi"/>
          <w:sz w:val="22"/>
          <w:szCs w:val="22"/>
          <w:lang w:val="lv-LV"/>
        </w:rPr>
        <w:t>FDL</w:t>
      </w:r>
      <w:r w:rsidRPr="72B40892">
        <w:rPr>
          <w:rFonts w:asciiTheme="minorHAnsi" w:eastAsiaTheme="minorEastAsia" w:hAnsiTheme="minorHAnsi"/>
          <w:sz w:val="22"/>
          <w:szCs w:val="22"/>
          <w:lang w:val="lv-LV"/>
        </w:rPr>
        <w:t xml:space="preserve"> paredz četru fiskālo nosacījumu pārbaudi: bilances nosacījumu, izdevumu pieauguma nosacījumu, pārmantojamajās nosacījumu un valsts parāda nosacījumu.</w:t>
      </w:r>
    </w:p>
    <w:p w14:paraId="7A4CF473" w14:textId="77777777" w:rsidR="00983083" w:rsidRPr="00DF74F7" w:rsidRDefault="00983083" w:rsidP="72B40892">
      <w:pPr>
        <w:pStyle w:val="ListParagraph"/>
        <w:spacing w:line="235" w:lineRule="auto"/>
        <w:ind w:left="426" w:right="20" w:hanging="426"/>
        <w:jc w:val="both"/>
        <w:rPr>
          <w:rFonts w:asciiTheme="minorHAnsi" w:eastAsiaTheme="minorEastAsia" w:hAnsiTheme="minorHAnsi"/>
          <w:b/>
          <w:bCs/>
          <w:sz w:val="22"/>
          <w:szCs w:val="22"/>
          <w:lang w:val="lv-LV"/>
        </w:rPr>
      </w:pPr>
    </w:p>
    <w:p w14:paraId="18EAACCD" w14:textId="7DF3E566" w:rsidR="00983083" w:rsidRPr="00DF74F7" w:rsidRDefault="00983083" w:rsidP="72B40892">
      <w:pPr>
        <w:pStyle w:val="ListParagraph"/>
        <w:numPr>
          <w:ilvl w:val="0"/>
          <w:numId w:val="23"/>
        </w:numPr>
        <w:spacing w:line="235" w:lineRule="auto"/>
        <w:ind w:left="426" w:right="20" w:hanging="426"/>
        <w:jc w:val="both"/>
        <w:rPr>
          <w:rFonts w:asciiTheme="minorHAnsi" w:eastAsiaTheme="minorEastAsia" w:hAnsiTheme="minorHAnsi"/>
          <w:color w:val="000000" w:themeColor="text1"/>
          <w:sz w:val="22"/>
          <w:szCs w:val="22"/>
          <w:lang w:val="lv-LV"/>
        </w:rPr>
      </w:pPr>
      <w:r w:rsidRPr="72B40892">
        <w:rPr>
          <w:rFonts w:asciiTheme="minorHAnsi" w:eastAsiaTheme="minorEastAsia" w:hAnsiTheme="minorHAnsi"/>
          <w:sz w:val="22"/>
          <w:szCs w:val="22"/>
          <w:lang w:val="lv-LV"/>
        </w:rPr>
        <w:t xml:space="preserve">Ņemot vērā Covid-19 speciālā regulējuma normas 2021. gadam </w:t>
      </w:r>
      <w:r w:rsidRPr="72B40892">
        <w:rPr>
          <w:rFonts w:asciiTheme="minorHAnsi" w:eastAsiaTheme="minorEastAsia" w:hAnsiTheme="minorHAnsi"/>
          <w:b/>
          <w:bCs/>
          <w:sz w:val="22"/>
          <w:szCs w:val="22"/>
          <w:lang w:val="lv-LV"/>
        </w:rPr>
        <w:t>netiek aprēķināts un pārbaudīts izdevumu pieauguma nosacījumus</w:t>
      </w:r>
      <w:r w:rsidRPr="72B40892">
        <w:rPr>
          <w:rFonts w:asciiTheme="minorHAnsi" w:eastAsiaTheme="minorEastAsia" w:hAnsiTheme="minorHAnsi"/>
          <w:sz w:val="22"/>
          <w:szCs w:val="22"/>
          <w:lang w:val="lv-LV"/>
        </w:rPr>
        <w:t>, kura izpildi regulē Eiropas Parlamenta un Padomes 2011.gada 16.novembra regulas (ES) Nr. </w:t>
      </w:r>
      <w:r w:rsidR="004037F5">
        <w:fldChar w:fldCharType="begin"/>
      </w:r>
      <w:r w:rsidR="004037F5">
        <w:instrText xml:space="preserve"> HYPERLINK "http://eur-lex.europa.eu/eli/reg/2011/1175/oj/?locale=LV" \h </w:instrText>
      </w:r>
      <w:r w:rsidR="004037F5">
        <w:fldChar w:fldCharType="separate"/>
      </w:r>
      <w:r w:rsidRPr="72B40892">
        <w:rPr>
          <w:rFonts w:asciiTheme="minorHAnsi" w:eastAsiaTheme="minorEastAsia" w:hAnsiTheme="minorHAnsi"/>
          <w:sz w:val="22"/>
          <w:szCs w:val="22"/>
          <w:lang w:val="lv-LV"/>
        </w:rPr>
        <w:t>1175/2011</w:t>
      </w:r>
      <w:r w:rsidR="004037F5">
        <w:rPr>
          <w:rFonts w:asciiTheme="minorHAnsi" w:eastAsiaTheme="minorEastAsia" w:hAnsiTheme="minorHAnsi"/>
          <w:sz w:val="22"/>
          <w:szCs w:val="22"/>
          <w:lang w:val="lv-LV"/>
        </w:rPr>
        <w:fldChar w:fldCharType="end"/>
      </w:r>
      <w:r w:rsidRPr="72B40892">
        <w:rPr>
          <w:rFonts w:asciiTheme="minorHAnsi" w:eastAsiaTheme="minorEastAsia" w:hAnsiTheme="minorHAnsi"/>
          <w:sz w:val="22"/>
          <w:szCs w:val="22"/>
          <w:lang w:val="lv-LV"/>
        </w:rPr>
        <w:t>, ar ko groza Padomes regulu (EK) Nr. </w:t>
      </w:r>
      <w:r w:rsidR="004037F5">
        <w:fldChar w:fldCharType="begin"/>
      </w:r>
      <w:r w:rsidR="004037F5">
        <w:instrText xml:space="preserve"> HYPERLINK "http://eur-lex.europa.eu/eli/reg/1997/1466/oj/?locale=LV" \h </w:instrText>
      </w:r>
      <w:r w:rsidR="004037F5">
        <w:fldChar w:fldCharType="separate"/>
      </w:r>
      <w:r w:rsidRPr="72B40892">
        <w:rPr>
          <w:rFonts w:asciiTheme="minorHAnsi" w:eastAsiaTheme="minorEastAsia" w:hAnsiTheme="minorHAnsi"/>
          <w:sz w:val="22"/>
          <w:szCs w:val="22"/>
          <w:lang w:val="lv-LV"/>
        </w:rPr>
        <w:t>1466/97</w:t>
      </w:r>
      <w:r w:rsidR="004037F5">
        <w:rPr>
          <w:rFonts w:asciiTheme="minorHAnsi" w:eastAsiaTheme="minorEastAsia" w:hAnsiTheme="minorHAnsi"/>
          <w:sz w:val="22"/>
          <w:szCs w:val="22"/>
          <w:lang w:val="lv-LV"/>
        </w:rPr>
        <w:fldChar w:fldCharType="end"/>
      </w:r>
      <w:r w:rsidRPr="72B40892">
        <w:rPr>
          <w:rFonts w:asciiTheme="minorHAnsi" w:eastAsiaTheme="minorEastAsia" w:hAnsiTheme="minorHAnsi"/>
          <w:sz w:val="22"/>
          <w:szCs w:val="22"/>
          <w:lang w:val="lv-LV"/>
        </w:rPr>
        <w:t> par budžeta stāvokļa uzraudzības un ekonomikas politikas uzraudzības un koordinācijas stiprināšanu, jo tā darbība uz doto brīdi ir apturēta ar Izņēmuma klauzulu.</w:t>
      </w:r>
    </w:p>
    <w:p w14:paraId="10B46B59" w14:textId="77777777" w:rsidR="00983083" w:rsidRPr="00DF74F7" w:rsidRDefault="00983083" w:rsidP="72B40892">
      <w:pPr>
        <w:pStyle w:val="ListParagraph"/>
        <w:spacing w:line="235" w:lineRule="auto"/>
        <w:ind w:left="426" w:right="20" w:hanging="426"/>
        <w:jc w:val="both"/>
        <w:rPr>
          <w:rFonts w:asciiTheme="minorHAnsi" w:eastAsiaTheme="minorEastAsia" w:hAnsiTheme="minorHAnsi"/>
          <w:sz w:val="22"/>
          <w:szCs w:val="22"/>
          <w:lang w:val="lv-LV"/>
        </w:rPr>
      </w:pPr>
    </w:p>
    <w:p w14:paraId="436EE2C3" w14:textId="592E9BEB" w:rsidR="00983083" w:rsidRPr="00DF74F7" w:rsidRDefault="00983083" w:rsidP="72B40892">
      <w:pPr>
        <w:pStyle w:val="ListParagraph"/>
        <w:numPr>
          <w:ilvl w:val="0"/>
          <w:numId w:val="23"/>
        </w:numPr>
        <w:spacing w:line="235" w:lineRule="auto"/>
        <w:ind w:left="426" w:right="20" w:hanging="426"/>
        <w:jc w:val="both"/>
        <w:rPr>
          <w:rFonts w:asciiTheme="minorHAnsi" w:eastAsiaTheme="minorEastAsia" w:hAnsiTheme="minorHAnsi"/>
          <w:color w:val="000000" w:themeColor="text1"/>
          <w:sz w:val="22"/>
          <w:szCs w:val="22"/>
          <w:lang w:val="lv-LV"/>
        </w:rPr>
      </w:pPr>
      <w:r w:rsidRPr="72B40892">
        <w:rPr>
          <w:rFonts w:asciiTheme="minorHAnsi" w:eastAsiaTheme="minorEastAsia" w:hAnsiTheme="minorHAnsi"/>
          <w:b/>
          <w:bCs/>
          <w:sz w:val="22"/>
          <w:szCs w:val="22"/>
          <w:lang w:val="lv-LV"/>
        </w:rPr>
        <w:t>Pārmantojamības nosacījums 2021.gadam nedarbojas</w:t>
      </w:r>
      <w:r w:rsidRPr="72B40892">
        <w:rPr>
          <w:rFonts w:asciiTheme="minorHAnsi" w:eastAsiaTheme="minorEastAsia" w:hAnsiTheme="minorHAnsi"/>
          <w:sz w:val="22"/>
          <w:szCs w:val="22"/>
          <w:lang w:val="lv-LV"/>
        </w:rPr>
        <w:t>, jo FDL 5. panta (2)</w:t>
      </w:r>
      <w:r w:rsidR="00C94F06" w:rsidRPr="72B40892">
        <w:rPr>
          <w:rFonts w:asciiTheme="minorHAnsi" w:eastAsiaTheme="minorEastAsia" w:hAnsiTheme="minorHAnsi"/>
          <w:sz w:val="22"/>
          <w:szCs w:val="22"/>
          <w:lang w:val="lv-LV"/>
        </w:rPr>
        <w:t xml:space="preserve"> daļa</w:t>
      </w:r>
      <w:r w:rsidRPr="72B40892">
        <w:rPr>
          <w:rFonts w:asciiTheme="minorHAnsi" w:eastAsiaTheme="minorEastAsia" w:hAnsiTheme="minorHAnsi"/>
          <w:sz w:val="22"/>
          <w:szCs w:val="22"/>
          <w:lang w:val="lv-LV"/>
        </w:rPr>
        <w:t xml:space="preserve"> paredz, ka gadījumā</w:t>
      </w:r>
      <w:r w:rsidR="00C94F06" w:rsidRPr="72B40892">
        <w:rPr>
          <w:rFonts w:asciiTheme="minorHAnsi" w:eastAsiaTheme="minorEastAsia" w:hAnsiTheme="minorHAnsi"/>
          <w:sz w:val="22"/>
          <w:szCs w:val="22"/>
          <w:lang w:val="lv-LV"/>
        </w:rPr>
        <w:t>,</w:t>
      </w:r>
      <w:r w:rsidRPr="72B40892">
        <w:rPr>
          <w:rFonts w:asciiTheme="minorHAnsi" w:eastAsiaTheme="minorEastAsia" w:hAnsiTheme="minorHAnsi"/>
          <w:sz w:val="22"/>
          <w:szCs w:val="22"/>
          <w:lang w:val="lv-LV"/>
        </w:rPr>
        <w:t xml:space="preserve"> ja ar FDL </w:t>
      </w:r>
      <w:hyperlink r:id="rId16" w:anchor="p15">
        <w:r w:rsidRPr="72B40892">
          <w:rPr>
            <w:rStyle w:val="Hyperlink"/>
            <w:rFonts w:asciiTheme="minorHAnsi" w:hAnsiTheme="minorHAnsi"/>
            <w:color w:val="auto"/>
            <w:sz w:val="22"/>
            <w:szCs w:val="22"/>
            <w:lang w:val="lv-LV"/>
          </w:rPr>
          <w:t>15.pantu</w:t>
        </w:r>
      </w:hyperlink>
      <w:r w:rsidRPr="72B40892">
        <w:rPr>
          <w:rFonts w:asciiTheme="minorHAnsi" w:hAnsiTheme="minorHAnsi"/>
          <w:sz w:val="22"/>
          <w:szCs w:val="22"/>
          <w:lang w:val="lv-LV"/>
        </w:rPr>
        <w:t xml:space="preserve"> noteiktais koriģēto maksimāli pieļaujamo valsts budžeta izdevumu apjoms, no kura atskaitīta attiecīgā gada fiskālā nodrošinājuma rezerve, salīdzinājumā ar to izdevumu apjomu, kurš noteikts saskaņā ar FDL 5.panta pirmo daļu un no kura atskaitīta iepriekšējā ietvara likumā attiecīgajam gadam noteiktā fiskālā nodrošinājuma rezerve, </w:t>
      </w:r>
      <w:r w:rsidRPr="72B40892">
        <w:rPr>
          <w:rFonts w:asciiTheme="minorHAnsi" w:hAnsiTheme="minorHAnsi"/>
          <w:b/>
          <w:bCs/>
          <w:sz w:val="22"/>
          <w:szCs w:val="22"/>
          <w:lang w:val="lv-LV"/>
        </w:rPr>
        <w:t xml:space="preserve">atšķiras vairāk nekā par 0.1 procentu no </w:t>
      </w:r>
      <w:r w:rsidR="00C94F06" w:rsidRPr="72B40892">
        <w:rPr>
          <w:rFonts w:asciiTheme="minorHAnsi" w:hAnsiTheme="minorHAnsi"/>
          <w:b/>
          <w:bCs/>
          <w:sz w:val="22"/>
          <w:szCs w:val="22"/>
          <w:lang w:val="lv-LV"/>
        </w:rPr>
        <w:t>IKP</w:t>
      </w:r>
      <w:r w:rsidRPr="72B40892">
        <w:rPr>
          <w:rFonts w:asciiTheme="minorHAnsi" w:hAnsiTheme="minorHAnsi"/>
          <w:b/>
          <w:bCs/>
          <w:sz w:val="22"/>
          <w:szCs w:val="22"/>
          <w:lang w:val="lv-LV"/>
        </w:rPr>
        <w:t xml:space="preserve"> (faktiskajās cenās), </w:t>
      </w:r>
      <w:r w:rsidR="00C94F06" w:rsidRPr="72B40892">
        <w:rPr>
          <w:rFonts w:asciiTheme="minorHAnsi" w:hAnsiTheme="minorHAnsi"/>
          <w:b/>
          <w:bCs/>
          <w:sz w:val="22"/>
          <w:szCs w:val="22"/>
          <w:lang w:val="lv-LV"/>
        </w:rPr>
        <w:t xml:space="preserve">tad </w:t>
      </w:r>
      <w:r w:rsidRPr="72B40892">
        <w:rPr>
          <w:rFonts w:asciiTheme="minorHAnsi" w:hAnsiTheme="minorHAnsi"/>
          <w:b/>
          <w:bCs/>
          <w:sz w:val="22"/>
          <w:szCs w:val="22"/>
          <w:lang w:val="lv-LV"/>
        </w:rPr>
        <w:t xml:space="preserve">ietvara likuma projektā attiecīgajam gadam tiek iekļauts </w:t>
      </w:r>
      <w:r w:rsidR="006C6B57" w:rsidRPr="72B40892">
        <w:rPr>
          <w:rFonts w:asciiTheme="minorHAnsi" w:hAnsiTheme="minorHAnsi"/>
          <w:b/>
          <w:bCs/>
          <w:sz w:val="22"/>
          <w:szCs w:val="22"/>
          <w:lang w:val="lv-LV"/>
        </w:rPr>
        <w:t xml:space="preserve">tāds koriģēto maksimāli pieļaujamo valsts budžeta izdevumu apjoms, kāds ir </w:t>
      </w:r>
      <w:r w:rsidRPr="72B40892">
        <w:rPr>
          <w:rFonts w:asciiTheme="minorHAnsi" w:hAnsiTheme="minorHAnsi"/>
          <w:b/>
          <w:bCs/>
          <w:sz w:val="22"/>
          <w:szCs w:val="22"/>
          <w:lang w:val="lv-LV"/>
        </w:rPr>
        <w:t xml:space="preserve">saskaņā ar šā likuma </w:t>
      </w:r>
      <w:hyperlink r:id="rId17" w:anchor="p15">
        <w:r w:rsidRPr="72B40892">
          <w:rPr>
            <w:rStyle w:val="Hyperlink"/>
            <w:rFonts w:asciiTheme="minorHAnsi" w:hAnsiTheme="minorHAnsi"/>
            <w:b/>
            <w:bCs/>
            <w:color w:val="auto"/>
            <w:sz w:val="22"/>
            <w:szCs w:val="22"/>
            <w:lang w:val="lv-LV"/>
          </w:rPr>
          <w:t>15.pantu</w:t>
        </w:r>
      </w:hyperlink>
      <w:r w:rsidRPr="72B40892">
        <w:rPr>
          <w:rFonts w:asciiTheme="minorHAnsi" w:hAnsiTheme="minorHAnsi"/>
          <w:b/>
          <w:bCs/>
          <w:sz w:val="22"/>
          <w:szCs w:val="22"/>
          <w:lang w:val="lv-LV"/>
        </w:rPr>
        <w:t>.</w:t>
      </w:r>
      <w:r w:rsidRPr="72B40892">
        <w:rPr>
          <w:rFonts w:asciiTheme="minorHAnsi" w:hAnsiTheme="minorHAnsi"/>
          <w:sz w:val="22"/>
          <w:szCs w:val="22"/>
          <w:lang w:val="lv-LV"/>
        </w:rPr>
        <w:t xml:space="preserve"> </w:t>
      </w:r>
      <w:r w:rsidRPr="72B40892">
        <w:rPr>
          <w:rFonts w:asciiTheme="minorHAnsi" w:eastAsiaTheme="minorEastAsia" w:hAnsiTheme="minorHAnsi"/>
          <w:sz w:val="22"/>
          <w:szCs w:val="22"/>
          <w:lang w:val="lv-LV"/>
        </w:rPr>
        <w:t>Finanšu ministrija nav sagatavojusi pārmantojamības nosacījuma aprēķinus 2021. un 2022. gadiem, bet atbilstoši Padomes ekspertu vērtējumam krasā ekonomikas lejupslīde 2020.gadā rada atšķirību starp maksimāli pieļaujamo valsts budžeta izdevumu apjomu pēc divām metod</w:t>
      </w:r>
      <w:r w:rsidR="006C6B57" w:rsidRPr="72B40892">
        <w:rPr>
          <w:rFonts w:asciiTheme="minorHAnsi" w:eastAsiaTheme="minorEastAsia" w:hAnsiTheme="minorHAnsi"/>
          <w:sz w:val="22"/>
          <w:szCs w:val="22"/>
          <w:lang w:val="lv-LV"/>
        </w:rPr>
        <w:t>ēm, kas pārsniedz 0,1% no IKP.</w:t>
      </w:r>
    </w:p>
    <w:p w14:paraId="0FFE1AB3" w14:textId="77777777" w:rsidR="00983083" w:rsidRPr="00DF74F7" w:rsidRDefault="00983083" w:rsidP="72B40892">
      <w:pPr>
        <w:pStyle w:val="ListParagraph"/>
        <w:ind w:left="426" w:hanging="426"/>
        <w:rPr>
          <w:rFonts w:asciiTheme="minorHAnsi" w:eastAsiaTheme="minorEastAsia" w:hAnsiTheme="minorHAnsi"/>
          <w:b/>
          <w:bCs/>
          <w:sz w:val="22"/>
          <w:szCs w:val="22"/>
          <w:lang w:val="lv-LV"/>
        </w:rPr>
      </w:pPr>
    </w:p>
    <w:p w14:paraId="143F74C6" w14:textId="009081B6" w:rsidR="00983083" w:rsidRPr="00DF74F7" w:rsidRDefault="00983083" w:rsidP="72B40892">
      <w:pPr>
        <w:pStyle w:val="ListParagraph"/>
        <w:numPr>
          <w:ilvl w:val="0"/>
          <w:numId w:val="23"/>
        </w:numPr>
        <w:spacing w:line="235" w:lineRule="auto"/>
        <w:ind w:left="426" w:right="20" w:hanging="426"/>
        <w:jc w:val="both"/>
        <w:rPr>
          <w:rFonts w:asciiTheme="minorHAnsi" w:eastAsiaTheme="minorEastAsia" w:hAnsiTheme="minorHAnsi"/>
          <w:color w:val="000000" w:themeColor="text1"/>
          <w:sz w:val="22"/>
          <w:szCs w:val="22"/>
          <w:lang w:val="lv-LV"/>
        </w:rPr>
      </w:pPr>
      <w:r w:rsidRPr="72B40892">
        <w:rPr>
          <w:rFonts w:asciiTheme="minorHAnsi" w:eastAsiaTheme="minorEastAsia" w:hAnsiTheme="minorHAnsi"/>
          <w:b/>
          <w:bCs/>
          <w:sz w:val="22"/>
          <w:szCs w:val="22"/>
          <w:lang w:val="lv-LV"/>
        </w:rPr>
        <w:t xml:space="preserve">Padome piekrīt FM priekšlikumam veidot fiskālo politiku 2021.gadam balstoties uz bilances nosacījumu ņemot vērā ekonomikas straujo lejupslīdi un pieļaujot valsts budžeta bilances pasliktināšanos atbilstoši ekonomikas cikla fāzes apstākļiem,  paredzot maksimāli pieļaujamo valsts budžeta izdevumu apjomu 2021. gadam </w:t>
      </w:r>
      <w:r w:rsidRPr="72B40892">
        <w:rPr>
          <w:rFonts w:asciiTheme="minorHAnsi" w:hAnsiTheme="minorHAnsi" w:cs="Calibri"/>
          <w:b/>
          <w:bCs/>
          <w:sz w:val="22"/>
          <w:szCs w:val="22"/>
          <w:lang w:val="lv-LV" w:eastAsia="lv-LV"/>
        </w:rPr>
        <w:t xml:space="preserve">10 795.01 </w:t>
      </w:r>
      <w:r w:rsidR="00362CD2">
        <w:rPr>
          <w:rFonts w:asciiTheme="minorHAnsi" w:hAnsiTheme="minorHAnsi" w:cs="Calibri"/>
          <w:b/>
          <w:bCs/>
          <w:sz w:val="22"/>
          <w:szCs w:val="22"/>
          <w:lang w:val="lv-LV" w:eastAsia="lv-LV"/>
        </w:rPr>
        <w:t xml:space="preserve">miljonus </w:t>
      </w:r>
      <w:r w:rsidRPr="72B40892">
        <w:rPr>
          <w:rFonts w:asciiTheme="minorHAnsi" w:eastAsiaTheme="minorEastAsia" w:hAnsiTheme="minorHAnsi"/>
          <w:b/>
          <w:bCs/>
          <w:sz w:val="22"/>
          <w:szCs w:val="22"/>
          <w:lang w:val="lv-LV"/>
        </w:rPr>
        <w:t xml:space="preserve">eiro, 2022. gadam </w:t>
      </w:r>
      <w:r w:rsidRPr="72B40892">
        <w:rPr>
          <w:rFonts w:asciiTheme="minorHAnsi" w:hAnsiTheme="minorHAnsi" w:cs="Calibri"/>
          <w:b/>
          <w:bCs/>
          <w:sz w:val="22"/>
          <w:szCs w:val="22"/>
          <w:lang w:val="lv-LV" w:eastAsia="lv-LV"/>
        </w:rPr>
        <w:t>11 085.81</w:t>
      </w:r>
      <w:r w:rsidRPr="72B40892">
        <w:rPr>
          <w:rFonts w:asciiTheme="minorHAnsi" w:eastAsiaTheme="minorEastAsia" w:hAnsiTheme="minorHAnsi"/>
          <w:b/>
          <w:bCs/>
          <w:sz w:val="22"/>
          <w:szCs w:val="22"/>
          <w:lang w:val="lv-LV"/>
        </w:rPr>
        <w:t xml:space="preserve"> </w:t>
      </w:r>
      <w:r w:rsidR="00362CD2">
        <w:rPr>
          <w:rFonts w:asciiTheme="minorHAnsi" w:eastAsiaTheme="minorEastAsia" w:hAnsiTheme="minorHAnsi"/>
          <w:b/>
          <w:bCs/>
          <w:sz w:val="22"/>
          <w:szCs w:val="22"/>
          <w:lang w:val="lv-LV"/>
        </w:rPr>
        <w:t xml:space="preserve">miljonus </w:t>
      </w:r>
      <w:r w:rsidRPr="72B40892">
        <w:rPr>
          <w:rFonts w:asciiTheme="minorHAnsi" w:eastAsiaTheme="minorEastAsia" w:hAnsiTheme="minorHAnsi"/>
          <w:b/>
          <w:bCs/>
          <w:sz w:val="22"/>
          <w:szCs w:val="22"/>
          <w:lang w:val="lv-LV"/>
        </w:rPr>
        <w:t>eiro un 2023. gadam</w:t>
      </w:r>
      <w:r w:rsidRPr="72B40892">
        <w:rPr>
          <w:rFonts w:asciiTheme="minorHAnsi" w:hAnsiTheme="minorHAnsi" w:cs="Calibri"/>
          <w:b/>
          <w:bCs/>
          <w:sz w:val="22"/>
          <w:szCs w:val="22"/>
          <w:lang w:val="lv-LV"/>
        </w:rPr>
        <w:t xml:space="preserve"> </w:t>
      </w:r>
      <w:r w:rsidRPr="72B40892">
        <w:rPr>
          <w:rFonts w:asciiTheme="minorHAnsi" w:hAnsiTheme="minorHAnsi" w:cs="Calibri"/>
          <w:b/>
          <w:bCs/>
          <w:sz w:val="22"/>
          <w:szCs w:val="22"/>
          <w:lang w:val="lv-LV" w:eastAsia="lv-LV"/>
        </w:rPr>
        <w:t>11 095.62</w:t>
      </w:r>
      <w:r w:rsidR="00362CD2">
        <w:rPr>
          <w:rFonts w:asciiTheme="minorHAnsi" w:hAnsiTheme="minorHAnsi" w:cs="Calibri"/>
          <w:b/>
          <w:bCs/>
          <w:sz w:val="22"/>
          <w:szCs w:val="22"/>
          <w:lang w:val="lv-LV" w:eastAsia="lv-LV"/>
        </w:rPr>
        <w:t xml:space="preserve"> miljonus </w:t>
      </w:r>
      <w:r w:rsidRPr="72B40892">
        <w:rPr>
          <w:rFonts w:asciiTheme="minorHAnsi" w:eastAsiaTheme="minorEastAsia" w:hAnsiTheme="minorHAnsi"/>
          <w:b/>
          <w:bCs/>
          <w:sz w:val="22"/>
          <w:szCs w:val="22"/>
          <w:lang w:val="lv-LV"/>
        </w:rPr>
        <w:t>eiro apmērā.</w:t>
      </w:r>
    </w:p>
    <w:p w14:paraId="616F8726" w14:textId="77777777" w:rsidR="00983083" w:rsidRPr="00DF74F7" w:rsidRDefault="00983083" w:rsidP="72B40892">
      <w:pPr>
        <w:pStyle w:val="ListParagraph"/>
        <w:ind w:left="426" w:hanging="426"/>
        <w:rPr>
          <w:rFonts w:asciiTheme="minorHAnsi" w:eastAsiaTheme="minorEastAsia" w:hAnsiTheme="minorHAnsi" w:cstheme="minorBidi"/>
          <w:sz w:val="22"/>
          <w:szCs w:val="22"/>
          <w:lang w:val="lv-LV"/>
        </w:rPr>
      </w:pPr>
    </w:p>
    <w:p w14:paraId="6F81CAB9" w14:textId="77777777" w:rsidR="00983083" w:rsidRPr="00DF74F7" w:rsidRDefault="00983083" w:rsidP="72B40892">
      <w:pPr>
        <w:pStyle w:val="ListParagraph"/>
        <w:numPr>
          <w:ilvl w:val="0"/>
          <w:numId w:val="23"/>
        </w:numPr>
        <w:spacing w:line="235" w:lineRule="auto"/>
        <w:ind w:left="426" w:right="20" w:hanging="426"/>
        <w:jc w:val="both"/>
        <w:rPr>
          <w:rFonts w:asciiTheme="minorHAnsi" w:eastAsiaTheme="minorEastAsia" w:hAnsiTheme="minorHAnsi"/>
          <w:color w:val="000000" w:themeColor="text1"/>
          <w:sz w:val="22"/>
          <w:szCs w:val="22"/>
          <w:lang w:val="lv-LV"/>
        </w:rPr>
      </w:pPr>
      <w:r w:rsidRPr="72B40892">
        <w:rPr>
          <w:rFonts w:asciiTheme="minorHAnsi" w:eastAsiaTheme="minorEastAsia" w:hAnsiTheme="minorHAnsi" w:cstheme="minorBidi"/>
          <w:sz w:val="22"/>
          <w:szCs w:val="22"/>
          <w:lang w:val="lv-LV"/>
        </w:rPr>
        <w:t xml:space="preserve">Budžeta ietvars paredz sekojošas budžeta bilances pie nemainīgas politikas  -3.9% 2021. gadā, -2.8% 2022. gadā un -1.7%. 2023. gadā. Iepriekš minētie mērķi atbilstoši Finanšu ministrijas aprēķiniem nodrošinātu valdības strukturālo bilanci -1.9% 2021. gadā, -0.9% 2022. gadā un -0.05% 2023. gadā, ņemot vērā starpību starp faktisko un potenciālo ekonomikas izaugsmi. Padome atzīmē, ka FDL prasības netiek pilnībā ievērotas nosakot valsts budžeta maksimālo izdevumu apmēru 2022. gadā, tomēr atdzīst, ka nospraustie bilances mērķi ir samērīgi ar ekonomisko lejupslīdi un ievēro pretcikliskās politikas principu kopumā 2022. un 2023. gados. Ņemot vērā lielo nenoteiktību ekonomikas attīstībā un nepieciešamību pārvarēt ekonomikas lejupslīdes sekas, </w:t>
      </w:r>
      <w:r w:rsidRPr="72B40892">
        <w:rPr>
          <w:rFonts w:asciiTheme="minorHAnsi" w:eastAsiaTheme="minorEastAsia" w:hAnsiTheme="minorHAnsi" w:cstheme="minorBidi"/>
          <w:b/>
          <w:bCs/>
          <w:sz w:val="22"/>
          <w:szCs w:val="22"/>
          <w:lang w:val="lv-LV"/>
        </w:rPr>
        <w:t>Padome precizēs savu viedokli par 2022.gada maksimālajiem valsts budžeta izdevumu apmēriem savā 2021.gada Uzraudzības ziņojumā.</w:t>
      </w:r>
    </w:p>
    <w:p w14:paraId="614B0D05" w14:textId="77777777" w:rsidR="00983083" w:rsidRPr="00DF74F7" w:rsidRDefault="00983083" w:rsidP="72B40892">
      <w:pPr>
        <w:pStyle w:val="ListParagraph"/>
        <w:ind w:left="426" w:hanging="426"/>
        <w:rPr>
          <w:rFonts w:asciiTheme="minorHAnsi" w:eastAsiaTheme="minorEastAsia" w:hAnsiTheme="minorHAnsi" w:cstheme="minorBidi"/>
          <w:sz w:val="22"/>
          <w:szCs w:val="22"/>
          <w:lang w:val="lv-LV"/>
        </w:rPr>
      </w:pPr>
    </w:p>
    <w:p w14:paraId="7E18C224" w14:textId="31C862C4" w:rsidR="009A1EF2" w:rsidRPr="00DF74F7" w:rsidRDefault="00983083" w:rsidP="72B40892">
      <w:pPr>
        <w:pStyle w:val="ListParagraph"/>
        <w:numPr>
          <w:ilvl w:val="0"/>
          <w:numId w:val="23"/>
        </w:numPr>
        <w:spacing w:line="235" w:lineRule="auto"/>
        <w:ind w:left="426" w:right="20" w:hanging="426"/>
        <w:jc w:val="both"/>
        <w:rPr>
          <w:rFonts w:asciiTheme="minorHAnsi" w:eastAsiaTheme="minorEastAsia" w:hAnsiTheme="minorHAnsi"/>
          <w:color w:val="000000" w:themeColor="text1"/>
          <w:sz w:val="22"/>
          <w:szCs w:val="22"/>
          <w:lang w:val="lv-LV"/>
        </w:rPr>
      </w:pPr>
      <w:r w:rsidRPr="72B40892">
        <w:rPr>
          <w:rFonts w:asciiTheme="minorHAnsi" w:eastAsiaTheme="minorEastAsia" w:hAnsiTheme="minorHAnsi" w:cstheme="minorBidi"/>
          <w:sz w:val="22"/>
          <w:szCs w:val="22"/>
          <w:lang w:val="lv-LV"/>
        </w:rPr>
        <w:lastRenderedPageBreak/>
        <w:t>Atbilstoši FDL 28. panta 4. daļai</w:t>
      </w:r>
      <w:r w:rsidRPr="72B40892">
        <w:rPr>
          <w:rFonts w:asciiTheme="minorHAnsi" w:eastAsiaTheme="minorEastAsia" w:hAnsiTheme="minorHAnsi" w:cstheme="minorBidi"/>
          <w:b/>
          <w:bCs/>
          <w:sz w:val="22"/>
          <w:szCs w:val="22"/>
          <w:lang w:val="lv-LV"/>
        </w:rPr>
        <w:t xml:space="preserve"> </w:t>
      </w:r>
      <w:r w:rsidRPr="72B40892">
        <w:rPr>
          <w:rFonts w:asciiTheme="minorHAnsi" w:hAnsiTheme="minorHAnsi"/>
          <w:sz w:val="22"/>
          <w:szCs w:val="22"/>
          <w:lang w:val="lv-LV"/>
        </w:rPr>
        <w:t xml:space="preserve">Padome sagatavo viedokli par to, </w:t>
      </w:r>
      <w:r w:rsidRPr="72B40892">
        <w:rPr>
          <w:rFonts w:asciiTheme="minorHAnsi" w:hAnsiTheme="minorHAnsi"/>
          <w:b/>
          <w:bCs/>
          <w:sz w:val="22"/>
          <w:szCs w:val="22"/>
          <w:lang w:val="lv-LV"/>
        </w:rPr>
        <w:t>cik liela atkāpe no bilances nosacījuma pieļaujama ekonomikas nopietnas lejupslīdes laikā</w:t>
      </w:r>
      <w:r w:rsidRPr="72B40892">
        <w:rPr>
          <w:rFonts w:asciiTheme="minorHAnsi" w:hAnsiTheme="minorHAnsi"/>
          <w:sz w:val="22"/>
          <w:szCs w:val="22"/>
          <w:lang w:val="lv-LV"/>
        </w:rPr>
        <w:t xml:space="preserve"> (FDL </w:t>
      </w:r>
      <w:hyperlink r:id="rId18" w:anchor="p12">
        <w:r w:rsidRPr="72B40892">
          <w:rPr>
            <w:rStyle w:val="Hyperlink"/>
            <w:rFonts w:asciiTheme="minorHAnsi" w:hAnsiTheme="minorHAnsi"/>
            <w:color w:val="auto"/>
            <w:sz w:val="22"/>
            <w:szCs w:val="22"/>
            <w:lang w:val="lv-LV"/>
          </w:rPr>
          <w:t>12.panta</w:t>
        </w:r>
      </w:hyperlink>
      <w:r w:rsidRPr="72B40892">
        <w:rPr>
          <w:rFonts w:asciiTheme="minorHAnsi" w:hAnsiTheme="minorHAnsi"/>
          <w:sz w:val="22"/>
          <w:szCs w:val="22"/>
          <w:lang w:val="lv-LV"/>
        </w:rPr>
        <w:t xml:space="preserve"> pirmās daļas 3.punkts). Covid infekcijas izplatības seku pārvarēšanas likuma 33. pants nosaka, ka</w:t>
      </w:r>
      <w:r w:rsidRPr="72B40892">
        <w:rPr>
          <w:rFonts w:asciiTheme="minorHAnsi" w:hAnsiTheme="minorHAnsi"/>
          <w:b/>
          <w:bCs/>
          <w:sz w:val="22"/>
          <w:szCs w:val="22"/>
          <w:lang w:val="lv-LV"/>
        </w:rPr>
        <w:t xml:space="preserve"> </w:t>
      </w:r>
      <w:r w:rsidRPr="72B40892">
        <w:rPr>
          <w:rFonts w:asciiTheme="minorHAnsi" w:hAnsiTheme="minorHAnsi"/>
          <w:sz w:val="22"/>
          <w:szCs w:val="22"/>
          <w:lang w:val="lv-LV"/>
        </w:rPr>
        <w:t xml:space="preserve">2020. un 2021. gadā netiek piemēroti </w:t>
      </w:r>
      <w:hyperlink r:id="rId19">
        <w:r w:rsidRPr="72B40892">
          <w:rPr>
            <w:rStyle w:val="Hyperlink"/>
            <w:rFonts w:asciiTheme="minorHAnsi" w:hAnsiTheme="minorHAnsi"/>
            <w:color w:val="auto"/>
            <w:sz w:val="22"/>
            <w:szCs w:val="22"/>
            <w:lang w:val="lv-LV"/>
          </w:rPr>
          <w:t>Fiskālās disciplīnas likuma</w:t>
        </w:r>
      </w:hyperlink>
      <w:r w:rsidRPr="72B40892">
        <w:rPr>
          <w:rFonts w:asciiTheme="minorHAnsi" w:hAnsiTheme="minorHAnsi"/>
          <w:sz w:val="22"/>
          <w:szCs w:val="22"/>
          <w:lang w:val="lv-LV"/>
        </w:rPr>
        <w:t xml:space="preserve"> </w:t>
      </w:r>
      <w:hyperlink r:id="rId20" w:anchor="p7">
        <w:r w:rsidRPr="72B40892">
          <w:rPr>
            <w:rStyle w:val="Hyperlink"/>
            <w:rFonts w:asciiTheme="minorHAnsi" w:hAnsiTheme="minorHAnsi"/>
            <w:color w:val="auto"/>
            <w:sz w:val="22"/>
            <w:szCs w:val="22"/>
            <w:lang w:val="lv-LV"/>
          </w:rPr>
          <w:t>7. panta</w:t>
        </w:r>
      </w:hyperlink>
      <w:r w:rsidRPr="72B40892">
        <w:rPr>
          <w:rFonts w:asciiTheme="minorHAnsi" w:hAnsiTheme="minorHAnsi"/>
          <w:sz w:val="22"/>
          <w:szCs w:val="22"/>
          <w:lang w:val="lv-LV"/>
        </w:rPr>
        <w:t xml:space="preserve"> trešās daļas, </w:t>
      </w:r>
      <w:hyperlink r:id="rId21" w:anchor="p9">
        <w:r w:rsidRPr="72B40892">
          <w:rPr>
            <w:rStyle w:val="Hyperlink"/>
            <w:rFonts w:asciiTheme="minorHAnsi" w:hAnsiTheme="minorHAnsi"/>
            <w:color w:val="auto"/>
            <w:sz w:val="22"/>
            <w:szCs w:val="22"/>
            <w:lang w:val="lv-LV"/>
          </w:rPr>
          <w:t>9. panta</w:t>
        </w:r>
      </w:hyperlink>
      <w:r w:rsidRPr="72B40892">
        <w:rPr>
          <w:rFonts w:asciiTheme="minorHAnsi" w:hAnsiTheme="minorHAnsi"/>
          <w:sz w:val="22"/>
          <w:szCs w:val="22"/>
          <w:lang w:val="lv-LV"/>
        </w:rPr>
        <w:t xml:space="preserve"> un </w:t>
      </w:r>
      <w:hyperlink r:id="rId22" w:anchor="p12">
        <w:r w:rsidRPr="72B40892">
          <w:rPr>
            <w:rStyle w:val="Hyperlink"/>
            <w:rFonts w:asciiTheme="minorHAnsi" w:hAnsiTheme="minorHAnsi"/>
            <w:color w:val="auto"/>
            <w:sz w:val="22"/>
            <w:szCs w:val="22"/>
            <w:lang w:val="lv-LV"/>
          </w:rPr>
          <w:t>12. panta</w:t>
        </w:r>
      </w:hyperlink>
      <w:r w:rsidRPr="72B40892">
        <w:rPr>
          <w:rFonts w:asciiTheme="minorHAnsi" w:hAnsiTheme="minorHAnsi"/>
          <w:sz w:val="22"/>
          <w:szCs w:val="22"/>
          <w:lang w:val="lv-LV"/>
        </w:rPr>
        <w:t xml:space="preserve"> trešās daļas nosacījumi. Padome ir veikusi novērtējumu par pieļaujamo atkāpi un tā rezultāti ir apkopoti tabulā</w:t>
      </w:r>
    </w:p>
    <w:p w14:paraId="764AC9BD" w14:textId="6FB7B42B" w:rsidR="009A1EF2" w:rsidRPr="00DF74F7" w:rsidRDefault="0095074F" w:rsidP="72B40892">
      <w:pPr>
        <w:spacing w:line="235" w:lineRule="auto"/>
        <w:ind w:right="20"/>
        <w:jc w:val="right"/>
        <w:rPr>
          <w:rFonts w:asciiTheme="minorHAnsi" w:hAnsiTheme="minorHAnsi" w:cstheme="minorBidi"/>
          <w:b/>
          <w:bCs/>
          <w:sz w:val="22"/>
          <w:szCs w:val="22"/>
          <w:u w:val="single"/>
          <w:lang w:val="lv-LV"/>
        </w:rPr>
      </w:pPr>
      <w:r w:rsidRPr="72B40892">
        <w:rPr>
          <w:rFonts w:asciiTheme="minorHAnsi" w:hAnsiTheme="minorHAnsi" w:cstheme="minorBidi"/>
          <w:b/>
          <w:bCs/>
          <w:sz w:val="22"/>
          <w:szCs w:val="22"/>
          <w:u w:val="single"/>
          <w:lang w:val="lv-LV"/>
        </w:rPr>
        <w:t>6. t</w:t>
      </w:r>
      <w:r w:rsidR="009A1EF2" w:rsidRPr="72B40892">
        <w:rPr>
          <w:rFonts w:asciiTheme="minorHAnsi" w:hAnsiTheme="minorHAnsi" w:cstheme="minorBidi"/>
          <w:b/>
          <w:bCs/>
          <w:sz w:val="22"/>
          <w:szCs w:val="22"/>
          <w:u w:val="single"/>
          <w:lang w:val="lv-LV"/>
        </w:rPr>
        <w:t xml:space="preserve">abula </w:t>
      </w:r>
    </w:p>
    <w:p w14:paraId="316ECA7D" w14:textId="674B5ADB" w:rsidR="009A1EF2" w:rsidRDefault="009A1EF2" w:rsidP="72B40892">
      <w:pPr>
        <w:spacing w:line="235" w:lineRule="auto"/>
        <w:ind w:right="20"/>
        <w:jc w:val="center"/>
        <w:rPr>
          <w:rFonts w:asciiTheme="minorHAnsi" w:hAnsiTheme="minorHAnsi" w:cstheme="minorBidi"/>
          <w:b/>
          <w:bCs/>
          <w:sz w:val="22"/>
          <w:szCs w:val="22"/>
          <w:u w:val="single"/>
          <w:lang w:val="lv-LV"/>
        </w:rPr>
      </w:pPr>
      <w:r w:rsidRPr="72B40892">
        <w:rPr>
          <w:rFonts w:asciiTheme="minorHAnsi" w:hAnsiTheme="minorHAnsi" w:cstheme="minorBidi"/>
          <w:b/>
          <w:bCs/>
          <w:sz w:val="22"/>
          <w:szCs w:val="22"/>
          <w:u w:val="single"/>
          <w:lang w:val="lv-LV"/>
        </w:rPr>
        <w:t>Pieļaujamās atkāpes no bilances nosacījuma FDL 12. panta 3.punkts</w:t>
      </w:r>
    </w:p>
    <w:p w14:paraId="50E964AA" w14:textId="77777777" w:rsidR="00512C8A" w:rsidRPr="00DF74F7" w:rsidRDefault="00512C8A" w:rsidP="72B40892">
      <w:pPr>
        <w:spacing w:line="235" w:lineRule="auto"/>
        <w:ind w:right="20"/>
        <w:jc w:val="center"/>
        <w:rPr>
          <w:rFonts w:asciiTheme="minorHAnsi" w:hAnsiTheme="minorHAnsi" w:cstheme="minorBidi"/>
          <w:b/>
          <w:bCs/>
          <w:sz w:val="22"/>
          <w:szCs w:val="22"/>
          <w:u w:val="single"/>
          <w:lang w:val="lv-LV"/>
        </w:rPr>
      </w:pPr>
    </w:p>
    <w:tbl>
      <w:tblPr>
        <w:tblW w:w="5000" w:type="pct"/>
        <w:tblLayout w:type="fixed"/>
        <w:tblLook w:val="04A0" w:firstRow="1" w:lastRow="0" w:firstColumn="1" w:lastColumn="0" w:noHBand="0" w:noVBand="1"/>
      </w:tblPr>
      <w:tblGrid>
        <w:gridCol w:w="1549"/>
        <w:gridCol w:w="5893"/>
        <w:gridCol w:w="844"/>
      </w:tblGrid>
      <w:tr w:rsidR="00512C8A" w:rsidRPr="00DF74F7" w14:paraId="1F35722D" w14:textId="77777777" w:rsidTr="00EB0955">
        <w:trPr>
          <w:trHeight w:val="315"/>
        </w:trPr>
        <w:tc>
          <w:tcPr>
            <w:tcW w:w="935" w:type="pct"/>
            <w:tcBorders>
              <w:top w:val="single" w:sz="8" w:space="0" w:color="auto"/>
              <w:left w:val="single" w:sz="8" w:space="0" w:color="auto"/>
              <w:bottom w:val="single" w:sz="8" w:space="0" w:color="auto"/>
              <w:right w:val="single" w:sz="8" w:space="0" w:color="auto"/>
            </w:tcBorders>
            <w:shd w:val="clear" w:color="auto" w:fill="DEEAF6" w:themeFill="accent1" w:themeFillTint="33"/>
            <w:noWrap/>
            <w:vAlign w:val="center"/>
            <w:hideMark/>
          </w:tcPr>
          <w:p w14:paraId="28C212C6" w14:textId="77777777" w:rsidR="00512C8A" w:rsidRPr="00DF74F7" w:rsidRDefault="00512C8A" w:rsidP="00EB0955">
            <w:pPr>
              <w:jc w:val="center"/>
              <w:rPr>
                <w:rFonts w:asciiTheme="minorHAnsi" w:hAnsiTheme="minorHAnsi" w:cstheme="minorBidi"/>
                <w:b/>
                <w:bCs/>
                <w:sz w:val="22"/>
                <w:szCs w:val="22"/>
                <w:lang w:val="lv-LV" w:eastAsia="lv-LV"/>
              </w:rPr>
            </w:pPr>
            <w:r w:rsidRPr="133DABA5">
              <w:rPr>
                <w:rFonts w:asciiTheme="minorHAnsi" w:hAnsiTheme="minorHAnsi" w:cstheme="minorBidi"/>
                <w:b/>
                <w:bCs/>
                <w:sz w:val="22"/>
                <w:szCs w:val="22"/>
                <w:lang w:val="lv-LV" w:eastAsia="lv-LV"/>
              </w:rPr>
              <w:t>Aprēķinu secība</w:t>
            </w:r>
          </w:p>
        </w:tc>
        <w:tc>
          <w:tcPr>
            <w:tcW w:w="3555" w:type="pct"/>
            <w:tcBorders>
              <w:top w:val="single" w:sz="8" w:space="0" w:color="auto"/>
              <w:left w:val="nil"/>
              <w:bottom w:val="single" w:sz="8" w:space="0" w:color="auto"/>
              <w:right w:val="single" w:sz="8" w:space="0" w:color="auto"/>
            </w:tcBorders>
            <w:shd w:val="clear" w:color="auto" w:fill="DEEAF6" w:themeFill="accent1" w:themeFillTint="33"/>
            <w:noWrap/>
            <w:vAlign w:val="center"/>
            <w:hideMark/>
          </w:tcPr>
          <w:p w14:paraId="38570DF9" w14:textId="77777777" w:rsidR="00512C8A" w:rsidRPr="00DF74F7" w:rsidRDefault="00512C8A" w:rsidP="00EB0955">
            <w:pPr>
              <w:jc w:val="center"/>
              <w:rPr>
                <w:rFonts w:asciiTheme="minorHAnsi" w:hAnsiTheme="minorHAnsi" w:cstheme="minorBidi"/>
                <w:b/>
                <w:bCs/>
                <w:sz w:val="22"/>
                <w:szCs w:val="22"/>
                <w:lang w:val="lv-LV" w:eastAsia="lv-LV"/>
              </w:rPr>
            </w:pPr>
            <w:r w:rsidRPr="133DABA5">
              <w:rPr>
                <w:rFonts w:asciiTheme="minorHAnsi" w:hAnsiTheme="minorHAnsi" w:cstheme="minorBidi"/>
                <w:b/>
                <w:bCs/>
                <w:sz w:val="22"/>
                <w:szCs w:val="22"/>
                <w:lang w:val="lv-LV" w:eastAsia="lv-LV"/>
              </w:rPr>
              <w:t>Fiskālie parametri</w:t>
            </w:r>
          </w:p>
        </w:tc>
        <w:tc>
          <w:tcPr>
            <w:tcW w:w="509" w:type="pct"/>
            <w:tcBorders>
              <w:top w:val="single" w:sz="8" w:space="0" w:color="auto"/>
              <w:left w:val="nil"/>
              <w:bottom w:val="single" w:sz="8" w:space="0" w:color="auto"/>
              <w:right w:val="single" w:sz="8" w:space="0" w:color="auto"/>
            </w:tcBorders>
            <w:shd w:val="clear" w:color="auto" w:fill="DEEAF6" w:themeFill="accent1" w:themeFillTint="33"/>
            <w:noWrap/>
            <w:vAlign w:val="center"/>
            <w:hideMark/>
          </w:tcPr>
          <w:p w14:paraId="7EBFCD57" w14:textId="77777777" w:rsidR="00512C8A" w:rsidRPr="00DF74F7" w:rsidRDefault="00512C8A" w:rsidP="00EB0955">
            <w:pPr>
              <w:jc w:val="center"/>
              <w:rPr>
                <w:rFonts w:asciiTheme="minorHAnsi" w:hAnsiTheme="minorHAnsi" w:cstheme="minorBidi"/>
                <w:b/>
                <w:bCs/>
                <w:sz w:val="22"/>
                <w:szCs w:val="22"/>
                <w:lang w:val="lv-LV" w:eastAsia="lv-LV"/>
              </w:rPr>
            </w:pPr>
            <w:r w:rsidRPr="133DABA5">
              <w:rPr>
                <w:rFonts w:asciiTheme="minorHAnsi" w:hAnsiTheme="minorHAnsi" w:cstheme="minorBidi"/>
                <w:b/>
                <w:bCs/>
                <w:sz w:val="22"/>
                <w:szCs w:val="22"/>
                <w:lang w:val="lv-LV" w:eastAsia="lv-LV"/>
              </w:rPr>
              <w:t xml:space="preserve">2021 FM </w:t>
            </w:r>
          </w:p>
        </w:tc>
      </w:tr>
      <w:tr w:rsidR="00512C8A" w:rsidRPr="00DF74F7" w14:paraId="0FD6EEFC" w14:textId="77777777" w:rsidTr="00EB0955">
        <w:trPr>
          <w:trHeight w:val="315"/>
        </w:trPr>
        <w:tc>
          <w:tcPr>
            <w:tcW w:w="935" w:type="pct"/>
            <w:tcBorders>
              <w:top w:val="nil"/>
              <w:left w:val="single" w:sz="8" w:space="0" w:color="auto"/>
              <w:bottom w:val="single" w:sz="8" w:space="0" w:color="auto"/>
              <w:right w:val="single" w:sz="8" w:space="0" w:color="auto"/>
            </w:tcBorders>
            <w:shd w:val="clear" w:color="auto" w:fill="auto"/>
            <w:noWrap/>
            <w:vAlign w:val="center"/>
            <w:hideMark/>
          </w:tcPr>
          <w:p w14:paraId="6069EDA8" w14:textId="77777777" w:rsidR="00512C8A" w:rsidRPr="00DF74F7" w:rsidRDefault="00512C8A" w:rsidP="00EB0955">
            <w:pPr>
              <w:jc w:val="center"/>
              <w:rPr>
                <w:rFonts w:asciiTheme="minorHAnsi" w:hAnsiTheme="minorHAnsi" w:cstheme="minorBidi"/>
                <w:b/>
                <w:bCs/>
                <w:sz w:val="22"/>
                <w:szCs w:val="22"/>
                <w:lang w:val="lv-LV" w:eastAsia="lv-LV"/>
              </w:rPr>
            </w:pPr>
            <w:r w:rsidRPr="133DABA5">
              <w:rPr>
                <w:rFonts w:asciiTheme="minorHAnsi" w:hAnsiTheme="minorHAnsi" w:cstheme="minorBidi"/>
                <w:b/>
                <w:bCs/>
                <w:sz w:val="22"/>
                <w:szCs w:val="22"/>
                <w:lang w:val="lv-LV" w:eastAsia="lv-LV"/>
              </w:rPr>
              <w:t>1</w:t>
            </w:r>
          </w:p>
        </w:tc>
        <w:tc>
          <w:tcPr>
            <w:tcW w:w="3555" w:type="pct"/>
            <w:tcBorders>
              <w:top w:val="nil"/>
              <w:left w:val="nil"/>
              <w:bottom w:val="single" w:sz="8" w:space="0" w:color="auto"/>
              <w:right w:val="single" w:sz="8" w:space="0" w:color="auto"/>
            </w:tcBorders>
            <w:shd w:val="clear" w:color="auto" w:fill="auto"/>
            <w:noWrap/>
            <w:vAlign w:val="center"/>
            <w:hideMark/>
          </w:tcPr>
          <w:p w14:paraId="5ACF208B" w14:textId="77777777" w:rsidR="00512C8A" w:rsidRPr="00DF74F7" w:rsidRDefault="00512C8A" w:rsidP="00EB0955">
            <w:pPr>
              <w:rPr>
                <w:rFonts w:asciiTheme="minorHAnsi" w:hAnsiTheme="minorHAnsi" w:cstheme="minorBidi"/>
                <w:sz w:val="22"/>
                <w:szCs w:val="22"/>
                <w:lang w:val="lv-LV" w:eastAsia="lv-LV"/>
              </w:rPr>
            </w:pPr>
            <w:r w:rsidRPr="133DABA5">
              <w:rPr>
                <w:rFonts w:asciiTheme="minorHAnsi" w:hAnsiTheme="minorHAnsi" w:cstheme="minorBidi"/>
                <w:sz w:val="22"/>
                <w:szCs w:val="22"/>
                <w:lang w:val="lv-LV" w:eastAsia="lv-LV"/>
              </w:rPr>
              <w:t xml:space="preserve">VV ieņēmumi bāzes scenārijā milj. eiro Budžeta likums </w:t>
            </w:r>
            <w:r w:rsidRPr="133DABA5">
              <w:rPr>
                <w:rFonts w:asciiTheme="minorHAnsi" w:hAnsiTheme="minorHAnsi" w:cstheme="minorBidi"/>
                <w:b/>
                <w:bCs/>
                <w:sz w:val="22"/>
                <w:szCs w:val="22"/>
                <w:lang w:val="lv-LV" w:eastAsia="lv-LV"/>
              </w:rPr>
              <w:t xml:space="preserve"> (14.11.2019)</w:t>
            </w:r>
          </w:p>
        </w:tc>
        <w:tc>
          <w:tcPr>
            <w:tcW w:w="509" w:type="pct"/>
            <w:tcBorders>
              <w:top w:val="nil"/>
              <w:left w:val="nil"/>
              <w:bottom w:val="single" w:sz="8" w:space="0" w:color="auto"/>
              <w:right w:val="single" w:sz="8" w:space="0" w:color="auto"/>
            </w:tcBorders>
            <w:shd w:val="clear" w:color="auto" w:fill="auto"/>
            <w:noWrap/>
            <w:vAlign w:val="center"/>
            <w:hideMark/>
          </w:tcPr>
          <w:p w14:paraId="57205E85" w14:textId="77777777" w:rsidR="00512C8A" w:rsidRPr="00DF74F7" w:rsidRDefault="00512C8A" w:rsidP="00EB0955">
            <w:pPr>
              <w:jc w:val="center"/>
              <w:rPr>
                <w:rFonts w:asciiTheme="minorHAnsi" w:hAnsiTheme="minorHAnsi" w:cstheme="minorBidi"/>
                <w:sz w:val="22"/>
                <w:szCs w:val="22"/>
                <w:lang w:val="lv-LV" w:eastAsia="lv-LV"/>
              </w:rPr>
            </w:pPr>
            <w:r w:rsidRPr="133DABA5">
              <w:rPr>
                <w:rFonts w:asciiTheme="minorHAnsi" w:hAnsiTheme="minorHAnsi" w:cstheme="minorBidi"/>
                <w:sz w:val="22"/>
                <w:szCs w:val="22"/>
                <w:lang w:val="lv-LV" w:eastAsia="lv-LV"/>
              </w:rPr>
              <w:t>11963</w:t>
            </w:r>
          </w:p>
        </w:tc>
      </w:tr>
      <w:tr w:rsidR="00512C8A" w:rsidRPr="00DF74F7" w14:paraId="6A881669" w14:textId="77777777" w:rsidTr="00EB0955">
        <w:trPr>
          <w:trHeight w:val="315"/>
        </w:trPr>
        <w:tc>
          <w:tcPr>
            <w:tcW w:w="935" w:type="pct"/>
            <w:tcBorders>
              <w:top w:val="nil"/>
              <w:left w:val="single" w:sz="8" w:space="0" w:color="auto"/>
              <w:bottom w:val="single" w:sz="8" w:space="0" w:color="auto"/>
              <w:right w:val="single" w:sz="8" w:space="0" w:color="auto"/>
            </w:tcBorders>
            <w:shd w:val="clear" w:color="auto" w:fill="auto"/>
            <w:noWrap/>
            <w:vAlign w:val="center"/>
            <w:hideMark/>
          </w:tcPr>
          <w:p w14:paraId="439AE4C8" w14:textId="77777777" w:rsidR="00512C8A" w:rsidRPr="00DF74F7" w:rsidRDefault="00512C8A" w:rsidP="00EB0955">
            <w:pPr>
              <w:jc w:val="center"/>
              <w:rPr>
                <w:rFonts w:asciiTheme="minorHAnsi" w:hAnsiTheme="minorHAnsi" w:cstheme="minorBidi"/>
                <w:b/>
                <w:bCs/>
                <w:sz w:val="22"/>
                <w:szCs w:val="22"/>
                <w:lang w:val="lv-LV" w:eastAsia="lv-LV"/>
              </w:rPr>
            </w:pPr>
            <w:r w:rsidRPr="133DABA5">
              <w:rPr>
                <w:rFonts w:asciiTheme="minorHAnsi" w:hAnsiTheme="minorHAnsi" w:cstheme="minorBidi"/>
                <w:b/>
                <w:bCs/>
                <w:sz w:val="22"/>
                <w:szCs w:val="22"/>
                <w:lang w:val="lv-LV" w:eastAsia="lv-LV"/>
              </w:rPr>
              <w:t>2</w:t>
            </w:r>
          </w:p>
        </w:tc>
        <w:tc>
          <w:tcPr>
            <w:tcW w:w="3555" w:type="pct"/>
            <w:tcBorders>
              <w:top w:val="nil"/>
              <w:left w:val="nil"/>
              <w:bottom w:val="single" w:sz="8" w:space="0" w:color="auto"/>
              <w:right w:val="single" w:sz="8" w:space="0" w:color="auto"/>
            </w:tcBorders>
            <w:shd w:val="clear" w:color="auto" w:fill="auto"/>
            <w:noWrap/>
            <w:vAlign w:val="center"/>
            <w:hideMark/>
          </w:tcPr>
          <w:p w14:paraId="28479F14" w14:textId="77777777" w:rsidR="00512C8A" w:rsidRPr="00DF74F7" w:rsidRDefault="00512C8A" w:rsidP="00EB0955">
            <w:pPr>
              <w:rPr>
                <w:rFonts w:asciiTheme="minorHAnsi" w:hAnsiTheme="minorHAnsi" w:cstheme="minorBidi"/>
                <w:sz w:val="22"/>
                <w:szCs w:val="22"/>
                <w:lang w:val="lv-LV" w:eastAsia="lv-LV"/>
              </w:rPr>
            </w:pPr>
            <w:r w:rsidRPr="133DABA5">
              <w:rPr>
                <w:rFonts w:asciiTheme="minorHAnsi" w:hAnsiTheme="minorHAnsi" w:cstheme="minorBidi"/>
                <w:sz w:val="22"/>
                <w:szCs w:val="22"/>
                <w:lang w:val="lv-LV" w:eastAsia="lv-LV"/>
              </w:rPr>
              <w:t xml:space="preserve">VV ieņēmumi bāzes scenārijā milj. eiro </w:t>
            </w:r>
            <w:r w:rsidRPr="133DABA5">
              <w:rPr>
                <w:rFonts w:asciiTheme="minorHAnsi" w:hAnsiTheme="minorHAnsi" w:cstheme="minorBidi"/>
                <w:b/>
                <w:bCs/>
                <w:sz w:val="22"/>
                <w:szCs w:val="22"/>
                <w:lang w:val="lv-LV" w:eastAsia="lv-LV"/>
              </w:rPr>
              <w:t>DBP (15.10.2020)</w:t>
            </w:r>
          </w:p>
        </w:tc>
        <w:tc>
          <w:tcPr>
            <w:tcW w:w="509" w:type="pct"/>
            <w:tcBorders>
              <w:top w:val="nil"/>
              <w:left w:val="nil"/>
              <w:bottom w:val="single" w:sz="8" w:space="0" w:color="auto"/>
              <w:right w:val="single" w:sz="8" w:space="0" w:color="auto"/>
            </w:tcBorders>
            <w:shd w:val="clear" w:color="auto" w:fill="auto"/>
            <w:noWrap/>
            <w:vAlign w:val="center"/>
            <w:hideMark/>
          </w:tcPr>
          <w:p w14:paraId="5EAE949C" w14:textId="77777777" w:rsidR="00512C8A" w:rsidRPr="00DF74F7" w:rsidRDefault="00512C8A" w:rsidP="00EB0955">
            <w:pPr>
              <w:jc w:val="center"/>
              <w:rPr>
                <w:rFonts w:asciiTheme="minorHAnsi" w:hAnsiTheme="minorHAnsi" w:cstheme="minorBidi"/>
                <w:sz w:val="22"/>
                <w:szCs w:val="22"/>
                <w:lang w:val="lv-LV" w:eastAsia="lv-LV"/>
              </w:rPr>
            </w:pPr>
            <w:r w:rsidRPr="133DABA5">
              <w:rPr>
                <w:rFonts w:asciiTheme="minorHAnsi" w:hAnsiTheme="minorHAnsi" w:cstheme="minorBidi"/>
                <w:sz w:val="22"/>
                <w:szCs w:val="22"/>
                <w:lang w:val="lv-LV" w:eastAsia="lv-LV"/>
              </w:rPr>
              <w:t>11505</w:t>
            </w:r>
          </w:p>
        </w:tc>
      </w:tr>
      <w:tr w:rsidR="00512C8A" w:rsidRPr="00DF74F7" w14:paraId="6D0E425B" w14:textId="77777777" w:rsidTr="00EB0955">
        <w:trPr>
          <w:trHeight w:val="315"/>
        </w:trPr>
        <w:tc>
          <w:tcPr>
            <w:tcW w:w="935" w:type="pct"/>
            <w:tcBorders>
              <w:top w:val="nil"/>
              <w:left w:val="single" w:sz="8" w:space="0" w:color="auto"/>
              <w:bottom w:val="single" w:sz="8" w:space="0" w:color="auto"/>
              <w:right w:val="single" w:sz="8" w:space="0" w:color="auto"/>
            </w:tcBorders>
            <w:shd w:val="clear" w:color="auto" w:fill="auto"/>
            <w:noWrap/>
            <w:vAlign w:val="center"/>
            <w:hideMark/>
          </w:tcPr>
          <w:p w14:paraId="01D0B003" w14:textId="77777777" w:rsidR="00512C8A" w:rsidRPr="00DF74F7" w:rsidRDefault="00512C8A" w:rsidP="00EB0955">
            <w:pPr>
              <w:jc w:val="center"/>
              <w:rPr>
                <w:rFonts w:asciiTheme="minorHAnsi" w:hAnsiTheme="minorHAnsi" w:cstheme="minorBidi"/>
                <w:b/>
                <w:bCs/>
                <w:sz w:val="22"/>
                <w:szCs w:val="22"/>
                <w:lang w:val="lv-LV" w:eastAsia="lv-LV"/>
              </w:rPr>
            </w:pPr>
            <w:r w:rsidRPr="133DABA5">
              <w:rPr>
                <w:rFonts w:asciiTheme="minorHAnsi" w:hAnsiTheme="minorHAnsi" w:cstheme="minorBidi"/>
                <w:b/>
                <w:bCs/>
                <w:sz w:val="22"/>
                <w:szCs w:val="22"/>
                <w:lang w:val="lv-LV" w:eastAsia="lv-LV"/>
              </w:rPr>
              <w:t>(3)=(2)-(1)</w:t>
            </w:r>
          </w:p>
        </w:tc>
        <w:tc>
          <w:tcPr>
            <w:tcW w:w="3555" w:type="pct"/>
            <w:tcBorders>
              <w:top w:val="nil"/>
              <w:left w:val="nil"/>
              <w:bottom w:val="single" w:sz="8" w:space="0" w:color="auto"/>
              <w:right w:val="single" w:sz="8" w:space="0" w:color="auto"/>
            </w:tcBorders>
            <w:shd w:val="clear" w:color="auto" w:fill="auto"/>
            <w:noWrap/>
            <w:vAlign w:val="center"/>
            <w:hideMark/>
          </w:tcPr>
          <w:p w14:paraId="3DFD0BDA" w14:textId="77777777" w:rsidR="00512C8A" w:rsidRPr="00DF74F7" w:rsidRDefault="00512C8A" w:rsidP="00EB0955">
            <w:pPr>
              <w:rPr>
                <w:rFonts w:asciiTheme="minorHAnsi" w:hAnsiTheme="minorHAnsi" w:cstheme="minorBidi"/>
                <w:sz w:val="22"/>
                <w:szCs w:val="22"/>
                <w:lang w:val="lv-LV" w:eastAsia="lv-LV"/>
              </w:rPr>
            </w:pPr>
            <w:r w:rsidRPr="133DABA5">
              <w:rPr>
                <w:rFonts w:asciiTheme="minorHAnsi" w:hAnsiTheme="minorHAnsi" w:cstheme="minorBidi"/>
                <w:sz w:val="22"/>
                <w:szCs w:val="22"/>
                <w:lang w:val="lv-LV" w:eastAsia="lv-LV"/>
              </w:rPr>
              <w:t>ieņēmumu izmaiņas milj. euro</w:t>
            </w:r>
          </w:p>
        </w:tc>
        <w:tc>
          <w:tcPr>
            <w:tcW w:w="509" w:type="pct"/>
            <w:tcBorders>
              <w:top w:val="nil"/>
              <w:left w:val="nil"/>
              <w:bottom w:val="single" w:sz="8" w:space="0" w:color="auto"/>
              <w:right w:val="single" w:sz="8" w:space="0" w:color="auto"/>
            </w:tcBorders>
            <w:shd w:val="clear" w:color="auto" w:fill="auto"/>
            <w:noWrap/>
            <w:vAlign w:val="center"/>
            <w:hideMark/>
          </w:tcPr>
          <w:p w14:paraId="2FBC7CD8" w14:textId="77777777" w:rsidR="00512C8A" w:rsidRPr="00DF74F7" w:rsidRDefault="00512C8A" w:rsidP="00EB0955">
            <w:pPr>
              <w:jc w:val="center"/>
              <w:rPr>
                <w:rFonts w:asciiTheme="minorHAnsi" w:hAnsiTheme="minorHAnsi" w:cstheme="minorBidi"/>
                <w:sz w:val="22"/>
                <w:szCs w:val="22"/>
                <w:lang w:val="lv-LV" w:eastAsia="lv-LV"/>
              </w:rPr>
            </w:pPr>
            <w:r w:rsidRPr="133DABA5">
              <w:rPr>
                <w:rFonts w:asciiTheme="minorHAnsi" w:hAnsiTheme="minorHAnsi" w:cstheme="minorBidi"/>
                <w:sz w:val="22"/>
                <w:szCs w:val="22"/>
                <w:lang w:val="lv-LV" w:eastAsia="lv-LV"/>
              </w:rPr>
              <w:t>-458</w:t>
            </w:r>
          </w:p>
        </w:tc>
      </w:tr>
      <w:tr w:rsidR="00512C8A" w:rsidRPr="00DF74F7" w14:paraId="537FFC99" w14:textId="77777777" w:rsidTr="00EB0955">
        <w:trPr>
          <w:trHeight w:val="315"/>
        </w:trPr>
        <w:tc>
          <w:tcPr>
            <w:tcW w:w="935" w:type="pct"/>
            <w:tcBorders>
              <w:top w:val="nil"/>
              <w:left w:val="single" w:sz="8" w:space="0" w:color="auto"/>
              <w:bottom w:val="single" w:sz="8" w:space="0" w:color="auto"/>
              <w:right w:val="single" w:sz="8" w:space="0" w:color="auto"/>
            </w:tcBorders>
            <w:shd w:val="clear" w:color="auto" w:fill="auto"/>
            <w:noWrap/>
            <w:vAlign w:val="center"/>
            <w:hideMark/>
          </w:tcPr>
          <w:p w14:paraId="57149FBC" w14:textId="77777777" w:rsidR="00512C8A" w:rsidRPr="00DF74F7" w:rsidRDefault="00512C8A" w:rsidP="00EB0955">
            <w:pPr>
              <w:jc w:val="center"/>
              <w:rPr>
                <w:rFonts w:asciiTheme="minorHAnsi" w:hAnsiTheme="minorHAnsi" w:cstheme="minorBidi"/>
                <w:b/>
                <w:bCs/>
                <w:sz w:val="22"/>
                <w:szCs w:val="22"/>
                <w:lang w:val="lv-LV" w:eastAsia="lv-LV"/>
              </w:rPr>
            </w:pPr>
            <w:r w:rsidRPr="133DABA5">
              <w:rPr>
                <w:rFonts w:asciiTheme="minorHAnsi" w:hAnsiTheme="minorHAnsi" w:cstheme="minorBidi"/>
                <w:b/>
                <w:bCs/>
                <w:sz w:val="22"/>
                <w:szCs w:val="22"/>
                <w:lang w:val="lv-LV" w:eastAsia="lv-LV"/>
              </w:rPr>
              <w:t>4</w:t>
            </w:r>
          </w:p>
        </w:tc>
        <w:tc>
          <w:tcPr>
            <w:tcW w:w="3555" w:type="pct"/>
            <w:tcBorders>
              <w:top w:val="nil"/>
              <w:left w:val="nil"/>
              <w:bottom w:val="single" w:sz="8" w:space="0" w:color="auto"/>
              <w:right w:val="single" w:sz="8" w:space="0" w:color="auto"/>
            </w:tcBorders>
            <w:shd w:val="clear" w:color="auto" w:fill="auto"/>
            <w:noWrap/>
            <w:vAlign w:val="center"/>
            <w:hideMark/>
          </w:tcPr>
          <w:p w14:paraId="4D40C0BE" w14:textId="77777777" w:rsidR="00512C8A" w:rsidRPr="00DF74F7" w:rsidRDefault="00512C8A" w:rsidP="00EB0955">
            <w:pPr>
              <w:rPr>
                <w:rFonts w:asciiTheme="minorHAnsi" w:hAnsiTheme="minorHAnsi" w:cstheme="minorBidi"/>
                <w:sz w:val="22"/>
                <w:szCs w:val="22"/>
                <w:lang w:val="lv-LV" w:eastAsia="lv-LV"/>
              </w:rPr>
            </w:pPr>
            <w:r w:rsidRPr="133DABA5">
              <w:rPr>
                <w:rFonts w:asciiTheme="minorHAnsi" w:hAnsiTheme="minorHAnsi" w:cstheme="minorBidi"/>
                <w:sz w:val="22"/>
                <w:szCs w:val="22"/>
                <w:lang w:val="lv-LV" w:eastAsia="lv-LV"/>
              </w:rPr>
              <w:t xml:space="preserve">IKP faktiskajās cenās </w:t>
            </w:r>
            <w:r w:rsidRPr="133DABA5">
              <w:rPr>
                <w:rFonts w:asciiTheme="minorHAnsi" w:hAnsiTheme="minorHAnsi" w:cstheme="minorBidi"/>
                <w:b/>
                <w:bCs/>
                <w:sz w:val="22"/>
                <w:szCs w:val="22"/>
                <w:lang w:val="lv-LV" w:eastAsia="lv-LV"/>
              </w:rPr>
              <w:t>15.jūn. apstiprinātā prognoze</w:t>
            </w:r>
          </w:p>
        </w:tc>
        <w:tc>
          <w:tcPr>
            <w:tcW w:w="509" w:type="pct"/>
            <w:tcBorders>
              <w:top w:val="nil"/>
              <w:left w:val="nil"/>
              <w:bottom w:val="single" w:sz="8" w:space="0" w:color="auto"/>
              <w:right w:val="single" w:sz="8" w:space="0" w:color="auto"/>
            </w:tcBorders>
            <w:shd w:val="clear" w:color="auto" w:fill="auto"/>
            <w:noWrap/>
            <w:vAlign w:val="center"/>
            <w:hideMark/>
          </w:tcPr>
          <w:p w14:paraId="482F23DF" w14:textId="77777777" w:rsidR="00512C8A" w:rsidRPr="00DF74F7" w:rsidRDefault="00512C8A" w:rsidP="00EB0955">
            <w:pPr>
              <w:jc w:val="center"/>
              <w:rPr>
                <w:rFonts w:asciiTheme="minorHAnsi" w:hAnsiTheme="minorHAnsi" w:cstheme="minorBidi"/>
                <w:sz w:val="22"/>
                <w:szCs w:val="22"/>
                <w:lang w:val="lv-LV" w:eastAsia="lv-LV"/>
              </w:rPr>
            </w:pPr>
            <w:r w:rsidRPr="133DABA5">
              <w:rPr>
                <w:rFonts w:asciiTheme="minorHAnsi" w:hAnsiTheme="minorHAnsi" w:cstheme="minorBidi"/>
                <w:sz w:val="22"/>
                <w:szCs w:val="22"/>
                <w:lang w:val="lv-LV" w:eastAsia="lv-LV"/>
              </w:rPr>
              <w:t>30035</w:t>
            </w:r>
          </w:p>
        </w:tc>
      </w:tr>
      <w:tr w:rsidR="00512C8A" w:rsidRPr="00DF74F7" w14:paraId="64B0EB3C" w14:textId="77777777" w:rsidTr="00EB0955">
        <w:trPr>
          <w:trHeight w:val="315"/>
        </w:trPr>
        <w:tc>
          <w:tcPr>
            <w:tcW w:w="935" w:type="pct"/>
            <w:tcBorders>
              <w:top w:val="nil"/>
              <w:left w:val="single" w:sz="8" w:space="0" w:color="auto"/>
              <w:bottom w:val="single" w:sz="8" w:space="0" w:color="auto"/>
              <w:right w:val="single" w:sz="8" w:space="0" w:color="auto"/>
            </w:tcBorders>
            <w:shd w:val="clear" w:color="auto" w:fill="auto"/>
            <w:noWrap/>
            <w:vAlign w:val="center"/>
            <w:hideMark/>
          </w:tcPr>
          <w:p w14:paraId="700A6A92" w14:textId="77777777" w:rsidR="00512C8A" w:rsidRPr="00DF74F7" w:rsidRDefault="00512C8A" w:rsidP="00EB0955">
            <w:pPr>
              <w:jc w:val="center"/>
              <w:rPr>
                <w:rFonts w:asciiTheme="minorHAnsi" w:hAnsiTheme="minorHAnsi" w:cstheme="minorBidi"/>
                <w:b/>
                <w:bCs/>
                <w:sz w:val="22"/>
                <w:szCs w:val="22"/>
                <w:lang w:val="lv-LV" w:eastAsia="lv-LV"/>
              </w:rPr>
            </w:pPr>
            <w:r w:rsidRPr="133DABA5">
              <w:rPr>
                <w:rFonts w:asciiTheme="minorHAnsi" w:hAnsiTheme="minorHAnsi" w:cstheme="minorBidi"/>
                <w:b/>
                <w:bCs/>
                <w:sz w:val="22"/>
                <w:szCs w:val="22"/>
                <w:lang w:val="lv-LV" w:eastAsia="lv-LV"/>
              </w:rPr>
              <w:t>(5)=(3)/(4)*100</w:t>
            </w:r>
          </w:p>
        </w:tc>
        <w:tc>
          <w:tcPr>
            <w:tcW w:w="3555" w:type="pct"/>
            <w:tcBorders>
              <w:top w:val="nil"/>
              <w:left w:val="nil"/>
              <w:bottom w:val="single" w:sz="8" w:space="0" w:color="auto"/>
              <w:right w:val="single" w:sz="8" w:space="0" w:color="auto"/>
            </w:tcBorders>
            <w:shd w:val="clear" w:color="auto" w:fill="auto"/>
            <w:noWrap/>
            <w:vAlign w:val="center"/>
            <w:hideMark/>
          </w:tcPr>
          <w:p w14:paraId="5AA75FF1" w14:textId="77777777" w:rsidR="00512C8A" w:rsidRPr="00DF74F7" w:rsidRDefault="00512C8A" w:rsidP="00EB0955">
            <w:pPr>
              <w:rPr>
                <w:rFonts w:asciiTheme="minorHAnsi" w:hAnsiTheme="minorHAnsi" w:cstheme="minorBidi"/>
                <w:sz w:val="22"/>
                <w:szCs w:val="22"/>
                <w:lang w:val="lv-LV" w:eastAsia="lv-LV"/>
              </w:rPr>
            </w:pPr>
            <w:r w:rsidRPr="133DABA5">
              <w:rPr>
                <w:rFonts w:asciiTheme="minorHAnsi" w:hAnsiTheme="minorHAnsi" w:cstheme="minorBidi"/>
                <w:sz w:val="22"/>
                <w:szCs w:val="22"/>
                <w:lang w:val="lv-LV" w:eastAsia="lv-LV"/>
              </w:rPr>
              <w:t>VV ieņēmumu izmaiņas  % IKP</w:t>
            </w:r>
          </w:p>
        </w:tc>
        <w:tc>
          <w:tcPr>
            <w:tcW w:w="509" w:type="pct"/>
            <w:tcBorders>
              <w:top w:val="nil"/>
              <w:left w:val="nil"/>
              <w:bottom w:val="single" w:sz="8" w:space="0" w:color="auto"/>
              <w:right w:val="single" w:sz="8" w:space="0" w:color="auto"/>
            </w:tcBorders>
            <w:shd w:val="clear" w:color="auto" w:fill="auto"/>
            <w:noWrap/>
            <w:vAlign w:val="center"/>
            <w:hideMark/>
          </w:tcPr>
          <w:p w14:paraId="621898F5" w14:textId="77777777" w:rsidR="00512C8A" w:rsidRPr="00DF74F7" w:rsidRDefault="00512C8A" w:rsidP="00EB0955">
            <w:pPr>
              <w:jc w:val="center"/>
              <w:rPr>
                <w:rFonts w:asciiTheme="minorHAnsi" w:hAnsiTheme="minorHAnsi" w:cstheme="minorBidi"/>
                <w:sz w:val="22"/>
                <w:szCs w:val="22"/>
                <w:lang w:val="lv-LV" w:eastAsia="lv-LV"/>
              </w:rPr>
            </w:pPr>
            <w:r w:rsidRPr="133DABA5">
              <w:rPr>
                <w:rFonts w:asciiTheme="minorHAnsi" w:hAnsiTheme="minorHAnsi" w:cstheme="minorBidi"/>
                <w:sz w:val="22"/>
                <w:szCs w:val="22"/>
                <w:lang w:val="lv-LV" w:eastAsia="lv-LV"/>
              </w:rPr>
              <w:t>-1.5</w:t>
            </w:r>
          </w:p>
        </w:tc>
      </w:tr>
      <w:tr w:rsidR="00512C8A" w:rsidRPr="00DF74F7" w14:paraId="1ED9556A" w14:textId="77777777" w:rsidTr="00EB0955">
        <w:trPr>
          <w:trHeight w:val="315"/>
        </w:trPr>
        <w:tc>
          <w:tcPr>
            <w:tcW w:w="935" w:type="pct"/>
            <w:tcBorders>
              <w:top w:val="nil"/>
              <w:left w:val="single" w:sz="8" w:space="0" w:color="auto"/>
              <w:bottom w:val="single" w:sz="8" w:space="0" w:color="auto"/>
              <w:right w:val="single" w:sz="8" w:space="0" w:color="auto"/>
            </w:tcBorders>
            <w:shd w:val="clear" w:color="auto" w:fill="auto"/>
            <w:noWrap/>
            <w:vAlign w:val="center"/>
            <w:hideMark/>
          </w:tcPr>
          <w:p w14:paraId="723D3CC7" w14:textId="77777777" w:rsidR="00512C8A" w:rsidRPr="00AC03FE" w:rsidRDefault="00512C8A" w:rsidP="00EB0955">
            <w:pPr>
              <w:jc w:val="center"/>
              <w:rPr>
                <w:rFonts w:asciiTheme="minorHAnsi" w:hAnsiTheme="minorHAnsi" w:cstheme="minorBidi"/>
                <w:b/>
                <w:bCs/>
                <w:sz w:val="22"/>
                <w:szCs w:val="22"/>
                <w:lang w:val="lv-LV" w:eastAsia="lv-LV"/>
              </w:rPr>
            </w:pPr>
            <w:r w:rsidRPr="00AC03FE">
              <w:rPr>
                <w:rFonts w:asciiTheme="minorHAnsi" w:hAnsiTheme="minorHAnsi" w:cstheme="minorBidi"/>
                <w:b/>
                <w:bCs/>
                <w:sz w:val="22"/>
                <w:szCs w:val="22"/>
                <w:lang w:val="lv-LV" w:eastAsia="lv-LV"/>
              </w:rPr>
              <w:t>6</w:t>
            </w:r>
          </w:p>
        </w:tc>
        <w:tc>
          <w:tcPr>
            <w:tcW w:w="3555" w:type="pct"/>
            <w:tcBorders>
              <w:top w:val="nil"/>
              <w:left w:val="nil"/>
              <w:bottom w:val="single" w:sz="8" w:space="0" w:color="auto"/>
              <w:right w:val="single" w:sz="8" w:space="0" w:color="auto"/>
            </w:tcBorders>
            <w:shd w:val="clear" w:color="auto" w:fill="auto"/>
            <w:noWrap/>
            <w:vAlign w:val="center"/>
            <w:hideMark/>
          </w:tcPr>
          <w:p w14:paraId="32519248" w14:textId="77777777" w:rsidR="00512C8A" w:rsidRPr="00AC03FE" w:rsidRDefault="00512C8A" w:rsidP="00EB0955">
            <w:pPr>
              <w:rPr>
                <w:rFonts w:asciiTheme="minorHAnsi" w:hAnsiTheme="minorHAnsi" w:cstheme="minorBidi"/>
                <w:sz w:val="22"/>
                <w:szCs w:val="22"/>
                <w:lang w:val="lv-LV" w:eastAsia="lv-LV"/>
              </w:rPr>
            </w:pPr>
            <w:r w:rsidRPr="00AC03FE">
              <w:rPr>
                <w:rFonts w:asciiTheme="minorHAnsi" w:hAnsiTheme="minorHAnsi" w:cstheme="minorBidi"/>
                <w:sz w:val="22"/>
                <w:szCs w:val="22"/>
                <w:lang w:val="lv-LV" w:eastAsia="lv-LV"/>
              </w:rPr>
              <w:t xml:space="preserve">izlaižu starpība % IKP </w:t>
            </w:r>
            <w:r w:rsidRPr="00AC03FE">
              <w:rPr>
                <w:rFonts w:asciiTheme="minorHAnsi" w:hAnsiTheme="minorHAnsi" w:cstheme="minorBidi"/>
                <w:b/>
                <w:bCs/>
                <w:sz w:val="22"/>
                <w:szCs w:val="22"/>
                <w:lang w:val="lv-LV" w:eastAsia="lv-LV"/>
              </w:rPr>
              <w:t>Budžeta likums  (14.11.2019)</w:t>
            </w:r>
          </w:p>
        </w:tc>
        <w:tc>
          <w:tcPr>
            <w:tcW w:w="509" w:type="pct"/>
            <w:tcBorders>
              <w:top w:val="nil"/>
              <w:left w:val="nil"/>
              <w:bottom w:val="single" w:sz="8" w:space="0" w:color="auto"/>
              <w:right w:val="single" w:sz="8" w:space="0" w:color="auto"/>
            </w:tcBorders>
            <w:shd w:val="clear" w:color="auto" w:fill="auto"/>
            <w:noWrap/>
            <w:vAlign w:val="center"/>
            <w:hideMark/>
          </w:tcPr>
          <w:p w14:paraId="7E65B4E3" w14:textId="77777777" w:rsidR="00512C8A" w:rsidRPr="00AC03FE" w:rsidRDefault="00512C8A" w:rsidP="00EB0955">
            <w:pPr>
              <w:jc w:val="center"/>
              <w:rPr>
                <w:rFonts w:asciiTheme="minorHAnsi" w:hAnsiTheme="minorHAnsi" w:cstheme="minorBidi"/>
                <w:sz w:val="22"/>
                <w:szCs w:val="22"/>
                <w:lang w:val="lv-LV" w:eastAsia="lv-LV"/>
              </w:rPr>
            </w:pPr>
            <w:r w:rsidRPr="00AC03FE">
              <w:rPr>
                <w:rFonts w:asciiTheme="minorHAnsi" w:hAnsiTheme="minorHAnsi" w:cstheme="minorBidi"/>
                <w:sz w:val="22"/>
                <w:szCs w:val="22"/>
                <w:lang w:val="lv-LV" w:eastAsia="lv-LV"/>
              </w:rPr>
              <w:t>0.4</w:t>
            </w:r>
          </w:p>
        </w:tc>
      </w:tr>
      <w:tr w:rsidR="00512C8A" w:rsidRPr="00DF74F7" w14:paraId="1AEFF9E1" w14:textId="77777777" w:rsidTr="00EB0955">
        <w:trPr>
          <w:trHeight w:val="315"/>
        </w:trPr>
        <w:tc>
          <w:tcPr>
            <w:tcW w:w="935" w:type="pct"/>
            <w:tcBorders>
              <w:top w:val="nil"/>
              <w:left w:val="single" w:sz="8" w:space="0" w:color="auto"/>
              <w:bottom w:val="single" w:sz="8" w:space="0" w:color="auto"/>
              <w:right w:val="single" w:sz="8" w:space="0" w:color="auto"/>
            </w:tcBorders>
            <w:shd w:val="clear" w:color="auto" w:fill="auto"/>
            <w:noWrap/>
            <w:vAlign w:val="center"/>
            <w:hideMark/>
          </w:tcPr>
          <w:p w14:paraId="12AE7B2F" w14:textId="77777777" w:rsidR="00512C8A" w:rsidRPr="00AC03FE" w:rsidRDefault="00512C8A" w:rsidP="00EB0955">
            <w:pPr>
              <w:jc w:val="center"/>
              <w:rPr>
                <w:rFonts w:asciiTheme="minorHAnsi" w:hAnsiTheme="minorHAnsi" w:cstheme="minorBidi"/>
                <w:b/>
                <w:bCs/>
                <w:sz w:val="22"/>
                <w:szCs w:val="22"/>
                <w:lang w:val="lv-LV" w:eastAsia="lv-LV"/>
              </w:rPr>
            </w:pPr>
            <w:r w:rsidRPr="00AC03FE">
              <w:rPr>
                <w:rFonts w:asciiTheme="minorHAnsi" w:hAnsiTheme="minorHAnsi" w:cstheme="minorBidi"/>
                <w:b/>
                <w:bCs/>
                <w:sz w:val="22"/>
                <w:szCs w:val="22"/>
                <w:lang w:val="lv-LV" w:eastAsia="lv-LV"/>
              </w:rPr>
              <w:t>7</w:t>
            </w:r>
          </w:p>
        </w:tc>
        <w:tc>
          <w:tcPr>
            <w:tcW w:w="3555" w:type="pct"/>
            <w:tcBorders>
              <w:top w:val="nil"/>
              <w:left w:val="nil"/>
              <w:bottom w:val="single" w:sz="8" w:space="0" w:color="auto"/>
              <w:right w:val="single" w:sz="8" w:space="0" w:color="auto"/>
            </w:tcBorders>
            <w:shd w:val="clear" w:color="auto" w:fill="auto"/>
            <w:noWrap/>
            <w:vAlign w:val="center"/>
            <w:hideMark/>
          </w:tcPr>
          <w:p w14:paraId="4AB86BFA" w14:textId="77777777" w:rsidR="00512C8A" w:rsidRPr="00AC03FE" w:rsidRDefault="00512C8A" w:rsidP="00EB0955">
            <w:pPr>
              <w:rPr>
                <w:rFonts w:asciiTheme="minorHAnsi" w:hAnsiTheme="minorHAnsi" w:cstheme="minorBidi"/>
                <w:sz w:val="22"/>
                <w:szCs w:val="22"/>
                <w:lang w:val="lv-LV" w:eastAsia="lv-LV"/>
              </w:rPr>
            </w:pPr>
            <w:r w:rsidRPr="00AC03FE">
              <w:rPr>
                <w:rFonts w:asciiTheme="minorHAnsi" w:hAnsiTheme="minorHAnsi" w:cstheme="minorBidi"/>
                <w:sz w:val="22"/>
                <w:szCs w:val="22"/>
                <w:lang w:val="lv-LV" w:eastAsia="lv-LV"/>
              </w:rPr>
              <w:t xml:space="preserve">izlaižu starpība % IKP </w:t>
            </w:r>
            <w:r w:rsidRPr="00AC03FE">
              <w:rPr>
                <w:rFonts w:asciiTheme="minorHAnsi" w:hAnsiTheme="minorHAnsi" w:cstheme="minorBidi"/>
                <w:b/>
                <w:bCs/>
                <w:sz w:val="22"/>
                <w:szCs w:val="22"/>
                <w:lang w:val="lv-LV" w:eastAsia="lv-LV"/>
              </w:rPr>
              <w:t>DBP (15.10.2020)</w:t>
            </w:r>
          </w:p>
        </w:tc>
        <w:tc>
          <w:tcPr>
            <w:tcW w:w="509" w:type="pct"/>
            <w:tcBorders>
              <w:top w:val="nil"/>
              <w:left w:val="nil"/>
              <w:bottom w:val="single" w:sz="8" w:space="0" w:color="auto"/>
              <w:right w:val="single" w:sz="8" w:space="0" w:color="auto"/>
            </w:tcBorders>
            <w:shd w:val="clear" w:color="auto" w:fill="auto"/>
            <w:noWrap/>
            <w:vAlign w:val="center"/>
            <w:hideMark/>
          </w:tcPr>
          <w:p w14:paraId="20132E9D" w14:textId="77777777" w:rsidR="00512C8A" w:rsidRPr="00AC03FE" w:rsidRDefault="00512C8A" w:rsidP="00EB0955">
            <w:pPr>
              <w:jc w:val="center"/>
              <w:rPr>
                <w:rFonts w:asciiTheme="minorHAnsi" w:hAnsiTheme="minorHAnsi" w:cstheme="minorBidi"/>
                <w:sz w:val="22"/>
                <w:szCs w:val="22"/>
                <w:lang w:val="lv-LV" w:eastAsia="lv-LV"/>
              </w:rPr>
            </w:pPr>
            <w:r w:rsidRPr="00AC03FE">
              <w:rPr>
                <w:rFonts w:asciiTheme="minorHAnsi" w:hAnsiTheme="minorHAnsi" w:cstheme="minorBidi"/>
                <w:sz w:val="22"/>
                <w:szCs w:val="22"/>
                <w:lang w:val="lv-LV" w:eastAsia="lv-LV"/>
              </w:rPr>
              <w:t>-5.4</w:t>
            </w:r>
          </w:p>
        </w:tc>
      </w:tr>
      <w:tr w:rsidR="00512C8A" w:rsidRPr="00DF74F7" w14:paraId="7E659EC5" w14:textId="77777777" w:rsidTr="00EB0955">
        <w:trPr>
          <w:trHeight w:val="315"/>
        </w:trPr>
        <w:tc>
          <w:tcPr>
            <w:tcW w:w="935" w:type="pct"/>
            <w:tcBorders>
              <w:top w:val="nil"/>
              <w:left w:val="single" w:sz="8" w:space="0" w:color="auto"/>
              <w:bottom w:val="single" w:sz="8" w:space="0" w:color="auto"/>
              <w:right w:val="single" w:sz="8" w:space="0" w:color="auto"/>
            </w:tcBorders>
            <w:shd w:val="clear" w:color="auto" w:fill="auto"/>
            <w:noWrap/>
            <w:vAlign w:val="center"/>
            <w:hideMark/>
          </w:tcPr>
          <w:p w14:paraId="0351F31A" w14:textId="77777777" w:rsidR="00512C8A" w:rsidRPr="00DF74F7" w:rsidRDefault="00512C8A" w:rsidP="00EB0955">
            <w:pPr>
              <w:jc w:val="center"/>
              <w:rPr>
                <w:rFonts w:asciiTheme="minorHAnsi" w:hAnsiTheme="minorHAnsi" w:cstheme="minorBidi"/>
                <w:b/>
                <w:bCs/>
                <w:sz w:val="22"/>
                <w:szCs w:val="22"/>
                <w:lang w:val="lv-LV" w:eastAsia="lv-LV"/>
              </w:rPr>
            </w:pPr>
            <w:r w:rsidRPr="133DABA5">
              <w:rPr>
                <w:rFonts w:asciiTheme="minorHAnsi" w:hAnsiTheme="minorHAnsi" w:cstheme="minorBidi"/>
                <w:b/>
                <w:bCs/>
                <w:sz w:val="22"/>
                <w:szCs w:val="22"/>
                <w:lang w:val="lv-LV" w:eastAsia="lv-LV"/>
              </w:rPr>
              <w:t>(8)=(6)*0,378</w:t>
            </w:r>
          </w:p>
        </w:tc>
        <w:tc>
          <w:tcPr>
            <w:tcW w:w="3555" w:type="pct"/>
            <w:tcBorders>
              <w:top w:val="nil"/>
              <w:left w:val="nil"/>
              <w:bottom w:val="single" w:sz="8" w:space="0" w:color="auto"/>
              <w:right w:val="single" w:sz="8" w:space="0" w:color="auto"/>
            </w:tcBorders>
            <w:shd w:val="clear" w:color="auto" w:fill="auto"/>
            <w:noWrap/>
            <w:vAlign w:val="center"/>
            <w:hideMark/>
          </w:tcPr>
          <w:p w14:paraId="79E7CF0F" w14:textId="77777777" w:rsidR="00512C8A" w:rsidRPr="00DF74F7" w:rsidRDefault="00512C8A" w:rsidP="00EB0955">
            <w:pPr>
              <w:rPr>
                <w:rFonts w:asciiTheme="minorHAnsi" w:hAnsiTheme="minorHAnsi" w:cstheme="minorBidi"/>
                <w:sz w:val="22"/>
                <w:szCs w:val="22"/>
                <w:lang w:val="lv-LV" w:eastAsia="lv-LV"/>
              </w:rPr>
            </w:pPr>
            <w:r w:rsidRPr="133DABA5">
              <w:rPr>
                <w:rFonts w:asciiTheme="minorHAnsi" w:hAnsiTheme="minorHAnsi" w:cstheme="minorBidi"/>
                <w:sz w:val="22"/>
                <w:szCs w:val="22"/>
                <w:lang w:val="lv-LV" w:eastAsia="lv-LV"/>
              </w:rPr>
              <w:t xml:space="preserve">cikliskā komponente bāzes scenārijā </w:t>
            </w:r>
            <w:r w:rsidRPr="133DABA5">
              <w:rPr>
                <w:rFonts w:asciiTheme="minorHAnsi" w:hAnsiTheme="minorHAnsi" w:cstheme="minorBidi"/>
                <w:b/>
                <w:bCs/>
                <w:sz w:val="22"/>
                <w:szCs w:val="22"/>
                <w:lang w:val="lv-LV" w:eastAsia="lv-LV"/>
              </w:rPr>
              <w:t xml:space="preserve">Budžeta likums  (14.11.2019) </w:t>
            </w:r>
            <w:r w:rsidRPr="133DABA5">
              <w:rPr>
                <w:rFonts w:asciiTheme="minorHAnsi" w:hAnsiTheme="minorHAnsi" w:cstheme="minorBidi"/>
                <w:sz w:val="22"/>
                <w:szCs w:val="22"/>
                <w:lang w:val="lv-LV" w:eastAsia="lv-LV"/>
              </w:rPr>
              <w:t>% IKP</w:t>
            </w:r>
          </w:p>
        </w:tc>
        <w:tc>
          <w:tcPr>
            <w:tcW w:w="509" w:type="pct"/>
            <w:tcBorders>
              <w:top w:val="nil"/>
              <w:left w:val="nil"/>
              <w:bottom w:val="single" w:sz="8" w:space="0" w:color="auto"/>
              <w:right w:val="single" w:sz="8" w:space="0" w:color="auto"/>
            </w:tcBorders>
            <w:shd w:val="clear" w:color="auto" w:fill="auto"/>
            <w:noWrap/>
            <w:vAlign w:val="center"/>
            <w:hideMark/>
          </w:tcPr>
          <w:p w14:paraId="4CFF6F82" w14:textId="77777777" w:rsidR="00512C8A" w:rsidRPr="00DF74F7" w:rsidRDefault="00512C8A" w:rsidP="00EB0955">
            <w:pPr>
              <w:jc w:val="center"/>
              <w:rPr>
                <w:rFonts w:asciiTheme="minorHAnsi" w:hAnsiTheme="minorHAnsi" w:cstheme="minorBidi"/>
                <w:sz w:val="22"/>
                <w:szCs w:val="22"/>
                <w:lang w:val="lv-LV" w:eastAsia="lv-LV"/>
              </w:rPr>
            </w:pPr>
            <w:r w:rsidRPr="133DABA5">
              <w:rPr>
                <w:rFonts w:asciiTheme="minorHAnsi" w:hAnsiTheme="minorHAnsi" w:cstheme="minorBidi"/>
                <w:sz w:val="22"/>
                <w:szCs w:val="22"/>
                <w:lang w:val="lv-LV" w:eastAsia="lv-LV"/>
              </w:rPr>
              <w:t>0.2</w:t>
            </w:r>
          </w:p>
        </w:tc>
      </w:tr>
      <w:tr w:rsidR="00512C8A" w:rsidRPr="00DF74F7" w14:paraId="0135DDC2" w14:textId="77777777" w:rsidTr="00EB0955">
        <w:trPr>
          <w:trHeight w:val="315"/>
        </w:trPr>
        <w:tc>
          <w:tcPr>
            <w:tcW w:w="935" w:type="pct"/>
            <w:tcBorders>
              <w:top w:val="nil"/>
              <w:left w:val="single" w:sz="8" w:space="0" w:color="auto"/>
              <w:bottom w:val="single" w:sz="8" w:space="0" w:color="auto"/>
              <w:right w:val="single" w:sz="8" w:space="0" w:color="auto"/>
            </w:tcBorders>
            <w:shd w:val="clear" w:color="auto" w:fill="auto"/>
            <w:noWrap/>
            <w:vAlign w:val="center"/>
            <w:hideMark/>
          </w:tcPr>
          <w:p w14:paraId="1B88F5E3" w14:textId="77777777" w:rsidR="00512C8A" w:rsidRPr="00DF74F7" w:rsidRDefault="00512C8A" w:rsidP="00EB0955">
            <w:pPr>
              <w:jc w:val="center"/>
              <w:rPr>
                <w:rFonts w:asciiTheme="minorHAnsi" w:hAnsiTheme="minorHAnsi" w:cstheme="minorBidi"/>
                <w:b/>
                <w:bCs/>
                <w:sz w:val="22"/>
                <w:szCs w:val="22"/>
                <w:lang w:val="lv-LV" w:eastAsia="lv-LV"/>
              </w:rPr>
            </w:pPr>
            <w:r w:rsidRPr="133DABA5">
              <w:rPr>
                <w:rFonts w:asciiTheme="minorHAnsi" w:hAnsiTheme="minorHAnsi" w:cstheme="minorBidi"/>
                <w:b/>
                <w:bCs/>
                <w:sz w:val="22"/>
                <w:szCs w:val="22"/>
                <w:lang w:val="lv-LV" w:eastAsia="lv-LV"/>
              </w:rPr>
              <w:t>(9)=(7)*0,378</w:t>
            </w:r>
          </w:p>
        </w:tc>
        <w:tc>
          <w:tcPr>
            <w:tcW w:w="3555" w:type="pct"/>
            <w:tcBorders>
              <w:top w:val="nil"/>
              <w:left w:val="nil"/>
              <w:bottom w:val="single" w:sz="8" w:space="0" w:color="auto"/>
              <w:right w:val="single" w:sz="8" w:space="0" w:color="auto"/>
            </w:tcBorders>
            <w:shd w:val="clear" w:color="auto" w:fill="auto"/>
            <w:noWrap/>
            <w:vAlign w:val="center"/>
            <w:hideMark/>
          </w:tcPr>
          <w:p w14:paraId="704DC4ED" w14:textId="77777777" w:rsidR="00512C8A" w:rsidRPr="00DF74F7" w:rsidRDefault="00512C8A" w:rsidP="00EB0955">
            <w:pPr>
              <w:rPr>
                <w:rFonts w:asciiTheme="minorHAnsi" w:hAnsiTheme="minorHAnsi" w:cstheme="minorBidi"/>
                <w:sz w:val="22"/>
                <w:szCs w:val="22"/>
                <w:lang w:val="lv-LV" w:eastAsia="lv-LV"/>
              </w:rPr>
            </w:pPr>
            <w:r w:rsidRPr="133DABA5">
              <w:rPr>
                <w:rFonts w:asciiTheme="minorHAnsi" w:hAnsiTheme="minorHAnsi" w:cstheme="minorBidi"/>
                <w:sz w:val="22"/>
                <w:szCs w:val="22"/>
                <w:lang w:val="lv-LV" w:eastAsia="lv-LV"/>
              </w:rPr>
              <w:t xml:space="preserve">cikliskā komponente </w:t>
            </w:r>
            <w:r w:rsidRPr="133DABA5">
              <w:rPr>
                <w:rFonts w:asciiTheme="minorHAnsi" w:hAnsiTheme="minorHAnsi" w:cstheme="minorBidi"/>
                <w:b/>
                <w:bCs/>
                <w:sz w:val="22"/>
                <w:szCs w:val="22"/>
                <w:lang w:val="lv-LV" w:eastAsia="lv-LV"/>
              </w:rPr>
              <w:t>DBP (15.10.2020)</w:t>
            </w:r>
            <w:r w:rsidRPr="133DABA5">
              <w:rPr>
                <w:rFonts w:asciiTheme="minorHAnsi" w:hAnsiTheme="minorHAnsi" w:cstheme="minorBidi"/>
                <w:sz w:val="22"/>
                <w:szCs w:val="22"/>
                <w:lang w:val="lv-LV" w:eastAsia="lv-LV"/>
              </w:rPr>
              <w:t>% IKP</w:t>
            </w:r>
          </w:p>
        </w:tc>
        <w:tc>
          <w:tcPr>
            <w:tcW w:w="509" w:type="pct"/>
            <w:tcBorders>
              <w:top w:val="nil"/>
              <w:left w:val="nil"/>
              <w:bottom w:val="single" w:sz="8" w:space="0" w:color="auto"/>
              <w:right w:val="single" w:sz="8" w:space="0" w:color="auto"/>
            </w:tcBorders>
            <w:shd w:val="clear" w:color="auto" w:fill="auto"/>
            <w:noWrap/>
            <w:vAlign w:val="center"/>
            <w:hideMark/>
          </w:tcPr>
          <w:p w14:paraId="7288B287" w14:textId="77777777" w:rsidR="00512C8A" w:rsidRPr="00DF74F7" w:rsidRDefault="00512C8A" w:rsidP="00EB0955">
            <w:pPr>
              <w:jc w:val="center"/>
              <w:rPr>
                <w:rFonts w:asciiTheme="minorHAnsi" w:hAnsiTheme="minorHAnsi" w:cstheme="minorBidi"/>
                <w:sz w:val="22"/>
                <w:szCs w:val="22"/>
                <w:lang w:val="lv-LV" w:eastAsia="lv-LV"/>
              </w:rPr>
            </w:pPr>
            <w:r w:rsidRPr="133DABA5">
              <w:rPr>
                <w:rFonts w:asciiTheme="minorHAnsi" w:hAnsiTheme="minorHAnsi" w:cstheme="minorBidi"/>
                <w:sz w:val="22"/>
                <w:szCs w:val="22"/>
                <w:lang w:val="lv-LV" w:eastAsia="lv-LV"/>
              </w:rPr>
              <w:t>-2.0</w:t>
            </w:r>
          </w:p>
        </w:tc>
      </w:tr>
      <w:tr w:rsidR="00512C8A" w:rsidRPr="00DF74F7" w14:paraId="6A223B9E" w14:textId="77777777" w:rsidTr="00EB0955">
        <w:trPr>
          <w:trHeight w:val="315"/>
        </w:trPr>
        <w:tc>
          <w:tcPr>
            <w:tcW w:w="935" w:type="pct"/>
            <w:tcBorders>
              <w:top w:val="nil"/>
              <w:left w:val="single" w:sz="8" w:space="0" w:color="auto"/>
              <w:bottom w:val="single" w:sz="8" w:space="0" w:color="auto"/>
              <w:right w:val="single" w:sz="8" w:space="0" w:color="auto"/>
            </w:tcBorders>
            <w:shd w:val="clear" w:color="auto" w:fill="auto"/>
            <w:noWrap/>
            <w:vAlign w:val="center"/>
            <w:hideMark/>
          </w:tcPr>
          <w:p w14:paraId="0A890092" w14:textId="77777777" w:rsidR="00512C8A" w:rsidRPr="00DF74F7" w:rsidRDefault="00512C8A" w:rsidP="00EB0955">
            <w:pPr>
              <w:jc w:val="center"/>
              <w:rPr>
                <w:rFonts w:asciiTheme="minorHAnsi" w:hAnsiTheme="minorHAnsi" w:cstheme="minorBidi"/>
                <w:b/>
                <w:bCs/>
                <w:sz w:val="22"/>
                <w:szCs w:val="22"/>
                <w:lang w:val="lv-LV" w:eastAsia="lv-LV"/>
              </w:rPr>
            </w:pPr>
            <w:r w:rsidRPr="133DABA5">
              <w:rPr>
                <w:rFonts w:asciiTheme="minorHAnsi" w:hAnsiTheme="minorHAnsi" w:cstheme="minorBidi"/>
                <w:b/>
                <w:bCs/>
                <w:sz w:val="22"/>
                <w:szCs w:val="22"/>
                <w:lang w:val="lv-LV" w:eastAsia="lv-LV"/>
              </w:rPr>
              <w:t>10</w:t>
            </w:r>
          </w:p>
        </w:tc>
        <w:tc>
          <w:tcPr>
            <w:tcW w:w="3555" w:type="pct"/>
            <w:tcBorders>
              <w:top w:val="nil"/>
              <w:left w:val="nil"/>
              <w:bottom w:val="single" w:sz="8" w:space="0" w:color="auto"/>
              <w:right w:val="single" w:sz="8" w:space="0" w:color="auto"/>
            </w:tcBorders>
            <w:shd w:val="clear" w:color="auto" w:fill="auto"/>
            <w:noWrap/>
            <w:vAlign w:val="center"/>
            <w:hideMark/>
          </w:tcPr>
          <w:p w14:paraId="44E79125" w14:textId="77777777" w:rsidR="00512C8A" w:rsidRPr="00DF74F7" w:rsidRDefault="00512C8A" w:rsidP="00EB0955">
            <w:pPr>
              <w:rPr>
                <w:rFonts w:asciiTheme="minorHAnsi" w:hAnsiTheme="minorHAnsi" w:cstheme="minorBidi"/>
                <w:sz w:val="22"/>
                <w:szCs w:val="22"/>
                <w:lang w:val="lv-LV" w:eastAsia="lv-LV"/>
              </w:rPr>
            </w:pPr>
            <w:r w:rsidRPr="133DABA5">
              <w:rPr>
                <w:rFonts w:asciiTheme="minorHAnsi" w:hAnsiTheme="minorHAnsi" w:cstheme="minorBidi"/>
                <w:sz w:val="22"/>
                <w:szCs w:val="22"/>
                <w:lang w:val="lv-LV" w:eastAsia="lv-LV"/>
              </w:rPr>
              <w:t>VTM % IKP</w:t>
            </w:r>
          </w:p>
        </w:tc>
        <w:tc>
          <w:tcPr>
            <w:tcW w:w="509" w:type="pct"/>
            <w:tcBorders>
              <w:top w:val="nil"/>
              <w:left w:val="nil"/>
              <w:bottom w:val="single" w:sz="8" w:space="0" w:color="auto"/>
              <w:right w:val="single" w:sz="8" w:space="0" w:color="auto"/>
            </w:tcBorders>
            <w:shd w:val="clear" w:color="auto" w:fill="auto"/>
            <w:noWrap/>
            <w:vAlign w:val="center"/>
            <w:hideMark/>
          </w:tcPr>
          <w:p w14:paraId="02B80EF3" w14:textId="77777777" w:rsidR="00512C8A" w:rsidRPr="00DF74F7" w:rsidRDefault="00512C8A" w:rsidP="00EB0955">
            <w:pPr>
              <w:jc w:val="center"/>
              <w:rPr>
                <w:rFonts w:asciiTheme="minorHAnsi" w:hAnsiTheme="minorHAnsi" w:cstheme="minorBidi"/>
                <w:sz w:val="22"/>
                <w:szCs w:val="22"/>
                <w:lang w:val="lv-LV" w:eastAsia="lv-LV"/>
              </w:rPr>
            </w:pPr>
            <w:r w:rsidRPr="133DABA5">
              <w:rPr>
                <w:rFonts w:asciiTheme="minorHAnsi" w:hAnsiTheme="minorHAnsi" w:cstheme="minorBidi"/>
                <w:sz w:val="22"/>
                <w:szCs w:val="22"/>
                <w:lang w:val="lv-LV" w:eastAsia="lv-LV"/>
              </w:rPr>
              <w:t>-0.5</w:t>
            </w:r>
          </w:p>
        </w:tc>
      </w:tr>
      <w:tr w:rsidR="00512C8A" w:rsidRPr="00DF74F7" w14:paraId="701C8871" w14:textId="77777777" w:rsidTr="00EB0955">
        <w:trPr>
          <w:trHeight w:val="315"/>
        </w:trPr>
        <w:tc>
          <w:tcPr>
            <w:tcW w:w="935" w:type="pct"/>
            <w:tcBorders>
              <w:top w:val="nil"/>
              <w:left w:val="single" w:sz="8" w:space="0" w:color="auto"/>
              <w:bottom w:val="single" w:sz="8" w:space="0" w:color="auto"/>
              <w:right w:val="single" w:sz="8" w:space="0" w:color="auto"/>
            </w:tcBorders>
            <w:shd w:val="clear" w:color="auto" w:fill="auto"/>
            <w:noWrap/>
            <w:vAlign w:val="center"/>
            <w:hideMark/>
          </w:tcPr>
          <w:p w14:paraId="3E561735" w14:textId="77777777" w:rsidR="00512C8A" w:rsidRPr="00DF74F7" w:rsidRDefault="00512C8A" w:rsidP="00EB0955">
            <w:pPr>
              <w:jc w:val="center"/>
              <w:rPr>
                <w:rFonts w:asciiTheme="minorHAnsi" w:hAnsiTheme="minorHAnsi" w:cstheme="minorBidi"/>
                <w:b/>
                <w:bCs/>
                <w:sz w:val="22"/>
                <w:szCs w:val="22"/>
                <w:lang w:val="lv-LV" w:eastAsia="lv-LV"/>
              </w:rPr>
            </w:pPr>
            <w:r w:rsidRPr="133DABA5">
              <w:rPr>
                <w:rFonts w:asciiTheme="minorHAnsi" w:hAnsiTheme="minorHAnsi" w:cstheme="minorBidi"/>
                <w:b/>
                <w:bCs/>
                <w:sz w:val="22"/>
                <w:szCs w:val="22"/>
                <w:lang w:val="lv-LV" w:eastAsia="lv-LV"/>
              </w:rPr>
              <w:t>(11)=(10)+(8)</w:t>
            </w:r>
          </w:p>
        </w:tc>
        <w:tc>
          <w:tcPr>
            <w:tcW w:w="3555" w:type="pct"/>
            <w:tcBorders>
              <w:top w:val="nil"/>
              <w:left w:val="nil"/>
              <w:bottom w:val="single" w:sz="8" w:space="0" w:color="auto"/>
              <w:right w:val="single" w:sz="8" w:space="0" w:color="auto"/>
            </w:tcBorders>
            <w:shd w:val="clear" w:color="auto" w:fill="auto"/>
            <w:vAlign w:val="center"/>
            <w:hideMark/>
          </w:tcPr>
          <w:p w14:paraId="07C531EF" w14:textId="77777777" w:rsidR="00512C8A" w:rsidRPr="00DF74F7" w:rsidRDefault="00512C8A" w:rsidP="00EB0955">
            <w:pPr>
              <w:rPr>
                <w:rFonts w:asciiTheme="minorHAnsi" w:hAnsiTheme="minorHAnsi" w:cstheme="minorBidi"/>
                <w:sz w:val="22"/>
                <w:szCs w:val="22"/>
                <w:lang w:val="lv-LV" w:eastAsia="lv-LV"/>
              </w:rPr>
            </w:pPr>
            <w:r w:rsidRPr="133DABA5">
              <w:rPr>
                <w:rFonts w:asciiTheme="minorHAnsi" w:hAnsiTheme="minorHAnsi" w:cstheme="minorBidi"/>
                <w:sz w:val="22"/>
                <w:szCs w:val="22"/>
                <w:lang w:val="lv-LV" w:eastAsia="lv-LV"/>
              </w:rPr>
              <w:t xml:space="preserve">nominālā bilance </w:t>
            </w:r>
            <w:r w:rsidRPr="133DABA5">
              <w:rPr>
                <w:rFonts w:asciiTheme="minorHAnsi" w:hAnsiTheme="minorHAnsi" w:cstheme="minorBidi"/>
                <w:b/>
                <w:bCs/>
                <w:sz w:val="22"/>
                <w:szCs w:val="22"/>
                <w:lang w:val="lv-LV" w:eastAsia="lv-LV"/>
              </w:rPr>
              <w:t>Budžeta likums  (14.11.2019)</w:t>
            </w:r>
            <w:r w:rsidRPr="133DABA5">
              <w:rPr>
                <w:rFonts w:asciiTheme="minorHAnsi" w:hAnsiTheme="minorHAnsi" w:cstheme="minorBidi"/>
                <w:sz w:val="22"/>
                <w:szCs w:val="22"/>
                <w:lang w:val="lv-LV" w:eastAsia="lv-LV"/>
              </w:rPr>
              <w:t xml:space="preserve"> pie VTM % IKP</w:t>
            </w:r>
          </w:p>
        </w:tc>
        <w:tc>
          <w:tcPr>
            <w:tcW w:w="509" w:type="pct"/>
            <w:tcBorders>
              <w:top w:val="nil"/>
              <w:left w:val="nil"/>
              <w:bottom w:val="single" w:sz="8" w:space="0" w:color="auto"/>
              <w:right w:val="single" w:sz="8" w:space="0" w:color="auto"/>
            </w:tcBorders>
            <w:shd w:val="clear" w:color="auto" w:fill="auto"/>
            <w:noWrap/>
            <w:vAlign w:val="center"/>
            <w:hideMark/>
          </w:tcPr>
          <w:p w14:paraId="331963F5" w14:textId="77777777" w:rsidR="00512C8A" w:rsidRPr="00DF74F7" w:rsidRDefault="00512C8A" w:rsidP="00EB0955">
            <w:pPr>
              <w:jc w:val="center"/>
              <w:rPr>
                <w:rFonts w:asciiTheme="minorHAnsi" w:hAnsiTheme="minorHAnsi" w:cstheme="minorBidi"/>
                <w:sz w:val="22"/>
                <w:szCs w:val="22"/>
                <w:lang w:val="lv-LV" w:eastAsia="lv-LV"/>
              </w:rPr>
            </w:pPr>
            <w:r w:rsidRPr="133DABA5">
              <w:rPr>
                <w:rFonts w:asciiTheme="minorHAnsi" w:hAnsiTheme="minorHAnsi" w:cstheme="minorBidi"/>
                <w:sz w:val="22"/>
                <w:szCs w:val="22"/>
                <w:lang w:val="lv-LV" w:eastAsia="lv-LV"/>
              </w:rPr>
              <w:t>-0.3</w:t>
            </w:r>
          </w:p>
        </w:tc>
      </w:tr>
      <w:tr w:rsidR="00512C8A" w:rsidRPr="00DF74F7" w14:paraId="5ADAACEC" w14:textId="77777777" w:rsidTr="00EB0955">
        <w:trPr>
          <w:trHeight w:val="315"/>
        </w:trPr>
        <w:tc>
          <w:tcPr>
            <w:tcW w:w="935" w:type="pct"/>
            <w:tcBorders>
              <w:top w:val="nil"/>
              <w:left w:val="single" w:sz="8" w:space="0" w:color="auto"/>
              <w:bottom w:val="single" w:sz="8" w:space="0" w:color="auto"/>
              <w:right w:val="single" w:sz="8" w:space="0" w:color="auto"/>
            </w:tcBorders>
            <w:shd w:val="clear" w:color="auto" w:fill="auto"/>
            <w:noWrap/>
            <w:vAlign w:val="center"/>
            <w:hideMark/>
          </w:tcPr>
          <w:p w14:paraId="11AB3A1C" w14:textId="77777777" w:rsidR="00512C8A" w:rsidRPr="00DF74F7" w:rsidRDefault="00512C8A" w:rsidP="00EB0955">
            <w:pPr>
              <w:jc w:val="center"/>
              <w:rPr>
                <w:rFonts w:asciiTheme="minorHAnsi" w:hAnsiTheme="minorHAnsi" w:cstheme="minorBidi"/>
                <w:b/>
                <w:bCs/>
                <w:sz w:val="22"/>
                <w:szCs w:val="22"/>
                <w:lang w:val="lv-LV" w:eastAsia="lv-LV"/>
              </w:rPr>
            </w:pPr>
            <w:r w:rsidRPr="133DABA5">
              <w:rPr>
                <w:rFonts w:asciiTheme="minorHAnsi" w:hAnsiTheme="minorHAnsi" w:cstheme="minorBidi"/>
                <w:b/>
                <w:bCs/>
                <w:sz w:val="22"/>
                <w:szCs w:val="22"/>
                <w:lang w:val="lv-LV" w:eastAsia="lv-LV"/>
              </w:rPr>
              <w:t>(12)=(11)+(5)</w:t>
            </w:r>
          </w:p>
        </w:tc>
        <w:tc>
          <w:tcPr>
            <w:tcW w:w="3555" w:type="pct"/>
            <w:tcBorders>
              <w:top w:val="nil"/>
              <w:left w:val="nil"/>
              <w:bottom w:val="single" w:sz="8" w:space="0" w:color="auto"/>
              <w:right w:val="single" w:sz="8" w:space="0" w:color="auto"/>
            </w:tcBorders>
            <w:shd w:val="clear" w:color="auto" w:fill="auto"/>
            <w:noWrap/>
            <w:vAlign w:val="center"/>
            <w:hideMark/>
          </w:tcPr>
          <w:p w14:paraId="70E0FCBD" w14:textId="77777777" w:rsidR="00512C8A" w:rsidRPr="00DF74F7" w:rsidRDefault="00512C8A" w:rsidP="00EB0955">
            <w:pPr>
              <w:rPr>
                <w:rFonts w:asciiTheme="minorHAnsi" w:hAnsiTheme="minorHAnsi" w:cstheme="minorBidi"/>
                <w:sz w:val="22"/>
                <w:szCs w:val="22"/>
                <w:lang w:val="lv-LV" w:eastAsia="lv-LV"/>
              </w:rPr>
            </w:pPr>
            <w:r w:rsidRPr="133DABA5">
              <w:rPr>
                <w:rFonts w:asciiTheme="minorHAnsi" w:hAnsiTheme="minorHAnsi" w:cstheme="minorBidi"/>
                <w:sz w:val="22"/>
                <w:szCs w:val="22"/>
                <w:lang w:val="lv-LV" w:eastAsia="lv-LV"/>
              </w:rPr>
              <w:t>nominālā bilance, ja notiktu prognozējamais kritums % IKP</w:t>
            </w:r>
          </w:p>
        </w:tc>
        <w:tc>
          <w:tcPr>
            <w:tcW w:w="509" w:type="pct"/>
            <w:tcBorders>
              <w:top w:val="nil"/>
              <w:left w:val="nil"/>
              <w:bottom w:val="single" w:sz="8" w:space="0" w:color="auto"/>
              <w:right w:val="single" w:sz="8" w:space="0" w:color="auto"/>
            </w:tcBorders>
            <w:shd w:val="clear" w:color="auto" w:fill="auto"/>
            <w:noWrap/>
            <w:vAlign w:val="center"/>
            <w:hideMark/>
          </w:tcPr>
          <w:p w14:paraId="024CE430" w14:textId="77777777" w:rsidR="00512C8A" w:rsidRPr="00DF74F7" w:rsidRDefault="00512C8A" w:rsidP="00EB0955">
            <w:pPr>
              <w:jc w:val="center"/>
              <w:rPr>
                <w:rFonts w:asciiTheme="minorHAnsi" w:hAnsiTheme="minorHAnsi" w:cstheme="minorBidi"/>
                <w:sz w:val="22"/>
                <w:szCs w:val="22"/>
                <w:lang w:val="lv-LV" w:eastAsia="lv-LV"/>
              </w:rPr>
            </w:pPr>
            <w:r w:rsidRPr="133DABA5">
              <w:rPr>
                <w:rFonts w:asciiTheme="minorHAnsi" w:hAnsiTheme="minorHAnsi" w:cstheme="minorBidi"/>
                <w:sz w:val="22"/>
                <w:szCs w:val="22"/>
                <w:lang w:val="lv-LV" w:eastAsia="lv-LV"/>
              </w:rPr>
              <w:t>-1.9</w:t>
            </w:r>
          </w:p>
        </w:tc>
      </w:tr>
      <w:tr w:rsidR="00512C8A" w:rsidRPr="00DF74F7" w14:paraId="6975CD21" w14:textId="77777777" w:rsidTr="00EB0955">
        <w:trPr>
          <w:trHeight w:val="315"/>
        </w:trPr>
        <w:tc>
          <w:tcPr>
            <w:tcW w:w="935" w:type="pct"/>
            <w:tcBorders>
              <w:top w:val="nil"/>
              <w:left w:val="single" w:sz="8" w:space="0" w:color="auto"/>
              <w:bottom w:val="single" w:sz="8" w:space="0" w:color="auto"/>
              <w:right w:val="single" w:sz="8" w:space="0" w:color="auto"/>
            </w:tcBorders>
            <w:shd w:val="clear" w:color="auto" w:fill="auto"/>
            <w:noWrap/>
            <w:vAlign w:val="center"/>
            <w:hideMark/>
          </w:tcPr>
          <w:p w14:paraId="1228CF61" w14:textId="77777777" w:rsidR="00512C8A" w:rsidRPr="00DF74F7" w:rsidRDefault="00512C8A" w:rsidP="00EB0955">
            <w:pPr>
              <w:jc w:val="center"/>
              <w:rPr>
                <w:rFonts w:asciiTheme="minorHAnsi" w:hAnsiTheme="minorHAnsi" w:cstheme="minorBidi"/>
                <w:b/>
                <w:bCs/>
                <w:sz w:val="22"/>
                <w:szCs w:val="22"/>
                <w:lang w:val="lv-LV" w:eastAsia="lv-LV"/>
              </w:rPr>
            </w:pPr>
            <w:r w:rsidRPr="133DABA5">
              <w:rPr>
                <w:rFonts w:asciiTheme="minorHAnsi" w:hAnsiTheme="minorHAnsi" w:cstheme="minorBidi"/>
                <w:b/>
                <w:bCs/>
                <w:sz w:val="22"/>
                <w:szCs w:val="22"/>
                <w:lang w:val="lv-LV" w:eastAsia="lv-LV"/>
              </w:rPr>
              <w:t>(13)=(12)</w:t>
            </w:r>
            <w:r>
              <w:rPr>
                <w:rFonts w:asciiTheme="minorHAnsi" w:hAnsiTheme="minorHAnsi" w:cstheme="minorBidi"/>
                <w:b/>
                <w:bCs/>
                <w:sz w:val="22"/>
                <w:szCs w:val="22"/>
                <w:lang w:val="lv-LV" w:eastAsia="lv-LV"/>
              </w:rPr>
              <w:t>+</w:t>
            </w:r>
            <w:r w:rsidRPr="133DABA5">
              <w:rPr>
                <w:rFonts w:asciiTheme="minorHAnsi" w:hAnsiTheme="minorHAnsi" w:cstheme="minorBidi"/>
                <w:b/>
                <w:bCs/>
                <w:sz w:val="22"/>
                <w:szCs w:val="22"/>
                <w:lang w:val="lv-LV" w:eastAsia="lv-LV"/>
              </w:rPr>
              <w:t>(9)</w:t>
            </w:r>
          </w:p>
        </w:tc>
        <w:tc>
          <w:tcPr>
            <w:tcW w:w="3555" w:type="pct"/>
            <w:tcBorders>
              <w:top w:val="nil"/>
              <w:left w:val="nil"/>
              <w:bottom w:val="single" w:sz="8" w:space="0" w:color="auto"/>
              <w:right w:val="single" w:sz="8" w:space="0" w:color="auto"/>
            </w:tcBorders>
            <w:shd w:val="clear" w:color="auto" w:fill="auto"/>
            <w:noWrap/>
            <w:vAlign w:val="center"/>
            <w:hideMark/>
          </w:tcPr>
          <w:p w14:paraId="42A86719" w14:textId="77777777" w:rsidR="00512C8A" w:rsidRPr="00DF74F7" w:rsidRDefault="00512C8A" w:rsidP="00EB0955">
            <w:pPr>
              <w:rPr>
                <w:rFonts w:asciiTheme="minorHAnsi" w:hAnsiTheme="minorHAnsi" w:cstheme="minorBidi"/>
                <w:sz w:val="22"/>
                <w:szCs w:val="22"/>
                <w:lang w:val="lv-LV" w:eastAsia="lv-LV"/>
              </w:rPr>
            </w:pPr>
            <w:r>
              <w:rPr>
                <w:rFonts w:asciiTheme="minorHAnsi" w:hAnsiTheme="minorHAnsi" w:cstheme="minorBidi"/>
                <w:sz w:val="22"/>
                <w:szCs w:val="22"/>
                <w:lang w:val="lv-LV" w:eastAsia="lv-LV"/>
              </w:rPr>
              <w:t xml:space="preserve">Minimāli pieļaujamā nominālā </w:t>
            </w:r>
            <w:r w:rsidRPr="133DABA5">
              <w:rPr>
                <w:rFonts w:asciiTheme="minorHAnsi" w:hAnsiTheme="minorHAnsi" w:cstheme="minorBidi"/>
                <w:sz w:val="22"/>
                <w:szCs w:val="22"/>
                <w:lang w:val="lv-LV" w:eastAsia="lv-LV"/>
              </w:rPr>
              <w:t>bilance pie prognozējamā ieņēmumu krituma % IKP</w:t>
            </w:r>
          </w:p>
        </w:tc>
        <w:tc>
          <w:tcPr>
            <w:tcW w:w="509" w:type="pct"/>
            <w:tcBorders>
              <w:top w:val="nil"/>
              <w:left w:val="nil"/>
              <w:bottom w:val="single" w:sz="8" w:space="0" w:color="auto"/>
              <w:right w:val="single" w:sz="8" w:space="0" w:color="auto"/>
            </w:tcBorders>
            <w:shd w:val="clear" w:color="auto" w:fill="auto"/>
            <w:noWrap/>
            <w:vAlign w:val="center"/>
            <w:hideMark/>
          </w:tcPr>
          <w:p w14:paraId="51880006" w14:textId="77777777" w:rsidR="00512C8A" w:rsidRPr="00DF74F7" w:rsidRDefault="00512C8A" w:rsidP="00EB0955">
            <w:pPr>
              <w:jc w:val="center"/>
              <w:rPr>
                <w:rFonts w:asciiTheme="minorHAnsi" w:hAnsiTheme="minorHAnsi" w:cstheme="minorBidi"/>
                <w:sz w:val="22"/>
                <w:szCs w:val="22"/>
                <w:lang w:val="lv-LV" w:eastAsia="lv-LV"/>
              </w:rPr>
            </w:pPr>
            <w:r>
              <w:rPr>
                <w:rFonts w:asciiTheme="minorHAnsi" w:hAnsiTheme="minorHAnsi" w:cstheme="minorBidi"/>
                <w:sz w:val="22"/>
                <w:szCs w:val="22"/>
                <w:lang w:val="lv-LV" w:eastAsia="lv-LV"/>
              </w:rPr>
              <w:t>-3.9</w:t>
            </w:r>
          </w:p>
        </w:tc>
      </w:tr>
    </w:tbl>
    <w:p w14:paraId="58D17A59" w14:textId="77777777" w:rsidR="009A1EF2" w:rsidRPr="00DF74F7" w:rsidRDefault="009A1EF2" w:rsidP="72B40892">
      <w:pPr>
        <w:spacing w:line="235" w:lineRule="auto"/>
        <w:ind w:right="20"/>
        <w:jc w:val="both"/>
        <w:rPr>
          <w:rFonts w:asciiTheme="minorHAnsi" w:hAnsiTheme="minorHAnsi" w:cstheme="minorBidi"/>
          <w:b/>
          <w:bCs/>
          <w:sz w:val="22"/>
          <w:szCs w:val="22"/>
          <w:u w:val="single"/>
          <w:lang w:val="lv-LV"/>
        </w:rPr>
      </w:pPr>
    </w:p>
    <w:p w14:paraId="01EFA28C" w14:textId="3FAC2B64" w:rsidR="00DB5CF6" w:rsidRPr="00DF74F7" w:rsidRDefault="009A1EF2" w:rsidP="72B40892">
      <w:pPr>
        <w:spacing w:line="235" w:lineRule="auto"/>
        <w:ind w:right="20"/>
        <w:jc w:val="both"/>
        <w:rPr>
          <w:rFonts w:asciiTheme="minorHAnsi" w:hAnsiTheme="minorHAnsi" w:cstheme="minorBidi"/>
          <w:i/>
          <w:iCs/>
          <w:sz w:val="22"/>
          <w:szCs w:val="22"/>
          <w:lang w:val="lv-LV"/>
        </w:rPr>
      </w:pPr>
      <w:r w:rsidRPr="72B40892">
        <w:rPr>
          <w:rFonts w:asciiTheme="minorHAnsi" w:hAnsiTheme="minorHAnsi" w:cstheme="minorBidi"/>
          <w:i/>
          <w:iCs/>
          <w:sz w:val="22"/>
          <w:szCs w:val="22"/>
          <w:lang w:val="lv-LV"/>
        </w:rPr>
        <w:t>Avots: FM un Padomes aprēķini</w:t>
      </w:r>
    </w:p>
    <w:p w14:paraId="6136DBEB" w14:textId="7847AD25" w:rsidR="00462E32" w:rsidRPr="00DF74F7" w:rsidRDefault="00462E32" w:rsidP="72B40892">
      <w:pPr>
        <w:pStyle w:val="Heading2"/>
        <w:rPr>
          <w:rFonts w:asciiTheme="minorHAnsi" w:hAnsiTheme="minorHAnsi"/>
          <w:color w:val="auto"/>
          <w:sz w:val="22"/>
          <w:szCs w:val="22"/>
          <w:lang w:val="lv-LV"/>
        </w:rPr>
      </w:pPr>
    </w:p>
    <w:p w14:paraId="1CCB4F5B" w14:textId="58095A3E" w:rsidR="00512C8A" w:rsidRPr="00512C8A" w:rsidRDefault="00512C8A" w:rsidP="00512C8A">
      <w:pPr>
        <w:pStyle w:val="ListParagraph"/>
        <w:numPr>
          <w:ilvl w:val="0"/>
          <w:numId w:val="23"/>
        </w:numPr>
        <w:spacing w:line="235" w:lineRule="auto"/>
        <w:ind w:left="426" w:right="20" w:hanging="426"/>
        <w:jc w:val="both"/>
        <w:rPr>
          <w:rFonts w:asciiTheme="minorHAnsi" w:eastAsiaTheme="minorEastAsia" w:hAnsiTheme="minorHAnsi"/>
          <w:b/>
          <w:color w:val="000000" w:themeColor="text1"/>
          <w:sz w:val="22"/>
          <w:szCs w:val="22"/>
          <w:lang w:val="lv-LV"/>
        </w:rPr>
      </w:pPr>
      <w:r w:rsidRPr="00512C8A">
        <w:rPr>
          <w:rFonts w:asciiTheme="minorHAnsi" w:eastAsiaTheme="minorEastAsia" w:hAnsiTheme="minorHAnsi"/>
          <w:sz w:val="22"/>
          <w:szCs w:val="22"/>
          <w:lang w:val="lv-LV"/>
        </w:rPr>
        <w:t xml:space="preserve">Atbilstoši Padomes aprēķiniem ieņēmumu kritums 2021.gadā atbilst 458 miljoniem eiro, kas pieļauj vispārējās valdības budžeta bilances pasliktināšanos salīdzinot ar </w:t>
      </w:r>
      <w:r w:rsidR="0015283F">
        <w:rPr>
          <w:rFonts w:asciiTheme="minorHAnsi" w:eastAsiaTheme="minorEastAsia" w:hAnsiTheme="minorHAnsi"/>
          <w:sz w:val="22"/>
          <w:szCs w:val="22"/>
          <w:lang w:val="lv-LV"/>
        </w:rPr>
        <w:t>bāzes scenāriju par 1.4% no IKP,</w:t>
      </w:r>
      <w:r w:rsidRPr="00512C8A">
        <w:rPr>
          <w:rFonts w:asciiTheme="minorHAnsi" w:eastAsiaTheme="minorEastAsia" w:hAnsiTheme="minorHAnsi"/>
          <w:sz w:val="22"/>
          <w:szCs w:val="22"/>
          <w:lang w:val="lv-LV"/>
        </w:rPr>
        <w:t xml:space="preserve"> FDL 12.panta 1.daļas (3) punkta nosacījuma iestāšanās gadījumā. </w:t>
      </w:r>
      <w:r w:rsidRPr="00512C8A">
        <w:rPr>
          <w:rFonts w:asciiTheme="minorHAnsi" w:eastAsiaTheme="minorEastAsia" w:hAnsiTheme="minorHAnsi"/>
          <w:b/>
          <w:sz w:val="22"/>
          <w:szCs w:val="22"/>
          <w:lang w:val="lv-LV"/>
        </w:rPr>
        <w:t xml:space="preserve">FM aprēķinātā nominālā bilance 2021. gadam ir -3.95% no IKP, kas kopumā saskan ar Padomes aprēķināto minimāli pieļaujamo nominālo bilanci -3.9%, </w:t>
      </w:r>
      <w:r w:rsidRPr="00512C8A">
        <w:rPr>
          <w:rFonts w:asciiTheme="minorHAnsi" w:hAnsiTheme="minorHAnsi" w:cstheme="minorBidi"/>
          <w:b/>
          <w:sz w:val="22"/>
          <w:szCs w:val="22"/>
          <w:lang w:val="lv-LV" w:eastAsia="lv-LV"/>
        </w:rPr>
        <w:t>pie prognozējamā ieņēmumu krituma, tomēr</w:t>
      </w:r>
      <w:r w:rsidRPr="00512C8A">
        <w:rPr>
          <w:rFonts w:asciiTheme="minorHAnsi" w:eastAsiaTheme="minorEastAsia" w:hAnsiTheme="minorHAnsi"/>
          <w:b/>
          <w:sz w:val="22"/>
          <w:szCs w:val="22"/>
          <w:lang w:val="lv-LV"/>
        </w:rPr>
        <w:t xml:space="preserve"> turpmāka deficīta kāpināšana nav pieļaujama. Padome secina, ka Covid-19 infekcijas izplatības seku pārvarēšanas likums nosakot ierobežojumus FDL darbībai ir radījis būtisku valsts budžeta deficīta palielināšanos, kas, iespējams, būs jākompensē atbilstoši FDL 11.pantā noteiktajam korekcijas mehānismam, periodā kad izlaižu starpības kļūs pozitīvas.</w:t>
      </w:r>
    </w:p>
    <w:p w14:paraId="414D5F33" w14:textId="2C76F449" w:rsidR="72B40892" w:rsidRPr="00D831FB" w:rsidRDefault="72B40892" w:rsidP="72B40892">
      <w:pPr>
        <w:rPr>
          <w:lang w:val="lv-LV"/>
        </w:rPr>
      </w:pPr>
    </w:p>
    <w:p w14:paraId="613B8809" w14:textId="71D71543" w:rsidR="00DB5CF6" w:rsidRDefault="007D0B95" w:rsidP="00462E32">
      <w:pPr>
        <w:pStyle w:val="Heading2"/>
      </w:pPr>
      <w:bookmarkStart w:id="14" w:name="_Toc53387631"/>
      <w:r>
        <w:t>3</w:t>
      </w:r>
      <w:r w:rsidR="00462E32">
        <w:t xml:space="preserve">.1 </w:t>
      </w:r>
      <w:r w:rsidR="00DB5CF6" w:rsidRPr="000F298F">
        <w:t>Valsts parāda nosacījums</w:t>
      </w:r>
      <w:bookmarkEnd w:id="14"/>
    </w:p>
    <w:p w14:paraId="6A45BA87" w14:textId="77777777" w:rsidR="009A1EF2" w:rsidRPr="009A1EF2" w:rsidRDefault="009A1EF2" w:rsidP="009A1EF2"/>
    <w:p w14:paraId="43DE9D6F" w14:textId="23091A20" w:rsidR="00DB5CF6" w:rsidRDefault="00362CD2" w:rsidP="00462E32">
      <w:pPr>
        <w:pStyle w:val="ListParagraph"/>
        <w:numPr>
          <w:ilvl w:val="0"/>
          <w:numId w:val="23"/>
        </w:numPr>
        <w:ind w:left="567" w:hanging="567"/>
        <w:jc w:val="both"/>
        <w:rPr>
          <w:rFonts w:asciiTheme="minorHAnsi" w:eastAsiaTheme="minorEastAsia" w:hAnsiTheme="minorHAnsi" w:cstheme="minorHAnsi"/>
          <w:b/>
          <w:sz w:val="22"/>
        </w:rPr>
      </w:pPr>
      <w:r>
        <w:rPr>
          <w:rFonts w:asciiTheme="minorHAnsi" w:eastAsiaTheme="minorEastAsia" w:hAnsiTheme="minorHAnsi" w:cstheme="minorHAnsi"/>
          <w:b/>
          <w:sz w:val="22"/>
        </w:rPr>
        <w:t>L</w:t>
      </w:r>
      <w:r w:rsidR="00DB5CF6" w:rsidRPr="00467532">
        <w:rPr>
          <w:rFonts w:asciiTheme="minorHAnsi" w:eastAsiaTheme="minorEastAsia" w:hAnsiTheme="minorHAnsi" w:cstheme="minorHAnsi"/>
          <w:b/>
          <w:sz w:val="22"/>
        </w:rPr>
        <w:t xml:space="preserve">ai nodrošinātu finansiālu segumu atbalsta pasākumiem Covid-19 seku mazināšanai, Latvija, kopš 2020. </w:t>
      </w:r>
      <w:proofErr w:type="gramStart"/>
      <w:r w:rsidR="00DB5CF6" w:rsidRPr="00467532">
        <w:rPr>
          <w:rFonts w:asciiTheme="minorHAnsi" w:eastAsiaTheme="minorEastAsia" w:hAnsiTheme="minorHAnsi" w:cstheme="minorHAnsi"/>
          <w:b/>
          <w:sz w:val="22"/>
        </w:rPr>
        <w:t>gada</w:t>
      </w:r>
      <w:proofErr w:type="gramEnd"/>
      <w:r w:rsidR="00DB5CF6" w:rsidRPr="00467532">
        <w:rPr>
          <w:rFonts w:asciiTheme="minorHAnsi" w:eastAsiaTheme="minorEastAsia" w:hAnsiTheme="minorHAnsi" w:cstheme="minorHAnsi"/>
          <w:b/>
          <w:sz w:val="22"/>
        </w:rPr>
        <w:t xml:space="preserve"> marta operatīvi veica aizņemšanos gan iekšējā, gan starptautiskajos finanšu tirgos, emitējot obligācijas, kas izraisīja strauju un neplānotu parāda līmeņa pieaugumu. Saskaņā ar CSP datiem 2020.gada 1. </w:t>
      </w:r>
      <w:proofErr w:type="gramStart"/>
      <w:r w:rsidR="00DB5CF6" w:rsidRPr="00467532">
        <w:rPr>
          <w:rFonts w:asciiTheme="minorHAnsi" w:eastAsiaTheme="minorEastAsia" w:hAnsiTheme="minorHAnsi" w:cstheme="minorHAnsi"/>
          <w:b/>
          <w:sz w:val="22"/>
        </w:rPr>
        <w:t>ceturksnī</w:t>
      </w:r>
      <w:proofErr w:type="gramEnd"/>
      <w:r w:rsidR="00DB5CF6" w:rsidRPr="00467532">
        <w:rPr>
          <w:rFonts w:asciiTheme="minorHAnsi" w:eastAsiaTheme="minorEastAsia" w:hAnsiTheme="minorHAnsi" w:cstheme="minorHAnsi"/>
          <w:b/>
          <w:sz w:val="22"/>
        </w:rPr>
        <w:t xml:space="preserve"> vispārējās </w:t>
      </w:r>
      <w:r w:rsidR="00DB5CF6" w:rsidRPr="00467532">
        <w:rPr>
          <w:rFonts w:asciiTheme="minorHAnsi" w:eastAsiaTheme="minorEastAsia" w:hAnsiTheme="minorHAnsi" w:cstheme="minorHAnsi"/>
          <w:b/>
          <w:sz w:val="22"/>
        </w:rPr>
        <w:lastRenderedPageBreak/>
        <w:t>valdī</w:t>
      </w:r>
      <w:r w:rsidR="00462E32">
        <w:rPr>
          <w:rFonts w:asciiTheme="minorHAnsi" w:eastAsiaTheme="minorEastAsia" w:hAnsiTheme="minorHAnsi" w:cstheme="minorHAnsi"/>
          <w:b/>
          <w:sz w:val="22"/>
        </w:rPr>
        <w:t>bas parāda vērtība sasniedza 11.</w:t>
      </w:r>
      <w:r w:rsidR="00DB5CF6" w:rsidRPr="00467532">
        <w:rPr>
          <w:rFonts w:asciiTheme="minorHAnsi" w:eastAsiaTheme="minorEastAsia" w:hAnsiTheme="minorHAnsi" w:cstheme="minorHAnsi"/>
          <w:b/>
          <w:sz w:val="22"/>
        </w:rPr>
        <w:t>29 miljardus eiro</w:t>
      </w:r>
      <w:r w:rsidR="00DB5CF6" w:rsidRPr="00467532">
        <w:rPr>
          <w:rFonts w:eastAsiaTheme="minorEastAsia"/>
          <w:sz w:val="22"/>
          <w:vertAlign w:val="superscript"/>
        </w:rPr>
        <w:footnoteReference w:id="17"/>
      </w:r>
      <w:r w:rsidR="00DB5CF6" w:rsidRPr="00467532">
        <w:rPr>
          <w:rFonts w:asciiTheme="minorHAnsi" w:eastAsiaTheme="minorEastAsia" w:hAnsiTheme="minorHAnsi" w:cstheme="minorHAnsi"/>
          <w:b/>
          <w:sz w:val="22"/>
        </w:rPr>
        <w:t xml:space="preserve"> (CSP datu publikācija par 2. ceturksni sagaidāma š.g. 20.oktobrī). </w:t>
      </w:r>
    </w:p>
    <w:p w14:paraId="2403720E" w14:textId="77777777" w:rsidR="00462E32" w:rsidRPr="00467532" w:rsidRDefault="00462E32" w:rsidP="00462E32">
      <w:pPr>
        <w:pStyle w:val="ListParagraph"/>
        <w:ind w:left="567"/>
        <w:jc w:val="both"/>
        <w:rPr>
          <w:rFonts w:asciiTheme="minorHAnsi" w:eastAsiaTheme="minorEastAsia" w:hAnsiTheme="minorHAnsi" w:cstheme="minorHAnsi"/>
          <w:b/>
          <w:sz w:val="22"/>
        </w:rPr>
      </w:pPr>
    </w:p>
    <w:p w14:paraId="5E66C58A" w14:textId="06082BB9" w:rsidR="00CD10AC" w:rsidRDefault="00DB5CF6" w:rsidP="00462E32">
      <w:pPr>
        <w:pStyle w:val="ListParagraph"/>
        <w:numPr>
          <w:ilvl w:val="0"/>
          <w:numId w:val="23"/>
        </w:numPr>
        <w:ind w:left="426" w:hanging="426"/>
        <w:jc w:val="both"/>
        <w:rPr>
          <w:rFonts w:asciiTheme="minorHAnsi" w:eastAsiaTheme="minorEastAsia" w:hAnsiTheme="minorHAnsi" w:cstheme="minorHAnsi"/>
          <w:sz w:val="22"/>
        </w:rPr>
      </w:pPr>
      <w:r w:rsidRPr="00467532">
        <w:rPr>
          <w:rFonts w:asciiTheme="minorHAnsi" w:eastAsiaTheme="minorEastAsia" w:hAnsiTheme="minorHAnsi" w:cstheme="minorHAnsi"/>
          <w:sz w:val="22"/>
        </w:rPr>
        <w:t xml:space="preserve">Valsts kases operatīvie dati liecina, ka š.g. 1. </w:t>
      </w:r>
      <w:proofErr w:type="gramStart"/>
      <w:r w:rsidRPr="00467532">
        <w:rPr>
          <w:rFonts w:asciiTheme="minorHAnsi" w:eastAsiaTheme="minorEastAsia" w:hAnsiTheme="minorHAnsi" w:cstheme="minorHAnsi"/>
          <w:sz w:val="22"/>
        </w:rPr>
        <w:t>ceturkšņa</w:t>
      </w:r>
      <w:proofErr w:type="gramEnd"/>
      <w:r w:rsidRPr="00467532">
        <w:rPr>
          <w:rFonts w:asciiTheme="minorHAnsi" w:eastAsiaTheme="minorEastAsia" w:hAnsiTheme="minorHAnsi" w:cstheme="minorHAnsi"/>
          <w:sz w:val="22"/>
        </w:rPr>
        <w:t xml:space="preserve"> noslēgumā valsts un pašvaldību parād</w:t>
      </w:r>
      <w:r w:rsidR="00462E32">
        <w:rPr>
          <w:rFonts w:asciiTheme="minorHAnsi" w:eastAsiaTheme="minorEastAsia" w:hAnsiTheme="minorHAnsi" w:cstheme="minorHAnsi"/>
          <w:sz w:val="22"/>
        </w:rPr>
        <w:t>a kopējā nominālvērtība bija 10.</w:t>
      </w:r>
      <w:r w:rsidRPr="00467532">
        <w:rPr>
          <w:rFonts w:asciiTheme="minorHAnsi" w:eastAsiaTheme="minorEastAsia" w:hAnsiTheme="minorHAnsi" w:cstheme="minorHAnsi"/>
          <w:sz w:val="22"/>
        </w:rPr>
        <w:t xml:space="preserve">487 mljrd. </w:t>
      </w:r>
      <w:proofErr w:type="gramStart"/>
      <w:r w:rsidR="00CE0418">
        <w:rPr>
          <w:rFonts w:asciiTheme="minorHAnsi" w:eastAsiaTheme="minorEastAsia" w:hAnsiTheme="minorHAnsi" w:cstheme="minorHAnsi"/>
          <w:sz w:val="22"/>
        </w:rPr>
        <w:t>e</w:t>
      </w:r>
      <w:r w:rsidRPr="00467532">
        <w:rPr>
          <w:rFonts w:asciiTheme="minorHAnsi" w:eastAsiaTheme="minorEastAsia" w:hAnsiTheme="minorHAnsi" w:cstheme="minorHAnsi"/>
          <w:sz w:val="22"/>
        </w:rPr>
        <w:t>iro</w:t>
      </w:r>
      <w:proofErr w:type="gramEnd"/>
      <w:r w:rsidR="00CE0418">
        <w:rPr>
          <w:rFonts w:asciiTheme="minorHAnsi" w:eastAsiaTheme="minorEastAsia" w:hAnsiTheme="minorHAnsi" w:cstheme="minorHAnsi"/>
          <w:sz w:val="22"/>
        </w:rPr>
        <w:t xml:space="preserve"> (apm. 37% no 2020. gadā prognozētā IKP)</w:t>
      </w:r>
      <w:r w:rsidRPr="00467532">
        <w:rPr>
          <w:rFonts w:asciiTheme="minorHAnsi" w:eastAsiaTheme="minorEastAsia" w:hAnsiTheme="minorHAnsi" w:cstheme="minorHAnsi"/>
          <w:sz w:val="22"/>
        </w:rPr>
        <w:t xml:space="preserve">, bet jau 2. </w:t>
      </w:r>
      <w:proofErr w:type="gramStart"/>
      <w:r w:rsidRPr="00467532">
        <w:rPr>
          <w:rFonts w:asciiTheme="minorHAnsi" w:eastAsiaTheme="minorEastAsia" w:hAnsiTheme="minorHAnsi" w:cstheme="minorHAnsi"/>
          <w:sz w:val="22"/>
        </w:rPr>
        <w:t>cetur</w:t>
      </w:r>
      <w:r w:rsidR="00462E32">
        <w:rPr>
          <w:rFonts w:asciiTheme="minorHAnsi" w:eastAsiaTheme="minorEastAsia" w:hAnsiTheme="minorHAnsi" w:cstheme="minorHAnsi"/>
          <w:sz w:val="22"/>
        </w:rPr>
        <w:t>kšņa</w:t>
      </w:r>
      <w:proofErr w:type="gramEnd"/>
      <w:r w:rsidR="00462E32">
        <w:rPr>
          <w:rFonts w:asciiTheme="minorHAnsi" w:eastAsiaTheme="minorEastAsia" w:hAnsiTheme="minorHAnsi" w:cstheme="minorHAnsi"/>
          <w:sz w:val="22"/>
        </w:rPr>
        <w:t xml:space="preserve"> noslēgumā, tā sasniedza 12.</w:t>
      </w:r>
      <w:r w:rsidRPr="00467532">
        <w:rPr>
          <w:rFonts w:asciiTheme="minorHAnsi" w:eastAsiaTheme="minorEastAsia" w:hAnsiTheme="minorHAnsi" w:cstheme="minorHAnsi"/>
          <w:sz w:val="22"/>
        </w:rPr>
        <w:t xml:space="preserve">485 mljrd. </w:t>
      </w:r>
      <w:r w:rsidR="00CE0418" w:rsidRPr="00467532">
        <w:rPr>
          <w:rFonts w:asciiTheme="minorHAnsi" w:eastAsiaTheme="minorEastAsia" w:hAnsiTheme="minorHAnsi" w:cstheme="minorHAnsi"/>
          <w:sz w:val="22"/>
        </w:rPr>
        <w:t>E</w:t>
      </w:r>
      <w:r w:rsidRPr="00467532">
        <w:rPr>
          <w:rFonts w:asciiTheme="minorHAnsi" w:eastAsiaTheme="minorEastAsia" w:hAnsiTheme="minorHAnsi" w:cstheme="minorHAnsi"/>
          <w:sz w:val="22"/>
        </w:rPr>
        <w:t>iro</w:t>
      </w:r>
      <w:r w:rsidR="00CE0418">
        <w:rPr>
          <w:rFonts w:asciiTheme="minorHAnsi" w:eastAsiaTheme="minorEastAsia" w:hAnsiTheme="minorHAnsi" w:cstheme="minorHAnsi"/>
          <w:sz w:val="22"/>
        </w:rPr>
        <w:t xml:space="preserve"> (apm.</w:t>
      </w:r>
      <w:r w:rsidR="00462E32">
        <w:rPr>
          <w:rFonts w:asciiTheme="minorHAnsi" w:eastAsiaTheme="minorEastAsia" w:hAnsiTheme="minorHAnsi" w:cstheme="minorHAnsi"/>
          <w:sz w:val="22"/>
        </w:rPr>
        <w:t xml:space="preserve"> </w:t>
      </w:r>
      <w:r w:rsidR="00CE0418">
        <w:rPr>
          <w:rFonts w:asciiTheme="minorHAnsi" w:eastAsiaTheme="minorEastAsia" w:hAnsiTheme="minorHAnsi" w:cstheme="minorHAnsi"/>
          <w:sz w:val="22"/>
        </w:rPr>
        <w:t>44% no 2020. gada prognozētā IKP)</w:t>
      </w:r>
      <w:r w:rsidRPr="00467532">
        <w:rPr>
          <w:rFonts w:asciiTheme="minorHAnsi" w:eastAsiaTheme="minorEastAsia" w:hAnsiTheme="minorHAnsi" w:cstheme="minorHAnsi"/>
          <w:sz w:val="22"/>
        </w:rPr>
        <w:t xml:space="preserve">. </w:t>
      </w:r>
    </w:p>
    <w:p w14:paraId="0282198C" w14:textId="77777777" w:rsidR="00462E32" w:rsidRPr="00462E32" w:rsidRDefault="00462E32" w:rsidP="00462E32">
      <w:pPr>
        <w:pStyle w:val="ListParagraph"/>
        <w:ind w:left="426"/>
        <w:jc w:val="both"/>
        <w:rPr>
          <w:rFonts w:asciiTheme="minorHAnsi" w:eastAsiaTheme="minorEastAsia" w:hAnsiTheme="minorHAnsi" w:cstheme="minorHAnsi"/>
          <w:sz w:val="22"/>
        </w:rPr>
      </w:pPr>
    </w:p>
    <w:p w14:paraId="1BFD4CC5" w14:textId="1B4193F3" w:rsidR="00DB5CF6" w:rsidRPr="00467532" w:rsidRDefault="00DC40A7" w:rsidP="00462E32">
      <w:pPr>
        <w:pStyle w:val="ListParagraph"/>
        <w:numPr>
          <w:ilvl w:val="0"/>
          <w:numId w:val="23"/>
        </w:numPr>
        <w:ind w:left="426" w:hanging="426"/>
        <w:jc w:val="both"/>
        <w:rPr>
          <w:rFonts w:asciiTheme="minorHAnsi" w:eastAsiaTheme="minorEastAsia" w:hAnsiTheme="minorHAnsi" w:cstheme="minorHAnsi"/>
          <w:b/>
          <w:sz w:val="22"/>
        </w:rPr>
      </w:pPr>
      <w:r>
        <w:rPr>
          <w:rFonts w:asciiTheme="minorHAnsi" w:eastAsiaTheme="minorEastAsia" w:hAnsiTheme="minorHAnsi" w:cstheme="minorHAnsi"/>
          <w:b/>
          <w:sz w:val="22"/>
        </w:rPr>
        <w:t>Pēc straujā valsts parāda pieauguma aprīlī vēl joprojām turpinās m</w:t>
      </w:r>
      <w:r w:rsidR="00512C8A">
        <w:rPr>
          <w:rFonts w:asciiTheme="minorHAnsi" w:eastAsiaTheme="minorEastAsia" w:hAnsiTheme="minorHAnsi" w:cstheme="minorHAnsi"/>
          <w:b/>
          <w:sz w:val="22"/>
        </w:rPr>
        <w:t>ērens valsts parāda pieaugums, k</w:t>
      </w:r>
      <w:r>
        <w:rPr>
          <w:rFonts w:asciiTheme="minorHAnsi" w:eastAsiaTheme="minorEastAsia" w:hAnsiTheme="minorHAnsi" w:cstheme="minorHAnsi"/>
          <w:b/>
          <w:sz w:val="22"/>
        </w:rPr>
        <w:t xml:space="preserve">as </w:t>
      </w:r>
      <w:proofErr w:type="gramStart"/>
      <w:r w:rsidR="00512C8A">
        <w:rPr>
          <w:rFonts w:asciiTheme="minorHAnsi" w:eastAsiaTheme="minorEastAsia" w:hAnsiTheme="minorHAnsi" w:cstheme="minorHAnsi"/>
          <w:b/>
          <w:sz w:val="22"/>
        </w:rPr>
        <w:t>augustā</w:t>
      </w:r>
      <w:proofErr w:type="gramEnd"/>
      <w:r>
        <w:rPr>
          <w:rFonts w:asciiTheme="minorHAnsi" w:eastAsiaTheme="minorEastAsia" w:hAnsiTheme="minorHAnsi" w:cstheme="minorHAnsi"/>
          <w:b/>
          <w:sz w:val="22"/>
        </w:rPr>
        <w:t xml:space="preserve"> sasniedza</w:t>
      </w:r>
      <w:r w:rsidR="00512C8A">
        <w:rPr>
          <w:rFonts w:asciiTheme="minorHAnsi" w:eastAsiaTheme="minorEastAsia" w:hAnsiTheme="minorHAnsi" w:cstheme="minorHAnsi"/>
          <w:b/>
          <w:sz w:val="22"/>
        </w:rPr>
        <w:t xml:space="preserve"> 12.636</w:t>
      </w:r>
      <w:r w:rsidR="00DB5CF6" w:rsidRPr="00467532">
        <w:rPr>
          <w:rFonts w:asciiTheme="minorHAnsi" w:eastAsiaTheme="minorEastAsia" w:hAnsiTheme="minorHAnsi" w:cstheme="minorHAnsi"/>
          <w:b/>
          <w:sz w:val="22"/>
        </w:rPr>
        <w:t xml:space="preserve"> mljrd. </w:t>
      </w:r>
      <w:proofErr w:type="gramStart"/>
      <w:r w:rsidR="00DB5CF6" w:rsidRPr="00467532">
        <w:rPr>
          <w:rFonts w:asciiTheme="minorHAnsi" w:eastAsiaTheme="minorEastAsia" w:hAnsiTheme="minorHAnsi" w:cstheme="minorHAnsi"/>
          <w:b/>
          <w:sz w:val="22"/>
        </w:rPr>
        <w:t>eiro</w:t>
      </w:r>
      <w:proofErr w:type="gramEnd"/>
      <w:r w:rsidR="00DB5CF6" w:rsidRPr="00467532">
        <w:rPr>
          <w:rFonts w:asciiTheme="minorHAnsi" w:eastAsiaTheme="minorEastAsia" w:hAnsiTheme="minorHAnsi" w:cstheme="minorHAnsi"/>
          <w:b/>
          <w:sz w:val="22"/>
        </w:rPr>
        <w:t xml:space="preserve">. </w:t>
      </w:r>
      <w:r w:rsidR="00DB5CF6" w:rsidRPr="00467532">
        <w:rPr>
          <w:rFonts w:asciiTheme="minorHAnsi" w:eastAsiaTheme="minorEastAsia" w:hAnsiTheme="minorHAnsi" w:cstheme="minorHAnsi"/>
          <w:sz w:val="22"/>
        </w:rPr>
        <w:t xml:space="preserve">Tādējādi kopš ārkārtas stāvokļa izsludināšanas </w:t>
      </w:r>
      <w:proofErr w:type="gramStart"/>
      <w:r w:rsidR="00DB5CF6" w:rsidRPr="00467532">
        <w:rPr>
          <w:rFonts w:asciiTheme="minorHAnsi" w:eastAsiaTheme="minorEastAsia" w:hAnsiTheme="minorHAnsi" w:cstheme="minorHAnsi"/>
          <w:sz w:val="22"/>
        </w:rPr>
        <w:t>martā</w:t>
      </w:r>
      <w:proofErr w:type="gramEnd"/>
      <w:r w:rsidR="00DB5CF6" w:rsidRPr="00467532">
        <w:rPr>
          <w:rFonts w:asciiTheme="minorHAnsi" w:eastAsiaTheme="minorEastAsia" w:hAnsiTheme="minorHAnsi" w:cstheme="minorHAnsi"/>
          <w:sz w:val="22"/>
        </w:rPr>
        <w:t xml:space="preserve"> valsts parāds ir pieaudzis vairāk kā par 2 miljardiem eiro (augustā – 2.274 mljrd), jeb 8% no 2020. </w:t>
      </w:r>
      <w:proofErr w:type="gramStart"/>
      <w:r w:rsidR="00DB5CF6" w:rsidRPr="00467532">
        <w:rPr>
          <w:rFonts w:asciiTheme="minorHAnsi" w:eastAsiaTheme="minorEastAsia" w:hAnsiTheme="minorHAnsi" w:cstheme="minorHAnsi"/>
          <w:sz w:val="22"/>
        </w:rPr>
        <w:t>gadā</w:t>
      </w:r>
      <w:proofErr w:type="gramEnd"/>
      <w:r w:rsidR="00DB5CF6" w:rsidRPr="00467532">
        <w:rPr>
          <w:rFonts w:asciiTheme="minorHAnsi" w:eastAsiaTheme="minorEastAsia" w:hAnsiTheme="minorHAnsi" w:cstheme="minorHAnsi"/>
          <w:sz w:val="22"/>
        </w:rPr>
        <w:t xml:space="preserve"> prognozētā IKP.</w:t>
      </w:r>
    </w:p>
    <w:p w14:paraId="69359E02" w14:textId="77777777" w:rsidR="00CD10AC" w:rsidRPr="00467532" w:rsidRDefault="00CD10AC" w:rsidP="00DE4797">
      <w:pPr>
        <w:ind w:left="426" w:hanging="426"/>
        <w:jc w:val="both"/>
        <w:rPr>
          <w:rFonts w:asciiTheme="minorHAnsi" w:eastAsiaTheme="minorEastAsia" w:hAnsiTheme="minorHAnsi" w:cstheme="minorHAnsi"/>
          <w:sz w:val="22"/>
        </w:rPr>
      </w:pPr>
    </w:p>
    <w:p w14:paraId="6CF7773E" w14:textId="56FEA728" w:rsidR="00DB5CF6" w:rsidRPr="00467532" w:rsidRDefault="00DB5CF6" w:rsidP="00462E32">
      <w:pPr>
        <w:pStyle w:val="ListParagraph"/>
        <w:numPr>
          <w:ilvl w:val="0"/>
          <w:numId w:val="23"/>
        </w:numPr>
        <w:ind w:left="426" w:hanging="426"/>
        <w:jc w:val="both"/>
        <w:rPr>
          <w:rFonts w:asciiTheme="minorHAnsi" w:eastAsiaTheme="minorEastAsia" w:hAnsiTheme="minorHAnsi" w:cstheme="minorHAnsi"/>
          <w:sz w:val="22"/>
        </w:rPr>
      </w:pPr>
      <w:r w:rsidRPr="00467532">
        <w:rPr>
          <w:rFonts w:asciiTheme="minorHAnsi" w:eastAsiaTheme="minorEastAsia" w:hAnsiTheme="minorHAnsi" w:cstheme="minorHAnsi"/>
          <w:sz w:val="22"/>
        </w:rPr>
        <w:t xml:space="preserve">Latvija ir noslēgusi virkni līgumu, kuru </w:t>
      </w:r>
      <w:r w:rsidR="00462E32">
        <w:rPr>
          <w:rFonts w:asciiTheme="minorHAnsi" w:eastAsiaTheme="minorEastAsia" w:hAnsiTheme="minorHAnsi" w:cstheme="minorHAnsi"/>
          <w:sz w:val="22"/>
        </w:rPr>
        <w:t>ietvaros aizņemšanās var notikt</w:t>
      </w:r>
      <w:r w:rsidRPr="00467532">
        <w:rPr>
          <w:rFonts w:asciiTheme="minorHAnsi" w:eastAsiaTheme="minorEastAsia" w:hAnsiTheme="minorHAnsi" w:cstheme="minorHAnsi"/>
          <w:sz w:val="22"/>
        </w:rPr>
        <w:t>,</w:t>
      </w:r>
      <w:r w:rsidR="00462E32">
        <w:rPr>
          <w:rFonts w:asciiTheme="minorHAnsi" w:eastAsiaTheme="minorEastAsia" w:hAnsiTheme="minorHAnsi" w:cstheme="minorHAnsi"/>
          <w:sz w:val="22"/>
        </w:rPr>
        <w:t xml:space="preserve"> </w:t>
      </w:r>
      <w:r w:rsidRPr="00467532">
        <w:rPr>
          <w:rFonts w:asciiTheme="minorHAnsi" w:eastAsiaTheme="minorEastAsia" w:hAnsiTheme="minorHAnsi" w:cstheme="minorHAnsi"/>
          <w:sz w:val="22"/>
        </w:rPr>
        <w:t xml:space="preserve">bet var arī nenotikt </w:t>
      </w:r>
      <w:proofErr w:type="gramStart"/>
      <w:r w:rsidRPr="00467532">
        <w:rPr>
          <w:rFonts w:asciiTheme="minorHAnsi" w:eastAsiaTheme="minorEastAsia" w:hAnsiTheme="minorHAnsi" w:cstheme="minorHAnsi"/>
          <w:sz w:val="22"/>
        </w:rPr>
        <w:t>un</w:t>
      </w:r>
      <w:proofErr w:type="gramEnd"/>
      <w:r w:rsidRPr="00467532">
        <w:rPr>
          <w:rFonts w:asciiTheme="minorHAnsi" w:eastAsiaTheme="minorEastAsia" w:hAnsiTheme="minorHAnsi" w:cstheme="minorHAnsi"/>
          <w:sz w:val="22"/>
        </w:rPr>
        <w:t xml:space="preserve"> to atspoguļošana v</w:t>
      </w:r>
      <w:r w:rsidR="00CD10AC" w:rsidRPr="00467532">
        <w:rPr>
          <w:rFonts w:asciiTheme="minorHAnsi" w:eastAsiaTheme="minorEastAsia" w:hAnsiTheme="minorHAnsi" w:cstheme="minorHAnsi"/>
          <w:sz w:val="22"/>
        </w:rPr>
        <w:t xml:space="preserve">alsts parādā notiks pēc fakta. </w:t>
      </w:r>
      <w:r w:rsidR="00462E32">
        <w:rPr>
          <w:rFonts w:asciiTheme="minorHAnsi" w:eastAsiaTheme="minorEastAsia" w:hAnsiTheme="minorHAnsi" w:cstheme="minorHAnsi"/>
          <w:sz w:val="22"/>
        </w:rPr>
        <w:t>Kā redzams 5.</w:t>
      </w:r>
      <w:r w:rsidRPr="00467532">
        <w:rPr>
          <w:rFonts w:asciiTheme="minorHAnsi" w:eastAsiaTheme="minorEastAsia" w:hAnsiTheme="minorHAnsi" w:cstheme="minorHAnsi"/>
          <w:sz w:val="22"/>
        </w:rPr>
        <w:t xml:space="preserve"> </w:t>
      </w:r>
      <w:proofErr w:type="gramStart"/>
      <w:r w:rsidRPr="00467532">
        <w:rPr>
          <w:rFonts w:asciiTheme="minorHAnsi" w:eastAsiaTheme="minorEastAsia" w:hAnsiTheme="minorHAnsi" w:cstheme="minorHAnsi"/>
          <w:sz w:val="22"/>
        </w:rPr>
        <w:t>attēlā</w:t>
      </w:r>
      <w:proofErr w:type="gramEnd"/>
      <w:r w:rsidRPr="00467532">
        <w:rPr>
          <w:rFonts w:asciiTheme="minorHAnsi" w:eastAsiaTheme="minorEastAsia" w:hAnsiTheme="minorHAnsi" w:cstheme="minorHAnsi"/>
          <w:sz w:val="22"/>
        </w:rPr>
        <w:t xml:space="preserve"> martā iezīmējas lūzuma punkts, pēc kura ievērojami pieauga valsts parāds, t.sk. </w:t>
      </w:r>
      <w:proofErr w:type="gramStart"/>
      <w:r w:rsidRPr="00467532">
        <w:rPr>
          <w:rFonts w:asciiTheme="minorHAnsi" w:eastAsiaTheme="minorEastAsia" w:hAnsiTheme="minorHAnsi" w:cstheme="minorHAnsi"/>
          <w:sz w:val="22"/>
        </w:rPr>
        <w:t>apgrozībā</w:t>
      </w:r>
      <w:proofErr w:type="gramEnd"/>
      <w:r w:rsidRPr="00467532">
        <w:rPr>
          <w:rFonts w:asciiTheme="minorHAnsi" w:eastAsiaTheme="minorEastAsia" w:hAnsiTheme="minorHAnsi" w:cstheme="minorHAnsi"/>
          <w:sz w:val="22"/>
        </w:rPr>
        <w:t xml:space="preserve"> esošais parāda vērtspapīru apjoms, kura īpatsvars valsts parāda apjomā ir vairāk kā 80%. Covid-19 izaicinājumu segšanai tika emitētas eiroobligācijas gan papildus laidienā, gan jaunā emisijā, kā arī intensīvi tika izsolītas iekšējā aizņēmuma obligācijas. </w:t>
      </w:r>
    </w:p>
    <w:p w14:paraId="6CA67E4E" w14:textId="77777777" w:rsidR="00DB5CF6" w:rsidRPr="009A1EF2" w:rsidRDefault="00DB5CF6" w:rsidP="00DB5CF6">
      <w:pPr>
        <w:jc w:val="both"/>
        <w:rPr>
          <w:rFonts w:asciiTheme="minorHAnsi" w:hAnsiTheme="minorHAnsi" w:cstheme="minorHAnsi"/>
          <w:b/>
          <w:bCs/>
          <w:sz w:val="20"/>
          <w:szCs w:val="20"/>
        </w:rPr>
      </w:pPr>
      <w:r w:rsidRPr="009A1EF2">
        <w:rPr>
          <w:rFonts w:asciiTheme="minorHAnsi" w:hAnsiTheme="minorHAnsi" w:cstheme="minorHAnsi"/>
          <w:noProof/>
          <w:lang w:val="lv-LV" w:eastAsia="lv-LV"/>
        </w:rPr>
        <w:drawing>
          <wp:inline distT="0" distB="0" distL="0" distR="0" wp14:anchorId="515922FF" wp14:editId="63A06155">
            <wp:extent cx="5274310" cy="2997200"/>
            <wp:effectExtent l="0" t="0" r="2540" b="0"/>
            <wp:docPr id="22" name="Chart 22">
              <a:extLst xmlns:a="http://schemas.openxmlformats.org/drawingml/2006/main">
                <a:ext uri="{FF2B5EF4-FFF2-40B4-BE49-F238E27FC236}">
                  <a16:creationId xmlns:a16="http://schemas.microsoft.com/office/drawing/2014/main" id="{CA0D86B5-F4DD-4A1D-B860-1CF06ACA8C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A486F0C" w14:textId="77777777" w:rsidR="00DB5CF6" w:rsidRPr="00644A95" w:rsidRDefault="00DB5CF6" w:rsidP="00DB5CF6">
      <w:pPr>
        <w:jc w:val="both"/>
        <w:rPr>
          <w:rFonts w:asciiTheme="minorHAnsi" w:hAnsiTheme="minorHAnsi" w:cstheme="minorHAnsi"/>
          <w:bCs/>
          <w:i/>
          <w:sz w:val="20"/>
          <w:szCs w:val="20"/>
        </w:rPr>
      </w:pPr>
      <w:r w:rsidRPr="00644A95">
        <w:rPr>
          <w:rFonts w:asciiTheme="minorHAnsi" w:hAnsiTheme="minorHAnsi" w:cstheme="minorHAnsi"/>
          <w:bCs/>
          <w:i/>
          <w:sz w:val="20"/>
          <w:szCs w:val="20"/>
        </w:rPr>
        <w:t>Avots: Valsts kase</w:t>
      </w:r>
    </w:p>
    <w:p w14:paraId="57D8EAD0" w14:textId="01BE3534" w:rsidR="00DB5CF6" w:rsidRPr="00644A95" w:rsidRDefault="00644A95" w:rsidP="00DB5CF6">
      <w:pPr>
        <w:jc w:val="both"/>
        <w:rPr>
          <w:rFonts w:asciiTheme="minorHAnsi" w:hAnsiTheme="minorHAnsi" w:cstheme="minorHAnsi"/>
          <w:b/>
          <w:bCs/>
          <w:sz w:val="20"/>
          <w:szCs w:val="20"/>
        </w:rPr>
      </w:pPr>
      <w:r w:rsidRPr="00644A95">
        <w:rPr>
          <w:rFonts w:asciiTheme="minorHAnsi" w:hAnsiTheme="minorHAnsi" w:cstheme="minorHAnsi"/>
          <w:b/>
          <w:bCs/>
          <w:sz w:val="20"/>
          <w:szCs w:val="20"/>
        </w:rPr>
        <w:t xml:space="preserve">5. </w:t>
      </w:r>
      <w:proofErr w:type="gramStart"/>
      <w:r w:rsidRPr="00644A95">
        <w:rPr>
          <w:rFonts w:asciiTheme="minorHAnsi" w:hAnsiTheme="minorHAnsi" w:cstheme="minorHAnsi"/>
          <w:b/>
          <w:bCs/>
          <w:sz w:val="20"/>
          <w:szCs w:val="20"/>
        </w:rPr>
        <w:t>attēls</w:t>
      </w:r>
      <w:proofErr w:type="gramEnd"/>
      <w:r w:rsidRPr="00644A95">
        <w:rPr>
          <w:rFonts w:asciiTheme="minorHAnsi" w:hAnsiTheme="minorHAnsi" w:cstheme="minorHAnsi"/>
          <w:b/>
          <w:bCs/>
          <w:sz w:val="20"/>
          <w:szCs w:val="20"/>
        </w:rPr>
        <w:t>:</w:t>
      </w:r>
      <w:r>
        <w:rPr>
          <w:rFonts w:asciiTheme="minorHAnsi" w:hAnsiTheme="minorHAnsi" w:cstheme="minorHAnsi"/>
          <w:b/>
          <w:bCs/>
          <w:sz w:val="20"/>
          <w:szCs w:val="20"/>
        </w:rPr>
        <w:t xml:space="preserve"> </w:t>
      </w:r>
      <w:r w:rsidR="00DB5CF6" w:rsidRPr="00644A95">
        <w:rPr>
          <w:rFonts w:asciiTheme="minorHAnsi" w:hAnsiTheme="minorHAnsi" w:cstheme="minorHAnsi"/>
          <w:bCs/>
          <w:sz w:val="20"/>
          <w:szCs w:val="20"/>
        </w:rPr>
        <w:t>Valsts parāda dinamika pirms un pēc Covid-19</w:t>
      </w:r>
    </w:p>
    <w:p w14:paraId="031E0294" w14:textId="77777777" w:rsidR="00CD10AC" w:rsidRDefault="00CD10AC" w:rsidP="00DB5CF6">
      <w:pPr>
        <w:spacing w:line="235" w:lineRule="auto"/>
        <w:ind w:right="20"/>
        <w:jc w:val="both"/>
        <w:rPr>
          <w:rFonts w:asciiTheme="minorHAnsi" w:eastAsiaTheme="minorEastAsia" w:hAnsiTheme="minorHAnsi" w:cstheme="minorHAnsi"/>
        </w:rPr>
      </w:pPr>
    </w:p>
    <w:p w14:paraId="37B50408" w14:textId="708EF73C" w:rsidR="00DB5CF6" w:rsidRPr="00467532" w:rsidRDefault="00DB5CF6" w:rsidP="00462E32">
      <w:pPr>
        <w:pStyle w:val="ListParagraph"/>
        <w:numPr>
          <w:ilvl w:val="0"/>
          <w:numId w:val="23"/>
        </w:numPr>
        <w:spacing w:line="235" w:lineRule="auto"/>
        <w:ind w:left="426" w:right="20" w:hanging="426"/>
        <w:jc w:val="both"/>
        <w:rPr>
          <w:rFonts w:asciiTheme="minorHAnsi" w:eastAsiaTheme="minorEastAsia" w:hAnsiTheme="minorHAnsi" w:cstheme="minorHAnsi"/>
          <w:sz w:val="22"/>
        </w:rPr>
      </w:pPr>
      <w:r w:rsidRPr="00467532">
        <w:rPr>
          <w:rFonts w:asciiTheme="minorHAnsi" w:eastAsiaTheme="minorEastAsia" w:hAnsiTheme="minorHAnsi" w:cstheme="minorHAnsi"/>
          <w:sz w:val="22"/>
        </w:rPr>
        <w:t>Neskatoties uz straujo Valsts parāda pi</w:t>
      </w:r>
      <w:r w:rsidR="00462E32">
        <w:rPr>
          <w:rFonts w:asciiTheme="minorHAnsi" w:eastAsiaTheme="minorEastAsia" w:hAnsiTheme="minorHAnsi" w:cstheme="minorHAnsi"/>
          <w:sz w:val="22"/>
        </w:rPr>
        <w:t>eaugumu, Vispārējās valdības parāds</w:t>
      </w:r>
      <w:r w:rsidRPr="00467532">
        <w:rPr>
          <w:rFonts w:asciiTheme="minorHAnsi" w:eastAsiaTheme="minorEastAsia" w:hAnsiTheme="minorHAnsi" w:cstheme="minorHAnsi"/>
          <w:sz w:val="22"/>
        </w:rPr>
        <w:t xml:space="preserve"> 2020. </w:t>
      </w:r>
      <w:proofErr w:type="gramStart"/>
      <w:r w:rsidRPr="00467532">
        <w:rPr>
          <w:rFonts w:asciiTheme="minorHAnsi" w:eastAsiaTheme="minorEastAsia" w:hAnsiTheme="minorHAnsi" w:cstheme="minorHAnsi"/>
          <w:sz w:val="22"/>
        </w:rPr>
        <w:t>gadā</w:t>
      </w:r>
      <w:proofErr w:type="gramEnd"/>
      <w:r w:rsidRPr="00467532">
        <w:rPr>
          <w:rFonts w:asciiTheme="minorHAnsi" w:eastAsiaTheme="minorEastAsia" w:hAnsiTheme="minorHAnsi" w:cstheme="minorHAnsi"/>
          <w:sz w:val="22"/>
        </w:rPr>
        <w:t xml:space="preserve"> ir prognozēts 47.3% apmērā no IKP un turpmākos gados </w:t>
      </w:r>
      <w:r w:rsidR="00462E32">
        <w:rPr>
          <w:rFonts w:asciiTheme="minorHAnsi" w:eastAsiaTheme="minorEastAsia" w:hAnsiTheme="minorHAnsi" w:cstheme="minorHAnsi"/>
          <w:sz w:val="22"/>
        </w:rPr>
        <w:t>plānots tā samazinājums. Tomēr š</w:t>
      </w:r>
      <w:r w:rsidRPr="00467532">
        <w:rPr>
          <w:rFonts w:asciiTheme="minorHAnsi" w:eastAsiaTheme="minorEastAsia" w:hAnsiTheme="minorHAnsi" w:cstheme="minorHAnsi"/>
          <w:sz w:val="22"/>
        </w:rPr>
        <w:t xml:space="preserve">īs prognozes izpildei ir nepieciešama prognozētā IKP pieaugumu tempu sasniegšana, kuru apdraud Covid-19 otrā </w:t>
      </w:r>
      <w:proofErr w:type="gramStart"/>
      <w:r w:rsidRPr="00467532">
        <w:rPr>
          <w:rFonts w:asciiTheme="minorHAnsi" w:eastAsiaTheme="minorEastAsia" w:hAnsiTheme="minorHAnsi" w:cstheme="minorHAnsi"/>
          <w:sz w:val="22"/>
        </w:rPr>
        <w:t>viļņa</w:t>
      </w:r>
      <w:proofErr w:type="gramEnd"/>
      <w:r w:rsidRPr="00467532">
        <w:rPr>
          <w:rFonts w:asciiTheme="minorHAnsi" w:eastAsiaTheme="minorEastAsia" w:hAnsiTheme="minorHAnsi" w:cstheme="minorHAnsi"/>
          <w:sz w:val="22"/>
        </w:rPr>
        <w:t xml:space="preserve"> izaicinājumi.</w:t>
      </w:r>
    </w:p>
    <w:p w14:paraId="366871E9" w14:textId="77777777" w:rsidR="00DB5CF6" w:rsidRPr="009A1EF2" w:rsidRDefault="00DB5CF6" w:rsidP="00DB5CF6">
      <w:pPr>
        <w:rPr>
          <w:rFonts w:asciiTheme="minorHAnsi" w:hAnsiTheme="minorHAnsi" w:cstheme="minorHAnsi"/>
        </w:rPr>
      </w:pPr>
    </w:p>
    <w:p w14:paraId="5FE6CAAA" w14:textId="5BD51D3C" w:rsidR="00DB5CF6" w:rsidRPr="009A1EF2" w:rsidRDefault="00512C8A" w:rsidP="00DB5CF6">
      <w:pPr>
        <w:rPr>
          <w:rFonts w:asciiTheme="minorHAnsi" w:hAnsiTheme="minorHAnsi" w:cstheme="minorHAnsi"/>
        </w:rPr>
      </w:pPr>
      <w:r>
        <w:rPr>
          <w:noProof/>
          <w:lang w:val="lv-LV" w:eastAsia="lv-LV"/>
        </w:rPr>
        <w:lastRenderedPageBreak/>
        <w:drawing>
          <wp:inline distT="0" distB="0" distL="0" distR="0" wp14:anchorId="19CF71B9" wp14:editId="70CFEB9D">
            <wp:extent cx="5274310" cy="2937510"/>
            <wp:effectExtent l="0" t="0" r="2540" b="1524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3F9BF7D" w14:textId="77777777" w:rsidR="00DB5CF6" w:rsidRPr="00644A95" w:rsidRDefault="00DB5CF6" w:rsidP="00DB5CF6">
      <w:pPr>
        <w:rPr>
          <w:rFonts w:asciiTheme="minorHAnsi" w:hAnsiTheme="minorHAnsi" w:cstheme="minorHAnsi"/>
          <w:i/>
          <w:sz w:val="20"/>
          <w:szCs w:val="20"/>
        </w:rPr>
      </w:pPr>
      <w:r w:rsidRPr="00644A95">
        <w:rPr>
          <w:rFonts w:asciiTheme="minorHAnsi" w:hAnsiTheme="minorHAnsi" w:cstheme="minorHAnsi"/>
          <w:i/>
          <w:sz w:val="20"/>
          <w:szCs w:val="20"/>
        </w:rPr>
        <w:t>Avots: Valsts Kase</w:t>
      </w:r>
    </w:p>
    <w:p w14:paraId="0F33EF30" w14:textId="2471621A" w:rsidR="00DB5CF6" w:rsidRPr="00644A95" w:rsidRDefault="00644A95" w:rsidP="00DB5CF6">
      <w:pPr>
        <w:rPr>
          <w:rFonts w:asciiTheme="minorHAnsi" w:hAnsiTheme="minorHAnsi" w:cstheme="minorHAnsi"/>
          <w:b/>
          <w:sz w:val="20"/>
          <w:szCs w:val="20"/>
        </w:rPr>
      </w:pPr>
      <w:r w:rsidRPr="00644A95">
        <w:rPr>
          <w:rFonts w:asciiTheme="minorHAnsi" w:hAnsiTheme="minorHAnsi" w:cstheme="minorHAnsi"/>
          <w:b/>
          <w:sz w:val="20"/>
          <w:szCs w:val="20"/>
        </w:rPr>
        <w:t xml:space="preserve">6. </w:t>
      </w:r>
      <w:proofErr w:type="gramStart"/>
      <w:r w:rsidRPr="00644A95">
        <w:rPr>
          <w:rFonts w:asciiTheme="minorHAnsi" w:hAnsiTheme="minorHAnsi" w:cstheme="minorHAnsi"/>
          <w:b/>
          <w:sz w:val="20"/>
          <w:szCs w:val="20"/>
        </w:rPr>
        <w:t>a</w:t>
      </w:r>
      <w:r w:rsidR="00DB5CF6" w:rsidRPr="00644A95">
        <w:rPr>
          <w:rFonts w:asciiTheme="minorHAnsi" w:hAnsiTheme="minorHAnsi" w:cstheme="minorHAnsi"/>
          <w:b/>
          <w:sz w:val="20"/>
          <w:szCs w:val="20"/>
        </w:rPr>
        <w:t>ttēls</w:t>
      </w:r>
      <w:proofErr w:type="gramEnd"/>
      <w:r w:rsidRPr="00644A95">
        <w:rPr>
          <w:rFonts w:asciiTheme="minorHAnsi" w:hAnsiTheme="minorHAnsi" w:cstheme="minorHAnsi"/>
          <w:b/>
          <w:sz w:val="20"/>
          <w:szCs w:val="20"/>
        </w:rPr>
        <w:t>:</w:t>
      </w:r>
      <w:r w:rsidRPr="00644A95">
        <w:rPr>
          <w:rFonts w:asciiTheme="minorHAnsi" w:hAnsiTheme="minorHAnsi" w:cstheme="minorHAnsi"/>
          <w:sz w:val="20"/>
          <w:szCs w:val="20"/>
        </w:rPr>
        <w:t xml:space="preserve"> </w:t>
      </w:r>
      <w:r w:rsidR="00DB5CF6" w:rsidRPr="00644A95">
        <w:rPr>
          <w:rFonts w:asciiTheme="minorHAnsi" w:hAnsiTheme="minorHAnsi" w:cstheme="minorHAnsi"/>
          <w:sz w:val="20"/>
          <w:szCs w:val="20"/>
        </w:rPr>
        <w:t>Vispārējās vadības parāda dinamika un prognozes</w:t>
      </w:r>
    </w:p>
    <w:p w14:paraId="31FBF34B" w14:textId="77777777" w:rsidR="00CD10AC" w:rsidRDefault="00CD10AC" w:rsidP="00DB5CF6">
      <w:pPr>
        <w:jc w:val="both"/>
        <w:rPr>
          <w:rFonts w:asciiTheme="minorHAnsi" w:eastAsiaTheme="minorEastAsia" w:hAnsiTheme="minorHAnsi" w:cstheme="minorHAnsi"/>
          <w:b/>
        </w:rPr>
      </w:pPr>
    </w:p>
    <w:p w14:paraId="566BB092" w14:textId="25E1E9F4" w:rsidR="00DB5CF6" w:rsidRPr="00467532" w:rsidRDefault="00DB5CF6" w:rsidP="00462E32">
      <w:pPr>
        <w:pStyle w:val="ListParagraph"/>
        <w:numPr>
          <w:ilvl w:val="0"/>
          <w:numId w:val="23"/>
        </w:numPr>
        <w:ind w:left="426" w:hanging="426"/>
        <w:jc w:val="both"/>
        <w:rPr>
          <w:rFonts w:asciiTheme="minorHAnsi" w:eastAsiaTheme="minorEastAsia" w:hAnsiTheme="minorHAnsi" w:cstheme="minorHAnsi"/>
          <w:b/>
          <w:sz w:val="22"/>
        </w:rPr>
      </w:pPr>
      <w:r w:rsidRPr="00467532">
        <w:rPr>
          <w:rFonts w:asciiTheme="minorHAnsi" w:eastAsiaTheme="minorEastAsia" w:hAnsiTheme="minorHAnsi" w:cstheme="minorHAnsi"/>
          <w:b/>
          <w:sz w:val="22"/>
        </w:rPr>
        <w:t xml:space="preserve">Pēc pašlaik aktuālās Valsts Kases izstrādātās vispārējās valdības parāda prognozes sagaidāms, ka Fiskālās disciplīnas likumā noteiktais parāda nosacījums tiks ievērots, tomēr pasliktinoties IKP pieauguma tempam un budžeta deficītam pieaugot var tikt sasniegtas parāda kritiskās vērtības. </w:t>
      </w:r>
    </w:p>
    <w:p w14:paraId="2005B62A" w14:textId="3D4F3215" w:rsidR="00DB5CF6" w:rsidRDefault="00CD10AC" w:rsidP="007D0B95">
      <w:pPr>
        <w:pStyle w:val="Heading1"/>
        <w:numPr>
          <w:ilvl w:val="0"/>
          <w:numId w:val="3"/>
        </w:numPr>
        <w:spacing w:after="240"/>
      </w:pPr>
      <w:r>
        <w:rPr>
          <w:rFonts w:asciiTheme="minorHAnsi" w:hAnsiTheme="minorHAnsi" w:cstheme="minorHAnsi"/>
        </w:rPr>
        <w:br w:type="page"/>
      </w:r>
      <w:bookmarkStart w:id="15" w:name="_Toc53387632"/>
      <w:r w:rsidRPr="007D0B95">
        <w:rPr>
          <w:lang w:val="lv-LV"/>
        </w:rPr>
        <w:lastRenderedPageBreak/>
        <w:t>Makroekonomiskās vides novērtējums</w:t>
      </w:r>
      <w:bookmarkEnd w:id="15"/>
    </w:p>
    <w:p w14:paraId="6B0CEDE7" w14:textId="77777777" w:rsidR="00CD10AC" w:rsidRPr="009A1EF2" w:rsidRDefault="00CD10AC" w:rsidP="00DB5CF6">
      <w:pPr>
        <w:rPr>
          <w:rFonts w:asciiTheme="minorHAnsi" w:hAnsiTheme="minorHAnsi" w:cstheme="minorHAnsi"/>
        </w:rPr>
      </w:pPr>
    </w:p>
    <w:p w14:paraId="49D12C51" w14:textId="2790571C" w:rsidR="00DB5CF6" w:rsidRDefault="007D0B95" w:rsidP="00CD10AC">
      <w:pPr>
        <w:pStyle w:val="Heading2"/>
        <w:rPr>
          <w:rFonts w:eastAsiaTheme="minorEastAsia"/>
        </w:rPr>
      </w:pPr>
      <w:bookmarkStart w:id="16" w:name="_Toc53387633"/>
      <w:r>
        <w:rPr>
          <w:rFonts w:eastAsiaTheme="minorEastAsia"/>
        </w:rPr>
        <w:t>4</w:t>
      </w:r>
      <w:r w:rsidR="00462E32">
        <w:rPr>
          <w:rFonts w:eastAsiaTheme="minorEastAsia"/>
        </w:rPr>
        <w:t xml:space="preserve">.1 </w:t>
      </w:r>
      <w:r w:rsidR="00DB5CF6" w:rsidRPr="009A1EF2">
        <w:rPr>
          <w:rFonts w:eastAsiaTheme="minorEastAsia"/>
        </w:rPr>
        <w:t>FM prognozēto Makroekonomikas rādītāju izmaiņas pēc CSP nacionālo kontu revīzijas</w:t>
      </w:r>
      <w:bookmarkEnd w:id="16"/>
    </w:p>
    <w:p w14:paraId="7705147F" w14:textId="77777777" w:rsidR="00CD10AC" w:rsidRPr="00CD10AC" w:rsidRDefault="00CD10AC" w:rsidP="00CD10AC">
      <w:pPr>
        <w:rPr>
          <w:rFonts w:eastAsiaTheme="minorEastAsia"/>
        </w:rPr>
      </w:pPr>
    </w:p>
    <w:p w14:paraId="789DEF5F" w14:textId="352C7F6C" w:rsidR="00DB5CF6" w:rsidRPr="00467532" w:rsidRDefault="00DB5CF6" w:rsidP="00462E32">
      <w:pPr>
        <w:pStyle w:val="ListParagraph"/>
        <w:numPr>
          <w:ilvl w:val="0"/>
          <w:numId w:val="23"/>
        </w:numPr>
        <w:spacing w:line="235" w:lineRule="auto"/>
        <w:ind w:left="426" w:right="20" w:hanging="426"/>
        <w:jc w:val="both"/>
        <w:rPr>
          <w:rFonts w:asciiTheme="minorHAnsi" w:eastAsiaTheme="minorEastAsia" w:hAnsiTheme="minorHAnsi" w:cstheme="minorHAnsi"/>
          <w:b/>
          <w:sz w:val="22"/>
          <w:szCs w:val="22"/>
        </w:rPr>
      </w:pPr>
      <w:r w:rsidRPr="00467532">
        <w:rPr>
          <w:rFonts w:asciiTheme="minorHAnsi" w:eastAsiaTheme="minorEastAsia" w:hAnsiTheme="minorHAnsi" w:cstheme="minorHAnsi"/>
          <w:sz w:val="22"/>
          <w:szCs w:val="22"/>
        </w:rPr>
        <w:t xml:space="preserve">2020. </w:t>
      </w:r>
      <w:proofErr w:type="gramStart"/>
      <w:r w:rsidRPr="00467532">
        <w:rPr>
          <w:rFonts w:asciiTheme="minorHAnsi" w:eastAsiaTheme="minorEastAsia" w:hAnsiTheme="minorHAnsi" w:cstheme="minorHAnsi"/>
          <w:sz w:val="22"/>
          <w:szCs w:val="22"/>
        </w:rPr>
        <w:t>gadā</w:t>
      </w:r>
      <w:proofErr w:type="gramEnd"/>
      <w:r w:rsidRPr="00467532">
        <w:rPr>
          <w:rFonts w:asciiTheme="minorHAnsi" w:eastAsiaTheme="minorEastAsia" w:hAnsiTheme="minorHAnsi" w:cstheme="minorHAnsi"/>
          <w:sz w:val="22"/>
          <w:szCs w:val="22"/>
        </w:rPr>
        <w:t xml:space="preserve"> Centrālā statistikas pārvalde ir veikusi ikgadējo nacionālo kontu laika rindu</w:t>
      </w:r>
      <w:r w:rsidRPr="00467532">
        <w:rPr>
          <w:rFonts w:asciiTheme="minorHAnsi" w:eastAsiaTheme="minorEastAsia" w:hAnsiTheme="minorHAnsi" w:cstheme="minorHAnsi"/>
          <w:b/>
          <w:sz w:val="22"/>
          <w:szCs w:val="22"/>
        </w:rPr>
        <w:t xml:space="preserve"> </w:t>
      </w:r>
      <w:r w:rsidRPr="00467532">
        <w:rPr>
          <w:rFonts w:asciiTheme="minorHAnsi" w:eastAsiaTheme="minorEastAsia" w:hAnsiTheme="minorHAnsi" w:cstheme="minorHAnsi"/>
          <w:sz w:val="22"/>
          <w:szCs w:val="22"/>
        </w:rPr>
        <w:t>revīziju.</w:t>
      </w:r>
      <w:r w:rsidRPr="00467532">
        <w:rPr>
          <w:rFonts w:asciiTheme="minorHAnsi" w:eastAsiaTheme="minorEastAsia" w:hAnsiTheme="minorHAnsi" w:cstheme="minorHAnsi"/>
          <w:b/>
          <w:sz w:val="22"/>
          <w:szCs w:val="22"/>
        </w:rPr>
        <w:t xml:space="preserve"> Revīzija ir ietekmējusi Padomes apstiprināto Izlaižu starpības novērtējumu </w:t>
      </w:r>
      <w:proofErr w:type="gramStart"/>
      <w:r w:rsidRPr="00467532">
        <w:rPr>
          <w:rFonts w:asciiTheme="minorHAnsi" w:eastAsiaTheme="minorEastAsia" w:hAnsiTheme="minorHAnsi" w:cstheme="minorHAnsi"/>
          <w:b/>
          <w:sz w:val="22"/>
          <w:szCs w:val="22"/>
        </w:rPr>
        <w:t>un</w:t>
      </w:r>
      <w:proofErr w:type="gramEnd"/>
      <w:r w:rsidRPr="00467532">
        <w:rPr>
          <w:rFonts w:asciiTheme="minorHAnsi" w:eastAsiaTheme="minorEastAsia" w:hAnsiTheme="minorHAnsi" w:cstheme="minorHAnsi"/>
          <w:b/>
          <w:sz w:val="22"/>
          <w:szCs w:val="22"/>
        </w:rPr>
        <w:t xml:space="preserve"> nominālā IKP novērtējumu. Ņemot </w:t>
      </w:r>
      <w:proofErr w:type="gramStart"/>
      <w:r w:rsidRPr="00467532">
        <w:rPr>
          <w:rFonts w:asciiTheme="minorHAnsi" w:eastAsiaTheme="minorEastAsia" w:hAnsiTheme="minorHAnsi" w:cstheme="minorHAnsi"/>
          <w:b/>
          <w:sz w:val="22"/>
          <w:szCs w:val="22"/>
        </w:rPr>
        <w:t>vērā</w:t>
      </w:r>
      <w:proofErr w:type="gramEnd"/>
      <w:r w:rsidRPr="00467532">
        <w:rPr>
          <w:rFonts w:asciiTheme="minorHAnsi" w:eastAsiaTheme="minorEastAsia" w:hAnsiTheme="minorHAnsi" w:cstheme="minorHAnsi"/>
          <w:b/>
          <w:sz w:val="22"/>
          <w:szCs w:val="22"/>
        </w:rPr>
        <w:t>, ka izlaižu starpība ir mazināta un līdz ar to paredz ciešāku strukturālo bilanci, Padome šīs izmaiņas akceptē un ņem vērā vērtējot fiskālo skaitlisko nosacījumu pārbaudi.</w:t>
      </w:r>
    </w:p>
    <w:p w14:paraId="0FDE786F" w14:textId="77777777" w:rsidR="00CD10AC" w:rsidRPr="00467532" w:rsidRDefault="00CD10AC" w:rsidP="00DE4797">
      <w:pPr>
        <w:spacing w:line="235" w:lineRule="auto"/>
        <w:ind w:left="426" w:right="20" w:hanging="426"/>
        <w:jc w:val="both"/>
        <w:rPr>
          <w:rFonts w:asciiTheme="minorHAnsi" w:eastAsiaTheme="minorEastAsia" w:hAnsiTheme="minorHAnsi" w:cstheme="minorHAnsi"/>
          <w:sz w:val="22"/>
          <w:szCs w:val="22"/>
        </w:rPr>
      </w:pPr>
    </w:p>
    <w:p w14:paraId="5DF50872" w14:textId="054C8533" w:rsidR="00DB5CF6" w:rsidRPr="00467532" w:rsidRDefault="00DB5CF6" w:rsidP="00462E32">
      <w:pPr>
        <w:pStyle w:val="ListParagraph"/>
        <w:numPr>
          <w:ilvl w:val="0"/>
          <w:numId w:val="23"/>
        </w:numPr>
        <w:spacing w:line="235" w:lineRule="auto"/>
        <w:ind w:left="426" w:right="20" w:hanging="426"/>
        <w:jc w:val="both"/>
        <w:rPr>
          <w:rFonts w:asciiTheme="minorHAnsi" w:eastAsiaTheme="minorEastAsia" w:hAnsiTheme="minorHAnsi" w:cstheme="minorHAnsi"/>
          <w:sz w:val="22"/>
          <w:szCs w:val="22"/>
        </w:rPr>
      </w:pPr>
      <w:r w:rsidRPr="00467532">
        <w:rPr>
          <w:rFonts w:asciiTheme="minorHAnsi" w:eastAsiaTheme="minorEastAsia" w:hAnsiTheme="minorHAnsi" w:cstheme="minorHAnsi"/>
          <w:sz w:val="22"/>
          <w:szCs w:val="22"/>
        </w:rPr>
        <w:t xml:space="preserve">2020. </w:t>
      </w:r>
      <w:proofErr w:type="gramStart"/>
      <w:r w:rsidRPr="00467532">
        <w:rPr>
          <w:rFonts w:asciiTheme="minorHAnsi" w:eastAsiaTheme="minorEastAsia" w:hAnsiTheme="minorHAnsi" w:cstheme="minorHAnsi"/>
          <w:sz w:val="22"/>
          <w:szCs w:val="22"/>
        </w:rPr>
        <w:t>gada</w:t>
      </w:r>
      <w:proofErr w:type="gramEnd"/>
      <w:r w:rsidRPr="00467532">
        <w:rPr>
          <w:rFonts w:asciiTheme="minorHAnsi" w:eastAsiaTheme="minorEastAsia" w:hAnsiTheme="minorHAnsi" w:cstheme="minorHAnsi"/>
          <w:sz w:val="22"/>
          <w:szCs w:val="22"/>
        </w:rPr>
        <w:t xml:space="preserve"> 30. </w:t>
      </w:r>
      <w:proofErr w:type="gramStart"/>
      <w:r w:rsidRPr="00467532">
        <w:rPr>
          <w:rFonts w:asciiTheme="minorHAnsi" w:eastAsiaTheme="minorEastAsia" w:hAnsiTheme="minorHAnsi" w:cstheme="minorHAnsi"/>
          <w:sz w:val="22"/>
          <w:szCs w:val="22"/>
        </w:rPr>
        <w:t>septembrī</w:t>
      </w:r>
      <w:proofErr w:type="gramEnd"/>
      <w:r w:rsidRPr="00467532">
        <w:rPr>
          <w:rFonts w:asciiTheme="minorHAnsi" w:eastAsiaTheme="minorEastAsia" w:hAnsiTheme="minorHAnsi" w:cstheme="minorHAnsi"/>
          <w:sz w:val="22"/>
          <w:szCs w:val="22"/>
        </w:rPr>
        <w:t xml:space="preserve"> Centrālā statistikas pārvalde ikgadējās revīzijas ietvaros publicēja revidētās nacionālo kontu laika rindas, sākot ar datiem par 1995. </w:t>
      </w:r>
      <w:proofErr w:type="gramStart"/>
      <w:r w:rsidRPr="00467532">
        <w:rPr>
          <w:rFonts w:asciiTheme="minorHAnsi" w:eastAsiaTheme="minorEastAsia" w:hAnsiTheme="minorHAnsi" w:cstheme="minorHAnsi"/>
          <w:sz w:val="22"/>
          <w:szCs w:val="22"/>
        </w:rPr>
        <w:t>gadu</w:t>
      </w:r>
      <w:proofErr w:type="gramEnd"/>
      <w:r w:rsidRPr="00467532">
        <w:rPr>
          <w:rFonts w:asciiTheme="minorHAnsi" w:eastAsiaTheme="minorEastAsia" w:hAnsiTheme="minorHAnsi" w:cstheme="minorHAnsi"/>
          <w:sz w:val="22"/>
          <w:szCs w:val="22"/>
        </w:rPr>
        <w:t xml:space="preserve">. Datu revīzija ietekmējusi FDP apstiprināto Makroekonomikas prognozi sadaļās “izlaižu starpība” periodā līdz 2023. </w:t>
      </w:r>
      <w:proofErr w:type="gramStart"/>
      <w:r w:rsidRPr="00467532">
        <w:rPr>
          <w:rFonts w:asciiTheme="minorHAnsi" w:eastAsiaTheme="minorEastAsia" w:hAnsiTheme="minorHAnsi" w:cstheme="minorHAnsi"/>
          <w:sz w:val="22"/>
          <w:szCs w:val="22"/>
        </w:rPr>
        <w:t>gadam</w:t>
      </w:r>
      <w:proofErr w:type="gramEnd"/>
      <w:r w:rsidRPr="00467532">
        <w:rPr>
          <w:rFonts w:asciiTheme="minorHAnsi" w:eastAsiaTheme="minorEastAsia" w:hAnsiTheme="minorHAnsi" w:cstheme="minorHAnsi"/>
          <w:sz w:val="22"/>
          <w:szCs w:val="22"/>
        </w:rPr>
        <w:t xml:space="preserve"> un sadaļā “nominālais IKP” </w:t>
      </w:r>
      <w:r w:rsidR="00462E32">
        <w:rPr>
          <w:rFonts w:asciiTheme="minorHAnsi" w:eastAsiaTheme="minorEastAsia" w:hAnsiTheme="minorHAnsi" w:cstheme="minorHAnsi"/>
          <w:sz w:val="22"/>
          <w:szCs w:val="22"/>
        </w:rPr>
        <w:t xml:space="preserve">līdz 2020. </w:t>
      </w:r>
      <w:proofErr w:type="gramStart"/>
      <w:r w:rsidR="00462E32">
        <w:rPr>
          <w:rFonts w:asciiTheme="minorHAnsi" w:eastAsiaTheme="minorEastAsia" w:hAnsiTheme="minorHAnsi" w:cstheme="minorHAnsi"/>
          <w:sz w:val="22"/>
          <w:szCs w:val="22"/>
        </w:rPr>
        <w:t>gadam</w:t>
      </w:r>
      <w:proofErr w:type="gramEnd"/>
      <w:r w:rsidR="00462E32">
        <w:rPr>
          <w:rFonts w:asciiTheme="minorHAnsi" w:eastAsiaTheme="minorEastAsia" w:hAnsiTheme="minorHAnsi" w:cstheme="minorHAnsi"/>
          <w:sz w:val="22"/>
          <w:szCs w:val="22"/>
        </w:rPr>
        <w:t xml:space="preserve"> skat. </w:t>
      </w:r>
      <w:proofErr w:type="gramStart"/>
      <w:r w:rsidR="00462E32">
        <w:rPr>
          <w:rFonts w:asciiTheme="minorHAnsi" w:eastAsiaTheme="minorEastAsia" w:hAnsiTheme="minorHAnsi" w:cstheme="minorHAnsi"/>
          <w:sz w:val="22"/>
          <w:szCs w:val="22"/>
        </w:rPr>
        <w:t>tabulu</w:t>
      </w:r>
      <w:proofErr w:type="gramEnd"/>
      <w:r w:rsidR="00462E32">
        <w:rPr>
          <w:rFonts w:asciiTheme="minorHAnsi" w:eastAsiaTheme="minorEastAsia" w:hAnsiTheme="minorHAnsi" w:cstheme="minorHAnsi"/>
          <w:sz w:val="22"/>
          <w:szCs w:val="22"/>
        </w:rPr>
        <w:t xml:space="preserve"> 7</w:t>
      </w:r>
      <w:r w:rsidRPr="00467532">
        <w:rPr>
          <w:rFonts w:asciiTheme="minorHAnsi" w:eastAsiaTheme="minorEastAsia" w:hAnsiTheme="minorHAnsi" w:cstheme="minorHAnsi"/>
          <w:sz w:val="22"/>
          <w:szCs w:val="22"/>
        </w:rPr>
        <w:t>.</w:t>
      </w:r>
    </w:p>
    <w:p w14:paraId="0AA76F4E" w14:textId="5465BA1C" w:rsidR="00CD10AC" w:rsidRDefault="00CD10AC" w:rsidP="00DB5CF6">
      <w:pPr>
        <w:spacing w:line="235" w:lineRule="auto"/>
        <w:ind w:right="20"/>
        <w:jc w:val="both"/>
        <w:rPr>
          <w:rFonts w:asciiTheme="minorHAnsi" w:eastAsiaTheme="minorEastAsia" w:hAnsiTheme="minorHAnsi" w:cstheme="minorHAnsi"/>
        </w:rPr>
      </w:pPr>
    </w:p>
    <w:p w14:paraId="5DA1958B" w14:textId="2E3D8ED6" w:rsidR="00CD10AC" w:rsidRPr="00CD10AC" w:rsidRDefault="0095074F" w:rsidP="00CD10AC">
      <w:pPr>
        <w:spacing w:line="235" w:lineRule="auto"/>
        <w:ind w:right="20"/>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 xml:space="preserve">7. </w:t>
      </w:r>
      <w:proofErr w:type="gramStart"/>
      <w:r>
        <w:rPr>
          <w:rFonts w:asciiTheme="minorHAnsi" w:eastAsiaTheme="minorEastAsia" w:hAnsiTheme="minorHAnsi" w:cstheme="minorHAnsi"/>
          <w:sz w:val="20"/>
          <w:szCs w:val="20"/>
        </w:rPr>
        <w:t>t</w:t>
      </w:r>
      <w:r w:rsidR="00CD10AC" w:rsidRPr="00CD10AC">
        <w:rPr>
          <w:rFonts w:asciiTheme="minorHAnsi" w:eastAsiaTheme="minorEastAsia" w:hAnsiTheme="minorHAnsi" w:cstheme="minorHAnsi"/>
          <w:sz w:val="20"/>
          <w:szCs w:val="20"/>
        </w:rPr>
        <w:t>abula</w:t>
      </w:r>
      <w:proofErr w:type="gramEnd"/>
      <w:r w:rsidR="00CD10AC" w:rsidRPr="00CD10AC">
        <w:rPr>
          <w:rFonts w:asciiTheme="minorHAnsi" w:eastAsiaTheme="minorEastAsia" w:hAnsiTheme="minorHAnsi" w:cstheme="minorHAnsi"/>
          <w:sz w:val="20"/>
          <w:szCs w:val="20"/>
        </w:rPr>
        <w:t xml:space="preserve"> </w:t>
      </w:r>
    </w:p>
    <w:p w14:paraId="718A1695" w14:textId="74F29FF9" w:rsidR="00CD10AC" w:rsidRPr="00CD10AC" w:rsidRDefault="00CD10AC" w:rsidP="00CD10AC">
      <w:pPr>
        <w:spacing w:line="235" w:lineRule="auto"/>
        <w:ind w:right="20"/>
        <w:jc w:val="center"/>
        <w:rPr>
          <w:rFonts w:asciiTheme="minorHAnsi" w:eastAsiaTheme="minorEastAsia" w:hAnsiTheme="minorHAnsi" w:cstheme="minorHAnsi"/>
          <w:b/>
          <w:sz w:val="20"/>
          <w:szCs w:val="20"/>
        </w:rPr>
      </w:pPr>
      <w:r w:rsidRPr="00CD10AC">
        <w:rPr>
          <w:rFonts w:asciiTheme="minorHAnsi" w:hAnsiTheme="minorHAnsi" w:cstheme="minorHAnsi"/>
          <w:b/>
          <w:iCs/>
          <w:sz w:val="20"/>
          <w:szCs w:val="20"/>
        </w:rPr>
        <w:t xml:space="preserve">Padomes apstiprinātie makroekonomiskie rādītāji </w:t>
      </w:r>
      <w:proofErr w:type="gramStart"/>
      <w:r w:rsidRPr="00CD10AC">
        <w:rPr>
          <w:rFonts w:asciiTheme="minorHAnsi" w:hAnsiTheme="minorHAnsi" w:cstheme="minorHAnsi"/>
          <w:b/>
          <w:iCs/>
          <w:sz w:val="20"/>
          <w:szCs w:val="20"/>
        </w:rPr>
        <w:t>un</w:t>
      </w:r>
      <w:proofErr w:type="gramEnd"/>
      <w:r w:rsidRPr="00CD10AC">
        <w:rPr>
          <w:rFonts w:asciiTheme="minorHAnsi" w:hAnsiTheme="minorHAnsi" w:cstheme="minorHAnsi"/>
          <w:b/>
          <w:iCs/>
          <w:sz w:val="20"/>
          <w:szCs w:val="20"/>
        </w:rPr>
        <w:t xml:space="preserve"> izmaiņas pēc CSP nacionālo kontu datu revīzijas</w:t>
      </w:r>
      <w:r w:rsidRPr="00CD10AC">
        <w:rPr>
          <w:rFonts w:asciiTheme="minorHAnsi" w:eastAsiaTheme="minorEastAsia" w:hAnsiTheme="minorHAnsi" w:cstheme="minorHAnsi"/>
          <w:b/>
          <w:sz w:val="20"/>
          <w:szCs w:val="20"/>
        </w:rPr>
        <w:t xml:space="preserve"> revīzijas</w:t>
      </w:r>
    </w:p>
    <w:tbl>
      <w:tblPr>
        <w:tblW w:w="5000" w:type="pct"/>
        <w:tblLook w:val="04A0" w:firstRow="1" w:lastRow="0" w:firstColumn="1" w:lastColumn="0" w:noHBand="0" w:noVBand="1"/>
      </w:tblPr>
      <w:tblGrid>
        <w:gridCol w:w="5471"/>
        <w:gridCol w:w="707"/>
        <w:gridCol w:w="707"/>
        <w:gridCol w:w="707"/>
        <w:gridCol w:w="704"/>
      </w:tblGrid>
      <w:tr w:rsidR="00DB5CF6" w:rsidRPr="009A1EF2" w14:paraId="6188F805" w14:textId="77777777" w:rsidTr="00644A95">
        <w:trPr>
          <w:trHeight w:val="300"/>
        </w:trPr>
        <w:tc>
          <w:tcPr>
            <w:tcW w:w="3297" w:type="pct"/>
            <w:tcBorders>
              <w:top w:val="single" w:sz="4" w:space="0" w:color="auto"/>
              <w:left w:val="single" w:sz="4" w:space="0" w:color="auto"/>
              <w:bottom w:val="single" w:sz="4" w:space="0" w:color="auto"/>
              <w:right w:val="single" w:sz="4" w:space="0" w:color="auto"/>
            </w:tcBorders>
            <w:shd w:val="clear" w:color="000000" w:fill="0070C0"/>
            <w:vAlign w:val="center"/>
            <w:hideMark/>
          </w:tcPr>
          <w:p w14:paraId="1C51DDD9" w14:textId="77777777" w:rsidR="00DB5CF6" w:rsidRPr="009A1EF2" w:rsidRDefault="00DB5CF6" w:rsidP="009A1EF2">
            <w:pPr>
              <w:jc w:val="both"/>
              <w:rPr>
                <w:rFonts w:asciiTheme="minorHAnsi" w:hAnsiTheme="minorHAnsi" w:cstheme="minorHAnsi"/>
                <w:b/>
                <w:bCs/>
                <w:color w:val="FFFFFF"/>
                <w:sz w:val="20"/>
                <w:szCs w:val="20"/>
                <w:lang w:eastAsia="lv-LV"/>
              </w:rPr>
            </w:pPr>
            <w:r w:rsidRPr="009A1EF2">
              <w:rPr>
                <w:rFonts w:asciiTheme="minorHAnsi" w:hAnsiTheme="minorHAnsi" w:cstheme="minorHAnsi"/>
                <w:b/>
                <w:bCs/>
                <w:color w:val="FFFFFF"/>
                <w:sz w:val="20"/>
                <w:szCs w:val="20"/>
                <w:lang w:eastAsia="lv-LV"/>
              </w:rPr>
              <w:t>Rādītājs</w:t>
            </w:r>
          </w:p>
        </w:tc>
        <w:tc>
          <w:tcPr>
            <w:tcW w:w="426" w:type="pct"/>
            <w:tcBorders>
              <w:top w:val="single" w:sz="4" w:space="0" w:color="auto"/>
              <w:left w:val="nil"/>
              <w:bottom w:val="single" w:sz="4" w:space="0" w:color="auto"/>
              <w:right w:val="single" w:sz="4" w:space="0" w:color="auto"/>
            </w:tcBorders>
            <w:shd w:val="clear" w:color="000000" w:fill="0070C0"/>
            <w:noWrap/>
            <w:vAlign w:val="bottom"/>
            <w:hideMark/>
          </w:tcPr>
          <w:p w14:paraId="0BB89EE8" w14:textId="77777777" w:rsidR="00DB5CF6" w:rsidRPr="009A1EF2" w:rsidRDefault="00DB5CF6" w:rsidP="009A1EF2">
            <w:pPr>
              <w:jc w:val="right"/>
              <w:rPr>
                <w:rFonts w:asciiTheme="minorHAnsi" w:hAnsiTheme="minorHAnsi" w:cstheme="minorHAnsi"/>
                <w:color w:val="FFFFFF"/>
                <w:sz w:val="20"/>
                <w:szCs w:val="20"/>
                <w:lang w:eastAsia="lv-LV"/>
              </w:rPr>
            </w:pPr>
            <w:r w:rsidRPr="009A1EF2">
              <w:rPr>
                <w:rFonts w:asciiTheme="minorHAnsi" w:hAnsiTheme="minorHAnsi" w:cstheme="minorHAnsi"/>
                <w:color w:val="FFFFFF"/>
                <w:sz w:val="20"/>
                <w:szCs w:val="20"/>
                <w:lang w:eastAsia="lv-LV"/>
              </w:rPr>
              <w:t>2020</w:t>
            </w:r>
          </w:p>
        </w:tc>
        <w:tc>
          <w:tcPr>
            <w:tcW w:w="426" w:type="pct"/>
            <w:tcBorders>
              <w:top w:val="single" w:sz="4" w:space="0" w:color="auto"/>
              <w:left w:val="nil"/>
              <w:bottom w:val="single" w:sz="4" w:space="0" w:color="auto"/>
              <w:right w:val="single" w:sz="4" w:space="0" w:color="auto"/>
            </w:tcBorders>
            <w:shd w:val="clear" w:color="000000" w:fill="0070C0"/>
            <w:noWrap/>
            <w:vAlign w:val="bottom"/>
            <w:hideMark/>
          </w:tcPr>
          <w:p w14:paraId="44B4F24A" w14:textId="77777777" w:rsidR="00DB5CF6" w:rsidRPr="009A1EF2" w:rsidRDefault="00DB5CF6" w:rsidP="009A1EF2">
            <w:pPr>
              <w:jc w:val="right"/>
              <w:rPr>
                <w:rFonts w:asciiTheme="minorHAnsi" w:hAnsiTheme="minorHAnsi" w:cstheme="minorHAnsi"/>
                <w:color w:val="FFFFFF"/>
                <w:sz w:val="20"/>
                <w:szCs w:val="20"/>
                <w:lang w:eastAsia="lv-LV"/>
              </w:rPr>
            </w:pPr>
            <w:r w:rsidRPr="009A1EF2">
              <w:rPr>
                <w:rFonts w:asciiTheme="minorHAnsi" w:hAnsiTheme="minorHAnsi" w:cstheme="minorHAnsi"/>
                <w:color w:val="FFFFFF"/>
                <w:sz w:val="20"/>
                <w:szCs w:val="20"/>
                <w:lang w:eastAsia="lv-LV"/>
              </w:rPr>
              <w:t>2021</w:t>
            </w:r>
          </w:p>
        </w:tc>
        <w:tc>
          <w:tcPr>
            <w:tcW w:w="426" w:type="pct"/>
            <w:tcBorders>
              <w:top w:val="single" w:sz="4" w:space="0" w:color="auto"/>
              <w:left w:val="nil"/>
              <w:bottom w:val="single" w:sz="4" w:space="0" w:color="auto"/>
              <w:right w:val="single" w:sz="4" w:space="0" w:color="auto"/>
            </w:tcBorders>
            <w:shd w:val="clear" w:color="000000" w:fill="0070C0"/>
            <w:noWrap/>
            <w:vAlign w:val="bottom"/>
            <w:hideMark/>
          </w:tcPr>
          <w:p w14:paraId="6CBFC9B6" w14:textId="77777777" w:rsidR="00DB5CF6" w:rsidRPr="009A1EF2" w:rsidRDefault="00DB5CF6" w:rsidP="009A1EF2">
            <w:pPr>
              <w:jc w:val="right"/>
              <w:rPr>
                <w:rFonts w:asciiTheme="minorHAnsi" w:hAnsiTheme="minorHAnsi" w:cstheme="minorHAnsi"/>
                <w:color w:val="FFFFFF"/>
                <w:sz w:val="20"/>
                <w:szCs w:val="20"/>
                <w:lang w:eastAsia="lv-LV"/>
              </w:rPr>
            </w:pPr>
            <w:r w:rsidRPr="009A1EF2">
              <w:rPr>
                <w:rFonts w:asciiTheme="minorHAnsi" w:hAnsiTheme="minorHAnsi" w:cstheme="minorHAnsi"/>
                <w:color w:val="FFFFFF"/>
                <w:sz w:val="20"/>
                <w:szCs w:val="20"/>
                <w:lang w:eastAsia="lv-LV"/>
              </w:rPr>
              <w:t>2022</w:t>
            </w:r>
          </w:p>
        </w:tc>
        <w:tc>
          <w:tcPr>
            <w:tcW w:w="424" w:type="pct"/>
            <w:tcBorders>
              <w:top w:val="single" w:sz="4" w:space="0" w:color="auto"/>
              <w:left w:val="nil"/>
              <w:bottom w:val="single" w:sz="4" w:space="0" w:color="auto"/>
              <w:right w:val="single" w:sz="4" w:space="0" w:color="auto"/>
            </w:tcBorders>
            <w:shd w:val="clear" w:color="000000" w:fill="0070C0"/>
            <w:noWrap/>
            <w:vAlign w:val="bottom"/>
            <w:hideMark/>
          </w:tcPr>
          <w:p w14:paraId="14AA3A3D" w14:textId="77777777" w:rsidR="00DB5CF6" w:rsidRPr="009A1EF2" w:rsidRDefault="00DB5CF6" w:rsidP="009A1EF2">
            <w:pPr>
              <w:jc w:val="right"/>
              <w:rPr>
                <w:rFonts w:asciiTheme="minorHAnsi" w:hAnsiTheme="minorHAnsi" w:cstheme="minorHAnsi"/>
                <w:color w:val="FFFFFF"/>
                <w:sz w:val="20"/>
                <w:szCs w:val="20"/>
                <w:lang w:eastAsia="lv-LV"/>
              </w:rPr>
            </w:pPr>
            <w:r w:rsidRPr="009A1EF2">
              <w:rPr>
                <w:rFonts w:asciiTheme="minorHAnsi" w:hAnsiTheme="minorHAnsi" w:cstheme="minorHAnsi"/>
                <w:color w:val="FFFFFF"/>
                <w:sz w:val="20"/>
                <w:szCs w:val="20"/>
                <w:lang w:eastAsia="lv-LV"/>
              </w:rPr>
              <w:t>2023</w:t>
            </w:r>
          </w:p>
        </w:tc>
      </w:tr>
      <w:tr w:rsidR="00DB5CF6" w:rsidRPr="009A1EF2" w14:paraId="054566D3" w14:textId="77777777" w:rsidTr="00644A95">
        <w:trPr>
          <w:trHeight w:val="300"/>
        </w:trPr>
        <w:tc>
          <w:tcPr>
            <w:tcW w:w="3297" w:type="pct"/>
            <w:tcBorders>
              <w:top w:val="nil"/>
              <w:left w:val="single" w:sz="4" w:space="0" w:color="auto"/>
              <w:bottom w:val="single" w:sz="4" w:space="0" w:color="auto"/>
              <w:right w:val="single" w:sz="4" w:space="0" w:color="auto"/>
            </w:tcBorders>
            <w:shd w:val="clear" w:color="auto" w:fill="auto"/>
            <w:vAlign w:val="center"/>
            <w:hideMark/>
          </w:tcPr>
          <w:p w14:paraId="5E9FCB0E" w14:textId="77777777" w:rsidR="00DB5CF6" w:rsidRPr="009A1EF2" w:rsidRDefault="00DB5CF6" w:rsidP="009A1EF2">
            <w:pPr>
              <w:jc w:val="both"/>
              <w:rPr>
                <w:rFonts w:asciiTheme="minorHAnsi" w:hAnsiTheme="minorHAnsi" w:cstheme="minorHAnsi"/>
                <w:b/>
                <w:bCs/>
                <w:color w:val="000000"/>
                <w:sz w:val="20"/>
                <w:szCs w:val="20"/>
                <w:lang w:eastAsia="lv-LV"/>
              </w:rPr>
            </w:pPr>
            <w:bookmarkStart w:id="17" w:name="OLE_LINK1" w:colFirst="0" w:colLast="0"/>
            <w:r w:rsidRPr="009A1EF2">
              <w:rPr>
                <w:rFonts w:asciiTheme="minorHAnsi" w:hAnsiTheme="minorHAnsi" w:cstheme="minorHAnsi"/>
                <w:b/>
                <w:bCs/>
                <w:color w:val="000000"/>
                <w:sz w:val="20"/>
                <w:szCs w:val="20"/>
                <w:lang w:eastAsia="lv-LV"/>
              </w:rPr>
              <w:t>Reālā IKP izaugsme (FDP apstiprinātā)</w:t>
            </w:r>
          </w:p>
        </w:tc>
        <w:tc>
          <w:tcPr>
            <w:tcW w:w="426" w:type="pct"/>
            <w:tcBorders>
              <w:top w:val="nil"/>
              <w:left w:val="nil"/>
              <w:bottom w:val="single" w:sz="4" w:space="0" w:color="auto"/>
              <w:right w:val="single" w:sz="4" w:space="0" w:color="auto"/>
            </w:tcBorders>
            <w:shd w:val="clear" w:color="auto" w:fill="auto"/>
            <w:noWrap/>
            <w:vAlign w:val="bottom"/>
            <w:hideMark/>
          </w:tcPr>
          <w:p w14:paraId="333DBFDD" w14:textId="77777777" w:rsidR="00DB5CF6" w:rsidRPr="009A1EF2" w:rsidRDefault="00DB5CF6" w:rsidP="00CD10AC">
            <w:pPr>
              <w:jc w:val="center"/>
              <w:rPr>
                <w:rFonts w:asciiTheme="minorHAnsi" w:hAnsiTheme="minorHAnsi" w:cstheme="minorHAnsi"/>
                <w:b/>
                <w:bCs/>
                <w:color w:val="000000"/>
                <w:sz w:val="20"/>
                <w:szCs w:val="20"/>
                <w:lang w:eastAsia="lv-LV"/>
              </w:rPr>
            </w:pPr>
            <w:r w:rsidRPr="009A1EF2">
              <w:rPr>
                <w:rFonts w:asciiTheme="minorHAnsi" w:hAnsiTheme="minorHAnsi" w:cstheme="minorHAnsi"/>
                <w:b/>
                <w:bCs/>
                <w:color w:val="000000"/>
                <w:sz w:val="20"/>
                <w:szCs w:val="20"/>
                <w:lang w:eastAsia="lv-LV"/>
              </w:rPr>
              <w:t>-7</w:t>
            </w:r>
          </w:p>
        </w:tc>
        <w:tc>
          <w:tcPr>
            <w:tcW w:w="426" w:type="pct"/>
            <w:tcBorders>
              <w:top w:val="nil"/>
              <w:left w:val="nil"/>
              <w:bottom w:val="single" w:sz="4" w:space="0" w:color="auto"/>
              <w:right w:val="single" w:sz="4" w:space="0" w:color="auto"/>
            </w:tcBorders>
            <w:shd w:val="clear" w:color="auto" w:fill="auto"/>
            <w:noWrap/>
            <w:vAlign w:val="bottom"/>
            <w:hideMark/>
          </w:tcPr>
          <w:p w14:paraId="62F64AB7" w14:textId="77777777" w:rsidR="00DB5CF6" w:rsidRPr="009A1EF2" w:rsidRDefault="00DB5CF6" w:rsidP="00CD10AC">
            <w:pPr>
              <w:jc w:val="center"/>
              <w:rPr>
                <w:rFonts w:asciiTheme="minorHAnsi" w:hAnsiTheme="minorHAnsi" w:cstheme="minorHAnsi"/>
                <w:b/>
                <w:bCs/>
                <w:color w:val="000000"/>
                <w:sz w:val="20"/>
                <w:szCs w:val="20"/>
                <w:lang w:eastAsia="lv-LV"/>
              </w:rPr>
            </w:pPr>
            <w:r w:rsidRPr="009A1EF2">
              <w:rPr>
                <w:rFonts w:asciiTheme="minorHAnsi" w:hAnsiTheme="minorHAnsi" w:cstheme="minorHAnsi"/>
                <w:b/>
                <w:bCs/>
                <w:color w:val="000000"/>
                <w:sz w:val="20"/>
                <w:szCs w:val="20"/>
                <w:lang w:eastAsia="lv-LV"/>
              </w:rPr>
              <w:t>5.1</w:t>
            </w:r>
          </w:p>
        </w:tc>
        <w:tc>
          <w:tcPr>
            <w:tcW w:w="426" w:type="pct"/>
            <w:tcBorders>
              <w:top w:val="nil"/>
              <w:left w:val="nil"/>
              <w:bottom w:val="single" w:sz="4" w:space="0" w:color="auto"/>
              <w:right w:val="single" w:sz="4" w:space="0" w:color="auto"/>
            </w:tcBorders>
            <w:shd w:val="clear" w:color="auto" w:fill="auto"/>
            <w:noWrap/>
            <w:vAlign w:val="bottom"/>
            <w:hideMark/>
          </w:tcPr>
          <w:p w14:paraId="1D9D289F" w14:textId="77777777" w:rsidR="00DB5CF6" w:rsidRPr="009A1EF2" w:rsidRDefault="00DB5CF6" w:rsidP="00CD10AC">
            <w:pPr>
              <w:jc w:val="center"/>
              <w:rPr>
                <w:rFonts w:asciiTheme="minorHAnsi" w:hAnsiTheme="minorHAnsi" w:cstheme="minorHAnsi"/>
                <w:b/>
                <w:bCs/>
                <w:color w:val="000000"/>
                <w:sz w:val="20"/>
                <w:szCs w:val="20"/>
                <w:lang w:eastAsia="lv-LV"/>
              </w:rPr>
            </w:pPr>
            <w:r w:rsidRPr="009A1EF2">
              <w:rPr>
                <w:rFonts w:asciiTheme="minorHAnsi" w:hAnsiTheme="minorHAnsi" w:cstheme="minorHAnsi"/>
                <w:b/>
                <w:bCs/>
                <w:color w:val="000000"/>
                <w:sz w:val="20"/>
                <w:szCs w:val="20"/>
                <w:lang w:eastAsia="lv-LV"/>
              </w:rPr>
              <w:t>3.1</w:t>
            </w:r>
          </w:p>
        </w:tc>
        <w:tc>
          <w:tcPr>
            <w:tcW w:w="424" w:type="pct"/>
            <w:tcBorders>
              <w:top w:val="nil"/>
              <w:left w:val="nil"/>
              <w:bottom w:val="single" w:sz="4" w:space="0" w:color="auto"/>
              <w:right w:val="single" w:sz="4" w:space="0" w:color="auto"/>
            </w:tcBorders>
            <w:shd w:val="clear" w:color="auto" w:fill="auto"/>
            <w:noWrap/>
            <w:vAlign w:val="bottom"/>
            <w:hideMark/>
          </w:tcPr>
          <w:p w14:paraId="312C22F2" w14:textId="77777777" w:rsidR="00DB5CF6" w:rsidRPr="009A1EF2" w:rsidRDefault="00DB5CF6" w:rsidP="00CD10AC">
            <w:pPr>
              <w:jc w:val="center"/>
              <w:rPr>
                <w:rFonts w:asciiTheme="minorHAnsi" w:hAnsiTheme="minorHAnsi" w:cstheme="minorHAnsi"/>
                <w:b/>
                <w:bCs/>
                <w:color w:val="000000"/>
                <w:sz w:val="20"/>
                <w:szCs w:val="20"/>
                <w:lang w:eastAsia="lv-LV"/>
              </w:rPr>
            </w:pPr>
            <w:r w:rsidRPr="009A1EF2">
              <w:rPr>
                <w:rFonts w:asciiTheme="minorHAnsi" w:hAnsiTheme="minorHAnsi" w:cstheme="minorHAnsi"/>
                <w:b/>
                <w:bCs/>
                <w:color w:val="000000"/>
                <w:sz w:val="20"/>
                <w:szCs w:val="20"/>
                <w:lang w:eastAsia="lv-LV"/>
              </w:rPr>
              <w:t>3.1</w:t>
            </w:r>
          </w:p>
        </w:tc>
      </w:tr>
      <w:tr w:rsidR="00DB5CF6" w:rsidRPr="009A1EF2" w14:paraId="7BDBE72F" w14:textId="77777777" w:rsidTr="00644A95">
        <w:trPr>
          <w:trHeight w:val="300"/>
        </w:trPr>
        <w:tc>
          <w:tcPr>
            <w:tcW w:w="3297" w:type="pct"/>
            <w:tcBorders>
              <w:top w:val="nil"/>
              <w:left w:val="single" w:sz="4" w:space="0" w:color="auto"/>
              <w:bottom w:val="single" w:sz="4" w:space="0" w:color="auto"/>
              <w:right w:val="single" w:sz="4" w:space="0" w:color="auto"/>
            </w:tcBorders>
            <w:shd w:val="clear" w:color="auto" w:fill="auto"/>
            <w:vAlign w:val="center"/>
            <w:hideMark/>
          </w:tcPr>
          <w:p w14:paraId="52865603" w14:textId="77777777" w:rsidR="00DB5CF6" w:rsidRPr="009A1EF2" w:rsidRDefault="00DB5CF6" w:rsidP="009A1EF2">
            <w:pPr>
              <w:jc w:val="both"/>
              <w:rPr>
                <w:rFonts w:asciiTheme="minorHAnsi" w:hAnsiTheme="minorHAnsi" w:cstheme="minorHAnsi"/>
                <w:color w:val="000000"/>
                <w:sz w:val="20"/>
                <w:szCs w:val="20"/>
                <w:lang w:eastAsia="lv-LV"/>
              </w:rPr>
            </w:pPr>
            <w:r w:rsidRPr="009A1EF2">
              <w:rPr>
                <w:rFonts w:asciiTheme="minorHAnsi" w:hAnsiTheme="minorHAnsi" w:cstheme="minorHAnsi"/>
                <w:color w:val="000000"/>
                <w:sz w:val="20"/>
                <w:szCs w:val="20"/>
                <w:lang w:eastAsia="lv-LV"/>
              </w:rPr>
              <w:t>Reālā IKP izaugsme (izmaiņas pēc CSP datu revīzijas)</w:t>
            </w:r>
          </w:p>
        </w:tc>
        <w:tc>
          <w:tcPr>
            <w:tcW w:w="426" w:type="pct"/>
            <w:tcBorders>
              <w:top w:val="nil"/>
              <w:left w:val="nil"/>
              <w:bottom w:val="single" w:sz="4" w:space="0" w:color="auto"/>
              <w:right w:val="single" w:sz="4" w:space="0" w:color="auto"/>
            </w:tcBorders>
            <w:shd w:val="clear" w:color="auto" w:fill="auto"/>
            <w:noWrap/>
            <w:vAlign w:val="bottom"/>
            <w:hideMark/>
          </w:tcPr>
          <w:p w14:paraId="069E951F" w14:textId="77777777" w:rsidR="00DB5CF6" w:rsidRPr="009A1EF2" w:rsidRDefault="00DB5CF6" w:rsidP="00CD10AC">
            <w:pPr>
              <w:jc w:val="center"/>
              <w:rPr>
                <w:rFonts w:asciiTheme="minorHAnsi" w:hAnsiTheme="minorHAnsi" w:cstheme="minorHAnsi"/>
                <w:color w:val="000000"/>
                <w:sz w:val="20"/>
                <w:szCs w:val="20"/>
                <w:lang w:eastAsia="lv-LV"/>
              </w:rPr>
            </w:pPr>
            <w:r w:rsidRPr="009A1EF2">
              <w:rPr>
                <w:rFonts w:asciiTheme="minorHAnsi" w:hAnsiTheme="minorHAnsi" w:cstheme="minorHAnsi"/>
                <w:color w:val="000000"/>
                <w:sz w:val="20"/>
                <w:szCs w:val="20"/>
                <w:lang w:eastAsia="lv-LV"/>
              </w:rPr>
              <w:t>-7</w:t>
            </w:r>
          </w:p>
        </w:tc>
        <w:tc>
          <w:tcPr>
            <w:tcW w:w="426" w:type="pct"/>
            <w:tcBorders>
              <w:top w:val="nil"/>
              <w:left w:val="nil"/>
              <w:bottom w:val="single" w:sz="4" w:space="0" w:color="auto"/>
              <w:right w:val="single" w:sz="4" w:space="0" w:color="auto"/>
            </w:tcBorders>
            <w:shd w:val="clear" w:color="auto" w:fill="auto"/>
            <w:noWrap/>
            <w:vAlign w:val="bottom"/>
            <w:hideMark/>
          </w:tcPr>
          <w:p w14:paraId="0CCB8C8C" w14:textId="77777777" w:rsidR="00DB5CF6" w:rsidRPr="009A1EF2" w:rsidRDefault="00DB5CF6" w:rsidP="00CD10AC">
            <w:pPr>
              <w:jc w:val="center"/>
              <w:rPr>
                <w:rFonts w:asciiTheme="minorHAnsi" w:hAnsiTheme="minorHAnsi" w:cstheme="minorHAnsi"/>
                <w:color w:val="000000"/>
                <w:sz w:val="20"/>
                <w:szCs w:val="20"/>
                <w:lang w:eastAsia="lv-LV"/>
              </w:rPr>
            </w:pPr>
            <w:r w:rsidRPr="009A1EF2">
              <w:rPr>
                <w:rFonts w:asciiTheme="minorHAnsi" w:hAnsiTheme="minorHAnsi" w:cstheme="minorHAnsi"/>
                <w:color w:val="000000"/>
                <w:sz w:val="20"/>
                <w:szCs w:val="20"/>
                <w:lang w:eastAsia="lv-LV"/>
              </w:rPr>
              <w:t>5.1</w:t>
            </w:r>
          </w:p>
        </w:tc>
        <w:tc>
          <w:tcPr>
            <w:tcW w:w="426" w:type="pct"/>
            <w:tcBorders>
              <w:top w:val="nil"/>
              <w:left w:val="nil"/>
              <w:bottom w:val="single" w:sz="4" w:space="0" w:color="auto"/>
              <w:right w:val="single" w:sz="4" w:space="0" w:color="auto"/>
            </w:tcBorders>
            <w:shd w:val="clear" w:color="auto" w:fill="auto"/>
            <w:noWrap/>
            <w:vAlign w:val="bottom"/>
            <w:hideMark/>
          </w:tcPr>
          <w:p w14:paraId="77DB98DE" w14:textId="77777777" w:rsidR="00DB5CF6" w:rsidRPr="009A1EF2" w:rsidRDefault="00DB5CF6" w:rsidP="00CD10AC">
            <w:pPr>
              <w:jc w:val="center"/>
              <w:rPr>
                <w:rFonts w:asciiTheme="minorHAnsi" w:hAnsiTheme="minorHAnsi" w:cstheme="minorHAnsi"/>
                <w:color w:val="000000"/>
                <w:sz w:val="20"/>
                <w:szCs w:val="20"/>
                <w:lang w:eastAsia="lv-LV"/>
              </w:rPr>
            </w:pPr>
            <w:r w:rsidRPr="009A1EF2">
              <w:rPr>
                <w:rFonts w:asciiTheme="minorHAnsi" w:hAnsiTheme="minorHAnsi" w:cstheme="minorHAnsi"/>
                <w:color w:val="000000"/>
                <w:sz w:val="20"/>
                <w:szCs w:val="20"/>
                <w:lang w:eastAsia="lv-LV"/>
              </w:rPr>
              <w:t>3.1</w:t>
            </w:r>
          </w:p>
        </w:tc>
        <w:tc>
          <w:tcPr>
            <w:tcW w:w="424" w:type="pct"/>
            <w:tcBorders>
              <w:top w:val="nil"/>
              <w:left w:val="nil"/>
              <w:bottom w:val="single" w:sz="4" w:space="0" w:color="auto"/>
              <w:right w:val="single" w:sz="4" w:space="0" w:color="auto"/>
            </w:tcBorders>
            <w:shd w:val="clear" w:color="auto" w:fill="auto"/>
            <w:noWrap/>
            <w:vAlign w:val="bottom"/>
            <w:hideMark/>
          </w:tcPr>
          <w:p w14:paraId="3E847DD3" w14:textId="77777777" w:rsidR="00DB5CF6" w:rsidRPr="009A1EF2" w:rsidRDefault="00DB5CF6" w:rsidP="00CD10AC">
            <w:pPr>
              <w:jc w:val="center"/>
              <w:rPr>
                <w:rFonts w:asciiTheme="minorHAnsi" w:hAnsiTheme="minorHAnsi" w:cstheme="minorHAnsi"/>
                <w:color w:val="000000"/>
                <w:sz w:val="20"/>
                <w:szCs w:val="20"/>
                <w:lang w:eastAsia="lv-LV"/>
              </w:rPr>
            </w:pPr>
            <w:r w:rsidRPr="009A1EF2">
              <w:rPr>
                <w:rFonts w:asciiTheme="minorHAnsi" w:hAnsiTheme="minorHAnsi" w:cstheme="minorHAnsi"/>
                <w:color w:val="000000"/>
                <w:sz w:val="20"/>
                <w:szCs w:val="20"/>
                <w:lang w:eastAsia="lv-LV"/>
              </w:rPr>
              <w:t>3.1</w:t>
            </w:r>
          </w:p>
        </w:tc>
      </w:tr>
      <w:tr w:rsidR="00DB5CF6" w:rsidRPr="009A1EF2" w14:paraId="11632808" w14:textId="77777777" w:rsidTr="00644A95">
        <w:trPr>
          <w:trHeight w:val="300"/>
        </w:trPr>
        <w:tc>
          <w:tcPr>
            <w:tcW w:w="3297" w:type="pct"/>
            <w:tcBorders>
              <w:top w:val="nil"/>
              <w:left w:val="single" w:sz="4" w:space="0" w:color="auto"/>
              <w:bottom w:val="single" w:sz="4" w:space="0" w:color="auto"/>
              <w:right w:val="single" w:sz="4" w:space="0" w:color="auto"/>
            </w:tcBorders>
            <w:shd w:val="clear" w:color="auto" w:fill="auto"/>
            <w:vAlign w:val="center"/>
            <w:hideMark/>
          </w:tcPr>
          <w:p w14:paraId="3E40E69E" w14:textId="77777777" w:rsidR="00DB5CF6" w:rsidRPr="009A1EF2" w:rsidRDefault="00DB5CF6" w:rsidP="009A1EF2">
            <w:pPr>
              <w:jc w:val="both"/>
              <w:rPr>
                <w:rFonts w:asciiTheme="minorHAnsi" w:hAnsiTheme="minorHAnsi" w:cstheme="minorHAnsi"/>
                <w:color w:val="000000"/>
                <w:sz w:val="20"/>
                <w:szCs w:val="20"/>
                <w:lang w:eastAsia="lv-LV"/>
              </w:rPr>
            </w:pPr>
            <w:r w:rsidRPr="009A1EF2">
              <w:rPr>
                <w:rFonts w:asciiTheme="minorHAnsi" w:hAnsiTheme="minorHAnsi" w:cstheme="minorHAnsi"/>
                <w:color w:val="000000"/>
                <w:sz w:val="20"/>
                <w:szCs w:val="20"/>
                <w:lang w:eastAsia="lv-LV"/>
              </w:rPr>
              <w:t>Starpība</w:t>
            </w:r>
          </w:p>
        </w:tc>
        <w:tc>
          <w:tcPr>
            <w:tcW w:w="426" w:type="pct"/>
            <w:tcBorders>
              <w:top w:val="nil"/>
              <w:left w:val="nil"/>
              <w:bottom w:val="single" w:sz="4" w:space="0" w:color="auto"/>
              <w:right w:val="single" w:sz="4" w:space="0" w:color="auto"/>
            </w:tcBorders>
            <w:shd w:val="clear" w:color="auto" w:fill="auto"/>
            <w:noWrap/>
            <w:vAlign w:val="bottom"/>
            <w:hideMark/>
          </w:tcPr>
          <w:p w14:paraId="5ADC0EA4" w14:textId="77777777" w:rsidR="00DB5CF6" w:rsidRPr="009A1EF2" w:rsidRDefault="00DB5CF6" w:rsidP="00CD10AC">
            <w:pPr>
              <w:jc w:val="center"/>
              <w:rPr>
                <w:rFonts w:asciiTheme="minorHAnsi" w:hAnsiTheme="minorHAnsi" w:cstheme="minorHAnsi"/>
                <w:color w:val="000000"/>
                <w:sz w:val="20"/>
                <w:szCs w:val="20"/>
                <w:lang w:eastAsia="lv-LV"/>
              </w:rPr>
            </w:pPr>
            <w:r w:rsidRPr="009A1EF2">
              <w:rPr>
                <w:rFonts w:asciiTheme="minorHAnsi" w:hAnsiTheme="minorHAnsi" w:cstheme="minorHAnsi"/>
                <w:color w:val="000000"/>
                <w:sz w:val="20"/>
                <w:szCs w:val="20"/>
                <w:lang w:eastAsia="lv-LV"/>
              </w:rPr>
              <w:t>0</w:t>
            </w:r>
          </w:p>
        </w:tc>
        <w:tc>
          <w:tcPr>
            <w:tcW w:w="426" w:type="pct"/>
            <w:tcBorders>
              <w:top w:val="nil"/>
              <w:left w:val="nil"/>
              <w:bottom w:val="single" w:sz="4" w:space="0" w:color="auto"/>
              <w:right w:val="single" w:sz="4" w:space="0" w:color="auto"/>
            </w:tcBorders>
            <w:shd w:val="clear" w:color="auto" w:fill="auto"/>
            <w:noWrap/>
            <w:vAlign w:val="bottom"/>
            <w:hideMark/>
          </w:tcPr>
          <w:p w14:paraId="472AA236" w14:textId="77777777" w:rsidR="00DB5CF6" w:rsidRPr="009A1EF2" w:rsidRDefault="00DB5CF6" w:rsidP="00CD10AC">
            <w:pPr>
              <w:jc w:val="center"/>
              <w:rPr>
                <w:rFonts w:asciiTheme="minorHAnsi" w:hAnsiTheme="minorHAnsi" w:cstheme="minorHAnsi"/>
                <w:color w:val="000000"/>
                <w:sz w:val="20"/>
                <w:szCs w:val="20"/>
                <w:lang w:eastAsia="lv-LV"/>
              </w:rPr>
            </w:pPr>
            <w:r w:rsidRPr="009A1EF2">
              <w:rPr>
                <w:rFonts w:asciiTheme="minorHAnsi" w:hAnsiTheme="minorHAnsi" w:cstheme="minorHAnsi"/>
                <w:color w:val="000000"/>
                <w:sz w:val="20"/>
                <w:szCs w:val="20"/>
                <w:lang w:eastAsia="lv-LV"/>
              </w:rPr>
              <w:t>0</w:t>
            </w:r>
          </w:p>
        </w:tc>
        <w:tc>
          <w:tcPr>
            <w:tcW w:w="426" w:type="pct"/>
            <w:tcBorders>
              <w:top w:val="nil"/>
              <w:left w:val="nil"/>
              <w:bottom w:val="single" w:sz="4" w:space="0" w:color="auto"/>
              <w:right w:val="single" w:sz="4" w:space="0" w:color="auto"/>
            </w:tcBorders>
            <w:shd w:val="clear" w:color="auto" w:fill="auto"/>
            <w:noWrap/>
            <w:vAlign w:val="bottom"/>
            <w:hideMark/>
          </w:tcPr>
          <w:p w14:paraId="499DDC64" w14:textId="77777777" w:rsidR="00DB5CF6" w:rsidRPr="009A1EF2" w:rsidRDefault="00DB5CF6" w:rsidP="00CD10AC">
            <w:pPr>
              <w:jc w:val="center"/>
              <w:rPr>
                <w:rFonts w:asciiTheme="minorHAnsi" w:hAnsiTheme="minorHAnsi" w:cstheme="minorHAnsi"/>
                <w:color w:val="000000"/>
                <w:sz w:val="20"/>
                <w:szCs w:val="20"/>
                <w:lang w:eastAsia="lv-LV"/>
              </w:rPr>
            </w:pPr>
            <w:r w:rsidRPr="009A1EF2">
              <w:rPr>
                <w:rFonts w:asciiTheme="minorHAnsi" w:hAnsiTheme="minorHAnsi" w:cstheme="minorHAnsi"/>
                <w:color w:val="000000"/>
                <w:sz w:val="20"/>
                <w:szCs w:val="20"/>
                <w:lang w:eastAsia="lv-LV"/>
              </w:rPr>
              <w:t>0</w:t>
            </w:r>
          </w:p>
        </w:tc>
        <w:tc>
          <w:tcPr>
            <w:tcW w:w="424" w:type="pct"/>
            <w:tcBorders>
              <w:top w:val="nil"/>
              <w:left w:val="nil"/>
              <w:bottom w:val="single" w:sz="4" w:space="0" w:color="auto"/>
              <w:right w:val="single" w:sz="4" w:space="0" w:color="auto"/>
            </w:tcBorders>
            <w:shd w:val="clear" w:color="auto" w:fill="auto"/>
            <w:noWrap/>
            <w:vAlign w:val="bottom"/>
            <w:hideMark/>
          </w:tcPr>
          <w:p w14:paraId="481CBBF3" w14:textId="77777777" w:rsidR="00DB5CF6" w:rsidRPr="009A1EF2" w:rsidRDefault="00DB5CF6" w:rsidP="00CD10AC">
            <w:pPr>
              <w:jc w:val="center"/>
              <w:rPr>
                <w:rFonts w:asciiTheme="minorHAnsi" w:hAnsiTheme="minorHAnsi" w:cstheme="minorHAnsi"/>
                <w:color w:val="000000"/>
                <w:sz w:val="20"/>
                <w:szCs w:val="20"/>
                <w:lang w:eastAsia="lv-LV"/>
              </w:rPr>
            </w:pPr>
            <w:r w:rsidRPr="009A1EF2">
              <w:rPr>
                <w:rFonts w:asciiTheme="minorHAnsi" w:hAnsiTheme="minorHAnsi" w:cstheme="minorHAnsi"/>
                <w:color w:val="000000"/>
                <w:sz w:val="20"/>
                <w:szCs w:val="20"/>
                <w:lang w:eastAsia="lv-LV"/>
              </w:rPr>
              <w:t>0</w:t>
            </w:r>
          </w:p>
        </w:tc>
      </w:tr>
      <w:tr w:rsidR="00DB5CF6" w:rsidRPr="009A1EF2" w14:paraId="46A24F51" w14:textId="77777777" w:rsidTr="00644A95">
        <w:trPr>
          <w:trHeight w:val="300"/>
        </w:trPr>
        <w:tc>
          <w:tcPr>
            <w:tcW w:w="3297" w:type="pct"/>
            <w:tcBorders>
              <w:top w:val="nil"/>
              <w:left w:val="single" w:sz="4" w:space="0" w:color="auto"/>
              <w:bottom w:val="single" w:sz="4" w:space="0" w:color="auto"/>
              <w:right w:val="single" w:sz="4" w:space="0" w:color="auto"/>
            </w:tcBorders>
            <w:shd w:val="clear" w:color="auto" w:fill="auto"/>
            <w:vAlign w:val="center"/>
            <w:hideMark/>
          </w:tcPr>
          <w:p w14:paraId="24036AB6" w14:textId="77777777" w:rsidR="00DB5CF6" w:rsidRPr="009A1EF2" w:rsidRDefault="00DB5CF6" w:rsidP="009A1EF2">
            <w:pPr>
              <w:jc w:val="both"/>
              <w:rPr>
                <w:rFonts w:asciiTheme="minorHAnsi" w:hAnsiTheme="minorHAnsi" w:cstheme="minorHAnsi"/>
                <w:b/>
                <w:bCs/>
                <w:color w:val="000000"/>
                <w:sz w:val="20"/>
                <w:szCs w:val="20"/>
                <w:lang w:eastAsia="lv-LV"/>
              </w:rPr>
            </w:pPr>
            <w:r w:rsidRPr="009A1EF2">
              <w:rPr>
                <w:rFonts w:asciiTheme="minorHAnsi" w:hAnsiTheme="minorHAnsi" w:cstheme="minorHAnsi"/>
                <w:b/>
                <w:bCs/>
                <w:color w:val="000000"/>
                <w:sz w:val="20"/>
                <w:szCs w:val="20"/>
                <w:lang w:eastAsia="lv-LV"/>
              </w:rPr>
              <w:t>Nominālā IKP izaugsme (FDP apstiprinātā)</w:t>
            </w:r>
          </w:p>
        </w:tc>
        <w:tc>
          <w:tcPr>
            <w:tcW w:w="426" w:type="pct"/>
            <w:tcBorders>
              <w:top w:val="nil"/>
              <w:left w:val="nil"/>
              <w:bottom w:val="single" w:sz="4" w:space="0" w:color="auto"/>
              <w:right w:val="single" w:sz="4" w:space="0" w:color="auto"/>
            </w:tcBorders>
            <w:shd w:val="clear" w:color="auto" w:fill="auto"/>
            <w:noWrap/>
            <w:vAlign w:val="bottom"/>
            <w:hideMark/>
          </w:tcPr>
          <w:p w14:paraId="32219D9D" w14:textId="77777777" w:rsidR="00DB5CF6" w:rsidRPr="009A1EF2" w:rsidRDefault="00DB5CF6" w:rsidP="00CD10AC">
            <w:pPr>
              <w:jc w:val="center"/>
              <w:rPr>
                <w:rFonts w:asciiTheme="minorHAnsi" w:hAnsiTheme="minorHAnsi" w:cstheme="minorHAnsi"/>
                <w:b/>
                <w:bCs/>
                <w:color w:val="000000"/>
                <w:sz w:val="20"/>
                <w:szCs w:val="20"/>
                <w:lang w:eastAsia="lv-LV"/>
              </w:rPr>
            </w:pPr>
            <w:r w:rsidRPr="009A1EF2">
              <w:rPr>
                <w:rFonts w:asciiTheme="minorHAnsi" w:hAnsiTheme="minorHAnsi" w:cstheme="minorHAnsi"/>
                <w:b/>
                <w:bCs/>
                <w:color w:val="000000"/>
                <w:sz w:val="20"/>
                <w:szCs w:val="20"/>
                <w:lang w:eastAsia="lv-LV"/>
              </w:rPr>
              <w:t>-7.4</w:t>
            </w:r>
          </w:p>
        </w:tc>
        <w:tc>
          <w:tcPr>
            <w:tcW w:w="426" w:type="pct"/>
            <w:tcBorders>
              <w:top w:val="nil"/>
              <w:left w:val="nil"/>
              <w:bottom w:val="single" w:sz="4" w:space="0" w:color="auto"/>
              <w:right w:val="single" w:sz="4" w:space="0" w:color="auto"/>
            </w:tcBorders>
            <w:shd w:val="clear" w:color="auto" w:fill="auto"/>
            <w:noWrap/>
            <w:vAlign w:val="bottom"/>
            <w:hideMark/>
          </w:tcPr>
          <w:p w14:paraId="4EA84D2D" w14:textId="77777777" w:rsidR="00DB5CF6" w:rsidRPr="009A1EF2" w:rsidRDefault="00DB5CF6" w:rsidP="00CD10AC">
            <w:pPr>
              <w:jc w:val="center"/>
              <w:rPr>
                <w:rFonts w:asciiTheme="minorHAnsi" w:hAnsiTheme="minorHAnsi" w:cstheme="minorHAnsi"/>
                <w:b/>
                <w:bCs/>
                <w:color w:val="000000"/>
                <w:sz w:val="20"/>
                <w:szCs w:val="20"/>
                <w:lang w:eastAsia="lv-LV"/>
              </w:rPr>
            </w:pPr>
            <w:r w:rsidRPr="009A1EF2">
              <w:rPr>
                <w:rFonts w:asciiTheme="minorHAnsi" w:hAnsiTheme="minorHAnsi" w:cstheme="minorHAnsi"/>
                <w:b/>
                <w:bCs/>
                <w:color w:val="000000"/>
                <w:sz w:val="20"/>
                <w:szCs w:val="20"/>
                <w:lang w:eastAsia="lv-LV"/>
              </w:rPr>
              <w:t>6.5</w:t>
            </w:r>
          </w:p>
        </w:tc>
        <w:tc>
          <w:tcPr>
            <w:tcW w:w="426" w:type="pct"/>
            <w:tcBorders>
              <w:top w:val="nil"/>
              <w:left w:val="nil"/>
              <w:bottom w:val="single" w:sz="4" w:space="0" w:color="auto"/>
              <w:right w:val="single" w:sz="4" w:space="0" w:color="auto"/>
            </w:tcBorders>
            <w:shd w:val="clear" w:color="auto" w:fill="auto"/>
            <w:noWrap/>
            <w:vAlign w:val="bottom"/>
            <w:hideMark/>
          </w:tcPr>
          <w:p w14:paraId="29A59995" w14:textId="77777777" w:rsidR="00DB5CF6" w:rsidRPr="009A1EF2" w:rsidRDefault="00DB5CF6" w:rsidP="00CD10AC">
            <w:pPr>
              <w:jc w:val="center"/>
              <w:rPr>
                <w:rFonts w:asciiTheme="minorHAnsi" w:hAnsiTheme="minorHAnsi" w:cstheme="minorHAnsi"/>
                <w:b/>
                <w:bCs/>
                <w:color w:val="000000"/>
                <w:sz w:val="20"/>
                <w:szCs w:val="20"/>
                <w:lang w:eastAsia="lv-LV"/>
              </w:rPr>
            </w:pPr>
            <w:r w:rsidRPr="009A1EF2">
              <w:rPr>
                <w:rFonts w:asciiTheme="minorHAnsi" w:hAnsiTheme="minorHAnsi" w:cstheme="minorHAnsi"/>
                <w:b/>
                <w:bCs/>
                <w:color w:val="000000"/>
                <w:sz w:val="20"/>
                <w:szCs w:val="20"/>
                <w:lang w:eastAsia="lv-LV"/>
              </w:rPr>
              <w:t>5.3</w:t>
            </w:r>
          </w:p>
        </w:tc>
        <w:tc>
          <w:tcPr>
            <w:tcW w:w="424" w:type="pct"/>
            <w:tcBorders>
              <w:top w:val="nil"/>
              <w:left w:val="nil"/>
              <w:bottom w:val="single" w:sz="4" w:space="0" w:color="auto"/>
              <w:right w:val="single" w:sz="4" w:space="0" w:color="auto"/>
            </w:tcBorders>
            <w:shd w:val="clear" w:color="auto" w:fill="auto"/>
            <w:noWrap/>
            <w:vAlign w:val="bottom"/>
            <w:hideMark/>
          </w:tcPr>
          <w:p w14:paraId="5101A1A0" w14:textId="77777777" w:rsidR="00DB5CF6" w:rsidRPr="009A1EF2" w:rsidRDefault="00DB5CF6" w:rsidP="00CD10AC">
            <w:pPr>
              <w:jc w:val="center"/>
              <w:rPr>
                <w:rFonts w:asciiTheme="minorHAnsi" w:hAnsiTheme="minorHAnsi" w:cstheme="minorHAnsi"/>
                <w:b/>
                <w:bCs/>
                <w:color w:val="000000"/>
                <w:sz w:val="20"/>
                <w:szCs w:val="20"/>
                <w:lang w:eastAsia="lv-LV"/>
              </w:rPr>
            </w:pPr>
            <w:r w:rsidRPr="009A1EF2">
              <w:rPr>
                <w:rFonts w:asciiTheme="minorHAnsi" w:hAnsiTheme="minorHAnsi" w:cstheme="minorHAnsi"/>
                <w:b/>
                <w:bCs/>
                <w:color w:val="000000"/>
                <w:sz w:val="20"/>
                <w:szCs w:val="20"/>
                <w:lang w:eastAsia="lv-LV"/>
              </w:rPr>
              <w:t>5.2</w:t>
            </w:r>
          </w:p>
        </w:tc>
      </w:tr>
      <w:tr w:rsidR="00DB5CF6" w:rsidRPr="009A1EF2" w14:paraId="44001CF8" w14:textId="77777777" w:rsidTr="00644A95">
        <w:trPr>
          <w:trHeight w:val="300"/>
        </w:trPr>
        <w:tc>
          <w:tcPr>
            <w:tcW w:w="3297" w:type="pct"/>
            <w:tcBorders>
              <w:top w:val="nil"/>
              <w:left w:val="single" w:sz="4" w:space="0" w:color="auto"/>
              <w:bottom w:val="single" w:sz="4" w:space="0" w:color="auto"/>
              <w:right w:val="single" w:sz="4" w:space="0" w:color="auto"/>
            </w:tcBorders>
            <w:shd w:val="clear" w:color="auto" w:fill="auto"/>
            <w:vAlign w:val="center"/>
            <w:hideMark/>
          </w:tcPr>
          <w:p w14:paraId="5BC9A83F" w14:textId="77777777" w:rsidR="00DB5CF6" w:rsidRPr="009A1EF2" w:rsidRDefault="00DB5CF6" w:rsidP="009A1EF2">
            <w:pPr>
              <w:jc w:val="both"/>
              <w:rPr>
                <w:rFonts w:asciiTheme="minorHAnsi" w:hAnsiTheme="minorHAnsi" w:cstheme="minorHAnsi"/>
                <w:color w:val="000000"/>
                <w:sz w:val="20"/>
                <w:szCs w:val="20"/>
                <w:lang w:eastAsia="lv-LV"/>
              </w:rPr>
            </w:pPr>
            <w:r w:rsidRPr="009A1EF2">
              <w:rPr>
                <w:rFonts w:asciiTheme="minorHAnsi" w:hAnsiTheme="minorHAnsi" w:cstheme="minorHAnsi"/>
                <w:color w:val="000000"/>
                <w:sz w:val="20"/>
                <w:szCs w:val="20"/>
                <w:lang w:eastAsia="lv-LV"/>
              </w:rPr>
              <w:t>Nominālā IKP izaugsme (izmaiņas pēc CSP datu revīzijas)</w:t>
            </w:r>
          </w:p>
        </w:tc>
        <w:tc>
          <w:tcPr>
            <w:tcW w:w="426" w:type="pct"/>
            <w:tcBorders>
              <w:top w:val="nil"/>
              <w:left w:val="nil"/>
              <w:bottom w:val="single" w:sz="4" w:space="0" w:color="auto"/>
              <w:right w:val="single" w:sz="4" w:space="0" w:color="auto"/>
            </w:tcBorders>
            <w:shd w:val="clear" w:color="auto" w:fill="auto"/>
            <w:noWrap/>
            <w:vAlign w:val="bottom"/>
            <w:hideMark/>
          </w:tcPr>
          <w:p w14:paraId="62486036" w14:textId="77777777" w:rsidR="00DB5CF6" w:rsidRPr="009A1EF2" w:rsidRDefault="00DB5CF6" w:rsidP="00CD10AC">
            <w:pPr>
              <w:jc w:val="center"/>
              <w:rPr>
                <w:rFonts w:asciiTheme="minorHAnsi" w:hAnsiTheme="minorHAnsi" w:cstheme="minorHAnsi"/>
                <w:color w:val="000000"/>
                <w:sz w:val="20"/>
                <w:szCs w:val="20"/>
                <w:lang w:eastAsia="lv-LV"/>
              </w:rPr>
            </w:pPr>
            <w:r w:rsidRPr="009A1EF2">
              <w:rPr>
                <w:rFonts w:asciiTheme="minorHAnsi" w:hAnsiTheme="minorHAnsi" w:cstheme="minorHAnsi"/>
                <w:color w:val="000000"/>
                <w:sz w:val="20"/>
                <w:szCs w:val="20"/>
                <w:lang w:eastAsia="lv-LV"/>
              </w:rPr>
              <w:t>-7.5</w:t>
            </w:r>
          </w:p>
        </w:tc>
        <w:tc>
          <w:tcPr>
            <w:tcW w:w="426" w:type="pct"/>
            <w:tcBorders>
              <w:top w:val="nil"/>
              <w:left w:val="nil"/>
              <w:bottom w:val="single" w:sz="4" w:space="0" w:color="auto"/>
              <w:right w:val="single" w:sz="4" w:space="0" w:color="auto"/>
            </w:tcBorders>
            <w:shd w:val="clear" w:color="auto" w:fill="auto"/>
            <w:noWrap/>
            <w:vAlign w:val="bottom"/>
            <w:hideMark/>
          </w:tcPr>
          <w:p w14:paraId="0D9FE3F8" w14:textId="77777777" w:rsidR="00DB5CF6" w:rsidRPr="009A1EF2" w:rsidRDefault="00DB5CF6" w:rsidP="00CD10AC">
            <w:pPr>
              <w:jc w:val="center"/>
              <w:rPr>
                <w:rFonts w:asciiTheme="minorHAnsi" w:hAnsiTheme="minorHAnsi" w:cstheme="minorHAnsi"/>
                <w:color w:val="000000"/>
                <w:sz w:val="20"/>
                <w:szCs w:val="20"/>
                <w:lang w:eastAsia="lv-LV"/>
              </w:rPr>
            </w:pPr>
            <w:r w:rsidRPr="009A1EF2">
              <w:rPr>
                <w:rFonts w:asciiTheme="minorHAnsi" w:hAnsiTheme="minorHAnsi" w:cstheme="minorHAnsi"/>
                <w:color w:val="000000"/>
                <w:sz w:val="20"/>
                <w:szCs w:val="20"/>
                <w:lang w:eastAsia="lv-LV"/>
              </w:rPr>
              <w:t>6.5</w:t>
            </w:r>
          </w:p>
        </w:tc>
        <w:tc>
          <w:tcPr>
            <w:tcW w:w="426" w:type="pct"/>
            <w:tcBorders>
              <w:top w:val="nil"/>
              <w:left w:val="nil"/>
              <w:bottom w:val="single" w:sz="4" w:space="0" w:color="auto"/>
              <w:right w:val="single" w:sz="4" w:space="0" w:color="auto"/>
            </w:tcBorders>
            <w:shd w:val="clear" w:color="auto" w:fill="auto"/>
            <w:noWrap/>
            <w:vAlign w:val="bottom"/>
            <w:hideMark/>
          </w:tcPr>
          <w:p w14:paraId="49F9473B" w14:textId="77777777" w:rsidR="00DB5CF6" w:rsidRPr="009A1EF2" w:rsidRDefault="00DB5CF6" w:rsidP="00CD10AC">
            <w:pPr>
              <w:jc w:val="center"/>
              <w:rPr>
                <w:rFonts w:asciiTheme="minorHAnsi" w:hAnsiTheme="minorHAnsi" w:cstheme="minorHAnsi"/>
                <w:color w:val="000000"/>
                <w:sz w:val="20"/>
                <w:szCs w:val="20"/>
                <w:lang w:eastAsia="lv-LV"/>
              </w:rPr>
            </w:pPr>
            <w:r w:rsidRPr="009A1EF2">
              <w:rPr>
                <w:rFonts w:asciiTheme="minorHAnsi" w:hAnsiTheme="minorHAnsi" w:cstheme="minorHAnsi"/>
                <w:color w:val="000000"/>
                <w:sz w:val="20"/>
                <w:szCs w:val="20"/>
                <w:lang w:eastAsia="lv-LV"/>
              </w:rPr>
              <w:t>5.3</w:t>
            </w:r>
          </w:p>
        </w:tc>
        <w:tc>
          <w:tcPr>
            <w:tcW w:w="424" w:type="pct"/>
            <w:tcBorders>
              <w:top w:val="nil"/>
              <w:left w:val="nil"/>
              <w:bottom w:val="single" w:sz="4" w:space="0" w:color="auto"/>
              <w:right w:val="single" w:sz="4" w:space="0" w:color="auto"/>
            </w:tcBorders>
            <w:shd w:val="clear" w:color="auto" w:fill="auto"/>
            <w:noWrap/>
            <w:vAlign w:val="bottom"/>
            <w:hideMark/>
          </w:tcPr>
          <w:p w14:paraId="7B2E8DBA" w14:textId="77777777" w:rsidR="00DB5CF6" w:rsidRPr="009A1EF2" w:rsidRDefault="00DB5CF6" w:rsidP="00CD10AC">
            <w:pPr>
              <w:jc w:val="center"/>
              <w:rPr>
                <w:rFonts w:asciiTheme="minorHAnsi" w:hAnsiTheme="minorHAnsi" w:cstheme="minorHAnsi"/>
                <w:color w:val="000000"/>
                <w:sz w:val="20"/>
                <w:szCs w:val="20"/>
                <w:lang w:eastAsia="lv-LV"/>
              </w:rPr>
            </w:pPr>
            <w:r w:rsidRPr="009A1EF2">
              <w:rPr>
                <w:rFonts w:asciiTheme="minorHAnsi" w:hAnsiTheme="minorHAnsi" w:cstheme="minorHAnsi"/>
                <w:color w:val="000000"/>
                <w:sz w:val="20"/>
                <w:szCs w:val="20"/>
                <w:lang w:eastAsia="lv-LV"/>
              </w:rPr>
              <w:t>5.2</w:t>
            </w:r>
          </w:p>
        </w:tc>
      </w:tr>
      <w:tr w:rsidR="00DB5CF6" w:rsidRPr="009A1EF2" w14:paraId="3FC49F23" w14:textId="77777777" w:rsidTr="00644A95">
        <w:trPr>
          <w:trHeight w:val="300"/>
        </w:trPr>
        <w:tc>
          <w:tcPr>
            <w:tcW w:w="3297" w:type="pct"/>
            <w:tcBorders>
              <w:top w:val="nil"/>
              <w:left w:val="single" w:sz="4" w:space="0" w:color="auto"/>
              <w:bottom w:val="single" w:sz="4" w:space="0" w:color="auto"/>
              <w:right w:val="single" w:sz="4" w:space="0" w:color="auto"/>
            </w:tcBorders>
            <w:shd w:val="clear" w:color="auto" w:fill="auto"/>
            <w:vAlign w:val="center"/>
            <w:hideMark/>
          </w:tcPr>
          <w:p w14:paraId="53642E6F" w14:textId="77777777" w:rsidR="00DB5CF6" w:rsidRPr="009A1EF2" w:rsidRDefault="00DB5CF6" w:rsidP="009A1EF2">
            <w:pPr>
              <w:jc w:val="both"/>
              <w:rPr>
                <w:rFonts w:asciiTheme="minorHAnsi" w:hAnsiTheme="minorHAnsi" w:cstheme="minorHAnsi"/>
                <w:color w:val="000000"/>
                <w:sz w:val="20"/>
                <w:szCs w:val="20"/>
                <w:lang w:eastAsia="lv-LV"/>
              </w:rPr>
            </w:pPr>
            <w:r w:rsidRPr="009A1EF2">
              <w:rPr>
                <w:rFonts w:asciiTheme="minorHAnsi" w:hAnsiTheme="minorHAnsi" w:cstheme="minorHAnsi"/>
                <w:color w:val="000000"/>
                <w:sz w:val="20"/>
                <w:szCs w:val="20"/>
                <w:lang w:eastAsia="lv-LV"/>
              </w:rPr>
              <w:t>Starpība</w:t>
            </w:r>
          </w:p>
        </w:tc>
        <w:tc>
          <w:tcPr>
            <w:tcW w:w="426" w:type="pct"/>
            <w:tcBorders>
              <w:top w:val="nil"/>
              <w:left w:val="nil"/>
              <w:bottom w:val="single" w:sz="4" w:space="0" w:color="auto"/>
              <w:right w:val="single" w:sz="4" w:space="0" w:color="auto"/>
            </w:tcBorders>
            <w:shd w:val="clear" w:color="000000" w:fill="FFE699"/>
            <w:noWrap/>
            <w:vAlign w:val="bottom"/>
            <w:hideMark/>
          </w:tcPr>
          <w:p w14:paraId="45563815" w14:textId="77777777" w:rsidR="00DB5CF6" w:rsidRPr="009A1EF2" w:rsidRDefault="00DB5CF6" w:rsidP="00CD10AC">
            <w:pPr>
              <w:jc w:val="center"/>
              <w:rPr>
                <w:rFonts w:asciiTheme="minorHAnsi" w:hAnsiTheme="minorHAnsi" w:cstheme="minorHAnsi"/>
                <w:color w:val="000000"/>
                <w:sz w:val="20"/>
                <w:szCs w:val="20"/>
                <w:u w:val="single"/>
                <w:lang w:eastAsia="lv-LV"/>
              </w:rPr>
            </w:pPr>
            <w:r w:rsidRPr="009A1EF2">
              <w:rPr>
                <w:rFonts w:asciiTheme="minorHAnsi" w:hAnsiTheme="minorHAnsi" w:cstheme="minorHAnsi"/>
                <w:color w:val="000000"/>
                <w:sz w:val="20"/>
                <w:szCs w:val="20"/>
                <w:u w:val="single"/>
                <w:lang w:eastAsia="lv-LV"/>
              </w:rPr>
              <w:t>-0.1</w:t>
            </w:r>
          </w:p>
        </w:tc>
        <w:tc>
          <w:tcPr>
            <w:tcW w:w="426" w:type="pct"/>
            <w:tcBorders>
              <w:top w:val="nil"/>
              <w:left w:val="nil"/>
              <w:bottom w:val="single" w:sz="4" w:space="0" w:color="auto"/>
              <w:right w:val="single" w:sz="4" w:space="0" w:color="auto"/>
            </w:tcBorders>
            <w:shd w:val="clear" w:color="auto" w:fill="auto"/>
            <w:noWrap/>
            <w:vAlign w:val="bottom"/>
            <w:hideMark/>
          </w:tcPr>
          <w:p w14:paraId="17B25CB7" w14:textId="77777777" w:rsidR="00DB5CF6" w:rsidRPr="009A1EF2" w:rsidRDefault="00DB5CF6" w:rsidP="00CD10AC">
            <w:pPr>
              <w:jc w:val="center"/>
              <w:rPr>
                <w:rFonts w:asciiTheme="minorHAnsi" w:hAnsiTheme="minorHAnsi" w:cstheme="minorHAnsi"/>
                <w:color w:val="000000"/>
                <w:sz w:val="20"/>
                <w:szCs w:val="20"/>
                <w:lang w:eastAsia="lv-LV"/>
              </w:rPr>
            </w:pPr>
            <w:r w:rsidRPr="009A1EF2">
              <w:rPr>
                <w:rFonts w:asciiTheme="minorHAnsi" w:hAnsiTheme="minorHAnsi" w:cstheme="minorHAnsi"/>
                <w:color w:val="000000"/>
                <w:sz w:val="20"/>
                <w:szCs w:val="20"/>
                <w:lang w:eastAsia="lv-LV"/>
              </w:rPr>
              <w:t>0</w:t>
            </w:r>
          </w:p>
        </w:tc>
        <w:tc>
          <w:tcPr>
            <w:tcW w:w="426" w:type="pct"/>
            <w:tcBorders>
              <w:top w:val="nil"/>
              <w:left w:val="nil"/>
              <w:bottom w:val="single" w:sz="4" w:space="0" w:color="auto"/>
              <w:right w:val="single" w:sz="4" w:space="0" w:color="auto"/>
            </w:tcBorders>
            <w:shd w:val="clear" w:color="auto" w:fill="auto"/>
            <w:noWrap/>
            <w:vAlign w:val="bottom"/>
            <w:hideMark/>
          </w:tcPr>
          <w:p w14:paraId="309B9F37" w14:textId="77777777" w:rsidR="00DB5CF6" w:rsidRPr="009A1EF2" w:rsidRDefault="00DB5CF6" w:rsidP="00CD10AC">
            <w:pPr>
              <w:jc w:val="center"/>
              <w:rPr>
                <w:rFonts w:asciiTheme="minorHAnsi" w:hAnsiTheme="minorHAnsi" w:cstheme="minorHAnsi"/>
                <w:color w:val="000000"/>
                <w:sz w:val="20"/>
                <w:szCs w:val="20"/>
                <w:lang w:eastAsia="lv-LV"/>
              </w:rPr>
            </w:pPr>
            <w:r w:rsidRPr="009A1EF2">
              <w:rPr>
                <w:rFonts w:asciiTheme="minorHAnsi" w:hAnsiTheme="minorHAnsi" w:cstheme="minorHAnsi"/>
                <w:color w:val="000000"/>
                <w:sz w:val="20"/>
                <w:szCs w:val="20"/>
                <w:lang w:eastAsia="lv-LV"/>
              </w:rPr>
              <w:t>0</w:t>
            </w:r>
          </w:p>
        </w:tc>
        <w:tc>
          <w:tcPr>
            <w:tcW w:w="424" w:type="pct"/>
            <w:tcBorders>
              <w:top w:val="nil"/>
              <w:left w:val="nil"/>
              <w:bottom w:val="single" w:sz="4" w:space="0" w:color="auto"/>
              <w:right w:val="single" w:sz="4" w:space="0" w:color="auto"/>
            </w:tcBorders>
            <w:shd w:val="clear" w:color="auto" w:fill="auto"/>
            <w:noWrap/>
            <w:vAlign w:val="bottom"/>
            <w:hideMark/>
          </w:tcPr>
          <w:p w14:paraId="5D37C670" w14:textId="77777777" w:rsidR="00DB5CF6" w:rsidRPr="009A1EF2" w:rsidRDefault="00DB5CF6" w:rsidP="00CD10AC">
            <w:pPr>
              <w:jc w:val="center"/>
              <w:rPr>
                <w:rFonts w:asciiTheme="minorHAnsi" w:hAnsiTheme="minorHAnsi" w:cstheme="minorHAnsi"/>
                <w:color w:val="000000"/>
                <w:sz w:val="20"/>
                <w:szCs w:val="20"/>
                <w:lang w:eastAsia="lv-LV"/>
              </w:rPr>
            </w:pPr>
            <w:r w:rsidRPr="009A1EF2">
              <w:rPr>
                <w:rFonts w:asciiTheme="minorHAnsi" w:hAnsiTheme="minorHAnsi" w:cstheme="minorHAnsi"/>
                <w:color w:val="000000"/>
                <w:sz w:val="20"/>
                <w:szCs w:val="20"/>
                <w:lang w:eastAsia="lv-LV"/>
              </w:rPr>
              <w:t>0</w:t>
            </w:r>
          </w:p>
        </w:tc>
      </w:tr>
      <w:tr w:rsidR="00DB5CF6" w:rsidRPr="009A1EF2" w14:paraId="74AA9D70" w14:textId="77777777" w:rsidTr="00644A95">
        <w:trPr>
          <w:trHeight w:val="300"/>
        </w:trPr>
        <w:tc>
          <w:tcPr>
            <w:tcW w:w="3297" w:type="pct"/>
            <w:tcBorders>
              <w:top w:val="nil"/>
              <w:left w:val="single" w:sz="4" w:space="0" w:color="auto"/>
              <w:bottom w:val="single" w:sz="4" w:space="0" w:color="auto"/>
              <w:right w:val="single" w:sz="4" w:space="0" w:color="auto"/>
            </w:tcBorders>
            <w:shd w:val="clear" w:color="auto" w:fill="auto"/>
            <w:vAlign w:val="center"/>
            <w:hideMark/>
          </w:tcPr>
          <w:p w14:paraId="7519E37E" w14:textId="77777777" w:rsidR="00DB5CF6" w:rsidRPr="009A1EF2" w:rsidRDefault="00DB5CF6" w:rsidP="009A1EF2">
            <w:pPr>
              <w:jc w:val="both"/>
              <w:rPr>
                <w:rFonts w:asciiTheme="minorHAnsi" w:hAnsiTheme="minorHAnsi" w:cstheme="minorHAnsi"/>
                <w:b/>
                <w:bCs/>
                <w:color w:val="000000"/>
                <w:sz w:val="20"/>
                <w:szCs w:val="20"/>
                <w:lang w:eastAsia="lv-LV"/>
              </w:rPr>
            </w:pPr>
            <w:r w:rsidRPr="009A1EF2">
              <w:rPr>
                <w:rFonts w:asciiTheme="minorHAnsi" w:hAnsiTheme="minorHAnsi" w:cstheme="minorHAnsi"/>
                <w:b/>
                <w:bCs/>
                <w:color w:val="000000"/>
                <w:sz w:val="20"/>
                <w:szCs w:val="20"/>
                <w:lang w:eastAsia="lv-LV"/>
              </w:rPr>
              <w:t>Inflācija (FDP apstiprinātā)</w:t>
            </w:r>
          </w:p>
        </w:tc>
        <w:tc>
          <w:tcPr>
            <w:tcW w:w="426" w:type="pct"/>
            <w:tcBorders>
              <w:top w:val="nil"/>
              <w:left w:val="nil"/>
              <w:bottom w:val="single" w:sz="4" w:space="0" w:color="auto"/>
              <w:right w:val="single" w:sz="4" w:space="0" w:color="auto"/>
            </w:tcBorders>
            <w:shd w:val="clear" w:color="auto" w:fill="auto"/>
            <w:noWrap/>
            <w:vAlign w:val="bottom"/>
            <w:hideMark/>
          </w:tcPr>
          <w:p w14:paraId="7D395A8C" w14:textId="77777777" w:rsidR="00DB5CF6" w:rsidRPr="009A1EF2" w:rsidRDefault="00DB5CF6" w:rsidP="00CD10AC">
            <w:pPr>
              <w:jc w:val="center"/>
              <w:rPr>
                <w:rFonts w:asciiTheme="minorHAnsi" w:hAnsiTheme="minorHAnsi" w:cstheme="minorHAnsi"/>
                <w:b/>
                <w:bCs/>
                <w:color w:val="000000"/>
                <w:sz w:val="20"/>
                <w:szCs w:val="20"/>
                <w:lang w:eastAsia="lv-LV"/>
              </w:rPr>
            </w:pPr>
            <w:r w:rsidRPr="009A1EF2">
              <w:rPr>
                <w:rFonts w:asciiTheme="minorHAnsi" w:hAnsiTheme="minorHAnsi" w:cstheme="minorHAnsi"/>
                <w:b/>
                <w:bCs/>
                <w:color w:val="000000"/>
                <w:sz w:val="20"/>
                <w:szCs w:val="20"/>
                <w:lang w:eastAsia="lv-LV"/>
              </w:rPr>
              <w:t>0.2</w:t>
            </w:r>
          </w:p>
        </w:tc>
        <w:tc>
          <w:tcPr>
            <w:tcW w:w="426" w:type="pct"/>
            <w:tcBorders>
              <w:top w:val="nil"/>
              <w:left w:val="nil"/>
              <w:bottom w:val="single" w:sz="4" w:space="0" w:color="auto"/>
              <w:right w:val="single" w:sz="4" w:space="0" w:color="auto"/>
            </w:tcBorders>
            <w:shd w:val="clear" w:color="auto" w:fill="auto"/>
            <w:noWrap/>
            <w:vAlign w:val="bottom"/>
            <w:hideMark/>
          </w:tcPr>
          <w:p w14:paraId="1C539DC7" w14:textId="77777777" w:rsidR="00DB5CF6" w:rsidRPr="009A1EF2" w:rsidRDefault="00DB5CF6" w:rsidP="00CD10AC">
            <w:pPr>
              <w:jc w:val="center"/>
              <w:rPr>
                <w:rFonts w:asciiTheme="minorHAnsi" w:hAnsiTheme="minorHAnsi" w:cstheme="minorHAnsi"/>
                <w:b/>
                <w:bCs/>
                <w:color w:val="000000"/>
                <w:sz w:val="20"/>
                <w:szCs w:val="20"/>
                <w:lang w:eastAsia="lv-LV"/>
              </w:rPr>
            </w:pPr>
            <w:r w:rsidRPr="009A1EF2">
              <w:rPr>
                <w:rFonts w:asciiTheme="minorHAnsi" w:hAnsiTheme="minorHAnsi" w:cstheme="minorHAnsi"/>
                <w:b/>
                <w:bCs/>
                <w:color w:val="000000"/>
                <w:sz w:val="20"/>
                <w:szCs w:val="20"/>
                <w:lang w:eastAsia="lv-LV"/>
              </w:rPr>
              <w:t>1.2</w:t>
            </w:r>
          </w:p>
        </w:tc>
        <w:tc>
          <w:tcPr>
            <w:tcW w:w="426" w:type="pct"/>
            <w:tcBorders>
              <w:top w:val="nil"/>
              <w:left w:val="nil"/>
              <w:bottom w:val="single" w:sz="4" w:space="0" w:color="auto"/>
              <w:right w:val="single" w:sz="4" w:space="0" w:color="auto"/>
            </w:tcBorders>
            <w:shd w:val="clear" w:color="auto" w:fill="auto"/>
            <w:noWrap/>
            <w:vAlign w:val="bottom"/>
            <w:hideMark/>
          </w:tcPr>
          <w:p w14:paraId="4ED8AAF1" w14:textId="77777777" w:rsidR="00DB5CF6" w:rsidRPr="009A1EF2" w:rsidRDefault="00DB5CF6" w:rsidP="00CD10AC">
            <w:pPr>
              <w:jc w:val="center"/>
              <w:rPr>
                <w:rFonts w:asciiTheme="minorHAnsi" w:hAnsiTheme="minorHAnsi" w:cstheme="minorHAnsi"/>
                <w:b/>
                <w:bCs/>
                <w:color w:val="000000"/>
                <w:sz w:val="20"/>
                <w:szCs w:val="20"/>
                <w:lang w:eastAsia="lv-LV"/>
              </w:rPr>
            </w:pPr>
            <w:r w:rsidRPr="009A1EF2">
              <w:rPr>
                <w:rFonts w:asciiTheme="minorHAnsi" w:hAnsiTheme="minorHAnsi" w:cstheme="minorHAnsi"/>
                <w:b/>
                <w:bCs/>
                <w:color w:val="000000"/>
                <w:sz w:val="20"/>
                <w:szCs w:val="20"/>
                <w:lang w:eastAsia="lv-LV"/>
              </w:rPr>
              <w:t>2</w:t>
            </w:r>
          </w:p>
        </w:tc>
        <w:tc>
          <w:tcPr>
            <w:tcW w:w="424" w:type="pct"/>
            <w:tcBorders>
              <w:top w:val="nil"/>
              <w:left w:val="nil"/>
              <w:bottom w:val="single" w:sz="4" w:space="0" w:color="auto"/>
              <w:right w:val="single" w:sz="4" w:space="0" w:color="auto"/>
            </w:tcBorders>
            <w:shd w:val="clear" w:color="auto" w:fill="auto"/>
            <w:noWrap/>
            <w:vAlign w:val="bottom"/>
            <w:hideMark/>
          </w:tcPr>
          <w:p w14:paraId="6922BC9C" w14:textId="77777777" w:rsidR="00DB5CF6" w:rsidRPr="009A1EF2" w:rsidRDefault="00DB5CF6" w:rsidP="00CD10AC">
            <w:pPr>
              <w:jc w:val="center"/>
              <w:rPr>
                <w:rFonts w:asciiTheme="minorHAnsi" w:hAnsiTheme="minorHAnsi" w:cstheme="minorHAnsi"/>
                <w:b/>
                <w:bCs/>
                <w:color w:val="000000"/>
                <w:sz w:val="20"/>
                <w:szCs w:val="20"/>
                <w:lang w:eastAsia="lv-LV"/>
              </w:rPr>
            </w:pPr>
            <w:r w:rsidRPr="009A1EF2">
              <w:rPr>
                <w:rFonts w:asciiTheme="minorHAnsi" w:hAnsiTheme="minorHAnsi" w:cstheme="minorHAnsi"/>
                <w:b/>
                <w:bCs/>
                <w:color w:val="000000"/>
                <w:sz w:val="20"/>
                <w:szCs w:val="20"/>
                <w:lang w:eastAsia="lv-LV"/>
              </w:rPr>
              <w:t>2</w:t>
            </w:r>
          </w:p>
        </w:tc>
      </w:tr>
      <w:tr w:rsidR="00DB5CF6" w:rsidRPr="009A1EF2" w14:paraId="02A14A4E" w14:textId="77777777" w:rsidTr="00644A95">
        <w:trPr>
          <w:trHeight w:val="300"/>
        </w:trPr>
        <w:tc>
          <w:tcPr>
            <w:tcW w:w="3297" w:type="pct"/>
            <w:tcBorders>
              <w:top w:val="nil"/>
              <w:left w:val="single" w:sz="4" w:space="0" w:color="auto"/>
              <w:bottom w:val="single" w:sz="4" w:space="0" w:color="auto"/>
              <w:right w:val="single" w:sz="4" w:space="0" w:color="auto"/>
            </w:tcBorders>
            <w:shd w:val="clear" w:color="auto" w:fill="auto"/>
            <w:vAlign w:val="center"/>
            <w:hideMark/>
          </w:tcPr>
          <w:p w14:paraId="5066B9B0" w14:textId="77777777" w:rsidR="00DB5CF6" w:rsidRPr="009A1EF2" w:rsidRDefault="00DB5CF6" w:rsidP="009A1EF2">
            <w:pPr>
              <w:jc w:val="both"/>
              <w:rPr>
                <w:rFonts w:asciiTheme="minorHAnsi" w:hAnsiTheme="minorHAnsi" w:cstheme="minorHAnsi"/>
                <w:color w:val="000000"/>
                <w:sz w:val="20"/>
                <w:szCs w:val="20"/>
                <w:lang w:eastAsia="lv-LV"/>
              </w:rPr>
            </w:pPr>
            <w:r w:rsidRPr="009A1EF2">
              <w:rPr>
                <w:rFonts w:asciiTheme="minorHAnsi" w:hAnsiTheme="minorHAnsi" w:cstheme="minorHAnsi"/>
                <w:color w:val="000000"/>
                <w:sz w:val="20"/>
                <w:szCs w:val="20"/>
                <w:lang w:eastAsia="lv-LV"/>
              </w:rPr>
              <w:t>Inflācija (izmaiņas pēc CSP datu revīzijas)</w:t>
            </w:r>
          </w:p>
        </w:tc>
        <w:tc>
          <w:tcPr>
            <w:tcW w:w="426" w:type="pct"/>
            <w:tcBorders>
              <w:top w:val="nil"/>
              <w:left w:val="nil"/>
              <w:bottom w:val="single" w:sz="4" w:space="0" w:color="auto"/>
              <w:right w:val="single" w:sz="4" w:space="0" w:color="auto"/>
            </w:tcBorders>
            <w:shd w:val="clear" w:color="auto" w:fill="auto"/>
            <w:noWrap/>
            <w:vAlign w:val="bottom"/>
            <w:hideMark/>
          </w:tcPr>
          <w:p w14:paraId="0FEE7347" w14:textId="77777777" w:rsidR="00DB5CF6" w:rsidRPr="009A1EF2" w:rsidRDefault="00DB5CF6" w:rsidP="00CD10AC">
            <w:pPr>
              <w:jc w:val="center"/>
              <w:rPr>
                <w:rFonts w:asciiTheme="minorHAnsi" w:hAnsiTheme="minorHAnsi" w:cstheme="minorHAnsi"/>
                <w:color w:val="000000"/>
                <w:sz w:val="20"/>
                <w:szCs w:val="20"/>
                <w:lang w:eastAsia="lv-LV"/>
              </w:rPr>
            </w:pPr>
            <w:r w:rsidRPr="009A1EF2">
              <w:rPr>
                <w:rFonts w:asciiTheme="minorHAnsi" w:hAnsiTheme="minorHAnsi" w:cstheme="minorHAnsi"/>
                <w:color w:val="000000"/>
                <w:sz w:val="20"/>
                <w:szCs w:val="20"/>
                <w:lang w:eastAsia="lv-LV"/>
              </w:rPr>
              <w:t>0.2</w:t>
            </w:r>
          </w:p>
        </w:tc>
        <w:tc>
          <w:tcPr>
            <w:tcW w:w="426" w:type="pct"/>
            <w:tcBorders>
              <w:top w:val="nil"/>
              <w:left w:val="nil"/>
              <w:bottom w:val="single" w:sz="4" w:space="0" w:color="auto"/>
              <w:right w:val="single" w:sz="4" w:space="0" w:color="auto"/>
            </w:tcBorders>
            <w:shd w:val="clear" w:color="auto" w:fill="auto"/>
            <w:noWrap/>
            <w:vAlign w:val="bottom"/>
            <w:hideMark/>
          </w:tcPr>
          <w:p w14:paraId="49C91234" w14:textId="77777777" w:rsidR="00DB5CF6" w:rsidRPr="009A1EF2" w:rsidRDefault="00DB5CF6" w:rsidP="00CD10AC">
            <w:pPr>
              <w:jc w:val="center"/>
              <w:rPr>
                <w:rFonts w:asciiTheme="minorHAnsi" w:hAnsiTheme="minorHAnsi" w:cstheme="minorHAnsi"/>
                <w:color w:val="000000"/>
                <w:sz w:val="20"/>
                <w:szCs w:val="20"/>
                <w:lang w:eastAsia="lv-LV"/>
              </w:rPr>
            </w:pPr>
            <w:r w:rsidRPr="009A1EF2">
              <w:rPr>
                <w:rFonts w:asciiTheme="minorHAnsi" w:hAnsiTheme="minorHAnsi" w:cstheme="minorHAnsi"/>
                <w:color w:val="000000"/>
                <w:sz w:val="20"/>
                <w:szCs w:val="20"/>
                <w:lang w:eastAsia="lv-LV"/>
              </w:rPr>
              <w:t>1.2</w:t>
            </w:r>
          </w:p>
        </w:tc>
        <w:tc>
          <w:tcPr>
            <w:tcW w:w="426" w:type="pct"/>
            <w:tcBorders>
              <w:top w:val="nil"/>
              <w:left w:val="nil"/>
              <w:bottom w:val="single" w:sz="4" w:space="0" w:color="auto"/>
              <w:right w:val="single" w:sz="4" w:space="0" w:color="auto"/>
            </w:tcBorders>
            <w:shd w:val="clear" w:color="auto" w:fill="auto"/>
            <w:noWrap/>
            <w:vAlign w:val="bottom"/>
            <w:hideMark/>
          </w:tcPr>
          <w:p w14:paraId="41CC438F" w14:textId="77777777" w:rsidR="00DB5CF6" w:rsidRPr="009A1EF2" w:rsidRDefault="00DB5CF6" w:rsidP="00CD10AC">
            <w:pPr>
              <w:jc w:val="center"/>
              <w:rPr>
                <w:rFonts w:asciiTheme="minorHAnsi" w:hAnsiTheme="minorHAnsi" w:cstheme="minorHAnsi"/>
                <w:color w:val="000000"/>
                <w:sz w:val="20"/>
                <w:szCs w:val="20"/>
                <w:lang w:eastAsia="lv-LV"/>
              </w:rPr>
            </w:pPr>
            <w:r w:rsidRPr="009A1EF2">
              <w:rPr>
                <w:rFonts w:asciiTheme="minorHAnsi" w:hAnsiTheme="minorHAnsi" w:cstheme="minorHAnsi"/>
                <w:color w:val="000000"/>
                <w:sz w:val="20"/>
                <w:szCs w:val="20"/>
                <w:lang w:eastAsia="lv-LV"/>
              </w:rPr>
              <w:t>2</w:t>
            </w:r>
          </w:p>
        </w:tc>
        <w:tc>
          <w:tcPr>
            <w:tcW w:w="424" w:type="pct"/>
            <w:tcBorders>
              <w:top w:val="nil"/>
              <w:left w:val="nil"/>
              <w:bottom w:val="single" w:sz="4" w:space="0" w:color="auto"/>
              <w:right w:val="single" w:sz="4" w:space="0" w:color="auto"/>
            </w:tcBorders>
            <w:shd w:val="clear" w:color="auto" w:fill="auto"/>
            <w:noWrap/>
            <w:vAlign w:val="bottom"/>
            <w:hideMark/>
          </w:tcPr>
          <w:p w14:paraId="5448A9A7" w14:textId="77777777" w:rsidR="00DB5CF6" w:rsidRPr="009A1EF2" w:rsidRDefault="00DB5CF6" w:rsidP="00CD10AC">
            <w:pPr>
              <w:jc w:val="center"/>
              <w:rPr>
                <w:rFonts w:asciiTheme="minorHAnsi" w:hAnsiTheme="minorHAnsi" w:cstheme="minorHAnsi"/>
                <w:color w:val="000000"/>
                <w:sz w:val="20"/>
                <w:szCs w:val="20"/>
                <w:lang w:eastAsia="lv-LV"/>
              </w:rPr>
            </w:pPr>
            <w:r w:rsidRPr="009A1EF2">
              <w:rPr>
                <w:rFonts w:asciiTheme="minorHAnsi" w:hAnsiTheme="minorHAnsi" w:cstheme="minorHAnsi"/>
                <w:color w:val="000000"/>
                <w:sz w:val="20"/>
                <w:szCs w:val="20"/>
                <w:lang w:eastAsia="lv-LV"/>
              </w:rPr>
              <w:t>2</w:t>
            </w:r>
          </w:p>
        </w:tc>
      </w:tr>
      <w:tr w:rsidR="00DB5CF6" w:rsidRPr="009A1EF2" w14:paraId="7F536815" w14:textId="77777777" w:rsidTr="00644A95">
        <w:trPr>
          <w:trHeight w:val="300"/>
        </w:trPr>
        <w:tc>
          <w:tcPr>
            <w:tcW w:w="3297" w:type="pct"/>
            <w:tcBorders>
              <w:top w:val="nil"/>
              <w:left w:val="single" w:sz="4" w:space="0" w:color="auto"/>
              <w:bottom w:val="single" w:sz="4" w:space="0" w:color="auto"/>
              <w:right w:val="single" w:sz="4" w:space="0" w:color="auto"/>
            </w:tcBorders>
            <w:shd w:val="clear" w:color="auto" w:fill="auto"/>
            <w:vAlign w:val="center"/>
            <w:hideMark/>
          </w:tcPr>
          <w:p w14:paraId="00AC55A0" w14:textId="77777777" w:rsidR="00DB5CF6" w:rsidRPr="009A1EF2" w:rsidRDefault="00DB5CF6" w:rsidP="009A1EF2">
            <w:pPr>
              <w:jc w:val="both"/>
              <w:rPr>
                <w:rFonts w:asciiTheme="minorHAnsi" w:hAnsiTheme="minorHAnsi" w:cstheme="minorHAnsi"/>
                <w:color w:val="000000"/>
                <w:sz w:val="20"/>
                <w:szCs w:val="20"/>
                <w:lang w:eastAsia="lv-LV"/>
              </w:rPr>
            </w:pPr>
            <w:r w:rsidRPr="009A1EF2">
              <w:rPr>
                <w:rFonts w:asciiTheme="minorHAnsi" w:hAnsiTheme="minorHAnsi" w:cstheme="minorHAnsi"/>
                <w:color w:val="000000"/>
                <w:sz w:val="20"/>
                <w:szCs w:val="20"/>
                <w:lang w:eastAsia="lv-LV"/>
              </w:rPr>
              <w:t>Starpība</w:t>
            </w:r>
          </w:p>
        </w:tc>
        <w:tc>
          <w:tcPr>
            <w:tcW w:w="426" w:type="pct"/>
            <w:tcBorders>
              <w:top w:val="nil"/>
              <w:left w:val="nil"/>
              <w:bottom w:val="single" w:sz="4" w:space="0" w:color="auto"/>
              <w:right w:val="single" w:sz="4" w:space="0" w:color="auto"/>
            </w:tcBorders>
            <w:shd w:val="clear" w:color="auto" w:fill="auto"/>
            <w:noWrap/>
            <w:vAlign w:val="bottom"/>
            <w:hideMark/>
          </w:tcPr>
          <w:p w14:paraId="6E5D92F2" w14:textId="77777777" w:rsidR="00DB5CF6" w:rsidRPr="009A1EF2" w:rsidRDefault="00DB5CF6" w:rsidP="00CD10AC">
            <w:pPr>
              <w:jc w:val="center"/>
              <w:rPr>
                <w:rFonts w:asciiTheme="minorHAnsi" w:hAnsiTheme="minorHAnsi" w:cstheme="minorHAnsi"/>
                <w:color w:val="000000"/>
                <w:sz w:val="20"/>
                <w:szCs w:val="20"/>
                <w:lang w:eastAsia="lv-LV"/>
              </w:rPr>
            </w:pPr>
            <w:r w:rsidRPr="009A1EF2">
              <w:rPr>
                <w:rFonts w:asciiTheme="minorHAnsi" w:hAnsiTheme="minorHAnsi" w:cstheme="minorHAnsi"/>
                <w:color w:val="000000"/>
                <w:sz w:val="20"/>
                <w:szCs w:val="20"/>
                <w:lang w:eastAsia="lv-LV"/>
              </w:rPr>
              <w:t>0</w:t>
            </w:r>
          </w:p>
        </w:tc>
        <w:tc>
          <w:tcPr>
            <w:tcW w:w="426" w:type="pct"/>
            <w:tcBorders>
              <w:top w:val="nil"/>
              <w:left w:val="nil"/>
              <w:bottom w:val="single" w:sz="4" w:space="0" w:color="auto"/>
              <w:right w:val="single" w:sz="4" w:space="0" w:color="auto"/>
            </w:tcBorders>
            <w:shd w:val="clear" w:color="auto" w:fill="auto"/>
            <w:noWrap/>
            <w:vAlign w:val="bottom"/>
            <w:hideMark/>
          </w:tcPr>
          <w:p w14:paraId="16DB4B1E" w14:textId="77777777" w:rsidR="00DB5CF6" w:rsidRPr="009A1EF2" w:rsidRDefault="00DB5CF6" w:rsidP="00CD10AC">
            <w:pPr>
              <w:jc w:val="center"/>
              <w:rPr>
                <w:rFonts w:asciiTheme="minorHAnsi" w:hAnsiTheme="minorHAnsi" w:cstheme="minorHAnsi"/>
                <w:color w:val="000000"/>
                <w:sz w:val="20"/>
                <w:szCs w:val="20"/>
                <w:lang w:eastAsia="lv-LV"/>
              </w:rPr>
            </w:pPr>
            <w:r w:rsidRPr="009A1EF2">
              <w:rPr>
                <w:rFonts w:asciiTheme="minorHAnsi" w:hAnsiTheme="minorHAnsi" w:cstheme="minorHAnsi"/>
                <w:color w:val="000000"/>
                <w:sz w:val="20"/>
                <w:szCs w:val="20"/>
                <w:lang w:eastAsia="lv-LV"/>
              </w:rPr>
              <w:t>0</w:t>
            </w:r>
          </w:p>
        </w:tc>
        <w:tc>
          <w:tcPr>
            <w:tcW w:w="426" w:type="pct"/>
            <w:tcBorders>
              <w:top w:val="nil"/>
              <w:left w:val="nil"/>
              <w:bottom w:val="single" w:sz="4" w:space="0" w:color="auto"/>
              <w:right w:val="single" w:sz="4" w:space="0" w:color="auto"/>
            </w:tcBorders>
            <w:shd w:val="clear" w:color="auto" w:fill="auto"/>
            <w:noWrap/>
            <w:vAlign w:val="bottom"/>
            <w:hideMark/>
          </w:tcPr>
          <w:p w14:paraId="75DD7245" w14:textId="77777777" w:rsidR="00DB5CF6" w:rsidRPr="009A1EF2" w:rsidRDefault="00DB5CF6" w:rsidP="00CD10AC">
            <w:pPr>
              <w:jc w:val="center"/>
              <w:rPr>
                <w:rFonts w:asciiTheme="minorHAnsi" w:hAnsiTheme="minorHAnsi" w:cstheme="minorHAnsi"/>
                <w:color w:val="000000"/>
                <w:sz w:val="20"/>
                <w:szCs w:val="20"/>
                <w:lang w:eastAsia="lv-LV"/>
              </w:rPr>
            </w:pPr>
            <w:r w:rsidRPr="009A1EF2">
              <w:rPr>
                <w:rFonts w:asciiTheme="minorHAnsi" w:hAnsiTheme="minorHAnsi" w:cstheme="minorHAnsi"/>
                <w:color w:val="000000"/>
                <w:sz w:val="20"/>
                <w:szCs w:val="20"/>
                <w:lang w:eastAsia="lv-LV"/>
              </w:rPr>
              <w:t>0</w:t>
            </w:r>
          </w:p>
        </w:tc>
        <w:tc>
          <w:tcPr>
            <w:tcW w:w="424" w:type="pct"/>
            <w:tcBorders>
              <w:top w:val="nil"/>
              <w:left w:val="nil"/>
              <w:bottom w:val="single" w:sz="4" w:space="0" w:color="auto"/>
              <w:right w:val="single" w:sz="4" w:space="0" w:color="auto"/>
            </w:tcBorders>
            <w:shd w:val="clear" w:color="auto" w:fill="auto"/>
            <w:noWrap/>
            <w:vAlign w:val="bottom"/>
            <w:hideMark/>
          </w:tcPr>
          <w:p w14:paraId="4B75BFFF" w14:textId="77777777" w:rsidR="00DB5CF6" w:rsidRPr="009A1EF2" w:rsidRDefault="00DB5CF6" w:rsidP="00CD10AC">
            <w:pPr>
              <w:jc w:val="center"/>
              <w:rPr>
                <w:rFonts w:asciiTheme="minorHAnsi" w:hAnsiTheme="minorHAnsi" w:cstheme="minorHAnsi"/>
                <w:color w:val="000000"/>
                <w:sz w:val="20"/>
                <w:szCs w:val="20"/>
                <w:lang w:eastAsia="lv-LV"/>
              </w:rPr>
            </w:pPr>
            <w:r w:rsidRPr="009A1EF2">
              <w:rPr>
                <w:rFonts w:asciiTheme="minorHAnsi" w:hAnsiTheme="minorHAnsi" w:cstheme="minorHAnsi"/>
                <w:color w:val="000000"/>
                <w:sz w:val="20"/>
                <w:szCs w:val="20"/>
                <w:lang w:eastAsia="lv-LV"/>
              </w:rPr>
              <w:t>0</w:t>
            </w:r>
          </w:p>
        </w:tc>
      </w:tr>
      <w:tr w:rsidR="00DB5CF6" w:rsidRPr="009A1EF2" w14:paraId="74ADBA12" w14:textId="77777777" w:rsidTr="00644A95">
        <w:trPr>
          <w:trHeight w:val="300"/>
        </w:trPr>
        <w:tc>
          <w:tcPr>
            <w:tcW w:w="3297" w:type="pct"/>
            <w:tcBorders>
              <w:top w:val="nil"/>
              <w:left w:val="single" w:sz="4" w:space="0" w:color="auto"/>
              <w:bottom w:val="single" w:sz="4" w:space="0" w:color="auto"/>
              <w:right w:val="single" w:sz="4" w:space="0" w:color="auto"/>
            </w:tcBorders>
            <w:shd w:val="clear" w:color="auto" w:fill="auto"/>
            <w:vAlign w:val="center"/>
            <w:hideMark/>
          </w:tcPr>
          <w:p w14:paraId="3DCCF4A6" w14:textId="77777777" w:rsidR="00DB5CF6" w:rsidRPr="009A1EF2" w:rsidRDefault="00DB5CF6" w:rsidP="009A1EF2">
            <w:pPr>
              <w:jc w:val="both"/>
              <w:rPr>
                <w:rFonts w:asciiTheme="minorHAnsi" w:hAnsiTheme="minorHAnsi" w:cstheme="minorHAnsi"/>
                <w:b/>
                <w:bCs/>
                <w:color w:val="000000"/>
                <w:sz w:val="20"/>
                <w:szCs w:val="20"/>
                <w:lang w:eastAsia="lv-LV"/>
              </w:rPr>
            </w:pPr>
            <w:r w:rsidRPr="009A1EF2">
              <w:rPr>
                <w:rFonts w:asciiTheme="minorHAnsi" w:hAnsiTheme="minorHAnsi" w:cstheme="minorHAnsi"/>
                <w:b/>
                <w:bCs/>
                <w:color w:val="000000"/>
                <w:sz w:val="20"/>
                <w:szCs w:val="20"/>
                <w:lang w:eastAsia="lv-LV"/>
              </w:rPr>
              <w:t>IKP deflators (FDP apstiprinātā)</w:t>
            </w:r>
          </w:p>
        </w:tc>
        <w:tc>
          <w:tcPr>
            <w:tcW w:w="426" w:type="pct"/>
            <w:tcBorders>
              <w:top w:val="nil"/>
              <w:left w:val="nil"/>
              <w:bottom w:val="single" w:sz="4" w:space="0" w:color="auto"/>
              <w:right w:val="single" w:sz="4" w:space="0" w:color="auto"/>
            </w:tcBorders>
            <w:shd w:val="clear" w:color="auto" w:fill="auto"/>
            <w:noWrap/>
            <w:vAlign w:val="bottom"/>
            <w:hideMark/>
          </w:tcPr>
          <w:p w14:paraId="7AD26A6E" w14:textId="77777777" w:rsidR="00DB5CF6" w:rsidRPr="009A1EF2" w:rsidRDefault="00DB5CF6" w:rsidP="00CD10AC">
            <w:pPr>
              <w:jc w:val="center"/>
              <w:rPr>
                <w:rFonts w:asciiTheme="minorHAnsi" w:hAnsiTheme="minorHAnsi" w:cstheme="minorHAnsi"/>
                <w:b/>
                <w:bCs/>
                <w:color w:val="000000"/>
                <w:sz w:val="20"/>
                <w:szCs w:val="20"/>
                <w:lang w:eastAsia="lv-LV"/>
              </w:rPr>
            </w:pPr>
            <w:r w:rsidRPr="009A1EF2">
              <w:rPr>
                <w:rFonts w:asciiTheme="minorHAnsi" w:hAnsiTheme="minorHAnsi" w:cstheme="minorHAnsi"/>
                <w:b/>
                <w:bCs/>
                <w:color w:val="000000"/>
                <w:sz w:val="20"/>
                <w:szCs w:val="20"/>
                <w:lang w:eastAsia="lv-LV"/>
              </w:rPr>
              <w:t>-0.5</w:t>
            </w:r>
          </w:p>
        </w:tc>
        <w:tc>
          <w:tcPr>
            <w:tcW w:w="426" w:type="pct"/>
            <w:tcBorders>
              <w:top w:val="nil"/>
              <w:left w:val="nil"/>
              <w:bottom w:val="single" w:sz="4" w:space="0" w:color="auto"/>
              <w:right w:val="single" w:sz="4" w:space="0" w:color="auto"/>
            </w:tcBorders>
            <w:shd w:val="clear" w:color="auto" w:fill="auto"/>
            <w:noWrap/>
            <w:vAlign w:val="bottom"/>
            <w:hideMark/>
          </w:tcPr>
          <w:p w14:paraId="7549EDE7" w14:textId="77777777" w:rsidR="00DB5CF6" w:rsidRPr="009A1EF2" w:rsidRDefault="00DB5CF6" w:rsidP="00CD10AC">
            <w:pPr>
              <w:jc w:val="center"/>
              <w:rPr>
                <w:rFonts w:asciiTheme="minorHAnsi" w:hAnsiTheme="minorHAnsi" w:cstheme="minorHAnsi"/>
                <w:b/>
                <w:bCs/>
                <w:color w:val="000000"/>
                <w:sz w:val="20"/>
                <w:szCs w:val="20"/>
                <w:lang w:eastAsia="lv-LV"/>
              </w:rPr>
            </w:pPr>
            <w:r w:rsidRPr="009A1EF2">
              <w:rPr>
                <w:rFonts w:asciiTheme="minorHAnsi" w:hAnsiTheme="minorHAnsi" w:cstheme="minorHAnsi"/>
                <w:b/>
                <w:bCs/>
                <w:color w:val="000000"/>
                <w:sz w:val="20"/>
                <w:szCs w:val="20"/>
                <w:lang w:eastAsia="lv-LV"/>
              </w:rPr>
              <w:t>1.3</w:t>
            </w:r>
          </w:p>
        </w:tc>
        <w:tc>
          <w:tcPr>
            <w:tcW w:w="426" w:type="pct"/>
            <w:tcBorders>
              <w:top w:val="nil"/>
              <w:left w:val="nil"/>
              <w:bottom w:val="single" w:sz="4" w:space="0" w:color="auto"/>
              <w:right w:val="single" w:sz="4" w:space="0" w:color="auto"/>
            </w:tcBorders>
            <w:shd w:val="clear" w:color="auto" w:fill="auto"/>
            <w:noWrap/>
            <w:vAlign w:val="bottom"/>
            <w:hideMark/>
          </w:tcPr>
          <w:p w14:paraId="30389F25" w14:textId="77777777" w:rsidR="00DB5CF6" w:rsidRPr="009A1EF2" w:rsidRDefault="00DB5CF6" w:rsidP="00CD10AC">
            <w:pPr>
              <w:jc w:val="center"/>
              <w:rPr>
                <w:rFonts w:asciiTheme="minorHAnsi" w:hAnsiTheme="minorHAnsi" w:cstheme="minorHAnsi"/>
                <w:b/>
                <w:bCs/>
                <w:color w:val="000000"/>
                <w:sz w:val="20"/>
                <w:szCs w:val="20"/>
                <w:lang w:eastAsia="lv-LV"/>
              </w:rPr>
            </w:pPr>
            <w:r w:rsidRPr="009A1EF2">
              <w:rPr>
                <w:rFonts w:asciiTheme="minorHAnsi" w:hAnsiTheme="minorHAnsi" w:cstheme="minorHAnsi"/>
                <w:b/>
                <w:bCs/>
                <w:color w:val="000000"/>
                <w:sz w:val="20"/>
                <w:szCs w:val="20"/>
                <w:lang w:eastAsia="lv-LV"/>
              </w:rPr>
              <w:t>2</w:t>
            </w:r>
          </w:p>
        </w:tc>
        <w:tc>
          <w:tcPr>
            <w:tcW w:w="424" w:type="pct"/>
            <w:tcBorders>
              <w:top w:val="nil"/>
              <w:left w:val="nil"/>
              <w:bottom w:val="single" w:sz="4" w:space="0" w:color="auto"/>
              <w:right w:val="single" w:sz="4" w:space="0" w:color="auto"/>
            </w:tcBorders>
            <w:shd w:val="clear" w:color="auto" w:fill="auto"/>
            <w:noWrap/>
            <w:vAlign w:val="bottom"/>
            <w:hideMark/>
          </w:tcPr>
          <w:p w14:paraId="073E1B66" w14:textId="77777777" w:rsidR="00DB5CF6" w:rsidRPr="009A1EF2" w:rsidRDefault="00DB5CF6" w:rsidP="00CD10AC">
            <w:pPr>
              <w:jc w:val="center"/>
              <w:rPr>
                <w:rFonts w:asciiTheme="minorHAnsi" w:hAnsiTheme="minorHAnsi" w:cstheme="minorHAnsi"/>
                <w:b/>
                <w:bCs/>
                <w:color w:val="000000"/>
                <w:sz w:val="20"/>
                <w:szCs w:val="20"/>
                <w:lang w:eastAsia="lv-LV"/>
              </w:rPr>
            </w:pPr>
            <w:r w:rsidRPr="009A1EF2">
              <w:rPr>
                <w:rFonts w:asciiTheme="minorHAnsi" w:hAnsiTheme="minorHAnsi" w:cstheme="minorHAnsi"/>
                <w:b/>
                <w:bCs/>
                <w:color w:val="000000"/>
                <w:sz w:val="20"/>
                <w:szCs w:val="20"/>
                <w:lang w:eastAsia="lv-LV"/>
              </w:rPr>
              <w:t>2</w:t>
            </w:r>
          </w:p>
        </w:tc>
      </w:tr>
      <w:tr w:rsidR="00DB5CF6" w:rsidRPr="009A1EF2" w14:paraId="64905BE8" w14:textId="77777777" w:rsidTr="00644A95">
        <w:trPr>
          <w:trHeight w:val="300"/>
        </w:trPr>
        <w:tc>
          <w:tcPr>
            <w:tcW w:w="3297" w:type="pct"/>
            <w:tcBorders>
              <w:top w:val="nil"/>
              <w:left w:val="single" w:sz="4" w:space="0" w:color="auto"/>
              <w:bottom w:val="single" w:sz="4" w:space="0" w:color="auto"/>
              <w:right w:val="single" w:sz="4" w:space="0" w:color="auto"/>
            </w:tcBorders>
            <w:shd w:val="clear" w:color="auto" w:fill="auto"/>
            <w:vAlign w:val="center"/>
            <w:hideMark/>
          </w:tcPr>
          <w:p w14:paraId="47C83036" w14:textId="77777777" w:rsidR="00DB5CF6" w:rsidRPr="009A1EF2" w:rsidRDefault="00DB5CF6" w:rsidP="009A1EF2">
            <w:pPr>
              <w:rPr>
                <w:rFonts w:asciiTheme="minorHAnsi" w:hAnsiTheme="minorHAnsi" w:cstheme="minorHAnsi"/>
                <w:color w:val="000000"/>
                <w:sz w:val="20"/>
                <w:szCs w:val="20"/>
                <w:lang w:eastAsia="lv-LV"/>
              </w:rPr>
            </w:pPr>
            <w:r w:rsidRPr="009A1EF2">
              <w:rPr>
                <w:rFonts w:asciiTheme="minorHAnsi" w:hAnsiTheme="minorHAnsi" w:cstheme="minorHAnsi"/>
                <w:color w:val="000000"/>
                <w:sz w:val="20"/>
                <w:szCs w:val="20"/>
                <w:lang w:eastAsia="lv-LV"/>
              </w:rPr>
              <w:t>IKP deflators (izmaiņas pēc CSP datu revīzijas)</w:t>
            </w:r>
          </w:p>
        </w:tc>
        <w:tc>
          <w:tcPr>
            <w:tcW w:w="426" w:type="pct"/>
            <w:tcBorders>
              <w:top w:val="nil"/>
              <w:left w:val="nil"/>
              <w:bottom w:val="single" w:sz="4" w:space="0" w:color="auto"/>
              <w:right w:val="single" w:sz="4" w:space="0" w:color="auto"/>
            </w:tcBorders>
            <w:shd w:val="clear" w:color="auto" w:fill="auto"/>
            <w:noWrap/>
            <w:vAlign w:val="bottom"/>
            <w:hideMark/>
          </w:tcPr>
          <w:p w14:paraId="65EE6234" w14:textId="77777777" w:rsidR="00DB5CF6" w:rsidRPr="009A1EF2" w:rsidRDefault="00DB5CF6" w:rsidP="00CD10AC">
            <w:pPr>
              <w:jc w:val="center"/>
              <w:rPr>
                <w:rFonts w:asciiTheme="minorHAnsi" w:hAnsiTheme="minorHAnsi" w:cstheme="minorHAnsi"/>
                <w:color w:val="000000"/>
                <w:sz w:val="20"/>
                <w:szCs w:val="20"/>
                <w:lang w:eastAsia="lv-LV"/>
              </w:rPr>
            </w:pPr>
            <w:r w:rsidRPr="009A1EF2">
              <w:rPr>
                <w:rFonts w:asciiTheme="minorHAnsi" w:hAnsiTheme="minorHAnsi" w:cstheme="minorHAnsi"/>
                <w:color w:val="000000"/>
                <w:sz w:val="20"/>
                <w:szCs w:val="20"/>
                <w:lang w:eastAsia="lv-LV"/>
              </w:rPr>
              <w:t>-0.5</w:t>
            </w:r>
          </w:p>
        </w:tc>
        <w:tc>
          <w:tcPr>
            <w:tcW w:w="426" w:type="pct"/>
            <w:tcBorders>
              <w:top w:val="nil"/>
              <w:left w:val="nil"/>
              <w:bottom w:val="single" w:sz="4" w:space="0" w:color="auto"/>
              <w:right w:val="single" w:sz="4" w:space="0" w:color="auto"/>
            </w:tcBorders>
            <w:shd w:val="clear" w:color="auto" w:fill="auto"/>
            <w:noWrap/>
            <w:vAlign w:val="bottom"/>
            <w:hideMark/>
          </w:tcPr>
          <w:p w14:paraId="053A55E3" w14:textId="77777777" w:rsidR="00DB5CF6" w:rsidRPr="009A1EF2" w:rsidRDefault="00DB5CF6" w:rsidP="00CD10AC">
            <w:pPr>
              <w:jc w:val="center"/>
              <w:rPr>
                <w:rFonts w:asciiTheme="minorHAnsi" w:hAnsiTheme="minorHAnsi" w:cstheme="minorHAnsi"/>
                <w:color w:val="000000"/>
                <w:sz w:val="20"/>
                <w:szCs w:val="20"/>
                <w:lang w:eastAsia="lv-LV"/>
              </w:rPr>
            </w:pPr>
            <w:r w:rsidRPr="009A1EF2">
              <w:rPr>
                <w:rFonts w:asciiTheme="minorHAnsi" w:hAnsiTheme="minorHAnsi" w:cstheme="minorHAnsi"/>
                <w:color w:val="000000"/>
                <w:sz w:val="20"/>
                <w:szCs w:val="20"/>
                <w:lang w:eastAsia="lv-LV"/>
              </w:rPr>
              <w:t>1.3</w:t>
            </w:r>
          </w:p>
        </w:tc>
        <w:tc>
          <w:tcPr>
            <w:tcW w:w="426" w:type="pct"/>
            <w:tcBorders>
              <w:top w:val="nil"/>
              <w:left w:val="nil"/>
              <w:bottom w:val="single" w:sz="4" w:space="0" w:color="auto"/>
              <w:right w:val="single" w:sz="4" w:space="0" w:color="auto"/>
            </w:tcBorders>
            <w:shd w:val="clear" w:color="auto" w:fill="auto"/>
            <w:noWrap/>
            <w:vAlign w:val="bottom"/>
            <w:hideMark/>
          </w:tcPr>
          <w:p w14:paraId="29FD95A5" w14:textId="77777777" w:rsidR="00DB5CF6" w:rsidRPr="009A1EF2" w:rsidRDefault="00DB5CF6" w:rsidP="00CD10AC">
            <w:pPr>
              <w:jc w:val="center"/>
              <w:rPr>
                <w:rFonts w:asciiTheme="minorHAnsi" w:hAnsiTheme="minorHAnsi" w:cstheme="minorHAnsi"/>
                <w:color w:val="000000"/>
                <w:sz w:val="20"/>
                <w:szCs w:val="20"/>
                <w:lang w:eastAsia="lv-LV"/>
              </w:rPr>
            </w:pPr>
            <w:r w:rsidRPr="009A1EF2">
              <w:rPr>
                <w:rFonts w:asciiTheme="minorHAnsi" w:hAnsiTheme="minorHAnsi" w:cstheme="minorHAnsi"/>
                <w:color w:val="000000"/>
                <w:sz w:val="20"/>
                <w:szCs w:val="20"/>
                <w:lang w:eastAsia="lv-LV"/>
              </w:rPr>
              <w:t>2</w:t>
            </w:r>
          </w:p>
        </w:tc>
        <w:tc>
          <w:tcPr>
            <w:tcW w:w="424" w:type="pct"/>
            <w:tcBorders>
              <w:top w:val="nil"/>
              <w:left w:val="nil"/>
              <w:bottom w:val="single" w:sz="4" w:space="0" w:color="auto"/>
              <w:right w:val="single" w:sz="4" w:space="0" w:color="auto"/>
            </w:tcBorders>
            <w:shd w:val="clear" w:color="auto" w:fill="auto"/>
            <w:noWrap/>
            <w:vAlign w:val="bottom"/>
            <w:hideMark/>
          </w:tcPr>
          <w:p w14:paraId="0062ACEB" w14:textId="77777777" w:rsidR="00DB5CF6" w:rsidRPr="009A1EF2" w:rsidRDefault="00DB5CF6" w:rsidP="00CD10AC">
            <w:pPr>
              <w:jc w:val="center"/>
              <w:rPr>
                <w:rFonts w:asciiTheme="minorHAnsi" w:hAnsiTheme="minorHAnsi" w:cstheme="minorHAnsi"/>
                <w:color w:val="000000"/>
                <w:sz w:val="20"/>
                <w:szCs w:val="20"/>
                <w:lang w:eastAsia="lv-LV"/>
              </w:rPr>
            </w:pPr>
            <w:r w:rsidRPr="009A1EF2">
              <w:rPr>
                <w:rFonts w:asciiTheme="minorHAnsi" w:hAnsiTheme="minorHAnsi" w:cstheme="minorHAnsi"/>
                <w:color w:val="000000"/>
                <w:sz w:val="20"/>
                <w:szCs w:val="20"/>
                <w:lang w:eastAsia="lv-LV"/>
              </w:rPr>
              <w:t>2</w:t>
            </w:r>
          </w:p>
        </w:tc>
      </w:tr>
      <w:tr w:rsidR="00DB5CF6" w:rsidRPr="009A1EF2" w14:paraId="4F932784" w14:textId="77777777" w:rsidTr="00644A95">
        <w:trPr>
          <w:trHeight w:val="300"/>
        </w:trPr>
        <w:tc>
          <w:tcPr>
            <w:tcW w:w="3297" w:type="pct"/>
            <w:tcBorders>
              <w:top w:val="nil"/>
              <w:left w:val="single" w:sz="4" w:space="0" w:color="auto"/>
              <w:bottom w:val="single" w:sz="4" w:space="0" w:color="auto"/>
              <w:right w:val="single" w:sz="4" w:space="0" w:color="auto"/>
            </w:tcBorders>
            <w:shd w:val="clear" w:color="auto" w:fill="auto"/>
            <w:vAlign w:val="center"/>
            <w:hideMark/>
          </w:tcPr>
          <w:p w14:paraId="1122B764" w14:textId="77777777" w:rsidR="00DB5CF6" w:rsidRPr="009A1EF2" w:rsidRDefault="00DB5CF6" w:rsidP="009A1EF2">
            <w:pPr>
              <w:jc w:val="both"/>
              <w:rPr>
                <w:rFonts w:asciiTheme="minorHAnsi" w:hAnsiTheme="minorHAnsi" w:cstheme="minorHAnsi"/>
                <w:color w:val="000000"/>
                <w:sz w:val="20"/>
                <w:szCs w:val="20"/>
                <w:lang w:eastAsia="lv-LV"/>
              </w:rPr>
            </w:pPr>
            <w:r w:rsidRPr="009A1EF2">
              <w:rPr>
                <w:rFonts w:asciiTheme="minorHAnsi" w:hAnsiTheme="minorHAnsi" w:cstheme="minorHAnsi"/>
                <w:color w:val="000000"/>
                <w:sz w:val="20"/>
                <w:szCs w:val="20"/>
                <w:lang w:eastAsia="lv-LV"/>
              </w:rPr>
              <w:t>Starpība</w:t>
            </w:r>
          </w:p>
        </w:tc>
        <w:tc>
          <w:tcPr>
            <w:tcW w:w="426" w:type="pct"/>
            <w:tcBorders>
              <w:top w:val="nil"/>
              <w:left w:val="nil"/>
              <w:bottom w:val="single" w:sz="4" w:space="0" w:color="auto"/>
              <w:right w:val="single" w:sz="4" w:space="0" w:color="auto"/>
            </w:tcBorders>
            <w:shd w:val="clear" w:color="auto" w:fill="auto"/>
            <w:noWrap/>
            <w:vAlign w:val="bottom"/>
            <w:hideMark/>
          </w:tcPr>
          <w:p w14:paraId="7BE22C99" w14:textId="77777777" w:rsidR="00DB5CF6" w:rsidRPr="009A1EF2" w:rsidRDefault="00DB5CF6" w:rsidP="00CD10AC">
            <w:pPr>
              <w:jc w:val="center"/>
              <w:rPr>
                <w:rFonts w:asciiTheme="minorHAnsi" w:hAnsiTheme="minorHAnsi" w:cstheme="minorHAnsi"/>
                <w:color w:val="000000"/>
                <w:sz w:val="20"/>
                <w:szCs w:val="20"/>
                <w:lang w:eastAsia="lv-LV"/>
              </w:rPr>
            </w:pPr>
            <w:r w:rsidRPr="009A1EF2">
              <w:rPr>
                <w:rFonts w:asciiTheme="minorHAnsi" w:hAnsiTheme="minorHAnsi" w:cstheme="minorHAnsi"/>
                <w:color w:val="000000"/>
                <w:sz w:val="20"/>
                <w:szCs w:val="20"/>
                <w:lang w:eastAsia="lv-LV"/>
              </w:rPr>
              <w:t>0</w:t>
            </w:r>
          </w:p>
        </w:tc>
        <w:tc>
          <w:tcPr>
            <w:tcW w:w="426" w:type="pct"/>
            <w:tcBorders>
              <w:top w:val="nil"/>
              <w:left w:val="nil"/>
              <w:bottom w:val="single" w:sz="4" w:space="0" w:color="auto"/>
              <w:right w:val="single" w:sz="4" w:space="0" w:color="auto"/>
            </w:tcBorders>
            <w:shd w:val="clear" w:color="auto" w:fill="auto"/>
            <w:noWrap/>
            <w:vAlign w:val="bottom"/>
            <w:hideMark/>
          </w:tcPr>
          <w:p w14:paraId="2ED5EF68" w14:textId="77777777" w:rsidR="00DB5CF6" w:rsidRPr="009A1EF2" w:rsidRDefault="00DB5CF6" w:rsidP="00CD10AC">
            <w:pPr>
              <w:jc w:val="center"/>
              <w:rPr>
                <w:rFonts w:asciiTheme="minorHAnsi" w:hAnsiTheme="minorHAnsi" w:cstheme="minorHAnsi"/>
                <w:color w:val="000000"/>
                <w:sz w:val="20"/>
                <w:szCs w:val="20"/>
                <w:lang w:eastAsia="lv-LV"/>
              </w:rPr>
            </w:pPr>
            <w:r w:rsidRPr="009A1EF2">
              <w:rPr>
                <w:rFonts w:asciiTheme="minorHAnsi" w:hAnsiTheme="minorHAnsi" w:cstheme="minorHAnsi"/>
                <w:color w:val="000000"/>
                <w:sz w:val="20"/>
                <w:szCs w:val="20"/>
                <w:lang w:eastAsia="lv-LV"/>
              </w:rPr>
              <w:t>0</w:t>
            </w:r>
          </w:p>
        </w:tc>
        <w:tc>
          <w:tcPr>
            <w:tcW w:w="426" w:type="pct"/>
            <w:tcBorders>
              <w:top w:val="nil"/>
              <w:left w:val="nil"/>
              <w:bottom w:val="single" w:sz="4" w:space="0" w:color="auto"/>
              <w:right w:val="single" w:sz="4" w:space="0" w:color="auto"/>
            </w:tcBorders>
            <w:shd w:val="clear" w:color="auto" w:fill="auto"/>
            <w:noWrap/>
            <w:vAlign w:val="bottom"/>
            <w:hideMark/>
          </w:tcPr>
          <w:p w14:paraId="604E2C24" w14:textId="77777777" w:rsidR="00DB5CF6" w:rsidRPr="009A1EF2" w:rsidRDefault="00DB5CF6" w:rsidP="00CD10AC">
            <w:pPr>
              <w:jc w:val="center"/>
              <w:rPr>
                <w:rFonts w:asciiTheme="minorHAnsi" w:hAnsiTheme="minorHAnsi" w:cstheme="minorHAnsi"/>
                <w:color w:val="000000"/>
                <w:sz w:val="20"/>
                <w:szCs w:val="20"/>
                <w:lang w:eastAsia="lv-LV"/>
              </w:rPr>
            </w:pPr>
            <w:r w:rsidRPr="009A1EF2">
              <w:rPr>
                <w:rFonts w:asciiTheme="minorHAnsi" w:hAnsiTheme="minorHAnsi" w:cstheme="minorHAnsi"/>
                <w:color w:val="000000"/>
                <w:sz w:val="20"/>
                <w:szCs w:val="20"/>
                <w:lang w:eastAsia="lv-LV"/>
              </w:rPr>
              <w:t>0</w:t>
            </w:r>
          </w:p>
        </w:tc>
        <w:tc>
          <w:tcPr>
            <w:tcW w:w="424" w:type="pct"/>
            <w:tcBorders>
              <w:top w:val="nil"/>
              <w:left w:val="nil"/>
              <w:bottom w:val="single" w:sz="4" w:space="0" w:color="auto"/>
              <w:right w:val="single" w:sz="4" w:space="0" w:color="auto"/>
            </w:tcBorders>
            <w:shd w:val="clear" w:color="auto" w:fill="auto"/>
            <w:noWrap/>
            <w:vAlign w:val="bottom"/>
            <w:hideMark/>
          </w:tcPr>
          <w:p w14:paraId="3200463C" w14:textId="77777777" w:rsidR="00DB5CF6" w:rsidRPr="009A1EF2" w:rsidRDefault="00DB5CF6" w:rsidP="00CD10AC">
            <w:pPr>
              <w:jc w:val="center"/>
              <w:rPr>
                <w:rFonts w:asciiTheme="minorHAnsi" w:hAnsiTheme="minorHAnsi" w:cstheme="minorHAnsi"/>
                <w:color w:val="000000"/>
                <w:sz w:val="20"/>
                <w:szCs w:val="20"/>
                <w:lang w:eastAsia="lv-LV"/>
              </w:rPr>
            </w:pPr>
            <w:r w:rsidRPr="009A1EF2">
              <w:rPr>
                <w:rFonts w:asciiTheme="minorHAnsi" w:hAnsiTheme="minorHAnsi" w:cstheme="minorHAnsi"/>
                <w:color w:val="000000"/>
                <w:sz w:val="20"/>
                <w:szCs w:val="20"/>
                <w:lang w:eastAsia="lv-LV"/>
              </w:rPr>
              <w:t>0</w:t>
            </w:r>
          </w:p>
        </w:tc>
      </w:tr>
      <w:tr w:rsidR="00DB5CF6" w:rsidRPr="009A1EF2" w14:paraId="64E28712" w14:textId="77777777" w:rsidTr="00644A95">
        <w:trPr>
          <w:trHeight w:val="300"/>
        </w:trPr>
        <w:tc>
          <w:tcPr>
            <w:tcW w:w="3297" w:type="pct"/>
            <w:tcBorders>
              <w:top w:val="nil"/>
              <w:left w:val="single" w:sz="4" w:space="0" w:color="auto"/>
              <w:bottom w:val="single" w:sz="4" w:space="0" w:color="auto"/>
              <w:right w:val="single" w:sz="4" w:space="0" w:color="auto"/>
            </w:tcBorders>
            <w:shd w:val="clear" w:color="auto" w:fill="auto"/>
            <w:vAlign w:val="center"/>
            <w:hideMark/>
          </w:tcPr>
          <w:p w14:paraId="5B5FC3E0" w14:textId="77777777" w:rsidR="00DB5CF6" w:rsidRPr="009A1EF2" w:rsidRDefault="00DB5CF6" w:rsidP="009A1EF2">
            <w:pPr>
              <w:rPr>
                <w:rFonts w:asciiTheme="minorHAnsi" w:hAnsiTheme="minorHAnsi" w:cstheme="minorHAnsi"/>
                <w:b/>
                <w:bCs/>
                <w:color w:val="000000"/>
                <w:sz w:val="20"/>
                <w:szCs w:val="20"/>
                <w:lang w:eastAsia="lv-LV"/>
              </w:rPr>
            </w:pPr>
            <w:r w:rsidRPr="009A1EF2">
              <w:rPr>
                <w:rFonts w:asciiTheme="minorHAnsi" w:hAnsiTheme="minorHAnsi" w:cstheme="minorHAnsi"/>
                <w:b/>
                <w:bCs/>
                <w:color w:val="000000"/>
                <w:sz w:val="20"/>
                <w:szCs w:val="20"/>
                <w:lang w:eastAsia="lv-LV"/>
              </w:rPr>
              <w:t>Potenciālā IKP izaugsme (FDP apstiprinātā)</w:t>
            </w:r>
          </w:p>
        </w:tc>
        <w:tc>
          <w:tcPr>
            <w:tcW w:w="426" w:type="pct"/>
            <w:tcBorders>
              <w:top w:val="nil"/>
              <w:left w:val="nil"/>
              <w:bottom w:val="single" w:sz="4" w:space="0" w:color="auto"/>
              <w:right w:val="single" w:sz="4" w:space="0" w:color="auto"/>
            </w:tcBorders>
            <w:shd w:val="clear" w:color="auto" w:fill="auto"/>
            <w:noWrap/>
            <w:vAlign w:val="bottom"/>
            <w:hideMark/>
          </w:tcPr>
          <w:p w14:paraId="03EA48D0" w14:textId="77777777" w:rsidR="00DB5CF6" w:rsidRPr="009A1EF2" w:rsidRDefault="00DB5CF6" w:rsidP="00CD10AC">
            <w:pPr>
              <w:jc w:val="center"/>
              <w:rPr>
                <w:rFonts w:asciiTheme="minorHAnsi" w:hAnsiTheme="minorHAnsi" w:cstheme="minorHAnsi"/>
                <w:b/>
                <w:bCs/>
                <w:color w:val="000000"/>
                <w:sz w:val="20"/>
                <w:szCs w:val="20"/>
                <w:lang w:eastAsia="lv-LV"/>
              </w:rPr>
            </w:pPr>
            <w:r w:rsidRPr="009A1EF2">
              <w:rPr>
                <w:rFonts w:asciiTheme="minorHAnsi" w:hAnsiTheme="minorHAnsi" w:cstheme="minorHAnsi"/>
                <w:b/>
                <w:bCs/>
                <w:color w:val="000000"/>
                <w:sz w:val="20"/>
                <w:szCs w:val="20"/>
                <w:lang w:eastAsia="lv-LV"/>
              </w:rPr>
              <w:t>2.4</w:t>
            </w:r>
          </w:p>
        </w:tc>
        <w:tc>
          <w:tcPr>
            <w:tcW w:w="426" w:type="pct"/>
            <w:tcBorders>
              <w:top w:val="nil"/>
              <w:left w:val="nil"/>
              <w:bottom w:val="single" w:sz="4" w:space="0" w:color="auto"/>
              <w:right w:val="single" w:sz="4" w:space="0" w:color="auto"/>
            </w:tcBorders>
            <w:shd w:val="clear" w:color="auto" w:fill="auto"/>
            <w:noWrap/>
            <w:vAlign w:val="bottom"/>
            <w:hideMark/>
          </w:tcPr>
          <w:p w14:paraId="4DF7FE45" w14:textId="77777777" w:rsidR="00DB5CF6" w:rsidRPr="009A1EF2" w:rsidRDefault="00DB5CF6" w:rsidP="00CD10AC">
            <w:pPr>
              <w:jc w:val="center"/>
              <w:rPr>
                <w:rFonts w:asciiTheme="minorHAnsi" w:hAnsiTheme="minorHAnsi" w:cstheme="minorHAnsi"/>
                <w:b/>
                <w:bCs/>
                <w:color w:val="000000"/>
                <w:sz w:val="20"/>
                <w:szCs w:val="20"/>
                <w:lang w:eastAsia="lv-LV"/>
              </w:rPr>
            </w:pPr>
            <w:r w:rsidRPr="009A1EF2">
              <w:rPr>
                <w:rFonts w:asciiTheme="minorHAnsi" w:hAnsiTheme="minorHAnsi" w:cstheme="minorHAnsi"/>
                <w:b/>
                <w:bCs/>
                <w:color w:val="000000"/>
                <w:sz w:val="20"/>
                <w:szCs w:val="20"/>
                <w:lang w:eastAsia="lv-LV"/>
              </w:rPr>
              <w:t>2.5</w:t>
            </w:r>
          </w:p>
        </w:tc>
        <w:tc>
          <w:tcPr>
            <w:tcW w:w="426" w:type="pct"/>
            <w:tcBorders>
              <w:top w:val="nil"/>
              <w:left w:val="nil"/>
              <w:bottom w:val="single" w:sz="4" w:space="0" w:color="auto"/>
              <w:right w:val="single" w:sz="4" w:space="0" w:color="auto"/>
            </w:tcBorders>
            <w:shd w:val="clear" w:color="auto" w:fill="auto"/>
            <w:noWrap/>
            <w:vAlign w:val="bottom"/>
            <w:hideMark/>
          </w:tcPr>
          <w:p w14:paraId="3DE28B70" w14:textId="77777777" w:rsidR="00DB5CF6" w:rsidRPr="009A1EF2" w:rsidRDefault="00DB5CF6" w:rsidP="00CD10AC">
            <w:pPr>
              <w:jc w:val="center"/>
              <w:rPr>
                <w:rFonts w:asciiTheme="minorHAnsi" w:hAnsiTheme="minorHAnsi" w:cstheme="minorHAnsi"/>
                <w:b/>
                <w:bCs/>
                <w:color w:val="000000"/>
                <w:sz w:val="20"/>
                <w:szCs w:val="20"/>
                <w:lang w:eastAsia="lv-LV"/>
              </w:rPr>
            </w:pPr>
            <w:r w:rsidRPr="009A1EF2">
              <w:rPr>
                <w:rFonts w:asciiTheme="minorHAnsi" w:hAnsiTheme="minorHAnsi" w:cstheme="minorHAnsi"/>
                <w:b/>
                <w:bCs/>
                <w:color w:val="000000"/>
                <w:sz w:val="20"/>
                <w:szCs w:val="20"/>
                <w:lang w:eastAsia="lv-LV"/>
              </w:rPr>
              <w:t>2.5</w:t>
            </w:r>
          </w:p>
        </w:tc>
        <w:tc>
          <w:tcPr>
            <w:tcW w:w="424" w:type="pct"/>
            <w:tcBorders>
              <w:top w:val="nil"/>
              <w:left w:val="nil"/>
              <w:bottom w:val="single" w:sz="4" w:space="0" w:color="auto"/>
              <w:right w:val="single" w:sz="4" w:space="0" w:color="auto"/>
            </w:tcBorders>
            <w:shd w:val="clear" w:color="auto" w:fill="auto"/>
            <w:noWrap/>
            <w:vAlign w:val="bottom"/>
            <w:hideMark/>
          </w:tcPr>
          <w:p w14:paraId="370C1085" w14:textId="77777777" w:rsidR="00DB5CF6" w:rsidRPr="009A1EF2" w:rsidRDefault="00DB5CF6" w:rsidP="00CD10AC">
            <w:pPr>
              <w:jc w:val="center"/>
              <w:rPr>
                <w:rFonts w:asciiTheme="minorHAnsi" w:hAnsiTheme="minorHAnsi" w:cstheme="minorHAnsi"/>
                <w:b/>
                <w:bCs/>
                <w:color w:val="000000"/>
                <w:sz w:val="20"/>
                <w:szCs w:val="20"/>
                <w:lang w:eastAsia="lv-LV"/>
              </w:rPr>
            </w:pPr>
            <w:r w:rsidRPr="009A1EF2">
              <w:rPr>
                <w:rFonts w:asciiTheme="minorHAnsi" w:hAnsiTheme="minorHAnsi" w:cstheme="minorHAnsi"/>
                <w:b/>
                <w:bCs/>
                <w:color w:val="000000"/>
                <w:sz w:val="20"/>
                <w:szCs w:val="20"/>
                <w:lang w:eastAsia="lv-LV"/>
              </w:rPr>
              <w:t>2.4</w:t>
            </w:r>
          </w:p>
        </w:tc>
      </w:tr>
      <w:tr w:rsidR="00DB5CF6" w:rsidRPr="009A1EF2" w14:paraId="6FE140EF" w14:textId="77777777" w:rsidTr="00644A95">
        <w:trPr>
          <w:trHeight w:val="300"/>
        </w:trPr>
        <w:tc>
          <w:tcPr>
            <w:tcW w:w="3297" w:type="pct"/>
            <w:tcBorders>
              <w:top w:val="nil"/>
              <w:left w:val="single" w:sz="4" w:space="0" w:color="auto"/>
              <w:bottom w:val="single" w:sz="4" w:space="0" w:color="auto"/>
              <w:right w:val="single" w:sz="4" w:space="0" w:color="auto"/>
            </w:tcBorders>
            <w:shd w:val="clear" w:color="auto" w:fill="auto"/>
            <w:vAlign w:val="center"/>
            <w:hideMark/>
          </w:tcPr>
          <w:p w14:paraId="6164A5B0" w14:textId="77777777" w:rsidR="00DB5CF6" w:rsidRPr="009A1EF2" w:rsidRDefault="00DB5CF6" w:rsidP="009A1EF2">
            <w:pPr>
              <w:jc w:val="both"/>
              <w:rPr>
                <w:rFonts w:asciiTheme="minorHAnsi" w:hAnsiTheme="minorHAnsi" w:cstheme="minorHAnsi"/>
                <w:color w:val="000000"/>
                <w:sz w:val="20"/>
                <w:szCs w:val="20"/>
                <w:lang w:eastAsia="lv-LV"/>
              </w:rPr>
            </w:pPr>
            <w:r w:rsidRPr="009A1EF2">
              <w:rPr>
                <w:rFonts w:asciiTheme="minorHAnsi" w:hAnsiTheme="minorHAnsi" w:cstheme="minorHAnsi"/>
                <w:color w:val="000000"/>
                <w:sz w:val="20"/>
                <w:szCs w:val="20"/>
                <w:lang w:eastAsia="lv-LV"/>
              </w:rPr>
              <w:t>Potenciālā IKP izaugsme (izmaiņas pēc CSP datu revīzijas)</w:t>
            </w:r>
          </w:p>
        </w:tc>
        <w:tc>
          <w:tcPr>
            <w:tcW w:w="426" w:type="pct"/>
            <w:tcBorders>
              <w:top w:val="nil"/>
              <w:left w:val="nil"/>
              <w:bottom w:val="single" w:sz="4" w:space="0" w:color="auto"/>
              <w:right w:val="single" w:sz="4" w:space="0" w:color="auto"/>
            </w:tcBorders>
            <w:shd w:val="clear" w:color="auto" w:fill="auto"/>
            <w:noWrap/>
            <w:vAlign w:val="bottom"/>
            <w:hideMark/>
          </w:tcPr>
          <w:p w14:paraId="6D353D35" w14:textId="77777777" w:rsidR="00DB5CF6" w:rsidRPr="009A1EF2" w:rsidRDefault="00DB5CF6" w:rsidP="00CD10AC">
            <w:pPr>
              <w:jc w:val="center"/>
              <w:rPr>
                <w:rFonts w:asciiTheme="minorHAnsi" w:hAnsiTheme="minorHAnsi" w:cstheme="minorHAnsi"/>
                <w:color w:val="000000"/>
                <w:sz w:val="20"/>
                <w:szCs w:val="20"/>
                <w:lang w:eastAsia="lv-LV"/>
              </w:rPr>
            </w:pPr>
            <w:r w:rsidRPr="009A1EF2">
              <w:rPr>
                <w:rFonts w:asciiTheme="minorHAnsi" w:hAnsiTheme="minorHAnsi" w:cstheme="minorHAnsi"/>
                <w:color w:val="000000"/>
                <w:sz w:val="20"/>
                <w:szCs w:val="20"/>
                <w:lang w:eastAsia="lv-LV"/>
              </w:rPr>
              <w:t>2.4</w:t>
            </w:r>
          </w:p>
        </w:tc>
        <w:tc>
          <w:tcPr>
            <w:tcW w:w="426" w:type="pct"/>
            <w:tcBorders>
              <w:top w:val="nil"/>
              <w:left w:val="nil"/>
              <w:bottom w:val="single" w:sz="4" w:space="0" w:color="auto"/>
              <w:right w:val="single" w:sz="4" w:space="0" w:color="auto"/>
            </w:tcBorders>
            <w:shd w:val="clear" w:color="auto" w:fill="auto"/>
            <w:noWrap/>
            <w:vAlign w:val="bottom"/>
            <w:hideMark/>
          </w:tcPr>
          <w:p w14:paraId="2E7A0627" w14:textId="77777777" w:rsidR="00DB5CF6" w:rsidRPr="009A1EF2" w:rsidRDefault="00DB5CF6" w:rsidP="00CD10AC">
            <w:pPr>
              <w:jc w:val="center"/>
              <w:rPr>
                <w:rFonts w:asciiTheme="minorHAnsi" w:hAnsiTheme="minorHAnsi" w:cstheme="minorHAnsi"/>
                <w:color w:val="000000"/>
                <w:sz w:val="20"/>
                <w:szCs w:val="20"/>
                <w:lang w:eastAsia="lv-LV"/>
              </w:rPr>
            </w:pPr>
            <w:r w:rsidRPr="009A1EF2">
              <w:rPr>
                <w:rFonts w:asciiTheme="minorHAnsi" w:hAnsiTheme="minorHAnsi" w:cstheme="minorHAnsi"/>
                <w:color w:val="000000"/>
                <w:sz w:val="20"/>
                <w:szCs w:val="20"/>
                <w:lang w:eastAsia="lv-LV"/>
              </w:rPr>
              <w:t>2.5</w:t>
            </w:r>
          </w:p>
        </w:tc>
        <w:tc>
          <w:tcPr>
            <w:tcW w:w="426" w:type="pct"/>
            <w:tcBorders>
              <w:top w:val="nil"/>
              <w:left w:val="nil"/>
              <w:bottom w:val="single" w:sz="4" w:space="0" w:color="auto"/>
              <w:right w:val="single" w:sz="4" w:space="0" w:color="auto"/>
            </w:tcBorders>
            <w:shd w:val="clear" w:color="auto" w:fill="auto"/>
            <w:noWrap/>
            <w:vAlign w:val="bottom"/>
            <w:hideMark/>
          </w:tcPr>
          <w:p w14:paraId="1A4ACF3A" w14:textId="77777777" w:rsidR="00DB5CF6" w:rsidRPr="009A1EF2" w:rsidRDefault="00DB5CF6" w:rsidP="00CD10AC">
            <w:pPr>
              <w:jc w:val="center"/>
              <w:rPr>
                <w:rFonts w:asciiTheme="minorHAnsi" w:hAnsiTheme="minorHAnsi" w:cstheme="minorHAnsi"/>
                <w:color w:val="000000"/>
                <w:sz w:val="20"/>
                <w:szCs w:val="20"/>
                <w:lang w:eastAsia="lv-LV"/>
              </w:rPr>
            </w:pPr>
            <w:r w:rsidRPr="009A1EF2">
              <w:rPr>
                <w:rFonts w:asciiTheme="minorHAnsi" w:hAnsiTheme="minorHAnsi" w:cstheme="minorHAnsi"/>
                <w:color w:val="000000"/>
                <w:sz w:val="20"/>
                <w:szCs w:val="20"/>
                <w:lang w:eastAsia="lv-LV"/>
              </w:rPr>
              <w:t>2.5</w:t>
            </w:r>
          </w:p>
        </w:tc>
        <w:tc>
          <w:tcPr>
            <w:tcW w:w="424" w:type="pct"/>
            <w:tcBorders>
              <w:top w:val="nil"/>
              <w:left w:val="nil"/>
              <w:bottom w:val="single" w:sz="4" w:space="0" w:color="auto"/>
              <w:right w:val="single" w:sz="4" w:space="0" w:color="auto"/>
            </w:tcBorders>
            <w:shd w:val="clear" w:color="auto" w:fill="auto"/>
            <w:noWrap/>
            <w:vAlign w:val="bottom"/>
            <w:hideMark/>
          </w:tcPr>
          <w:p w14:paraId="42FC9B5E" w14:textId="77777777" w:rsidR="00DB5CF6" w:rsidRPr="009A1EF2" w:rsidRDefault="00DB5CF6" w:rsidP="00CD10AC">
            <w:pPr>
              <w:jc w:val="center"/>
              <w:rPr>
                <w:rFonts w:asciiTheme="minorHAnsi" w:hAnsiTheme="minorHAnsi" w:cstheme="minorHAnsi"/>
                <w:color w:val="000000"/>
                <w:sz w:val="20"/>
                <w:szCs w:val="20"/>
                <w:lang w:eastAsia="lv-LV"/>
              </w:rPr>
            </w:pPr>
            <w:r w:rsidRPr="009A1EF2">
              <w:rPr>
                <w:rFonts w:asciiTheme="minorHAnsi" w:hAnsiTheme="minorHAnsi" w:cstheme="minorHAnsi"/>
                <w:color w:val="000000"/>
                <w:sz w:val="20"/>
                <w:szCs w:val="20"/>
                <w:lang w:eastAsia="lv-LV"/>
              </w:rPr>
              <w:t>2.4</w:t>
            </w:r>
          </w:p>
        </w:tc>
      </w:tr>
      <w:tr w:rsidR="00DB5CF6" w:rsidRPr="009A1EF2" w14:paraId="718C42F7" w14:textId="77777777" w:rsidTr="00644A95">
        <w:trPr>
          <w:trHeight w:val="300"/>
        </w:trPr>
        <w:tc>
          <w:tcPr>
            <w:tcW w:w="3297" w:type="pct"/>
            <w:tcBorders>
              <w:top w:val="nil"/>
              <w:left w:val="single" w:sz="4" w:space="0" w:color="auto"/>
              <w:bottom w:val="single" w:sz="4" w:space="0" w:color="auto"/>
              <w:right w:val="single" w:sz="4" w:space="0" w:color="auto"/>
            </w:tcBorders>
            <w:shd w:val="clear" w:color="auto" w:fill="auto"/>
            <w:vAlign w:val="center"/>
            <w:hideMark/>
          </w:tcPr>
          <w:p w14:paraId="2F84FE39" w14:textId="77777777" w:rsidR="00DB5CF6" w:rsidRPr="009A1EF2" w:rsidRDefault="00DB5CF6" w:rsidP="009A1EF2">
            <w:pPr>
              <w:jc w:val="both"/>
              <w:rPr>
                <w:rFonts w:asciiTheme="minorHAnsi" w:hAnsiTheme="minorHAnsi" w:cstheme="minorHAnsi"/>
                <w:color w:val="000000"/>
                <w:sz w:val="20"/>
                <w:szCs w:val="20"/>
                <w:lang w:eastAsia="lv-LV"/>
              </w:rPr>
            </w:pPr>
            <w:r w:rsidRPr="009A1EF2">
              <w:rPr>
                <w:rFonts w:asciiTheme="minorHAnsi" w:hAnsiTheme="minorHAnsi" w:cstheme="minorHAnsi"/>
                <w:color w:val="000000"/>
                <w:sz w:val="20"/>
                <w:szCs w:val="20"/>
                <w:lang w:eastAsia="lv-LV"/>
              </w:rPr>
              <w:t>Starpība</w:t>
            </w:r>
          </w:p>
        </w:tc>
        <w:tc>
          <w:tcPr>
            <w:tcW w:w="426" w:type="pct"/>
            <w:tcBorders>
              <w:top w:val="nil"/>
              <w:left w:val="nil"/>
              <w:bottom w:val="single" w:sz="4" w:space="0" w:color="auto"/>
              <w:right w:val="single" w:sz="4" w:space="0" w:color="auto"/>
            </w:tcBorders>
            <w:shd w:val="clear" w:color="auto" w:fill="auto"/>
            <w:noWrap/>
            <w:vAlign w:val="bottom"/>
            <w:hideMark/>
          </w:tcPr>
          <w:p w14:paraId="1C198BAE" w14:textId="77777777" w:rsidR="00DB5CF6" w:rsidRPr="009A1EF2" w:rsidRDefault="00DB5CF6" w:rsidP="00CD10AC">
            <w:pPr>
              <w:jc w:val="center"/>
              <w:rPr>
                <w:rFonts w:asciiTheme="minorHAnsi" w:hAnsiTheme="minorHAnsi" w:cstheme="minorHAnsi"/>
                <w:color w:val="000000"/>
                <w:sz w:val="20"/>
                <w:szCs w:val="20"/>
                <w:lang w:eastAsia="lv-LV"/>
              </w:rPr>
            </w:pPr>
            <w:r w:rsidRPr="009A1EF2">
              <w:rPr>
                <w:rFonts w:asciiTheme="minorHAnsi" w:hAnsiTheme="minorHAnsi" w:cstheme="minorHAnsi"/>
                <w:color w:val="000000"/>
                <w:sz w:val="20"/>
                <w:szCs w:val="20"/>
                <w:lang w:eastAsia="lv-LV"/>
              </w:rPr>
              <w:t>0</w:t>
            </w:r>
          </w:p>
        </w:tc>
        <w:tc>
          <w:tcPr>
            <w:tcW w:w="426" w:type="pct"/>
            <w:tcBorders>
              <w:top w:val="nil"/>
              <w:left w:val="nil"/>
              <w:bottom w:val="single" w:sz="4" w:space="0" w:color="auto"/>
              <w:right w:val="single" w:sz="4" w:space="0" w:color="auto"/>
            </w:tcBorders>
            <w:shd w:val="clear" w:color="auto" w:fill="auto"/>
            <w:noWrap/>
            <w:vAlign w:val="bottom"/>
            <w:hideMark/>
          </w:tcPr>
          <w:p w14:paraId="1B1043D1" w14:textId="77777777" w:rsidR="00DB5CF6" w:rsidRPr="009A1EF2" w:rsidRDefault="00DB5CF6" w:rsidP="00CD10AC">
            <w:pPr>
              <w:jc w:val="center"/>
              <w:rPr>
                <w:rFonts w:asciiTheme="minorHAnsi" w:hAnsiTheme="minorHAnsi" w:cstheme="minorHAnsi"/>
                <w:color w:val="000000"/>
                <w:sz w:val="20"/>
                <w:szCs w:val="20"/>
                <w:lang w:eastAsia="lv-LV"/>
              </w:rPr>
            </w:pPr>
            <w:r w:rsidRPr="009A1EF2">
              <w:rPr>
                <w:rFonts w:asciiTheme="minorHAnsi" w:hAnsiTheme="minorHAnsi" w:cstheme="minorHAnsi"/>
                <w:color w:val="000000"/>
                <w:sz w:val="20"/>
                <w:szCs w:val="20"/>
                <w:lang w:eastAsia="lv-LV"/>
              </w:rPr>
              <w:t>0</w:t>
            </w:r>
          </w:p>
        </w:tc>
        <w:tc>
          <w:tcPr>
            <w:tcW w:w="426" w:type="pct"/>
            <w:tcBorders>
              <w:top w:val="nil"/>
              <w:left w:val="nil"/>
              <w:bottom w:val="single" w:sz="4" w:space="0" w:color="auto"/>
              <w:right w:val="single" w:sz="4" w:space="0" w:color="auto"/>
            </w:tcBorders>
            <w:shd w:val="clear" w:color="auto" w:fill="auto"/>
            <w:noWrap/>
            <w:vAlign w:val="bottom"/>
            <w:hideMark/>
          </w:tcPr>
          <w:p w14:paraId="5A0665D7" w14:textId="77777777" w:rsidR="00DB5CF6" w:rsidRPr="009A1EF2" w:rsidRDefault="00DB5CF6" w:rsidP="00CD10AC">
            <w:pPr>
              <w:jc w:val="center"/>
              <w:rPr>
                <w:rFonts w:asciiTheme="minorHAnsi" w:hAnsiTheme="minorHAnsi" w:cstheme="minorHAnsi"/>
                <w:color w:val="000000"/>
                <w:sz w:val="20"/>
                <w:szCs w:val="20"/>
                <w:lang w:eastAsia="lv-LV"/>
              </w:rPr>
            </w:pPr>
            <w:r w:rsidRPr="009A1EF2">
              <w:rPr>
                <w:rFonts w:asciiTheme="minorHAnsi" w:hAnsiTheme="minorHAnsi" w:cstheme="minorHAnsi"/>
                <w:color w:val="000000"/>
                <w:sz w:val="20"/>
                <w:szCs w:val="20"/>
                <w:lang w:eastAsia="lv-LV"/>
              </w:rPr>
              <w:t>0</w:t>
            </w:r>
          </w:p>
        </w:tc>
        <w:tc>
          <w:tcPr>
            <w:tcW w:w="424" w:type="pct"/>
            <w:tcBorders>
              <w:top w:val="nil"/>
              <w:left w:val="nil"/>
              <w:bottom w:val="single" w:sz="4" w:space="0" w:color="auto"/>
              <w:right w:val="single" w:sz="4" w:space="0" w:color="auto"/>
            </w:tcBorders>
            <w:shd w:val="clear" w:color="auto" w:fill="auto"/>
            <w:noWrap/>
            <w:vAlign w:val="bottom"/>
            <w:hideMark/>
          </w:tcPr>
          <w:p w14:paraId="427DDCCC" w14:textId="77777777" w:rsidR="00DB5CF6" w:rsidRPr="009A1EF2" w:rsidRDefault="00DB5CF6" w:rsidP="00CD10AC">
            <w:pPr>
              <w:jc w:val="center"/>
              <w:rPr>
                <w:rFonts w:asciiTheme="minorHAnsi" w:hAnsiTheme="minorHAnsi" w:cstheme="minorHAnsi"/>
                <w:color w:val="000000"/>
                <w:sz w:val="20"/>
                <w:szCs w:val="20"/>
                <w:lang w:eastAsia="lv-LV"/>
              </w:rPr>
            </w:pPr>
            <w:r w:rsidRPr="009A1EF2">
              <w:rPr>
                <w:rFonts w:asciiTheme="minorHAnsi" w:hAnsiTheme="minorHAnsi" w:cstheme="minorHAnsi"/>
                <w:color w:val="000000"/>
                <w:sz w:val="20"/>
                <w:szCs w:val="20"/>
                <w:lang w:eastAsia="lv-LV"/>
              </w:rPr>
              <w:t>0</w:t>
            </w:r>
          </w:p>
        </w:tc>
      </w:tr>
      <w:tr w:rsidR="00DB5CF6" w:rsidRPr="009A1EF2" w14:paraId="0DCE7257" w14:textId="77777777" w:rsidTr="00644A95">
        <w:trPr>
          <w:trHeight w:val="300"/>
        </w:trPr>
        <w:tc>
          <w:tcPr>
            <w:tcW w:w="3297" w:type="pct"/>
            <w:tcBorders>
              <w:top w:val="nil"/>
              <w:left w:val="single" w:sz="4" w:space="0" w:color="auto"/>
              <w:bottom w:val="single" w:sz="4" w:space="0" w:color="auto"/>
              <w:right w:val="single" w:sz="4" w:space="0" w:color="auto"/>
            </w:tcBorders>
            <w:shd w:val="clear" w:color="auto" w:fill="auto"/>
            <w:vAlign w:val="center"/>
            <w:hideMark/>
          </w:tcPr>
          <w:p w14:paraId="2CF1FB29" w14:textId="77777777" w:rsidR="00DB5CF6" w:rsidRPr="009A1EF2" w:rsidRDefault="00DB5CF6" w:rsidP="009A1EF2">
            <w:pPr>
              <w:jc w:val="both"/>
              <w:rPr>
                <w:rFonts w:asciiTheme="minorHAnsi" w:hAnsiTheme="minorHAnsi" w:cstheme="minorHAnsi"/>
                <w:b/>
                <w:bCs/>
                <w:color w:val="000000"/>
                <w:sz w:val="20"/>
                <w:szCs w:val="20"/>
                <w:lang w:eastAsia="lv-LV"/>
              </w:rPr>
            </w:pPr>
            <w:r w:rsidRPr="009A1EF2">
              <w:rPr>
                <w:rFonts w:asciiTheme="minorHAnsi" w:hAnsiTheme="minorHAnsi" w:cstheme="minorHAnsi"/>
                <w:b/>
                <w:bCs/>
                <w:color w:val="000000"/>
                <w:sz w:val="20"/>
                <w:szCs w:val="20"/>
                <w:lang w:eastAsia="lv-LV"/>
              </w:rPr>
              <w:t xml:space="preserve">Izlaižu starpība (FDP apstiprinātā) </w:t>
            </w:r>
          </w:p>
        </w:tc>
        <w:tc>
          <w:tcPr>
            <w:tcW w:w="426" w:type="pct"/>
            <w:tcBorders>
              <w:top w:val="nil"/>
              <w:left w:val="nil"/>
              <w:bottom w:val="single" w:sz="4" w:space="0" w:color="auto"/>
              <w:right w:val="single" w:sz="4" w:space="0" w:color="auto"/>
            </w:tcBorders>
            <w:shd w:val="clear" w:color="auto" w:fill="auto"/>
            <w:noWrap/>
            <w:vAlign w:val="bottom"/>
            <w:hideMark/>
          </w:tcPr>
          <w:p w14:paraId="5A3D306E" w14:textId="77777777" w:rsidR="00DB5CF6" w:rsidRPr="009A1EF2" w:rsidRDefault="00DB5CF6" w:rsidP="00CD10AC">
            <w:pPr>
              <w:jc w:val="center"/>
              <w:rPr>
                <w:rFonts w:asciiTheme="minorHAnsi" w:hAnsiTheme="minorHAnsi" w:cstheme="minorHAnsi"/>
                <w:b/>
                <w:bCs/>
                <w:color w:val="000000"/>
                <w:sz w:val="20"/>
                <w:szCs w:val="20"/>
                <w:lang w:eastAsia="lv-LV"/>
              </w:rPr>
            </w:pPr>
            <w:r w:rsidRPr="009A1EF2">
              <w:rPr>
                <w:rFonts w:asciiTheme="minorHAnsi" w:hAnsiTheme="minorHAnsi" w:cstheme="minorHAnsi"/>
                <w:b/>
                <w:bCs/>
                <w:color w:val="000000"/>
                <w:sz w:val="20"/>
                <w:szCs w:val="20"/>
                <w:lang w:eastAsia="lv-LV"/>
              </w:rPr>
              <w:t>-7.9</w:t>
            </w:r>
          </w:p>
        </w:tc>
        <w:tc>
          <w:tcPr>
            <w:tcW w:w="426" w:type="pct"/>
            <w:tcBorders>
              <w:top w:val="nil"/>
              <w:left w:val="nil"/>
              <w:bottom w:val="single" w:sz="4" w:space="0" w:color="auto"/>
              <w:right w:val="single" w:sz="4" w:space="0" w:color="auto"/>
            </w:tcBorders>
            <w:shd w:val="clear" w:color="auto" w:fill="auto"/>
            <w:noWrap/>
            <w:vAlign w:val="bottom"/>
            <w:hideMark/>
          </w:tcPr>
          <w:p w14:paraId="7877D24F" w14:textId="77777777" w:rsidR="00DB5CF6" w:rsidRPr="009A1EF2" w:rsidRDefault="00DB5CF6" w:rsidP="00CD10AC">
            <w:pPr>
              <w:jc w:val="center"/>
              <w:rPr>
                <w:rFonts w:asciiTheme="minorHAnsi" w:hAnsiTheme="minorHAnsi" w:cstheme="minorHAnsi"/>
                <w:b/>
                <w:bCs/>
                <w:color w:val="000000"/>
                <w:sz w:val="20"/>
                <w:szCs w:val="20"/>
                <w:lang w:eastAsia="lv-LV"/>
              </w:rPr>
            </w:pPr>
            <w:r w:rsidRPr="009A1EF2">
              <w:rPr>
                <w:rFonts w:asciiTheme="minorHAnsi" w:hAnsiTheme="minorHAnsi" w:cstheme="minorHAnsi"/>
                <w:b/>
                <w:bCs/>
                <w:color w:val="000000"/>
                <w:sz w:val="20"/>
                <w:szCs w:val="20"/>
                <w:lang w:eastAsia="lv-LV"/>
              </w:rPr>
              <w:t>-5.6</w:t>
            </w:r>
          </w:p>
        </w:tc>
        <w:tc>
          <w:tcPr>
            <w:tcW w:w="426" w:type="pct"/>
            <w:tcBorders>
              <w:top w:val="nil"/>
              <w:left w:val="nil"/>
              <w:bottom w:val="single" w:sz="4" w:space="0" w:color="auto"/>
              <w:right w:val="single" w:sz="4" w:space="0" w:color="auto"/>
            </w:tcBorders>
            <w:shd w:val="clear" w:color="auto" w:fill="auto"/>
            <w:noWrap/>
            <w:vAlign w:val="bottom"/>
            <w:hideMark/>
          </w:tcPr>
          <w:p w14:paraId="27CC258D" w14:textId="77777777" w:rsidR="00DB5CF6" w:rsidRPr="009A1EF2" w:rsidRDefault="00DB5CF6" w:rsidP="00CD10AC">
            <w:pPr>
              <w:jc w:val="center"/>
              <w:rPr>
                <w:rFonts w:asciiTheme="minorHAnsi" w:hAnsiTheme="minorHAnsi" w:cstheme="minorHAnsi"/>
                <w:b/>
                <w:bCs/>
                <w:color w:val="000000"/>
                <w:sz w:val="20"/>
                <w:szCs w:val="20"/>
                <w:lang w:eastAsia="lv-LV"/>
              </w:rPr>
            </w:pPr>
            <w:r w:rsidRPr="009A1EF2">
              <w:rPr>
                <w:rFonts w:asciiTheme="minorHAnsi" w:hAnsiTheme="minorHAnsi" w:cstheme="minorHAnsi"/>
                <w:b/>
                <w:bCs/>
                <w:color w:val="000000"/>
                <w:sz w:val="20"/>
                <w:szCs w:val="20"/>
                <w:lang w:eastAsia="lv-LV"/>
              </w:rPr>
              <w:t>-5</w:t>
            </w:r>
          </w:p>
        </w:tc>
        <w:tc>
          <w:tcPr>
            <w:tcW w:w="424" w:type="pct"/>
            <w:tcBorders>
              <w:top w:val="nil"/>
              <w:left w:val="nil"/>
              <w:bottom w:val="single" w:sz="4" w:space="0" w:color="auto"/>
              <w:right w:val="single" w:sz="4" w:space="0" w:color="auto"/>
            </w:tcBorders>
            <w:shd w:val="clear" w:color="auto" w:fill="auto"/>
            <w:noWrap/>
            <w:vAlign w:val="bottom"/>
            <w:hideMark/>
          </w:tcPr>
          <w:p w14:paraId="5DC947A5" w14:textId="77777777" w:rsidR="00DB5CF6" w:rsidRPr="009A1EF2" w:rsidRDefault="00DB5CF6" w:rsidP="00CD10AC">
            <w:pPr>
              <w:jc w:val="center"/>
              <w:rPr>
                <w:rFonts w:asciiTheme="minorHAnsi" w:hAnsiTheme="minorHAnsi" w:cstheme="minorHAnsi"/>
                <w:b/>
                <w:bCs/>
                <w:color w:val="000000"/>
                <w:sz w:val="20"/>
                <w:szCs w:val="20"/>
                <w:lang w:eastAsia="lv-LV"/>
              </w:rPr>
            </w:pPr>
            <w:r w:rsidRPr="009A1EF2">
              <w:rPr>
                <w:rFonts w:asciiTheme="minorHAnsi" w:hAnsiTheme="minorHAnsi" w:cstheme="minorHAnsi"/>
                <w:b/>
                <w:bCs/>
                <w:color w:val="000000"/>
                <w:sz w:val="20"/>
                <w:szCs w:val="20"/>
                <w:lang w:eastAsia="lv-LV"/>
              </w:rPr>
              <w:t>-4.4</w:t>
            </w:r>
          </w:p>
        </w:tc>
      </w:tr>
      <w:tr w:rsidR="00DB5CF6" w:rsidRPr="009A1EF2" w14:paraId="4C0CB217" w14:textId="77777777" w:rsidTr="00644A95">
        <w:trPr>
          <w:trHeight w:val="300"/>
        </w:trPr>
        <w:tc>
          <w:tcPr>
            <w:tcW w:w="3297" w:type="pct"/>
            <w:tcBorders>
              <w:top w:val="nil"/>
              <w:left w:val="single" w:sz="4" w:space="0" w:color="auto"/>
              <w:bottom w:val="single" w:sz="4" w:space="0" w:color="auto"/>
              <w:right w:val="single" w:sz="4" w:space="0" w:color="auto"/>
            </w:tcBorders>
            <w:shd w:val="clear" w:color="auto" w:fill="auto"/>
            <w:vAlign w:val="center"/>
            <w:hideMark/>
          </w:tcPr>
          <w:p w14:paraId="44052E93" w14:textId="77777777" w:rsidR="00DB5CF6" w:rsidRPr="009A1EF2" w:rsidRDefault="00DB5CF6" w:rsidP="009A1EF2">
            <w:pPr>
              <w:jc w:val="both"/>
              <w:rPr>
                <w:rFonts w:asciiTheme="minorHAnsi" w:hAnsiTheme="minorHAnsi" w:cstheme="minorHAnsi"/>
                <w:color w:val="000000"/>
                <w:sz w:val="20"/>
                <w:szCs w:val="20"/>
                <w:lang w:eastAsia="lv-LV"/>
              </w:rPr>
            </w:pPr>
            <w:r w:rsidRPr="009A1EF2">
              <w:rPr>
                <w:rFonts w:asciiTheme="minorHAnsi" w:hAnsiTheme="minorHAnsi" w:cstheme="minorHAnsi"/>
                <w:color w:val="000000"/>
                <w:sz w:val="20"/>
                <w:szCs w:val="20"/>
                <w:lang w:eastAsia="lv-LV"/>
              </w:rPr>
              <w:t>Izlaižu starpība (izmaiņas pēc CSP datu revīzijas)</w:t>
            </w:r>
          </w:p>
        </w:tc>
        <w:tc>
          <w:tcPr>
            <w:tcW w:w="426" w:type="pct"/>
            <w:tcBorders>
              <w:top w:val="nil"/>
              <w:left w:val="nil"/>
              <w:bottom w:val="single" w:sz="4" w:space="0" w:color="auto"/>
              <w:right w:val="single" w:sz="4" w:space="0" w:color="auto"/>
            </w:tcBorders>
            <w:shd w:val="clear" w:color="auto" w:fill="auto"/>
            <w:noWrap/>
            <w:vAlign w:val="bottom"/>
            <w:hideMark/>
          </w:tcPr>
          <w:p w14:paraId="15D8955F" w14:textId="77777777" w:rsidR="00DB5CF6" w:rsidRPr="009A1EF2" w:rsidRDefault="00DB5CF6" w:rsidP="00CD10AC">
            <w:pPr>
              <w:jc w:val="center"/>
              <w:rPr>
                <w:rFonts w:asciiTheme="minorHAnsi" w:hAnsiTheme="minorHAnsi" w:cstheme="minorHAnsi"/>
                <w:color w:val="000000"/>
                <w:sz w:val="20"/>
                <w:szCs w:val="20"/>
                <w:lang w:eastAsia="lv-LV"/>
              </w:rPr>
            </w:pPr>
            <w:r w:rsidRPr="009A1EF2">
              <w:rPr>
                <w:rFonts w:asciiTheme="minorHAnsi" w:hAnsiTheme="minorHAnsi" w:cstheme="minorHAnsi"/>
                <w:color w:val="000000"/>
                <w:sz w:val="20"/>
                <w:szCs w:val="20"/>
                <w:lang w:eastAsia="lv-LV"/>
              </w:rPr>
              <w:t>-7.7</w:t>
            </w:r>
          </w:p>
        </w:tc>
        <w:tc>
          <w:tcPr>
            <w:tcW w:w="426" w:type="pct"/>
            <w:tcBorders>
              <w:top w:val="nil"/>
              <w:left w:val="nil"/>
              <w:bottom w:val="single" w:sz="4" w:space="0" w:color="auto"/>
              <w:right w:val="single" w:sz="4" w:space="0" w:color="auto"/>
            </w:tcBorders>
            <w:shd w:val="clear" w:color="auto" w:fill="auto"/>
            <w:noWrap/>
            <w:vAlign w:val="bottom"/>
            <w:hideMark/>
          </w:tcPr>
          <w:p w14:paraId="30E71A6E" w14:textId="77777777" w:rsidR="00DB5CF6" w:rsidRPr="009A1EF2" w:rsidRDefault="00DB5CF6" w:rsidP="00CD10AC">
            <w:pPr>
              <w:jc w:val="center"/>
              <w:rPr>
                <w:rFonts w:asciiTheme="minorHAnsi" w:hAnsiTheme="minorHAnsi" w:cstheme="minorHAnsi"/>
                <w:color w:val="000000"/>
                <w:sz w:val="20"/>
                <w:szCs w:val="20"/>
                <w:lang w:eastAsia="lv-LV"/>
              </w:rPr>
            </w:pPr>
            <w:r w:rsidRPr="009A1EF2">
              <w:rPr>
                <w:rFonts w:asciiTheme="minorHAnsi" w:hAnsiTheme="minorHAnsi" w:cstheme="minorHAnsi"/>
                <w:color w:val="000000"/>
                <w:sz w:val="20"/>
                <w:szCs w:val="20"/>
                <w:lang w:eastAsia="lv-LV"/>
              </w:rPr>
              <w:t>-5.4</w:t>
            </w:r>
          </w:p>
        </w:tc>
        <w:tc>
          <w:tcPr>
            <w:tcW w:w="426" w:type="pct"/>
            <w:tcBorders>
              <w:top w:val="nil"/>
              <w:left w:val="nil"/>
              <w:bottom w:val="single" w:sz="4" w:space="0" w:color="auto"/>
              <w:right w:val="single" w:sz="4" w:space="0" w:color="auto"/>
            </w:tcBorders>
            <w:shd w:val="clear" w:color="auto" w:fill="auto"/>
            <w:noWrap/>
            <w:vAlign w:val="bottom"/>
            <w:hideMark/>
          </w:tcPr>
          <w:p w14:paraId="2CEDBB4A" w14:textId="77777777" w:rsidR="00DB5CF6" w:rsidRPr="009A1EF2" w:rsidRDefault="00DB5CF6" w:rsidP="00CD10AC">
            <w:pPr>
              <w:jc w:val="center"/>
              <w:rPr>
                <w:rFonts w:asciiTheme="minorHAnsi" w:hAnsiTheme="minorHAnsi" w:cstheme="minorHAnsi"/>
                <w:color w:val="000000"/>
                <w:sz w:val="20"/>
                <w:szCs w:val="20"/>
                <w:lang w:eastAsia="lv-LV"/>
              </w:rPr>
            </w:pPr>
            <w:r w:rsidRPr="009A1EF2">
              <w:rPr>
                <w:rFonts w:asciiTheme="minorHAnsi" w:hAnsiTheme="minorHAnsi" w:cstheme="minorHAnsi"/>
                <w:color w:val="000000"/>
                <w:sz w:val="20"/>
                <w:szCs w:val="20"/>
                <w:lang w:eastAsia="lv-LV"/>
              </w:rPr>
              <w:t>-4.8</w:t>
            </w:r>
          </w:p>
        </w:tc>
        <w:tc>
          <w:tcPr>
            <w:tcW w:w="424" w:type="pct"/>
            <w:tcBorders>
              <w:top w:val="nil"/>
              <w:left w:val="nil"/>
              <w:bottom w:val="single" w:sz="4" w:space="0" w:color="auto"/>
              <w:right w:val="single" w:sz="4" w:space="0" w:color="auto"/>
            </w:tcBorders>
            <w:shd w:val="clear" w:color="auto" w:fill="auto"/>
            <w:noWrap/>
            <w:vAlign w:val="bottom"/>
            <w:hideMark/>
          </w:tcPr>
          <w:p w14:paraId="3736CABE" w14:textId="77777777" w:rsidR="00DB5CF6" w:rsidRPr="009A1EF2" w:rsidRDefault="00DB5CF6" w:rsidP="00CD10AC">
            <w:pPr>
              <w:jc w:val="center"/>
              <w:rPr>
                <w:rFonts w:asciiTheme="minorHAnsi" w:hAnsiTheme="minorHAnsi" w:cstheme="minorHAnsi"/>
                <w:color w:val="000000"/>
                <w:sz w:val="20"/>
                <w:szCs w:val="20"/>
                <w:lang w:eastAsia="lv-LV"/>
              </w:rPr>
            </w:pPr>
            <w:r w:rsidRPr="009A1EF2">
              <w:rPr>
                <w:rFonts w:asciiTheme="minorHAnsi" w:hAnsiTheme="minorHAnsi" w:cstheme="minorHAnsi"/>
                <w:color w:val="000000"/>
                <w:sz w:val="20"/>
                <w:szCs w:val="20"/>
                <w:lang w:eastAsia="lv-LV"/>
              </w:rPr>
              <w:t>-4.1</w:t>
            </w:r>
          </w:p>
        </w:tc>
      </w:tr>
      <w:bookmarkEnd w:id="17"/>
      <w:tr w:rsidR="00DB5CF6" w:rsidRPr="009A1EF2" w14:paraId="34D57C1D" w14:textId="77777777" w:rsidTr="00644A95">
        <w:trPr>
          <w:trHeight w:val="300"/>
        </w:trPr>
        <w:tc>
          <w:tcPr>
            <w:tcW w:w="3297" w:type="pct"/>
            <w:tcBorders>
              <w:top w:val="nil"/>
              <w:left w:val="single" w:sz="4" w:space="0" w:color="auto"/>
              <w:bottom w:val="single" w:sz="4" w:space="0" w:color="auto"/>
              <w:right w:val="single" w:sz="4" w:space="0" w:color="auto"/>
            </w:tcBorders>
            <w:shd w:val="clear" w:color="auto" w:fill="auto"/>
            <w:vAlign w:val="center"/>
            <w:hideMark/>
          </w:tcPr>
          <w:p w14:paraId="1E18F8BF" w14:textId="77777777" w:rsidR="00DB5CF6" w:rsidRPr="009A1EF2" w:rsidRDefault="00DB5CF6" w:rsidP="009A1EF2">
            <w:pPr>
              <w:jc w:val="both"/>
              <w:rPr>
                <w:rFonts w:asciiTheme="minorHAnsi" w:hAnsiTheme="minorHAnsi" w:cstheme="minorHAnsi"/>
                <w:color w:val="000000"/>
                <w:sz w:val="20"/>
                <w:szCs w:val="20"/>
                <w:lang w:eastAsia="lv-LV"/>
              </w:rPr>
            </w:pPr>
            <w:r w:rsidRPr="009A1EF2">
              <w:rPr>
                <w:rFonts w:asciiTheme="minorHAnsi" w:hAnsiTheme="minorHAnsi" w:cstheme="minorHAnsi"/>
                <w:color w:val="000000"/>
                <w:sz w:val="20"/>
                <w:szCs w:val="20"/>
                <w:lang w:eastAsia="lv-LV"/>
              </w:rPr>
              <w:t>Starpība</w:t>
            </w:r>
          </w:p>
        </w:tc>
        <w:tc>
          <w:tcPr>
            <w:tcW w:w="426" w:type="pct"/>
            <w:tcBorders>
              <w:top w:val="nil"/>
              <w:left w:val="nil"/>
              <w:bottom w:val="single" w:sz="4" w:space="0" w:color="auto"/>
              <w:right w:val="single" w:sz="4" w:space="0" w:color="auto"/>
            </w:tcBorders>
            <w:shd w:val="clear" w:color="000000" w:fill="FFE699"/>
            <w:noWrap/>
            <w:vAlign w:val="bottom"/>
            <w:hideMark/>
          </w:tcPr>
          <w:p w14:paraId="3F0B6970" w14:textId="77777777" w:rsidR="00DB5CF6" w:rsidRPr="009A1EF2" w:rsidRDefault="00DB5CF6" w:rsidP="00CD10AC">
            <w:pPr>
              <w:jc w:val="center"/>
              <w:rPr>
                <w:rFonts w:asciiTheme="minorHAnsi" w:hAnsiTheme="minorHAnsi" w:cstheme="minorHAnsi"/>
                <w:color w:val="000000"/>
                <w:sz w:val="20"/>
                <w:szCs w:val="20"/>
                <w:u w:val="single"/>
                <w:lang w:eastAsia="lv-LV"/>
              </w:rPr>
            </w:pPr>
            <w:r w:rsidRPr="009A1EF2">
              <w:rPr>
                <w:rFonts w:asciiTheme="minorHAnsi" w:hAnsiTheme="minorHAnsi" w:cstheme="minorHAnsi"/>
                <w:color w:val="000000"/>
                <w:sz w:val="20"/>
                <w:szCs w:val="20"/>
                <w:u w:val="single"/>
                <w:lang w:eastAsia="lv-LV"/>
              </w:rPr>
              <w:t>0.2</w:t>
            </w:r>
          </w:p>
        </w:tc>
        <w:tc>
          <w:tcPr>
            <w:tcW w:w="426" w:type="pct"/>
            <w:tcBorders>
              <w:top w:val="nil"/>
              <w:left w:val="nil"/>
              <w:bottom w:val="single" w:sz="4" w:space="0" w:color="auto"/>
              <w:right w:val="single" w:sz="4" w:space="0" w:color="auto"/>
            </w:tcBorders>
            <w:shd w:val="clear" w:color="000000" w:fill="FFE699"/>
            <w:noWrap/>
            <w:vAlign w:val="bottom"/>
            <w:hideMark/>
          </w:tcPr>
          <w:p w14:paraId="33D8D46A" w14:textId="77777777" w:rsidR="00DB5CF6" w:rsidRPr="009A1EF2" w:rsidRDefault="00DB5CF6" w:rsidP="00CD10AC">
            <w:pPr>
              <w:jc w:val="center"/>
              <w:rPr>
                <w:rFonts w:asciiTheme="minorHAnsi" w:hAnsiTheme="minorHAnsi" w:cstheme="minorHAnsi"/>
                <w:color w:val="000000"/>
                <w:sz w:val="20"/>
                <w:szCs w:val="20"/>
                <w:u w:val="single"/>
                <w:lang w:eastAsia="lv-LV"/>
              </w:rPr>
            </w:pPr>
            <w:r w:rsidRPr="009A1EF2">
              <w:rPr>
                <w:rFonts w:asciiTheme="minorHAnsi" w:hAnsiTheme="minorHAnsi" w:cstheme="minorHAnsi"/>
                <w:color w:val="000000"/>
                <w:sz w:val="20"/>
                <w:szCs w:val="20"/>
                <w:u w:val="single"/>
                <w:lang w:eastAsia="lv-LV"/>
              </w:rPr>
              <w:t>0.2</w:t>
            </w:r>
          </w:p>
        </w:tc>
        <w:tc>
          <w:tcPr>
            <w:tcW w:w="426" w:type="pct"/>
            <w:tcBorders>
              <w:top w:val="nil"/>
              <w:left w:val="nil"/>
              <w:bottom w:val="single" w:sz="4" w:space="0" w:color="auto"/>
              <w:right w:val="single" w:sz="4" w:space="0" w:color="auto"/>
            </w:tcBorders>
            <w:shd w:val="clear" w:color="000000" w:fill="FFE699"/>
            <w:noWrap/>
            <w:vAlign w:val="bottom"/>
            <w:hideMark/>
          </w:tcPr>
          <w:p w14:paraId="2059C179" w14:textId="77777777" w:rsidR="00DB5CF6" w:rsidRPr="009A1EF2" w:rsidRDefault="00DB5CF6" w:rsidP="00CD10AC">
            <w:pPr>
              <w:jc w:val="center"/>
              <w:rPr>
                <w:rFonts w:asciiTheme="minorHAnsi" w:hAnsiTheme="minorHAnsi" w:cstheme="minorHAnsi"/>
                <w:color w:val="000000"/>
                <w:sz w:val="20"/>
                <w:szCs w:val="20"/>
                <w:u w:val="single"/>
                <w:lang w:eastAsia="lv-LV"/>
              </w:rPr>
            </w:pPr>
            <w:r w:rsidRPr="009A1EF2">
              <w:rPr>
                <w:rFonts w:asciiTheme="minorHAnsi" w:hAnsiTheme="minorHAnsi" w:cstheme="minorHAnsi"/>
                <w:color w:val="000000"/>
                <w:sz w:val="20"/>
                <w:szCs w:val="20"/>
                <w:u w:val="single"/>
                <w:lang w:eastAsia="lv-LV"/>
              </w:rPr>
              <w:t>0.2</w:t>
            </w:r>
          </w:p>
        </w:tc>
        <w:tc>
          <w:tcPr>
            <w:tcW w:w="424" w:type="pct"/>
            <w:tcBorders>
              <w:top w:val="nil"/>
              <w:left w:val="nil"/>
              <w:bottom w:val="single" w:sz="4" w:space="0" w:color="auto"/>
              <w:right w:val="single" w:sz="4" w:space="0" w:color="auto"/>
            </w:tcBorders>
            <w:shd w:val="clear" w:color="000000" w:fill="FFE699"/>
            <w:noWrap/>
            <w:vAlign w:val="bottom"/>
            <w:hideMark/>
          </w:tcPr>
          <w:p w14:paraId="2E600611" w14:textId="77777777" w:rsidR="00DB5CF6" w:rsidRPr="009A1EF2" w:rsidRDefault="00DB5CF6" w:rsidP="00CD10AC">
            <w:pPr>
              <w:jc w:val="center"/>
              <w:rPr>
                <w:rFonts w:asciiTheme="minorHAnsi" w:hAnsiTheme="minorHAnsi" w:cstheme="minorHAnsi"/>
                <w:color w:val="000000"/>
                <w:sz w:val="20"/>
                <w:szCs w:val="20"/>
                <w:u w:val="single"/>
                <w:lang w:eastAsia="lv-LV"/>
              </w:rPr>
            </w:pPr>
            <w:r w:rsidRPr="009A1EF2">
              <w:rPr>
                <w:rFonts w:asciiTheme="minorHAnsi" w:hAnsiTheme="minorHAnsi" w:cstheme="minorHAnsi"/>
                <w:color w:val="000000"/>
                <w:sz w:val="20"/>
                <w:szCs w:val="20"/>
                <w:u w:val="single"/>
                <w:lang w:eastAsia="lv-LV"/>
              </w:rPr>
              <w:t>0.3</w:t>
            </w:r>
          </w:p>
        </w:tc>
      </w:tr>
    </w:tbl>
    <w:p w14:paraId="7D073860" w14:textId="1B1A33D5" w:rsidR="00DB5CF6" w:rsidRPr="009A1EF2" w:rsidRDefault="00467532" w:rsidP="00DB5CF6">
      <w:pPr>
        <w:pStyle w:val="Default"/>
        <w:jc w:val="both"/>
        <w:rPr>
          <w:rFonts w:asciiTheme="minorHAnsi" w:eastAsia="Times New Roman" w:hAnsiTheme="minorHAnsi" w:cstheme="minorHAnsi"/>
          <w:i/>
          <w:iCs/>
          <w:sz w:val="20"/>
          <w:szCs w:val="22"/>
        </w:rPr>
      </w:pPr>
      <w:r>
        <w:rPr>
          <w:rFonts w:asciiTheme="minorHAnsi" w:eastAsia="Times New Roman" w:hAnsiTheme="minorHAnsi" w:cstheme="minorHAnsi"/>
          <w:i/>
          <w:iCs/>
          <w:sz w:val="20"/>
          <w:szCs w:val="22"/>
        </w:rPr>
        <w:t>Avots: FM un FDP</w:t>
      </w:r>
    </w:p>
    <w:p w14:paraId="190AC4E5" w14:textId="77777777" w:rsidR="00DB5CF6" w:rsidRPr="009A1EF2" w:rsidRDefault="00DB5CF6" w:rsidP="00DB5CF6">
      <w:pPr>
        <w:spacing w:line="235" w:lineRule="auto"/>
        <w:ind w:right="20"/>
        <w:jc w:val="both"/>
        <w:rPr>
          <w:rFonts w:asciiTheme="minorHAnsi" w:eastAsiaTheme="minorEastAsia" w:hAnsiTheme="minorHAnsi" w:cstheme="minorHAnsi"/>
        </w:rPr>
      </w:pPr>
    </w:p>
    <w:p w14:paraId="4D304F25" w14:textId="4265F06B" w:rsidR="00DB5CF6" w:rsidRPr="00467532" w:rsidRDefault="00DB5CF6" w:rsidP="00462E32">
      <w:pPr>
        <w:pStyle w:val="ListParagraph"/>
        <w:numPr>
          <w:ilvl w:val="0"/>
          <w:numId w:val="23"/>
        </w:numPr>
        <w:spacing w:line="235" w:lineRule="auto"/>
        <w:ind w:left="426" w:right="20" w:hanging="426"/>
        <w:jc w:val="both"/>
        <w:rPr>
          <w:rFonts w:asciiTheme="minorHAnsi" w:eastAsiaTheme="minorEastAsia" w:hAnsiTheme="minorHAnsi" w:cstheme="minorHAnsi"/>
          <w:sz w:val="22"/>
        </w:rPr>
      </w:pPr>
      <w:r w:rsidRPr="00467532">
        <w:rPr>
          <w:rFonts w:asciiTheme="minorHAnsi" w:eastAsiaTheme="minorEastAsia" w:hAnsiTheme="minorHAnsi" w:cstheme="minorHAnsi"/>
          <w:sz w:val="22"/>
        </w:rPr>
        <w:t xml:space="preserve">Padome ir saņēmusi no FM prognožu tehnisko korekciju, kas aprēķināta, balstoties uz 2020.gada jūnijā apstiprinātiem prognožu pieauguma tempiem un faktisko statistiku par 2019.gadu, kā arī FM skaidrojumu par izmaiņu būtību nacionālo kontu laika rindās. Jaunā IKP līmeņa jeb faktiskajās cenās laika rindas lielākā atšķirība veidojas par periodu līdz 2018.gadam, bet 2019.gadā jaunais IKP rādītājs ir par 13 miljoniem eiro mazāks </w:t>
      </w:r>
      <w:r w:rsidRPr="00467532">
        <w:rPr>
          <w:rFonts w:asciiTheme="minorHAnsi" w:eastAsiaTheme="minorEastAsia" w:hAnsiTheme="minorHAnsi" w:cstheme="minorHAnsi"/>
          <w:sz w:val="22"/>
        </w:rPr>
        <w:lastRenderedPageBreak/>
        <w:t>salīdzinājumā ar pirms revīzijas datiem. Līdz ar to jaunās IKP laika rindas ietekme uz prognožu aprēķiniem ir nenozīmīga.</w:t>
      </w:r>
    </w:p>
    <w:p w14:paraId="3686C215" w14:textId="77777777" w:rsidR="00DB5CF6" w:rsidRDefault="00DB5CF6">
      <w:pPr>
        <w:spacing w:after="160" w:line="259" w:lineRule="auto"/>
        <w:rPr>
          <w:rFonts w:ascii="Calibri" w:eastAsia="Calibri" w:hAnsi="Calibri" w:cs="Calibri"/>
          <w:b/>
          <w:szCs w:val="20"/>
        </w:rPr>
      </w:pPr>
    </w:p>
    <w:p w14:paraId="7E49FE06" w14:textId="4CA8B903" w:rsidR="00DB5CF6" w:rsidRPr="00CD10AC" w:rsidRDefault="007D0B95" w:rsidP="00CD10AC">
      <w:pPr>
        <w:pStyle w:val="Heading2"/>
        <w:rPr>
          <w:rFonts w:eastAsia="Calibri"/>
        </w:rPr>
      </w:pPr>
      <w:bookmarkStart w:id="18" w:name="_Toc53387634"/>
      <w:r>
        <w:rPr>
          <w:rFonts w:eastAsia="Calibri"/>
        </w:rPr>
        <w:t>4</w:t>
      </w:r>
      <w:r w:rsidR="00462E32">
        <w:rPr>
          <w:rFonts w:eastAsia="Calibri"/>
        </w:rPr>
        <w:t xml:space="preserve">.2 </w:t>
      </w:r>
      <w:r w:rsidR="00CD10AC">
        <w:rPr>
          <w:rFonts w:eastAsia="Calibri"/>
        </w:rPr>
        <w:t>Latvijas makroekonomikas vides aktuālais pārskats</w:t>
      </w:r>
      <w:bookmarkEnd w:id="18"/>
    </w:p>
    <w:p w14:paraId="77A321F7" w14:textId="77777777" w:rsidR="00DB5CF6" w:rsidRDefault="00DB5CF6" w:rsidP="00DB5CF6">
      <w:pPr>
        <w:rPr>
          <w:rStyle w:val="Emphasis"/>
          <w:rFonts w:ascii="Calibri" w:hAnsi="Calibri" w:cs="Calibri"/>
          <w:i w:val="0"/>
          <w:color w:val="191919"/>
          <w:sz w:val="20"/>
          <w:szCs w:val="20"/>
          <w:bdr w:val="none" w:sz="0" w:space="0" w:color="auto" w:frame="1"/>
          <w:shd w:val="clear" w:color="auto" w:fill="FFFFFF"/>
        </w:rPr>
      </w:pPr>
    </w:p>
    <w:p w14:paraId="5FBEB05C" w14:textId="34CA5ED1" w:rsidR="00DB5CF6" w:rsidRPr="00467532" w:rsidRDefault="00DB5CF6" w:rsidP="00462E32">
      <w:pPr>
        <w:pStyle w:val="ListParagraph"/>
        <w:numPr>
          <w:ilvl w:val="0"/>
          <w:numId w:val="23"/>
        </w:numPr>
        <w:ind w:left="426" w:hanging="426"/>
        <w:jc w:val="both"/>
        <w:rPr>
          <w:rFonts w:ascii="Calibri" w:hAnsi="Calibri" w:cs="Calibri"/>
          <w:b/>
          <w:iCs/>
          <w:color w:val="191919"/>
          <w:sz w:val="22"/>
          <w:szCs w:val="22"/>
          <w:bdr w:val="none" w:sz="0" w:space="0" w:color="auto" w:frame="1"/>
          <w:shd w:val="clear" w:color="auto" w:fill="FFFFFF"/>
        </w:rPr>
      </w:pPr>
      <w:r w:rsidRPr="00467532">
        <w:rPr>
          <w:rFonts w:ascii="Calibri" w:hAnsi="Calibri" w:cs="Calibri"/>
          <w:b/>
          <w:iCs/>
          <w:color w:val="191919"/>
          <w:sz w:val="22"/>
          <w:szCs w:val="22"/>
          <w:bdr w:val="none" w:sz="0" w:space="0" w:color="auto" w:frame="1"/>
          <w:shd w:val="clear" w:color="auto" w:fill="FFFFFF"/>
        </w:rPr>
        <w:t>Latvijas</w:t>
      </w:r>
      <w:r w:rsidR="00462E32">
        <w:rPr>
          <w:rFonts w:ascii="Calibri" w:hAnsi="Calibri" w:cs="Calibri"/>
          <w:b/>
          <w:iCs/>
          <w:color w:val="191919"/>
          <w:sz w:val="22"/>
          <w:szCs w:val="22"/>
          <w:bdr w:val="none" w:sz="0" w:space="0" w:color="auto" w:frame="1"/>
          <w:shd w:val="clear" w:color="auto" w:fill="FFFFFF"/>
        </w:rPr>
        <w:t xml:space="preserve"> makroekonomisko vidi 2020. </w:t>
      </w:r>
      <w:proofErr w:type="gramStart"/>
      <w:r w:rsidR="00462E32">
        <w:rPr>
          <w:rFonts w:ascii="Calibri" w:hAnsi="Calibri" w:cs="Calibri"/>
          <w:b/>
          <w:iCs/>
          <w:color w:val="191919"/>
          <w:sz w:val="22"/>
          <w:szCs w:val="22"/>
          <w:bdr w:val="none" w:sz="0" w:space="0" w:color="auto" w:frame="1"/>
          <w:shd w:val="clear" w:color="auto" w:fill="FFFFFF"/>
        </w:rPr>
        <w:t>gadā</w:t>
      </w:r>
      <w:proofErr w:type="gramEnd"/>
      <w:r w:rsidRPr="00467532">
        <w:rPr>
          <w:rFonts w:ascii="Calibri" w:hAnsi="Calibri" w:cs="Calibri"/>
          <w:b/>
          <w:iCs/>
          <w:color w:val="191919"/>
          <w:sz w:val="22"/>
          <w:szCs w:val="22"/>
          <w:bdr w:val="none" w:sz="0" w:space="0" w:color="auto" w:frame="1"/>
          <w:shd w:val="clear" w:color="auto" w:fill="FFFFFF"/>
        </w:rPr>
        <w:t xml:space="preserve"> ietekmēja gan globālie notikumi saistībā ar Covid-19 uzliesmojumu, gan kopējā ekonomikas sabremzēšanās un bāzes efekti no 2019. </w:t>
      </w:r>
      <w:proofErr w:type="gramStart"/>
      <w:r w:rsidRPr="00467532">
        <w:rPr>
          <w:rFonts w:ascii="Calibri" w:hAnsi="Calibri" w:cs="Calibri"/>
          <w:b/>
          <w:iCs/>
          <w:color w:val="191919"/>
          <w:sz w:val="22"/>
          <w:szCs w:val="22"/>
          <w:bdr w:val="none" w:sz="0" w:space="0" w:color="auto" w:frame="1"/>
          <w:shd w:val="clear" w:color="auto" w:fill="FFFFFF"/>
        </w:rPr>
        <w:t>gada</w:t>
      </w:r>
      <w:proofErr w:type="gramEnd"/>
      <w:r w:rsidRPr="00467532">
        <w:rPr>
          <w:rFonts w:ascii="Calibri" w:hAnsi="Calibri" w:cs="Calibri"/>
          <w:b/>
          <w:iCs/>
          <w:color w:val="191919"/>
          <w:sz w:val="22"/>
          <w:szCs w:val="22"/>
          <w:bdr w:val="none" w:sz="0" w:space="0" w:color="auto" w:frame="1"/>
          <w:shd w:val="clear" w:color="auto" w:fill="FFFFFF"/>
        </w:rPr>
        <w:t>.</w:t>
      </w:r>
      <w:r w:rsidR="00467532" w:rsidRPr="00467532">
        <w:rPr>
          <w:rFonts w:ascii="Calibri" w:hAnsi="Calibri" w:cs="Calibri"/>
          <w:b/>
          <w:iCs/>
          <w:color w:val="191919"/>
          <w:sz w:val="22"/>
          <w:szCs w:val="22"/>
          <w:bdr w:val="none" w:sz="0" w:space="0" w:color="auto" w:frame="1"/>
          <w:shd w:val="clear" w:color="auto" w:fill="FFFFFF"/>
        </w:rPr>
        <w:t xml:space="preserve"> </w:t>
      </w:r>
      <w:r w:rsidRPr="00467532">
        <w:rPr>
          <w:rFonts w:ascii="Calibri" w:hAnsi="Calibri" w:cs="Calibri"/>
          <w:iCs/>
          <w:color w:val="191919"/>
          <w:sz w:val="22"/>
          <w:szCs w:val="22"/>
          <w:bdr w:val="none" w:sz="0" w:space="0" w:color="auto" w:frame="1"/>
          <w:shd w:val="clear" w:color="auto" w:fill="FFFFFF"/>
        </w:rPr>
        <w:t xml:space="preserve">Galvenie spēki, kas ietekmēja makroekonomisko vidi Latvijā 2019. </w:t>
      </w:r>
      <w:proofErr w:type="gramStart"/>
      <w:r w:rsidRPr="00467532">
        <w:rPr>
          <w:rFonts w:ascii="Calibri" w:hAnsi="Calibri" w:cs="Calibri"/>
          <w:iCs/>
          <w:color w:val="191919"/>
          <w:sz w:val="22"/>
          <w:szCs w:val="22"/>
          <w:bdr w:val="none" w:sz="0" w:space="0" w:color="auto" w:frame="1"/>
          <w:shd w:val="clear" w:color="auto" w:fill="FFFFFF"/>
        </w:rPr>
        <w:t>gadā</w:t>
      </w:r>
      <w:proofErr w:type="gramEnd"/>
      <w:r w:rsidRPr="00467532">
        <w:rPr>
          <w:rFonts w:ascii="Calibri" w:hAnsi="Calibri" w:cs="Calibri"/>
          <w:iCs/>
          <w:color w:val="191919"/>
          <w:sz w:val="22"/>
          <w:szCs w:val="22"/>
          <w:bdr w:val="none" w:sz="0" w:space="0" w:color="auto" w:frame="1"/>
          <w:shd w:val="clear" w:color="auto" w:fill="FFFFFF"/>
        </w:rPr>
        <w:t xml:space="preserve"> bija saistīti </w:t>
      </w:r>
      <w:r w:rsidR="00462E32">
        <w:rPr>
          <w:rFonts w:ascii="Calibri" w:hAnsi="Calibri" w:cs="Calibri"/>
          <w:iCs/>
          <w:color w:val="191919"/>
          <w:sz w:val="22"/>
          <w:szCs w:val="22"/>
          <w:bdr w:val="none" w:sz="0" w:space="0" w:color="auto" w:frame="1"/>
          <w:shd w:val="clear" w:color="auto" w:fill="FFFFFF"/>
        </w:rPr>
        <w:t xml:space="preserve">ar </w:t>
      </w:r>
      <w:r w:rsidRPr="00467532">
        <w:rPr>
          <w:rFonts w:ascii="Calibri" w:hAnsi="Calibri" w:cs="Calibri"/>
          <w:iCs/>
          <w:color w:val="191919"/>
          <w:sz w:val="22"/>
          <w:szCs w:val="22"/>
          <w:bdr w:val="none" w:sz="0" w:space="0" w:color="auto" w:frame="1"/>
          <w:shd w:val="clear" w:color="auto" w:fill="FFFFFF"/>
        </w:rPr>
        <w:t xml:space="preserve">globālās ekonomikas izaugsmes sabremzēšanos, nenoteiktību un ekonomiskā noskaņojuma pasliktināšanos saistība ar ASV un Ķīnas tirdzniecības saspīlējumu, eksporta un tranzīta nozares lejupslīdi. Latvijas darba tirgū bija vērojams saspīlējums saistībā ar darbaspēka pieejamības samazināšanos, </w:t>
      </w:r>
      <w:proofErr w:type="gramStart"/>
      <w:r w:rsidRPr="00467532">
        <w:rPr>
          <w:rFonts w:ascii="Calibri" w:hAnsi="Calibri" w:cs="Calibri"/>
          <w:iCs/>
          <w:color w:val="191919"/>
          <w:sz w:val="22"/>
          <w:szCs w:val="22"/>
          <w:bdr w:val="none" w:sz="0" w:space="0" w:color="auto" w:frame="1"/>
          <w:shd w:val="clear" w:color="auto" w:fill="FFFFFF"/>
        </w:rPr>
        <w:t>un</w:t>
      </w:r>
      <w:proofErr w:type="gramEnd"/>
      <w:r w:rsidRPr="00467532">
        <w:rPr>
          <w:rFonts w:ascii="Calibri" w:hAnsi="Calibri" w:cs="Calibri"/>
          <w:iCs/>
          <w:color w:val="191919"/>
          <w:sz w:val="22"/>
          <w:szCs w:val="22"/>
          <w:bdr w:val="none" w:sz="0" w:space="0" w:color="auto" w:frame="1"/>
          <w:shd w:val="clear" w:color="auto" w:fill="FFFFFF"/>
        </w:rPr>
        <w:t xml:space="preserve"> algu pieaugumu, kas nebija līdzvērtīgs darba produktivitātes lēnajam kāpumam.</w:t>
      </w:r>
      <w:r w:rsidR="00462E32">
        <w:rPr>
          <w:rFonts w:ascii="Calibri" w:hAnsi="Calibri" w:cs="Calibri"/>
          <w:iCs/>
          <w:color w:val="191919"/>
          <w:sz w:val="22"/>
          <w:szCs w:val="22"/>
          <w:bdr w:val="none" w:sz="0" w:space="0" w:color="auto" w:frame="1"/>
          <w:shd w:val="clear" w:color="auto" w:fill="FFFFFF"/>
        </w:rPr>
        <w:t xml:space="preserve"> </w:t>
      </w:r>
      <w:r w:rsidRPr="00467532">
        <w:rPr>
          <w:rFonts w:ascii="Calibri" w:hAnsi="Calibri" w:cs="Calibri"/>
          <w:iCs/>
          <w:color w:val="191919"/>
          <w:sz w:val="22"/>
          <w:szCs w:val="22"/>
          <w:bdr w:val="none" w:sz="0" w:space="0" w:color="auto" w:frame="1"/>
          <w:shd w:val="clear" w:color="auto" w:fill="FFFFFF"/>
        </w:rPr>
        <w:t xml:space="preserve">2020. </w:t>
      </w:r>
      <w:proofErr w:type="gramStart"/>
      <w:r w:rsidRPr="00467532">
        <w:rPr>
          <w:rFonts w:ascii="Calibri" w:hAnsi="Calibri" w:cs="Calibri"/>
          <w:iCs/>
          <w:color w:val="191919"/>
          <w:sz w:val="22"/>
          <w:szCs w:val="22"/>
          <w:bdr w:val="none" w:sz="0" w:space="0" w:color="auto" w:frame="1"/>
          <w:shd w:val="clear" w:color="auto" w:fill="FFFFFF"/>
        </w:rPr>
        <w:t>gada</w:t>
      </w:r>
      <w:proofErr w:type="gramEnd"/>
      <w:r w:rsidRPr="00467532">
        <w:rPr>
          <w:rFonts w:ascii="Calibri" w:hAnsi="Calibri" w:cs="Calibri"/>
          <w:iCs/>
          <w:color w:val="191919"/>
          <w:sz w:val="22"/>
          <w:szCs w:val="22"/>
          <w:bdr w:val="none" w:sz="0" w:space="0" w:color="auto" w:frame="1"/>
          <w:shd w:val="clear" w:color="auto" w:fill="FFFFFF"/>
        </w:rPr>
        <w:t xml:space="preserve"> sākumā šiem bremzējošajiem faktoriem pavienojās  naftas cenu kritums, globāls Covid-19 uzliesmojums un panika finanšu tirgos. Šajos pieaugošas nenoteiktības apstākļos ekonomikas prognozēšanas iespējas bija ierobežotas </w:t>
      </w:r>
      <w:proofErr w:type="gramStart"/>
      <w:r w:rsidRPr="00467532">
        <w:rPr>
          <w:rFonts w:ascii="Calibri" w:hAnsi="Calibri" w:cs="Calibri"/>
          <w:iCs/>
          <w:color w:val="191919"/>
          <w:sz w:val="22"/>
          <w:szCs w:val="22"/>
          <w:bdr w:val="none" w:sz="0" w:space="0" w:color="auto" w:frame="1"/>
          <w:shd w:val="clear" w:color="auto" w:fill="FFFFFF"/>
        </w:rPr>
        <w:t>un</w:t>
      </w:r>
      <w:proofErr w:type="gramEnd"/>
      <w:r w:rsidRPr="00467532">
        <w:rPr>
          <w:rFonts w:ascii="Calibri" w:hAnsi="Calibri" w:cs="Calibri"/>
          <w:iCs/>
          <w:color w:val="191919"/>
          <w:sz w:val="22"/>
          <w:szCs w:val="22"/>
          <w:bdr w:val="none" w:sz="0" w:space="0" w:color="auto" w:frame="1"/>
          <w:shd w:val="clear" w:color="auto" w:fill="FFFFFF"/>
        </w:rPr>
        <w:t xml:space="preserve"> prognozes tika strauji un vairākkārtīgi pārskatītas gan pasaulē gan Latvijā. </w:t>
      </w:r>
    </w:p>
    <w:p w14:paraId="12BE2560" w14:textId="77777777" w:rsidR="00467532" w:rsidRPr="00467532" w:rsidRDefault="00467532" w:rsidP="00467532">
      <w:pPr>
        <w:pStyle w:val="ListParagraph"/>
        <w:ind w:left="426" w:hanging="426"/>
        <w:jc w:val="both"/>
        <w:rPr>
          <w:rFonts w:ascii="Calibri" w:hAnsi="Calibri" w:cs="Calibri"/>
          <w:b/>
          <w:iCs/>
          <w:color w:val="191919"/>
          <w:sz w:val="22"/>
          <w:szCs w:val="22"/>
          <w:bdr w:val="none" w:sz="0" w:space="0" w:color="auto" w:frame="1"/>
          <w:shd w:val="clear" w:color="auto" w:fill="FFFFFF"/>
        </w:rPr>
      </w:pPr>
    </w:p>
    <w:p w14:paraId="559CBF4E" w14:textId="08271302" w:rsidR="00DB5CF6" w:rsidRPr="00467532" w:rsidRDefault="00DB5CF6" w:rsidP="00462E32">
      <w:pPr>
        <w:pStyle w:val="ListParagraph"/>
        <w:numPr>
          <w:ilvl w:val="0"/>
          <w:numId w:val="23"/>
        </w:numPr>
        <w:ind w:left="426" w:hanging="426"/>
        <w:jc w:val="both"/>
        <w:rPr>
          <w:rFonts w:ascii="Calibri" w:hAnsi="Calibri" w:cs="Calibri"/>
          <w:b/>
          <w:iCs/>
          <w:color w:val="191919"/>
          <w:sz w:val="22"/>
          <w:szCs w:val="22"/>
          <w:bdr w:val="none" w:sz="0" w:space="0" w:color="auto" w:frame="1"/>
          <w:shd w:val="clear" w:color="auto" w:fill="FFFFFF"/>
        </w:rPr>
      </w:pPr>
      <w:r w:rsidRPr="00467532">
        <w:rPr>
          <w:rFonts w:ascii="Calibri" w:hAnsi="Calibri" w:cs="Calibri"/>
          <w:b/>
          <w:sz w:val="22"/>
          <w:szCs w:val="22"/>
        </w:rPr>
        <w:t>ESAO</w:t>
      </w:r>
      <w:r w:rsidRPr="00467532">
        <w:rPr>
          <w:rFonts w:ascii="Calibri" w:hAnsi="Calibri" w:cs="Calibri"/>
          <w:sz w:val="22"/>
          <w:szCs w:val="22"/>
        </w:rPr>
        <w:t xml:space="preserve"> publicētajā ekonomikas pārskatā (</w:t>
      </w:r>
      <w:hyperlink r:id="rId25" w:history="1">
        <w:r w:rsidRPr="00467532">
          <w:rPr>
            <w:rFonts w:ascii="Calibri" w:hAnsi="Calibri" w:cs="Calibri"/>
            <w:i/>
            <w:sz w:val="22"/>
            <w:szCs w:val="22"/>
          </w:rPr>
          <w:t>OECD Economic Outlook</w:t>
        </w:r>
      </w:hyperlink>
      <w:r w:rsidRPr="00467532">
        <w:rPr>
          <w:rFonts w:ascii="Calibri" w:hAnsi="Calibri" w:cs="Calibri"/>
          <w:sz w:val="22"/>
          <w:szCs w:val="22"/>
        </w:rPr>
        <w:t xml:space="preserve">) ir modelēti divi vienlīdz iespējami scenāriji - viens, </w:t>
      </w:r>
      <w:proofErr w:type="gramStart"/>
      <w:r w:rsidRPr="00467532">
        <w:rPr>
          <w:rFonts w:ascii="Calibri" w:hAnsi="Calibri" w:cs="Calibri"/>
          <w:sz w:val="22"/>
          <w:szCs w:val="22"/>
        </w:rPr>
        <w:t>kurā</w:t>
      </w:r>
      <w:proofErr w:type="gramEnd"/>
      <w:r w:rsidRPr="00467532">
        <w:rPr>
          <w:rFonts w:ascii="Calibri" w:hAnsi="Calibri" w:cs="Calibri"/>
          <w:sz w:val="22"/>
          <w:szCs w:val="22"/>
        </w:rPr>
        <w:t xml:space="preserve"> otrais Covid-19 vilnis ar atkārtotu striktu ierobežojumu ieviešanu notiek līdz 2020. </w:t>
      </w:r>
      <w:proofErr w:type="gramStart"/>
      <w:r w:rsidRPr="00467532">
        <w:rPr>
          <w:rFonts w:ascii="Calibri" w:hAnsi="Calibri" w:cs="Calibri"/>
          <w:sz w:val="22"/>
          <w:szCs w:val="22"/>
        </w:rPr>
        <w:t>gada</w:t>
      </w:r>
      <w:proofErr w:type="gramEnd"/>
      <w:r w:rsidRPr="00467532">
        <w:rPr>
          <w:rFonts w:ascii="Calibri" w:hAnsi="Calibri" w:cs="Calibri"/>
          <w:sz w:val="22"/>
          <w:szCs w:val="22"/>
        </w:rPr>
        <w:t xml:space="preserve"> beigām, un otrs, kurā izdodas novērst otro Covid-19 vilni.  Pēc šī ESAO aplēsēm, </w:t>
      </w:r>
      <w:r w:rsidRPr="00467532">
        <w:rPr>
          <w:rFonts w:ascii="Calibri" w:hAnsi="Calibri" w:cs="Calibri"/>
          <w:b/>
          <w:sz w:val="22"/>
          <w:szCs w:val="22"/>
        </w:rPr>
        <w:t>Latvijas IKP</w:t>
      </w:r>
      <w:r w:rsidRPr="00467532">
        <w:rPr>
          <w:rFonts w:ascii="Calibri" w:hAnsi="Calibri" w:cs="Calibri"/>
          <w:sz w:val="22"/>
          <w:szCs w:val="22"/>
        </w:rPr>
        <w:t xml:space="preserve"> samazinājums 2020.g. prognozēts (-8.1%) apmērā, bet Otrā viņā gadījumā prognozēts samazinājums (-10.2%). Māstrihtas parāda pieaugums 2020. g. Latvijai prognozēts (+8.35%), </w:t>
      </w:r>
      <w:proofErr w:type="gramStart"/>
      <w:r w:rsidRPr="00467532">
        <w:rPr>
          <w:rFonts w:ascii="Calibri" w:hAnsi="Calibri" w:cs="Calibri"/>
          <w:sz w:val="22"/>
          <w:szCs w:val="22"/>
        </w:rPr>
        <w:t>ja</w:t>
      </w:r>
      <w:proofErr w:type="gramEnd"/>
      <w:r w:rsidRPr="00467532">
        <w:rPr>
          <w:rFonts w:ascii="Calibri" w:hAnsi="Calibri" w:cs="Calibri"/>
          <w:sz w:val="22"/>
          <w:szCs w:val="22"/>
        </w:rPr>
        <w:t xml:space="preserve"> neiestāsies otrais Covid-19 uzliesmojums, bet otra pandēmijas viļņa gadījumā parāds varētu pieaugt par 14%</w:t>
      </w:r>
      <w:r w:rsidRPr="00467532">
        <w:rPr>
          <w:rStyle w:val="FootnoteReference"/>
          <w:rFonts w:ascii="Calibri" w:hAnsi="Calibri" w:cs="Calibri"/>
          <w:sz w:val="22"/>
          <w:szCs w:val="22"/>
        </w:rPr>
        <w:footnoteReference w:id="18"/>
      </w:r>
      <w:r w:rsidRPr="00467532">
        <w:rPr>
          <w:rFonts w:ascii="Calibri" w:hAnsi="Calibri" w:cs="Calibri"/>
          <w:sz w:val="22"/>
          <w:szCs w:val="22"/>
        </w:rPr>
        <w:t xml:space="preserve">. </w:t>
      </w:r>
      <w:r w:rsidRPr="00467532">
        <w:rPr>
          <w:rFonts w:ascii="Calibri" w:hAnsi="Calibri" w:cs="Calibri"/>
          <w:b/>
          <w:sz w:val="22"/>
          <w:szCs w:val="22"/>
        </w:rPr>
        <w:t>SVF</w:t>
      </w:r>
      <w:r w:rsidRPr="00467532">
        <w:rPr>
          <w:rFonts w:ascii="Calibri" w:hAnsi="Calibri" w:cs="Calibri"/>
          <w:sz w:val="22"/>
          <w:szCs w:val="22"/>
        </w:rPr>
        <w:t xml:space="preserve"> </w:t>
      </w:r>
      <w:r w:rsidRPr="00467532">
        <w:rPr>
          <w:rFonts w:ascii="Calibri" w:hAnsi="Calibri" w:cs="Calibri"/>
          <w:b/>
          <w:sz w:val="22"/>
          <w:szCs w:val="22"/>
        </w:rPr>
        <w:t>Latvijai</w:t>
      </w:r>
      <w:r w:rsidRPr="00467532">
        <w:rPr>
          <w:rFonts w:ascii="Calibri" w:hAnsi="Calibri" w:cs="Calibri"/>
          <w:sz w:val="22"/>
          <w:szCs w:val="22"/>
        </w:rPr>
        <w:t xml:space="preserve"> prognozē reālā IKP lejupslīdi 2020. </w:t>
      </w:r>
      <w:proofErr w:type="gramStart"/>
      <w:r w:rsidRPr="00467532">
        <w:rPr>
          <w:rFonts w:ascii="Calibri" w:hAnsi="Calibri" w:cs="Calibri"/>
          <w:sz w:val="22"/>
          <w:szCs w:val="22"/>
        </w:rPr>
        <w:t>gadam</w:t>
      </w:r>
      <w:proofErr w:type="gramEnd"/>
      <w:r w:rsidRPr="00467532">
        <w:rPr>
          <w:rFonts w:ascii="Calibri" w:hAnsi="Calibri" w:cs="Calibri"/>
          <w:sz w:val="22"/>
          <w:szCs w:val="22"/>
        </w:rPr>
        <w:t xml:space="preserve"> (-8.6%) apmērā, bet jau 2021. gadā prognozēta (+8.3%) izaugsme, raksturojot Latvijas situāciju 2020. gadā sliktāku nekā Eiro zonā kopumā, tomēr prognozējot strauju ekonomikas atsitienu 2021.gadā (+8.3%), kas būtu straujāks nekā Lietuvai un Igaunijai.</w:t>
      </w:r>
    </w:p>
    <w:p w14:paraId="5E10F669" w14:textId="116841DC" w:rsidR="00467532" w:rsidRPr="00467532" w:rsidRDefault="00467532" w:rsidP="00467532">
      <w:pPr>
        <w:ind w:left="426" w:hanging="426"/>
        <w:jc w:val="both"/>
        <w:rPr>
          <w:rFonts w:ascii="Calibri" w:hAnsi="Calibri" w:cs="Calibri"/>
          <w:b/>
          <w:iCs/>
          <w:color w:val="191919"/>
          <w:sz w:val="22"/>
          <w:szCs w:val="22"/>
          <w:bdr w:val="none" w:sz="0" w:space="0" w:color="auto" w:frame="1"/>
          <w:shd w:val="clear" w:color="auto" w:fill="FFFFFF"/>
        </w:rPr>
      </w:pPr>
    </w:p>
    <w:p w14:paraId="0D405E7A" w14:textId="33148C7F" w:rsidR="00DB5CF6" w:rsidRPr="00467532" w:rsidRDefault="00DB5CF6" w:rsidP="00462E32">
      <w:pPr>
        <w:pStyle w:val="ListParagraph"/>
        <w:numPr>
          <w:ilvl w:val="0"/>
          <w:numId w:val="23"/>
        </w:numPr>
        <w:ind w:left="426" w:hanging="426"/>
        <w:jc w:val="both"/>
        <w:rPr>
          <w:rFonts w:ascii="Calibri" w:hAnsi="Calibri" w:cs="Calibri"/>
          <w:b/>
          <w:iCs/>
          <w:color w:val="191919"/>
          <w:sz w:val="22"/>
          <w:szCs w:val="22"/>
          <w:bdr w:val="none" w:sz="0" w:space="0" w:color="auto" w:frame="1"/>
          <w:shd w:val="clear" w:color="auto" w:fill="FFFFFF"/>
        </w:rPr>
      </w:pPr>
      <w:r w:rsidRPr="00467532">
        <w:rPr>
          <w:rFonts w:ascii="Calibri" w:hAnsi="Calibri" w:cs="Calibri"/>
          <w:b/>
          <w:bCs/>
          <w:sz w:val="22"/>
          <w:szCs w:val="22"/>
        </w:rPr>
        <w:t xml:space="preserve">Latvijas Banka 29. </w:t>
      </w:r>
      <w:proofErr w:type="gramStart"/>
      <w:r w:rsidRPr="00467532">
        <w:rPr>
          <w:rFonts w:ascii="Calibri" w:hAnsi="Calibri" w:cs="Calibri"/>
          <w:b/>
          <w:bCs/>
          <w:sz w:val="22"/>
          <w:szCs w:val="22"/>
        </w:rPr>
        <w:t>septembrī</w:t>
      </w:r>
      <w:proofErr w:type="gramEnd"/>
      <w:r w:rsidRPr="00467532">
        <w:rPr>
          <w:rFonts w:ascii="Calibri" w:hAnsi="Calibri" w:cs="Calibri"/>
          <w:b/>
          <w:bCs/>
          <w:sz w:val="22"/>
          <w:szCs w:val="22"/>
        </w:rPr>
        <w:t xml:space="preserve"> pārskatīja un uzlaboja savas makroekonomiskās prognozes, atzīmējot ka Latvijas ekonomikas lejupslīde 2020. </w:t>
      </w:r>
      <w:proofErr w:type="gramStart"/>
      <w:r w:rsidRPr="00467532">
        <w:rPr>
          <w:rFonts w:ascii="Calibri" w:hAnsi="Calibri" w:cs="Calibri"/>
          <w:b/>
          <w:bCs/>
          <w:sz w:val="22"/>
          <w:szCs w:val="22"/>
        </w:rPr>
        <w:t>gadā</w:t>
      </w:r>
      <w:proofErr w:type="gramEnd"/>
      <w:r w:rsidRPr="00467532">
        <w:rPr>
          <w:rFonts w:ascii="Calibri" w:hAnsi="Calibri" w:cs="Calibri"/>
          <w:b/>
          <w:bCs/>
          <w:sz w:val="22"/>
          <w:szCs w:val="22"/>
        </w:rPr>
        <w:t xml:space="preserve"> būs (-4.7%) jūnijā prognozēto (-7.5%) vietā. Līdz ar to arī 2021. </w:t>
      </w:r>
      <w:proofErr w:type="gramStart"/>
      <w:r w:rsidRPr="00467532">
        <w:rPr>
          <w:rFonts w:ascii="Calibri" w:hAnsi="Calibri" w:cs="Calibri"/>
          <w:b/>
          <w:bCs/>
          <w:sz w:val="22"/>
          <w:szCs w:val="22"/>
        </w:rPr>
        <w:t>gada</w:t>
      </w:r>
      <w:proofErr w:type="gramEnd"/>
      <w:r w:rsidRPr="00467532">
        <w:rPr>
          <w:rFonts w:ascii="Calibri" w:hAnsi="Calibri" w:cs="Calibri"/>
          <w:b/>
          <w:bCs/>
          <w:sz w:val="22"/>
          <w:szCs w:val="22"/>
        </w:rPr>
        <w:t xml:space="preserve"> izaugsme tiks uzsākta no</w:t>
      </w:r>
      <w:r w:rsidR="00467532" w:rsidRPr="00467532">
        <w:rPr>
          <w:rFonts w:ascii="Calibri" w:hAnsi="Calibri" w:cs="Calibri"/>
          <w:b/>
          <w:bCs/>
          <w:sz w:val="22"/>
          <w:szCs w:val="22"/>
        </w:rPr>
        <w:t xml:space="preserve"> augstāka punkta un 2021. </w:t>
      </w:r>
      <w:proofErr w:type="gramStart"/>
      <w:r w:rsidR="00467532" w:rsidRPr="00467532">
        <w:rPr>
          <w:rFonts w:ascii="Calibri" w:hAnsi="Calibri" w:cs="Calibri"/>
          <w:b/>
          <w:bCs/>
          <w:sz w:val="22"/>
          <w:szCs w:val="22"/>
        </w:rPr>
        <w:t>gadā</w:t>
      </w:r>
      <w:proofErr w:type="gramEnd"/>
      <w:r w:rsidR="00467532" w:rsidRPr="00467532">
        <w:rPr>
          <w:rFonts w:ascii="Calibri" w:hAnsi="Calibri" w:cs="Calibri"/>
          <w:b/>
          <w:bCs/>
          <w:sz w:val="22"/>
          <w:szCs w:val="22"/>
        </w:rPr>
        <w:t xml:space="preserve"> </w:t>
      </w:r>
      <w:r w:rsidRPr="00467532">
        <w:rPr>
          <w:rFonts w:ascii="Calibri" w:hAnsi="Calibri" w:cs="Calibri"/>
          <w:b/>
          <w:bCs/>
          <w:sz w:val="22"/>
          <w:szCs w:val="22"/>
        </w:rPr>
        <w:t>sasniegs (+5.1%), bet 2022. gadā IKP augs par (+5%).</w:t>
      </w:r>
      <w:r w:rsidR="00467532" w:rsidRPr="00467532">
        <w:rPr>
          <w:rFonts w:ascii="Calibri" w:hAnsi="Calibri" w:cs="Calibri"/>
          <w:b/>
          <w:bCs/>
          <w:sz w:val="22"/>
          <w:szCs w:val="22"/>
        </w:rPr>
        <w:t xml:space="preserve"> </w:t>
      </w:r>
      <w:r w:rsidRPr="00467532">
        <w:rPr>
          <w:rFonts w:ascii="Calibri" w:hAnsi="Calibri" w:cs="Calibri"/>
          <w:bCs/>
          <w:sz w:val="22"/>
          <w:szCs w:val="22"/>
        </w:rPr>
        <w:t xml:space="preserve">Latvijas Bankas pieņēmumi par ekonomikas prognožu uzlabošanos galvenokārt balstīti ne tik straujajā bezdarba pieaugumā kā bija prognozēts iepriekš, ekonomikas </w:t>
      </w:r>
      <w:proofErr w:type="gramStart"/>
      <w:r w:rsidRPr="00467532">
        <w:rPr>
          <w:rFonts w:ascii="Calibri" w:hAnsi="Calibri" w:cs="Calibri"/>
          <w:bCs/>
          <w:sz w:val="22"/>
          <w:szCs w:val="22"/>
        </w:rPr>
        <w:t>noskaņojuma  pozitīvajā</w:t>
      </w:r>
      <w:proofErr w:type="gramEnd"/>
      <w:r w:rsidRPr="00467532">
        <w:rPr>
          <w:rFonts w:ascii="Calibri" w:hAnsi="Calibri" w:cs="Calibri"/>
          <w:bCs/>
          <w:sz w:val="22"/>
          <w:szCs w:val="22"/>
        </w:rPr>
        <w:t xml:space="preserve"> dinamikā, kam sagaidāms, sekos </w:t>
      </w:r>
      <w:r w:rsidR="00D91C96">
        <w:rPr>
          <w:rFonts w:ascii="Calibri" w:hAnsi="Calibri" w:cs="Calibri"/>
          <w:bCs/>
          <w:sz w:val="22"/>
          <w:szCs w:val="22"/>
        </w:rPr>
        <w:t xml:space="preserve">arī ekonomikas kopējā atlabšana. Piedevām, </w:t>
      </w:r>
      <w:r w:rsidRPr="00467532">
        <w:rPr>
          <w:rFonts w:ascii="Calibri" w:hAnsi="Calibri" w:cs="Calibri"/>
          <w:bCs/>
          <w:sz w:val="22"/>
          <w:szCs w:val="22"/>
        </w:rPr>
        <w:t xml:space="preserve">dziļākais krīzes punkts jau ir pārvarēts </w:t>
      </w:r>
      <w:proofErr w:type="gramStart"/>
      <w:r w:rsidRPr="00467532">
        <w:rPr>
          <w:rFonts w:ascii="Calibri" w:hAnsi="Calibri" w:cs="Calibri"/>
          <w:bCs/>
          <w:sz w:val="22"/>
          <w:szCs w:val="22"/>
        </w:rPr>
        <w:t>un</w:t>
      </w:r>
      <w:proofErr w:type="gramEnd"/>
      <w:r w:rsidRPr="00467532">
        <w:rPr>
          <w:rFonts w:ascii="Calibri" w:hAnsi="Calibri" w:cs="Calibri"/>
          <w:bCs/>
          <w:sz w:val="22"/>
          <w:szCs w:val="22"/>
        </w:rPr>
        <w:t xml:space="preserve"> ekonomika ir nostājusies uz atkopšanās ceļa</w:t>
      </w:r>
      <w:r w:rsidRPr="00467532">
        <w:rPr>
          <w:rFonts w:ascii="Calibri" w:hAnsi="Calibri" w:cs="Calibri"/>
          <w:b/>
          <w:bCs/>
          <w:sz w:val="22"/>
          <w:szCs w:val="22"/>
        </w:rPr>
        <w:t xml:space="preserve">.  </w:t>
      </w:r>
      <w:r w:rsidRPr="00467532">
        <w:rPr>
          <w:rFonts w:ascii="Calibri" w:hAnsi="Calibri" w:cs="Calibri"/>
          <w:bCs/>
          <w:sz w:val="22"/>
          <w:szCs w:val="22"/>
        </w:rPr>
        <w:t xml:space="preserve">Darba tirgus stabilizēšanās </w:t>
      </w:r>
      <w:proofErr w:type="gramStart"/>
      <w:r w:rsidRPr="00467532">
        <w:rPr>
          <w:rFonts w:ascii="Calibri" w:hAnsi="Calibri" w:cs="Calibri"/>
          <w:bCs/>
          <w:sz w:val="22"/>
          <w:szCs w:val="22"/>
        </w:rPr>
        <w:t>un</w:t>
      </w:r>
      <w:proofErr w:type="gramEnd"/>
      <w:r w:rsidRPr="00467532">
        <w:rPr>
          <w:rFonts w:ascii="Calibri" w:hAnsi="Calibri" w:cs="Calibri"/>
          <w:bCs/>
          <w:sz w:val="22"/>
          <w:szCs w:val="22"/>
        </w:rPr>
        <w:t xml:space="preserve"> noturība stabilizēs arī darba algu pieaugumu, kas pozitīvi ietekmēs pašlaik ļoti zemos inflācijas rādītājus.</w:t>
      </w:r>
    </w:p>
    <w:p w14:paraId="169D0799" w14:textId="77777777" w:rsidR="00467532" w:rsidRPr="00467532" w:rsidRDefault="00467532" w:rsidP="00467532">
      <w:pPr>
        <w:ind w:left="426" w:hanging="426"/>
        <w:rPr>
          <w:rFonts w:ascii="Calibri" w:hAnsi="Calibri" w:cs="Calibri"/>
          <w:b/>
          <w:sz w:val="22"/>
          <w:szCs w:val="22"/>
        </w:rPr>
      </w:pPr>
    </w:p>
    <w:p w14:paraId="7975144E" w14:textId="365EB4FC" w:rsidR="00DB5CF6" w:rsidRPr="00467532" w:rsidRDefault="00DB5CF6" w:rsidP="00D91C96">
      <w:pPr>
        <w:pStyle w:val="ListParagraph"/>
        <w:numPr>
          <w:ilvl w:val="0"/>
          <w:numId w:val="23"/>
        </w:numPr>
        <w:ind w:left="426" w:hanging="426"/>
        <w:jc w:val="both"/>
        <w:rPr>
          <w:rFonts w:ascii="Calibri" w:hAnsi="Calibri" w:cs="Calibri"/>
          <w:sz w:val="22"/>
          <w:szCs w:val="22"/>
        </w:rPr>
      </w:pPr>
      <w:r w:rsidRPr="00467532">
        <w:rPr>
          <w:rFonts w:ascii="Calibri" w:hAnsi="Calibri" w:cs="Calibri"/>
          <w:b/>
          <w:sz w:val="22"/>
          <w:szCs w:val="22"/>
        </w:rPr>
        <w:t xml:space="preserve">Fiskālās disciplīnas padome š.g. 15. </w:t>
      </w:r>
      <w:proofErr w:type="gramStart"/>
      <w:r w:rsidRPr="00467532">
        <w:rPr>
          <w:rFonts w:ascii="Calibri" w:hAnsi="Calibri" w:cs="Calibri"/>
          <w:b/>
          <w:sz w:val="22"/>
          <w:szCs w:val="22"/>
        </w:rPr>
        <w:t>jūnijā</w:t>
      </w:r>
      <w:proofErr w:type="gramEnd"/>
      <w:r w:rsidRPr="00467532">
        <w:rPr>
          <w:rFonts w:ascii="Calibri" w:hAnsi="Calibri" w:cs="Calibri"/>
          <w:b/>
          <w:sz w:val="22"/>
          <w:szCs w:val="22"/>
        </w:rPr>
        <w:t xml:space="preserve"> ir apstiprinājusi makroekonomikas prognozes 2021.-2023. </w:t>
      </w:r>
      <w:proofErr w:type="gramStart"/>
      <w:r w:rsidRPr="00467532">
        <w:rPr>
          <w:rFonts w:ascii="Calibri" w:hAnsi="Calibri" w:cs="Calibri"/>
          <w:b/>
          <w:sz w:val="22"/>
          <w:szCs w:val="22"/>
        </w:rPr>
        <w:t>gadiem</w:t>
      </w:r>
      <w:proofErr w:type="gramEnd"/>
      <w:r w:rsidRPr="00467532">
        <w:rPr>
          <w:rStyle w:val="FootnoteReference"/>
          <w:rFonts w:ascii="Calibri" w:hAnsi="Calibri" w:cs="Calibri"/>
          <w:b/>
          <w:sz w:val="22"/>
          <w:szCs w:val="22"/>
        </w:rPr>
        <w:footnoteReference w:id="19"/>
      </w:r>
      <w:r w:rsidRPr="00467532">
        <w:rPr>
          <w:rFonts w:ascii="Calibri" w:hAnsi="Calibri" w:cs="Calibri"/>
          <w:b/>
          <w:sz w:val="22"/>
          <w:szCs w:val="22"/>
        </w:rPr>
        <w:t xml:space="preserve">. Apstiprinot makroekonomikas prognozes Padome kā galvenos makroekonomiskos riskus atzīmēja Covid-19 otro vilni, pasaules ekonomikas lēnāku atkopšanos, nekā prognozēts </w:t>
      </w:r>
      <w:proofErr w:type="gramStart"/>
      <w:r w:rsidRPr="00467532">
        <w:rPr>
          <w:rFonts w:ascii="Calibri" w:hAnsi="Calibri" w:cs="Calibri"/>
          <w:b/>
          <w:sz w:val="22"/>
          <w:szCs w:val="22"/>
        </w:rPr>
        <w:t>un</w:t>
      </w:r>
      <w:proofErr w:type="gramEnd"/>
      <w:r w:rsidRPr="00467532">
        <w:rPr>
          <w:rFonts w:ascii="Calibri" w:hAnsi="Calibri" w:cs="Calibri"/>
          <w:b/>
          <w:sz w:val="22"/>
          <w:szCs w:val="22"/>
        </w:rPr>
        <w:t xml:space="preserve"> virkni citu būtisku faktoru. </w:t>
      </w:r>
      <w:r w:rsidRPr="00467532">
        <w:rPr>
          <w:rFonts w:ascii="Calibri" w:hAnsi="Calibri" w:cs="Calibri"/>
          <w:sz w:val="22"/>
          <w:szCs w:val="22"/>
        </w:rPr>
        <w:t xml:space="preserve">Savās rekomendācijās Padome norādīja, ka ņemot </w:t>
      </w:r>
      <w:proofErr w:type="gramStart"/>
      <w:r w:rsidRPr="00467532">
        <w:rPr>
          <w:rFonts w:ascii="Calibri" w:hAnsi="Calibri" w:cs="Calibri"/>
          <w:sz w:val="22"/>
          <w:szCs w:val="22"/>
        </w:rPr>
        <w:t>vērā</w:t>
      </w:r>
      <w:proofErr w:type="gramEnd"/>
      <w:r w:rsidRPr="00467532">
        <w:rPr>
          <w:rFonts w:ascii="Calibri" w:hAnsi="Calibri" w:cs="Calibri"/>
          <w:sz w:val="22"/>
          <w:szCs w:val="22"/>
        </w:rPr>
        <w:t xml:space="preserve"> strauji mainīgo situāciju pasaulē un Latvijā, būtu lietderīgi veikt operatīvu makroekonomikas prognožu pārskatīšanu 2020. </w:t>
      </w:r>
      <w:proofErr w:type="gramStart"/>
      <w:r w:rsidRPr="00467532">
        <w:rPr>
          <w:rFonts w:ascii="Calibri" w:hAnsi="Calibri" w:cs="Calibri"/>
          <w:sz w:val="22"/>
          <w:szCs w:val="22"/>
        </w:rPr>
        <w:t>gada</w:t>
      </w:r>
      <w:proofErr w:type="gramEnd"/>
      <w:r w:rsidRPr="00467532">
        <w:rPr>
          <w:rFonts w:ascii="Calibri" w:hAnsi="Calibri" w:cs="Calibri"/>
          <w:sz w:val="22"/>
          <w:szCs w:val="22"/>
        </w:rPr>
        <w:t xml:space="preserve"> rudenī. </w:t>
      </w:r>
    </w:p>
    <w:p w14:paraId="0E4EA8A8" w14:textId="77777777" w:rsidR="00467532" w:rsidRPr="00467532" w:rsidRDefault="00467532" w:rsidP="00467532">
      <w:pPr>
        <w:ind w:left="426" w:hanging="426"/>
        <w:rPr>
          <w:rFonts w:ascii="Calibri" w:hAnsi="Calibri" w:cs="Calibri"/>
          <w:b/>
          <w:sz w:val="22"/>
          <w:szCs w:val="22"/>
        </w:rPr>
      </w:pPr>
    </w:p>
    <w:p w14:paraId="56713DE0" w14:textId="48ECF72D" w:rsidR="00DB5CF6" w:rsidRPr="00467532" w:rsidRDefault="00DB5CF6" w:rsidP="00D91C96">
      <w:pPr>
        <w:pStyle w:val="ListParagraph"/>
        <w:numPr>
          <w:ilvl w:val="0"/>
          <w:numId w:val="23"/>
        </w:numPr>
        <w:ind w:left="426" w:hanging="426"/>
        <w:jc w:val="both"/>
        <w:rPr>
          <w:rFonts w:ascii="Calibri" w:hAnsi="Calibri" w:cs="Calibri"/>
          <w:b/>
          <w:sz w:val="22"/>
          <w:szCs w:val="22"/>
        </w:rPr>
      </w:pPr>
      <w:r w:rsidRPr="00467532">
        <w:rPr>
          <w:rFonts w:ascii="Calibri" w:hAnsi="Calibri" w:cs="Calibri"/>
          <w:b/>
          <w:sz w:val="22"/>
          <w:szCs w:val="22"/>
        </w:rPr>
        <w:lastRenderedPageBreak/>
        <w:t xml:space="preserve">Padome atzinīgi vērtē FM veiktos aprēķinus, kuros modelēts Covid-19 otrā </w:t>
      </w:r>
      <w:proofErr w:type="gramStart"/>
      <w:r w:rsidRPr="00467532">
        <w:rPr>
          <w:rFonts w:ascii="Calibri" w:eastAsia="Calibri" w:hAnsi="Calibri" w:cs="Calibri"/>
          <w:b/>
          <w:sz w:val="22"/>
          <w:szCs w:val="22"/>
        </w:rPr>
        <w:t>viļņa</w:t>
      </w:r>
      <w:proofErr w:type="gramEnd"/>
      <w:r w:rsidRPr="00467532">
        <w:rPr>
          <w:rFonts w:ascii="Calibri" w:eastAsia="Calibri" w:hAnsi="Calibri" w:cs="Calibri"/>
          <w:b/>
          <w:sz w:val="22"/>
          <w:szCs w:val="22"/>
        </w:rPr>
        <w:t xml:space="preserve"> scenārijs un atzīmē, </w:t>
      </w:r>
      <w:r w:rsidRPr="00467532">
        <w:rPr>
          <w:rFonts w:ascii="Calibri" w:hAnsi="Calibri" w:cs="Calibri"/>
          <w:b/>
          <w:sz w:val="22"/>
          <w:szCs w:val="22"/>
        </w:rPr>
        <w:t>ka līdzīgi ir rīkojušās starptautiskās organizācijas</w:t>
      </w:r>
      <w:r w:rsidRPr="00467532">
        <w:rPr>
          <w:rFonts w:ascii="Calibri" w:eastAsia="Calibri" w:hAnsi="Calibri" w:cs="Calibri"/>
          <w:b/>
          <w:sz w:val="22"/>
          <w:szCs w:val="22"/>
        </w:rPr>
        <w:t>.</w:t>
      </w:r>
      <w:r w:rsidR="00467532" w:rsidRPr="00467532">
        <w:rPr>
          <w:rFonts w:ascii="Calibri" w:eastAsia="Calibri" w:hAnsi="Calibri" w:cs="Calibri"/>
          <w:b/>
          <w:sz w:val="22"/>
          <w:szCs w:val="22"/>
        </w:rPr>
        <w:t xml:space="preserve"> </w:t>
      </w:r>
      <w:r w:rsidRPr="00467532">
        <w:rPr>
          <w:rFonts w:ascii="Calibri" w:hAnsi="Calibri" w:cs="Calibri"/>
          <w:b/>
          <w:bCs/>
          <w:color w:val="000000"/>
          <w:sz w:val="22"/>
          <w:szCs w:val="22"/>
          <w:lang w:eastAsia="lv-LV"/>
        </w:rPr>
        <w:t xml:space="preserve">Finanšu ministrijas modelētais reālais IKP </w:t>
      </w:r>
      <w:r w:rsidRPr="00467532">
        <w:rPr>
          <w:rFonts w:ascii="Calibri" w:eastAsia="Calibri" w:hAnsi="Calibri" w:cs="Calibri"/>
          <w:b/>
          <w:sz w:val="22"/>
          <w:szCs w:val="22"/>
        </w:rPr>
        <w:t>“2.viļņa” scenārijā salīdzinot ar apstiprināto prognozi VTBI 2021/2023.</w:t>
      </w:r>
      <w:r w:rsidRPr="00467532">
        <w:rPr>
          <w:rFonts w:ascii="Calibri" w:hAnsi="Calibri" w:cs="Calibri"/>
          <w:b/>
          <w:bCs/>
          <w:color w:val="000000"/>
          <w:sz w:val="22"/>
          <w:szCs w:val="22"/>
          <w:lang w:eastAsia="lv-LV"/>
        </w:rPr>
        <w:t xml:space="preserve"> </w:t>
      </w:r>
      <w:r w:rsidRPr="00467532">
        <w:rPr>
          <w:rFonts w:ascii="Calibri" w:hAnsi="Calibri" w:cs="Calibri"/>
          <w:color w:val="000000" w:themeColor="text1"/>
          <w:sz w:val="22"/>
          <w:szCs w:val="22"/>
          <w:lang w:eastAsia="lv-LV"/>
        </w:rPr>
        <w:t xml:space="preserve">Salīdzinājumā ar iepriekšējo prognozi vidēja termiņa budžeta ietvaram (VTBI) 2021-2023, kas tika apstiprināta FDP 2020. </w:t>
      </w:r>
      <w:proofErr w:type="gramStart"/>
      <w:r w:rsidRPr="00467532">
        <w:rPr>
          <w:rFonts w:ascii="Calibri" w:hAnsi="Calibri" w:cs="Calibri"/>
          <w:color w:val="000000" w:themeColor="text1"/>
          <w:sz w:val="22"/>
          <w:szCs w:val="22"/>
          <w:lang w:eastAsia="lv-LV"/>
        </w:rPr>
        <w:t>gada</w:t>
      </w:r>
      <w:proofErr w:type="gramEnd"/>
      <w:r w:rsidRPr="00467532">
        <w:rPr>
          <w:rFonts w:ascii="Calibri" w:hAnsi="Calibri" w:cs="Calibri"/>
          <w:color w:val="000000" w:themeColor="text1"/>
          <w:sz w:val="22"/>
          <w:szCs w:val="22"/>
          <w:lang w:eastAsia="lv-LV"/>
        </w:rPr>
        <w:t xml:space="preserve"> 2015. </w:t>
      </w:r>
      <w:proofErr w:type="gramStart"/>
      <w:r w:rsidRPr="00467532">
        <w:rPr>
          <w:rFonts w:ascii="Calibri" w:hAnsi="Calibri" w:cs="Calibri"/>
          <w:color w:val="000000" w:themeColor="text1"/>
          <w:sz w:val="22"/>
          <w:szCs w:val="22"/>
          <w:lang w:eastAsia="lv-LV"/>
        </w:rPr>
        <w:t>jūnijā</w:t>
      </w:r>
      <w:proofErr w:type="gramEnd"/>
      <w:r w:rsidRPr="00467532">
        <w:rPr>
          <w:rFonts w:ascii="Calibri" w:hAnsi="Calibri" w:cs="Calibri"/>
          <w:color w:val="000000" w:themeColor="text1"/>
          <w:sz w:val="22"/>
          <w:szCs w:val="22"/>
          <w:lang w:eastAsia="lv-LV"/>
        </w:rPr>
        <w:t>, Covid-19 otrā viļņa scenārija realizēšanās nozīm</w:t>
      </w:r>
      <w:r w:rsidR="00D91C96">
        <w:rPr>
          <w:rFonts w:ascii="Calibri" w:hAnsi="Calibri" w:cs="Calibri"/>
          <w:color w:val="000000" w:themeColor="text1"/>
          <w:sz w:val="22"/>
          <w:szCs w:val="22"/>
          <w:lang w:eastAsia="lv-LV"/>
        </w:rPr>
        <w:t>ētu</w:t>
      </w:r>
      <w:r w:rsidRPr="00467532">
        <w:rPr>
          <w:rFonts w:ascii="Calibri" w:hAnsi="Calibri" w:cs="Calibri"/>
          <w:color w:val="000000" w:themeColor="text1"/>
          <w:sz w:val="22"/>
          <w:szCs w:val="22"/>
          <w:lang w:eastAsia="lv-LV"/>
        </w:rPr>
        <w:t xml:space="preserve"> reālā IKP pieauguma tempa samazinājumu 2020. </w:t>
      </w:r>
      <w:proofErr w:type="gramStart"/>
      <w:r w:rsidRPr="00467532">
        <w:rPr>
          <w:rFonts w:ascii="Calibri" w:hAnsi="Calibri" w:cs="Calibri"/>
          <w:color w:val="000000" w:themeColor="text1"/>
          <w:sz w:val="22"/>
          <w:szCs w:val="22"/>
          <w:lang w:eastAsia="lv-LV"/>
        </w:rPr>
        <w:t>gadam</w:t>
      </w:r>
      <w:proofErr w:type="gramEnd"/>
      <w:r w:rsidRPr="00467532">
        <w:rPr>
          <w:rFonts w:ascii="Calibri" w:hAnsi="Calibri" w:cs="Calibri"/>
          <w:color w:val="000000" w:themeColor="text1"/>
          <w:sz w:val="22"/>
          <w:szCs w:val="22"/>
          <w:lang w:eastAsia="lv-LV"/>
        </w:rPr>
        <w:t xml:space="preserve"> par 2%, 2021. </w:t>
      </w:r>
      <w:proofErr w:type="gramStart"/>
      <w:r w:rsidRPr="00467532">
        <w:rPr>
          <w:rFonts w:ascii="Calibri" w:hAnsi="Calibri" w:cs="Calibri"/>
          <w:color w:val="000000" w:themeColor="text1"/>
          <w:sz w:val="22"/>
          <w:szCs w:val="22"/>
          <w:lang w:eastAsia="lv-LV"/>
        </w:rPr>
        <w:t>gadam</w:t>
      </w:r>
      <w:proofErr w:type="gramEnd"/>
      <w:r w:rsidRPr="00467532">
        <w:rPr>
          <w:rFonts w:ascii="Calibri" w:hAnsi="Calibri" w:cs="Calibri"/>
          <w:color w:val="000000" w:themeColor="text1"/>
          <w:sz w:val="22"/>
          <w:szCs w:val="22"/>
          <w:lang w:eastAsia="lv-LV"/>
        </w:rPr>
        <w:t xml:space="preserve"> samazinājumu par 3</w:t>
      </w:r>
      <w:r w:rsidR="00362CD2">
        <w:rPr>
          <w:rFonts w:ascii="Calibri" w:hAnsi="Calibri" w:cs="Calibri"/>
          <w:color w:val="000000" w:themeColor="text1"/>
          <w:sz w:val="22"/>
          <w:szCs w:val="22"/>
          <w:lang w:eastAsia="lv-LV"/>
        </w:rPr>
        <w:t>.</w:t>
      </w:r>
      <w:r w:rsidRPr="00467532">
        <w:rPr>
          <w:rFonts w:ascii="Calibri" w:hAnsi="Calibri" w:cs="Calibri"/>
          <w:color w:val="000000" w:themeColor="text1"/>
          <w:sz w:val="22"/>
          <w:szCs w:val="22"/>
          <w:lang w:eastAsia="lv-LV"/>
        </w:rPr>
        <w:t xml:space="preserve">1% un tikai 2022. </w:t>
      </w:r>
      <w:proofErr w:type="gramStart"/>
      <w:r w:rsidRPr="00467532">
        <w:rPr>
          <w:rFonts w:ascii="Calibri" w:hAnsi="Calibri" w:cs="Calibri"/>
          <w:color w:val="000000" w:themeColor="text1"/>
          <w:sz w:val="22"/>
          <w:szCs w:val="22"/>
          <w:lang w:eastAsia="lv-LV"/>
        </w:rPr>
        <w:t>gadam</w:t>
      </w:r>
      <w:proofErr w:type="gramEnd"/>
      <w:r w:rsidRPr="00467532">
        <w:rPr>
          <w:rFonts w:ascii="Calibri" w:hAnsi="Calibri" w:cs="Calibri"/>
          <w:color w:val="000000" w:themeColor="text1"/>
          <w:sz w:val="22"/>
          <w:szCs w:val="22"/>
          <w:lang w:eastAsia="lv-LV"/>
        </w:rPr>
        <w:t xml:space="preserve"> prognoze paaugstinās par 1</w:t>
      </w:r>
      <w:r w:rsidR="00362CD2">
        <w:rPr>
          <w:rFonts w:ascii="Calibri" w:hAnsi="Calibri" w:cs="Calibri"/>
          <w:color w:val="000000" w:themeColor="text1"/>
          <w:sz w:val="22"/>
          <w:szCs w:val="22"/>
          <w:lang w:eastAsia="lv-LV"/>
        </w:rPr>
        <w:t>.</w:t>
      </w:r>
      <w:r w:rsidRPr="00467532">
        <w:rPr>
          <w:rFonts w:ascii="Calibri" w:hAnsi="Calibri" w:cs="Calibri"/>
          <w:color w:val="000000" w:themeColor="text1"/>
          <w:sz w:val="22"/>
          <w:szCs w:val="22"/>
          <w:lang w:eastAsia="lv-LV"/>
        </w:rPr>
        <w:t xml:space="preserve">5%, bet 2023. </w:t>
      </w:r>
      <w:proofErr w:type="gramStart"/>
      <w:r w:rsidRPr="00467532">
        <w:rPr>
          <w:rFonts w:ascii="Calibri" w:hAnsi="Calibri" w:cs="Calibri"/>
          <w:color w:val="000000" w:themeColor="text1"/>
          <w:sz w:val="22"/>
          <w:szCs w:val="22"/>
          <w:lang w:eastAsia="lv-LV"/>
        </w:rPr>
        <w:t>gadam</w:t>
      </w:r>
      <w:proofErr w:type="gramEnd"/>
      <w:r w:rsidRPr="00467532">
        <w:rPr>
          <w:rFonts w:ascii="Calibri" w:hAnsi="Calibri" w:cs="Calibri"/>
          <w:color w:val="000000" w:themeColor="text1"/>
          <w:sz w:val="22"/>
          <w:szCs w:val="22"/>
          <w:lang w:eastAsia="lv-LV"/>
        </w:rPr>
        <w:t xml:space="preserve"> paaugstinās par 0</w:t>
      </w:r>
      <w:r w:rsidR="00362CD2">
        <w:rPr>
          <w:rFonts w:ascii="Calibri" w:hAnsi="Calibri" w:cs="Calibri"/>
          <w:color w:val="000000" w:themeColor="text1"/>
          <w:sz w:val="22"/>
          <w:szCs w:val="22"/>
          <w:lang w:eastAsia="lv-LV"/>
        </w:rPr>
        <w:t>.</w:t>
      </w:r>
      <w:r w:rsidRPr="00467532">
        <w:rPr>
          <w:rFonts w:ascii="Calibri" w:hAnsi="Calibri" w:cs="Calibri"/>
          <w:color w:val="000000" w:themeColor="text1"/>
          <w:sz w:val="22"/>
          <w:szCs w:val="22"/>
          <w:lang w:eastAsia="lv-LV"/>
        </w:rPr>
        <w:t xml:space="preserve">1%. </w:t>
      </w:r>
    </w:p>
    <w:p w14:paraId="5C835F9B" w14:textId="42A88F52" w:rsidR="00DB5CF6" w:rsidRPr="00467532" w:rsidRDefault="00DB5CF6" w:rsidP="00D91C96">
      <w:pPr>
        <w:ind w:left="426"/>
        <w:jc w:val="both"/>
        <w:rPr>
          <w:rFonts w:ascii="Calibri" w:hAnsi="Calibri" w:cs="Calibri"/>
          <w:color w:val="000000" w:themeColor="text1"/>
          <w:sz w:val="22"/>
          <w:szCs w:val="22"/>
          <w:lang w:eastAsia="lv-LV"/>
        </w:rPr>
      </w:pPr>
      <w:r w:rsidRPr="00467532">
        <w:rPr>
          <w:rFonts w:ascii="Calibri" w:hAnsi="Calibri" w:cs="Calibri"/>
          <w:b/>
          <w:bCs/>
          <w:color w:val="000000"/>
          <w:sz w:val="22"/>
          <w:szCs w:val="22"/>
          <w:lang w:eastAsia="lv-LV"/>
        </w:rPr>
        <w:t>FM modelētais</w:t>
      </w:r>
      <w:r w:rsidRPr="00467532">
        <w:rPr>
          <w:rFonts w:ascii="Calibri" w:hAnsi="Calibri" w:cs="Calibri"/>
          <w:b/>
          <w:bCs/>
          <w:color w:val="000000" w:themeColor="text1"/>
          <w:sz w:val="22"/>
          <w:szCs w:val="22"/>
          <w:lang w:eastAsia="lv-LV"/>
        </w:rPr>
        <w:t xml:space="preserve"> nominālais IKP </w:t>
      </w:r>
      <w:r w:rsidRPr="00467532">
        <w:rPr>
          <w:rFonts w:ascii="Calibri" w:eastAsia="Calibri" w:hAnsi="Calibri" w:cs="Calibri"/>
          <w:b/>
          <w:sz w:val="22"/>
          <w:szCs w:val="22"/>
        </w:rPr>
        <w:t>“2.viļņa” scenārijā salīdzinot ar apstiprināto prognozi VTBI 2021/2023.</w:t>
      </w:r>
      <w:r w:rsidR="00467532" w:rsidRPr="00467532">
        <w:rPr>
          <w:rFonts w:ascii="Calibri" w:hAnsi="Calibri" w:cs="Calibri"/>
          <w:b/>
          <w:bCs/>
          <w:color w:val="000000"/>
          <w:sz w:val="22"/>
          <w:szCs w:val="22"/>
          <w:lang w:eastAsia="lv-LV"/>
        </w:rPr>
        <w:t xml:space="preserve"> </w:t>
      </w:r>
      <w:r w:rsidRPr="00467532">
        <w:rPr>
          <w:rFonts w:ascii="Calibri" w:eastAsia="Calibri" w:hAnsi="Calibri" w:cs="Calibri"/>
          <w:sz w:val="22"/>
          <w:szCs w:val="22"/>
        </w:rPr>
        <w:t xml:space="preserve">Otrā </w:t>
      </w:r>
      <w:proofErr w:type="gramStart"/>
      <w:r w:rsidRPr="00467532">
        <w:rPr>
          <w:rFonts w:ascii="Calibri" w:eastAsia="Calibri" w:hAnsi="Calibri" w:cs="Calibri"/>
          <w:sz w:val="22"/>
          <w:szCs w:val="22"/>
        </w:rPr>
        <w:t>viļņa</w:t>
      </w:r>
      <w:proofErr w:type="gramEnd"/>
      <w:r w:rsidRPr="00467532">
        <w:rPr>
          <w:rFonts w:ascii="Calibri" w:eastAsia="Calibri" w:hAnsi="Calibri" w:cs="Calibri"/>
          <w:sz w:val="22"/>
          <w:szCs w:val="22"/>
        </w:rPr>
        <w:t xml:space="preserve"> scenārijā</w:t>
      </w:r>
      <w:r w:rsidRPr="00467532">
        <w:rPr>
          <w:rFonts w:ascii="Calibri" w:hAnsi="Calibri" w:cs="Calibri"/>
          <w:color w:val="000000" w:themeColor="text1"/>
          <w:sz w:val="22"/>
          <w:szCs w:val="22"/>
          <w:lang w:eastAsia="lv-LV"/>
        </w:rPr>
        <w:t xml:space="preserve"> Nominālā IKP pieauguma tempa samazinājums salīdzinot</w:t>
      </w:r>
      <w:r w:rsidR="00D91C96">
        <w:rPr>
          <w:rFonts w:ascii="Calibri" w:hAnsi="Calibri" w:cs="Calibri"/>
          <w:color w:val="000000" w:themeColor="text1"/>
          <w:sz w:val="22"/>
          <w:szCs w:val="22"/>
          <w:lang w:eastAsia="lv-LV"/>
        </w:rPr>
        <w:t xml:space="preserve"> ar VTBI 2021/2023 nozīmētu, ka</w:t>
      </w:r>
      <w:r w:rsidRPr="00467532">
        <w:rPr>
          <w:rFonts w:ascii="Calibri" w:hAnsi="Calibri" w:cs="Calibri"/>
          <w:color w:val="000000" w:themeColor="text1"/>
          <w:sz w:val="22"/>
          <w:szCs w:val="22"/>
          <w:lang w:eastAsia="lv-LV"/>
        </w:rPr>
        <w:t xml:space="preserve"> 2020. </w:t>
      </w:r>
      <w:proofErr w:type="gramStart"/>
      <w:r w:rsidRPr="00467532">
        <w:rPr>
          <w:rFonts w:ascii="Calibri" w:hAnsi="Calibri" w:cs="Calibri"/>
          <w:color w:val="000000" w:themeColor="text1"/>
          <w:sz w:val="22"/>
          <w:szCs w:val="22"/>
          <w:lang w:eastAsia="lv-LV"/>
        </w:rPr>
        <w:t>gadā</w:t>
      </w:r>
      <w:proofErr w:type="gramEnd"/>
      <w:r w:rsidRPr="00467532">
        <w:rPr>
          <w:rFonts w:ascii="Calibri" w:hAnsi="Calibri" w:cs="Calibri"/>
          <w:color w:val="000000" w:themeColor="text1"/>
          <w:sz w:val="22"/>
          <w:szCs w:val="22"/>
          <w:lang w:eastAsia="lv-LV"/>
        </w:rPr>
        <w:t xml:space="preserve"> nominālais IKP būtu par 2% zemāks par jūnijā prognozēto, 2021. </w:t>
      </w:r>
      <w:proofErr w:type="gramStart"/>
      <w:r w:rsidRPr="00467532">
        <w:rPr>
          <w:rFonts w:ascii="Calibri" w:hAnsi="Calibri" w:cs="Calibri"/>
          <w:color w:val="000000" w:themeColor="text1"/>
          <w:sz w:val="22"/>
          <w:szCs w:val="22"/>
          <w:lang w:eastAsia="lv-LV"/>
        </w:rPr>
        <w:t>gadā</w:t>
      </w:r>
      <w:proofErr w:type="gramEnd"/>
      <w:r w:rsidRPr="00467532">
        <w:rPr>
          <w:rFonts w:ascii="Calibri" w:hAnsi="Calibri" w:cs="Calibri"/>
          <w:color w:val="000000" w:themeColor="text1"/>
          <w:sz w:val="22"/>
          <w:szCs w:val="22"/>
          <w:lang w:eastAsia="lv-LV"/>
        </w:rPr>
        <w:t xml:space="preserve"> zemāks par 3</w:t>
      </w:r>
      <w:r w:rsidR="00362CD2">
        <w:rPr>
          <w:rFonts w:ascii="Calibri" w:hAnsi="Calibri" w:cs="Calibri"/>
          <w:color w:val="000000" w:themeColor="text1"/>
          <w:sz w:val="22"/>
          <w:szCs w:val="22"/>
          <w:lang w:eastAsia="lv-LV"/>
        </w:rPr>
        <w:t>.</w:t>
      </w:r>
      <w:r w:rsidRPr="00467532">
        <w:rPr>
          <w:rFonts w:ascii="Calibri" w:hAnsi="Calibri" w:cs="Calibri"/>
          <w:color w:val="000000" w:themeColor="text1"/>
          <w:sz w:val="22"/>
          <w:szCs w:val="22"/>
          <w:lang w:eastAsia="lv-LV"/>
        </w:rPr>
        <w:t>6% un tikai 20</w:t>
      </w:r>
      <w:r w:rsidR="00D91C96">
        <w:rPr>
          <w:rFonts w:ascii="Calibri" w:hAnsi="Calibri" w:cs="Calibri"/>
          <w:color w:val="000000" w:themeColor="text1"/>
          <w:sz w:val="22"/>
          <w:szCs w:val="22"/>
          <w:lang w:eastAsia="lv-LV"/>
        </w:rPr>
        <w:t xml:space="preserve">22. </w:t>
      </w:r>
      <w:proofErr w:type="gramStart"/>
      <w:r w:rsidR="00D91C96">
        <w:rPr>
          <w:rFonts w:ascii="Calibri" w:hAnsi="Calibri" w:cs="Calibri"/>
          <w:color w:val="000000" w:themeColor="text1"/>
          <w:sz w:val="22"/>
          <w:szCs w:val="22"/>
          <w:lang w:eastAsia="lv-LV"/>
        </w:rPr>
        <w:t>gadā</w:t>
      </w:r>
      <w:proofErr w:type="gramEnd"/>
      <w:r w:rsidR="00D91C96">
        <w:rPr>
          <w:rFonts w:ascii="Calibri" w:hAnsi="Calibri" w:cs="Calibri"/>
          <w:color w:val="000000" w:themeColor="text1"/>
          <w:sz w:val="22"/>
          <w:szCs w:val="22"/>
          <w:lang w:eastAsia="lv-LV"/>
        </w:rPr>
        <w:t xml:space="preserve"> prognoze paaugstinās par 0.</w:t>
      </w:r>
      <w:r w:rsidRPr="00467532">
        <w:rPr>
          <w:rFonts w:ascii="Calibri" w:hAnsi="Calibri" w:cs="Calibri"/>
          <w:color w:val="000000" w:themeColor="text1"/>
          <w:sz w:val="22"/>
          <w:szCs w:val="22"/>
          <w:lang w:eastAsia="lv-LV"/>
        </w:rPr>
        <w:t xml:space="preserve">9%, bet 2023. </w:t>
      </w:r>
      <w:proofErr w:type="gramStart"/>
      <w:r w:rsidRPr="00467532">
        <w:rPr>
          <w:rFonts w:ascii="Calibri" w:hAnsi="Calibri" w:cs="Calibri"/>
          <w:color w:val="000000" w:themeColor="text1"/>
          <w:sz w:val="22"/>
          <w:szCs w:val="22"/>
          <w:lang w:eastAsia="lv-LV"/>
        </w:rPr>
        <w:t>gadam</w:t>
      </w:r>
      <w:proofErr w:type="gramEnd"/>
      <w:r w:rsidRPr="00467532">
        <w:rPr>
          <w:rFonts w:ascii="Calibri" w:hAnsi="Calibri" w:cs="Calibri"/>
          <w:color w:val="000000" w:themeColor="text1"/>
          <w:sz w:val="22"/>
          <w:szCs w:val="22"/>
          <w:lang w:eastAsia="lv-LV"/>
        </w:rPr>
        <w:t xml:space="preserve"> paliek nemainīga. </w:t>
      </w:r>
    </w:p>
    <w:p w14:paraId="3D5A7F64" w14:textId="53D5F379" w:rsidR="00467532" w:rsidRDefault="00467532" w:rsidP="00467532">
      <w:pPr>
        <w:ind w:left="426"/>
        <w:rPr>
          <w:rFonts w:ascii="Calibri" w:hAnsi="Calibri" w:cs="Calibri"/>
          <w:b/>
          <w:bCs/>
          <w:color w:val="000000"/>
          <w:sz w:val="20"/>
          <w:szCs w:val="20"/>
          <w:lang w:eastAsia="lv-LV"/>
        </w:rPr>
      </w:pPr>
    </w:p>
    <w:tbl>
      <w:tblPr>
        <w:tblStyle w:val="TableGrid"/>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49"/>
        <w:gridCol w:w="4335"/>
      </w:tblGrid>
      <w:tr w:rsidR="00DB5CF6" w:rsidRPr="00F87CE3" w14:paraId="51C0D6CB" w14:textId="77777777" w:rsidTr="009A1EF2">
        <w:tc>
          <w:tcPr>
            <w:tcW w:w="4449" w:type="dxa"/>
          </w:tcPr>
          <w:p w14:paraId="36F7A41C" w14:textId="77777777" w:rsidR="00DB5CF6" w:rsidRPr="00F87CE3" w:rsidRDefault="00DB5CF6" w:rsidP="009A1EF2">
            <w:pPr>
              <w:rPr>
                <w:rFonts w:ascii="Calibri" w:hAnsi="Calibri" w:cs="Calibri"/>
                <w:sz w:val="20"/>
                <w:szCs w:val="20"/>
              </w:rPr>
            </w:pPr>
            <w:r w:rsidRPr="00F87CE3">
              <w:rPr>
                <w:rFonts w:ascii="Calibri" w:hAnsi="Calibri" w:cs="Calibri"/>
                <w:noProof/>
                <w:sz w:val="20"/>
                <w:szCs w:val="20"/>
                <w:lang w:val="lv-LV" w:eastAsia="lv-LV"/>
              </w:rPr>
              <w:drawing>
                <wp:inline distT="0" distB="0" distL="0" distR="0" wp14:anchorId="4BADF451" wp14:editId="6B82A1A3">
                  <wp:extent cx="2708910" cy="2442950"/>
                  <wp:effectExtent l="0" t="0" r="0" b="0"/>
                  <wp:docPr id="11" name="Диаграмма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335" w:type="dxa"/>
          </w:tcPr>
          <w:p w14:paraId="555FA81A" w14:textId="77777777" w:rsidR="00DB5CF6" w:rsidRPr="00F87CE3" w:rsidRDefault="00DB5CF6" w:rsidP="009A1EF2">
            <w:pPr>
              <w:ind w:right="178"/>
              <w:rPr>
                <w:rFonts w:ascii="Calibri" w:hAnsi="Calibri" w:cs="Calibri"/>
                <w:sz w:val="20"/>
                <w:szCs w:val="20"/>
              </w:rPr>
            </w:pPr>
            <w:r w:rsidRPr="00F87CE3">
              <w:rPr>
                <w:rFonts w:ascii="Calibri" w:hAnsi="Calibri" w:cs="Calibri"/>
                <w:noProof/>
                <w:sz w:val="20"/>
                <w:szCs w:val="20"/>
                <w:lang w:val="lv-LV" w:eastAsia="lv-LV"/>
              </w:rPr>
              <w:drawing>
                <wp:inline distT="0" distB="0" distL="0" distR="0" wp14:anchorId="0D7FDEBB" wp14:editId="7D9070CA">
                  <wp:extent cx="2579427" cy="2384425"/>
                  <wp:effectExtent l="0" t="0" r="0" b="0"/>
                  <wp:docPr id="14" name="Диаграмма 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DB5CF6" w:rsidRPr="00F87CE3" w14:paraId="267C2939" w14:textId="77777777" w:rsidTr="009A1EF2">
        <w:tc>
          <w:tcPr>
            <w:tcW w:w="4449" w:type="dxa"/>
          </w:tcPr>
          <w:p w14:paraId="6DFD126B" w14:textId="77777777" w:rsidR="00DB5CF6" w:rsidRPr="00644A95" w:rsidRDefault="00DB5CF6" w:rsidP="009A1EF2">
            <w:pPr>
              <w:rPr>
                <w:rFonts w:ascii="Calibri" w:hAnsi="Calibri" w:cs="Calibri"/>
                <w:i/>
                <w:sz w:val="20"/>
                <w:szCs w:val="20"/>
              </w:rPr>
            </w:pPr>
            <w:r w:rsidRPr="00644A95">
              <w:rPr>
                <w:rFonts w:ascii="Calibri" w:hAnsi="Calibri" w:cs="Calibri"/>
                <w:i/>
                <w:sz w:val="20"/>
                <w:szCs w:val="20"/>
              </w:rPr>
              <w:t xml:space="preserve">Avots: FM </w:t>
            </w:r>
          </w:p>
          <w:p w14:paraId="20B8898F" w14:textId="7AABC2BD" w:rsidR="00DB5CF6" w:rsidRPr="00F87CE3" w:rsidRDefault="00644A95" w:rsidP="00644A95">
            <w:pPr>
              <w:rPr>
                <w:rFonts w:ascii="Calibri" w:hAnsi="Calibri" w:cs="Calibri"/>
                <w:i/>
                <w:sz w:val="20"/>
                <w:szCs w:val="20"/>
              </w:rPr>
            </w:pPr>
            <w:r w:rsidRPr="00644A95">
              <w:rPr>
                <w:rStyle w:val="Emphasis"/>
                <w:rFonts w:ascii="Calibri" w:hAnsi="Calibri" w:cs="Calibri"/>
                <w:b/>
                <w:i w:val="0"/>
                <w:color w:val="191919"/>
                <w:sz w:val="22"/>
                <w:bdr w:val="none" w:sz="0" w:space="0" w:color="auto" w:frame="1"/>
                <w:shd w:val="clear" w:color="auto" w:fill="FFFFFF"/>
              </w:rPr>
              <w:t>7. a</w:t>
            </w:r>
            <w:r w:rsidR="00DB5CF6" w:rsidRPr="00644A95">
              <w:rPr>
                <w:rStyle w:val="Emphasis"/>
                <w:rFonts w:ascii="Calibri" w:hAnsi="Calibri" w:cs="Calibri"/>
                <w:b/>
                <w:i w:val="0"/>
                <w:color w:val="191919"/>
                <w:sz w:val="22"/>
                <w:bdr w:val="none" w:sz="0" w:space="0" w:color="auto" w:frame="1"/>
                <w:shd w:val="clear" w:color="auto" w:fill="FFFFFF"/>
              </w:rPr>
              <w:t>ttēls:</w:t>
            </w:r>
            <w:r w:rsidR="00DB5CF6" w:rsidRPr="00F87CE3">
              <w:rPr>
                <w:rStyle w:val="Emphasis"/>
                <w:rFonts w:ascii="Calibri" w:hAnsi="Calibri" w:cs="Calibri"/>
                <w:b/>
                <w:color w:val="191919"/>
                <w:sz w:val="22"/>
                <w:bdr w:val="none" w:sz="0" w:space="0" w:color="auto" w:frame="1"/>
                <w:shd w:val="clear" w:color="auto" w:fill="FFFFFF"/>
              </w:rPr>
              <w:t xml:space="preserve"> </w:t>
            </w:r>
            <w:r w:rsidR="00DB5CF6" w:rsidRPr="00644A95">
              <w:rPr>
                <w:rFonts w:ascii="Calibri" w:hAnsi="Calibri" w:cs="Calibri"/>
                <w:sz w:val="20"/>
                <w:szCs w:val="20"/>
              </w:rPr>
              <w:t>Reālais IKP - 2.viļņa scenārijs salīdzinājumā ar iepriekš apstiprinātām makroekonomikas prognozēm</w:t>
            </w:r>
          </w:p>
        </w:tc>
        <w:tc>
          <w:tcPr>
            <w:tcW w:w="4335" w:type="dxa"/>
          </w:tcPr>
          <w:p w14:paraId="628201FF" w14:textId="77777777" w:rsidR="00DB5CF6" w:rsidRPr="00644A95" w:rsidRDefault="00DB5CF6" w:rsidP="009A1EF2">
            <w:pPr>
              <w:rPr>
                <w:rFonts w:ascii="Calibri" w:hAnsi="Calibri" w:cs="Calibri"/>
                <w:i/>
                <w:sz w:val="20"/>
                <w:szCs w:val="20"/>
              </w:rPr>
            </w:pPr>
            <w:r w:rsidRPr="00644A95">
              <w:rPr>
                <w:rFonts w:ascii="Calibri" w:hAnsi="Calibri" w:cs="Calibri"/>
                <w:i/>
                <w:sz w:val="20"/>
                <w:szCs w:val="20"/>
              </w:rPr>
              <w:t xml:space="preserve">Avots: FM </w:t>
            </w:r>
          </w:p>
          <w:p w14:paraId="309385AE" w14:textId="4C6C3850" w:rsidR="00DB5CF6" w:rsidRPr="00644A95" w:rsidRDefault="00644A95" w:rsidP="00644A95">
            <w:pPr>
              <w:rPr>
                <w:rFonts w:ascii="Calibri" w:hAnsi="Calibri" w:cs="Calibri"/>
                <w:sz w:val="20"/>
                <w:szCs w:val="20"/>
              </w:rPr>
            </w:pPr>
            <w:r w:rsidRPr="00644A95">
              <w:rPr>
                <w:rStyle w:val="Emphasis"/>
                <w:rFonts w:ascii="Calibri" w:hAnsi="Calibri" w:cs="Calibri"/>
                <w:b/>
                <w:i w:val="0"/>
                <w:color w:val="191919"/>
                <w:sz w:val="22"/>
                <w:bdr w:val="none" w:sz="0" w:space="0" w:color="auto" w:frame="1"/>
                <w:shd w:val="clear" w:color="auto" w:fill="FFFFFF"/>
              </w:rPr>
              <w:t>8. attēls:</w:t>
            </w:r>
            <w:r w:rsidR="00DB5CF6" w:rsidRPr="00644A95">
              <w:rPr>
                <w:rFonts w:ascii="Calibri" w:eastAsia="Calibri" w:hAnsi="Calibri" w:cs="Calibri"/>
                <w:b/>
                <w:bCs/>
                <w:color w:val="000000"/>
                <w:kern w:val="24"/>
                <w:sz w:val="20"/>
                <w:szCs w:val="20"/>
                <w:lang w:eastAsia="lv-LV"/>
              </w:rPr>
              <w:t xml:space="preserve"> </w:t>
            </w:r>
            <w:r w:rsidR="00DB5CF6" w:rsidRPr="00644A95">
              <w:rPr>
                <w:rFonts w:ascii="Calibri" w:hAnsi="Calibri" w:cs="Calibri"/>
                <w:sz w:val="20"/>
                <w:szCs w:val="20"/>
              </w:rPr>
              <w:t>Nominālais IKP - 2.viļņa scenārijs salīdzinājumā ar iepriekš apstiprinātām makroekonomikas prognozēm</w:t>
            </w:r>
          </w:p>
        </w:tc>
      </w:tr>
    </w:tbl>
    <w:p w14:paraId="0BCDE209" w14:textId="77777777" w:rsidR="00467532" w:rsidRDefault="00467532" w:rsidP="00DB5CF6">
      <w:pPr>
        <w:rPr>
          <w:rFonts w:ascii="Calibri" w:hAnsi="Calibri" w:cs="Calibri"/>
          <w:b/>
          <w:sz w:val="20"/>
          <w:szCs w:val="20"/>
        </w:rPr>
      </w:pPr>
    </w:p>
    <w:p w14:paraId="04462E5A" w14:textId="111565F5" w:rsidR="00DB5CF6" w:rsidRPr="00362CD2" w:rsidRDefault="00DB5CF6" w:rsidP="00D91C96">
      <w:pPr>
        <w:pStyle w:val="ListParagraph"/>
        <w:numPr>
          <w:ilvl w:val="0"/>
          <w:numId w:val="23"/>
        </w:numPr>
        <w:ind w:left="426" w:hanging="426"/>
        <w:jc w:val="both"/>
        <w:rPr>
          <w:rFonts w:ascii="Calibri" w:hAnsi="Calibri" w:cs="Calibri"/>
          <w:sz w:val="22"/>
          <w:szCs w:val="22"/>
        </w:rPr>
      </w:pPr>
      <w:r w:rsidRPr="00362CD2">
        <w:rPr>
          <w:rFonts w:ascii="Calibri" w:hAnsi="Calibri" w:cs="Calibri"/>
          <w:sz w:val="22"/>
          <w:szCs w:val="22"/>
        </w:rPr>
        <w:t xml:space="preserve">Padome aicina Valdību uz piesardzīgu rīcību plānojot valsts budžeta izdevumus </w:t>
      </w:r>
      <w:proofErr w:type="gramStart"/>
      <w:r w:rsidRPr="00362CD2">
        <w:rPr>
          <w:rFonts w:ascii="Calibri" w:hAnsi="Calibri" w:cs="Calibri"/>
          <w:sz w:val="22"/>
          <w:szCs w:val="22"/>
        </w:rPr>
        <w:t>un</w:t>
      </w:r>
      <w:proofErr w:type="gramEnd"/>
      <w:r w:rsidRPr="00362CD2">
        <w:rPr>
          <w:rFonts w:ascii="Calibri" w:hAnsi="Calibri" w:cs="Calibri"/>
          <w:sz w:val="22"/>
          <w:szCs w:val="22"/>
        </w:rPr>
        <w:t xml:space="preserve"> ieņēmumus, jo arī FM atzīmē, ka prognozes vēl nekad nav izstrādātas tik augstas nenoteiktības apstākļos un prognožu riski ir lejupvērsti. </w:t>
      </w:r>
    </w:p>
    <w:p w14:paraId="33A135DA" w14:textId="77777777" w:rsidR="00467532" w:rsidRPr="00467532" w:rsidRDefault="00467532" w:rsidP="00D91C96">
      <w:pPr>
        <w:ind w:left="426" w:hanging="426"/>
        <w:jc w:val="both"/>
        <w:rPr>
          <w:rFonts w:ascii="Calibri" w:hAnsi="Calibri" w:cs="Calibri"/>
          <w:b/>
          <w:sz w:val="22"/>
          <w:szCs w:val="22"/>
          <w:u w:val="single"/>
        </w:rPr>
      </w:pPr>
    </w:p>
    <w:p w14:paraId="136CE07B" w14:textId="512F7289" w:rsidR="00DB5CF6" w:rsidRPr="00362CD2" w:rsidRDefault="00DB5CF6" w:rsidP="00D91C96">
      <w:pPr>
        <w:pStyle w:val="ListParagraph"/>
        <w:numPr>
          <w:ilvl w:val="0"/>
          <w:numId w:val="23"/>
        </w:numPr>
        <w:ind w:left="426" w:hanging="426"/>
        <w:jc w:val="both"/>
        <w:rPr>
          <w:rFonts w:ascii="Calibri" w:hAnsi="Calibri" w:cs="Calibri"/>
          <w:bCs/>
          <w:color w:val="000000" w:themeColor="text1"/>
          <w:sz w:val="22"/>
          <w:szCs w:val="22"/>
          <w:lang w:eastAsia="lv-LV"/>
        </w:rPr>
      </w:pPr>
      <w:r w:rsidRPr="00362CD2">
        <w:rPr>
          <w:rFonts w:ascii="Calibri" w:hAnsi="Calibri" w:cs="Calibri"/>
          <w:sz w:val="22"/>
          <w:szCs w:val="22"/>
        </w:rPr>
        <w:t xml:space="preserve">Š.g. rudenī Covid-19 izplatība pasaulē </w:t>
      </w:r>
      <w:proofErr w:type="gramStart"/>
      <w:r w:rsidRPr="00362CD2">
        <w:rPr>
          <w:rFonts w:ascii="Calibri" w:hAnsi="Calibri" w:cs="Calibri"/>
          <w:sz w:val="22"/>
          <w:szCs w:val="22"/>
        </w:rPr>
        <w:t>un</w:t>
      </w:r>
      <w:proofErr w:type="gramEnd"/>
      <w:r w:rsidRPr="00362CD2">
        <w:rPr>
          <w:rFonts w:ascii="Calibri" w:hAnsi="Calibri" w:cs="Calibri"/>
          <w:sz w:val="22"/>
          <w:szCs w:val="22"/>
        </w:rPr>
        <w:t xml:space="preserve"> Latvijā sākusi strauji pieaugt, līd</w:t>
      </w:r>
      <w:r w:rsidR="00D91C96" w:rsidRPr="00362CD2">
        <w:rPr>
          <w:rFonts w:ascii="Calibri" w:hAnsi="Calibri" w:cs="Calibri"/>
          <w:sz w:val="22"/>
          <w:szCs w:val="22"/>
        </w:rPr>
        <w:t xml:space="preserve">z ar to var konstatēt Covid-19 </w:t>
      </w:r>
      <w:r w:rsidRPr="00362CD2">
        <w:rPr>
          <w:rFonts w:ascii="Calibri" w:hAnsi="Calibri" w:cs="Calibri"/>
          <w:sz w:val="22"/>
          <w:szCs w:val="22"/>
        </w:rPr>
        <w:t>otrā sākšanos. Tomēr pašlaik mirstības rādītāji Eiropā ir zemāki</w:t>
      </w:r>
      <w:r w:rsidRPr="00362CD2">
        <w:rPr>
          <w:rStyle w:val="FootnoteReference"/>
          <w:rFonts w:ascii="Calibri" w:hAnsi="Calibri" w:cs="Calibri"/>
          <w:sz w:val="22"/>
          <w:szCs w:val="22"/>
        </w:rPr>
        <w:footnoteReference w:id="20"/>
      </w:r>
      <w:r w:rsidRPr="00362CD2">
        <w:rPr>
          <w:rFonts w:ascii="Calibri" w:hAnsi="Calibri" w:cs="Calibri"/>
          <w:sz w:val="22"/>
          <w:szCs w:val="22"/>
        </w:rPr>
        <w:t xml:space="preserve">, līdz ar to arī iespējamie ierobežošanas pasākumi būs sabiedrībai </w:t>
      </w:r>
      <w:proofErr w:type="gramStart"/>
      <w:r w:rsidRPr="00362CD2">
        <w:rPr>
          <w:rFonts w:ascii="Calibri" w:hAnsi="Calibri" w:cs="Calibri"/>
          <w:sz w:val="22"/>
          <w:szCs w:val="22"/>
        </w:rPr>
        <w:t>un</w:t>
      </w:r>
      <w:proofErr w:type="gramEnd"/>
      <w:r w:rsidRPr="00362CD2">
        <w:rPr>
          <w:rFonts w:ascii="Calibri" w:hAnsi="Calibri" w:cs="Calibri"/>
          <w:sz w:val="22"/>
          <w:szCs w:val="22"/>
        </w:rPr>
        <w:t xml:space="preserve"> ekonomikai saudzīgāki. Tomēr Finanšu Ministrijas Covid-19 otrā </w:t>
      </w:r>
      <w:proofErr w:type="gramStart"/>
      <w:r w:rsidRPr="00362CD2">
        <w:rPr>
          <w:rFonts w:ascii="Calibri" w:eastAsia="Calibri" w:hAnsi="Calibri" w:cs="Calibri"/>
          <w:sz w:val="22"/>
          <w:szCs w:val="22"/>
        </w:rPr>
        <w:t>viļņa</w:t>
      </w:r>
      <w:proofErr w:type="gramEnd"/>
      <w:r w:rsidRPr="00362CD2">
        <w:rPr>
          <w:rFonts w:ascii="Calibri" w:eastAsia="Calibri" w:hAnsi="Calibri" w:cs="Calibri"/>
          <w:sz w:val="22"/>
          <w:szCs w:val="22"/>
        </w:rPr>
        <w:t xml:space="preserve"> scenārijs paredz, ka e</w:t>
      </w:r>
      <w:r w:rsidRPr="00362CD2">
        <w:rPr>
          <w:rFonts w:ascii="Calibri" w:hAnsi="Calibri" w:cs="Calibri"/>
          <w:bCs/>
          <w:color w:val="000000" w:themeColor="text1"/>
          <w:sz w:val="22"/>
          <w:szCs w:val="22"/>
          <w:lang w:eastAsia="lv-LV"/>
        </w:rPr>
        <w:t xml:space="preserve">konomikas atkopšanās notiktu ievērojami lēnāk un ievilktos visa 2021. </w:t>
      </w:r>
      <w:proofErr w:type="gramStart"/>
      <w:r w:rsidRPr="00362CD2">
        <w:rPr>
          <w:rFonts w:ascii="Calibri" w:hAnsi="Calibri" w:cs="Calibri"/>
          <w:bCs/>
          <w:color w:val="000000" w:themeColor="text1"/>
          <w:sz w:val="22"/>
          <w:szCs w:val="22"/>
          <w:lang w:eastAsia="lv-LV"/>
        </w:rPr>
        <w:t>gada</w:t>
      </w:r>
      <w:proofErr w:type="gramEnd"/>
      <w:r w:rsidRPr="00362CD2">
        <w:rPr>
          <w:rFonts w:ascii="Calibri" w:hAnsi="Calibri" w:cs="Calibri"/>
          <w:bCs/>
          <w:color w:val="000000" w:themeColor="text1"/>
          <w:sz w:val="22"/>
          <w:szCs w:val="22"/>
          <w:lang w:eastAsia="lv-LV"/>
        </w:rPr>
        <w:t xml:space="preserve"> garumā, kā arī nesasniegtu pašlaik apstiprinātās prognozes vērtības. </w:t>
      </w:r>
    </w:p>
    <w:p w14:paraId="3F58CB72" w14:textId="77777777" w:rsidR="00467532" w:rsidRPr="00467532" w:rsidRDefault="00467532" w:rsidP="00D91C96">
      <w:pPr>
        <w:ind w:left="426" w:hanging="426"/>
        <w:jc w:val="both"/>
        <w:rPr>
          <w:rFonts w:ascii="Calibri" w:hAnsi="Calibri" w:cs="Calibri"/>
          <w:b/>
          <w:bCs/>
          <w:color w:val="000000" w:themeColor="text1"/>
          <w:sz w:val="22"/>
          <w:szCs w:val="22"/>
          <w:u w:val="single"/>
          <w:lang w:eastAsia="lv-LV"/>
        </w:rPr>
      </w:pPr>
    </w:p>
    <w:p w14:paraId="52EC817C" w14:textId="4629B79E" w:rsidR="00DB5CF6" w:rsidRPr="00362CD2" w:rsidRDefault="00DB5CF6" w:rsidP="00D91C96">
      <w:pPr>
        <w:pStyle w:val="ListParagraph"/>
        <w:numPr>
          <w:ilvl w:val="0"/>
          <w:numId w:val="23"/>
        </w:numPr>
        <w:ind w:left="426" w:hanging="426"/>
        <w:jc w:val="both"/>
        <w:rPr>
          <w:rFonts w:ascii="Calibri" w:hAnsi="Calibri" w:cs="Calibri"/>
          <w:bCs/>
          <w:sz w:val="22"/>
          <w:szCs w:val="22"/>
        </w:rPr>
      </w:pPr>
      <w:r w:rsidRPr="00362CD2">
        <w:rPr>
          <w:rFonts w:ascii="Calibri" w:hAnsi="Calibri" w:cs="Calibri"/>
          <w:bCs/>
          <w:sz w:val="22"/>
          <w:szCs w:val="22"/>
        </w:rPr>
        <w:t xml:space="preserve">Lai gan Padome atzīst, ka jaunākie statistikas dati signalizē par ekonomikas stabilizēšanos, tomēr aicina pievērst īpašu vērību FM izstrādātajam Covid-19 otrā </w:t>
      </w:r>
      <w:proofErr w:type="gramStart"/>
      <w:r w:rsidRPr="00362CD2">
        <w:rPr>
          <w:rFonts w:ascii="Calibri" w:hAnsi="Calibri" w:cs="Calibri"/>
          <w:bCs/>
          <w:sz w:val="22"/>
          <w:szCs w:val="22"/>
        </w:rPr>
        <w:t>viļņa</w:t>
      </w:r>
      <w:proofErr w:type="gramEnd"/>
      <w:r w:rsidRPr="00362CD2">
        <w:rPr>
          <w:rFonts w:ascii="Calibri" w:hAnsi="Calibri" w:cs="Calibri"/>
          <w:bCs/>
          <w:sz w:val="22"/>
          <w:szCs w:val="22"/>
        </w:rPr>
        <w:t xml:space="preserve"> scenārijam, jo riski vēl arvien ir ļoti augsti gan saistībā ar saslimstību, gan ar pirms</w:t>
      </w:r>
      <w:r w:rsidR="00467532" w:rsidRPr="00362CD2">
        <w:rPr>
          <w:rFonts w:ascii="Calibri" w:hAnsi="Calibri" w:cs="Calibri"/>
          <w:bCs/>
          <w:sz w:val="22"/>
          <w:szCs w:val="22"/>
        </w:rPr>
        <w:t xml:space="preserve"> </w:t>
      </w:r>
      <w:r w:rsidRPr="00362CD2">
        <w:rPr>
          <w:rFonts w:ascii="Calibri" w:hAnsi="Calibri" w:cs="Calibri"/>
          <w:bCs/>
          <w:sz w:val="22"/>
          <w:szCs w:val="22"/>
        </w:rPr>
        <w:t>krīzes laikā aktuālo</w:t>
      </w:r>
      <w:r w:rsidRPr="00362CD2">
        <w:rPr>
          <w:rFonts w:ascii="Calibri" w:hAnsi="Calibri" w:cs="Calibri"/>
          <w:bCs/>
          <w:sz w:val="20"/>
          <w:szCs w:val="20"/>
        </w:rPr>
        <w:t xml:space="preserve"> </w:t>
      </w:r>
      <w:r w:rsidRPr="00362CD2">
        <w:rPr>
          <w:rFonts w:ascii="Calibri" w:hAnsi="Calibri" w:cs="Calibri"/>
          <w:bCs/>
          <w:sz w:val="22"/>
          <w:szCs w:val="22"/>
        </w:rPr>
        <w:lastRenderedPageBreak/>
        <w:t>ģeopolitisko spriedzi: Brexit, ASV un Ķīnas saspīlējums, kam pievienojusies arī Baltkrievijas politiskā krīze.</w:t>
      </w:r>
    </w:p>
    <w:p w14:paraId="4D2A07E3" w14:textId="77777777" w:rsidR="00467532" w:rsidRDefault="00467532" w:rsidP="00467532">
      <w:pPr>
        <w:jc w:val="both"/>
        <w:rPr>
          <w:rStyle w:val="Emphasis"/>
          <w:rFonts w:ascii="Calibri" w:hAnsi="Calibri" w:cs="Calibri"/>
          <w:b/>
          <w:color w:val="191919"/>
          <w:sz w:val="20"/>
          <w:szCs w:val="20"/>
          <w:bdr w:val="none" w:sz="0" w:space="0" w:color="auto" w:frame="1"/>
          <w:shd w:val="clear" w:color="auto" w:fill="FFFFFF"/>
        </w:rPr>
      </w:pPr>
    </w:p>
    <w:p w14:paraId="1BA6FEDB" w14:textId="7194E690" w:rsidR="00D91C96" w:rsidRPr="00D91C96" w:rsidRDefault="00467532" w:rsidP="00D91C96">
      <w:pPr>
        <w:pStyle w:val="ListParagraph"/>
        <w:numPr>
          <w:ilvl w:val="0"/>
          <w:numId w:val="23"/>
        </w:numPr>
        <w:jc w:val="both"/>
        <w:rPr>
          <w:rFonts w:ascii="Calibri" w:hAnsi="Calibri" w:cs="Calibri"/>
          <w:b/>
          <w:iCs/>
          <w:color w:val="191919"/>
          <w:sz w:val="22"/>
          <w:szCs w:val="22"/>
          <w:bdr w:val="none" w:sz="0" w:space="0" w:color="auto" w:frame="1"/>
          <w:shd w:val="clear" w:color="auto" w:fill="FFFFFF"/>
        </w:rPr>
      </w:pPr>
      <w:r w:rsidRPr="00D91C96">
        <w:rPr>
          <w:rStyle w:val="Emphasis"/>
          <w:rFonts w:ascii="Calibri" w:hAnsi="Calibri" w:cs="Calibri"/>
          <w:b/>
          <w:i w:val="0"/>
          <w:color w:val="191919"/>
          <w:sz w:val="22"/>
          <w:szCs w:val="22"/>
          <w:bdr w:val="none" w:sz="0" w:space="0" w:color="auto" w:frame="1"/>
          <w:shd w:val="clear" w:color="auto" w:fill="FFFFFF"/>
        </w:rPr>
        <w:t>Starptautiskās</w:t>
      </w:r>
      <w:r w:rsidR="00D91C96">
        <w:rPr>
          <w:rStyle w:val="Emphasis"/>
          <w:rFonts w:ascii="Calibri" w:hAnsi="Calibri" w:cs="Calibri"/>
          <w:b/>
          <w:i w:val="0"/>
          <w:color w:val="191919"/>
          <w:sz w:val="22"/>
          <w:szCs w:val="22"/>
          <w:bdr w:val="none" w:sz="0" w:space="0" w:color="auto" w:frame="1"/>
          <w:shd w:val="clear" w:color="auto" w:fill="FFFFFF"/>
        </w:rPr>
        <w:t xml:space="preserve"> organizācijas </w:t>
      </w:r>
      <w:r w:rsidR="00DB5CF6" w:rsidRPr="00D91C96">
        <w:rPr>
          <w:rStyle w:val="Emphasis"/>
          <w:rFonts w:ascii="Calibri" w:hAnsi="Calibri" w:cs="Calibri"/>
          <w:b/>
          <w:i w:val="0"/>
          <w:color w:val="191919"/>
          <w:sz w:val="22"/>
          <w:szCs w:val="22"/>
          <w:bdr w:val="none" w:sz="0" w:space="0" w:color="auto" w:frame="1"/>
          <w:shd w:val="clear" w:color="auto" w:fill="FFFFFF"/>
        </w:rPr>
        <w:t xml:space="preserve">kopš 2020. </w:t>
      </w:r>
      <w:proofErr w:type="gramStart"/>
      <w:r w:rsidR="00DB5CF6" w:rsidRPr="00D91C96">
        <w:rPr>
          <w:rStyle w:val="Emphasis"/>
          <w:rFonts w:ascii="Calibri" w:hAnsi="Calibri" w:cs="Calibri"/>
          <w:b/>
          <w:i w:val="0"/>
          <w:color w:val="191919"/>
          <w:sz w:val="22"/>
          <w:szCs w:val="22"/>
          <w:bdr w:val="none" w:sz="0" w:space="0" w:color="auto" w:frame="1"/>
          <w:shd w:val="clear" w:color="auto" w:fill="FFFFFF"/>
        </w:rPr>
        <w:t>gada</w:t>
      </w:r>
      <w:proofErr w:type="gramEnd"/>
      <w:r w:rsidR="00DB5CF6" w:rsidRPr="00D91C96">
        <w:rPr>
          <w:rStyle w:val="Emphasis"/>
          <w:rFonts w:ascii="Calibri" w:hAnsi="Calibri" w:cs="Calibri"/>
          <w:b/>
          <w:i w:val="0"/>
          <w:color w:val="191919"/>
          <w:sz w:val="22"/>
          <w:szCs w:val="22"/>
          <w:bdr w:val="none" w:sz="0" w:space="0" w:color="auto" w:frame="1"/>
          <w:shd w:val="clear" w:color="auto" w:fill="FFFFFF"/>
        </w:rPr>
        <w:t xml:space="preserve"> sākuma ir vairākkārt pārskatījušas makroekonomiskās prognozes un vēlākām prognozēm ir raksturīgs nosacīti optimistiskāks skatījums uz 2020. </w:t>
      </w:r>
      <w:proofErr w:type="gramStart"/>
      <w:r w:rsidR="00DB5CF6" w:rsidRPr="00D91C96">
        <w:rPr>
          <w:rStyle w:val="Emphasis"/>
          <w:rFonts w:ascii="Calibri" w:hAnsi="Calibri" w:cs="Calibri"/>
          <w:b/>
          <w:i w:val="0"/>
          <w:color w:val="191919"/>
          <w:sz w:val="22"/>
          <w:szCs w:val="22"/>
          <w:bdr w:val="none" w:sz="0" w:space="0" w:color="auto" w:frame="1"/>
          <w:shd w:val="clear" w:color="auto" w:fill="FFFFFF"/>
        </w:rPr>
        <w:t>gada</w:t>
      </w:r>
      <w:proofErr w:type="gramEnd"/>
      <w:r w:rsidR="00DB5CF6" w:rsidRPr="00D91C96">
        <w:rPr>
          <w:rStyle w:val="Emphasis"/>
          <w:rFonts w:ascii="Calibri" w:hAnsi="Calibri" w:cs="Calibri"/>
          <w:b/>
          <w:i w:val="0"/>
          <w:color w:val="191919"/>
          <w:sz w:val="22"/>
          <w:szCs w:val="22"/>
          <w:bdr w:val="none" w:sz="0" w:space="0" w:color="auto" w:frame="1"/>
          <w:shd w:val="clear" w:color="auto" w:fill="FFFFFF"/>
        </w:rPr>
        <w:t xml:space="preserve"> iznākumu, nekā tas bija vērojams vasaras sākumā. Attiecībā uz 2021. </w:t>
      </w:r>
      <w:proofErr w:type="gramStart"/>
      <w:r w:rsidR="00D91C96">
        <w:rPr>
          <w:rStyle w:val="Emphasis"/>
          <w:rFonts w:ascii="Calibri" w:hAnsi="Calibri" w:cs="Calibri"/>
          <w:b/>
          <w:i w:val="0"/>
          <w:color w:val="191919"/>
          <w:sz w:val="22"/>
          <w:szCs w:val="22"/>
          <w:bdr w:val="none" w:sz="0" w:space="0" w:color="auto" w:frame="1"/>
          <w:shd w:val="clear" w:color="auto" w:fill="FFFFFF"/>
        </w:rPr>
        <w:t>g</w:t>
      </w:r>
      <w:r w:rsidR="00DB5CF6" w:rsidRPr="00D91C96">
        <w:rPr>
          <w:rStyle w:val="Emphasis"/>
          <w:rFonts w:ascii="Calibri" w:hAnsi="Calibri" w:cs="Calibri"/>
          <w:b/>
          <w:i w:val="0"/>
          <w:color w:val="191919"/>
          <w:sz w:val="22"/>
          <w:szCs w:val="22"/>
          <w:bdr w:val="none" w:sz="0" w:space="0" w:color="auto" w:frame="1"/>
          <w:shd w:val="clear" w:color="auto" w:fill="FFFFFF"/>
        </w:rPr>
        <w:t>adu</w:t>
      </w:r>
      <w:proofErr w:type="gramEnd"/>
      <w:r w:rsidR="00D91C96">
        <w:rPr>
          <w:rStyle w:val="Emphasis"/>
          <w:rFonts w:ascii="Calibri" w:hAnsi="Calibri" w:cs="Calibri"/>
          <w:b/>
          <w:i w:val="0"/>
          <w:color w:val="191919"/>
          <w:sz w:val="22"/>
          <w:szCs w:val="22"/>
          <w:bdr w:val="none" w:sz="0" w:space="0" w:color="auto" w:frame="1"/>
          <w:shd w:val="clear" w:color="auto" w:fill="FFFFFF"/>
        </w:rPr>
        <w:t>, eiro</w:t>
      </w:r>
      <w:r w:rsidR="00DB5CF6" w:rsidRPr="00D91C96">
        <w:rPr>
          <w:rStyle w:val="Emphasis"/>
          <w:rFonts w:ascii="Calibri" w:hAnsi="Calibri" w:cs="Calibri"/>
          <w:b/>
          <w:i w:val="0"/>
          <w:color w:val="191919"/>
          <w:sz w:val="22"/>
          <w:szCs w:val="22"/>
          <w:bdr w:val="none" w:sz="0" w:space="0" w:color="auto" w:frame="1"/>
          <w:shd w:val="clear" w:color="auto" w:fill="FFFFFF"/>
        </w:rPr>
        <w:t>zonā tiek prognozēta izaugsmes atjaunošanās.</w:t>
      </w:r>
      <w:r w:rsidRPr="00D91C96">
        <w:rPr>
          <w:rStyle w:val="Emphasis"/>
          <w:rFonts w:ascii="Calibri" w:hAnsi="Calibri" w:cs="Calibri"/>
          <w:b/>
          <w:i w:val="0"/>
          <w:color w:val="191919"/>
          <w:sz w:val="22"/>
          <w:szCs w:val="22"/>
          <w:bdr w:val="none" w:sz="0" w:space="0" w:color="auto" w:frame="1"/>
          <w:shd w:val="clear" w:color="auto" w:fill="FFFFFF"/>
        </w:rPr>
        <w:t xml:space="preserve"> </w:t>
      </w:r>
      <w:r w:rsidR="00DB5CF6" w:rsidRPr="00D91C96">
        <w:rPr>
          <w:rStyle w:val="Emphasis"/>
          <w:rFonts w:ascii="Calibri" w:hAnsi="Calibri" w:cs="Calibri"/>
          <w:i w:val="0"/>
          <w:color w:val="191919"/>
          <w:sz w:val="22"/>
          <w:szCs w:val="22"/>
          <w:bdr w:val="none" w:sz="0" w:space="0" w:color="auto" w:frame="1"/>
          <w:shd w:val="clear" w:color="auto" w:fill="FFFFFF"/>
        </w:rPr>
        <w:t>Eiropas centrālās bankas (ECB) septembra makroekonomikas prognozes</w:t>
      </w:r>
      <w:r w:rsidR="00DB5CF6" w:rsidRPr="00D91C96">
        <w:rPr>
          <w:rStyle w:val="FootnoteReference"/>
          <w:rFonts w:ascii="Calibri" w:hAnsi="Calibri" w:cs="Calibri"/>
          <w:iCs/>
          <w:color w:val="191919"/>
          <w:sz w:val="22"/>
          <w:szCs w:val="22"/>
          <w:bdr w:val="none" w:sz="0" w:space="0" w:color="auto" w:frame="1"/>
          <w:shd w:val="clear" w:color="auto" w:fill="FFFFFF"/>
        </w:rPr>
        <w:footnoteReference w:id="21"/>
      </w:r>
      <w:r w:rsidR="00DB5CF6" w:rsidRPr="00D91C96">
        <w:rPr>
          <w:rStyle w:val="Emphasis"/>
          <w:rFonts w:ascii="Calibri" w:hAnsi="Calibri" w:cs="Calibri"/>
          <w:i w:val="0"/>
          <w:color w:val="191919"/>
          <w:sz w:val="22"/>
          <w:szCs w:val="22"/>
          <w:bdr w:val="none" w:sz="0" w:space="0" w:color="auto" w:frame="1"/>
          <w:shd w:val="clear" w:color="auto" w:fill="FFFFFF"/>
        </w:rPr>
        <w:t>, salīdzinot ar j</w:t>
      </w:r>
      <w:r w:rsidR="00D91C96">
        <w:rPr>
          <w:rStyle w:val="Emphasis"/>
          <w:rFonts w:ascii="Calibri" w:hAnsi="Calibri" w:cs="Calibri"/>
          <w:i w:val="0"/>
          <w:color w:val="191919"/>
          <w:sz w:val="22"/>
          <w:szCs w:val="22"/>
          <w:bdr w:val="none" w:sz="0" w:space="0" w:color="auto" w:frame="1"/>
          <w:shd w:val="clear" w:color="auto" w:fill="FFFFFF"/>
        </w:rPr>
        <w:t>ūnijā publicētām, rāda, ka eiro</w:t>
      </w:r>
      <w:r w:rsidR="00DB5CF6" w:rsidRPr="00D91C96">
        <w:rPr>
          <w:rStyle w:val="Emphasis"/>
          <w:rFonts w:ascii="Calibri" w:hAnsi="Calibri" w:cs="Calibri"/>
          <w:i w:val="0"/>
          <w:color w:val="191919"/>
          <w:sz w:val="22"/>
          <w:szCs w:val="22"/>
          <w:bdr w:val="none" w:sz="0" w:space="0" w:color="auto" w:frame="1"/>
          <w:shd w:val="clear" w:color="auto" w:fill="FFFFFF"/>
        </w:rPr>
        <w:t xml:space="preserve">zonas izredzes uz atjaunošanos uzlabojas. Salīdzinot ar jūnijā prognozēto reālā IKP kritumu 2020. </w:t>
      </w:r>
      <w:proofErr w:type="gramStart"/>
      <w:r w:rsidR="00DB5CF6" w:rsidRPr="00D91C96">
        <w:rPr>
          <w:rStyle w:val="Emphasis"/>
          <w:rFonts w:ascii="Calibri" w:hAnsi="Calibri" w:cs="Calibri"/>
          <w:i w:val="0"/>
          <w:color w:val="191919"/>
          <w:sz w:val="22"/>
          <w:szCs w:val="22"/>
          <w:bdr w:val="none" w:sz="0" w:space="0" w:color="auto" w:frame="1"/>
          <w:shd w:val="clear" w:color="auto" w:fill="FFFFFF"/>
        </w:rPr>
        <w:t>gadam</w:t>
      </w:r>
      <w:proofErr w:type="gramEnd"/>
      <w:r w:rsidR="00DB5CF6" w:rsidRPr="00D91C96">
        <w:rPr>
          <w:rStyle w:val="Emphasis"/>
          <w:rFonts w:ascii="Calibri" w:hAnsi="Calibri" w:cs="Calibri"/>
          <w:i w:val="0"/>
          <w:color w:val="191919"/>
          <w:sz w:val="22"/>
          <w:szCs w:val="22"/>
          <w:bdr w:val="none" w:sz="0" w:space="0" w:color="auto" w:frame="1"/>
          <w:shd w:val="clear" w:color="auto" w:fill="FFFFFF"/>
        </w:rPr>
        <w:t xml:space="preserve"> par (-8.7%), septembrī prognoze uzlabota līdz (-8.0%). Tomēr ECB septembra prognozēs turpmākiem gadiem reālā IKP izaugsmes prognoze noteikta lēnāka nekā prognozēts jūnijā - 5.2% 2021. </w:t>
      </w:r>
      <w:proofErr w:type="gramStart"/>
      <w:r w:rsidR="00DB5CF6" w:rsidRPr="00D91C96">
        <w:rPr>
          <w:rStyle w:val="Emphasis"/>
          <w:rFonts w:ascii="Calibri" w:hAnsi="Calibri" w:cs="Calibri"/>
          <w:i w:val="0"/>
          <w:color w:val="191919"/>
          <w:sz w:val="22"/>
          <w:szCs w:val="22"/>
          <w:bdr w:val="none" w:sz="0" w:space="0" w:color="auto" w:frame="1"/>
          <w:shd w:val="clear" w:color="auto" w:fill="FFFFFF"/>
        </w:rPr>
        <w:t>gadam</w:t>
      </w:r>
      <w:proofErr w:type="gramEnd"/>
      <w:r w:rsidR="00DB5CF6" w:rsidRPr="00D91C96">
        <w:rPr>
          <w:rStyle w:val="Emphasis"/>
          <w:rFonts w:ascii="Calibri" w:hAnsi="Calibri" w:cs="Calibri"/>
          <w:i w:val="0"/>
          <w:color w:val="191919"/>
          <w:sz w:val="22"/>
          <w:szCs w:val="22"/>
          <w:bdr w:val="none" w:sz="0" w:space="0" w:color="auto" w:frame="1"/>
          <w:shd w:val="clear" w:color="auto" w:fill="FFFFFF"/>
        </w:rPr>
        <w:t xml:space="preserve">, un +3.2% 2022. </w:t>
      </w:r>
      <w:proofErr w:type="gramStart"/>
      <w:r w:rsidR="00DB5CF6" w:rsidRPr="00D91C96">
        <w:rPr>
          <w:rStyle w:val="Emphasis"/>
          <w:rFonts w:ascii="Calibri" w:hAnsi="Calibri" w:cs="Calibri"/>
          <w:i w:val="0"/>
          <w:color w:val="191919"/>
          <w:sz w:val="22"/>
          <w:szCs w:val="22"/>
          <w:bdr w:val="none" w:sz="0" w:space="0" w:color="auto" w:frame="1"/>
          <w:shd w:val="clear" w:color="auto" w:fill="FFFFFF"/>
        </w:rPr>
        <w:t>gadam</w:t>
      </w:r>
      <w:proofErr w:type="gramEnd"/>
      <w:r w:rsidR="00DB5CF6" w:rsidRPr="00D91C96">
        <w:rPr>
          <w:rStyle w:val="Emphasis"/>
          <w:rFonts w:ascii="Calibri" w:hAnsi="Calibri" w:cs="Calibri"/>
          <w:i w:val="0"/>
          <w:color w:val="191919"/>
          <w:sz w:val="22"/>
          <w:szCs w:val="22"/>
          <w:bdr w:val="none" w:sz="0" w:space="0" w:color="auto" w:frame="1"/>
          <w:shd w:val="clear" w:color="auto" w:fill="FFFFFF"/>
        </w:rPr>
        <w:t xml:space="preserve">. </w:t>
      </w:r>
      <w:r w:rsidR="00DB5CF6" w:rsidRPr="00D91C96">
        <w:rPr>
          <w:rFonts w:ascii="Calibri" w:hAnsi="Calibri" w:cs="Calibri"/>
          <w:sz w:val="22"/>
          <w:szCs w:val="22"/>
        </w:rPr>
        <w:t xml:space="preserve">Ekonomiskās sadarbības </w:t>
      </w:r>
      <w:proofErr w:type="gramStart"/>
      <w:r w:rsidR="00DB5CF6" w:rsidRPr="00D91C96">
        <w:rPr>
          <w:rFonts w:ascii="Calibri" w:hAnsi="Calibri" w:cs="Calibri"/>
          <w:sz w:val="22"/>
          <w:szCs w:val="22"/>
        </w:rPr>
        <w:t>un</w:t>
      </w:r>
      <w:proofErr w:type="gramEnd"/>
      <w:r w:rsidR="00DB5CF6" w:rsidRPr="00D91C96">
        <w:rPr>
          <w:rFonts w:ascii="Calibri" w:hAnsi="Calibri" w:cs="Calibri"/>
          <w:sz w:val="22"/>
          <w:szCs w:val="22"/>
        </w:rPr>
        <w:t xml:space="preserve"> attīstības organizācija (ESAO) </w:t>
      </w:r>
      <w:r w:rsidR="00DB5CF6" w:rsidRPr="00D91C96">
        <w:rPr>
          <w:rStyle w:val="Emphasis"/>
          <w:rFonts w:ascii="Calibri" w:hAnsi="Calibri" w:cs="Calibri"/>
          <w:i w:val="0"/>
          <w:color w:val="191919"/>
          <w:sz w:val="22"/>
          <w:szCs w:val="22"/>
          <w:bdr w:val="none" w:sz="0" w:space="0" w:color="auto" w:frame="1"/>
          <w:shd w:val="clear" w:color="auto" w:fill="FFFFFF"/>
        </w:rPr>
        <w:t xml:space="preserve">2020. </w:t>
      </w:r>
      <w:proofErr w:type="gramStart"/>
      <w:r w:rsidR="00DB5CF6" w:rsidRPr="00D91C96">
        <w:rPr>
          <w:rStyle w:val="Emphasis"/>
          <w:rFonts w:ascii="Calibri" w:hAnsi="Calibri" w:cs="Calibri"/>
          <w:i w:val="0"/>
          <w:color w:val="191919"/>
          <w:sz w:val="22"/>
          <w:szCs w:val="22"/>
          <w:bdr w:val="none" w:sz="0" w:space="0" w:color="auto" w:frame="1"/>
          <w:shd w:val="clear" w:color="auto" w:fill="FFFFFF"/>
        </w:rPr>
        <w:t>gadā</w:t>
      </w:r>
      <w:proofErr w:type="gramEnd"/>
      <w:r w:rsidR="00DB5CF6" w:rsidRPr="00D91C96">
        <w:rPr>
          <w:rStyle w:val="Emphasis"/>
          <w:rFonts w:ascii="Calibri" w:hAnsi="Calibri" w:cs="Calibri"/>
          <w:i w:val="0"/>
          <w:color w:val="191919"/>
          <w:sz w:val="22"/>
          <w:szCs w:val="22"/>
          <w:bdr w:val="none" w:sz="0" w:space="0" w:color="auto" w:frame="1"/>
          <w:shd w:val="clear" w:color="auto" w:fill="FFFFFF"/>
        </w:rPr>
        <w:t xml:space="preserve"> eirozonai prognozē (-7.9%) lejupslīdi, bet 2021. gadam (+5.1%), ekonomisko izaugsmi.</w:t>
      </w:r>
      <w:r w:rsidRPr="00D91C96">
        <w:rPr>
          <w:rStyle w:val="Emphasis"/>
          <w:rFonts w:ascii="Calibri" w:hAnsi="Calibri" w:cs="Calibri"/>
          <w:i w:val="0"/>
          <w:color w:val="191919"/>
          <w:sz w:val="22"/>
          <w:szCs w:val="22"/>
          <w:bdr w:val="none" w:sz="0" w:space="0" w:color="auto" w:frame="1"/>
          <w:shd w:val="clear" w:color="auto" w:fill="FFFFFF"/>
        </w:rPr>
        <w:t xml:space="preserve"> </w:t>
      </w:r>
      <w:r w:rsidR="00DB5CF6" w:rsidRPr="00D91C96">
        <w:rPr>
          <w:rFonts w:ascii="Calibri" w:hAnsi="Calibri" w:cs="Calibri"/>
          <w:sz w:val="22"/>
          <w:szCs w:val="22"/>
        </w:rPr>
        <w:t xml:space="preserve">Starptautiskais Valūtas fonds Eirozonai prognozējis (-7.5) lejupslīdi 2020. </w:t>
      </w:r>
      <w:proofErr w:type="gramStart"/>
      <w:r w:rsidR="00DB5CF6" w:rsidRPr="00D91C96">
        <w:rPr>
          <w:rFonts w:ascii="Calibri" w:hAnsi="Calibri" w:cs="Calibri"/>
          <w:sz w:val="22"/>
          <w:szCs w:val="22"/>
        </w:rPr>
        <w:t>gadā</w:t>
      </w:r>
      <w:proofErr w:type="gramEnd"/>
      <w:r w:rsidR="00DB5CF6" w:rsidRPr="00D91C96">
        <w:rPr>
          <w:rFonts w:ascii="Calibri" w:hAnsi="Calibri" w:cs="Calibri"/>
          <w:sz w:val="22"/>
          <w:szCs w:val="22"/>
        </w:rPr>
        <w:t xml:space="preserve"> un (+4.7) izaugsmi 2021. </w:t>
      </w:r>
      <w:proofErr w:type="gramStart"/>
      <w:r w:rsidR="00DB5CF6" w:rsidRPr="00D91C96">
        <w:rPr>
          <w:rFonts w:ascii="Calibri" w:hAnsi="Calibri" w:cs="Calibri"/>
          <w:sz w:val="22"/>
          <w:szCs w:val="22"/>
        </w:rPr>
        <w:t>gadam</w:t>
      </w:r>
      <w:proofErr w:type="gramEnd"/>
      <w:r w:rsidR="00DB5CF6" w:rsidRPr="00D91C96">
        <w:rPr>
          <w:rStyle w:val="FootnoteReference"/>
          <w:rFonts w:ascii="Calibri" w:hAnsi="Calibri" w:cs="Calibri"/>
          <w:sz w:val="22"/>
          <w:szCs w:val="22"/>
        </w:rPr>
        <w:footnoteReference w:id="22"/>
      </w:r>
      <w:r w:rsidR="00DB5CF6" w:rsidRPr="00D91C96">
        <w:rPr>
          <w:rFonts w:ascii="Calibri" w:hAnsi="Calibri" w:cs="Calibri"/>
          <w:sz w:val="22"/>
          <w:szCs w:val="22"/>
        </w:rPr>
        <w:t>.</w:t>
      </w:r>
    </w:p>
    <w:p w14:paraId="4BE0D069" w14:textId="77777777" w:rsidR="00D91C96" w:rsidRPr="00D91C96" w:rsidRDefault="00D91C96" w:rsidP="00D91C96">
      <w:pPr>
        <w:pStyle w:val="ListParagraph"/>
        <w:rPr>
          <w:rFonts w:ascii="Calibri" w:hAnsi="Calibri" w:cs="Calibri"/>
          <w:b/>
          <w:iCs/>
          <w:color w:val="191919"/>
          <w:sz w:val="22"/>
          <w:szCs w:val="22"/>
          <w:bdr w:val="none" w:sz="0" w:space="0" w:color="auto" w:frame="1"/>
          <w:shd w:val="clear" w:color="auto" w:fill="FFFFFF"/>
        </w:rPr>
      </w:pPr>
    </w:p>
    <w:p w14:paraId="785E11E1" w14:textId="77777777" w:rsidR="00D91C96" w:rsidRPr="00D91C96" w:rsidRDefault="00D91C96" w:rsidP="00D91C96">
      <w:pPr>
        <w:pStyle w:val="ListParagraph"/>
        <w:jc w:val="both"/>
        <w:rPr>
          <w:rFonts w:ascii="Calibri" w:hAnsi="Calibri" w:cs="Calibri"/>
          <w:b/>
          <w:iCs/>
          <w:color w:val="191919"/>
          <w:sz w:val="22"/>
          <w:szCs w:val="22"/>
          <w:bdr w:val="none" w:sz="0" w:space="0" w:color="auto" w:frame="1"/>
          <w:shd w:val="clear" w:color="auto" w:fill="FFFFFF"/>
        </w:rPr>
      </w:pPr>
    </w:p>
    <w:p w14:paraId="272C36CE" w14:textId="5C5FF9FF" w:rsidR="00DB5CF6" w:rsidRPr="00D91C96" w:rsidRDefault="00DB5CF6" w:rsidP="00462E32">
      <w:pPr>
        <w:pStyle w:val="ListParagraph"/>
        <w:numPr>
          <w:ilvl w:val="0"/>
          <w:numId w:val="23"/>
        </w:numPr>
        <w:spacing w:before="240"/>
        <w:jc w:val="both"/>
        <w:rPr>
          <w:rFonts w:ascii="Calibri" w:hAnsi="Calibri" w:cs="Calibri"/>
          <w:b/>
          <w:sz w:val="22"/>
          <w:szCs w:val="22"/>
        </w:rPr>
      </w:pPr>
      <w:r w:rsidRPr="00D91C96">
        <w:rPr>
          <w:rFonts w:ascii="Calibri" w:hAnsi="Calibri" w:cs="Calibri"/>
          <w:b/>
          <w:sz w:val="22"/>
          <w:szCs w:val="22"/>
        </w:rPr>
        <w:t>L</w:t>
      </w:r>
      <w:r w:rsidR="00D91C96">
        <w:rPr>
          <w:rFonts w:ascii="Calibri" w:hAnsi="Calibri" w:cs="Calibri"/>
          <w:b/>
          <w:sz w:val="22"/>
          <w:szCs w:val="22"/>
        </w:rPr>
        <w:t>ai gan lejupslīde e</w:t>
      </w:r>
      <w:r w:rsidRPr="00D91C96">
        <w:rPr>
          <w:rFonts w:ascii="Calibri" w:hAnsi="Calibri" w:cs="Calibri"/>
          <w:b/>
          <w:sz w:val="22"/>
          <w:szCs w:val="22"/>
        </w:rPr>
        <w:t xml:space="preserve">irozonā bijusi dramatiski strauja, Latvija </w:t>
      </w:r>
      <w:proofErr w:type="gramStart"/>
      <w:r w:rsidRPr="00D91C96">
        <w:rPr>
          <w:rFonts w:ascii="Calibri" w:hAnsi="Calibri" w:cs="Calibri"/>
          <w:b/>
          <w:sz w:val="22"/>
          <w:szCs w:val="22"/>
        </w:rPr>
        <w:t>un</w:t>
      </w:r>
      <w:proofErr w:type="gramEnd"/>
      <w:r w:rsidRPr="00D91C96">
        <w:rPr>
          <w:rFonts w:ascii="Calibri" w:hAnsi="Calibri" w:cs="Calibri"/>
          <w:b/>
          <w:sz w:val="22"/>
          <w:szCs w:val="22"/>
        </w:rPr>
        <w:t xml:space="preserve"> tās galvenie tirdzniecības partneri š.g. pirmos divos ceturkšņos ir s</w:t>
      </w:r>
      <w:r w:rsidR="00D91C96">
        <w:rPr>
          <w:rFonts w:ascii="Calibri" w:hAnsi="Calibri" w:cs="Calibri"/>
          <w:b/>
          <w:sz w:val="22"/>
          <w:szCs w:val="22"/>
        </w:rPr>
        <w:t>pējuši noturēt lejupslīdi virs e</w:t>
      </w:r>
      <w:r w:rsidRPr="00D91C96">
        <w:rPr>
          <w:rFonts w:ascii="Calibri" w:hAnsi="Calibri" w:cs="Calibri"/>
          <w:b/>
          <w:sz w:val="22"/>
          <w:szCs w:val="22"/>
        </w:rPr>
        <w:t xml:space="preserve">irozonas krituma līmeņa, kā arī </w:t>
      </w:r>
      <w:r w:rsidRPr="00D91C96">
        <w:rPr>
          <w:rFonts w:ascii="Calibri" w:hAnsi="Calibri" w:cs="Calibri"/>
          <w:b/>
          <w:bCs/>
          <w:iCs/>
          <w:color w:val="191919"/>
          <w:sz w:val="22"/>
          <w:szCs w:val="22"/>
          <w:bdr w:val="none" w:sz="0" w:space="0" w:color="auto" w:frame="1"/>
          <w:shd w:val="clear" w:color="auto" w:fill="FFFFFF"/>
        </w:rPr>
        <w:t xml:space="preserve">ražošanas apjoma indeksi š.g. jūlijā liecina par ražošanas sektora atgūšanos Latvijā, Īrijā un Polijā, kamēr pārējās ES valstīs turpinās lejupslīde. Eiropas savienībā nav nevienas valsts, kas nesaskartos ar IKP lejupslīdi, pie tam tiek prognozēts, ka neskatoties uz atsitienu 2021. </w:t>
      </w:r>
      <w:proofErr w:type="gramStart"/>
      <w:r w:rsidRPr="00D91C96">
        <w:rPr>
          <w:rFonts w:ascii="Calibri" w:hAnsi="Calibri" w:cs="Calibri"/>
          <w:b/>
          <w:bCs/>
          <w:iCs/>
          <w:color w:val="191919"/>
          <w:sz w:val="22"/>
          <w:szCs w:val="22"/>
          <w:bdr w:val="none" w:sz="0" w:space="0" w:color="auto" w:frame="1"/>
          <w:shd w:val="clear" w:color="auto" w:fill="FFFFFF"/>
        </w:rPr>
        <w:t>gadā</w:t>
      </w:r>
      <w:proofErr w:type="gramEnd"/>
      <w:r w:rsidRPr="00D91C96">
        <w:rPr>
          <w:rFonts w:ascii="Calibri" w:hAnsi="Calibri" w:cs="Calibri"/>
          <w:b/>
          <w:bCs/>
          <w:iCs/>
          <w:color w:val="191919"/>
          <w:sz w:val="22"/>
          <w:szCs w:val="22"/>
          <w:bdr w:val="none" w:sz="0" w:space="0" w:color="auto" w:frame="1"/>
          <w:shd w:val="clear" w:color="auto" w:fill="FFFFFF"/>
        </w:rPr>
        <w:t xml:space="preserve"> pirms krīzes līmenī Eiropas Savienības ekonomika varētu atgriezties tikai 2022. </w:t>
      </w:r>
      <w:proofErr w:type="gramStart"/>
      <w:r w:rsidRPr="00D91C96">
        <w:rPr>
          <w:rFonts w:ascii="Calibri" w:hAnsi="Calibri" w:cs="Calibri"/>
          <w:b/>
          <w:bCs/>
          <w:iCs/>
          <w:color w:val="191919"/>
          <w:sz w:val="22"/>
          <w:szCs w:val="22"/>
          <w:bdr w:val="none" w:sz="0" w:space="0" w:color="auto" w:frame="1"/>
          <w:shd w:val="clear" w:color="auto" w:fill="FFFFFF"/>
        </w:rPr>
        <w:t>gadā</w:t>
      </w:r>
      <w:proofErr w:type="gramEnd"/>
      <w:r w:rsidRPr="00D91C96">
        <w:rPr>
          <w:rFonts w:ascii="Calibri" w:hAnsi="Calibri" w:cs="Calibri"/>
          <w:b/>
          <w:bCs/>
          <w:iCs/>
          <w:color w:val="191919"/>
          <w:sz w:val="22"/>
          <w:szCs w:val="22"/>
          <w:bdr w:val="none" w:sz="0" w:space="0" w:color="auto" w:frame="1"/>
          <w:shd w:val="clear" w:color="auto" w:fill="FFFFFF"/>
        </w:rPr>
        <w:t>, jo pēc Covid-19 krīzes, izaugsme tiks atsākta no zemāka punkta.</w:t>
      </w:r>
    </w:p>
    <w:p w14:paraId="3641C65D" w14:textId="77777777" w:rsidR="00467532" w:rsidRPr="00D91C96" w:rsidRDefault="00467532" w:rsidP="00467532">
      <w:pPr>
        <w:pStyle w:val="ListParagraph"/>
        <w:spacing w:before="240"/>
        <w:ind w:left="502"/>
        <w:jc w:val="both"/>
        <w:rPr>
          <w:rFonts w:ascii="Calibri" w:hAnsi="Calibri" w:cs="Calibri"/>
          <w:b/>
          <w:sz w:val="22"/>
          <w:szCs w:val="22"/>
        </w:rPr>
      </w:pPr>
    </w:p>
    <w:p w14:paraId="663F4CEF" w14:textId="0D203B61" w:rsidR="00DB5CF6" w:rsidRPr="00D91C96" w:rsidRDefault="00DB5CF6" w:rsidP="00462E32">
      <w:pPr>
        <w:pStyle w:val="ListParagraph"/>
        <w:numPr>
          <w:ilvl w:val="0"/>
          <w:numId w:val="23"/>
        </w:numPr>
        <w:spacing w:before="240"/>
        <w:jc w:val="both"/>
        <w:rPr>
          <w:rFonts w:ascii="Calibri" w:hAnsi="Calibri" w:cs="Calibri"/>
          <w:sz w:val="22"/>
          <w:szCs w:val="22"/>
        </w:rPr>
      </w:pPr>
      <w:r w:rsidRPr="00D91C96">
        <w:rPr>
          <w:rFonts w:ascii="Calibri" w:hAnsi="Calibri" w:cs="Calibri"/>
          <w:sz w:val="22"/>
          <w:szCs w:val="22"/>
        </w:rPr>
        <w:t>Vērojot ekonomik</w:t>
      </w:r>
      <w:r w:rsidR="00F2200E">
        <w:rPr>
          <w:rFonts w:ascii="Calibri" w:hAnsi="Calibri" w:cs="Calibri"/>
          <w:sz w:val="22"/>
          <w:szCs w:val="22"/>
        </w:rPr>
        <w:t>as reālo sniegumu, saskaņā ar Eu</w:t>
      </w:r>
      <w:r w:rsidRPr="00D91C96">
        <w:rPr>
          <w:rFonts w:ascii="Calibri" w:hAnsi="Calibri" w:cs="Calibri"/>
          <w:sz w:val="22"/>
          <w:szCs w:val="22"/>
        </w:rPr>
        <w:t>rostat datiem, 2020. </w:t>
      </w:r>
      <w:proofErr w:type="gramStart"/>
      <w:r w:rsidRPr="00D91C96">
        <w:rPr>
          <w:rFonts w:ascii="Calibri" w:hAnsi="Calibri" w:cs="Calibri"/>
          <w:sz w:val="22"/>
          <w:szCs w:val="22"/>
        </w:rPr>
        <w:t>gada</w:t>
      </w:r>
      <w:proofErr w:type="gramEnd"/>
      <w:r w:rsidRPr="00D91C96">
        <w:rPr>
          <w:rFonts w:ascii="Calibri" w:hAnsi="Calibri" w:cs="Calibri"/>
          <w:sz w:val="22"/>
          <w:szCs w:val="22"/>
        </w:rPr>
        <w:t xml:space="preserve"> 1. </w:t>
      </w:r>
      <w:proofErr w:type="gramStart"/>
      <w:r w:rsidRPr="00D91C96">
        <w:rPr>
          <w:rFonts w:ascii="Calibri" w:hAnsi="Calibri" w:cs="Calibri"/>
          <w:sz w:val="22"/>
          <w:szCs w:val="22"/>
        </w:rPr>
        <w:t>ceturksnī</w:t>
      </w:r>
      <w:proofErr w:type="gramEnd"/>
      <w:r w:rsidRPr="00D91C96">
        <w:rPr>
          <w:rFonts w:ascii="Calibri" w:hAnsi="Calibri" w:cs="Calibri"/>
          <w:sz w:val="22"/>
          <w:szCs w:val="22"/>
        </w:rPr>
        <w:t xml:space="preserve"> tika reģistrēts Eirozonas zonas nominālā IKP sarukums (-3.2%) apmērā, salīdzinot ar iepriekšējā gada atbilstošo periodu, bet jau 2. ceturksnī lejupslīde sasniedza (-</w:t>
      </w:r>
      <w:r w:rsidR="00D91C96">
        <w:rPr>
          <w:rFonts w:ascii="Calibri" w:hAnsi="Calibri" w:cs="Calibri"/>
          <w:sz w:val="22"/>
          <w:szCs w:val="22"/>
        </w:rPr>
        <w:t>14.8%), kas</w:t>
      </w:r>
      <w:r w:rsidRPr="00D91C96">
        <w:rPr>
          <w:rFonts w:ascii="Calibri" w:hAnsi="Calibri" w:cs="Calibri"/>
          <w:sz w:val="22"/>
          <w:szCs w:val="22"/>
        </w:rPr>
        <w:t xml:space="preserve"> ir rekordliels kritums. Tomēr jāatzīmē, ka eiro zonas IKP lejupslīde atšķiras pa reģioniem </w:t>
      </w:r>
      <w:proofErr w:type="gramStart"/>
      <w:r w:rsidRPr="00D91C96">
        <w:rPr>
          <w:rFonts w:ascii="Calibri" w:hAnsi="Calibri" w:cs="Calibri"/>
          <w:sz w:val="22"/>
          <w:szCs w:val="22"/>
        </w:rPr>
        <w:t>un</w:t>
      </w:r>
      <w:proofErr w:type="gramEnd"/>
      <w:r w:rsidRPr="00D91C96">
        <w:rPr>
          <w:rFonts w:ascii="Calibri" w:hAnsi="Calibri" w:cs="Calibri"/>
          <w:sz w:val="22"/>
          <w:szCs w:val="22"/>
        </w:rPr>
        <w:t xml:space="preserve"> Latvijas galvenajiem tirdzniecības partneriem, IKP kritums ir ievērojami zemāks nekā Eiro zonā vai Eiropas Savienībai kopumā (-13.9</w:t>
      </w:r>
      <w:r w:rsidR="00D91C96">
        <w:rPr>
          <w:rFonts w:ascii="Calibri" w:hAnsi="Calibri" w:cs="Calibri"/>
          <w:sz w:val="22"/>
          <w:szCs w:val="22"/>
        </w:rPr>
        <w:t>%</w:t>
      </w:r>
      <w:r w:rsidRPr="00D91C96">
        <w:rPr>
          <w:rFonts w:ascii="Calibri" w:hAnsi="Calibri" w:cs="Calibri"/>
          <w:sz w:val="22"/>
          <w:szCs w:val="22"/>
        </w:rPr>
        <w:t>). Vismazāk ir cietusi Lietuvas ekonomika, bet smagāk cietušās valstis Eiropas savienībā ir Spānija, Francija, Itālija, kā arī Anglija.</w:t>
      </w:r>
    </w:p>
    <w:p w14:paraId="25774D55" w14:textId="77777777" w:rsidR="00DB5CF6" w:rsidRPr="0038493C" w:rsidRDefault="00DB5CF6" w:rsidP="00DB5CF6">
      <w:pPr>
        <w:spacing w:before="240"/>
        <w:ind w:left="55"/>
        <w:rPr>
          <w:rStyle w:val="Emphasis"/>
          <w:rFonts w:ascii="Calibri" w:hAnsi="Calibri" w:cs="Calibri"/>
          <w:i w:val="0"/>
          <w:color w:val="191919"/>
          <w:sz w:val="22"/>
          <w:bdr w:val="none" w:sz="0" w:space="0" w:color="auto" w:frame="1"/>
          <w:shd w:val="clear" w:color="auto" w:fill="FFFFFF"/>
        </w:rPr>
      </w:pPr>
      <w:r w:rsidRPr="00336BF6">
        <w:rPr>
          <w:noProof/>
          <w:lang w:val="lv-LV" w:eastAsia="lv-LV"/>
        </w:rPr>
        <w:lastRenderedPageBreak/>
        <w:drawing>
          <wp:inline distT="0" distB="0" distL="0" distR="0" wp14:anchorId="2943F2D1" wp14:editId="48AE8763">
            <wp:extent cx="5274310" cy="2320119"/>
            <wp:effectExtent l="0" t="0" r="2540" b="444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CDE8DEB" w14:textId="77777777" w:rsidR="00DB5CF6" w:rsidRPr="00644A95" w:rsidRDefault="00DB5CF6" w:rsidP="00DB5CF6">
      <w:pPr>
        <w:ind w:left="55"/>
        <w:rPr>
          <w:rStyle w:val="Emphasis"/>
          <w:rFonts w:ascii="Calibri" w:hAnsi="Calibri" w:cs="Calibri"/>
          <w:color w:val="191919"/>
          <w:sz w:val="20"/>
          <w:szCs w:val="20"/>
          <w:bdr w:val="none" w:sz="0" w:space="0" w:color="auto" w:frame="1"/>
          <w:shd w:val="clear" w:color="auto" w:fill="FFFFFF"/>
        </w:rPr>
      </w:pPr>
      <w:r w:rsidRPr="00644A95">
        <w:rPr>
          <w:rStyle w:val="Emphasis"/>
          <w:rFonts w:ascii="Calibri" w:hAnsi="Calibri" w:cs="Calibri"/>
          <w:color w:val="191919"/>
          <w:sz w:val="20"/>
          <w:szCs w:val="20"/>
          <w:bdr w:val="none" w:sz="0" w:space="0" w:color="auto" w:frame="1"/>
          <w:shd w:val="clear" w:color="auto" w:fill="FFFFFF"/>
        </w:rPr>
        <w:t>Avots: Eurostst [namq_10_gdp]</w:t>
      </w:r>
    </w:p>
    <w:p w14:paraId="30F75A9F" w14:textId="1E65EFBF" w:rsidR="00DB5CF6" w:rsidRPr="00644A95" w:rsidRDefault="00644A95" w:rsidP="00DB5CF6">
      <w:pPr>
        <w:ind w:left="55"/>
        <w:rPr>
          <w:rFonts w:ascii="Calibri" w:hAnsi="Calibri" w:cs="Calibri"/>
          <w:b/>
          <w:bCs/>
          <w:iCs/>
          <w:color w:val="191919"/>
          <w:sz w:val="20"/>
          <w:szCs w:val="20"/>
          <w:bdr w:val="none" w:sz="0" w:space="0" w:color="auto" w:frame="1"/>
          <w:shd w:val="clear" w:color="auto" w:fill="FFFFFF"/>
        </w:rPr>
      </w:pPr>
      <w:proofErr w:type="gramStart"/>
      <w:r w:rsidRPr="00644A95">
        <w:rPr>
          <w:rStyle w:val="Emphasis"/>
          <w:rFonts w:ascii="Calibri" w:hAnsi="Calibri" w:cs="Calibri"/>
          <w:b/>
          <w:i w:val="0"/>
          <w:color w:val="191919"/>
          <w:sz w:val="20"/>
          <w:szCs w:val="20"/>
          <w:bdr w:val="none" w:sz="0" w:space="0" w:color="auto" w:frame="1"/>
          <w:shd w:val="clear" w:color="auto" w:fill="FFFFFF"/>
        </w:rPr>
        <w:t>9.a</w:t>
      </w:r>
      <w:r w:rsidR="00DB5CF6" w:rsidRPr="00644A95">
        <w:rPr>
          <w:rStyle w:val="Emphasis"/>
          <w:rFonts w:ascii="Calibri" w:hAnsi="Calibri" w:cs="Calibri"/>
          <w:b/>
          <w:i w:val="0"/>
          <w:color w:val="191919"/>
          <w:sz w:val="20"/>
          <w:szCs w:val="20"/>
          <w:bdr w:val="none" w:sz="0" w:space="0" w:color="auto" w:frame="1"/>
          <w:shd w:val="clear" w:color="auto" w:fill="FFFFFF"/>
        </w:rPr>
        <w:t>ttēls</w:t>
      </w:r>
      <w:proofErr w:type="gramEnd"/>
      <w:r w:rsidR="00DB5CF6" w:rsidRPr="00644A95">
        <w:rPr>
          <w:rStyle w:val="Emphasis"/>
          <w:rFonts w:ascii="Calibri" w:hAnsi="Calibri" w:cs="Calibri"/>
          <w:b/>
          <w:i w:val="0"/>
          <w:color w:val="191919"/>
          <w:sz w:val="20"/>
          <w:szCs w:val="20"/>
          <w:bdr w:val="none" w:sz="0" w:space="0" w:color="auto" w:frame="1"/>
          <w:shd w:val="clear" w:color="auto" w:fill="FFFFFF"/>
        </w:rPr>
        <w:t>:</w:t>
      </w:r>
      <w:r w:rsidR="00DB5CF6" w:rsidRPr="00644A95">
        <w:rPr>
          <w:rStyle w:val="Emphasis"/>
          <w:rFonts w:ascii="Calibri" w:hAnsi="Calibri" w:cs="Calibri"/>
          <w:b/>
          <w:color w:val="191919"/>
          <w:sz w:val="20"/>
          <w:szCs w:val="20"/>
          <w:bdr w:val="none" w:sz="0" w:space="0" w:color="auto" w:frame="1"/>
          <w:shd w:val="clear" w:color="auto" w:fill="FFFFFF"/>
        </w:rPr>
        <w:t xml:space="preserve"> </w:t>
      </w:r>
      <w:r w:rsidR="00DB5CF6" w:rsidRPr="00644A95">
        <w:rPr>
          <w:rFonts w:ascii="Calibri" w:hAnsi="Calibri" w:cs="Calibri"/>
          <w:bCs/>
          <w:iCs/>
          <w:color w:val="191919"/>
          <w:sz w:val="20"/>
          <w:szCs w:val="20"/>
          <w:bdr w:val="none" w:sz="0" w:space="0" w:color="auto" w:frame="1"/>
          <w:shd w:val="clear" w:color="auto" w:fill="FFFFFF"/>
        </w:rPr>
        <w:t xml:space="preserve">Nominālā IKP kritums 2020. </w:t>
      </w:r>
      <w:proofErr w:type="gramStart"/>
      <w:r w:rsidR="00DB5CF6" w:rsidRPr="00644A95">
        <w:rPr>
          <w:rFonts w:ascii="Calibri" w:hAnsi="Calibri" w:cs="Calibri"/>
          <w:bCs/>
          <w:iCs/>
          <w:color w:val="191919"/>
          <w:sz w:val="20"/>
          <w:szCs w:val="20"/>
          <w:bdr w:val="none" w:sz="0" w:space="0" w:color="auto" w:frame="1"/>
          <w:shd w:val="clear" w:color="auto" w:fill="FFFFFF"/>
        </w:rPr>
        <w:t>gada</w:t>
      </w:r>
      <w:proofErr w:type="gramEnd"/>
      <w:r w:rsidR="00DB5CF6" w:rsidRPr="00644A95">
        <w:rPr>
          <w:rFonts w:ascii="Calibri" w:hAnsi="Calibri" w:cs="Calibri"/>
          <w:bCs/>
          <w:iCs/>
          <w:color w:val="191919"/>
          <w:sz w:val="20"/>
          <w:szCs w:val="20"/>
          <w:bdr w:val="none" w:sz="0" w:space="0" w:color="auto" w:frame="1"/>
          <w:shd w:val="clear" w:color="auto" w:fill="FFFFFF"/>
        </w:rPr>
        <w:t xml:space="preserve"> 2. </w:t>
      </w:r>
      <w:proofErr w:type="gramStart"/>
      <w:r w:rsidR="00DB5CF6" w:rsidRPr="00644A95">
        <w:rPr>
          <w:rFonts w:ascii="Calibri" w:hAnsi="Calibri" w:cs="Calibri"/>
          <w:bCs/>
          <w:iCs/>
          <w:color w:val="191919"/>
          <w:sz w:val="20"/>
          <w:szCs w:val="20"/>
          <w:bdr w:val="none" w:sz="0" w:space="0" w:color="auto" w:frame="1"/>
          <w:shd w:val="clear" w:color="auto" w:fill="FFFFFF"/>
        </w:rPr>
        <w:t>ceturksnī</w:t>
      </w:r>
      <w:proofErr w:type="gramEnd"/>
      <w:r w:rsidR="00DB5CF6" w:rsidRPr="00644A95">
        <w:rPr>
          <w:rFonts w:ascii="Calibri" w:hAnsi="Calibri" w:cs="Calibri"/>
          <w:bCs/>
          <w:iCs/>
          <w:color w:val="191919"/>
          <w:sz w:val="20"/>
          <w:szCs w:val="20"/>
          <w:bdr w:val="none" w:sz="0" w:space="0" w:color="auto" w:frame="1"/>
          <w:shd w:val="clear" w:color="auto" w:fill="FFFFFF"/>
        </w:rPr>
        <w:t xml:space="preserve"> svarīgākiem Latvijas partneriem eksportā</w:t>
      </w:r>
      <w:r w:rsidR="00DB5CF6" w:rsidRPr="00644A95">
        <w:rPr>
          <w:rFonts w:ascii="Calibri" w:hAnsi="Calibri" w:cs="Calibri"/>
          <w:b/>
          <w:bCs/>
          <w:iCs/>
          <w:color w:val="191919"/>
          <w:sz w:val="20"/>
          <w:szCs w:val="20"/>
          <w:bdr w:val="none" w:sz="0" w:space="0" w:color="auto" w:frame="1"/>
          <w:shd w:val="clear" w:color="auto" w:fill="FFFFFF"/>
        </w:rPr>
        <w:t xml:space="preserve"> </w:t>
      </w:r>
    </w:p>
    <w:p w14:paraId="51995A83" w14:textId="77777777" w:rsidR="00467532" w:rsidRDefault="00467532" w:rsidP="00DB5CF6">
      <w:pPr>
        <w:ind w:left="55"/>
        <w:rPr>
          <w:rFonts w:ascii="Calibri" w:hAnsi="Calibri" w:cs="Calibri"/>
          <w:bCs/>
          <w:iCs/>
          <w:color w:val="191919"/>
          <w:sz w:val="20"/>
          <w:bdr w:val="none" w:sz="0" w:space="0" w:color="auto" w:frame="1"/>
          <w:shd w:val="clear" w:color="auto" w:fill="FFFFFF"/>
        </w:rPr>
      </w:pPr>
    </w:p>
    <w:p w14:paraId="1C5C4F1E" w14:textId="58B407F2" w:rsidR="00DB5CF6" w:rsidRPr="00D91C96" w:rsidRDefault="00DB5CF6" w:rsidP="00D91C96">
      <w:pPr>
        <w:pStyle w:val="ListParagraph"/>
        <w:numPr>
          <w:ilvl w:val="0"/>
          <w:numId w:val="23"/>
        </w:numPr>
        <w:ind w:left="426" w:hanging="426"/>
        <w:jc w:val="both"/>
        <w:rPr>
          <w:rFonts w:ascii="Calibri" w:hAnsi="Calibri" w:cs="Calibri"/>
          <w:bCs/>
          <w:iCs/>
          <w:color w:val="191919"/>
          <w:sz w:val="22"/>
          <w:szCs w:val="22"/>
          <w:bdr w:val="none" w:sz="0" w:space="0" w:color="auto" w:frame="1"/>
          <w:shd w:val="clear" w:color="auto" w:fill="FFFFFF"/>
        </w:rPr>
      </w:pPr>
      <w:r w:rsidRPr="00D91C96">
        <w:rPr>
          <w:rFonts w:ascii="Calibri" w:hAnsi="Calibri" w:cs="Calibri"/>
          <w:bCs/>
          <w:iCs/>
          <w:color w:val="191919"/>
          <w:sz w:val="22"/>
          <w:szCs w:val="22"/>
          <w:bdr w:val="none" w:sz="0" w:space="0" w:color="auto" w:frame="1"/>
          <w:shd w:val="clear" w:color="auto" w:fill="FFFFFF"/>
        </w:rPr>
        <w:t xml:space="preserve">Ražošanas apjoma indeksi (2015=100) ES valstīs š.g. jūlijā salīdzinot ar iepriekšēja gada jūliju liecina par izaugsmes atjaunošanos tikai trijās valstīs: Īrijā (+13%), </w:t>
      </w:r>
      <w:r w:rsidRPr="00D91C96">
        <w:rPr>
          <w:rFonts w:ascii="Calibri" w:hAnsi="Calibri" w:cs="Calibri"/>
          <w:b/>
          <w:bCs/>
          <w:iCs/>
          <w:color w:val="191919"/>
          <w:sz w:val="22"/>
          <w:szCs w:val="22"/>
          <w:bdr w:val="none" w:sz="0" w:space="0" w:color="auto" w:frame="1"/>
          <w:shd w:val="clear" w:color="auto" w:fill="FFFFFF"/>
        </w:rPr>
        <w:t>Latvijā (+0.3%)</w:t>
      </w:r>
      <w:r w:rsidRPr="00D91C96">
        <w:rPr>
          <w:rFonts w:ascii="Calibri" w:hAnsi="Calibri" w:cs="Calibri"/>
          <w:bCs/>
          <w:iCs/>
          <w:color w:val="191919"/>
          <w:sz w:val="22"/>
          <w:szCs w:val="22"/>
          <w:bdr w:val="none" w:sz="0" w:space="0" w:color="auto" w:frame="1"/>
          <w:shd w:val="clear" w:color="auto" w:fill="FFFFFF"/>
        </w:rPr>
        <w:t xml:space="preserve"> </w:t>
      </w:r>
      <w:proofErr w:type="gramStart"/>
      <w:r w:rsidRPr="00D91C96">
        <w:rPr>
          <w:rFonts w:ascii="Calibri" w:hAnsi="Calibri" w:cs="Calibri"/>
          <w:bCs/>
          <w:iCs/>
          <w:color w:val="191919"/>
          <w:sz w:val="22"/>
          <w:szCs w:val="22"/>
          <w:bdr w:val="none" w:sz="0" w:space="0" w:color="auto" w:frame="1"/>
          <w:shd w:val="clear" w:color="auto" w:fill="FFFFFF"/>
        </w:rPr>
        <w:t>un</w:t>
      </w:r>
      <w:proofErr w:type="gramEnd"/>
      <w:r w:rsidRPr="00D91C96">
        <w:rPr>
          <w:rFonts w:ascii="Calibri" w:hAnsi="Calibri" w:cs="Calibri"/>
          <w:bCs/>
          <w:iCs/>
          <w:color w:val="191919"/>
          <w:sz w:val="22"/>
          <w:szCs w:val="22"/>
          <w:bdr w:val="none" w:sz="0" w:space="0" w:color="auto" w:frame="1"/>
          <w:shd w:val="clear" w:color="auto" w:fill="FFFFFF"/>
        </w:rPr>
        <w:t xml:space="preserve"> Polijā (+0.2%). Latvijas tirdzniecības partneru vidū vēl joprojām vērojama ražošanas apjomu samazināšanās, t.sk Dānijā (-12.4%) un Vācijā (-11.5%</w:t>
      </w:r>
      <w:proofErr w:type="gramStart"/>
      <w:r w:rsidRPr="00D91C96">
        <w:rPr>
          <w:rFonts w:ascii="Calibri" w:hAnsi="Calibri" w:cs="Calibri"/>
          <w:bCs/>
          <w:iCs/>
          <w:color w:val="191919"/>
          <w:sz w:val="22"/>
          <w:szCs w:val="22"/>
          <w:bdr w:val="none" w:sz="0" w:space="0" w:color="auto" w:frame="1"/>
          <w:shd w:val="clear" w:color="auto" w:fill="FFFFFF"/>
        </w:rPr>
        <w:t>) ,</w:t>
      </w:r>
      <w:proofErr w:type="gramEnd"/>
      <w:r w:rsidRPr="00D91C96">
        <w:rPr>
          <w:rFonts w:ascii="Calibri" w:hAnsi="Calibri" w:cs="Calibri"/>
          <w:bCs/>
          <w:iCs/>
          <w:color w:val="191919"/>
          <w:sz w:val="22"/>
          <w:szCs w:val="22"/>
          <w:bdr w:val="none" w:sz="0" w:space="0" w:color="auto" w:frame="1"/>
          <w:shd w:val="clear" w:color="auto" w:fill="FFFFFF"/>
        </w:rPr>
        <w:t xml:space="preserve"> Lietuvā (-0.8%) un Igaunijā (-0.5%).</w:t>
      </w:r>
    </w:p>
    <w:p w14:paraId="1C540512" w14:textId="77777777" w:rsidR="00DB5CF6" w:rsidRPr="00051493" w:rsidRDefault="00DB5CF6" w:rsidP="00DB5CF6">
      <w:pPr>
        <w:ind w:left="55"/>
        <w:rPr>
          <w:rFonts w:ascii="Calibri" w:hAnsi="Calibri" w:cs="Calibri"/>
          <w:bCs/>
          <w:iCs/>
          <w:color w:val="191919"/>
          <w:sz w:val="20"/>
          <w:bdr w:val="none" w:sz="0" w:space="0" w:color="auto" w:frame="1"/>
          <w:shd w:val="clear" w:color="auto" w:fill="FFFFFF"/>
        </w:rPr>
      </w:pPr>
      <w:r>
        <w:rPr>
          <w:noProof/>
          <w:lang w:val="lv-LV" w:eastAsia="lv-LV"/>
        </w:rPr>
        <w:drawing>
          <wp:inline distT="0" distB="0" distL="0" distR="0" wp14:anchorId="21428F70" wp14:editId="262D41F4">
            <wp:extent cx="5274310" cy="3270250"/>
            <wp:effectExtent l="0" t="0" r="2540" b="63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E534ED7" w14:textId="77777777" w:rsidR="00DB5CF6" w:rsidRPr="00051493" w:rsidRDefault="00DB5CF6" w:rsidP="00DB5CF6">
      <w:pPr>
        <w:ind w:left="55"/>
        <w:rPr>
          <w:rStyle w:val="Emphasis"/>
          <w:rFonts w:ascii="Calibri" w:hAnsi="Calibri" w:cs="Calibri"/>
          <w:color w:val="191919"/>
          <w:sz w:val="22"/>
          <w:bdr w:val="none" w:sz="0" w:space="0" w:color="auto" w:frame="1"/>
          <w:shd w:val="clear" w:color="auto" w:fill="FFFFFF"/>
        </w:rPr>
      </w:pPr>
      <w:r w:rsidRPr="00051493">
        <w:rPr>
          <w:rStyle w:val="Emphasis"/>
          <w:rFonts w:ascii="Calibri" w:hAnsi="Calibri" w:cs="Calibri"/>
          <w:color w:val="191919"/>
          <w:sz w:val="22"/>
          <w:bdr w:val="none" w:sz="0" w:space="0" w:color="auto" w:frame="1"/>
          <w:shd w:val="clear" w:color="auto" w:fill="FFFFFF"/>
        </w:rPr>
        <w:t>Avots: Eurostst [sts_inpr_m]</w:t>
      </w:r>
    </w:p>
    <w:p w14:paraId="35C9AA53" w14:textId="43A8C5CE" w:rsidR="004630D3" w:rsidRDefault="00644A95" w:rsidP="004630D3">
      <w:pPr>
        <w:ind w:left="55"/>
        <w:rPr>
          <w:rFonts w:ascii="Calibri" w:hAnsi="Calibri" w:cs="Calibri"/>
          <w:bCs/>
          <w:iCs/>
          <w:color w:val="191919"/>
          <w:sz w:val="20"/>
          <w:bdr w:val="none" w:sz="0" w:space="0" w:color="auto" w:frame="1"/>
          <w:shd w:val="clear" w:color="auto" w:fill="FFFFFF"/>
        </w:rPr>
      </w:pPr>
      <w:r w:rsidRPr="00644A95">
        <w:rPr>
          <w:rStyle w:val="Emphasis"/>
          <w:rFonts w:ascii="Calibri" w:hAnsi="Calibri" w:cs="Calibri"/>
          <w:b/>
          <w:i w:val="0"/>
          <w:color w:val="191919"/>
          <w:sz w:val="22"/>
          <w:bdr w:val="none" w:sz="0" w:space="0" w:color="auto" w:frame="1"/>
          <w:shd w:val="clear" w:color="auto" w:fill="FFFFFF"/>
        </w:rPr>
        <w:t xml:space="preserve">10. </w:t>
      </w:r>
      <w:proofErr w:type="gramStart"/>
      <w:r w:rsidRPr="00644A95">
        <w:rPr>
          <w:rStyle w:val="Emphasis"/>
          <w:rFonts w:ascii="Calibri" w:hAnsi="Calibri" w:cs="Calibri"/>
          <w:b/>
          <w:i w:val="0"/>
          <w:color w:val="191919"/>
          <w:sz w:val="22"/>
          <w:bdr w:val="none" w:sz="0" w:space="0" w:color="auto" w:frame="1"/>
          <w:shd w:val="clear" w:color="auto" w:fill="FFFFFF"/>
        </w:rPr>
        <w:t>a</w:t>
      </w:r>
      <w:r w:rsidR="00DB5CF6" w:rsidRPr="00644A95">
        <w:rPr>
          <w:rStyle w:val="Emphasis"/>
          <w:rFonts w:ascii="Calibri" w:hAnsi="Calibri" w:cs="Calibri"/>
          <w:b/>
          <w:i w:val="0"/>
          <w:color w:val="191919"/>
          <w:sz w:val="22"/>
          <w:bdr w:val="none" w:sz="0" w:space="0" w:color="auto" w:frame="1"/>
          <w:shd w:val="clear" w:color="auto" w:fill="FFFFFF"/>
        </w:rPr>
        <w:t>ttēls</w:t>
      </w:r>
      <w:proofErr w:type="gramEnd"/>
      <w:r w:rsidR="00DB5CF6" w:rsidRPr="00644A95">
        <w:rPr>
          <w:rStyle w:val="Emphasis"/>
          <w:rFonts w:ascii="Calibri" w:hAnsi="Calibri" w:cs="Calibri"/>
          <w:b/>
          <w:i w:val="0"/>
          <w:color w:val="191919"/>
          <w:sz w:val="22"/>
          <w:bdr w:val="none" w:sz="0" w:space="0" w:color="auto" w:frame="1"/>
          <w:shd w:val="clear" w:color="auto" w:fill="FFFFFF"/>
        </w:rPr>
        <w:t>:</w:t>
      </w:r>
      <w:r w:rsidR="00DB5CF6" w:rsidRPr="00051493">
        <w:rPr>
          <w:rStyle w:val="Emphasis"/>
          <w:rFonts w:ascii="Calibri" w:hAnsi="Calibri" w:cs="Calibri"/>
          <w:b/>
          <w:color w:val="191919"/>
          <w:sz w:val="22"/>
          <w:bdr w:val="none" w:sz="0" w:space="0" w:color="auto" w:frame="1"/>
          <w:shd w:val="clear" w:color="auto" w:fill="FFFFFF"/>
        </w:rPr>
        <w:t xml:space="preserve"> </w:t>
      </w:r>
      <w:r w:rsidR="00DB5CF6" w:rsidRPr="00051493">
        <w:rPr>
          <w:rFonts w:ascii="Calibri" w:hAnsi="Calibri" w:cs="Calibri"/>
          <w:bCs/>
          <w:iCs/>
          <w:color w:val="191919"/>
          <w:sz w:val="20"/>
          <w:bdr w:val="none" w:sz="0" w:space="0" w:color="auto" w:frame="1"/>
          <w:shd w:val="clear" w:color="auto" w:fill="FFFFFF"/>
        </w:rPr>
        <w:t>Rūpniecības produkcijas apjoma indeksu dinamika ES valstīs mēnesis pret iepriekšējā gada atbilstošo mēnesi (Ieguves rūpniecība un karjeru izstrāde; apstrādes rūpniecība; elektroenerģijas, gāzes, tvaika un gaisa kondicionēšanas apgāde)</w:t>
      </w:r>
    </w:p>
    <w:p w14:paraId="2575FEF3" w14:textId="77777777" w:rsidR="004630D3" w:rsidRDefault="004630D3" w:rsidP="004630D3">
      <w:pPr>
        <w:ind w:left="55"/>
        <w:rPr>
          <w:rFonts w:ascii="Calibri" w:eastAsia="Calibri" w:hAnsi="Calibri" w:cs="Calibri"/>
          <w:b/>
          <w:sz w:val="22"/>
          <w:szCs w:val="20"/>
        </w:rPr>
      </w:pPr>
    </w:p>
    <w:p w14:paraId="51E00F28" w14:textId="377193BE" w:rsidR="00DB5CF6" w:rsidRPr="00D91C96" w:rsidRDefault="00DB5CF6" w:rsidP="00462E32">
      <w:pPr>
        <w:pStyle w:val="ListParagraph"/>
        <w:numPr>
          <w:ilvl w:val="0"/>
          <w:numId w:val="23"/>
        </w:numPr>
        <w:ind w:left="426" w:hanging="426"/>
        <w:jc w:val="both"/>
        <w:rPr>
          <w:rFonts w:ascii="Calibri" w:hAnsi="Calibri" w:cs="Calibri"/>
          <w:b/>
          <w:bCs/>
          <w:iCs/>
          <w:color w:val="191919"/>
          <w:sz w:val="22"/>
          <w:szCs w:val="22"/>
          <w:bdr w:val="none" w:sz="0" w:space="0" w:color="auto" w:frame="1"/>
          <w:shd w:val="clear" w:color="auto" w:fill="FFFFFF"/>
        </w:rPr>
      </w:pPr>
      <w:r w:rsidRPr="00D91C96">
        <w:rPr>
          <w:rFonts w:ascii="Calibri" w:hAnsi="Calibri" w:cs="Calibri"/>
          <w:b/>
          <w:bCs/>
          <w:iCs/>
          <w:color w:val="191919"/>
          <w:sz w:val="22"/>
          <w:szCs w:val="22"/>
          <w:bdr w:val="none" w:sz="0" w:space="0" w:color="auto" w:frame="1"/>
          <w:shd w:val="clear" w:color="auto" w:fill="FFFFFF"/>
        </w:rPr>
        <w:t xml:space="preserve">Konfidences rādītāji Latvijā turpina uzlaboties, lai gan saldo vēl joprojām ir negatīvo vērtību zonā. </w:t>
      </w:r>
      <w:r w:rsidR="00F2200E">
        <w:rPr>
          <w:rFonts w:ascii="Calibri" w:hAnsi="Calibri" w:cs="Calibri"/>
          <w:bCs/>
          <w:iCs/>
          <w:color w:val="191919"/>
          <w:sz w:val="22"/>
          <w:szCs w:val="22"/>
          <w:bdr w:val="none" w:sz="0" w:space="0" w:color="auto" w:frame="1"/>
          <w:shd w:val="clear" w:color="auto" w:fill="FFFFFF"/>
        </w:rPr>
        <w:t>Euro</w:t>
      </w:r>
      <w:r w:rsidRPr="00362CD2">
        <w:rPr>
          <w:rFonts w:ascii="Calibri" w:hAnsi="Calibri" w:cs="Calibri"/>
          <w:bCs/>
          <w:iCs/>
          <w:color w:val="191919"/>
          <w:sz w:val="22"/>
          <w:szCs w:val="22"/>
          <w:bdr w:val="none" w:sz="0" w:space="0" w:color="auto" w:frame="1"/>
          <w:shd w:val="clear" w:color="auto" w:fill="FFFFFF"/>
        </w:rPr>
        <w:t xml:space="preserve">stat dati liecina, ka </w:t>
      </w:r>
      <w:proofErr w:type="gramStart"/>
      <w:r w:rsidRPr="00362CD2">
        <w:rPr>
          <w:rFonts w:ascii="Calibri" w:hAnsi="Calibri" w:cs="Calibri"/>
          <w:bCs/>
          <w:iCs/>
          <w:color w:val="191919"/>
          <w:sz w:val="22"/>
          <w:szCs w:val="22"/>
          <w:bdr w:val="none" w:sz="0" w:space="0" w:color="auto" w:frame="1"/>
          <w:shd w:val="clear" w:color="auto" w:fill="FFFFFF"/>
        </w:rPr>
        <w:t>augustā</w:t>
      </w:r>
      <w:proofErr w:type="gramEnd"/>
      <w:r w:rsidRPr="00362CD2">
        <w:rPr>
          <w:rFonts w:ascii="Calibri" w:hAnsi="Calibri" w:cs="Calibri"/>
          <w:bCs/>
          <w:iCs/>
          <w:color w:val="191919"/>
          <w:sz w:val="22"/>
          <w:szCs w:val="22"/>
          <w:bdr w:val="none" w:sz="0" w:space="0" w:color="auto" w:frame="1"/>
          <w:shd w:val="clear" w:color="auto" w:fill="FFFFFF"/>
        </w:rPr>
        <w:t xml:space="preserve"> ekonomiskā sentimenta rādītāji turpināja uzlaboties arī Latvijas galvenajiem tirdzniecības partneriem, tomēr šie uzlabojumi pagaidām nekorelē ar Latvijas eksporta sniegumu. Kopumā paredzams, ka noskaņojuma rādītājiem sekos arī reāli uzlabojumi e</w:t>
      </w:r>
      <w:r w:rsidR="00D91C96" w:rsidRPr="00362CD2">
        <w:rPr>
          <w:rFonts w:ascii="Calibri" w:hAnsi="Calibri" w:cs="Calibri"/>
          <w:bCs/>
          <w:iCs/>
          <w:color w:val="191919"/>
          <w:sz w:val="22"/>
          <w:szCs w:val="22"/>
          <w:bdr w:val="none" w:sz="0" w:space="0" w:color="auto" w:frame="1"/>
          <w:shd w:val="clear" w:color="auto" w:fill="FFFFFF"/>
        </w:rPr>
        <w:t xml:space="preserve">konomikā, </w:t>
      </w:r>
      <w:r w:rsidRPr="00362CD2">
        <w:rPr>
          <w:rFonts w:ascii="Calibri" w:hAnsi="Calibri" w:cs="Calibri"/>
          <w:bCs/>
          <w:iCs/>
          <w:color w:val="191919"/>
          <w:sz w:val="22"/>
          <w:szCs w:val="22"/>
          <w:bdr w:val="none" w:sz="0" w:space="0" w:color="auto" w:frame="1"/>
          <w:shd w:val="clear" w:color="auto" w:fill="FFFFFF"/>
        </w:rPr>
        <w:t xml:space="preserve">tomēr konjunktūras rādītāji ir ļoti jūtīgi </w:t>
      </w:r>
      <w:proofErr w:type="gramStart"/>
      <w:r w:rsidRPr="00362CD2">
        <w:rPr>
          <w:rFonts w:ascii="Calibri" w:hAnsi="Calibri" w:cs="Calibri"/>
          <w:bCs/>
          <w:iCs/>
          <w:color w:val="191919"/>
          <w:sz w:val="22"/>
          <w:szCs w:val="22"/>
          <w:bdr w:val="none" w:sz="0" w:space="0" w:color="auto" w:frame="1"/>
          <w:shd w:val="clear" w:color="auto" w:fill="FFFFFF"/>
        </w:rPr>
        <w:t>un</w:t>
      </w:r>
      <w:proofErr w:type="gramEnd"/>
      <w:r w:rsidRPr="00362CD2">
        <w:rPr>
          <w:rFonts w:ascii="Calibri" w:hAnsi="Calibri" w:cs="Calibri"/>
          <w:bCs/>
          <w:iCs/>
          <w:color w:val="191919"/>
          <w:sz w:val="22"/>
          <w:szCs w:val="22"/>
          <w:bdr w:val="none" w:sz="0" w:space="0" w:color="auto" w:frame="1"/>
          <w:shd w:val="clear" w:color="auto" w:fill="FFFFFF"/>
        </w:rPr>
        <w:t xml:space="preserve"> pieaugot jauniem Covid-19 ierobežojumu draudiem tie var tik pat strauji kristies.</w:t>
      </w:r>
    </w:p>
    <w:p w14:paraId="12430718" w14:textId="77777777" w:rsidR="004630D3" w:rsidRPr="00D91C96" w:rsidRDefault="004630D3" w:rsidP="004630D3">
      <w:pPr>
        <w:pStyle w:val="ListParagraph"/>
        <w:ind w:left="426" w:hanging="426"/>
        <w:jc w:val="both"/>
        <w:rPr>
          <w:rFonts w:ascii="Calibri" w:hAnsi="Calibri" w:cs="Calibri"/>
          <w:b/>
          <w:bCs/>
          <w:iCs/>
          <w:color w:val="191919"/>
          <w:sz w:val="22"/>
          <w:szCs w:val="22"/>
          <w:bdr w:val="none" w:sz="0" w:space="0" w:color="auto" w:frame="1"/>
          <w:shd w:val="clear" w:color="auto" w:fill="FFFFFF"/>
        </w:rPr>
      </w:pPr>
    </w:p>
    <w:p w14:paraId="1BB25C75" w14:textId="533C783D" w:rsidR="00DB5CF6" w:rsidRPr="00D91C96" w:rsidRDefault="00DB5CF6" w:rsidP="00462E32">
      <w:pPr>
        <w:pStyle w:val="ListParagraph"/>
        <w:numPr>
          <w:ilvl w:val="0"/>
          <w:numId w:val="23"/>
        </w:numPr>
        <w:ind w:left="426" w:hanging="426"/>
        <w:jc w:val="both"/>
        <w:rPr>
          <w:rFonts w:ascii="Calibri" w:hAnsi="Calibri" w:cs="Calibri"/>
          <w:bCs/>
          <w:iCs/>
          <w:color w:val="191919"/>
          <w:sz w:val="22"/>
          <w:szCs w:val="22"/>
          <w:bdr w:val="none" w:sz="0" w:space="0" w:color="auto" w:frame="1"/>
          <w:shd w:val="clear" w:color="auto" w:fill="FFFFFF"/>
        </w:rPr>
      </w:pPr>
      <w:r w:rsidRPr="00D91C96">
        <w:rPr>
          <w:rFonts w:ascii="Calibri" w:hAnsi="Calibri" w:cs="Calibri"/>
          <w:bCs/>
          <w:iCs/>
          <w:color w:val="191919"/>
          <w:sz w:val="22"/>
          <w:szCs w:val="22"/>
          <w:bdr w:val="none" w:sz="0" w:space="0" w:color="auto" w:frame="1"/>
          <w:shd w:val="clear" w:color="auto" w:fill="FFFFFF"/>
        </w:rPr>
        <w:t xml:space="preserve">Augustā minimālu pozitīvu saldo vērtību (1.8%) uzrādīja konfidences rādītājs mazumtirdzniecībā, kamēr uzņēmēju pārliecība būvniecības nozarē atjaunojas vislēnāk. Rūpniecībā iepriekšējos mēnešos konfidences rādītāji pieauga, bet jūlijā </w:t>
      </w:r>
      <w:proofErr w:type="gramStart"/>
      <w:r w:rsidRPr="00D91C96">
        <w:rPr>
          <w:rFonts w:ascii="Calibri" w:hAnsi="Calibri" w:cs="Calibri"/>
          <w:bCs/>
          <w:iCs/>
          <w:color w:val="191919"/>
          <w:sz w:val="22"/>
          <w:szCs w:val="22"/>
          <w:bdr w:val="none" w:sz="0" w:space="0" w:color="auto" w:frame="1"/>
          <w:shd w:val="clear" w:color="auto" w:fill="FFFFFF"/>
        </w:rPr>
        <w:t>un</w:t>
      </w:r>
      <w:proofErr w:type="gramEnd"/>
      <w:r w:rsidRPr="00D91C96">
        <w:rPr>
          <w:rFonts w:ascii="Calibri" w:hAnsi="Calibri" w:cs="Calibri"/>
          <w:bCs/>
          <w:iCs/>
          <w:color w:val="191919"/>
          <w:sz w:val="22"/>
          <w:szCs w:val="22"/>
          <w:bdr w:val="none" w:sz="0" w:space="0" w:color="auto" w:frame="1"/>
          <w:shd w:val="clear" w:color="auto" w:fill="FFFFFF"/>
        </w:rPr>
        <w:t xml:space="preserve"> augustā saldo nostabilizējās ap (-7%). Nepieciešams atzīmēt pozitīvu faktu, ka ilgtermiņa vidējais ekonomikas sentimenta rādītājs (ilgtermiņa vidējais = 100) ir uzlabojies no 87.6 punktiem jūlijā līdz 91 punktam </w:t>
      </w:r>
      <w:proofErr w:type="gramStart"/>
      <w:r w:rsidRPr="00D91C96">
        <w:rPr>
          <w:rFonts w:ascii="Calibri" w:hAnsi="Calibri" w:cs="Calibri"/>
          <w:bCs/>
          <w:iCs/>
          <w:color w:val="191919"/>
          <w:sz w:val="22"/>
          <w:szCs w:val="22"/>
          <w:bdr w:val="none" w:sz="0" w:space="0" w:color="auto" w:frame="1"/>
          <w:shd w:val="clear" w:color="auto" w:fill="FFFFFF"/>
        </w:rPr>
        <w:t>augustā</w:t>
      </w:r>
      <w:proofErr w:type="gramEnd"/>
      <w:r w:rsidRPr="00D91C96">
        <w:rPr>
          <w:rFonts w:ascii="Calibri" w:hAnsi="Calibri" w:cs="Calibri"/>
          <w:bCs/>
          <w:iCs/>
          <w:color w:val="191919"/>
          <w:sz w:val="22"/>
          <w:szCs w:val="22"/>
          <w:bdr w:val="none" w:sz="0" w:space="0" w:color="auto" w:frame="1"/>
          <w:shd w:val="clear" w:color="auto" w:fill="FFFFFF"/>
        </w:rPr>
        <w:t xml:space="preserve">. </w:t>
      </w:r>
    </w:p>
    <w:p w14:paraId="3203705C" w14:textId="4311B24B" w:rsidR="004630D3" w:rsidRPr="004630D3" w:rsidRDefault="004630D3" w:rsidP="004630D3">
      <w:pPr>
        <w:rPr>
          <w:rFonts w:ascii="Calibri" w:hAnsi="Calibri" w:cs="Calibri"/>
          <w:bCs/>
          <w:iCs/>
          <w:color w:val="191919"/>
          <w:sz w:val="20"/>
          <w:bdr w:val="none" w:sz="0" w:space="0" w:color="auto" w:frame="1"/>
          <w:shd w:val="clear" w:color="auto" w:fill="FFFFFF"/>
        </w:rPr>
      </w:pPr>
    </w:p>
    <w:p w14:paraId="2491AFB3" w14:textId="77777777" w:rsidR="00DB5CF6" w:rsidRPr="00670156" w:rsidRDefault="00DB5CF6" w:rsidP="00DB5CF6">
      <w:pPr>
        <w:ind w:hanging="142"/>
      </w:pPr>
      <w:r w:rsidRPr="00670156">
        <w:rPr>
          <w:noProof/>
          <w:sz w:val="20"/>
          <w:lang w:val="lv-LV" w:eastAsia="lv-LV"/>
        </w:rPr>
        <w:drawing>
          <wp:inline distT="0" distB="0" distL="0" distR="0" wp14:anchorId="47B8A7E9" wp14:editId="728ED1DE">
            <wp:extent cx="5274310" cy="2292350"/>
            <wp:effectExtent l="0" t="0" r="0" b="0"/>
            <wp:docPr id="23" name="Chart 23">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40E2C8A" w14:textId="77777777" w:rsidR="00DB5CF6" w:rsidRPr="00644A95" w:rsidRDefault="00DB5CF6" w:rsidP="00DB5CF6">
      <w:pPr>
        <w:rPr>
          <w:rFonts w:ascii="Calibri" w:hAnsi="Calibri" w:cs="Calibri"/>
          <w:b/>
          <w:bCs/>
          <w:i/>
          <w:color w:val="222222"/>
          <w:sz w:val="20"/>
          <w:szCs w:val="20"/>
          <w:lang w:eastAsia="lv-LV"/>
        </w:rPr>
      </w:pPr>
      <w:r w:rsidRPr="00644A95">
        <w:rPr>
          <w:rFonts w:ascii="Calibri" w:hAnsi="Calibri" w:cs="Calibri"/>
          <w:i/>
          <w:sz w:val="20"/>
          <w:szCs w:val="20"/>
        </w:rPr>
        <w:t>Avots CSB [KR020m]</w:t>
      </w:r>
    </w:p>
    <w:p w14:paraId="2ECF5AB0" w14:textId="11DCBC2B" w:rsidR="00DB5CF6" w:rsidRDefault="00644A95" w:rsidP="00DB5CF6">
      <w:pPr>
        <w:rPr>
          <w:rFonts w:ascii="Calibri" w:hAnsi="Calibri" w:cs="Calibri"/>
          <w:bCs/>
          <w:sz w:val="20"/>
          <w:szCs w:val="20"/>
        </w:rPr>
      </w:pPr>
      <w:r>
        <w:rPr>
          <w:rFonts w:ascii="Calibri" w:hAnsi="Calibri" w:cs="Calibri"/>
          <w:b/>
          <w:bCs/>
          <w:sz w:val="20"/>
          <w:szCs w:val="20"/>
        </w:rPr>
        <w:t xml:space="preserve">11. </w:t>
      </w:r>
      <w:proofErr w:type="gramStart"/>
      <w:r>
        <w:rPr>
          <w:rFonts w:ascii="Calibri" w:hAnsi="Calibri" w:cs="Calibri"/>
          <w:b/>
          <w:bCs/>
          <w:sz w:val="20"/>
          <w:szCs w:val="20"/>
        </w:rPr>
        <w:t>a</w:t>
      </w:r>
      <w:r w:rsidR="00DB5CF6" w:rsidRPr="00670156">
        <w:rPr>
          <w:rFonts w:ascii="Calibri" w:hAnsi="Calibri" w:cs="Calibri"/>
          <w:b/>
          <w:bCs/>
          <w:sz w:val="20"/>
          <w:szCs w:val="20"/>
        </w:rPr>
        <w:t>ttēls</w:t>
      </w:r>
      <w:proofErr w:type="gramEnd"/>
      <w:r w:rsidR="00DB5CF6" w:rsidRPr="00670156">
        <w:rPr>
          <w:rFonts w:ascii="Calibri" w:hAnsi="Calibri" w:cs="Calibri"/>
          <w:b/>
          <w:bCs/>
          <w:sz w:val="20"/>
          <w:szCs w:val="20"/>
        </w:rPr>
        <w:t xml:space="preserve">: </w:t>
      </w:r>
      <w:r w:rsidR="00DB5CF6" w:rsidRPr="00670156">
        <w:rPr>
          <w:rFonts w:ascii="Calibri" w:hAnsi="Calibri" w:cs="Calibri"/>
          <w:bCs/>
          <w:sz w:val="20"/>
          <w:szCs w:val="20"/>
        </w:rPr>
        <w:t>Konfidences rādītāji pa nozarēm (saldo, %)</w:t>
      </w:r>
    </w:p>
    <w:p w14:paraId="289A9FEE" w14:textId="77777777" w:rsidR="004630D3" w:rsidRPr="00670156" w:rsidRDefault="004630D3" w:rsidP="00DB5CF6">
      <w:pPr>
        <w:rPr>
          <w:rFonts w:ascii="Calibri" w:hAnsi="Calibri" w:cs="Calibri"/>
          <w:bCs/>
          <w:sz w:val="20"/>
          <w:szCs w:val="20"/>
        </w:rPr>
      </w:pPr>
    </w:p>
    <w:p w14:paraId="63D6E063" w14:textId="43126739" w:rsidR="00DB5CF6" w:rsidRPr="004B0127" w:rsidRDefault="00DB5CF6" w:rsidP="00462E32">
      <w:pPr>
        <w:pStyle w:val="ListParagraph"/>
        <w:numPr>
          <w:ilvl w:val="0"/>
          <w:numId w:val="23"/>
        </w:numPr>
        <w:ind w:left="426" w:hanging="426"/>
        <w:rPr>
          <w:rFonts w:ascii="Calibri" w:hAnsi="Calibri" w:cs="Calibri"/>
          <w:bCs/>
          <w:iCs/>
          <w:color w:val="191919"/>
          <w:sz w:val="22"/>
          <w:szCs w:val="22"/>
          <w:bdr w:val="none" w:sz="0" w:space="0" w:color="auto" w:frame="1"/>
          <w:shd w:val="clear" w:color="auto" w:fill="FFFFFF"/>
        </w:rPr>
      </w:pPr>
      <w:r w:rsidRPr="004B0127">
        <w:rPr>
          <w:rFonts w:ascii="Calibri" w:hAnsi="Calibri" w:cs="Calibri"/>
          <w:bCs/>
          <w:iCs/>
          <w:color w:val="191919"/>
          <w:sz w:val="22"/>
          <w:szCs w:val="22"/>
          <w:bdr w:val="none" w:sz="0" w:space="0" w:color="auto" w:frame="1"/>
          <w:shd w:val="clear" w:color="auto" w:fill="FFFFFF"/>
        </w:rPr>
        <w:t xml:space="preserve">Starp Latvijas tirdzniecības partneriem atzīmējama Vācija, </w:t>
      </w:r>
      <w:proofErr w:type="gramStart"/>
      <w:r w:rsidRPr="004B0127">
        <w:rPr>
          <w:rFonts w:ascii="Calibri" w:hAnsi="Calibri" w:cs="Calibri"/>
          <w:bCs/>
          <w:iCs/>
          <w:color w:val="191919"/>
          <w:sz w:val="22"/>
          <w:szCs w:val="22"/>
          <w:bdr w:val="none" w:sz="0" w:space="0" w:color="auto" w:frame="1"/>
          <w:shd w:val="clear" w:color="auto" w:fill="FFFFFF"/>
        </w:rPr>
        <w:t>kurā</w:t>
      </w:r>
      <w:proofErr w:type="gramEnd"/>
      <w:r w:rsidRPr="004B0127">
        <w:rPr>
          <w:rFonts w:ascii="Calibri" w:hAnsi="Calibri" w:cs="Calibri"/>
          <w:bCs/>
          <w:iCs/>
          <w:color w:val="191919"/>
          <w:sz w:val="22"/>
          <w:szCs w:val="22"/>
          <w:bdr w:val="none" w:sz="0" w:space="0" w:color="auto" w:frame="1"/>
          <w:shd w:val="clear" w:color="auto" w:fill="FFFFFF"/>
        </w:rPr>
        <w:t xml:space="preserve"> sentimenta rādītāji, salīdzinot ar jūliju, uzlabojās par 6 procentpunktiem, kā arī Igaunija (+3.2%p.) un Zviedrija (+2.9%p.). </w:t>
      </w:r>
    </w:p>
    <w:p w14:paraId="55D88C26" w14:textId="77777777" w:rsidR="004630D3" w:rsidRPr="00670156" w:rsidRDefault="004630D3" w:rsidP="00DB5CF6">
      <w:pPr>
        <w:rPr>
          <w:rFonts w:ascii="Calibri" w:hAnsi="Calibri" w:cs="Calibri"/>
          <w:bCs/>
          <w:iCs/>
          <w:color w:val="191919"/>
          <w:sz w:val="20"/>
          <w:bdr w:val="none" w:sz="0" w:space="0" w:color="auto" w:frame="1"/>
          <w:shd w:val="clear" w:color="auto" w:fill="FFFFFF"/>
        </w:rPr>
      </w:pPr>
    </w:p>
    <w:p w14:paraId="456B169F" w14:textId="77777777" w:rsidR="00DB5CF6" w:rsidRPr="00670156" w:rsidRDefault="00DB5CF6" w:rsidP="00DB5CF6">
      <w:pPr>
        <w:rPr>
          <w:rFonts w:ascii="Calibri" w:hAnsi="Calibri" w:cs="Calibri"/>
          <w:bCs/>
          <w:iCs/>
          <w:color w:val="191919"/>
          <w:sz w:val="20"/>
          <w:bdr w:val="none" w:sz="0" w:space="0" w:color="auto" w:frame="1"/>
          <w:shd w:val="clear" w:color="auto" w:fill="FFFFFF"/>
        </w:rPr>
      </w:pPr>
      <w:r w:rsidRPr="00670156">
        <w:rPr>
          <w:noProof/>
          <w:lang w:val="lv-LV" w:eastAsia="lv-LV"/>
        </w:rPr>
        <w:drawing>
          <wp:inline distT="0" distB="0" distL="0" distR="0" wp14:anchorId="50BAA3FE" wp14:editId="23321EDE">
            <wp:extent cx="5274310" cy="2294626"/>
            <wp:effectExtent l="0" t="0" r="2540" b="0"/>
            <wp:docPr id="24" name="Chart 24">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84FB7BD" w14:textId="77777777" w:rsidR="00DB5CF6" w:rsidRPr="00644A95" w:rsidRDefault="00DB5CF6" w:rsidP="00DB5CF6">
      <w:pPr>
        <w:rPr>
          <w:rFonts w:ascii="Calibri" w:hAnsi="Calibri" w:cs="Calibri"/>
          <w:bCs/>
          <w:i/>
          <w:sz w:val="20"/>
          <w:szCs w:val="20"/>
        </w:rPr>
      </w:pPr>
      <w:r w:rsidRPr="00644A95">
        <w:rPr>
          <w:rFonts w:ascii="Calibri" w:hAnsi="Calibri" w:cs="Calibri"/>
          <w:bCs/>
          <w:i/>
          <w:sz w:val="20"/>
          <w:szCs w:val="20"/>
        </w:rPr>
        <w:t>Avots: Eurostat [Code: teibs010]</w:t>
      </w:r>
    </w:p>
    <w:p w14:paraId="6548AFAA" w14:textId="18B02C8E" w:rsidR="00DB5CF6" w:rsidRPr="00670156" w:rsidRDefault="00644A95" w:rsidP="00DB5CF6">
      <w:pPr>
        <w:rPr>
          <w:rFonts w:ascii="Calibri" w:hAnsi="Calibri" w:cs="Calibri"/>
          <w:bCs/>
          <w:sz w:val="20"/>
          <w:szCs w:val="20"/>
        </w:rPr>
      </w:pPr>
      <w:r>
        <w:rPr>
          <w:rFonts w:ascii="Calibri" w:hAnsi="Calibri" w:cs="Calibri"/>
          <w:b/>
          <w:bCs/>
          <w:sz w:val="20"/>
          <w:szCs w:val="20"/>
        </w:rPr>
        <w:t>12</w:t>
      </w:r>
      <w:proofErr w:type="gramStart"/>
      <w:r>
        <w:rPr>
          <w:rFonts w:ascii="Calibri" w:hAnsi="Calibri" w:cs="Calibri"/>
          <w:b/>
          <w:bCs/>
          <w:sz w:val="20"/>
          <w:szCs w:val="20"/>
        </w:rPr>
        <w:t>.a</w:t>
      </w:r>
      <w:r w:rsidR="00DB5CF6" w:rsidRPr="00670156">
        <w:rPr>
          <w:rFonts w:ascii="Calibri" w:hAnsi="Calibri" w:cs="Calibri"/>
          <w:b/>
          <w:bCs/>
          <w:sz w:val="20"/>
          <w:szCs w:val="20"/>
        </w:rPr>
        <w:t>ttēls</w:t>
      </w:r>
      <w:proofErr w:type="gramEnd"/>
      <w:r w:rsidR="00DB5CF6" w:rsidRPr="00670156">
        <w:rPr>
          <w:rFonts w:ascii="Calibri" w:hAnsi="Calibri" w:cs="Calibri"/>
          <w:b/>
          <w:bCs/>
          <w:sz w:val="20"/>
          <w:szCs w:val="20"/>
        </w:rPr>
        <w:t xml:space="preserve">: </w:t>
      </w:r>
      <w:r w:rsidR="00DB5CF6" w:rsidRPr="00670156">
        <w:rPr>
          <w:rFonts w:ascii="Calibri" w:hAnsi="Calibri" w:cs="Calibri"/>
          <w:bCs/>
          <w:sz w:val="20"/>
          <w:szCs w:val="20"/>
        </w:rPr>
        <w:t>Ekonomikas sentimenta rādītāji galvenajiem Latvijas tirdzniecības partneriem</w:t>
      </w:r>
    </w:p>
    <w:p w14:paraId="6CB4ED4D" w14:textId="77777777" w:rsidR="004630D3" w:rsidRDefault="004630D3" w:rsidP="00DB5CF6">
      <w:pPr>
        <w:rPr>
          <w:rFonts w:ascii="Calibri" w:hAnsi="Calibri" w:cs="Calibri"/>
          <w:bCs/>
          <w:iCs/>
          <w:color w:val="191919"/>
          <w:sz w:val="20"/>
          <w:bdr w:val="none" w:sz="0" w:space="0" w:color="auto" w:frame="1"/>
          <w:shd w:val="clear" w:color="auto" w:fill="FFFFFF"/>
        </w:rPr>
      </w:pPr>
    </w:p>
    <w:p w14:paraId="3087FD14" w14:textId="0B7F34B5" w:rsidR="00DB5CF6" w:rsidRPr="004B0127" w:rsidRDefault="00F2200E" w:rsidP="00462E32">
      <w:pPr>
        <w:pStyle w:val="ListParagraph"/>
        <w:numPr>
          <w:ilvl w:val="0"/>
          <w:numId w:val="23"/>
        </w:numPr>
        <w:ind w:left="426" w:hanging="426"/>
        <w:rPr>
          <w:rFonts w:ascii="Calibri" w:hAnsi="Calibri" w:cs="Calibri"/>
          <w:bCs/>
          <w:iCs/>
          <w:color w:val="191919"/>
          <w:sz w:val="22"/>
          <w:szCs w:val="22"/>
          <w:bdr w:val="none" w:sz="0" w:space="0" w:color="auto" w:frame="1"/>
          <w:shd w:val="clear" w:color="auto" w:fill="FFFFFF"/>
        </w:rPr>
      </w:pPr>
      <w:r>
        <w:rPr>
          <w:rFonts w:ascii="Calibri" w:hAnsi="Calibri" w:cs="Calibri"/>
          <w:bCs/>
          <w:iCs/>
          <w:color w:val="191919"/>
          <w:sz w:val="22"/>
          <w:szCs w:val="22"/>
          <w:bdr w:val="none" w:sz="0" w:space="0" w:color="auto" w:frame="1"/>
          <w:shd w:val="clear" w:color="auto" w:fill="FFFFFF"/>
        </w:rPr>
        <w:t>Eu</w:t>
      </w:r>
      <w:r w:rsidR="00DB5CF6" w:rsidRPr="004B0127">
        <w:rPr>
          <w:rFonts w:ascii="Calibri" w:hAnsi="Calibri" w:cs="Calibri"/>
          <w:bCs/>
          <w:iCs/>
          <w:color w:val="191919"/>
          <w:sz w:val="22"/>
          <w:szCs w:val="22"/>
          <w:bdr w:val="none" w:sz="0" w:space="0" w:color="auto" w:frame="1"/>
          <w:shd w:val="clear" w:color="auto" w:fill="FFFFFF"/>
        </w:rPr>
        <w:t xml:space="preserve">rostat dati par Latviju liecina, ka salīdzinājumā ar jūliju, Latvijas sentimenta rādītājs ir kāpis par 3.4 procentpunktiem. </w:t>
      </w:r>
      <w:proofErr w:type="gramStart"/>
      <w:r w:rsidR="00DB5CF6" w:rsidRPr="004B0127">
        <w:rPr>
          <w:rFonts w:ascii="Calibri" w:hAnsi="Calibri" w:cs="Calibri"/>
          <w:bCs/>
          <w:iCs/>
          <w:color w:val="191919"/>
          <w:sz w:val="22"/>
          <w:szCs w:val="22"/>
          <w:bdr w:val="none" w:sz="0" w:space="0" w:color="auto" w:frame="1"/>
          <w:shd w:val="clear" w:color="auto" w:fill="FFFFFF"/>
        </w:rPr>
        <w:t>Tā</w:t>
      </w:r>
      <w:proofErr w:type="gramEnd"/>
      <w:r w:rsidR="00DB5CF6" w:rsidRPr="004B0127">
        <w:rPr>
          <w:rFonts w:ascii="Calibri" w:hAnsi="Calibri" w:cs="Calibri"/>
          <w:bCs/>
          <w:iCs/>
          <w:color w:val="191919"/>
          <w:sz w:val="22"/>
          <w:szCs w:val="22"/>
          <w:bdr w:val="none" w:sz="0" w:space="0" w:color="auto" w:frame="1"/>
          <w:shd w:val="clear" w:color="auto" w:fill="FFFFFF"/>
        </w:rPr>
        <w:t xml:space="preserve"> kā Latvijas ekonomikas </w:t>
      </w:r>
      <w:r w:rsidR="004B0127">
        <w:rPr>
          <w:rFonts w:ascii="Calibri" w:hAnsi="Calibri" w:cs="Calibri"/>
          <w:bCs/>
          <w:iCs/>
          <w:color w:val="191919"/>
          <w:sz w:val="22"/>
          <w:szCs w:val="22"/>
          <w:bdr w:val="none" w:sz="0" w:space="0" w:color="auto" w:frame="1"/>
          <w:shd w:val="clear" w:color="auto" w:fill="FFFFFF"/>
        </w:rPr>
        <w:t xml:space="preserve">atkopšanās ir ļoti atkarīga no </w:t>
      </w:r>
      <w:r w:rsidR="00DB5CF6" w:rsidRPr="004B0127">
        <w:rPr>
          <w:rFonts w:ascii="Calibri" w:hAnsi="Calibri" w:cs="Calibri"/>
          <w:bCs/>
          <w:iCs/>
          <w:color w:val="191919"/>
          <w:sz w:val="22"/>
          <w:szCs w:val="22"/>
          <w:bdr w:val="none" w:sz="0" w:space="0" w:color="auto" w:frame="1"/>
          <w:shd w:val="clear" w:color="auto" w:fill="FFFFFF"/>
        </w:rPr>
        <w:t xml:space="preserve">ārējo tirdzniecības partneru stabilizācijas, šis ir pozitīvs signāls. </w:t>
      </w:r>
    </w:p>
    <w:p w14:paraId="6C04A674" w14:textId="77777777" w:rsidR="00DB5CF6" w:rsidRPr="004B0127" w:rsidRDefault="00DB5CF6" w:rsidP="004630D3">
      <w:pPr>
        <w:ind w:left="426"/>
        <w:rPr>
          <w:rFonts w:ascii="Calibri" w:hAnsi="Calibri" w:cs="Calibri"/>
          <w:b/>
          <w:bCs/>
          <w:iCs/>
          <w:color w:val="191919"/>
          <w:sz w:val="22"/>
          <w:szCs w:val="22"/>
          <w:bdr w:val="none" w:sz="0" w:space="0" w:color="auto" w:frame="1"/>
          <w:shd w:val="clear" w:color="auto" w:fill="FFFFFF"/>
        </w:rPr>
      </w:pPr>
    </w:p>
    <w:p w14:paraId="292E632E" w14:textId="43090A28" w:rsidR="00DB5CF6" w:rsidRPr="004B0127" w:rsidRDefault="00DB5CF6" w:rsidP="00462E32">
      <w:pPr>
        <w:pStyle w:val="ListParagraph"/>
        <w:numPr>
          <w:ilvl w:val="0"/>
          <w:numId w:val="23"/>
        </w:numPr>
        <w:ind w:left="426"/>
        <w:jc w:val="both"/>
        <w:rPr>
          <w:rStyle w:val="Emphasis"/>
          <w:rFonts w:ascii="Calibri" w:hAnsi="Calibri" w:cs="Calibri"/>
          <w:i w:val="0"/>
          <w:color w:val="191919"/>
          <w:sz w:val="22"/>
          <w:szCs w:val="22"/>
          <w:bdr w:val="none" w:sz="0" w:space="0" w:color="auto" w:frame="1"/>
          <w:shd w:val="clear" w:color="auto" w:fill="FFFFFF"/>
        </w:rPr>
      </w:pPr>
      <w:r w:rsidRPr="004B0127">
        <w:rPr>
          <w:rStyle w:val="Emphasis"/>
          <w:rFonts w:ascii="Calibri" w:hAnsi="Calibri" w:cs="Calibri"/>
          <w:b/>
          <w:i w:val="0"/>
          <w:color w:val="191919"/>
          <w:sz w:val="22"/>
          <w:szCs w:val="22"/>
          <w:bdr w:val="none" w:sz="0" w:space="0" w:color="auto" w:frame="1"/>
          <w:shd w:val="clear" w:color="auto" w:fill="FFFFFF"/>
        </w:rPr>
        <w:t>Rūpniecībā</w:t>
      </w:r>
      <w:r w:rsidRPr="004B0127">
        <w:rPr>
          <w:rStyle w:val="Emphasis"/>
          <w:rFonts w:ascii="Calibri" w:hAnsi="Calibri" w:cs="Calibri"/>
          <w:i w:val="0"/>
          <w:color w:val="191919"/>
          <w:sz w:val="22"/>
          <w:szCs w:val="22"/>
          <w:bdr w:val="none" w:sz="0" w:space="0" w:color="auto" w:frame="1"/>
          <w:shd w:val="clear" w:color="auto" w:fill="FFFFFF"/>
        </w:rPr>
        <w:t xml:space="preserve"> kopš 2020. </w:t>
      </w:r>
      <w:proofErr w:type="gramStart"/>
      <w:r w:rsidRPr="004B0127">
        <w:rPr>
          <w:rStyle w:val="Emphasis"/>
          <w:rFonts w:ascii="Calibri" w:hAnsi="Calibri" w:cs="Calibri"/>
          <w:i w:val="0"/>
          <w:color w:val="191919"/>
          <w:sz w:val="22"/>
          <w:szCs w:val="22"/>
          <w:bdr w:val="none" w:sz="0" w:space="0" w:color="auto" w:frame="1"/>
          <w:shd w:val="clear" w:color="auto" w:fill="FFFFFF"/>
        </w:rPr>
        <w:t>gada</w:t>
      </w:r>
      <w:proofErr w:type="gramEnd"/>
      <w:r w:rsidRPr="004B0127">
        <w:rPr>
          <w:rStyle w:val="Emphasis"/>
          <w:rFonts w:ascii="Calibri" w:hAnsi="Calibri" w:cs="Calibri"/>
          <w:i w:val="0"/>
          <w:color w:val="191919"/>
          <w:sz w:val="22"/>
          <w:szCs w:val="22"/>
          <w:bdr w:val="none" w:sz="0" w:space="0" w:color="auto" w:frame="1"/>
          <w:shd w:val="clear" w:color="auto" w:fill="FFFFFF"/>
        </w:rPr>
        <w:t xml:space="preserve"> sākuma novērojama produkcijas apjomu samazināšanās, kas no gada sākuma līdz jūlijam sasniedza (-3.2%) kritumu. Īpaši ir jāatzīmē apjomu samazinājums apstrādes rūpniecībā </w:t>
      </w:r>
      <w:proofErr w:type="gramStart"/>
      <w:r w:rsidRPr="004B0127">
        <w:rPr>
          <w:rStyle w:val="Emphasis"/>
          <w:rFonts w:ascii="Calibri" w:hAnsi="Calibri" w:cs="Calibri"/>
          <w:i w:val="0"/>
          <w:color w:val="191919"/>
          <w:sz w:val="22"/>
          <w:szCs w:val="22"/>
          <w:bdr w:val="none" w:sz="0" w:space="0" w:color="auto" w:frame="1"/>
          <w:shd w:val="clear" w:color="auto" w:fill="FFFFFF"/>
        </w:rPr>
        <w:t>un</w:t>
      </w:r>
      <w:proofErr w:type="gramEnd"/>
      <w:r w:rsidRPr="004B0127">
        <w:rPr>
          <w:rStyle w:val="Emphasis"/>
          <w:rFonts w:ascii="Calibri" w:hAnsi="Calibri" w:cs="Calibri"/>
          <w:i w:val="0"/>
          <w:color w:val="191919"/>
          <w:sz w:val="22"/>
          <w:szCs w:val="22"/>
          <w:bdr w:val="none" w:sz="0" w:space="0" w:color="auto" w:frame="1"/>
          <w:shd w:val="clear" w:color="auto" w:fill="FFFFFF"/>
        </w:rPr>
        <w:t xml:space="preserve"> elektroenerģijas un gāzes apgādes nozarē, kas </w:t>
      </w:r>
      <w:r w:rsidRPr="004B0127">
        <w:rPr>
          <w:rStyle w:val="Emphasis"/>
          <w:rFonts w:ascii="Calibri" w:hAnsi="Calibri" w:cs="Calibri"/>
          <w:i w:val="0"/>
          <w:color w:val="191919"/>
          <w:sz w:val="22"/>
          <w:szCs w:val="22"/>
          <w:bdr w:val="none" w:sz="0" w:space="0" w:color="auto" w:frame="1"/>
          <w:shd w:val="clear" w:color="auto" w:fill="FFFFFF"/>
        </w:rPr>
        <w:lastRenderedPageBreak/>
        <w:t xml:space="preserve">kopš gada sākum jūlijā uzrādīja (-3.5%) kritumu, savukārt ieguves rūpniecība jūlijā uzrādīja (+4.9%) pieaugumu. </w:t>
      </w:r>
    </w:p>
    <w:p w14:paraId="739F9E78" w14:textId="77777777" w:rsidR="00DB5CF6" w:rsidRPr="00336BF6" w:rsidRDefault="00DB5CF6" w:rsidP="00DB5CF6">
      <w:pPr>
        <w:rPr>
          <w:rStyle w:val="Emphasis"/>
          <w:rFonts w:ascii="Calibri" w:hAnsi="Calibri" w:cs="Calibri"/>
          <w:i w:val="0"/>
          <w:color w:val="191919"/>
          <w:sz w:val="22"/>
          <w:bdr w:val="none" w:sz="0" w:space="0" w:color="auto" w:frame="1"/>
          <w:shd w:val="clear" w:color="auto" w:fill="FFFFFF"/>
        </w:rPr>
      </w:pPr>
      <w:r w:rsidRPr="00336BF6">
        <w:rPr>
          <w:rFonts w:ascii="Calibri" w:hAnsi="Calibri" w:cs="Calibri"/>
          <w:noProof/>
          <w:lang w:val="lv-LV" w:eastAsia="lv-LV"/>
        </w:rPr>
        <w:drawing>
          <wp:inline distT="0" distB="0" distL="0" distR="0" wp14:anchorId="54D6EB16" wp14:editId="54058CEC">
            <wp:extent cx="5242560" cy="22860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D8F5BBA" w14:textId="77777777" w:rsidR="00DB5CF6" w:rsidRPr="00644A95" w:rsidRDefault="00DB5CF6" w:rsidP="00DB5CF6">
      <w:pPr>
        <w:rPr>
          <w:rFonts w:ascii="Calibri" w:hAnsi="Calibri" w:cs="Calibri"/>
          <w:b/>
          <w:bCs/>
          <w:i/>
          <w:color w:val="222222"/>
          <w:sz w:val="20"/>
          <w:szCs w:val="20"/>
          <w:lang w:eastAsia="lv-LV"/>
        </w:rPr>
      </w:pPr>
      <w:r w:rsidRPr="00644A95">
        <w:rPr>
          <w:rFonts w:ascii="Calibri" w:hAnsi="Calibri" w:cs="Calibri"/>
          <w:i/>
          <w:sz w:val="20"/>
          <w:szCs w:val="20"/>
        </w:rPr>
        <w:t>Avots CSB [</w:t>
      </w:r>
      <w:r w:rsidRPr="00644A95">
        <w:rPr>
          <w:rFonts w:ascii="Calibri" w:hAnsi="Calibri" w:cs="Calibri"/>
          <w:bCs/>
          <w:i/>
          <w:color w:val="222222"/>
          <w:sz w:val="20"/>
          <w:szCs w:val="20"/>
          <w:lang w:eastAsia="lv-LV"/>
        </w:rPr>
        <w:t>RU030m</w:t>
      </w:r>
      <w:r w:rsidRPr="00644A95">
        <w:rPr>
          <w:rFonts w:ascii="Calibri" w:hAnsi="Calibri" w:cs="Calibri"/>
          <w:i/>
          <w:sz w:val="20"/>
          <w:szCs w:val="20"/>
        </w:rPr>
        <w:t>]</w:t>
      </w:r>
    </w:p>
    <w:p w14:paraId="0FBECB69" w14:textId="6F2D5D85" w:rsidR="00DB5CF6" w:rsidRPr="00336BF6" w:rsidRDefault="00644A95" w:rsidP="00DB5CF6">
      <w:pPr>
        <w:rPr>
          <w:rFonts w:ascii="Calibri" w:hAnsi="Calibri" w:cs="Calibri"/>
          <w:sz w:val="20"/>
          <w:szCs w:val="20"/>
        </w:rPr>
      </w:pPr>
      <w:r>
        <w:rPr>
          <w:rFonts w:ascii="Calibri" w:hAnsi="Calibri" w:cs="Calibri"/>
          <w:b/>
          <w:bCs/>
          <w:sz w:val="20"/>
          <w:szCs w:val="20"/>
        </w:rPr>
        <w:t xml:space="preserve">13. </w:t>
      </w:r>
      <w:proofErr w:type="gramStart"/>
      <w:r>
        <w:rPr>
          <w:rFonts w:ascii="Calibri" w:hAnsi="Calibri" w:cs="Calibri"/>
          <w:b/>
          <w:bCs/>
          <w:sz w:val="20"/>
          <w:szCs w:val="20"/>
        </w:rPr>
        <w:t>attēls</w:t>
      </w:r>
      <w:proofErr w:type="gramEnd"/>
      <w:r>
        <w:rPr>
          <w:rFonts w:ascii="Calibri" w:hAnsi="Calibri" w:cs="Calibri"/>
          <w:b/>
          <w:bCs/>
          <w:sz w:val="20"/>
          <w:szCs w:val="20"/>
        </w:rPr>
        <w:t>:</w:t>
      </w:r>
      <w:r w:rsidR="00DB5CF6" w:rsidRPr="00336BF6">
        <w:rPr>
          <w:rFonts w:ascii="Calibri" w:hAnsi="Calibri" w:cs="Calibri"/>
          <w:b/>
          <w:bCs/>
          <w:sz w:val="20"/>
          <w:szCs w:val="20"/>
        </w:rPr>
        <w:t xml:space="preserve"> </w:t>
      </w:r>
      <w:r w:rsidR="00DB5CF6" w:rsidRPr="00336BF6">
        <w:rPr>
          <w:rFonts w:ascii="Calibri" w:hAnsi="Calibri" w:cs="Calibri"/>
          <w:bCs/>
          <w:sz w:val="20"/>
          <w:szCs w:val="20"/>
        </w:rPr>
        <w:t xml:space="preserve">Rūpniecības produkcijas apjoma dinamika nozarēs </w:t>
      </w:r>
      <w:r w:rsidR="00DB5CF6" w:rsidRPr="00336BF6">
        <w:rPr>
          <w:rFonts w:ascii="Calibri" w:hAnsi="Calibri" w:cs="Calibri"/>
          <w:sz w:val="20"/>
          <w:szCs w:val="20"/>
        </w:rPr>
        <w:t xml:space="preserve"> </w:t>
      </w:r>
      <w:r w:rsidR="00DB5CF6" w:rsidRPr="00336BF6">
        <w:rPr>
          <w:rFonts w:ascii="Calibri" w:hAnsi="Calibri" w:cs="Calibri"/>
          <w:bCs/>
          <w:sz w:val="20"/>
          <w:szCs w:val="20"/>
        </w:rPr>
        <w:t>(no gada sākuma), kalendāri izlīdzināti dati</w:t>
      </w:r>
      <w:r w:rsidR="00DB5CF6" w:rsidRPr="00336BF6">
        <w:rPr>
          <w:rFonts w:ascii="Calibri" w:hAnsi="Calibri" w:cs="Calibri"/>
          <w:sz w:val="20"/>
          <w:szCs w:val="20"/>
        </w:rPr>
        <w:t xml:space="preserve"> </w:t>
      </w:r>
    </w:p>
    <w:p w14:paraId="1A0CF3DC" w14:textId="77777777" w:rsidR="004630D3" w:rsidRDefault="004630D3" w:rsidP="00DB5CF6">
      <w:pPr>
        <w:rPr>
          <w:rFonts w:ascii="Calibri" w:hAnsi="Calibri" w:cs="Calibri"/>
          <w:b/>
          <w:bCs/>
          <w:iCs/>
          <w:color w:val="191919"/>
          <w:sz w:val="22"/>
          <w:bdr w:val="none" w:sz="0" w:space="0" w:color="auto" w:frame="1"/>
          <w:shd w:val="clear" w:color="auto" w:fill="FFFFFF"/>
        </w:rPr>
      </w:pPr>
    </w:p>
    <w:p w14:paraId="5AECF7F1" w14:textId="4FF0B63F" w:rsidR="00DB5CF6" w:rsidRPr="004630D3" w:rsidRDefault="00DB5CF6" w:rsidP="00E80565">
      <w:pPr>
        <w:pStyle w:val="ListParagraph"/>
        <w:numPr>
          <w:ilvl w:val="0"/>
          <w:numId w:val="23"/>
        </w:numPr>
        <w:ind w:left="426" w:hanging="426"/>
        <w:jc w:val="both"/>
        <w:rPr>
          <w:rStyle w:val="Emphasis"/>
          <w:rFonts w:ascii="Calibri" w:hAnsi="Calibri" w:cs="Calibri"/>
          <w:i w:val="0"/>
          <w:color w:val="191919"/>
          <w:sz w:val="22"/>
          <w:bdr w:val="none" w:sz="0" w:space="0" w:color="auto" w:frame="1"/>
          <w:shd w:val="clear" w:color="auto" w:fill="FFFFFF"/>
        </w:rPr>
      </w:pPr>
      <w:r w:rsidRPr="004630D3">
        <w:rPr>
          <w:rFonts w:ascii="Calibri" w:hAnsi="Calibri" w:cs="Calibri"/>
          <w:b/>
          <w:bCs/>
          <w:iCs/>
          <w:color w:val="191919"/>
          <w:sz w:val="22"/>
          <w:bdr w:val="none" w:sz="0" w:space="0" w:color="auto" w:frame="1"/>
          <w:shd w:val="clear" w:color="auto" w:fill="FFFFFF"/>
        </w:rPr>
        <w:t>Apstrādes rūpniecības nozarēs bija novērojama ražošanas apjomu krišanās, kas saistīta gan ar Covid-19 efektiem, gan arī ar iepriekšējā gadā sākušos tautsaimnie</w:t>
      </w:r>
      <w:r w:rsidR="004630D3" w:rsidRPr="004630D3">
        <w:rPr>
          <w:rFonts w:ascii="Calibri" w:hAnsi="Calibri" w:cs="Calibri"/>
          <w:b/>
          <w:bCs/>
          <w:iCs/>
          <w:color w:val="191919"/>
          <w:sz w:val="22"/>
          <w:bdr w:val="none" w:sz="0" w:space="0" w:color="auto" w:frame="1"/>
          <w:shd w:val="clear" w:color="auto" w:fill="FFFFFF"/>
        </w:rPr>
        <w:t xml:space="preserve">cības izaugsmes sabremzēšanos.  </w:t>
      </w:r>
      <w:r w:rsidRPr="004630D3">
        <w:rPr>
          <w:rStyle w:val="Emphasis"/>
          <w:rFonts w:ascii="Calibri" w:hAnsi="Calibri" w:cs="Calibri"/>
          <w:i w:val="0"/>
          <w:color w:val="191919"/>
          <w:sz w:val="22"/>
          <w:bdr w:val="none" w:sz="0" w:space="0" w:color="auto" w:frame="1"/>
          <w:shd w:val="clear" w:color="auto" w:fill="FFFFFF"/>
        </w:rPr>
        <w:t xml:space="preserve">Apskatot rūpniecības produkcijas apjoma indeksu dinamiku kopš 2019. </w:t>
      </w:r>
      <w:proofErr w:type="gramStart"/>
      <w:r w:rsidRPr="004630D3">
        <w:rPr>
          <w:rStyle w:val="Emphasis"/>
          <w:rFonts w:ascii="Calibri" w:hAnsi="Calibri" w:cs="Calibri"/>
          <w:i w:val="0"/>
          <w:color w:val="191919"/>
          <w:sz w:val="22"/>
          <w:bdr w:val="none" w:sz="0" w:space="0" w:color="auto" w:frame="1"/>
          <w:shd w:val="clear" w:color="auto" w:fill="FFFFFF"/>
        </w:rPr>
        <w:t>gada</w:t>
      </w:r>
      <w:proofErr w:type="gramEnd"/>
      <w:r w:rsidRPr="004630D3">
        <w:rPr>
          <w:rStyle w:val="Emphasis"/>
          <w:rFonts w:ascii="Calibri" w:hAnsi="Calibri" w:cs="Calibri"/>
          <w:i w:val="0"/>
          <w:color w:val="191919"/>
          <w:sz w:val="22"/>
          <w:bdr w:val="none" w:sz="0" w:space="0" w:color="auto" w:frame="1"/>
          <w:shd w:val="clear" w:color="auto" w:fill="FFFFFF"/>
        </w:rPr>
        <w:t xml:space="preserve"> sākuma (2019M1- 2020M7), redzama pakāpeniska ražošanas aktivitātes samazināšanās, kas kopumā izskaidrojama ar Covid-19 uzliesmojuma iespaidu. Tomēr dažādu produkcijas veidu ražošanas aktivitāte ir bijusi atšķirīga. Piemēram, Covid-19 ierobežojumu periodā (īpaši aprīlī) ir strauji kritusies pārtikas, dzērienu </w:t>
      </w:r>
      <w:proofErr w:type="gramStart"/>
      <w:r w:rsidRPr="004630D3">
        <w:rPr>
          <w:rStyle w:val="Emphasis"/>
          <w:rFonts w:ascii="Calibri" w:hAnsi="Calibri" w:cs="Calibri"/>
          <w:i w:val="0"/>
          <w:color w:val="191919"/>
          <w:sz w:val="22"/>
          <w:bdr w:val="none" w:sz="0" w:space="0" w:color="auto" w:frame="1"/>
          <w:shd w:val="clear" w:color="auto" w:fill="FFFFFF"/>
        </w:rPr>
        <w:t>un</w:t>
      </w:r>
      <w:proofErr w:type="gramEnd"/>
      <w:r w:rsidRPr="004630D3">
        <w:rPr>
          <w:rStyle w:val="Emphasis"/>
          <w:rFonts w:ascii="Calibri" w:hAnsi="Calibri" w:cs="Calibri"/>
          <w:i w:val="0"/>
          <w:color w:val="191919"/>
          <w:sz w:val="22"/>
          <w:bdr w:val="none" w:sz="0" w:space="0" w:color="auto" w:frame="1"/>
          <w:shd w:val="clear" w:color="auto" w:fill="FFFFFF"/>
        </w:rPr>
        <w:t xml:space="preserve"> apģērbu produkcijas ražošana, kas bija pietiekami aktīva visa gada griezumā un īpaši 2020. </w:t>
      </w:r>
      <w:proofErr w:type="gramStart"/>
      <w:r w:rsidRPr="004630D3">
        <w:rPr>
          <w:rStyle w:val="Emphasis"/>
          <w:rFonts w:ascii="Calibri" w:hAnsi="Calibri" w:cs="Calibri"/>
          <w:i w:val="0"/>
          <w:color w:val="191919"/>
          <w:sz w:val="22"/>
          <w:bdr w:val="none" w:sz="0" w:space="0" w:color="auto" w:frame="1"/>
          <w:shd w:val="clear" w:color="auto" w:fill="FFFFFF"/>
        </w:rPr>
        <w:t>gada</w:t>
      </w:r>
      <w:proofErr w:type="gramEnd"/>
      <w:r w:rsidRPr="004630D3">
        <w:rPr>
          <w:rStyle w:val="Emphasis"/>
          <w:rFonts w:ascii="Calibri" w:hAnsi="Calibri" w:cs="Calibri"/>
          <w:i w:val="0"/>
          <w:color w:val="191919"/>
          <w:sz w:val="22"/>
          <w:bdr w:val="none" w:sz="0" w:space="0" w:color="auto" w:frame="1"/>
          <w:shd w:val="clear" w:color="auto" w:fill="FFFFFF"/>
        </w:rPr>
        <w:t xml:space="preserve"> sākumā. </w:t>
      </w:r>
      <w:proofErr w:type="gramStart"/>
      <w:r w:rsidRPr="004630D3">
        <w:rPr>
          <w:rStyle w:val="Emphasis"/>
          <w:rFonts w:ascii="Calibri" w:hAnsi="Calibri" w:cs="Calibri"/>
          <w:i w:val="0"/>
          <w:color w:val="191919"/>
          <w:sz w:val="22"/>
          <w:bdr w:val="none" w:sz="0" w:space="0" w:color="auto" w:frame="1"/>
          <w:shd w:val="clear" w:color="auto" w:fill="FFFFFF"/>
        </w:rPr>
        <w:t>Tas</w:t>
      </w:r>
      <w:proofErr w:type="gramEnd"/>
      <w:r w:rsidRPr="004630D3">
        <w:rPr>
          <w:rStyle w:val="Emphasis"/>
          <w:rFonts w:ascii="Calibri" w:hAnsi="Calibri" w:cs="Calibri"/>
          <w:i w:val="0"/>
          <w:color w:val="191919"/>
          <w:sz w:val="22"/>
          <w:bdr w:val="none" w:sz="0" w:space="0" w:color="auto" w:frame="1"/>
          <w:shd w:val="clear" w:color="auto" w:fill="FFFFFF"/>
        </w:rPr>
        <w:t xml:space="preserve"> skaidrojams ar tirgus piesātināšanos februārī un martā, kad bija vērojams augsts pieprasījums tieši pārtikas produkcijas segmentā. Pārtikas produktu ražošana īpaši strauji pieauga </w:t>
      </w:r>
      <w:proofErr w:type="gramStart"/>
      <w:r w:rsidRPr="004630D3">
        <w:rPr>
          <w:rStyle w:val="Emphasis"/>
          <w:rFonts w:ascii="Calibri" w:hAnsi="Calibri" w:cs="Calibri"/>
          <w:i w:val="0"/>
          <w:color w:val="191919"/>
          <w:sz w:val="22"/>
          <w:bdr w:val="none" w:sz="0" w:space="0" w:color="auto" w:frame="1"/>
          <w:shd w:val="clear" w:color="auto" w:fill="FFFFFF"/>
        </w:rPr>
        <w:t>martā</w:t>
      </w:r>
      <w:proofErr w:type="gramEnd"/>
      <w:r w:rsidRPr="004630D3">
        <w:rPr>
          <w:rStyle w:val="Emphasis"/>
          <w:rFonts w:ascii="Calibri" w:hAnsi="Calibri" w:cs="Calibri"/>
          <w:i w:val="0"/>
          <w:color w:val="191919"/>
          <w:sz w:val="22"/>
          <w:bdr w:val="none" w:sz="0" w:space="0" w:color="auto" w:frame="1"/>
          <w:shd w:val="clear" w:color="auto" w:fill="FFFFFF"/>
        </w:rPr>
        <w:t xml:space="preserve">, bet jau aprīlī strauji samazinājās. Pakāpenisku ražošanas apjoma samazināšanos </w:t>
      </w:r>
      <w:proofErr w:type="gramStart"/>
      <w:r w:rsidRPr="004630D3">
        <w:rPr>
          <w:rStyle w:val="Emphasis"/>
          <w:rFonts w:ascii="Calibri" w:hAnsi="Calibri" w:cs="Calibri"/>
          <w:i w:val="0"/>
          <w:color w:val="191919"/>
          <w:sz w:val="22"/>
          <w:bdr w:val="none" w:sz="0" w:space="0" w:color="auto" w:frame="1"/>
          <w:shd w:val="clear" w:color="auto" w:fill="FFFFFF"/>
        </w:rPr>
        <w:t>martā</w:t>
      </w:r>
      <w:proofErr w:type="gramEnd"/>
      <w:r w:rsidRPr="004630D3">
        <w:rPr>
          <w:rStyle w:val="Emphasis"/>
          <w:rFonts w:ascii="Calibri" w:hAnsi="Calibri" w:cs="Calibri"/>
          <w:i w:val="0"/>
          <w:color w:val="191919"/>
          <w:sz w:val="22"/>
          <w:bdr w:val="none" w:sz="0" w:space="0" w:color="auto" w:frame="1"/>
          <w:shd w:val="clear" w:color="auto" w:fill="FFFFFF"/>
        </w:rPr>
        <w:t xml:space="preserve"> un aprīlī varēja novērot ādas, tekstila, metāla un metāla izstrādājumu ražošanā, kā arī datoru un optisko iekārtu ražošanā.</w:t>
      </w:r>
    </w:p>
    <w:p w14:paraId="77B288A4" w14:textId="77777777" w:rsidR="004630D3" w:rsidRPr="004630D3" w:rsidRDefault="004630D3" w:rsidP="00E80565">
      <w:pPr>
        <w:ind w:left="426" w:hanging="426"/>
        <w:rPr>
          <w:rStyle w:val="Emphasis"/>
          <w:rFonts w:ascii="Calibri" w:hAnsi="Calibri" w:cs="Calibri"/>
          <w:b/>
          <w:bCs/>
          <w:i w:val="0"/>
          <w:color w:val="191919"/>
          <w:sz w:val="22"/>
          <w:bdr w:val="none" w:sz="0" w:space="0" w:color="auto" w:frame="1"/>
          <w:shd w:val="clear" w:color="auto" w:fill="FFFFFF"/>
        </w:rPr>
      </w:pPr>
    </w:p>
    <w:p w14:paraId="6079D22E" w14:textId="70645805" w:rsidR="00DB5CF6" w:rsidRPr="004630D3" w:rsidRDefault="00DB5CF6" w:rsidP="00E80565">
      <w:pPr>
        <w:pStyle w:val="ListParagraph"/>
        <w:numPr>
          <w:ilvl w:val="0"/>
          <w:numId w:val="23"/>
        </w:numPr>
        <w:ind w:left="426" w:hanging="426"/>
        <w:jc w:val="both"/>
        <w:rPr>
          <w:rStyle w:val="Emphasis"/>
          <w:rFonts w:ascii="Calibri" w:hAnsi="Calibri" w:cs="Calibri"/>
          <w:b/>
          <w:i w:val="0"/>
          <w:color w:val="191919"/>
          <w:sz w:val="22"/>
          <w:bdr w:val="none" w:sz="0" w:space="0" w:color="auto" w:frame="1"/>
          <w:shd w:val="clear" w:color="auto" w:fill="FFFFFF"/>
        </w:rPr>
      </w:pPr>
      <w:r w:rsidRPr="004630D3">
        <w:rPr>
          <w:rStyle w:val="Emphasis"/>
          <w:rFonts w:ascii="Calibri" w:hAnsi="Calibri" w:cs="Calibri"/>
          <w:b/>
          <w:i w:val="0"/>
          <w:color w:val="191919"/>
          <w:sz w:val="22"/>
          <w:bdr w:val="none" w:sz="0" w:space="0" w:color="auto" w:frame="1"/>
          <w:shd w:val="clear" w:color="auto" w:fill="FFFFFF"/>
        </w:rPr>
        <w:t xml:space="preserve">Jau kopš 2019. </w:t>
      </w:r>
      <w:proofErr w:type="gramStart"/>
      <w:r w:rsidRPr="004630D3">
        <w:rPr>
          <w:rStyle w:val="Emphasis"/>
          <w:rFonts w:ascii="Calibri" w:hAnsi="Calibri" w:cs="Calibri"/>
          <w:b/>
          <w:i w:val="0"/>
          <w:color w:val="191919"/>
          <w:sz w:val="22"/>
          <w:bdr w:val="none" w:sz="0" w:space="0" w:color="auto" w:frame="1"/>
          <w:shd w:val="clear" w:color="auto" w:fill="FFFFFF"/>
        </w:rPr>
        <w:t>gada</w:t>
      </w:r>
      <w:proofErr w:type="gramEnd"/>
      <w:r w:rsidRPr="004630D3">
        <w:rPr>
          <w:rStyle w:val="Emphasis"/>
          <w:rFonts w:ascii="Calibri" w:hAnsi="Calibri" w:cs="Calibri"/>
          <w:b/>
          <w:i w:val="0"/>
          <w:color w:val="191919"/>
          <w:sz w:val="22"/>
          <w:bdr w:val="none" w:sz="0" w:space="0" w:color="auto" w:frame="1"/>
          <w:shd w:val="clear" w:color="auto" w:fill="FFFFFF"/>
        </w:rPr>
        <w:t xml:space="preserve">, un jo īpaši kopš 2020. </w:t>
      </w:r>
      <w:proofErr w:type="gramStart"/>
      <w:r w:rsidRPr="004630D3">
        <w:rPr>
          <w:rStyle w:val="Emphasis"/>
          <w:rFonts w:ascii="Calibri" w:hAnsi="Calibri" w:cs="Calibri"/>
          <w:b/>
          <w:i w:val="0"/>
          <w:color w:val="191919"/>
          <w:sz w:val="22"/>
          <w:bdr w:val="none" w:sz="0" w:space="0" w:color="auto" w:frame="1"/>
          <w:shd w:val="clear" w:color="auto" w:fill="FFFFFF"/>
        </w:rPr>
        <w:t>gada</w:t>
      </w:r>
      <w:proofErr w:type="gramEnd"/>
      <w:r w:rsidRPr="004630D3">
        <w:rPr>
          <w:rStyle w:val="Emphasis"/>
          <w:rFonts w:ascii="Calibri" w:hAnsi="Calibri" w:cs="Calibri"/>
          <w:b/>
          <w:i w:val="0"/>
          <w:color w:val="191919"/>
          <w:sz w:val="22"/>
          <w:bdr w:val="none" w:sz="0" w:space="0" w:color="auto" w:frame="1"/>
          <w:shd w:val="clear" w:color="auto" w:fill="FFFFFF"/>
        </w:rPr>
        <w:t xml:space="preserve"> sākuma, pastāvīgi samazinājās elektrisko iekārtu un citu iekārtu ražošana, automobiļu, piekabju un puspiekabju ražošana, iekārtu remonts un uzstādīšana, kā arī koksnes un koka izstrādājumu ražošana. Kopumā ražošanas apjoma kritumu šajās nozarēs noteica, gan iepriekšējā gada bāzes efekts, gan ārējā pieprasījuma samazināšanās.</w:t>
      </w:r>
      <w:r w:rsidR="004630D3" w:rsidRPr="004630D3">
        <w:rPr>
          <w:rStyle w:val="Emphasis"/>
          <w:rFonts w:ascii="Calibri" w:hAnsi="Calibri" w:cs="Calibri"/>
          <w:b/>
          <w:i w:val="0"/>
          <w:color w:val="191919"/>
          <w:sz w:val="22"/>
          <w:bdr w:val="none" w:sz="0" w:space="0" w:color="auto" w:frame="1"/>
          <w:shd w:val="clear" w:color="auto" w:fill="FFFFFF"/>
        </w:rPr>
        <w:t xml:space="preserve"> </w:t>
      </w:r>
      <w:r w:rsidRPr="004630D3">
        <w:rPr>
          <w:rStyle w:val="Emphasis"/>
          <w:rFonts w:ascii="Calibri" w:hAnsi="Calibri" w:cs="Calibri"/>
          <w:i w:val="0"/>
          <w:color w:val="191919"/>
          <w:sz w:val="22"/>
          <w:bdr w:val="none" w:sz="0" w:space="0" w:color="auto" w:frame="1"/>
          <w:shd w:val="clear" w:color="auto" w:fill="FFFFFF"/>
        </w:rPr>
        <w:t xml:space="preserve">Kopš 2020 gada sākuma tikai nedaudz samazinājās aktivitāte mēbeļu ražošanā </w:t>
      </w:r>
      <w:proofErr w:type="gramStart"/>
      <w:r w:rsidRPr="004630D3">
        <w:rPr>
          <w:rStyle w:val="Emphasis"/>
          <w:rFonts w:ascii="Calibri" w:hAnsi="Calibri" w:cs="Calibri"/>
          <w:i w:val="0"/>
          <w:color w:val="191919"/>
          <w:sz w:val="22"/>
          <w:bdr w:val="none" w:sz="0" w:space="0" w:color="auto" w:frame="1"/>
          <w:shd w:val="clear" w:color="auto" w:fill="FFFFFF"/>
        </w:rPr>
        <w:t>un</w:t>
      </w:r>
      <w:proofErr w:type="gramEnd"/>
      <w:r w:rsidRPr="004630D3">
        <w:rPr>
          <w:rStyle w:val="Emphasis"/>
          <w:rFonts w:ascii="Calibri" w:hAnsi="Calibri" w:cs="Calibri"/>
          <w:i w:val="0"/>
          <w:color w:val="191919"/>
          <w:sz w:val="22"/>
          <w:bdr w:val="none" w:sz="0" w:space="0" w:color="auto" w:frame="1"/>
          <w:shd w:val="clear" w:color="auto" w:fill="FFFFFF"/>
        </w:rPr>
        <w:t xml:space="preserve"> gumijas un plastmasas izstrādājumu ražošanā. Jāatzīmē, ka atsevišķas ražošanas nozares uzrādīja arī pieaugošu aktivitāti, piemēram, ķīmisko vielu </w:t>
      </w:r>
      <w:proofErr w:type="gramStart"/>
      <w:r w:rsidRPr="004630D3">
        <w:rPr>
          <w:rStyle w:val="Emphasis"/>
          <w:rFonts w:ascii="Calibri" w:hAnsi="Calibri" w:cs="Calibri"/>
          <w:i w:val="0"/>
          <w:color w:val="191919"/>
          <w:sz w:val="22"/>
          <w:bdr w:val="none" w:sz="0" w:space="0" w:color="auto" w:frame="1"/>
          <w:shd w:val="clear" w:color="auto" w:fill="FFFFFF"/>
        </w:rPr>
        <w:t>un</w:t>
      </w:r>
      <w:proofErr w:type="gramEnd"/>
      <w:r w:rsidRPr="004630D3">
        <w:rPr>
          <w:rStyle w:val="Emphasis"/>
          <w:rFonts w:ascii="Calibri" w:hAnsi="Calibri" w:cs="Calibri"/>
          <w:i w:val="0"/>
          <w:color w:val="191919"/>
          <w:sz w:val="22"/>
          <w:bdr w:val="none" w:sz="0" w:space="0" w:color="auto" w:frame="1"/>
          <w:shd w:val="clear" w:color="auto" w:fill="FFFFFF"/>
        </w:rPr>
        <w:t xml:space="preserve"> papīra izstrādājumu ražošana</w:t>
      </w:r>
      <w:r w:rsidRPr="004630D3">
        <w:rPr>
          <w:rStyle w:val="Emphasis"/>
          <w:rFonts w:ascii="Calibri" w:hAnsi="Calibri" w:cs="Calibri"/>
          <w:color w:val="191919"/>
          <w:sz w:val="22"/>
          <w:bdr w:val="none" w:sz="0" w:space="0" w:color="auto" w:frame="1"/>
          <w:shd w:val="clear" w:color="auto" w:fill="FFFFFF"/>
        </w:rPr>
        <w:t>.</w:t>
      </w:r>
    </w:p>
    <w:p w14:paraId="3C810E78" w14:textId="77777777" w:rsidR="00DB5CF6" w:rsidRPr="00336BF6" w:rsidRDefault="00DB5CF6" w:rsidP="00DB5CF6">
      <w:pPr>
        <w:rPr>
          <w:rFonts w:ascii="Calibri" w:hAnsi="Calibri" w:cs="Calibri"/>
          <w:iCs/>
          <w:color w:val="191919"/>
          <w:sz w:val="22"/>
          <w:bdr w:val="none" w:sz="0" w:space="0" w:color="auto" w:frame="1"/>
          <w:shd w:val="clear" w:color="auto" w:fill="FFFFFF"/>
        </w:rPr>
      </w:pPr>
      <w:r>
        <w:rPr>
          <w:noProof/>
          <w:lang w:val="lv-LV" w:eastAsia="lv-LV"/>
        </w:rPr>
        <w:lastRenderedPageBreak/>
        <w:drawing>
          <wp:inline distT="0" distB="0" distL="0" distR="0" wp14:anchorId="73FC2315" wp14:editId="3D8718D1">
            <wp:extent cx="5274310" cy="246189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33">
                      <a:extLst>
                        <a:ext uri="{28A0092B-C50C-407E-A947-70E740481C1C}">
                          <a14:useLocalDpi xmlns:a14="http://schemas.microsoft.com/office/drawing/2010/main" val="0"/>
                        </a:ext>
                      </a:extLst>
                    </a:blip>
                    <a:stretch>
                      <a:fillRect/>
                    </a:stretch>
                  </pic:blipFill>
                  <pic:spPr>
                    <a:xfrm>
                      <a:off x="0" y="0"/>
                      <a:ext cx="5274310" cy="2461895"/>
                    </a:xfrm>
                    <a:prstGeom prst="rect">
                      <a:avLst/>
                    </a:prstGeom>
                  </pic:spPr>
                </pic:pic>
              </a:graphicData>
            </a:graphic>
          </wp:inline>
        </w:drawing>
      </w:r>
    </w:p>
    <w:p w14:paraId="3E14F0AE" w14:textId="77777777" w:rsidR="00DB5CF6" w:rsidRPr="00644A95" w:rsidRDefault="00DB5CF6" w:rsidP="00DB5CF6">
      <w:pPr>
        <w:rPr>
          <w:rFonts w:ascii="Calibri" w:hAnsi="Calibri" w:cs="Calibri"/>
          <w:bCs/>
          <w:i/>
          <w:iCs/>
          <w:color w:val="191919"/>
          <w:sz w:val="20"/>
          <w:szCs w:val="20"/>
          <w:bdr w:val="none" w:sz="0" w:space="0" w:color="auto" w:frame="1"/>
          <w:shd w:val="clear" w:color="auto" w:fill="FFFFFF"/>
        </w:rPr>
      </w:pPr>
      <w:r w:rsidRPr="00644A95">
        <w:rPr>
          <w:rFonts w:ascii="Calibri" w:hAnsi="Calibri" w:cs="Calibri"/>
          <w:bCs/>
          <w:i/>
          <w:iCs/>
          <w:color w:val="191919"/>
          <w:sz w:val="20"/>
          <w:szCs w:val="20"/>
          <w:bdr w:val="none" w:sz="0" w:space="0" w:color="auto" w:frame="1"/>
          <w:shd w:val="clear" w:color="auto" w:fill="FFFFFF"/>
        </w:rPr>
        <w:t>Avots: CSB (RU030m)</w:t>
      </w:r>
    </w:p>
    <w:p w14:paraId="446209F1" w14:textId="582B7D68" w:rsidR="00DB5CF6" w:rsidRPr="00644A95" w:rsidRDefault="00644A95" w:rsidP="00DB5CF6">
      <w:pPr>
        <w:rPr>
          <w:rFonts w:ascii="Calibri" w:hAnsi="Calibri" w:cs="Calibri"/>
          <w:sz w:val="20"/>
          <w:szCs w:val="20"/>
        </w:rPr>
      </w:pPr>
      <w:r w:rsidRPr="00644A95">
        <w:rPr>
          <w:rStyle w:val="Emphasis"/>
          <w:rFonts w:ascii="Calibri" w:hAnsi="Calibri" w:cs="Calibri"/>
          <w:b/>
          <w:i w:val="0"/>
          <w:color w:val="191919"/>
          <w:sz w:val="20"/>
          <w:szCs w:val="20"/>
          <w:bdr w:val="none" w:sz="0" w:space="0" w:color="auto" w:frame="1"/>
          <w:shd w:val="clear" w:color="auto" w:fill="FFFFFF"/>
        </w:rPr>
        <w:t xml:space="preserve">14. </w:t>
      </w:r>
      <w:proofErr w:type="gramStart"/>
      <w:r w:rsidRPr="00644A95">
        <w:rPr>
          <w:rStyle w:val="Emphasis"/>
          <w:rFonts w:ascii="Calibri" w:hAnsi="Calibri" w:cs="Calibri"/>
          <w:b/>
          <w:i w:val="0"/>
          <w:color w:val="191919"/>
          <w:sz w:val="20"/>
          <w:szCs w:val="20"/>
          <w:bdr w:val="none" w:sz="0" w:space="0" w:color="auto" w:frame="1"/>
          <w:shd w:val="clear" w:color="auto" w:fill="FFFFFF"/>
        </w:rPr>
        <w:t>a</w:t>
      </w:r>
      <w:r w:rsidR="00DB5CF6" w:rsidRPr="00644A95">
        <w:rPr>
          <w:rStyle w:val="Emphasis"/>
          <w:rFonts w:ascii="Calibri" w:hAnsi="Calibri" w:cs="Calibri"/>
          <w:b/>
          <w:i w:val="0"/>
          <w:color w:val="191919"/>
          <w:sz w:val="20"/>
          <w:szCs w:val="20"/>
          <w:bdr w:val="none" w:sz="0" w:space="0" w:color="auto" w:frame="1"/>
          <w:shd w:val="clear" w:color="auto" w:fill="FFFFFF"/>
        </w:rPr>
        <w:t>ttēls</w:t>
      </w:r>
      <w:proofErr w:type="gramEnd"/>
      <w:r w:rsidR="00DB5CF6" w:rsidRPr="00644A95">
        <w:rPr>
          <w:rStyle w:val="Emphasis"/>
          <w:rFonts w:ascii="Calibri" w:hAnsi="Calibri" w:cs="Calibri"/>
          <w:b/>
          <w:i w:val="0"/>
          <w:color w:val="191919"/>
          <w:sz w:val="20"/>
          <w:szCs w:val="20"/>
          <w:bdr w:val="none" w:sz="0" w:space="0" w:color="auto" w:frame="1"/>
          <w:shd w:val="clear" w:color="auto" w:fill="FFFFFF"/>
        </w:rPr>
        <w:t>:</w:t>
      </w:r>
      <w:r w:rsidR="00DB5CF6" w:rsidRPr="00644A95">
        <w:rPr>
          <w:rStyle w:val="Emphasis"/>
          <w:rFonts w:ascii="Calibri" w:hAnsi="Calibri" w:cs="Calibri"/>
          <w:b/>
          <w:color w:val="191919"/>
          <w:sz w:val="20"/>
          <w:szCs w:val="20"/>
          <w:bdr w:val="none" w:sz="0" w:space="0" w:color="auto" w:frame="1"/>
          <w:shd w:val="clear" w:color="auto" w:fill="FFFFFF"/>
        </w:rPr>
        <w:t xml:space="preserve"> </w:t>
      </w:r>
      <w:r w:rsidR="00DB5CF6" w:rsidRPr="00644A95">
        <w:rPr>
          <w:rStyle w:val="Emphasis"/>
          <w:rFonts w:ascii="Calibri" w:hAnsi="Calibri" w:cs="Calibri"/>
          <w:color w:val="191919"/>
          <w:sz w:val="20"/>
          <w:szCs w:val="20"/>
          <w:bdr w:val="none" w:sz="0" w:space="0" w:color="auto" w:frame="1"/>
          <w:shd w:val="clear" w:color="auto" w:fill="FFFFFF"/>
        </w:rPr>
        <w:t>XX</w:t>
      </w:r>
      <w:r w:rsidR="00DB5CF6" w:rsidRPr="00644A95">
        <w:rPr>
          <w:rFonts w:ascii="Calibri" w:eastAsia="Calibri" w:hAnsi="Calibri" w:cs="Calibri"/>
          <w:b/>
          <w:bCs/>
          <w:color w:val="000000"/>
          <w:kern w:val="24"/>
          <w:sz w:val="20"/>
          <w:szCs w:val="20"/>
          <w:lang w:eastAsia="lv-LV"/>
        </w:rPr>
        <w:t xml:space="preserve"> </w:t>
      </w:r>
      <w:r w:rsidR="00DB5CF6" w:rsidRPr="00644A95">
        <w:rPr>
          <w:rFonts w:ascii="Calibri" w:hAnsi="Calibri" w:cs="Calibri"/>
          <w:bCs/>
          <w:iCs/>
          <w:color w:val="191919"/>
          <w:sz w:val="20"/>
          <w:szCs w:val="20"/>
          <w:bdr w:val="none" w:sz="0" w:space="0" w:color="auto" w:frame="1"/>
          <w:shd w:val="clear" w:color="auto" w:fill="FFFFFF"/>
        </w:rPr>
        <w:t>Rūpniecības produkcijas apjoma indeksu dinamika nozarēs (no gada sākuma), kalendāri izlīdzināti dati.</w:t>
      </w:r>
    </w:p>
    <w:p w14:paraId="00244E60" w14:textId="60BF81A0" w:rsidR="00DB5CF6" w:rsidRPr="004630D3" w:rsidRDefault="00DB5CF6" w:rsidP="004B0127">
      <w:pPr>
        <w:pStyle w:val="ListParagraph"/>
        <w:numPr>
          <w:ilvl w:val="0"/>
          <w:numId w:val="23"/>
        </w:numPr>
        <w:spacing w:before="240"/>
        <w:ind w:left="426" w:hanging="426"/>
        <w:jc w:val="both"/>
        <w:rPr>
          <w:rFonts w:ascii="Calibri" w:hAnsi="Calibri" w:cs="Calibri"/>
          <w:b/>
          <w:bCs/>
          <w:iCs/>
          <w:color w:val="191919"/>
          <w:sz w:val="22"/>
          <w:bdr w:val="none" w:sz="0" w:space="0" w:color="auto" w:frame="1"/>
          <w:shd w:val="clear" w:color="auto" w:fill="FFFFFF"/>
        </w:rPr>
      </w:pPr>
      <w:r w:rsidRPr="004630D3">
        <w:rPr>
          <w:rFonts w:ascii="Calibri" w:hAnsi="Calibri" w:cs="Calibri"/>
          <w:b/>
          <w:bCs/>
          <w:iCs/>
          <w:color w:val="191919"/>
          <w:sz w:val="22"/>
          <w:bdr w:val="none" w:sz="0" w:space="0" w:color="auto" w:frame="1"/>
          <w:shd w:val="clear" w:color="auto" w:fill="FFFFFF"/>
        </w:rPr>
        <w:t xml:space="preserve">Mazumtirdzniecības </w:t>
      </w:r>
      <w:r w:rsidRPr="004630D3">
        <w:rPr>
          <w:rFonts w:ascii="Calibri" w:hAnsi="Calibri" w:cs="Calibri"/>
          <w:bCs/>
          <w:iCs/>
          <w:color w:val="191919"/>
          <w:sz w:val="22"/>
          <w:bdr w:val="none" w:sz="0" w:space="0" w:color="auto" w:frame="1"/>
          <w:shd w:val="clear" w:color="auto" w:fill="FFFFFF"/>
        </w:rPr>
        <w:t>apgrozījumu ir spēcīgi ietekmējusi gan Covid-19 ierobežošanas pasākumu ieviešana, gan atcelšana. S</w:t>
      </w:r>
      <w:r w:rsidRPr="004630D3">
        <w:rPr>
          <w:rStyle w:val="Emphasis"/>
          <w:rFonts w:ascii="Calibri" w:hAnsi="Calibri" w:cs="Calibri"/>
          <w:color w:val="191919"/>
          <w:sz w:val="22"/>
          <w:bdr w:val="none" w:sz="0" w:space="0" w:color="auto" w:frame="1"/>
          <w:shd w:val="clear" w:color="auto" w:fill="FFFFFF"/>
        </w:rPr>
        <w:t xml:space="preserve">alīdzinājumā ar iepriekšējā gada atbilstošiem mēnešiem </w:t>
      </w:r>
      <w:r w:rsidRPr="004630D3">
        <w:rPr>
          <w:rFonts w:ascii="Calibri" w:hAnsi="Calibri" w:cs="Calibri"/>
          <w:bCs/>
          <w:iCs/>
          <w:color w:val="191919"/>
          <w:sz w:val="22"/>
          <w:bdr w:val="none" w:sz="0" w:space="0" w:color="auto" w:frame="1"/>
          <w:shd w:val="clear" w:color="auto" w:fill="FFFFFF"/>
        </w:rPr>
        <w:t xml:space="preserve">apgrozījums no janvāra līdz jūlijam ir piedzīvojis gan strauju kritumu (-10.1% aprīlī), gan paguvis atgriezties pie izaugsmes (+2.6% jūnijā; +3.7% jūlijā). Š.g. februārī </w:t>
      </w:r>
      <w:proofErr w:type="gramStart"/>
      <w:r w:rsidRPr="004630D3">
        <w:rPr>
          <w:rFonts w:ascii="Calibri" w:hAnsi="Calibri" w:cs="Calibri"/>
          <w:bCs/>
          <w:iCs/>
          <w:color w:val="191919"/>
          <w:sz w:val="22"/>
          <w:bdr w:val="none" w:sz="0" w:space="0" w:color="auto" w:frame="1"/>
          <w:shd w:val="clear" w:color="auto" w:fill="FFFFFF"/>
        </w:rPr>
        <w:t>un</w:t>
      </w:r>
      <w:proofErr w:type="gramEnd"/>
      <w:r w:rsidRPr="004630D3">
        <w:rPr>
          <w:rFonts w:ascii="Calibri" w:hAnsi="Calibri" w:cs="Calibri"/>
          <w:bCs/>
          <w:iCs/>
          <w:color w:val="191919"/>
          <w:sz w:val="22"/>
          <w:bdr w:val="none" w:sz="0" w:space="0" w:color="auto" w:frame="1"/>
          <w:shd w:val="clear" w:color="auto" w:fill="FFFFFF"/>
        </w:rPr>
        <w:t xml:space="preserve"> martā strauji pieaudzis apgrozījums pārtikas preču tirdzniecības segmentā attiecīgi (+4.1%) (+3.6%), lai gan </w:t>
      </w:r>
      <w:proofErr w:type="gramStart"/>
      <w:r w:rsidRPr="004630D3">
        <w:rPr>
          <w:rFonts w:ascii="Calibri" w:hAnsi="Calibri" w:cs="Calibri"/>
          <w:bCs/>
          <w:iCs/>
          <w:color w:val="191919"/>
          <w:sz w:val="22"/>
          <w:bdr w:val="none" w:sz="0" w:space="0" w:color="auto" w:frame="1"/>
          <w:shd w:val="clear" w:color="auto" w:fill="FFFFFF"/>
        </w:rPr>
        <w:t>martā</w:t>
      </w:r>
      <w:proofErr w:type="gramEnd"/>
      <w:r w:rsidRPr="004630D3">
        <w:rPr>
          <w:rFonts w:ascii="Calibri" w:hAnsi="Calibri" w:cs="Calibri"/>
          <w:bCs/>
          <w:iCs/>
          <w:color w:val="191919"/>
          <w:sz w:val="22"/>
          <w:bdr w:val="none" w:sz="0" w:space="0" w:color="auto" w:frame="1"/>
          <w:shd w:val="clear" w:color="auto" w:fill="FFFFFF"/>
        </w:rPr>
        <w:t xml:space="preserve"> izaugsme jau notika tikai pārtikas preču tirdzniecības segmentā. Sākoties ārkārtas situācijai valstī </w:t>
      </w:r>
      <w:proofErr w:type="gramStart"/>
      <w:r w:rsidRPr="004630D3">
        <w:rPr>
          <w:rFonts w:ascii="Calibri" w:hAnsi="Calibri" w:cs="Calibri"/>
          <w:bCs/>
          <w:iCs/>
          <w:color w:val="191919"/>
          <w:sz w:val="22"/>
          <w:bdr w:val="none" w:sz="0" w:space="0" w:color="auto" w:frame="1"/>
          <w:shd w:val="clear" w:color="auto" w:fill="FFFFFF"/>
        </w:rPr>
        <w:t>un</w:t>
      </w:r>
      <w:proofErr w:type="gramEnd"/>
      <w:r w:rsidRPr="004630D3">
        <w:rPr>
          <w:rFonts w:ascii="Calibri" w:hAnsi="Calibri" w:cs="Calibri"/>
          <w:bCs/>
          <w:iCs/>
          <w:color w:val="191919"/>
          <w:sz w:val="22"/>
          <w:bdr w:val="none" w:sz="0" w:space="0" w:color="auto" w:frame="1"/>
          <w:shd w:val="clear" w:color="auto" w:fill="FFFFFF"/>
        </w:rPr>
        <w:t xml:space="preserve"> ar to saistītiem striktajiem pulcēšanās un pārvietošanās ierobežojumiem bija fiziski ierobežota patērētāju iespēja apmeklēt tirdzniecības vietas un iepludināt līdzekļus ekonomikās apritē. Tajā pašā laikā ir pieaudzis mājsaimniecību uzkrājumu </w:t>
      </w:r>
      <w:proofErr w:type="gramStart"/>
      <w:r w:rsidRPr="004630D3">
        <w:rPr>
          <w:rFonts w:ascii="Calibri" w:hAnsi="Calibri" w:cs="Calibri"/>
          <w:bCs/>
          <w:iCs/>
          <w:color w:val="191919"/>
          <w:sz w:val="22"/>
          <w:bdr w:val="none" w:sz="0" w:space="0" w:color="auto" w:frame="1"/>
          <w:shd w:val="clear" w:color="auto" w:fill="FFFFFF"/>
        </w:rPr>
        <w:t>apjoms,</w:t>
      </w:r>
      <w:proofErr w:type="gramEnd"/>
      <w:r w:rsidRPr="004630D3">
        <w:rPr>
          <w:rFonts w:ascii="Calibri" w:hAnsi="Calibri" w:cs="Calibri"/>
          <w:bCs/>
          <w:iCs/>
          <w:color w:val="191919"/>
          <w:sz w:val="22"/>
          <w:bdr w:val="none" w:sz="0" w:space="0" w:color="auto" w:frame="1"/>
          <w:shd w:val="clear" w:color="auto" w:fill="FFFFFF"/>
        </w:rPr>
        <w:t xml:space="preserve"> ko noteica gan neziņa par turpmāko iespēju nopelnīt, gan jau pieminētie ierobežojošie pasākumi.</w:t>
      </w:r>
    </w:p>
    <w:p w14:paraId="0BDF7AF7" w14:textId="77777777" w:rsidR="00DB5CF6" w:rsidRPr="00336BF6" w:rsidRDefault="00DB5CF6" w:rsidP="00DB5CF6">
      <w:pPr>
        <w:spacing w:before="240"/>
        <w:rPr>
          <w:rFonts w:ascii="Calibri" w:hAnsi="Calibri" w:cs="Calibri"/>
          <w:b/>
          <w:bCs/>
          <w:iCs/>
          <w:color w:val="191919"/>
          <w:sz w:val="22"/>
          <w:bdr w:val="none" w:sz="0" w:space="0" w:color="auto" w:frame="1"/>
          <w:shd w:val="clear" w:color="auto" w:fill="FFFFFF"/>
        </w:rPr>
      </w:pPr>
      <w:r>
        <w:rPr>
          <w:noProof/>
          <w:lang w:val="lv-LV" w:eastAsia="lv-LV"/>
        </w:rPr>
        <w:drawing>
          <wp:inline distT="0" distB="0" distL="0" distR="0" wp14:anchorId="25D011BC" wp14:editId="3A452F51">
            <wp:extent cx="5274310" cy="2932981"/>
            <wp:effectExtent l="0" t="0" r="2540" b="0"/>
            <wp:docPr id="19" name="Chart 19">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77D1127" w14:textId="77777777" w:rsidR="00DB5CF6" w:rsidRPr="00644A95" w:rsidRDefault="00DB5CF6" w:rsidP="00DB5CF6">
      <w:pPr>
        <w:rPr>
          <w:rFonts w:ascii="Calibri" w:hAnsi="Calibri" w:cs="Calibri"/>
          <w:bCs/>
          <w:i/>
          <w:iCs/>
          <w:color w:val="191919"/>
          <w:sz w:val="20"/>
          <w:szCs w:val="20"/>
          <w:bdr w:val="none" w:sz="0" w:space="0" w:color="auto" w:frame="1"/>
          <w:shd w:val="clear" w:color="auto" w:fill="FFFFFF"/>
        </w:rPr>
      </w:pPr>
      <w:r w:rsidRPr="00644A95">
        <w:rPr>
          <w:rFonts w:ascii="Calibri" w:hAnsi="Calibri" w:cs="Calibri"/>
          <w:bCs/>
          <w:i/>
          <w:iCs/>
          <w:color w:val="191919"/>
          <w:sz w:val="20"/>
          <w:szCs w:val="20"/>
          <w:bdr w:val="none" w:sz="0" w:space="0" w:color="auto" w:frame="1"/>
          <w:shd w:val="clear" w:color="auto" w:fill="FFFFFF"/>
        </w:rPr>
        <w:t>Avots: CSB (TI030m)</w:t>
      </w:r>
    </w:p>
    <w:p w14:paraId="3407C898" w14:textId="282A603A" w:rsidR="00DB5CF6" w:rsidRPr="00644A95" w:rsidRDefault="00644A95" w:rsidP="00DB5CF6">
      <w:pPr>
        <w:rPr>
          <w:rFonts w:ascii="Calibri" w:eastAsia="Calibri" w:hAnsi="Calibri" w:cs="Calibri"/>
          <w:sz w:val="20"/>
          <w:szCs w:val="20"/>
        </w:rPr>
      </w:pPr>
      <w:r w:rsidRPr="00644A95">
        <w:rPr>
          <w:rStyle w:val="Emphasis"/>
          <w:rFonts w:ascii="Calibri" w:hAnsi="Calibri" w:cs="Calibri"/>
          <w:b/>
          <w:color w:val="191919"/>
          <w:sz w:val="20"/>
          <w:szCs w:val="20"/>
          <w:bdr w:val="none" w:sz="0" w:space="0" w:color="auto" w:frame="1"/>
          <w:shd w:val="clear" w:color="auto" w:fill="FFFFFF"/>
        </w:rPr>
        <w:t xml:space="preserve">15. </w:t>
      </w:r>
      <w:proofErr w:type="gramStart"/>
      <w:r w:rsidRPr="00644A95">
        <w:rPr>
          <w:rStyle w:val="Emphasis"/>
          <w:rFonts w:ascii="Calibri" w:hAnsi="Calibri" w:cs="Calibri"/>
          <w:b/>
          <w:color w:val="191919"/>
          <w:sz w:val="20"/>
          <w:szCs w:val="20"/>
          <w:bdr w:val="none" w:sz="0" w:space="0" w:color="auto" w:frame="1"/>
          <w:shd w:val="clear" w:color="auto" w:fill="FFFFFF"/>
        </w:rPr>
        <w:t>a</w:t>
      </w:r>
      <w:r w:rsidR="00DB5CF6" w:rsidRPr="00644A95">
        <w:rPr>
          <w:rStyle w:val="Emphasis"/>
          <w:rFonts w:ascii="Calibri" w:hAnsi="Calibri" w:cs="Calibri"/>
          <w:b/>
          <w:color w:val="191919"/>
          <w:sz w:val="20"/>
          <w:szCs w:val="20"/>
          <w:bdr w:val="none" w:sz="0" w:space="0" w:color="auto" w:frame="1"/>
          <w:shd w:val="clear" w:color="auto" w:fill="FFFFFF"/>
        </w:rPr>
        <w:t>ttēls</w:t>
      </w:r>
      <w:proofErr w:type="gramEnd"/>
      <w:r w:rsidR="00DB5CF6" w:rsidRPr="00644A95">
        <w:rPr>
          <w:rStyle w:val="Emphasis"/>
          <w:rFonts w:ascii="Calibri" w:hAnsi="Calibri" w:cs="Calibri"/>
          <w:b/>
          <w:color w:val="191919"/>
          <w:sz w:val="20"/>
          <w:szCs w:val="20"/>
          <w:bdr w:val="none" w:sz="0" w:space="0" w:color="auto" w:frame="1"/>
          <w:shd w:val="clear" w:color="auto" w:fill="FFFFFF"/>
        </w:rPr>
        <w:t xml:space="preserve">: </w:t>
      </w:r>
      <w:r w:rsidR="00DB5CF6" w:rsidRPr="00644A95">
        <w:rPr>
          <w:rStyle w:val="Emphasis"/>
          <w:rFonts w:ascii="Calibri" w:hAnsi="Calibri" w:cs="Calibri"/>
          <w:color w:val="191919"/>
          <w:sz w:val="20"/>
          <w:szCs w:val="20"/>
          <w:bdr w:val="none" w:sz="0" w:space="0" w:color="auto" w:frame="1"/>
          <w:shd w:val="clear" w:color="auto" w:fill="FFFFFF"/>
        </w:rPr>
        <w:t>Mazumtirdzniecība (mēnesis salīdzinājumā ar iepriekšējā gada atbilstošo mēnesi)</w:t>
      </w:r>
    </w:p>
    <w:p w14:paraId="6895033F" w14:textId="77777777" w:rsidR="004630D3" w:rsidRDefault="004630D3" w:rsidP="00DB5CF6">
      <w:pPr>
        <w:rPr>
          <w:rFonts w:ascii="Calibri" w:hAnsi="Calibri" w:cs="Calibri"/>
          <w:sz w:val="22"/>
        </w:rPr>
      </w:pPr>
    </w:p>
    <w:p w14:paraId="29A74C18" w14:textId="3EF4166D" w:rsidR="00DB5CF6" w:rsidRPr="004630D3" w:rsidRDefault="00DB5CF6" w:rsidP="004B0127">
      <w:pPr>
        <w:pStyle w:val="ListParagraph"/>
        <w:numPr>
          <w:ilvl w:val="0"/>
          <w:numId w:val="23"/>
        </w:numPr>
        <w:ind w:left="426" w:hanging="426"/>
        <w:jc w:val="both"/>
        <w:rPr>
          <w:rFonts w:ascii="Calibri" w:hAnsi="Calibri" w:cs="Calibri"/>
          <w:sz w:val="22"/>
        </w:rPr>
      </w:pPr>
      <w:r w:rsidRPr="004630D3">
        <w:rPr>
          <w:rFonts w:ascii="Calibri" w:hAnsi="Calibri" w:cs="Calibri"/>
          <w:sz w:val="22"/>
        </w:rPr>
        <w:t>Š.g. pirmajā ceturksnī</w:t>
      </w:r>
      <w:r w:rsidRPr="004630D3">
        <w:rPr>
          <w:rFonts w:ascii="Calibri" w:hAnsi="Calibri" w:cs="Calibri"/>
          <w:b/>
          <w:sz w:val="22"/>
        </w:rPr>
        <w:t xml:space="preserve"> būvniecības nozarē </w:t>
      </w:r>
      <w:r w:rsidRPr="004630D3">
        <w:rPr>
          <w:rFonts w:ascii="Calibri" w:hAnsi="Calibri" w:cs="Calibri"/>
          <w:sz w:val="22"/>
        </w:rPr>
        <w:t xml:space="preserve">bija vērojama augsta aktivitāte, būvniecības produkcijas apjomam faktiskajā cenās pieaugot par (+17%), bet jau otrajā ceturksnī </w:t>
      </w:r>
      <w:r w:rsidRPr="004630D3">
        <w:rPr>
          <w:rFonts w:ascii="Calibri" w:hAnsi="Calibri" w:cs="Calibri"/>
          <w:sz w:val="22"/>
        </w:rPr>
        <w:lastRenderedPageBreak/>
        <w:t xml:space="preserve">iezīmējās sarukums (-0.04%). Abos ceturkšņos izaugsmi uzrādīja būvniecības apjomu pieaugums specializētos būvdarbos (+12.4% 1.cet. </w:t>
      </w:r>
      <w:proofErr w:type="gramStart"/>
      <w:r w:rsidRPr="004630D3">
        <w:rPr>
          <w:rFonts w:ascii="Calibri" w:hAnsi="Calibri" w:cs="Calibri"/>
          <w:sz w:val="22"/>
        </w:rPr>
        <w:t>un</w:t>
      </w:r>
      <w:proofErr w:type="gramEnd"/>
      <w:r w:rsidRPr="004630D3">
        <w:rPr>
          <w:rFonts w:ascii="Calibri" w:hAnsi="Calibri" w:cs="Calibri"/>
          <w:sz w:val="22"/>
        </w:rPr>
        <w:t xml:space="preserve"> +13.9% 2.cet.), jauno objektu būvniecībā (+17.9% 1.cet. un +5% 2.cet.). Nenoturīga izaugsme bija vērojama ēku būvniecībā (+20.3% 1.cet. </w:t>
      </w:r>
      <w:proofErr w:type="gramStart"/>
      <w:r w:rsidRPr="004630D3">
        <w:rPr>
          <w:rFonts w:ascii="Calibri" w:hAnsi="Calibri" w:cs="Calibri"/>
          <w:sz w:val="22"/>
        </w:rPr>
        <w:t>un</w:t>
      </w:r>
      <w:proofErr w:type="gramEnd"/>
      <w:r w:rsidRPr="004630D3">
        <w:rPr>
          <w:rFonts w:ascii="Calibri" w:hAnsi="Calibri" w:cs="Calibri"/>
          <w:sz w:val="22"/>
        </w:rPr>
        <w:t xml:space="preserve"> -2.5% 2.cet.) un inženierbūvniecības jomā (+17.4% 1.cet. un -8% 2.cet.).</w:t>
      </w:r>
    </w:p>
    <w:p w14:paraId="173D52E8" w14:textId="77777777" w:rsidR="004630D3" w:rsidRDefault="004630D3" w:rsidP="00644A95">
      <w:pPr>
        <w:jc w:val="both"/>
        <w:rPr>
          <w:rFonts w:ascii="Calibri" w:hAnsi="Calibri" w:cs="Calibri"/>
          <w:sz w:val="22"/>
        </w:rPr>
      </w:pPr>
    </w:p>
    <w:p w14:paraId="121F00E3" w14:textId="4B85E86D" w:rsidR="00DB5CF6" w:rsidRPr="004630D3" w:rsidRDefault="00DB5CF6" w:rsidP="004B0127">
      <w:pPr>
        <w:pStyle w:val="ListParagraph"/>
        <w:numPr>
          <w:ilvl w:val="0"/>
          <w:numId w:val="23"/>
        </w:numPr>
        <w:ind w:left="426" w:hanging="426"/>
        <w:jc w:val="both"/>
        <w:rPr>
          <w:rFonts w:ascii="Calibri" w:hAnsi="Calibri" w:cs="Calibri"/>
          <w:sz w:val="22"/>
        </w:rPr>
      </w:pPr>
      <w:r w:rsidRPr="004630D3">
        <w:rPr>
          <w:rFonts w:ascii="Calibri" w:hAnsi="Calibri" w:cs="Calibri"/>
          <w:sz w:val="22"/>
        </w:rPr>
        <w:t xml:space="preserve">Jau kopš 2019. </w:t>
      </w:r>
      <w:proofErr w:type="gramStart"/>
      <w:r w:rsidRPr="004630D3">
        <w:rPr>
          <w:rFonts w:ascii="Calibri" w:hAnsi="Calibri" w:cs="Calibri"/>
          <w:sz w:val="22"/>
        </w:rPr>
        <w:t>gada</w:t>
      </w:r>
      <w:proofErr w:type="gramEnd"/>
      <w:r w:rsidRPr="004630D3">
        <w:rPr>
          <w:rFonts w:ascii="Calibri" w:hAnsi="Calibri" w:cs="Calibri"/>
          <w:sz w:val="22"/>
        </w:rPr>
        <w:t xml:space="preserve"> turpinās lejupslīde </w:t>
      </w:r>
      <w:r w:rsidRPr="004630D3">
        <w:rPr>
          <w:rFonts w:ascii="Calibri" w:hAnsi="Calibri" w:cs="Calibri"/>
          <w:b/>
          <w:sz w:val="22"/>
        </w:rPr>
        <w:t xml:space="preserve">transporta un uzglabāšanas nozarē. </w:t>
      </w:r>
      <w:r w:rsidRPr="004630D3">
        <w:rPr>
          <w:rFonts w:ascii="Calibri" w:hAnsi="Calibri" w:cs="Calibri"/>
          <w:sz w:val="22"/>
        </w:rPr>
        <w:t xml:space="preserve">Īpaši nelabvēlīga situācija ir vēroja ostu segmentā, 2019. </w:t>
      </w:r>
      <w:proofErr w:type="gramStart"/>
      <w:r w:rsidRPr="004630D3">
        <w:rPr>
          <w:rFonts w:ascii="Calibri" w:hAnsi="Calibri" w:cs="Calibri"/>
          <w:sz w:val="22"/>
        </w:rPr>
        <w:t>gadā</w:t>
      </w:r>
      <w:proofErr w:type="gramEnd"/>
      <w:r w:rsidRPr="004630D3">
        <w:rPr>
          <w:rFonts w:ascii="Calibri" w:hAnsi="Calibri" w:cs="Calibri"/>
          <w:sz w:val="22"/>
        </w:rPr>
        <w:t xml:space="preserve"> salīdzinot ar 2018. </w:t>
      </w:r>
      <w:proofErr w:type="gramStart"/>
      <w:r w:rsidRPr="004630D3">
        <w:rPr>
          <w:rFonts w:ascii="Calibri" w:hAnsi="Calibri" w:cs="Calibri"/>
          <w:sz w:val="22"/>
        </w:rPr>
        <w:t>gadu</w:t>
      </w:r>
      <w:proofErr w:type="gramEnd"/>
      <w:r w:rsidRPr="004630D3">
        <w:rPr>
          <w:rFonts w:ascii="Calibri" w:hAnsi="Calibri" w:cs="Calibri"/>
          <w:sz w:val="22"/>
        </w:rPr>
        <w:t xml:space="preserve"> kravu apgrozījuma apjoms ir samazinājies par (-5.7%), savukārt 2020. gada pirmajā pusgadā salīdzinot ar 2019. gada atbilstošo periodu apgrozījuma apjoma kritums sasniedzis (-30.1%). Kravu pārvadājumu apjoms ar dzelzceļa transportu </w:t>
      </w:r>
      <w:proofErr w:type="gramStart"/>
      <w:r w:rsidRPr="004630D3">
        <w:rPr>
          <w:rFonts w:ascii="Calibri" w:hAnsi="Calibri" w:cs="Calibri"/>
          <w:sz w:val="22"/>
        </w:rPr>
        <w:t>un</w:t>
      </w:r>
      <w:proofErr w:type="gramEnd"/>
      <w:r w:rsidRPr="004630D3">
        <w:rPr>
          <w:rFonts w:ascii="Calibri" w:hAnsi="Calibri" w:cs="Calibri"/>
          <w:sz w:val="22"/>
        </w:rPr>
        <w:t xml:space="preserve"> Latvijā reģistrētu autotransportu 2019. </w:t>
      </w:r>
      <w:proofErr w:type="gramStart"/>
      <w:r w:rsidRPr="004630D3">
        <w:rPr>
          <w:rFonts w:ascii="Calibri" w:hAnsi="Calibri" w:cs="Calibri"/>
          <w:sz w:val="22"/>
        </w:rPr>
        <w:t>gadā</w:t>
      </w:r>
      <w:proofErr w:type="gramEnd"/>
      <w:r w:rsidRPr="004630D3">
        <w:rPr>
          <w:rFonts w:ascii="Calibri" w:hAnsi="Calibri" w:cs="Calibri"/>
          <w:sz w:val="22"/>
        </w:rPr>
        <w:t xml:space="preserve"> salīdzinot ar 2018. </w:t>
      </w:r>
      <w:proofErr w:type="gramStart"/>
      <w:r w:rsidRPr="004630D3">
        <w:rPr>
          <w:rFonts w:ascii="Calibri" w:hAnsi="Calibri" w:cs="Calibri"/>
          <w:sz w:val="22"/>
        </w:rPr>
        <w:t>gadu</w:t>
      </w:r>
      <w:proofErr w:type="gramEnd"/>
      <w:r w:rsidRPr="004630D3">
        <w:rPr>
          <w:rFonts w:ascii="Calibri" w:hAnsi="Calibri" w:cs="Calibri"/>
          <w:sz w:val="22"/>
        </w:rPr>
        <w:t xml:space="preserve"> samazinājies par (-8.5%), bet 2020. gada pirmajā pusgadā salīdzinot ar 2019. gada atbilstošo periodu apgrozījuma pārvadāto kravu apjoms sarucis par (-17.4%). </w:t>
      </w:r>
    </w:p>
    <w:p w14:paraId="4A71BD39" w14:textId="77777777" w:rsidR="00DB5CF6" w:rsidRPr="00CF3CA5" w:rsidRDefault="00DB5CF6" w:rsidP="00DB5CF6">
      <w:pPr>
        <w:rPr>
          <w:rFonts w:ascii="Calibri" w:hAnsi="Calibri" w:cs="Calibri"/>
          <w:b/>
          <w:bCs/>
          <w:color w:val="000000"/>
          <w:sz w:val="32"/>
          <w:szCs w:val="32"/>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4048"/>
      </w:tblGrid>
      <w:tr w:rsidR="00DB5CF6" w14:paraId="3242A18A" w14:textId="77777777" w:rsidTr="009A1EF2">
        <w:tc>
          <w:tcPr>
            <w:tcW w:w="4248" w:type="dxa"/>
          </w:tcPr>
          <w:p w14:paraId="0875111C" w14:textId="77777777" w:rsidR="00DB5CF6" w:rsidRDefault="00DB5CF6" w:rsidP="009A1EF2">
            <w:pPr>
              <w:spacing w:before="240"/>
              <w:rPr>
                <w:rFonts w:ascii="Calibri" w:hAnsi="Calibri" w:cs="Calibri"/>
                <w:sz w:val="22"/>
              </w:rPr>
            </w:pPr>
            <w:r>
              <w:rPr>
                <w:rFonts w:ascii="Calibri" w:hAnsi="Calibri" w:cs="Calibri"/>
                <w:sz w:val="22"/>
              </w:rPr>
              <w:t xml:space="preserve"> </w:t>
            </w:r>
            <w:r>
              <w:rPr>
                <w:noProof/>
                <w:lang w:val="lv-LV" w:eastAsia="lv-LV"/>
              </w:rPr>
              <w:drawing>
                <wp:inline distT="0" distB="0" distL="0" distR="0" wp14:anchorId="0B34FDFC" wp14:editId="0B0071EF">
                  <wp:extent cx="2595880" cy="2447470"/>
                  <wp:effectExtent l="0" t="0" r="0" b="3810"/>
                  <wp:docPr id="7" name="Chart 7">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4048" w:type="dxa"/>
          </w:tcPr>
          <w:p w14:paraId="0E1E0F6E" w14:textId="77777777" w:rsidR="00DB5CF6" w:rsidRDefault="00DB5CF6" w:rsidP="009A1EF2">
            <w:pPr>
              <w:spacing w:before="240"/>
              <w:rPr>
                <w:rFonts w:ascii="Calibri" w:hAnsi="Calibri" w:cs="Calibri"/>
                <w:sz w:val="22"/>
              </w:rPr>
            </w:pPr>
            <w:r>
              <w:rPr>
                <w:noProof/>
                <w:lang w:val="lv-LV" w:eastAsia="lv-LV"/>
              </w:rPr>
              <w:drawing>
                <wp:inline distT="0" distB="0" distL="0" distR="0" wp14:anchorId="2B1F98F2" wp14:editId="763B3B73">
                  <wp:extent cx="2425065" cy="2565779"/>
                  <wp:effectExtent l="0" t="0" r="0" b="0"/>
                  <wp:docPr id="8" name="Chart 8">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DB5CF6" w14:paraId="5B1E255A" w14:textId="77777777" w:rsidTr="009A1EF2">
        <w:tc>
          <w:tcPr>
            <w:tcW w:w="4248" w:type="dxa"/>
          </w:tcPr>
          <w:p w14:paraId="413BF5E9" w14:textId="77777777" w:rsidR="00DB5CF6" w:rsidRPr="007B3B27" w:rsidRDefault="00DB5CF6" w:rsidP="009A1EF2">
            <w:pPr>
              <w:rPr>
                <w:rFonts w:ascii="Calibri" w:hAnsi="Calibri" w:cs="Calibri"/>
                <w:i/>
                <w:sz w:val="20"/>
                <w:szCs w:val="20"/>
              </w:rPr>
            </w:pPr>
            <w:r w:rsidRPr="007B3B27">
              <w:rPr>
                <w:rFonts w:ascii="Calibri" w:hAnsi="Calibri" w:cs="Calibri"/>
                <w:i/>
                <w:sz w:val="20"/>
                <w:szCs w:val="20"/>
              </w:rPr>
              <w:t>Avots CSP [TR200c;</w:t>
            </w:r>
            <w:r w:rsidRPr="007B3B27">
              <w:rPr>
                <w:i/>
                <w:sz w:val="20"/>
                <w:szCs w:val="20"/>
              </w:rPr>
              <w:t xml:space="preserve"> </w:t>
            </w:r>
            <w:r w:rsidRPr="007B3B27">
              <w:rPr>
                <w:rFonts w:ascii="Calibri" w:hAnsi="Calibri" w:cs="Calibri"/>
                <w:i/>
                <w:sz w:val="20"/>
                <w:szCs w:val="20"/>
              </w:rPr>
              <w:t>TR200c]</w:t>
            </w:r>
          </w:p>
        </w:tc>
        <w:tc>
          <w:tcPr>
            <w:tcW w:w="4048" w:type="dxa"/>
          </w:tcPr>
          <w:p w14:paraId="3455D020" w14:textId="77777777" w:rsidR="00DB5CF6" w:rsidRPr="007B3B27" w:rsidRDefault="00DB5CF6" w:rsidP="009A1EF2">
            <w:pPr>
              <w:rPr>
                <w:rFonts w:ascii="Calibri" w:hAnsi="Calibri" w:cs="Calibri"/>
                <w:i/>
                <w:sz w:val="20"/>
                <w:szCs w:val="20"/>
              </w:rPr>
            </w:pPr>
            <w:r w:rsidRPr="007B3B27">
              <w:rPr>
                <w:rFonts w:ascii="Calibri" w:hAnsi="Calibri" w:cs="Calibri"/>
                <w:i/>
                <w:sz w:val="20"/>
                <w:szCs w:val="20"/>
              </w:rPr>
              <w:t>Avots CSP [TR250c]</w:t>
            </w:r>
          </w:p>
        </w:tc>
      </w:tr>
      <w:tr w:rsidR="00DB5CF6" w14:paraId="2CCBF585" w14:textId="77777777" w:rsidTr="009A1EF2">
        <w:tc>
          <w:tcPr>
            <w:tcW w:w="4248" w:type="dxa"/>
          </w:tcPr>
          <w:p w14:paraId="2E8BE3B5" w14:textId="31436F1D" w:rsidR="00DB5CF6" w:rsidRPr="007B3B27" w:rsidRDefault="00644A95" w:rsidP="009A1EF2">
            <w:pPr>
              <w:rPr>
                <w:rFonts w:ascii="Calibri" w:hAnsi="Calibri" w:cs="Calibri"/>
                <w:sz w:val="20"/>
                <w:szCs w:val="20"/>
              </w:rPr>
            </w:pPr>
            <w:r w:rsidRPr="007B3B27">
              <w:rPr>
                <w:rStyle w:val="Emphasis"/>
                <w:rFonts w:ascii="Calibri" w:hAnsi="Calibri" w:cs="Calibri"/>
                <w:b/>
                <w:i w:val="0"/>
                <w:color w:val="191919"/>
                <w:sz w:val="20"/>
                <w:szCs w:val="20"/>
                <w:bdr w:val="none" w:sz="0" w:space="0" w:color="auto" w:frame="1"/>
                <w:shd w:val="clear" w:color="auto" w:fill="FFFFFF"/>
              </w:rPr>
              <w:t>16. a</w:t>
            </w:r>
            <w:r w:rsidR="00DB5CF6" w:rsidRPr="007B3B27">
              <w:rPr>
                <w:rStyle w:val="Emphasis"/>
                <w:rFonts w:ascii="Calibri" w:hAnsi="Calibri" w:cs="Calibri"/>
                <w:b/>
                <w:i w:val="0"/>
                <w:color w:val="191919"/>
                <w:sz w:val="20"/>
                <w:szCs w:val="20"/>
                <w:bdr w:val="none" w:sz="0" w:space="0" w:color="auto" w:frame="1"/>
                <w:shd w:val="clear" w:color="auto" w:fill="FFFFFF"/>
              </w:rPr>
              <w:t>ttēls:</w:t>
            </w:r>
            <w:r w:rsidR="00DB5CF6" w:rsidRPr="007B3B27">
              <w:rPr>
                <w:rStyle w:val="Emphasis"/>
                <w:rFonts w:ascii="Calibri" w:hAnsi="Calibri" w:cs="Calibri"/>
                <w:b/>
                <w:color w:val="191919"/>
                <w:sz w:val="20"/>
                <w:szCs w:val="20"/>
                <w:bdr w:val="none" w:sz="0" w:space="0" w:color="auto" w:frame="1"/>
                <w:shd w:val="clear" w:color="auto" w:fill="FFFFFF"/>
              </w:rPr>
              <w:t xml:space="preserve"> </w:t>
            </w:r>
            <w:r w:rsidR="00DB5CF6" w:rsidRPr="007B3B27">
              <w:rPr>
                <w:rFonts w:ascii="Calibri" w:hAnsi="Calibri" w:cs="Calibri"/>
                <w:sz w:val="20"/>
                <w:szCs w:val="20"/>
              </w:rPr>
              <w:t xml:space="preserve">Dzelzceļa un autotransporta ieguldījums kravu pārvadājumu izaugsmē </w:t>
            </w:r>
          </w:p>
          <w:p w14:paraId="47AB73D1" w14:textId="77777777" w:rsidR="00DB5CF6" w:rsidRPr="007B3B27" w:rsidRDefault="00DB5CF6" w:rsidP="009A1EF2">
            <w:pPr>
              <w:rPr>
                <w:rFonts w:ascii="Calibri" w:hAnsi="Calibri" w:cs="Calibri"/>
                <w:sz w:val="20"/>
                <w:szCs w:val="20"/>
              </w:rPr>
            </w:pPr>
            <w:r w:rsidRPr="007B3B27">
              <w:rPr>
                <w:rFonts w:ascii="Calibri" w:hAnsi="Calibri" w:cs="Calibri"/>
                <w:sz w:val="20"/>
                <w:szCs w:val="20"/>
              </w:rPr>
              <w:t>(q-o-q)</w:t>
            </w:r>
          </w:p>
        </w:tc>
        <w:tc>
          <w:tcPr>
            <w:tcW w:w="4048" w:type="dxa"/>
          </w:tcPr>
          <w:p w14:paraId="1786E355" w14:textId="3441ABFC" w:rsidR="00DB5CF6" w:rsidRPr="007B3B27" w:rsidRDefault="00644A95" w:rsidP="00304329">
            <w:pPr>
              <w:rPr>
                <w:rFonts w:ascii="Calibri" w:hAnsi="Calibri" w:cs="Calibri"/>
                <w:iCs/>
                <w:color w:val="191919"/>
                <w:sz w:val="20"/>
                <w:szCs w:val="20"/>
                <w:bdr w:val="none" w:sz="0" w:space="0" w:color="auto" w:frame="1"/>
                <w:shd w:val="clear" w:color="auto" w:fill="FFFFFF"/>
              </w:rPr>
            </w:pPr>
            <w:r w:rsidRPr="007B3B27">
              <w:rPr>
                <w:rStyle w:val="Emphasis"/>
                <w:rFonts w:ascii="Calibri" w:hAnsi="Calibri" w:cs="Calibri"/>
                <w:b/>
                <w:i w:val="0"/>
                <w:color w:val="191919"/>
                <w:sz w:val="20"/>
                <w:szCs w:val="20"/>
                <w:bdr w:val="none" w:sz="0" w:space="0" w:color="auto" w:frame="1"/>
                <w:shd w:val="clear" w:color="auto" w:fill="FFFFFF"/>
              </w:rPr>
              <w:t>17. a</w:t>
            </w:r>
            <w:r w:rsidR="00DB5CF6" w:rsidRPr="007B3B27">
              <w:rPr>
                <w:rStyle w:val="Emphasis"/>
                <w:rFonts w:ascii="Calibri" w:hAnsi="Calibri" w:cs="Calibri"/>
                <w:b/>
                <w:i w:val="0"/>
                <w:color w:val="191919"/>
                <w:sz w:val="20"/>
                <w:szCs w:val="20"/>
                <w:bdr w:val="none" w:sz="0" w:space="0" w:color="auto" w:frame="1"/>
                <w:shd w:val="clear" w:color="auto" w:fill="FFFFFF"/>
              </w:rPr>
              <w:t>ttēl</w:t>
            </w:r>
            <w:r w:rsidR="00304329" w:rsidRPr="007B3B27">
              <w:rPr>
                <w:rStyle w:val="Emphasis"/>
                <w:rFonts w:ascii="Calibri" w:hAnsi="Calibri" w:cs="Calibri"/>
                <w:b/>
                <w:i w:val="0"/>
                <w:color w:val="191919"/>
                <w:sz w:val="20"/>
                <w:szCs w:val="20"/>
                <w:bdr w:val="none" w:sz="0" w:space="0" w:color="auto" w:frame="1"/>
                <w:shd w:val="clear" w:color="auto" w:fill="FFFFFF"/>
              </w:rPr>
              <w:t>s:</w:t>
            </w:r>
            <w:r w:rsidR="00DB5CF6" w:rsidRPr="007B3B27">
              <w:rPr>
                <w:rStyle w:val="Emphasis"/>
                <w:rFonts w:ascii="Calibri" w:hAnsi="Calibri" w:cs="Calibri"/>
                <w:b/>
                <w:color w:val="191919"/>
                <w:sz w:val="20"/>
                <w:szCs w:val="20"/>
                <w:bdr w:val="none" w:sz="0" w:space="0" w:color="auto" w:frame="1"/>
                <w:shd w:val="clear" w:color="auto" w:fill="FFFFFF"/>
              </w:rPr>
              <w:t xml:space="preserve"> </w:t>
            </w:r>
            <w:r w:rsidR="00DB5CF6" w:rsidRPr="007B3B27">
              <w:rPr>
                <w:rFonts w:ascii="Calibri" w:hAnsi="Calibri" w:cs="Calibri"/>
                <w:sz w:val="20"/>
                <w:szCs w:val="20"/>
              </w:rPr>
              <w:t>Ostu ieguldījums kravu apgrozījuma pieaugumā (q-o-q)</w:t>
            </w:r>
          </w:p>
        </w:tc>
      </w:tr>
    </w:tbl>
    <w:p w14:paraId="2796A74A" w14:textId="34CD745A" w:rsidR="00DB5CF6" w:rsidRPr="004630D3" w:rsidRDefault="00DB5CF6" w:rsidP="00E80565">
      <w:pPr>
        <w:spacing w:before="240"/>
        <w:ind w:left="426"/>
        <w:jc w:val="both"/>
        <w:rPr>
          <w:rFonts w:ascii="Calibri" w:hAnsi="Calibri" w:cs="Calibri"/>
          <w:sz w:val="22"/>
        </w:rPr>
      </w:pPr>
      <w:r w:rsidRPr="004630D3">
        <w:rPr>
          <w:rFonts w:ascii="Calibri" w:hAnsi="Calibri" w:cs="Calibri"/>
          <w:sz w:val="22"/>
        </w:rPr>
        <w:t xml:space="preserve">Jāatzīmē, ka 2020. </w:t>
      </w:r>
      <w:proofErr w:type="gramStart"/>
      <w:r w:rsidRPr="004630D3">
        <w:rPr>
          <w:rFonts w:ascii="Calibri" w:hAnsi="Calibri" w:cs="Calibri"/>
          <w:sz w:val="22"/>
        </w:rPr>
        <w:t>gada</w:t>
      </w:r>
      <w:proofErr w:type="gramEnd"/>
      <w:r w:rsidRPr="004630D3">
        <w:rPr>
          <w:rFonts w:ascii="Calibri" w:hAnsi="Calibri" w:cs="Calibri"/>
          <w:sz w:val="22"/>
        </w:rPr>
        <w:t xml:space="preserve"> 2. </w:t>
      </w:r>
      <w:proofErr w:type="gramStart"/>
      <w:r w:rsidRPr="004630D3">
        <w:rPr>
          <w:rFonts w:ascii="Calibri" w:hAnsi="Calibri" w:cs="Calibri"/>
          <w:sz w:val="22"/>
        </w:rPr>
        <w:t>ceturksnī</w:t>
      </w:r>
      <w:proofErr w:type="gramEnd"/>
      <w:r w:rsidRPr="004630D3">
        <w:rPr>
          <w:rFonts w:ascii="Calibri" w:hAnsi="Calibri" w:cs="Calibri"/>
          <w:sz w:val="22"/>
        </w:rPr>
        <w:t xml:space="preserve">, pirmo reizi kopš 2018. </w:t>
      </w:r>
      <w:proofErr w:type="gramStart"/>
      <w:r w:rsidRPr="004630D3">
        <w:rPr>
          <w:rFonts w:ascii="Calibri" w:hAnsi="Calibri" w:cs="Calibri"/>
          <w:sz w:val="22"/>
        </w:rPr>
        <w:t>gada</w:t>
      </w:r>
      <w:proofErr w:type="gramEnd"/>
      <w:r w:rsidRPr="004630D3">
        <w:rPr>
          <w:rFonts w:ascii="Calibri" w:hAnsi="Calibri" w:cs="Calibri"/>
          <w:sz w:val="22"/>
        </w:rPr>
        <w:t xml:space="preserve"> IV ceturkšņa fiksēts  pieaugums pārvadājumos pa autoceļiem (+3.2%) apmērā. Autotransporta kravu pārvadājumu iekšējais sadalījums iekšzemes pārvadājumos </w:t>
      </w:r>
      <w:proofErr w:type="gramStart"/>
      <w:r w:rsidRPr="004630D3">
        <w:rPr>
          <w:rFonts w:ascii="Calibri" w:hAnsi="Calibri" w:cs="Calibri"/>
          <w:sz w:val="22"/>
        </w:rPr>
        <w:t>un</w:t>
      </w:r>
      <w:proofErr w:type="gramEnd"/>
      <w:r w:rsidRPr="004630D3">
        <w:rPr>
          <w:rFonts w:ascii="Calibri" w:hAnsi="Calibri" w:cs="Calibri"/>
          <w:sz w:val="22"/>
        </w:rPr>
        <w:t xml:space="preserve"> starptautiskos pārvadājumos, ir stabils pēdējos divu gadu laikā. Apmēram 75% pārvadājumu ir Iekšzemes </w:t>
      </w:r>
      <w:proofErr w:type="gramStart"/>
      <w:r w:rsidRPr="004630D3">
        <w:rPr>
          <w:rFonts w:ascii="Calibri" w:hAnsi="Calibri" w:cs="Calibri"/>
          <w:sz w:val="22"/>
        </w:rPr>
        <w:t>pārvadājumi,</w:t>
      </w:r>
      <w:proofErr w:type="gramEnd"/>
      <w:r w:rsidRPr="004630D3">
        <w:rPr>
          <w:rFonts w:ascii="Calibri" w:hAnsi="Calibri" w:cs="Calibri"/>
          <w:sz w:val="22"/>
        </w:rPr>
        <w:t xml:space="preserve"> bet 25% starptautiskie, savukārt starptautiskos pārvadājumos vairāk kā puse apjoma attiecināma uz pārvadājumiem ārvalstīs. </w:t>
      </w:r>
    </w:p>
    <w:p w14:paraId="599C8FA8" w14:textId="2B1B12A0" w:rsidR="00DB5CF6" w:rsidRPr="004630D3" w:rsidRDefault="00DB5CF6" w:rsidP="00E80565">
      <w:pPr>
        <w:pStyle w:val="ListParagraph"/>
        <w:numPr>
          <w:ilvl w:val="0"/>
          <w:numId w:val="23"/>
        </w:numPr>
        <w:spacing w:before="240"/>
        <w:ind w:left="426" w:hanging="426"/>
        <w:jc w:val="both"/>
        <w:rPr>
          <w:rFonts w:ascii="Calibri" w:hAnsi="Calibri" w:cs="Calibri"/>
          <w:sz w:val="22"/>
        </w:rPr>
      </w:pPr>
      <w:r w:rsidRPr="004630D3">
        <w:rPr>
          <w:rFonts w:ascii="Calibri" w:hAnsi="Calibri" w:cs="Calibri"/>
          <w:b/>
          <w:sz w:val="22"/>
        </w:rPr>
        <w:t xml:space="preserve">Aviopārvadājumos </w:t>
      </w:r>
      <w:r w:rsidRPr="004630D3">
        <w:rPr>
          <w:rFonts w:ascii="Calibri" w:hAnsi="Calibri" w:cs="Calibri"/>
          <w:sz w:val="22"/>
        </w:rPr>
        <w:t xml:space="preserve">janvārī salīdzinājumā ar pagājušā gada pirmo mēnesi par gandrīz par (+3%) pieaudzis lidostā “Rīga” apkalpoto kravu apjoms. Tomēr turpmākos mēnešos saņemtās </w:t>
      </w:r>
      <w:proofErr w:type="gramStart"/>
      <w:r w:rsidRPr="004630D3">
        <w:rPr>
          <w:rFonts w:ascii="Calibri" w:hAnsi="Calibri" w:cs="Calibri"/>
          <w:sz w:val="22"/>
        </w:rPr>
        <w:t>un</w:t>
      </w:r>
      <w:proofErr w:type="gramEnd"/>
      <w:r w:rsidRPr="004630D3">
        <w:rPr>
          <w:rFonts w:ascii="Calibri" w:hAnsi="Calibri" w:cs="Calibri"/>
          <w:sz w:val="22"/>
        </w:rPr>
        <w:t xml:space="preserve"> nosūtītās kravas un pasts samazinājās. Pēc CSP publicētiem datiem aprīlī </w:t>
      </w:r>
      <w:proofErr w:type="gramStart"/>
      <w:r w:rsidRPr="004630D3">
        <w:rPr>
          <w:rFonts w:ascii="Calibri" w:hAnsi="Calibri" w:cs="Calibri"/>
          <w:sz w:val="22"/>
        </w:rPr>
        <w:t>un</w:t>
      </w:r>
      <w:proofErr w:type="gramEnd"/>
      <w:r w:rsidRPr="004630D3">
        <w:rPr>
          <w:rFonts w:ascii="Calibri" w:hAnsi="Calibri" w:cs="Calibri"/>
          <w:sz w:val="22"/>
        </w:rPr>
        <w:t xml:space="preserve"> jūnijā salīdzinot ar 2019. </w:t>
      </w:r>
      <w:proofErr w:type="gramStart"/>
      <w:r w:rsidRPr="004630D3">
        <w:rPr>
          <w:rFonts w:ascii="Calibri" w:hAnsi="Calibri" w:cs="Calibri"/>
          <w:sz w:val="22"/>
        </w:rPr>
        <w:t>gada</w:t>
      </w:r>
      <w:proofErr w:type="gramEnd"/>
      <w:r w:rsidRPr="004630D3">
        <w:rPr>
          <w:rFonts w:ascii="Calibri" w:hAnsi="Calibri" w:cs="Calibri"/>
          <w:sz w:val="22"/>
        </w:rPr>
        <w:t xml:space="preserve"> atbilstošiem mēnešiem saņemto un nosūtīto kravu un pasta apjoms (tonnās) samazinājās attiecīgi par (-49.4%), un par (-37.7%).</w:t>
      </w:r>
    </w:p>
    <w:p w14:paraId="62615D91" w14:textId="6395DF4E" w:rsidR="00DB5CF6" w:rsidRPr="004630D3" w:rsidRDefault="00DB5CF6" w:rsidP="00E80565">
      <w:pPr>
        <w:pStyle w:val="ListParagraph"/>
        <w:numPr>
          <w:ilvl w:val="0"/>
          <w:numId w:val="23"/>
        </w:numPr>
        <w:ind w:left="426" w:hanging="426"/>
        <w:jc w:val="both"/>
        <w:rPr>
          <w:rFonts w:ascii="Calibri" w:hAnsi="Calibri" w:cs="Calibri"/>
          <w:sz w:val="22"/>
        </w:rPr>
      </w:pPr>
      <w:r w:rsidRPr="004630D3">
        <w:rPr>
          <w:rFonts w:ascii="Calibri" w:hAnsi="Calibri" w:cs="Calibri"/>
          <w:b/>
          <w:sz w:val="22"/>
        </w:rPr>
        <w:t>Pasažieru pārvadājumus</w:t>
      </w:r>
      <w:r w:rsidRPr="004630D3">
        <w:rPr>
          <w:rFonts w:ascii="Calibri" w:hAnsi="Calibri" w:cs="Calibri"/>
          <w:sz w:val="22"/>
        </w:rPr>
        <w:t xml:space="preserve"> 2020. </w:t>
      </w:r>
      <w:proofErr w:type="gramStart"/>
      <w:r w:rsidRPr="004630D3">
        <w:rPr>
          <w:rFonts w:ascii="Calibri" w:hAnsi="Calibri" w:cs="Calibri"/>
          <w:sz w:val="22"/>
        </w:rPr>
        <w:t>gada</w:t>
      </w:r>
      <w:proofErr w:type="gramEnd"/>
      <w:r w:rsidRPr="004630D3">
        <w:rPr>
          <w:rFonts w:ascii="Calibri" w:hAnsi="Calibri" w:cs="Calibri"/>
          <w:sz w:val="22"/>
        </w:rPr>
        <w:t xml:space="preserve"> pirmajā pusgadā spēcīgi ietekmēja ar Covid-19 ieviestie ierobežojumi. Pasažieru pārvadājumi ar sauszemes transportu 2020. </w:t>
      </w:r>
      <w:proofErr w:type="gramStart"/>
      <w:r w:rsidRPr="004630D3">
        <w:rPr>
          <w:rFonts w:ascii="Calibri" w:hAnsi="Calibri" w:cs="Calibri"/>
          <w:sz w:val="22"/>
        </w:rPr>
        <w:t>gada</w:t>
      </w:r>
      <w:proofErr w:type="gramEnd"/>
      <w:r w:rsidRPr="004630D3">
        <w:rPr>
          <w:rFonts w:ascii="Calibri" w:hAnsi="Calibri" w:cs="Calibri"/>
          <w:sz w:val="22"/>
        </w:rPr>
        <w:t xml:space="preserve"> pirmajā pusgadā salīdzinot ar 2019. </w:t>
      </w:r>
      <w:proofErr w:type="gramStart"/>
      <w:r w:rsidRPr="004630D3">
        <w:rPr>
          <w:rFonts w:ascii="Calibri" w:hAnsi="Calibri" w:cs="Calibri"/>
          <w:sz w:val="22"/>
        </w:rPr>
        <w:t>gada</w:t>
      </w:r>
      <w:proofErr w:type="gramEnd"/>
      <w:r w:rsidRPr="004630D3">
        <w:rPr>
          <w:rFonts w:ascii="Calibri" w:hAnsi="Calibri" w:cs="Calibri"/>
          <w:sz w:val="22"/>
        </w:rPr>
        <w:t xml:space="preserve"> atbilstošo periodu kritušies par (-38.9%), t. sk. </w:t>
      </w:r>
      <w:r w:rsidRPr="004630D3">
        <w:rPr>
          <w:rFonts w:ascii="Calibri" w:hAnsi="Calibri" w:cs="Calibri"/>
          <w:sz w:val="22"/>
        </w:rPr>
        <w:lastRenderedPageBreak/>
        <w:t>lielākais kritums fiksēts tieši 2. ceturksnī, kad pasažieru skaits samazinājās par (-64.1 %), liecina CSP dati.</w:t>
      </w:r>
      <w:r w:rsidR="004630D3">
        <w:rPr>
          <w:rFonts w:ascii="Calibri" w:hAnsi="Calibri" w:cs="Calibri"/>
          <w:sz w:val="22"/>
        </w:rPr>
        <w:t xml:space="preserve">  </w:t>
      </w:r>
      <w:r w:rsidRPr="004630D3">
        <w:rPr>
          <w:rFonts w:ascii="Calibri" w:hAnsi="Calibri" w:cs="Calibri"/>
          <w:sz w:val="22"/>
        </w:rPr>
        <w:t>Pirmajā pusgadā ar dzelzceļa transportu pārvietojās par (-31.8 %) mazāk pasažieru nekā 2019. gada atbilstošā laika posmā, turklāt pasažieru pārvadājumi iekšzemē samazinājās par (-31.4 %), bet starptautiskajos pārvadājumos par (-76.6 %).</w:t>
      </w:r>
      <w:r w:rsidR="004630D3">
        <w:rPr>
          <w:rFonts w:ascii="Calibri" w:hAnsi="Calibri" w:cs="Calibri"/>
          <w:sz w:val="22"/>
        </w:rPr>
        <w:t xml:space="preserve"> </w:t>
      </w:r>
      <w:r w:rsidRPr="004630D3">
        <w:rPr>
          <w:rFonts w:ascii="Calibri" w:hAnsi="Calibri" w:cs="Calibri"/>
          <w:sz w:val="22"/>
        </w:rPr>
        <w:t>2020. </w:t>
      </w:r>
      <w:proofErr w:type="gramStart"/>
      <w:r w:rsidRPr="004630D3">
        <w:rPr>
          <w:rFonts w:ascii="Calibri" w:hAnsi="Calibri" w:cs="Calibri"/>
          <w:sz w:val="22"/>
        </w:rPr>
        <w:t>gada</w:t>
      </w:r>
      <w:proofErr w:type="gramEnd"/>
      <w:r w:rsidRPr="004630D3">
        <w:rPr>
          <w:rFonts w:ascii="Calibri" w:hAnsi="Calibri" w:cs="Calibri"/>
          <w:sz w:val="22"/>
        </w:rPr>
        <w:t xml:space="preserve"> pirmajā pusgadā ar prāmjiem Latvijas ostās iebrauca un no ostām izbrauca par 57.2 % mazāk pasažieru nekā 2019. </w:t>
      </w:r>
      <w:proofErr w:type="gramStart"/>
      <w:r w:rsidRPr="004630D3">
        <w:rPr>
          <w:rFonts w:ascii="Calibri" w:hAnsi="Calibri" w:cs="Calibri"/>
          <w:sz w:val="22"/>
        </w:rPr>
        <w:t>gada</w:t>
      </w:r>
      <w:proofErr w:type="gramEnd"/>
      <w:r w:rsidRPr="004630D3">
        <w:rPr>
          <w:rFonts w:ascii="Calibri" w:hAnsi="Calibri" w:cs="Calibri"/>
          <w:sz w:val="22"/>
        </w:rPr>
        <w:t xml:space="preserve"> pirmajā pusgadā. Pasažieru apgrozījums prāmju satiksmē 2. </w:t>
      </w:r>
      <w:proofErr w:type="gramStart"/>
      <w:r w:rsidRPr="004630D3">
        <w:rPr>
          <w:rFonts w:ascii="Calibri" w:hAnsi="Calibri" w:cs="Calibri"/>
          <w:sz w:val="22"/>
        </w:rPr>
        <w:t>ceturksnī</w:t>
      </w:r>
      <w:proofErr w:type="gramEnd"/>
      <w:r w:rsidRPr="004630D3">
        <w:rPr>
          <w:rFonts w:ascii="Calibri" w:hAnsi="Calibri" w:cs="Calibri"/>
          <w:sz w:val="22"/>
        </w:rPr>
        <w:t xml:space="preserve"> samazinājās pat par (95.2 %), pie tam visvairāk cieta tieši Rīgas osta, kas nodrošina regulāro prāmju satiksmi ar Stokholmu. Pirmajā pusgadā Rīgas osta apkalpoja par (-66.5 %) pasažieru mazāk nekā pērn. </w:t>
      </w:r>
    </w:p>
    <w:p w14:paraId="4C4F6D53" w14:textId="4C437B52" w:rsidR="00DB5CF6" w:rsidRPr="004630D3" w:rsidRDefault="00DB5CF6" w:rsidP="00E80565">
      <w:pPr>
        <w:pStyle w:val="ListParagraph"/>
        <w:numPr>
          <w:ilvl w:val="0"/>
          <w:numId w:val="23"/>
        </w:numPr>
        <w:ind w:left="426" w:hanging="426"/>
        <w:jc w:val="both"/>
        <w:rPr>
          <w:rFonts w:ascii="Calibri" w:hAnsi="Calibri" w:cs="Calibri"/>
          <w:sz w:val="22"/>
        </w:rPr>
      </w:pPr>
      <w:r w:rsidRPr="004630D3">
        <w:rPr>
          <w:rFonts w:ascii="Calibri" w:hAnsi="Calibri" w:cs="Calibri"/>
          <w:sz w:val="22"/>
        </w:rPr>
        <w:t>Lidosta “Rīga” šī gada sākumā uzsāka darbību ar ļoti labiem rezultātiem</w:t>
      </w:r>
      <w:r w:rsidRPr="00C12F1A">
        <w:rPr>
          <w:rStyle w:val="FootnoteReference"/>
          <w:rFonts w:ascii="Calibri" w:hAnsi="Calibri" w:cs="Calibri"/>
          <w:sz w:val="22"/>
        </w:rPr>
        <w:footnoteReference w:id="23"/>
      </w:r>
      <w:r w:rsidRPr="004630D3">
        <w:rPr>
          <w:rFonts w:ascii="Calibri" w:hAnsi="Calibri" w:cs="Calibri"/>
          <w:sz w:val="22"/>
        </w:rPr>
        <w:t xml:space="preserve"> pasažieru, t.sk tranzīta pasažieru pārvadājumos. Janvārī apkalpoto pasažieru skaits salīdzinot ar 2019. </w:t>
      </w:r>
      <w:proofErr w:type="gramStart"/>
      <w:r w:rsidRPr="004630D3">
        <w:rPr>
          <w:rFonts w:ascii="Calibri" w:hAnsi="Calibri" w:cs="Calibri"/>
          <w:sz w:val="22"/>
        </w:rPr>
        <w:t>gada</w:t>
      </w:r>
      <w:proofErr w:type="gramEnd"/>
      <w:r w:rsidRPr="004630D3">
        <w:rPr>
          <w:rFonts w:ascii="Calibri" w:hAnsi="Calibri" w:cs="Calibri"/>
          <w:sz w:val="22"/>
        </w:rPr>
        <w:t xml:space="preserve"> janvāri pieauga par (+12.2%), tostarp par (+17.3%) pieaudzis transfēra pasažieru skaits. Tomēr kopumā pirmajā pusgadā pasažieru plūsma lidostā samazinājās par (-62.9 %), salīdzinājumā ar 2019. gada pirmo pusgadu.</w:t>
      </w:r>
    </w:p>
    <w:p w14:paraId="1E21E757" w14:textId="77777777" w:rsidR="00DB5CF6" w:rsidRDefault="00DB5CF6" w:rsidP="00DB5CF6">
      <w:pPr>
        <w:rPr>
          <w:rFonts w:ascii="Calibri" w:hAnsi="Calibri" w:cs="Calibri"/>
          <w:sz w:val="22"/>
        </w:rPr>
      </w:pPr>
    </w:p>
    <w:p w14:paraId="15B4B473" w14:textId="77777777" w:rsidR="00DB5CF6" w:rsidRPr="003D216C" w:rsidRDefault="00DB5CF6" w:rsidP="00DB5CF6">
      <w:pPr>
        <w:rPr>
          <w:rFonts w:ascii="Calibri" w:hAnsi="Calibri" w:cs="Calibri"/>
          <w:b/>
          <w:sz w:val="22"/>
        </w:rPr>
      </w:pPr>
      <w:r w:rsidRPr="003D216C">
        <w:rPr>
          <w:rFonts w:ascii="Calibri" w:hAnsi="Calibri" w:cs="Calibri"/>
          <w:b/>
          <w:sz w:val="22"/>
        </w:rPr>
        <w:t>Par ārējo tirdzniecību</w:t>
      </w:r>
    </w:p>
    <w:p w14:paraId="507B49F6" w14:textId="4927BABC" w:rsidR="00DB5CF6" w:rsidRPr="004630D3" w:rsidRDefault="004630D3" w:rsidP="00462E32">
      <w:pPr>
        <w:pStyle w:val="ListParagraph"/>
        <w:numPr>
          <w:ilvl w:val="0"/>
          <w:numId w:val="23"/>
        </w:numPr>
        <w:jc w:val="both"/>
        <w:rPr>
          <w:rFonts w:ascii="Calibri" w:hAnsi="Calibri" w:cs="Calibri"/>
          <w:sz w:val="22"/>
        </w:rPr>
      </w:pPr>
      <w:r w:rsidRPr="004630D3">
        <w:rPr>
          <w:b/>
          <w:noProof/>
          <w:lang w:val="lv-LV" w:eastAsia="lv-LV"/>
        </w:rPr>
        <mc:AlternateContent>
          <mc:Choice Requires="wps">
            <w:drawing>
              <wp:anchor distT="45720" distB="45720" distL="114300" distR="114300" simplePos="0" relativeHeight="251662336" behindDoc="0" locked="0" layoutInCell="1" allowOverlap="1" wp14:anchorId="53F9206B" wp14:editId="3494C484">
                <wp:simplePos x="0" y="0"/>
                <wp:positionH relativeFrom="column">
                  <wp:posOffset>38100</wp:posOffset>
                </wp:positionH>
                <wp:positionV relativeFrom="paragraph">
                  <wp:posOffset>61595</wp:posOffset>
                </wp:positionV>
                <wp:extent cx="2717800" cy="2946400"/>
                <wp:effectExtent l="0" t="0" r="635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946400"/>
                        </a:xfrm>
                        <a:prstGeom prst="rect">
                          <a:avLst/>
                        </a:prstGeom>
                        <a:solidFill>
                          <a:srgbClr val="FFFFFF"/>
                        </a:solidFill>
                        <a:ln w="9525">
                          <a:noFill/>
                          <a:miter lim="800000"/>
                          <a:headEnd/>
                          <a:tailEnd/>
                        </a:ln>
                      </wps:spPr>
                      <wps:txbx>
                        <w:txbxContent>
                          <w:p w14:paraId="669D7CF1" w14:textId="1834E5E2" w:rsidR="00EB0955" w:rsidRDefault="00EB0955">
                            <w:r>
                              <w:rPr>
                                <w:noProof/>
                                <w:lang w:val="lv-LV" w:eastAsia="lv-LV"/>
                              </w:rPr>
                              <w:drawing>
                                <wp:inline distT="0" distB="0" distL="0" distR="0" wp14:anchorId="148DF23E" wp14:editId="4A43DD23">
                                  <wp:extent cx="2622550" cy="2216150"/>
                                  <wp:effectExtent l="0" t="0" r="6350" b="1270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1C8CF926" w14:textId="77777777" w:rsidR="00EB0955" w:rsidRDefault="00EB0955">
                            <w:pPr>
                              <w:rPr>
                                <w:rFonts w:asciiTheme="minorHAnsi" w:hAnsiTheme="minorHAnsi"/>
                                <w:sz w:val="20"/>
                              </w:rPr>
                            </w:pPr>
                          </w:p>
                          <w:p w14:paraId="4063D8E8" w14:textId="15EF689C" w:rsidR="00EB0955" w:rsidRPr="00A56A17" w:rsidRDefault="00EB0955">
                            <w:pPr>
                              <w:rPr>
                                <w:rFonts w:asciiTheme="minorHAnsi" w:hAnsiTheme="minorHAnsi"/>
                                <w:i/>
                                <w:sz w:val="20"/>
                              </w:rPr>
                            </w:pPr>
                            <w:r w:rsidRPr="00A56A17">
                              <w:rPr>
                                <w:rFonts w:asciiTheme="minorHAnsi" w:hAnsiTheme="minorHAnsi"/>
                                <w:i/>
                                <w:sz w:val="20"/>
                              </w:rPr>
                              <w:t>Avots: CSP (</w:t>
                            </w:r>
                            <w:r w:rsidRPr="00A56A17">
                              <w:rPr>
                                <w:rFonts w:ascii="Calibri" w:hAnsi="Calibri" w:cs="Calibri"/>
                                <w:i/>
                                <w:sz w:val="20"/>
                              </w:rPr>
                              <w:t>AT0051m</w:t>
                            </w:r>
                            <w:r w:rsidRPr="00A56A17">
                              <w:rPr>
                                <w:rFonts w:asciiTheme="minorHAnsi" w:hAnsiTheme="minorHAnsi"/>
                                <w:i/>
                                <w:sz w:val="20"/>
                              </w:rPr>
                              <w:t>)</w:t>
                            </w:r>
                          </w:p>
                          <w:p w14:paraId="2A1BD488" w14:textId="71E5F3D8" w:rsidR="00EB0955" w:rsidRPr="00A56A17" w:rsidRDefault="00EB0955">
                            <w:pPr>
                              <w:rPr>
                                <w:rFonts w:asciiTheme="minorHAnsi" w:hAnsiTheme="minorHAnsi"/>
                                <w:b/>
                                <w:sz w:val="20"/>
                              </w:rPr>
                            </w:pPr>
                            <w:r>
                              <w:rPr>
                                <w:rFonts w:asciiTheme="minorHAnsi" w:hAnsiTheme="minorHAnsi"/>
                                <w:b/>
                                <w:sz w:val="20"/>
                              </w:rPr>
                              <w:t xml:space="preserve">18. </w:t>
                            </w:r>
                            <w:proofErr w:type="gramStart"/>
                            <w:r>
                              <w:rPr>
                                <w:rFonts w:asciiTheme="minorHAnsi" w:hAnsiTheme="minorHAnsi"/>
                                <w:b/>
                                <w:sz w:val="20"/>
                              </w:rPr>
                              <w:t>a</w:t>
                            </w:r>
                            <w:r w:rsidRPr="00A56A17">
                              <w:rPr>
                                <w:rFonts w:asciiTheme="minorHAnsi" w:hAnsiTheme="minorHAnsi"/>
                                <w:b/>
                                <w:sz w:val="20"/>
                              </w:rPr>
                              <w:t>ttēls</w:t>
                            </w:r>
                            <w:proofErr w:type="gramEnd"/>
                            <w:r w:rsidRPr="00A56A17">
                              <w:rPr>
                                <w:rFonts w:asciiTheme="minorHAnsi" w:hAnsiTheme="minorHAnsi"/>
                                <w:b/>
                                <w:sz w:val="20"/>
                              </w:rPr>
                              <w:t xml:space="preserve">: Latvijas eksports kopā uz ES valstīm 2020. Gada janvāris līdz jūlijs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F9206B" id="_x0000_t202" coordsize="21600,21600" o:spt="202" path="m,l,21600r21600,l21600,xe">
                <v:stroke joinstyle="miter"/>
                <v:path gradientshapeok="t" o:connecttype="rect"/>
              </v:shapetype>
              <v:shape id="Text Box 2" o:spid="_x0000_s1026" type="#_x0000_t202" style="position:absolute;left:0;text-align:left;margin-left:3pt;margin-top:4.85pt;width:214pt;height:23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" stroked="f">
                <v:textbox>
                  <w:txbxContent>
                    <w:p w14:paraId="669D7CF1" w14:textId="1834E5E2" w:rsidR="00EB0955" w:rsidRDefault="00EB0955">
                      <w:r>
                        <w:rPr>
                          <w:noProof/>
                          <w:lang w:val="lv-LV" w:eastAsia="lv-LV"/>
                        </w:rPr>
                        <w:drawing>
                          <wp:inline distT="0" distB="0" distL="0" distR="0" wp14:anchorId="148DF23E" wp14:editId="4A43DD23">
                            <wp:extent cx="2622550" cy="2216150"/>
                            <wp:effectExtent l="0" t="0" r="6350" b="1270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1C8CF926" w14:textId="77777777" w:rsidR="00EB0955" w:rsidRDefault="00EB0955">
                      <w:pPr>
                        <w:rPr>
                          <w:rFonts w:asciiTheme="minorHAnsi" w:hAnsiTheme="minorHAnsi"/>
                          <w:sz w:val="20"/>
                        </w:rPr>
                      </w:pPr>
                    </w:p>
                    <w:p w14:paraId="4063D8E8" w14:textId="15EF689C" w:rsidR="00EB0955" w:rsidRPr="00A56A17" w:rsidRDefault="00EB0955">
                      <w:pPr>
                        <w:rPr>
                          <w:rFonts w:asciiTheme="minorHAnsi" w:hAnsiTheme="minorHAnsi"/>
                          <w:i/>
                          <w:sz w:val="20"/>
                        </w:rPr>
                      </w:pPr>
                      <w:r w:rsidRPr="00A56A17">
                        <w:rPr>
                          <w:rFonts w:asciiTheme="minorHAnsi" w:hAnsiTheme="minorHAnsi"/>
                          <w:i/>
                          <w:sz w:val="20"/>
                        </w:rPr>
                        <w:t>Avots: CSP (</w:t>
                      </w:r>
                      <w:r w:rsidRPr="00A56A17">
                        <w:rPr>
                          <w:rFonts w:ascii="Calibri" w:hAnsi="Calibri" w:cs="Calibri"/>
                          <w:i/>
                          <w:sz w:val="20"/>
                        </w:rPr>
                        <w:t>AT0051m</w:t>
                      </w:r>
                      <w:r w:rsidRPr="00A56A17">
                        <w:rPr>
                          <w:rFonts w:asciiTheme="minorHAnsi" w:hAnsiTheme="minorHAnsi"/>
                          <w:i/>
                          <w:sz w:val="20"/>
                        </w:rPr>
                        <w:t>)</w:t>
                      </w:r>
                    </w:p>
                    <w:p w14:paraId="2A1BD488" w14:textId="71E5F3D8" w:rsidR="00EB0955" w:rsidRPr="00A56A17" w:rsidRDefault="00EB0955">
                      <w:pPr>
                        <w:rPr>
                          <w:rFonts w:asciiTheme="minorHAnsi" w:hAnsiTheme="minorHAnsi"/>
                          <w:b/>
                          <w:sz w:val="20"/>
                        </w:rPr>
                      </w:pPr>
                      <w:r>
                        <w:rPr>
                          <w:rFonts w:asciiTheme="minorHAnsi" w:hAnsiTheme="minorHAnsi"/>
                          <w:b/>
                          <w:sz w:val="20"/>
                        </w:rPr>
                        <w:t>18. a</w:t>
                      </w:r>
                      <w:r w:rsidRPr="00A56A17">
                        <w:rPr>
                          <w:rFonts w:asciiTheme="minorHAnsi" w:hAnsiTheme="minorHAnsi"/>
                          <w:b/>
                          <w:sz w:val="20"/>
                        </w:rPr>
                        <w:t xml:space="preserve">ttēls: Latvijas eksports kopā uz ES valstīm 2020. Gada janvāris līdz jūlijs </w:t>
                      </w:r>
                    </w:p>
                  </w:txbxContent>
                </v:textbox>
                <w10:wrap type="square"/>
              </v:shape>
            </w:pict>
          </mc:Fallback>
        </mc:AlternateContent>
      </w:r>
      <w:r w:rsidR="00DB5CF6" w:rsidRPr="004630D3">
        <w:rPr>
          <w:rFonts w:ascii="Calibri" w:hAnsi="Calibri" w:cs="Calibri"/>
          <w:b/>
          <w:sz w:val="22"/>
        </w:rPr>
        <w:t>Ārējās tirdzniecības</w:t>
      </w:r>
      <w:r w:rsidR="00DB5CF6" w:rsidRPr="004630D3">
        <w:rPr>
          <w:rFonts w:ascii="Calibri" w:hAnsi="Calibri" w:cs="Calibri"/>
          <w:sz w:val="22"/>
        </w:rPr>
        <w:t xml:space="preserve"> pieaugums Latvijā sāka sabremzēties jau 2018.-2019. </w:t>
      </w:r>
      <w:proofErr w:type="gramStart"/>
      <w:r w:rsidR="00DB5CF6" w:rsidRPr="004630D3">
        <w:rPr>
          <w:rFonts w:ascii="Calibri" w:hAnsi="Calibri" w:cs="Calibri"/>
          <w:sz w:val="22"/>
        </w:rPr>
        <w:t>gadā</w:t>
      </w:r>
      <w:proofErr w:type="gramEnd"/>
      <w:r w:rsidR="00DB5CF6" w:rsidRPr="004630D3">
        <w:rPr>
          <w:rFonts w:ascii="Calibri" w:hAnsi="Calibri" w:cs="Calibri"/>
          <w:sz w:val="22"/>
        </w:rPr>
        <w:t xml:space="preserve">, kad eksports salīdzināmās cenās pieauga vien par (+1.9%). 2020. </w:t>
      </w:r>
      <w:proofErr w:type="gramStart"/>
      <w:r w:rsidR="00DB5CF6" w:rsidRPr="004630D3">
        <w:rPr>
          <w:rFonts w:ascii="Calibri" w:hAnsi="Calibri" w:cs="Calibri"/>
          <w:sz w:val="22"/>
        </w:rPr>
        <w:t>gada</w:t>
      </w:r>
      <w:proofErr w:type="gramEnd"/>
      <w:r w:rsidR="00DB5CF6" w:rsidRPr="004630D3">
        <w:rPr>
          <w:rFonts w:ascii="Calibri" w:hAnsi="Calibri" w:cs="Calibri"/>
          <w:sz w:val="22"/>
        </w:rPr>
        <w:t xml:space="preserve"> pirmie mēneši eksportam ir bijuši ar pozitīviem rezultātiem, tomēr jau sākot no marta un pēc CSP publicētiem datiem līdz jūlijam eksporta apjoms strauji kritās zemāko punktu sasniedzot š.g. maijā. Šā gada 2. </w:t>
      </w:r>
      <w:proofErr w:type="gramStart"/>
      <w:r w:rsidR="00DB5CF6" w:rsidRPr="004630D3">
        <w:rPr>
          <w:rFonts w:ascii="Calibri" w:hAnsi="Calibri" w:cs="Calibri"/>
          <w:sz w:val="22"/>
        </w:rPr>
        <w:t>ceturksnī</w:t>
      </w:r>
      <w:proofErr w:type="gramEnd"/>
      <w:r w:rsidR="00DB5CF6" w:rsidRPr="004630D3">
        <w:rPr>
          <w:rFonts w:ascii="Calibri" w:hAnsi="Calibri" w:cs="Calibri"/>
          <w:sz w:val="22"/>
        </w:rPr>
        <w:t xml:space="preserve"> ir novērots ievērojams eksporta apjoma sarukums (-11%), salīdzinot ar 2019. gada atbilstošo periodu. Vislielākais eksporta apjoma kritums ir novērots virzienā uz ES valstīm (-12.1%) </w:t>
      </w:r>
      <w:proofErr w:type="gramStart"/>
      <w:r w:rsidR="00DB5CF6" w:rsidRPr="004630D3">
        <w:rPr>
          <w:rFonts w:ascii="Calibri" w:hAnsi="Calibri" w:cs="Calibri"/>
          <w:sz w:val="22"/>
        </w:rPr>
        <w:t>un</w:t>
      </w:r>
      <w:proofErr w:type="gramEnd"/>
      <w:r w:rsidR="00DB5CF6" w:rsidRPr="004630D3">
        <w:rPr>
          <w:rFonts w:ascii="Calibri" w:hAnsi="Calibri" w:cs="Calibri"/>
          <w:sz w:val="22"/>
        </w:rPr>
        <w:t xml:space="preserve"> NVS</w:t>
      </w:r>
      <w:r w:rsidR="004B0127">
        <w:rPr>
          <w:rFonts w:ascii="Calibri" w:hAnsi="Calibri" w:cs="Calibri"/>
          <w:sz w:val="22"/>
        </w:rPr>
        <w:t xml:space="preserve"> valstīm (-1.6%). Savukārt uz “c</w:t>
      </w:r>
      <w:r w:rsidR="00DB5CF6" w:rsidRPr="004630D3">
        <w:rPr>
          <w:rFonts w:ascii="Calibri" w:hAnsi="Calibri" w:cs="Calibri"/>
          <w:sz w:val="22"/>
        </w:rPr>
        <w:t>itām” valstīm eksports ir pieaudzis par 2.8%.</w:t>
      </w:r>
    </w:p>
    <w:p w14:paraId="24D14653" w14:textId="77777777" w:rsidR="00DB5CF6" w:rsidRDefault="00DB5CF6" w:rsidP="00DB5CF6">
      <w:pPr>
        <w:spacing w:before="240"/>
        <w:rPr>
          <w:rFonts w:ascii="Calibri" w:hAnsi="Calibri" w:cs="Calibri"/>
          <w:sz w:val="22"/>
        </w:rPr>
      </w:pPr>
      <w:r w:rsidRPr="00CD472E">
        <w:rPr>
          <w:noProof/>
          <w:sz w:val="20"/>
          <w:lang w:val="lv-LV" w:eastAsia="lv-LV"/>
        </w:rPr>
        <w:lastRenderedPageBreak/>
        <w:drawing>
          <wp:inline distT="0" distB="0" distL="0" distR="0" wp14:anchorId="34C89912" wp14:editId="0EA517A4">
            <wp:extent cx="5274310" cy="2522855"/>
            <wp:effectExtent l="0" t="0" r="2540" b="0"/>
            <wp:docPr id="9" name="Chart 9">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0B839D78" w14:textId="77777777" w:rsidR="00DB5CF6" w:rsidRPr="007B3B27" w:rsidRDefault="00DB5CF6" w:rsidP="00DB5CF6">
      <w:pPr>
        <w:rPr>
          <w:rFonts w:ascii="Calibri" w:hAnsi="Calibri" w:cs="Calibri"/>
          <w:i/>
          <w:sz w:val="20"/>
          <w:szCs w:val="20"/>
        </w:rPr>
      </w:pPr>
      <w:r w:rsidRPr="007B3B27">
        <w:rPr>
          <w:rFonts w:ascii="Calibri" w:hAnsi="Calibri" w:cs="Calibri"/>
          <w:i/>
          <w:sz w:val="20"/>
          <w:szCs w:val="20"/>
        </w:rPr>
        <w:t>Avots CSP [AT0020m]</w:t>
      </w:r>
    </w:p>
    <w:p w14:paraId="533CCABA" w14:textId="3D41D0D4" w:rsidR="00DB5CF6" w:rsidRPr="007B3B27" w:rsidRDefault="00304329" w:rsidP="00DB5CF6">
      <w:pPr>
        <w:rPr>
          <w:rFonts w:ascii="Calibri" w:hAnsi="Calibri" w:cs="Calibri"/>
          <w:sz w:val="20"/>
          <w:szCs w:val="20"/>
        </w:rPr>
      </w:pPr>
      <w:r w:rsidRPr="007B3B27">
        <w:rPr>
          <w:rStyle w:val="Emphasis"/>
          <w:rFonts w:ascii="Calibri" w:hAnsi="Calibri" w:cs="Calibri"/>
          <w:b/>
          <w:i w:val="0"/>
          <w:color w:val="191919"/>
          <w:sz w:val="20"/>
          <w:szCs w:val="20"/>
          <w:bdr w:val="none" w:sz="0" w:space="0" w:color="auto" w:frame="1"/>
          <w:shd w:val="clear" w:color="auto" w:fill="FFFFFF"/>
        </w:rPr>
        <w:t>19</w:t>
      </w:r>
      <w:proofErr w:type="gramStart"/>
      <w:r w:rsidRPr="007B3B27">
        <w:rPr>
          <w:rStyle w:val="Emphasis"/>
          <w:rFonts w:ascii="Calibri" w:hAnsi="Calibri" w:cs="Calibri"/>
          <w:b/>
          <w:i w:val="0"/>
          <w:color w:val="191919"/>
          <w:sz w:val="20"/>
          <w:szCs w:val="20"/>
          <w:bdr w:val="none" w:sz="0" w:space="0" w:color="auto" w:frame="1"/>
          <w:shd w:val="clear" w:color="auto" w:fill="FFFFFF"/>
        </w:rPr>
        <w:t>.a</w:t>
      </w:r>
      <w:r w:rsidR="00DB5CF6" w:rsidRPr="007B3B27">
        <w:rPr>
          <w:rStyle w:val="Emphasis"/>
          <w:rFonts w:ascii="Calibri" w:hAnsi="Calibri" w:cs="Calibri"/>
          <w:b/>
          <w:i w:val="0"/>
          <w:color w:val="191919"/>
          <w:sz w:val="20"/>
          <w:szCs w:val="20"/>
          <w:bdr w:val="none" w:sz="0" w:space="0" w:color="auto" w:frame="1"/>
          <w:shd w:val="clear" w:color="auto" w:fill="FFFFFF"/>
        </w:rPr>
        <w:t>ttēls</w:t>
      </w:r>
      <w:proofErr w:type="gramEnd"/>
      <w:r w:rsidR="00DB5CF6" w:rsidRPr="007B3B27">
        <w:rPr>
          <w:rStyle w:val="Emphasis"/>
          <w:rFonts w:ascii="Calibri" w:hAnsi="Calibri" w:cs="Calibri"/>
          <w:b/>
          <w:i w:val="0"/>
          <w:color w:val="191919"/>
          <w:sz w:val="20"/>
          <w:szCs w:val="20"/>
          <w:bdr w:val="none" w:sz="0" w:space="0" w:color="auto" w:frame="1"/>
          <w:shd w:val="clear" w:color="auto" w:fill="FFFFFF"/>
        </w:rPr>
        <w:t>:</w:t>
      </w:r>
      <w:r w:rsidR="00DB5CF6" w:rsidRPr="007B3B27">
        <w:rPr>
          <w:rFonts w:ascii="Calibri" w:eastAsia="Calibri" w:hAnsi="Calibri" w:cs="Calibri"/>
          <w:bCs/>
          <w:color w:val="000000"/>
          <w:kern w:val="24"/>
          <w:sz w:val="20"/>
          <w:szCs w:val="20"/>
          <w:lang w:eastAsia="lv-LV"/>
        </w:rPr>
        <w:t xml:space="preserve"> </w:t>
      </w:r>
      <w:r w:rsidR="00DB5CF6" w:rsidRPr="007B3B27">
        <w:rPr>
          <w:rFonts w:ascii="Calibri" w:hAnsi="Calibri" w:cs="Calibri"/>
          <w:sz w:val="20"/>
          <w:szCs w:val="20"/>
        </w:rPr>
        <w:t>Ieguldījums eksporta izaugsmē pa reģioniem, salīdzinājumā ar iepriekšējā gada atbilstošo ceturksni (q-o-q)</w:t>
      </w:r>
    </w:p>
    <w:p w14:paraId="6A57D18B" w14:textId="77777777" w:rsidR="00A56A17" w:rsidRDefault="00A56A17" w:rsidP="00DB5CF6">
      <w:pPr>
        <w:rPr>
          <w:rFonts w:ascii="Calibri" w:hAnsi="Calibri" w:cs="Calibri"/>
          <w:sz w:val="22"/>
        </w:rPr>
      </w:pPr>
    </w:p>
    <w:p w14:paraId="5E3A1C02" w14:textId="04FA8E87" w:rsidR="00DB5CF6" w:rsidRPr="00A56A17" w:rsidRDefault="00DB5CF6" w:rsidP="004B0127">
      <w:pPr>
        <w:pStyle w:val="ListParagraph"/>
        <w:numPr>
          <w:ilvl w:val="0"/>
          <w:numId w:val="23"/>
        </w:numPr>
        <w:ind w:left="426" w:hanging="426"/>
        <w:rPr>
          <w:rFonts w:ascii="Calibri" w:hAnsi="Calibri" w:cs="Calibri"/>
          <w:sz w:val="22"/>
        </w:rPr>
      </w:pPr>
      <w:r w:rsidRPr="00A56A17">
        <w:rPr>
          <w:rFonts w:ascii="Calibri" w:hAnsi="Calibri" w:cs="Calibri"/>
          <w:sz w:val="22"/>
        </w:rPr>
        <w:t xml:space="preserve">CSB eksporta dati pa kombinētās nomenklatūras sadaļām </w:t>
      </w:r>
      <w:proofErr w:type="gramStart"/>
      <w:r w:rsidRPr="00A56A17">
        <w:rPr>
          <w:rFonts w:ascii="Calibri" w:hAnsi="Calibri" w:cs="Calibri"/>
          <w:sz w:val="22"/>
        </w:rPr>
        <w:t>un</w:t>
      </w:r>
      <w:proofErr w:type="gramEnd"/>
      <w:r w:rsidRPr="00A56A17">
        <w:rPr>
          <w:rFonts w:ascii="Calibri" w:hAnsi="Calibri" w:cs="Calibri"/>
          <w:sz w:val="22"/>
        </w:rPr>
        <w:t xml:space="preserve"> valstīm (eiro) 2. </w:t>
      </w:r>
      <w:proofErr w:type="gramStart"/>
      <w:r w:rsidRPr="00A56A17">
        <w:rPr>
          <w:rFonts w:ascii="Calibri" w:hAnsi="Calibri" w:cs="Calibri"/>
          <w:sz w:val="22"/>
        </w:rPr>
        <w:t>ceturksnī</w:t>
      </w:r>
      <w:proofErr w:type="gramEnd"/>
      <w:r w:rsidRPr="00A56A17">
        <w:rPr>
          <w:rFonts w:ascii="Calibri" w:hAnsi="Calibri" w:cs="Calibri"/>
          <w:sz w:val="22"/>
        </w:rPr>
        <w:t xml:space="preserve"> liecina, ka preces tika eksportētas uz Lietuvu (16.7%) un Igauniju (12.1%),  kā arī uz Krieviju (8%) un Vāciju (7.1%). </w:t>
      </w:r>
    </w:p>
    <w:p w14:paraId="76515BC7" w14:textId="77777777" w:rsidR="00DB5CF6" w:rsidRDefault="00DB5CF6" w:rsidP="00DB5CF6">
      <w:pPr>
        <w:spacing w:before="240"/>
        <w:rPr>
          <w:rFonts w:ascii="Calibri" w:hAnsi="Calibri" w:cs="Calibri"/>
          <w:sz w:val="22"/>
        </w:rPr>
      </w:pPr>
      <w:r>
        <w:rPr>
          <w:noProof/>
          <w:lang w:val="lv-LV" w:eastAsia="lv-LV"/>
        </w:rPr>
        <w:drawing>
          <wp:inline distT="0" distB="0" distL="0" distR="0" wp14:anchorId="6E88A8B8" wp14:editId="0BBD9940">
            <wp:extent cx="5274310" cy="2606675"/>
            <wp:effectExtent l="0" t="0" r="0" b="0"/>
            <wp:docPr id="10" name="Chart 10">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2A3AE671" w14:textId="77777777" w:rsidR="00DB5CF6" w:rsidRPr="007B3B27" w:rsidRDefault="00DB5CF6" w:rsidP="00DB5CF6">
      <w:pPr>
        <w:rPr>
          <w:rFonts w:ascii="Calibri" w:hAnsi="Calibri" w:cs="Calibri"/>
          <w:i/>
          <w:sz w:val="20"/>
          <w:szCs w:val="20"/>
        </w:rPr>
      </w:pPr>
      <w:r w:rsidRPr="007B3B27">
        <w:rPr>
          <w:rFonts w:ascii="Calibri" w:hAnsi="Calibri" w:cs="Calibri"/>
          <w:i/>
          <w:sz w:val="20"/>
          <w:szCs w:val="20"/>
        </w:rPr>
        <w:t>Avots CSP [AT0051m]</w:t>
      </w:r>
    </w:p>
    <w:p w14:paraId="30A74E59" w14:textId="0A1BCB73" w:rsidR="00DB5CF6" w:rsidRPr="007B3B27" w:rsidRDefault="00304329" w:rsidP="00DB5CF6">
      <w:pPr>
        <w:rPr>
          <w:rFonts w:ascii="Calibri" w:hAnsi="Calibri" w:cs="Calibri"/>
          <w:sz w:val="20"/>
          <w:szCs w:val="20"/>
        </w:rPr>
      </w:pPr>
      <w:r w:rsidRPr="007B3B27">
        <w:rPr>
          <w:rStyle w:val="Emphasis"/>
          <w:rFonts w:ascii="Calibri" w:hAnsi="Calibri" w:cs="Calibri"/>
          <w:b/>
          <w:color w:val="191919"/>
          <w:sz w:val="20"/>
          <w:szCs w:val="20"/>
          <w:bdr w:val="none" w:sz="0" w:space="0" w:color="auto" w:frame="1"/>
          <w:shd w:val="clear" w:color="auto" w:fill="FFFFFF"/>
        </w:rPr>
        <w:t xml:space="preserve">20. </w:t>
      </w:r>
      <w:proofErr w:type="gramStart"/>
      <w:r w:rsidRPr="007B3B27">
        <w:rPr>
          <w:rStyle w:val="Emphasis"/>
          <w:rFonts w:ascii="Calibri" w:hAnsi="Calibri" w:cs="Calibri"/>
          <w:b/>
          <w:color w:val="191919"/>
          <w:sz w:val="20"/>
          <w:szCs w:val="20"/>
          <w:bdr w:val="none" w:sz="0" w:space="0" w:color="auto" w:frame="1"/>
          <w:shd w:val="clear" w:color="auto" w:fill="FFFFFF"/>
        </w:rPr>
        <w:t>a</w:t>
      </w:r>
      <w:r w:rsidR="00DB5CF6" w:rsidRPr="007B3B27">
        <w:rPr>
          <w:rStyle w:val="Emphasis"/>
          <w:rFonts w:ascii="Calibri" w:hAnsi="Calibri" w:cs="Calibri"/>
          <w:b/>
          <w:color w:val="191919"/>
          <w:sz w:val="20"/>
          <w:szCs w:val="20"/>
          <w:bdr w:val="none" w:sz="0" w:space="0" w:color="auto" w:frame="1"/>
          <w:shd w:val="clear" w:color="auto" w:fill="FFFFFF"/>
        </w:rPr>
        <w:t>ttēls</w:t>
      </w:r>
      <w:proofErr w:type="gramEnd"/>
      <w:r w:rsidR="00DB5CF6" w:rsidRPr="007B3B27">
        <w:rPr>
          <w:rStyle w:val="Emphasis"/>
          <w:rFonts w:ascii="Calibri" w:hAnsi="Calibri" w:cs="Calibri"/>
          <w:b/>
          <w:color w:val="191919"/>
          <w:sz w:val="20"/>
          <w:szCs w:val="20"/>
          <w:bdr w:val="none" w:sz="0" w:space="0" w:color="auto" w:frame="1"/>
          <w:shd w:val="clear" w:color="auto" w:fill="FFFFFF"/>
        </w:rPr>
        <w:t xml:space="preserve">: </w:t>
      </w:r>
      <w:r w:rsidR="00DB5CF6" w:rsidRPr="007B3B27">
        <w:rPr>
          <w:rFonts w:ascii="Calibri" w:hAnsi="Calibri" w:cs="Calibri"/>
          <w:sz w:val="20"/>
          <w:szCs w:val="20"/>
        </w:rPr>
        <w:t xml:space="preserve">Eksporta pieaugums </w:t>
      </w:r>
      <w:r w:rsidR="00A56A17" w:rsidRPr="007B3B27">
        <w:rPr>
          <w:rFonts w:ascii="Calibri" w:hAnsi="Calibri" w:cs="Calibri"/>
          <w:sz w:val="20"/>
          <w:szCs w:val="20"/>
        </w:rPr>
        <w:t>uz galvenajām eksporta valstīm,</w:t>
      </w:r>
      <w:r w:rsidR="00DB5CF6" w:rsidRPr="007B3B27">
        <w:rPr>
          <w:rFonts w:ascii="Calibri" w:hAnsi="Calibri" w:cs="Calibri"/>
          <w:sz w:val="20"/>
          <w:szCs w:val="20"/>
        </w:rPr>
        <w:t>trīs mēnešu kopsumma pret iepriekšējā gada atbilstošo periodu</w:t>
      </w:r>
    </w:p>
    <w:p w14:paraId="21A209DB" w14:textId="77777777" w:rsidR="00A56A17" w:rsidRDefault="00A56A17" w:rsidP="00DB5CF6">
      <w:pPr>
        <w:rPr>
          <w:rFonts w:ascii="Calibri" w:hAnsi="Calibri" w:cs="Calibri"/>
          <w:b/>
          <w:sz w:val="22"/>
        </w:rPr>
      </w:pPr>
      <w:bookmarkStart w:id="19" w:name="_Hlk50044068"/>
    </w:p>
    <w:p w14:paraId="411EF25B" w14:textId="3524B66F" w:rsidR="00DB5CF6" w:rsidRPr="00A56A17" w:rsidRDefault="00DB5CF6" w:rsidP="004B0127">
      <w:pPr>
        <w:pStyle w:val="ListParagraph"/>
        <w:numPr>
          <w:ilvl w:val="0"/>
          <w:numId w:val="23"/>
        </w:numPr>
        <w:ind w:left="426" w:hanging="426"/>
        <w:jc w:val="both"/>
        <w:rPr>
          <w:rFonts w:ascii="Calibri" w:hAnsi="Calibri" w:cs="Calibri"/>
          <w:b/>
          <w:sz w:val="22"/>
        </w:rPr>
      </w:pPr>
      <w:r w:rsidRPr="00A56A17">
        <w:rPr>
          <w:rFonts w:ascii="Calibri" w:hAnsi="Calibri" w:cs="Calibri"/>
          <w:b/>
          <w:sz w:val="22"/>
        </w:rPr>
        <w:t>Pakalpojumu eksports ir uzrādījis dramatisku lejupslīdi š.g. abos ceturkšņos.</w:t>
      </w:r>
      <w:r w:rsidR="004B0127">
        <w:rPr>
          <w:rFonts w:ascii="Calibri" w:hAnsi="Calibri" w:cs="Calibri"/>
          <w:b/>
          <w:sz w:val="22"/>
        </w:rPr>
        <w:t xml:space="preserve"> </w:t>
      </w:r>
      <w:r w:rsidRPr="00A56A17">
        <w:rPr>
          <w:rFonts w:ascii="Calibri" w:hAnsi="Calibri" w:cs="Calibri"/>
          <w:sz w:val="22"/>
        </w:rPr>
        <w:t xml:space="preserve">Latvijas Bankas dati liecina, ka 2020. </w:t>
      </w:r>
      <w:proofErr w:type="gramStart"/>
      <w:r w:rsidRPr="00A56A17">
        <w:rPr>
          <w:rFonts w:ascii="Calibri" w:hAnsi="Calibri" w:cs="Calibri"/>
          <w:sz w:val="22"/>
        </w:rPr>
        <w:t>gada</w:t>
      </w:r>
      <w:proofErr w:type="gramEnd"/>
      <w:r w:rsidRPr="00A56A17">
        <w:rPr>
          <w:rFonts w:ascii="Calibri" w:hAnsi="Calibri" w:cs="Calibri"/>
          <w:sz w:val="22"/>
        </w:rPr>
        <w:t xml:space="preserve"> 2. </w:t>
      </w:r>
      <w:proofErr w:type="gramStart"/>
      <w:r w:rsidRPr="00A56A17">
        <w:rPr>
          <w:rFonts w:ascii="Calibri" w:hAnsi="Calibri" w:cs="Calibri"/>
          <w:sz w:val="22"/>
        </w:rPr>
        <w:t>ceturksnī</w:t>
      </w:r>
      <w:proofErr w:type="gramEnd"/>
      <w:r w:rsidRPr="00A56A17">
        <w:rPr>
          <w:rFonts w:ascii="Calibri" w:hAnsi="Calibri" w:cs="Calibri"/>
          <w:sz w:val="22"/>
        </w:rPr>
        <w:t xml:space="preserve"> bija vērojama strauja lejupslīde pakalpojumu eksportā (29.5%) apmērā, salīdzinot ar iepriekšējā gada atbilstošo periodu, kas naudas izteiksmē nozīmē sarukumu 414 miljonu eiro apmērā. Šādu kritumu galvenokārt izraisīja samazinājums transporta pakalpojumu eksportā (-19.5%) </w:t>
      </w:r>
      <w:proofErr w:type="gramStart"/>
      <w:r w:rsidRPr="00A56A17">
        <w:rPr>
          <w:rFonts w:ascii="Calibri" w:hAnsi="Calibri" w:cs="Calibri"/>
          <w:sz w:val="22"/>
        </w:rPr>
        <w:t>un</w:t>
      </w:r>
      <w:proofErr w:type="gramEnd"/>
      <w:r w:rsidRPr="00A56A17">
        <w:rPr>
          <w:rFonts w:ascii="Calibri" w:hAnsi="Calibri" w:cs="Calibri"/>
          <w:sz w:val="22"/>
        </w:rPr>
        <w:t xml:space="preserve"> samazinājums ceļojumu pakalpojumu eksportā (-11%), kas ir tiešs Covid-19 krīzes efekts. Tomēr šajā pašā periodā bija vērojams minimāls (+1.9%) pieaugums būvniecības pakalpojumu eksportā, kas naudas izteiksmē ir 26 miljonu apmērā.</w:t>
      </w:r>
    </w:p>
    <w:p w14:paraId="5B4456F0" w14:textId="77777777" w:rsidR="00DB5CF6" w:rsidRDefault="00DB5CF6" w:rsidP="00DB5CF6">
      <w:pPr>
        <w:rPr>
          <w:rFonts w:ascii="Calibri" w:hAnsi="Calibri" w:cs="Calibri"/>
          <w:sz w:val="22"/>
        </w:rPr>
      </w:pPr>
      <w:r w:rsidRPr="009A192A">
        <w:rPr>
          <w:noProof/>
          <w:sz w:val="22"/>
          <w:lang w:val="lv-LV" w:eastAsia="lv-LV"/>
        </w:rPr>
        <w:lastRenderedPageBreak/>
        <w:drawing>
          <wp:inline distT="0" distB="0" distL="0" distR="0" wp14:anchorId="03ACF037" wp14:editId="466A9E09">
            <wp:extent cx="4907915" cy="2387600"/>
            <wp:effectExtent l="0" t="0" r="698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bookmarkEnd w:id="19"/>
    <w:p w14:paraId="67C812C5" w14:textId="77777777" w:rsidR="00DB5CF6" w:rsidRPr="007B3B27" w:rsidRDefault="00DB5CF6" w:rsidP="00DB5CF6">
      <w:pPr>
        <w:rPr>
          <w:rFonts w:ascii="Calibri" w:hAnsi="Calibri" w:cs="Calibri"/>
          <w:i/>
          <w:sz w:val="20"/>
          <w:szCs w:val="20"/>
        </w:rPr>
      </w:pPr>
      <w:r w:rsidRPr="007B3B27">
        <w:rPr>
          <w:rFonts w:ascii="Calibri" w:hAnsi="Calibri" w:cs="Calibri"/>
          <w:i/>
          <w:sz w:val="20"/>
          <w:szCs w:val="20"/>
        </w:rPr>
        <w:t>Avots LB [03 MB ceturkšņa/gada datu tabulas]</w:t>
      </w:r>
    </w:p>
    <w:p w14:paraId="01850AC1" w14:textId="5D1B3AE0" w:rsidR="00DB5CF6" w:rsidRPr="007B3B27" w:rsidRDefault="007B3B27" w:rsidP="00DB5CF6">
      <w:pPr>
        <w:rPr>
          <w:rFonts w:ascii="Calibri" w:hAnsi="Calibri" w:cs="Calibri"/>
          <w:sz w:val="20"/>
          <w:szCs w:val="20"/>
        </w:rPr>
      </w:pPr>
      <w:r w:rsidRPr="007B3B27">
        <w:rPr>
          <w:rStyle w:val="Emphasis"/>
          <w:rFonts w:ascii="Calibri" w:hAnsi="Calibri" w:cs="Calibri"/>
          <w:b/>
          <w:i w:val="0"/>
          <w:color w:val="191919"/>
          <w:sz w:val="20"/>
          <w:szCs w:val="20"/>
          <w:bdr w:val="none" w:sz="0" w:space="0" w:color="auto" w:frame="1"/>
          <w:shd w:val="clear" w:color="auto" w:fill="FFFFFF"/>
        </w:rPr>
        <w:t>21.</w:t>
      </w:r>
      <w:r>
        <w:rPr>
          <w:rStyle w:val="Emphasis"/>
          <w:rFonts w:ascii="Calibri" w:hAnsi="Calibri" w:cs="Calibri"/>
          <w:b/>
          <w:i w:val="0"/>
          <w:color w:val="191919"/>
          <w:sz w:val="20"/>
          <w:szCs w:val="20"/>
          <w:bdr w:val="none" w:sz="0" w:space="0" w:color="auto" w:frame="1"/>
          <w:shd w:val="clear" w:color="auto" w:fill="FFFFFF"/>
        </w:rPr>
        <w:t xml:space="preserve"> </w:t>
      </w:r>
      <w:proofErr w:type="gramStart"/>
      <w:r w:rsidRPr="007B3B27">
        <w:rPr>
          <w:rStyle w:val="Emphasis"/>
          <w:rFonts w:ascii="Calibri" w:hAnsi="Calibri" w:cs="Calibri"/>
          <w:b/>
          <w:i w:val="0"/>
          <w:color w:val="191919"/>
          <w:sz w:val="20"/>
          <w:szCs w:val="20"/>
          <w:bdr w:val="none" w:sz="0" w:space="0" w:color="auto" w:frame="1"/>
          <w:shd w:val="clear" w:color="auto" w:fill="FFFFFF"/>
        </w:rPr>
        <w:t>a</w:t>
      </w:r>
      <w:r w:rsidR="00DB5CF6" w:rsidRPr="007B3B27">
        <w:rPr>
          <w:rStyle w:val="Emphasis"/>
          <w:rFonts w:ascii="Calibri" w:hAnsi="Calibri" w:cs="Calibri"/>
          <w:b/>
          <w:i w:val="0"/>
          <w:color w:val="191919"/>
          <w:sz w:val="20"/>
          <w:szCs w:val="20"/>
          <w:bdr w:val="none" w:sz="0" w:space="0" w:color="auto" w:frame="1"/>
          <w:shd w:val="clear" w:color="auto" w:fill="FFFFFF"/>
        </w:rPr>
        <w:t>ttēls</w:t>
      </w:r>
      <w:proofErr w:type="gramEnd"/>
      <w:r w:rsidR="00DB5CF6" w:rsidRPr="007B3B27">
        <w:rPr>
          <w:rStyle w:val="Emphasis"/>
          <w:rFonts w:ascii="Calibri" w:hAnsi="Calibri" w:cs="Calibri"/>
          <w:b/>
          <w:color w:val="191919"/>
          <w:sz w:val="20"/>
          <w:szCs w:val="20"/>
          <w:bdr w:val="none" w:sz="0" w:space="0" w:color="auto" w:frame="1"/>
          <w:shd w:val="clear" w:color="auto" w:fill="FFFFFF"/>
        </w:rPr>
        <w:t xml:space="preserve">: </w:t>
      </w:r>
      <w:r w:rsidR="00DB5CF6" w:rsidRPr="007B3B27">
        <w:rPr>
          <w:rFonts w:ascii="Calibri" w:hAnsi="Calibri" w:cs="Calibri"/>
          <w:sz w:val="20"/>
          <w:szCs w:val="20"/>
        </w:rPr>
        <w:t>Ieguldījums pakalpojumu eksporta pieaugumā nozarēs (ceturksnis salīdzinājumā ar iepriekšējā gada atbilstošo ceturksni)</w:t>
      </w:r>
    </w:p>
    <w:p w14:paraId="67FA32E7" w14:textId="77777777" w:rsidR="00DB5CF6" w:rsidRDefault="00DB5CF6" w:rsidP="00DB5CF6">
      <w:pPr>
        <w:rPr>
          <w:rFonts w:ascii="Calibri" w:hAnsi="Calibri" w:cs="Calibri"/>
          <w:sz w:val="22"/>
        </w:rPr>
      </w:pPr>
    </w:p>
    <w:p w14:paraId="307E8054" w14:textId="70288884" w:rsidR="00DB5CF6" w:rsidRPr="00362CD2" w:rsidRDefault="00DB5CF6" w:rsidP="004B0127">
      <w:pPr>
        <w:pStyle w:val="ListParagraph"/>
        <w:numPr>
          <w:ilvl w:val="0"/>
          <w:numId w:val="23"/>
        </w:numPr>
        <w:ind w:left="426" w:hanging="426"/>
        <w:jc w:val="both"/>
        <w:rPr>
          <w:rFonts w:ascii="Calibri" w:hAnsi="Calibri" w:cs="Calibri"/>
          <w:sz w:val="22"/>
        </w:rPr>
      </w:pPr>
      <w:r w:rsidRPr="00A56A17">
        <w:rPr>
          <w:rFonts w:ascii="Calibri" w:hAnsi="Calibri" w:cs="Calibri"/>
          <w:b/>
          <w:sz w:val="22"/>
        </w:rPr>
        <w:t xml:space="preserve">Covid-19 periodā straujākais bezdarba pieaugums ir noticis aprīlī, tomēr kopumā salīdzinot situāciju </w:t>
      </w:r>
      <w:r w:rsidR="004B0127">
        <w:rPr>
          <w:rFonts w:ascii="Calibri" w:hAnsi="Calibri" w:cs="Calibri"/>
          <w:b/>
          <w:sz w:val="22"/>
        </w:rPr>
        <w:t>ar iepriekšējo Finanšu krīzi</w:t>
      </w:r>
      <w:r w:rsidRPr="00A56A17">
        <w:rPr>
          <w:rFonts w:ascii="Calibri" w:hAnsi="Calibri" w:cs="Calibri"/>
          <w:b/>
          <w:sz w:val="22"/>
        </w:rPr>
        <w:t xml:space="preserve">, bezdarba pieaugumu nevar uzskatīt par dramatisku. Jau </w:t>
      </w:r>
      <w:proofErr w:type="gramStart"/>
      <w:r w:rsidRPr="00A56A17">
        <w:rPr>
          <w:rFonts w:ascii="Calibri" w:hAnsi="Calibri" w:cs="Calibri"/>
          <w:b/>
          <w:sz w:val="22"/>
        </w:rPr>
        <w:t>augustā</w:t>
      </w:r>
      <w:proofErr w:type="gramEnd"/>
      <w:r w:rsidRPr="00A56A17">
        <w:rPr>
          <w:rFonts w:ascii="Calibri" w:hAnsi="Calibri" w:cs="Calibri"/>
          <w:b/>
          <w:sz w:val="22"/>
        </w:rPr>
        <w:t xml:space="preserve"> bezdarba līmenis sācis samazināties. Šādu pozitīvu situāciju nodrošināja gan dīkstāves pabalstu pieejamība, gan kopējais augstais pieprasījums pēc darbaspēka pirms Covid-19 krīzes. </w:t>
      </w:r>
      <w:r w:rsidRPr="00362CD2">
        <w:rPr>
          <w:rFonts w:ascii="Calibri" w:hAnsi="Calibri" w:cs="Calibri"/>
          <w:sz w:val="22"/>
        </w:rPr>
        <w:t xml:space="preserve">Šāda situācija ļāva darbiniekiem reintegrēties citās nozarēs, kur pieprasījums saglabājās. Aizvien riskam ir pakļauti tūrisma </w:t>
      </w:r>
      <w:proofErr w:type="gramStart"/>
      <w:r w:rsidRPr="00362CD2">
        <w:rPr>
          <w:rFonts w:ascii="Calibri" w:hAnsi="Calibri" w:cs="Calibri"/>
          <w:sz w:val="22"/>
        </w:rPr>
        <w:t>un</w:t>
      </w:r>
      <w:proofErr w:type="gramEnd"/>
      <w:r w:rsidRPr="00362CD2">
        <w:rPr>
          <w:rFonts w:ascii="Calibri" w:hAnsi="Calibri" w:cs="Calibri"/>
          <w:sz w:val="22"/>
        </w:rPr>
        <w:t xml:space="preserve"> viesmīlības nozares darbinieki, kuru darba vietas saglabājās pateicoties valsts atbalsta pasākumiem, tomēr atbalsts ir īslaicīgs instruments, un tas nesniedzas līdz nākamās tūrisma sezonas sākumam.</w:t>
      </w:r>
    </w:p>
    <w:p w14:paraId="09C32717" w14:textId="77777777" w:rsidR="00A56A17" w:rsidRDefault="00A56A17" w:rsidP="004B0127">
      <w:pPr>
        <w:ind w:left="426" w:hanging="426"/>
        <w:rPr>
          <w:rFonts w:ascii="Calibri" w:hAnsi="Calibri" w:cs="Calibri"/>
          <w:sz w:val="22"/>
        </w:rPr>
      </w:pPr>
    </w:p>
    <w:p w14:paraId="000DE006" w14:textId="43A1F16C" w:rsidR="00DB5CF6" w:rsidRPr="00A56A17" w:rsidRDefault="00DB5CF6" w:rsidP="004B0127">
      <w:pPr>
        <w:pStyle w:val="ListParagraph"/>
        <w:numPr>
          <w:ilvl w:val="0"/>
          <w:numId w:val="23"/>
        </w:numPr>
        <w:ind w:left="426" w:hanging="426"/>
        <w:jc w:val="both"/>
        <w:rPr>
          <w:rFonts w:ascii="Calibri" w:hAnsi="Calibri" w:cs="Calibri"/>
          <w:sz w:val="22"/>
        </w:rPr>
      </w:pPr>
      <w:r w:rsidRPr="00A56A17">
        <w:rPr>
          <w:rFonts w:ascii="Calibri" w:hAnsi="Calibri" w:cs="Calibri"/>
          <w:sz w:val="22"/>
        </w:rPr>
        <w:t xml:space="preserve">Sezonāli izlīdzinātais bezdarba līmenis </w:t>
      </w:r>
      <w:proofErr w:type="gramStart"/>
      <w:r w:rsidRPr="00A56A17">
        <w:rPr>
          <w:rFonts w:ascii="Calibri" w:hAnsi="Calibri" w:cs="Calibri"/>
          <w:sz w:val="22"/>
        </w:rPr>
        <w:t>augustā</w:t>
      </w:r>
      <w:proofErr w:type="gramEnd"/>
      <w:r w:rsidRPr="00A56A17">
        <w:rPr>
          <w:rFonts w:ascii="Calibri" w:hAnsi="Calibri" w:cs="Calibri"/>
          <w:sz w:val="22"/>
        </w:rPr>
        <w:t xml:space="preserve"> sasniedza 8.8%, liecina CSB dati. Savukārt reģistrētais bezdarba līmenis </w:t>
      </w:r>
      <w:proofErr w:type="gramStart"/>
      <w:r w:rsidRPr="00A56A17">
        <w:rPr>
          <w:rFonts w:ascii="Calibri" w:hAnsi="Calibri" w:cs="Calibri"/>
          <w:sz w:val="22"/>
        </w:rPr>
        <w:t>augustā</w:t>
      </w:r>
      <w:proofErr w:type="gramEnd"/>
      <w:r w:rsidRPr="00A56A17">
        <w:rPr>
          <w:rFonts w:ascii="Calibri" w:hAnsi="Calibri" w:cs="Calibri"/>
          <w:sz w:val="22"/>
        </w:rPr>
        <w:t xml:space="preserve"> bija 8.2%, saskaņā ar Nodarbinātības valsts aģentūras (NVA) datiem. Jau š.g. jūnijā </w:t>
      </w:r>
      <w:proofErr w:type="gramStart"/>
      <w:r w:rsidRPr="00A56A17">
        <w:rPr>
          <w:rFonts w:ascii="Calibri" w:hAnsi="Calibri" w:cs="Calibri"/>
          <w:sz w:val="22"/>
        </w:rPr>
        <w:t>un</w:t>
      </w:r>
      <w:proofErr w:type="gramEnd"/>
      <w:r w:rsidRPr="00A56A17">
        <w:rPr>
          <w:rFonts w:ascii="Calibri" w:hAnsi="Calibri" w:cs="Calibri"/>
          <w:sz w:val="22"/>
        </w:rPr>
        <w:t xml:space="preserve"> jūlijā</w:t>
      </w:r>
      <w:r w:rsidR="004B0127">
        <w:rPr>
          <w:rFonts w:ascii="Calibri" w:hAnsi="Calibri" w:cs="Calibri"/>
          <w:sz w:val="22"/>
        </w:rPr>
        <w:t xml:space="preserve"> reģistrētais bezdarba līmenis </w:t>
      </w:r>
      <w:r w:rsidRPr="00A56A17">
        <w:rPr>
          <w:rFonts w:ascii="Calibri" w:hAnsi="Calibri" w:cs="Calibri"/>
          <w:sz w:val="22"/>
        </w:rPr>
        <w:t xml:space="preserve">nostabilizējās visos reģionos un kopumā būtiski nepieauga, bet augustā redzama neliela bezdarba līmeņa pazemināšanās. Reģionu griezumā augstākais reģistrētais bezdarbs </w:t>
      </w:r>
      <w:proofErr w:type="gramStart"/>
      <w:r w:rsidRPr="00A56A17">
        <w:rPr>
          <w:rFonts w:ascii="Calibri" w:hAnsi="Calibri" w:cs="Calibri"/>
          <w:sz w:val="22"/>
        </w:rPr>
        <w:t>augustā</w:t>
      </w:r>
      <w:proofErr w:type="gramEnd"/>
      <w:r w:rsidRPr="00A56A17">
        <w:rPr>
          <w:rFonts w:ascii="Calibri" w:hAnsi="Calibri" w:cs="Calibri"/>
          <w:sz w:val="22"/>
        </w:rPr>
        <w:t xml:space="preserve"> ir novērots Latgales reģionā (15.8%), bet zemākais – Rīgas reģionā (6.6%). </w:t>
      </w:r>
    </w:p>
    <w:p w14:paraId="2F5800ED" w14:textId="77777777" w:rsidR="00DB5CF6" w:rsidRDefault="00DB5CF6" w:rsidP="00DB5CF6">
      <w:pPr>
        <w:rPr>
          <w:rFonts w:ascii="Calibri" w:hAnsi="Calibri" w:cs="Calibri"/>
          <w:sz w:val="22"/>
        </w:rPr>
      </w:pPr>
    </w:p>
    <w:p w14:paraId="5E284729" w14:textId="77777777" w:rsidR="00DB5CF6" w:rsidRDefault="00DB5CF6" w:rsidP="00DB5CF6">
      <w:pPr>
        <w:rPr>
          <w:sz w:val="20"/>
          <w:szCs w:val="20"/>
        </w:rPr>
      </w:pPr>
      <w:r>
        <w:rPr>
          <w:noProof/>
          <w:lang w:val="lv-LV" w:eastAsia="lv-LV"/>
        </w:rPr>
        <w:drawing>
          <wp:inline distT="0" distB="0" distL="0" distR="0" wp14:anchorId="2C0587DC" wp14:editId="6B39D6D7">
            <wp:extent cx="4804410" cy="2320506"/>
            <wp:effectExtent l="0" t="0" r="0" b="3810"/>
            <wp:docPr id="21" name="Chart 21">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4A3EC6D0" w14:textId="77777777" w:rsidR="00DB5CF6" w:rsidRPr="007B3B27" w:rsidRDefault="00DB5CF6" w:rsidP="00DB5CF6">
      <w:pPr>
        <w:rPr>
          <w:rFonts w:asciiTheme="minorHAnsi" w:hAnsiTheme="minorHAnsi"/>
          <w:i/>
          <w:sz w:val="20"/>
          <w:szCs w:val="20"/>
        </w:rPr>
      </w:pPr>
      <w:r w:rsidRPr="007B3B27">
        <w:rPr>
          <w:rFonts w:asciiTheme="minorHAnsi" w:hAnsiTheme="minorHAnsi"/>
          <w:i/>
          <w:sz w:val="20"/>
          <w:szCs w:val="20"/>
        </w:rPr>
        <w:t>Avots: NVA dati</w:t>
      </w:r>
    </w:p>
    <w:p w14:paraId="655DE803" w14:textId="3EBFBF50" w:rsidR="00DB5CF6" w:rsidRPr="007B3B27" w:rsidRDefault="007B3B27" w:rsidP="00DB5CF6">
      <w:pPr>
        <w:rPr>
          <w:rStyle w:val="Emphasis"/>
          <w:rFonts w:asciiTheme="minorHAnsi" w:hAnsiTheme="minorHAnsi" w:cs="Calibri"/>
          <w:i w:val="0"/>
          <w:color w:val="191919"/>
          <w:sz w:val="20"/>
          <w:szCs w:val="20"/>
          <w:bdr w:val="none" w:sz="0" w:space="0" w:color="auto" w:frame="1"/>
          <w:shd w:val="clear" w:color="auto" w:fill="FFFFFF"/>
        </w:rPr>
      </w:pPr>
      <w:r w:rsidRPr="007B3B27">
        <w:rPr>
          <w:rStyle w:val="Emphasis"/>
          <w:rFonts w:asciiTheme="minorHAnsi" w:hAnsiTheme="minorHAnsi" w:cs="Calibri"/>
          <w:b/>
          <w:i w:val="0"/>
          <w:color w:val="191919"/>
          <w:sz w:val="20"/>
          <w:szCs w:val="20"/>
          <w:bdr w:val="none" w:sz="0" w:space="0" w:color="auto" w:frame="1"/>
          <w:shd w:val="clear" w:color="auto" w:fill="FFFFFF"/>
        </w:rPr>
        <w:t xml:space="preserve">22. </w:t>
      </w:r>
      <w:proofErr w:type="gramStart"/>
      <w:r w:rsidRPr="007B3B27">
        <w:rPr>
          <w:rStyle w:val="Emphasis"/>
          <w:rFonts w:asciiTheme="minorHAnsi" w:hAnsiTheme="minorHAnsi" w:cs="Calibri"/>
          <w:b/>
          <w:i w:val="0"/>
          <w:color w:val="191919"/>
          <w:sz w:val="20"/>
          <w:szCs w:val="20"/>
          <w:bdr w:val="none" w:sz="0" w:space="0" w:color="auto" w:frame="1"/>
          <w:shd w:val="clear" w:color="auto" w:fill="FFFFFF"/>
        </w:rPr>
        <w:t>attēls</w:t>
      </w:r>
      <w:proofErr w:type="gramEnd"/>
      <w:r w:rsidR="00DB5CF6" w:rsidRPr="007B3B27">
        <w:rPr>
          <w:rStyle w:val="Emphasis"/>
          <w:rFonts w:asciiTheme="minorHAnsi" w:hAnsiTheme="minorHAnsi" w:cs="Calibri"/>
          <w:b/>
          <w:i w:val="0"/>
          <w:color w:val="191919"/>
          <w:sz w:val="20"/>
          <w:szCs w:val="20"/>
          <w:bdr w:val="none" w:sz="0" w:space="0" w:color="auto" w:frame="1"/>
          <w:shd w:val="clear" w:color="auto" w:fill="FFFFFF"/>
        </w:rPr>
        <w:t xml:space="preserve">: </w:t>
      </w:r>
      <w:r w:rsidR="00DB5CF6" w:rsidRPr="007B3B27">
        <w:rPr>
          <w:rStyle w:val="Emphasis"/>
          <w:rFonts w:asciiTheme="minorHAnsi" w:hAnsiTheme="minorHAnsi" w:cs="Calibri"/>
          <w:i w:val="0"/>
          <w:color w:val="191919"/>
          <w:sz w:val="20"/>
          <w:szCs w:val="20"/>
          <w:bdr w:val="none" w:sz="0" w:space="0" w:color="auto" w:frame="1"/>
          <w:shd w:val="clear" w:color="auto" w:fill="FFFFFF"/>
        </w:rPr>
        <w:t>Reģistrētā bezdarba rādītāji Latvijas reģionos</w:t>
      </w:r>
    </w:p>
    <w:p w14:paraId="4C308DE8" w14:textId="77777777" w:rsidR="00A56A17" w:rsidRDefault="00A56A17" w:rsidP="00DB5CF6">
      <w:pPr>
        <w:rPr>
          <w:sz w:val="20"/>
          <w:szCs w:val="20"/>
        </w:rPr>
      </w:pPr>
    </w:p>
    <w:p w14:paraId="5E9A9BBF" w14:textId="4A6ADAFC" w:rsidR="00DB5CF6" w:rsidRPr="00A56A17" w:rsidRDefault="00DB5CF6" w:rsidP="00E80565">
      <w:pPr>
        <w:pStyle w:val="ListParagraph"/>
        <w:numPr>
          <w:ilvl w:val="0"/>
          <w:numId w:val="23"/>
        </w:numPr>
        <w:ind w:left="426" w:hanging="426"/>
        <w:jc w:val="both"/>
        <w:rPr>
          <w:rFonts w:ascii="Calibri" w:hAnsi="Calibri" w:cs="Calibri"/>
          <w:sz w:val="22"/>
        </w:rPr>
      </w:pPr>
      <w:r w:rsidRPr="00A56A17">
        <w:rPr>
          <w:rFonts w:ascii="Calibri" w:hAnsi="Calibri" w:cs="Calibri"/>
          <w:sz w:val="22"/>
        </w:rPr>
        <w:lastRenderedPageBreak/>
        <w:t xml:space="preserve">Novērojot bezdarbnieku skaita dinamiku pēc dzimuma </w:t>
      </w:r>
      <w:proofErr w:type="gramStart"/>
      <w:r w:rsidRPr="00A56A17">
        <w:rPr>
          <w:rFonts w:ascii="Calibri" w:hAnsi="Calibri" w:cs="Calibri"/>
          <w:sz w:val="22"/>
        </w:rPr>
        <w:t>un</w:t>
      </w:r>
      <w:proofErr w:type="gramEnd"/>
      <w:r w:rsidRPr="00A56A17">
        <w:rPr>
          <w:rFonts w:ascii="Calibri" w:hAnsi="Calibri" w:cs="Calibri"/>
          <w:sz w:val="22"/>
        </w:rPr>
        <w:t xml:space="preserve"> izglītības līmeņa pa ceturkšņiem, var secināt, ka jau kopš 2019. </w:t>
      </w:r>
      <w:proofErr w:type="gramStart"/>
      <w:r w:rsidRPr="00A56A17">
        <w:rPr>
          <w:rFonts w:ascii="Calibri" w:hAnsi="Calibri" w:cs="Calibri"/>
          <w:sz w:val="22"/>
        </w:rPr>
        <w:t>gada</w:t>
      </w:r>
      <w:proofErr w:type="gramEnd"/>
      <w:r w:rsidRPr="00A56A17">
        <w:rPr>
          <w:rFonts w:ascii="Calibri" w:hAnsi="Calibri" w:cs="Calibri"/>
          <w:sz w:val="22"/>
        </w:rPr>
        <w:t xml:space="preserve"> otrā ceturkšņa bezdarbnieku ar augstāko izglītību skaits pieaug vīriešu gan sieviešu vidū. Savukārt bezdarbnieku vīriešu </w:t>
      </w:r>
      <w:proofErr w:type="gramStart"/>
      <w:r w:rsidRPr="00A56A17">
        <w:rPr>
          <w:rFonts w:ascii="Calibri" w:hAnsi="Calibri" w:cs="Calibri"/>
          <w:sz w:val="22"/>
        </w:rPr>
        <w:t>un</w:t>
      </w:r>
      <w:proofErr w:type="gramEnd"/>
      <w:r w:rsidRPr="00A56A17">
        <w:rPr>
          <w:rFonts w:ascii="Calibri" w:hAnsi="Calibri" w:cs="Calibri"/>
          <w:sz w:val="22"/>
        </w:rPr>
        <w:t xml:space="preserve"> sieviešu skaits ar profesionālo izglītību samazinājies, pat Covid-19 periodā š.g. 1. </w:t>
      </w:r>
      <w:proofErr w:type="gramStart"/>
      <w:r w:rsidRPr="00A56A17">
        <w:rPr>
          <w:rFonts w:ascii="Calibri" w:hAnsi="Calibri" w:cs="Calibri"/>
          <w:sz w:val="22"/>
        </w:rPr>
        <w:t>un</w:t>
      </w:r>
      <w:proofErr w:type="gramEnd"/>
      <w:r w:rsidRPr="00A56A17">
        <w:rPr>
          <w:rFonts w:ascii="Calibri" w:hAnsi="Calibri" w:cs="Calibri"/>
          <w:sz w:val="22"/>
        </w:rPr>
        <w:t xml:space="preserve"> arī 2. </w:t>
      </w:r>
      <w:proofErr w:type="gramStart"/>
      <w:r w:rsidRPr="00A56A17">
        <w:rPr>
          <w:rFonts w:ascii="Calibri" w:hAnsi="Calibri" w:cs="Calibri"/>
          <w:sz w:val="22"/>
        </w:rPr>
        <w:t>ceturksnī</w:t>
      </w:r>
      <w:proofErr w:type="gramEnd"/>
      <w:r w:rsidRPr="00A56A17">
        <w:rPr>
          <w:rFonts w:ascii="Calibri" w:hAnsi="Calibri" w:cs="Calibri"/>
          <w:sz w:val="22"/>
        </w:rPr>
        <w:t xml:space="preserve">. </w:t>
      </w:r>
    </w:p>
    <w:p w14:paraId="3BB0C2C8" w14:textId="77777777" w:rsidR="00D940D7" w:rsidRDefault="00D940D7" w:rsidP="00E80565">
      <w:pPr>
        <w:ind w:left="426" w:hanging="426"/>
        <w:jc w:val="both"/>
        <w:rPr>
          <w:rFonts w:ascii="Calibri" w:hAnsi="Calibri" w:cs="Calibri"/>
          <w:b/>
          <w:sz w:val="22"/>
        </w:rPr>
      </w:pPr>
    </w:p>
    <w:p w14:paraId="6C55D45D" w14:textId="5133302B" w:rsidR="00DB5CF6" w:rsidRPr="004B0127" w:rsidRDefault="00DB5CF6" w:rsidP="00E80565">
      <w:pPr>
        <w:pStyle w:val="ListParagraph"/>
        <w:numPr>
          <w:ilvl w:val="0"/>
          <w:numId w:val="23"/>
        </w:numPr>
        <w:ind w:left="426" w:hanging="426"/>
        <w:jc w:val="both"/>
        <w:rPr>
          <w:rFonts w:ascii="Calibri" w:hAnsi="Calibri" w:cs="Calibri"/>
          <w:sz w:val="22"/>
        </w:rPr>
      </w:pPr>
      <w:r w:rsidRPr="004B0127">
        <w:rPr>
          <w:rFonts w:ascii="Calibri" w:hAnsi="Calibri" w:cs="Calibri"/>
          <w:sz w:val="22"/>
        </w:rPr>
        <w:t xml:space="preserve">Latvijas Bankas veiktā pētījumā, kopš jūnija saskatāma pozitīva nodarbinātības gaidu dinamika, savukārt bezdarba gaidas krītas, kas arī korelē ar faktiski novēroto situāciju darba tirgū </w:t>
      </w:r>
      <w:proofErr w:type="gramStart"/>
      <w:r w:rsidRPr="004B0127">
        <w:rPr>
          <w:rFonts w:ascii="Calibri" w:hAnsi="Calibri" w:cs="Calibri"/>
          <w:sz w:val="22"/>
        </w:rPr>
        <w:t>un</w:t>
      </w:r>
      <w:proofErr w:type="gramEnd"/>
      <w:r w:rsidRPr="004B0127">
        <w:rPr>
          <w:rFonts w:ascii="Calibri" w:hAnsi="Calibri" w:cs="Calibri"/>
          <w:sz w:val="22"/>
        </w:rPr>
        <w:t xml:space="preserve"> ļauj spriest, ka pie esošo risku līmeņa bezdarbam nevajadzētu būtiski pieaugt tuvākajā nākotnē.</w:t>
      </w:r>
    </w:p>
    <w:p w14:paraId="33C0D5CB" w14:textId="77777777" w:rsidR="00DB5CF6" w:rsidRDefault="00DB5CF6" w:rsidP="00DB5CF6">
      <w:pPr>
        <w:rPr>
          <w:sz w:val="20"/>
          <w:szCs w:val="20"/>
        </w:rPr>
      </w:pPr>
      <w:r>
        <w:rPr>
          <w:noProof/>
          <w:lang w:val="lv-LV" w:eastAsia="lv-LV"/>
        </w:rPr>
        <w:drawing>
          <wp:inline distT="0" distB="0" distL="0" distR="0" wp14:anchorId="24F3E0BB" wp14:editId="7576D785">
            <wp:extent cx="5274310" cy="2518913"/>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44">
                      <a:extLst>
                        <a:ext uri="{28A0092B-C50C-407E-A947-70E740481C1C}">
                          <a14:useLocalDpi xmlns:a14="http://schemas.microsoft.com/office/drawing/2010/main" val="0"/>
                        </a:ext>
                      </a:extLst>
                    </a:blip>
                    <a:stretch>
                      <a:fillRect/>
                    </a:stretch>
                  </pic:blipFill>
                  <pic:spPr>
                    <a:xfrm>
                      <a:off x="0" y="0"/>
                      <a:ext cx="5274310" cy="2518913"/>
                    </a:xfrm>
                    <a:prstGeom prst="rect">
                      <a:avLst/>
                    </a:prstGeom>
                  </pic:spPr>
                </pic:pic>
              </a:graphicData>
            </a:graphic>
          </wp:inline>
        </w:drawing>
      </w:r>
    </w:p>
    <w:p w14:paraId="07D696B4" w14:textId="77777777" w:rsidR="00DB5CF6" w:rsidRPr="007B3B27" w:rsidRDefault="00DB5CF6" w:rsidP="00DB5CF6">
      <w:pPr>
        <w:rPr>
          <w:rFonts w:asciiTheme="minorHAnsi" w:hAnsiTheme="minorHAnsi"/>
          <w:i/>
          <w:sz w:val="20"/>
          <w:szCs w:val="20"/>
        </w:rPr>
      </w:pPr>
      <w:r w:rsidRPr="007B3B27">
        <w:rPr>
          <w:rFonts w:asciiTheme="minorHAnsi" w:hAnsiTheme="minorHAnsi"/>
          <w:i/>
          <w:sz w:val="20"/>
          <w:szCs w:val="20"/>
        </w:rPr>
        <w:t xml:space="preserve">Avots: Latvijas Bankas pētījums balstoties uz CSP, NVA, VID, </w:t>
      </w:r>
      <w:proofErr w:type="gramStart"/>
      <w:r w:rsidRPr="007B3B27">
        <w:rPr>
          <w:rFonts w:asciiTheme="minorHAnsi" w:hAnsiTheme="minorHAnsi"/>
          <w:i/>
          <w:sz w:val="20"/>
          <w:szCs w:val="20"/>
        </w:rPr>
        <w:t>un</w:t>
      </w:r>
      <w:proofErr w:type="gramEnd"/>
      <w:r w:rsidRPr="007B3B27">
        <w:rPr>
          <w:rFonts w:asciiTheme="minorHAnsi" w:hAnsiTheme="minorHAnsi"/>
          <w:i/>
          <w:sz w:val="20"/>
          <w:szCs w:val="20"/>
        </w:rPr>
        <w:t xml:space="preserve"> EK datiem</w:t>
      </w:r>
    </w:p>
    <w:p w14:paraId="4E603595" w14:textId="007EEC6A" w:rsidR="00DB5CF6" w:rsidRPr="007B3B27" w:rsidRDefault="007B3B27" w:rsidP="00DB5CF6">
      <w:pPr>
        <w:rPr>
          <w:b/>
          <w:i/>
          <w:sz w:val="20"/>
          <w:szCs w:val="20"/>
        </w:rPr>
      </w:pPr>
      <w:r w:rsidRPr="007B3B27">
        <w:rPr>
          <w:rStyle w:val="Emphasis"/>
          <w:rFonts w:ascii="Calibri" w:hAnsi="Calibri" w:cs="Calibri"/>
          <w:b/>
          <w:i w:val="0"/>
          <w:color w:val="191919"/>
          <w:sz w:val="20"/>
          <w:szCs w:val="20"/>
          <w:bdr w:val="none" w:sz="0" w:space="0" w:color="auto" w:frame="1"/>
          <w:shd w:val="clear" w:color="auto" w:fill="FFFFFF"/>
        </w:rPr>
        <w:t xml:space="preserve">23. </w:t>
      </w:r>
      <w:proofErr w:type="gramStart"/>
      <w:r w:rsidRPr="007B3B27">
        <w:rPr>
          <w:rStyle w:val="Emphasis"/>
          <w:rFonts w:ascii="Calibri" w:hAnsi="Calibri" w:cs="Calibri"/>
          <w:b/>
          <w:i w:val="0"/>
          <w:color w:val="191919"/>
          <w:sz w:val="20"/>
          <w:szCs w:val="20"/>
          <w:bdr w:val="none" w:sz="0" w:space="0" w:color="auto" w:frame="1"/>
          <w:shd w:val="clear" w:color="auto" w:fill="FFFFFF"/>
        </w:rPr>
        <w:t>a</w:t>
      </w:r>
      <w:r w:rsidR="00DB5CF6" w:rsidRPr="007B3B27">
        <w:rPr>
          <w:rStyle w:val="Emphasis"/>
          <w:rFonts w:ascii="Calibri" w:hAnsi="Calibri" w:cs="Calibri"/>
          <w:b/>
          <w:i w:val="0"/>
          <w:color w:val="191919"/>
          <w:sz w:val="20"/>
          <w:szCs w:val="20"/>
          <w:bdr w:val="none" w:sz="0" w:space="0" w:color="auto" w:frame="1"/>
          <w:shd w:val="clear" w:color="auto" w:fill="FFFFFF"/>
        </w:rPr>
        <w:t>ttēls</w:t>
      </w:r>
      <w:proofErr w:type="gramEnd"/>
      <w:r w:rsidR="00DB5CF6" w:rsidRPr="007B3B27">
        <w:rPr>
          <w:rStyle w:val="Emphasis"/>
          <w:rFonts w:ascii="Calibri" w:hAnsi="Calibri" w:cs="Calibri"/>
          <w:b/>
          <w:i w:val="0"/>
          <w:color w:val="191919"/>
          <w:sz w:val="20"/>
          <w:szCs w:val="20"/>
          <w:bdr w:val="none" w:sz="0" w:space="0" w:color="auto" w:frame="1"/>
          <w:shd w:val="clear" w:color="auto" w:fill="FFFFFF"/>
        </w:rPr>
        <w:t xml:space="preserve">: </w:t>
      </w:r>
      <w:r w:rsidR="00DB5CF6" w:rsidRPr="007B3B27">
        <w:rPr>
          <w:rStyle w:val="Emphasis"/>
          <w:rFonts w:ascii="Calibri" w:hAnsi="Calibri" w:cs="Calibri"/>
          <w:i w:val="0"/>
          <w:color w:val="191919"/>
          <w:sz w:val="20"/>
          <w:szCs w:val="20"/>
          <w:bdr w:val="none" w:sz="0" w:space="0" w:color="auto" w:frame="1"/>
          <w:shd w:val="clear" w:color="auto" w:fill="FFFFFF"/>
        </w:rPr>
        <w:t xml:space="preserve">Nodarbinātības gaidas (100=ilgtermiņa vidējais), bezdarba gaidas nākamajos 12. </w:t>
      </w:r>
      <w:proofErr w:type="gramStart"/>
      <w:r w:rsidR="00DB5CF6" w:rsidRPr="007B3B27">
        <w:rPr>
          <w:rStyle w:val="Emphasis"/>
          <w:rFonts w:ascii="Calibri" w:hAnsi="Calibri" w:cs="Calibri"/>
          <w:i w:val="0"/>
          <w:color w:val="191919"/>
          <w:sz w:val="20"/>
          <w:szCs w:val="20"/>
          <w:bdr w:val="none" w:sz="0" w:space="0" w:color="auto" w:frame="1"/>
          <w:shd w:val="clear" w:color="auto" w:fill="FFFFFF"/>
        </w:rPr>
        <w:t>mēnešos</w:t>
      </w:r>
      <w:proofErr w:type="gramEnd"/>
      <w:r w:rsidR="00DB5CF6" w:rsidRPr="007B3B27">
        <w:rPr>
          <w:rStyle w:val="Emphasis"/>
          <w:rFonts w:ascii="Calibri" w:hAnsi="Calibri" w:cs="Calibri"/>
          <w:i w:val="0"/>
          <w:color w:val="191919"/>
          <w:sz w:val="20"/>
          <w:szCs w:val="20"/>
          <w:bdr w:val="none" w:sz="0" w:space="0" w:color="auto" w:frame="1"/>
          <w:shd w:val="clear" w:color="auto" w:fill="FFFFFF"/>
        </w:rPr>
        <w:t xml:space="preserve"> (atbilžu saldo%; labā ass).</w:t>
      </w:r>
    </w:p>
    <w:p w14:paraId="1EED9F4B" w14:textId="77777777" w:rsidR="00D940D7" w:rsidRPr="00D940D7" w:rsidRDefault="00D940D7" w:rsidP="00DB5CF6">
      <w:pPr>
        <w:rPr>
          <w:rFonts w:ascii="Calibri" w:hAnsi="Calibri" w:cs="Calibri"/>
          <w:b/>
          <w:sz w:val="22"/>
        </w:rPr>
      </w:pPr>
    </w:p>
    <w:p w14:paraId="49F3418B" w14:textId="7A122F5A" w:rsidR="00DB5CF6" w:rsidRPr="00D940D7" w:rsidRDefault="00DB5CF6" w:rsidP="00E80565">
      <w:pPr>
        <w:pStyle w:val="ListParagraph"/>
        <w:numPr>
          <w:ilvl w:val="0"/>
          <w:numId w:val="23"/>
        </w:numPr>
        <w:ind w:left="426" w:hanging="426"/>
        <w:jc w:val="both"/>
        <w:rPr>
          <w:rFonts w:ascii="Calibri" w:hAnsi="Calibri" w:cs="Calibri"/>
          <w:b/>
          <w:sz w:val="22"/>
        </w:rPr>
      </w:pPr>
      <w:r w:rsidRPr="00D940D7">
        <w:rPr>
          <w:rFonts w:ascii="Calibri" w:hAnsi="Calibri" w:cs="Calibri"/>
          <w:b/>
          <w:sz w:val="22"/>
        </w:rPr>
        <w:t xml:space="preserve">CSP dati liecina, ka 2. </w:t>
      </w:r>
      <w:proofErr w:type="gramStart"/>
      <w:r w:rsidRPr="00D940D7">
        <w:rPr>
          <w:rFonts w:ascii="Calibri" w:hAnsi="Calibri" w:cs="Calibri"/>
          <w:b/>
          <w:sz w:val="22"/>
        </w:rPr>
        <w:t>ceturksnī</w:t>
      </w:r>
      <w:proofErr w:type="gramEnd"/>
      <w:r w:rsidRPr="00D940D7">
        <w:rPr>
          <w:rFonts w:ascii="Calibri" w:hAnsi="Calibri" w:cs="Calibri"/>
          <w:b/>
          <w:sz w:val="22"/>
        </w:rPr>
        <w:t xml:space="preserve"> novērota strauja sabremzēšanās strādājošo mēneša vidējā darba pieaugumā (+3.9%) salīdzinot ar iepriekšējā gada atbilstošo periodu. 2020. </w:t>
      </w:r>
      <w:proofErr w:type="gramStart"/>
      <w:r w:rsidRPr="00D940D7">
        <w:rPr>
          <w:rFonts w:ascii="Calibri" w:hAnsi="Calibri" w:cs="Calibri"/>
          <w:b/>
          <w:sz w:val="22"/>
        </w:rPr>
        <w:t>gada</w:t>
      </w:r>
      <w:proofErr w:type="gramEnd"/>
      <w:r w:rsidRPr="00D940D7">
        <w:rPr>
          <w:rFonts w:ascii="Calibri" w:hAnsi="Calibri" w:cs="Calibri"/>
          <w:b/>
          <w:sz w:val="22"/>
        </w:rPr>
        <w:t xml:space="preserve"> 2. </w:t>
      </w:r>
      <w:proofErr w:type="gramStart"/>
      <w:r w:rsidRPr="00D940D7">
        <w:rPr>
          <w:rFonts w:ascii="Calibri" w:hAnsi="Calibri" w:cs="Calibri"/>
          <w:b/>
          <w:sz w:val="22"/>
        </w:rPr>
        <w:t>ceturksnī</w:t>
      </w:r>
      <w:proofErr w:type="gramEnd"/>
      <w:r w:rsidRPr="00D940D7">
        <w:rPr>
          <w:rFonts w:ascii="Calibri" w:hAnsi="Calibri" w:cs="Calibri"/>
          <w:b/>
          <w:sz w:val="22"/>
        </w:rPr>
        <w:t xml:space="preserve"> salīdzinājumā ar 2020. </w:t>
      </w:r>
      <w:proofErr w:type="gramStart"/>
      <w:r w:rsidRPr="00D940D7">
        <w:rPr>
          <w:rFonts w:ascii="Calibri" w:hAnsi="Calibri" w:cs="Calibri"/>
          <w:b/>
          <w:sz w:val="22"/>
        </w:rPr>
        <w:t>gada</w:t>
      </w:r>
      <w:proofErr w:type="gramEnd"/>
      <w:r w:rsidRPr="00D940D7">
        <w:rPr>
          <w:rFonts w:ascii="Calibri" w:hAnsi="Calibri" w:cs="Calibri"/>
          <w:b/>
          <w:sz w:val="22"/>
        </w:rPr>
        <w:t xml:space="preserve"> 1. </w:t>
      </w:r>
      <w:proofErr w:type="gramStart"/>
      <w:r w:rsidRPr="00D940D7">
        <w:rPr>
          <w:rFonts w:ascii="Calibri" w:hAnsi="Calibri" w:cs="Calibri"/>
          <w:b/>
          <w:sz w:val="22"/>
        </w:rPr>
        <w:t>ceturksni</w:t>
      </w:r>
      <w:proofErr w:type="gramEnd"/>
      <w:r w:rsidRPr="00D940D7">
        <w:rPr>
          <w:rFonts w:ascii="Calibri" w:hAnsi="Calibri" w:cs="Calibri"/>
          <w:b/>
          <w:sz w:val="22"/>
        </w:rPr>
        <w:t xml:space="preserve"> bruto darba samaksa pieauga par 1.6 %. </w:t>
      </w:r>
      <w:r w:rsidRPr="00D940D7">
        <w:rPr>
          <w:rFonts w:ascii="Calibri" w:hAnsi="Calibri" w:cs="Calibri"/>
          <w:sz w:val="22"/>
        </w:rPr>
        <w:t>2020. </w:t>
      </w:r>
      <w:proofErr w:type="gramStart"/>
      <w:r w:rsidRPr="00D940D7">
        <w:rPr>
          <w:rFonts w:ascii="Calibri" w:hAnsi="Calibri" w:cs="Calibri"/>
          <w:sz w:val="22"/>
        </w:rPr>
        <w:t>gada</w:t>
      </w:r>
      <w:proofErr w:type="gramEnd"/>
      <w:r w:rsidRPr="00D940D7">
        <w:rPr>
          <w:rFonts w:ascii="Calibri" w:hAnsi="Calibri" w:cs="Calibri"/>
          <w:sz w:val="22"/>
        </w:rPr>
        <w:t xml:space="preserve"> II ceturksnī vidējā bruto darba samaksa privātajā sektora bija 1 108 eiro, bet sabiedriskajā - par 30 eiro lielāka (1 138 eiro). Gan sabiedriskajā, gan privātajā sektorā vidējā mēneša bruto darba samaksa pirms nodokļu nomaksas pieauga identiski – par 3.8 %. Covid-19 laikā algas pieaugušas </w:t>
      </w:r>
      <w:proofErr w:type="gramStart"/>
      <w:r w:rsidRPr="00D940D7">
        <w:rPr>
          <w:rFonts w:ascii="Calibri" w:hAnsi="Calibri" w:cs="Calibri"/>
          <w:sz w:val="22"/>
        </w:rPr>
        <w:t>t.s</w:t>
      </w:r>
      <w:proofErr w:type="gramEnd"/>
      <w:r w:rsidRPr="00D940D7">
        <w:rPr>
          <w:rFonts w:ascii="Calibri" w:hAnsi="Calibri" w:cs="Calibri"/>
          <w:sz w:val="22"/>
        </w:rPr>
        <w:t xml:space="preserve">. citiem pakalpojumiem +14%, kuros ietilpst organizāciju darbība, datoru, individuālās lietošanas priekšmetu un mājsaimniecības preču remonts un dažādi citur neklasificēti individuālie pakalpojumi. Pieauga algas arī būvniecībā +6% </w:t>
      </w:r>
      <w:proofErr w:type="gramStart"/>
      <w:r w:rsidRPr="00D940D7">
        <w:rPr>
          <w:rFonts w:ascii="Calibri" w:hAnsi="Calibri" w:cs="Calibri"/>
          <w:sz w:val="22"/>
        </w:rPr>
        <w:t>un</w:t>
      </w:r>
      <w:proofErr w:type="gramEnd"/>
      <w:r w:rsidRPr="00D940D7">
        <w:rPr>
          <w:rFonts w:ascii="Calibri" w:hAnsi="Calibri" w:cs="Calibri"/>
          <w:sz w:val="22"/>
        </w:rPr>
        <w:t xml:space="preserve"> valsts pārvaldē +6.5%. Vienlaikus algu kritums notika Covid-19 skartajās nozarēs, t.sk. </w:t>
      </w:r>
      <w:proofErr w:type="gramStart"/>
      <w:r w:rsidRPr="00D940D7">
        <w:rPr>
          <w:rFonts w:ascii="Calibri" w:hAnsi="Calibri" w:cs="Calibri"/>
          <w:sz w:val="22"/>
        </w:rPr>
        <w:t>izmitināšanā</w:t>
      </w:r>
      <w:proofErr w:type="gramEnd"/>
      <w:r w:rsidRPr="00D940D7">
        <w:rPr>
          <w:rFonts w:ascii="Calibri" w:hAnsi="Calibri" w:cs="Calibri"/>
          <w:sz w:val="22"/>
        </w:rPr>
        <w:t xml:space="preserve"> un ēdināšanā -16.5%, mākslā, izklaidē un atpūtā -1%, kā arī lejupslīdē esošajā transporta un uzglabāšanas nozarē -5.1%.</w:t>
      </w:r>
    </w:p>
    <w:p w14:paraId="14264EEF" w14:textId="77777777" w:rsidR="00DB5CF6" w:rsidRPr="00485390" w:rsidRDefault="00DB5CF6" w:rsidP="00DB5CF6">
      <w:pPr>
        <w:rPr>
          <w:rFonts w:ascii="Calibri" w:hAnsi="Calibri" w:cs="Calibri"/>
          <w:sz w:val="22"/>
        </w:rPr>
      </w:pPr>
    </w:p>
    <w:p w14:paraId="1CAEEDB5" w14:textId="77777777" w:rsidR="00DB5CF6" w:rsidRDefault="00DB5CF6" w:rsidP="00DB5CF6">
      <w:pPr>
        <w:rPr>
          <w:b/>
          <w:bCs/>
          <w:sz w:val="20"/>
          <w:szCs w:val="20"/>
          <w:highlight w:val="yellow"/>
        </w:rPr>
      </w:pPr>
      <w:r>
        <w:rPr>
          <w:noProof/>
          <w:lang w:val="lv-LV" w:eastAsia="lv-LV"/>
        </w:rPr>
        <w:lastRenderedPageBreak/>
        <w:drawing>
          <wp:inline distT="0" distB="0" distL="0" distR="0" wp14:anchorId="36F60343" wp14:editId="16E7F2A4">
            <wp:extent cx="5212895" cy="2738755"/>
            <wp:effectExtent l="0" t="0" r="6985" b="0"/>
            <wp:docPr id="29" name="Chart 29">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7DE20C25" w14:textId="77777777" w:rsidR="00DB5CF6" w:rsidRPr="007B3B27" w:rsidRDefault="00DB5CF6" w:rsidP="00DB5CF6">
      <w:pPr>
        <w:rPr>
          <w:rFonts w:asciiTheme="minorHAnsi" w:hAnsiTheme="minorHAnsi"/>
          <w:bCs/>
          <w:i/>
          <w:sz w:val="20"/>
          <w:szCs w:val="20"/>
        </w:rPr>
      </w:pPr>
      <w:r w:rsidRPr="007B3B27">
        <w:rPr>
          <w:rFonts w:asciiTheme="minorHAnsi" w:hAnsiTheme="minorHAnsi"/>
          <w:bCs/>
          <w:i/>
          <w:sz w:val="20"/>
          <w:szCs w:val="20"/>
        </w:rPr>
        <w:t xml:space="preserve">Avots: CSP </w:t>
      </w:r>
      <w:r w:rsidRPr="007B3B27">
        <w:rPr>
          <w:rFonts w:asciiTheme="minorHAnsi" w:hAnsiTheme="minorHAnsi"/>
          <w:i/>
          <w:sz w:val="20"/>
          <w:szCs w:val="20"/>
          <w:shd w:val="clear" w:color="auto" w:fill="FFFFFF"/>
        </w:rPr>
        <w:t>[DS020c]</w:t>
      </w:r>
    </w:p>
    <w:p w14:paraId="63F8EE03" w14:textId="5B367D9F" w:rsidR="00DB5CF6" w:rsidRPr="007B3B27" w:rsidRDefault="007B3B27" w:rsidP="00DB5CF6">
      <w:pPr>
        <w:rPr>
          <w:rFonts w:asciiTheme="minorHAnsi" w:hAnsiTheme="minorHAnsi" w:cs="Calibri"/>
          <w:b/>
          <w:sz w:val="20"/>
          <w:szCs w:val="20"/>
        </w:rPr>
      </w:pPr>
      <w:r w:rsidRPr="007B3B27">
        <w:rPr>
          <w:rStyle w:val="Emphasis"/>
          <w:rFonts w:asciiTheme="minorHAnsi" w:hAnsiTheme="minorHAnsi" w:cs="Calibri"/>
          <w:b/>
          <w:i w:val="0"/>
          <w:color w:val="191919"/>
          <w:sz w:val="20"/>
          <w:szCs w:val="20"/>
          <w:bdr w:val="none" w:sz="0" w:space="0" w:color="auto" w:frame="1"/>
          <w:shd w:val="clear" w:color="auto" w:fill="FFFFFF"/>
        </w:rPr>
        <w:t xml:space="preserve">24. </w:t>
      </w:r>
      <w:proofErr w:type="gramStart"/>
      <w:r w:rsidRPr="007B3B27">
        <w:rPr>
          <w:rStyle w:val="Emphasis"/>
          <w:rFonts w:asciiTheme="minorHAnsi" w:hAnsiTheme="minorHAnsi" w:cs="Calibri"/>
          <w:b/>
          <w:i w:val="0"/>
          <w:color w:val="191919"/>
          <w:sz w:val="20"/>
          <w:szCs w:val="20"/>
          <w:bdr w:val="none" w:sz="0" w:space="0" w:color="auto" w:frame="1"/>
          <w:shd w:val="clear" w:color="auto" w:fill="FFFFFF"/>
        </w:rPr>
        <w:t>a</w:t>
      </w:r>
      <w:r w:rsidR="00DB5CF6" w:rsidRPr="007B3B27">
        <w:rPr>
          <w:rStyle w:val="Emphasis"/>
          <w:rFonts w:asciiTheme="minorHAnsi" w:hAnsiTheme="minorHAnsi" w:cs="Calibri"/>
          <w:b/>
          <w:i w:val="0"/>
          <w:color w:val="191919"/>
          <w:sz w:val="20"/>
          <w:szCs w:val="20"/>
          <w:bdr w:val="none" w:sz="0" w:space="0" w:color="auto" w:frame="1"/>
          <w:shd w:val="clear" w:color="auto" w:fill="FFFFFF"/>
        </w:rPr>
        <w:t>ttēls</w:t>
      </w:r>
      <w:proofErr w:type="gramEnd"/>
      <w:r w:rsidR="00DB5CF6" w:rsidRPr="007B3B27">
        <w:rPr>
          <w:rStyle w:val="Emphasis"/>
          <w:rFonts w:asciiTheme="minorHAnsi" w:hAnsiTheme="minorHAnsi" w:cs="Calibri"/>
          <w:b/>
          <w:i w:val="0"/>
          <w:color w:val="191919"/>
          <w:sz w:val="20"/>
          <w:szCs w:val="20"/>
          <w:bdr w:val="none" w:sz="0" w:space="0" w:color="auto" w:frame="1"/>
          <w:shd w:val="clear" w:color="auto" w:fill="FFFFFF"/>
        </w:rPr>
        <w:t>:</w:t>
      </w:r>
      <w:r w:rsidR="00DB5CF6" w:rsidRPr="007B3B27">
        <w:rPr>
          <w:rStyle w:val="Emphasis"/>
          <w:rFonts w:asciiTheme="minorHAnsi" w:hAnsiTheme="minorHAnsi" w:cs="Calibri"/>
          <w:b/>
          <w:color w:val="191919"/>
          <w:sz w:val="20"/>
          <w:szCs w:val="20"/>
          <w:bdr w:val="none" w:sz="0" w:space="0" w:color="auto" w:frame="1"/>
          <w:shd w:val="clear" w:color="auto" w:fill="FFFFFF"/>
        </w:rPr>
        <w:t xml:space="preserve"> </w:t>
      </w:r>
      <w:r w:rsidR="00DB5CF6" w:rsidRPr="007B3B27">
        <w:rPr>
          <w:rFonts w:asciiTheme="minorHAnsi" w:hAnsiTheme="minorHAnsi" w:cs="Calibri"/>
          <w:sz w:val="20"/>
          <w:szCs w:val="20"/>
        </w:rPr>
        <w:t>Vidējā bruto darba samaksa un gada algas pieaugums (pieaugums salīdzinājumā ar iepriekšējā gada atbilstošo period</w:t>
      </w:r>
    </w:p>
    <w:p w14:paraId="5FCFCB9E" w14:textId="490B8D0B" w:rsidR="00DB5CF6" w:rsidRDefault="00DB5CF6" w:rsidP="00DB5CF6">
      <w:pPr>
        <w:spacing w:before="240"/>
        <w:rPr>
          <w:rFonts w:ascii="Calibri" w:hAnsi="Calibri" w:cs="Calibri"/>
          <w:b/>
          <w:sz w:val="22"/>
        </w:rPr>
      </w:pPr>
    </w:p>
    <w:p w14:paraId="41C36722" w14:textId="79567AC8" w:rsidR="00DB5CF6" w:rsidRPr="00D940D7" w:rsidRDefault="00D940D7" w:rsidP="00462E32">
      <w:pPr>
        <w:pStyle w:val="ListParagraph"/>
        <w:numPr>
          <w:ilvl w:val="0"/>
          <w:numId w:val="23"/>
        </w:numPr>
        <w:jc w:val="both"/>
        <w:rPr>
          <w:rFonts w:ascii="Calibri" w:hAnsi="Calibri" w:cs="Calibri"/>
          <w:sz w:val="22"/>
        </w:rPr>
      </w:pPr>
      <w:r w:rsidRPr="00D940D7">
        <w:rPr>
          <w:noProof/>
          <w:lang w:val="lv-LV" w:eastAsia="lv-LV"/>
        </w:rPr>
        <mc:AlternateContent>
          <mc:Choice Requires="wps">
            <w:drawing>
              <wp:anchor distT="45720" distB="45720" distL="114300" distR="114300" simplePos="0" relativeHeight="251664384" behindDoc="0" locked="0" layoutInCell="1" allowOverlap="1" wp14:anchorId="6EB3DEB5" wp14:editId="6C3166C6">
                <wp:simplePos x="0" y="0"/>
                <wp:positionH relativeFrom="column">
                  <wp:posOffset>0</wp:posOffset>
                </wp:positionH>
                <wp:positionV relativeFrom="paragraph">
                  <wp:posOffset>127635</wp:posOffset>
                </wp:positionV>
                <wp:extent cx="2609850" cy="231140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311400"/>
                        </a:xfrm>
                        <a:prstGeom prst="rect">
                          <a:avLst/>
                        </a:prstGeom>
                        <a:solidFill>
                          <a:srgbClr val="FFFFFF"/>
                        </a:solidFill>
                        <a:ln w="9525">
                          <a:noFill/>
                          <a:miter lim="800000"/>
                          <a:headEnd/>
                          <a:tailEnd/>
                        </a:ln>
                      </wps:spPr>
                      <wps:txbx>
                        <w:txbxContent>
                          <w:p w14:paraId="167BEC24" w14:textId="71927A06" w:rsidR="00EB0955" w:rsidRDefault="00EB0955">
                            <w:r>
                              <w:rPr>
                                <w:noProof/>
                                <w:lang w:val="lv-LV" w:eastAsia="lv-LV"/>
                              </w:rPr>
                              <w:drawing>
                                <wp:inline distT="0" distB="0" distL="0" distR="0" wp14:anchorId="7A335D57" wp14:editId="615898CD">
                                  <wp:extent cx="2476500" cy="1828800"/>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0D7456AE" w14:textId="49EFE7C7" w:rsidR="00EB0955" w:rsidRPr="007B3B27" w:rsidRDefault="00EB0955" w:rsidP="00D940D7">
                            <w:pPr>
                              <w:rPr>
                                <w:rFonts w:ascii="Calibri" w:hAnsi="Calibri" w:cs="Calibri"/>
                                <w:i/>
                                <w:sz w:val="20"/>
                                <w:szCs w:val="20"/>
                              </w:rPr>
                            </w:pPr>
                            <w:r>
                              <w:rPr>
                                <w:rFonts w:ascii="Calibri" w:hAnsi="Calibri" w:cs="Calibri"/>
                                <w:i/>
                                <w:sz w:val="20"/>
                                <w:szCs w:val="20"/>
                              </w:rPr>
                              <w:t>Avots: Eu</w:t>
                            </w:r>
                            <w:r w:rsidRPr="007B3B27">
                              <w:rPr>
                                <w:rFonts w:ascii="Calibri" w:hAnsi="Calibri" w:cs="Calibri"/>
                                <w:i/>
                                <w:sz w:val="20"/>
                                <w:szCs w:val="20"/>
                              </w:rPr>
                              <w:t>rostat [prc_hicp_manr]</w:t>
                            </w:r>
                          </w:p>
                          <w:p w14:paraId="1B603756" w14:textId="6EA756B6" w:rsidR="00EB0955" w:rsidRPr="007B3B27" w:rsidRDefault="00EB0955">
                            <w:pPr>
                              <w:rPr>
                                <w:rFonts w:ascii="Calibri" w:hAnsi="Calibri" w:cs="Calibri"/>
                                <w:i/>
                                <w:sz w:val="20"/>
                                <w:szCs w:val="20"/>
                              </w:rPr>
                            </w:pPr>
                            <w:r w:rsidRPr="007B3B27">
                              <w:rPr>
                                <w:rStyle w:val="Emphasis"/>
                                <w:rFonts w:ascii="Calibri" w:hAnsi="Calibri" w:cs="Calibri"/>
                                <w:b/>
                                <w:i w:val="0"/>
                                <w:color w:val="191919"/>
                                <w:sz w:val="20"/>
                                <w:szCs w:val="20"/>
                                <w:bdr w:val="none" w:sz="0" w:space="0" w:color="auto" w:frame="1"/>
                                <w:shd w:val="clear" w:color="auto" w:fill="FFFFFF"/>
                              </w:rPr>
                              <w:t xml:space="preserve">25. </w:t>
                            </w:r>
                            <w:proofErr w:type="gramStart"/>
                            <w:r w:rsidRPr="007B3B27">
                              <w:rPr>
                                <w:rStyle w:val="Emphasis"/>
                                <w:rFonts w:ascii="Calibri" w:hAnsi="Calibri" w:cs="Calibri"/>
                                <w:b/>
                                <w:i w:val="0"/>
                                <w:color w:val="191919"/>
                                <w:sz w:val="20"/>
                                <w:szCs w:val="20"/>
                                <w:bdr w:val="none" w:sz="0" w:space="0" w:color="auto" w:frame="1"/>
                                <w:shd w:val="clear" w:color="auto" w:fill="FFFFFF"/>
                              </w:rPr>
                              <w:t>attēls</w:t>
                            </w:r>
                            <w:proofErr w:type="gramEnd"/>
                            <w:r w:rsidRPr="007B3B27">
                              <w:rPr>
                                <w:rStyle w:val="Emphasis"/>
                                <w:rFonts w:ascii="Calibri" w:hAnsi="Calibri" w:cs="Calibri"/>
                                <w:b/>
                                <w:i w:val="0"/>
                                <w:color w:val="191919"/>
                                <w:sz w:val="20"/>
                                <w:szCs w:val="20"/>
                                <w:bdr w:val="none" w:sz="0" w:space="0" w:color="auto" w:frame="1"/>
                                <w:shd w:val="clear" w:color="auto" w:fill="FFFFFF"/>
                              </w:rPr>
                              <w:t xml:space="preserve">: </w:t>
                            </w:r>
                            <w:r w:rsidRPr="007B3B27">
                              <w:rPr>
                                <w:rStyle w:val="Emphasis"/>
                                <w:rFonts w:ascii="Calibri" w:hAnsi="Calibri" w:cs="Calibri"/>
                                <w:i w:val="0"/>
                                <w:color w:val="191919"/>
                                <w:sz w:val="20"/>
                                <w:szCs w:val="20"/>
                                <w:bdr w:val="none" w:sz="0" w:space="0" w:color="auto" w:frame="1"/>
                                <w:shd w:val="clear" w:color="auto" w:fill="FFFFFF"/>
                              </w:rPr>
                              <w:t>Pamatinflācija EZ un Latvijā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3DEB5" id="_x0000_s1027" type="#_x0000_t202" style="position:absolute;left:0;text-align:left;margin-left:0;margin-top:10.05pt;width:205.5pt;height:18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" stroked="f">
                <v:textbox>
                  <w:txbxContent>
                    <w:p w14:paraId="167BEC24" w14:textId="71927A06" w:rsidR="00EB0955" w:rsidRDefault="00EB0955">
                      <w:r>
                        <w:rPr>
                          <w:noProof/>
                          <w:lang w:val="lv-LV" w:eastAsia="lv-LV"/>
                        </w:rPr>
                        <w:drawing>
                          <wp:inline distT="0" distB="0" distL="0" distR="0" wp14:anchorId="7A335D57" wp14:editId="615898CD">
                            <wp:extent cx="2476500" cy="1828800"/>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0D7456AE" w14:textId="49EFE7C7" w:rsidR="00EB0955" w:rsidRPr="007B3B27" w:rsidRDefault="00EB0955" w:rsidP="00D940D7">
                      <w:pPr>
                        <w:rPr>
                          <w:rFonts w:ascii="Calibri" w:hAnsi="Calibri" w:cs="Calibri"/>
                          <w:i/>
                          <w:sz w:val="20"/>
                          <w:szCs w:val="20"/>
                        </w:rPr>
                      </w:pPr>
                      <w:r>
                        <w:rPr>
                          <w:rFonts w:ascii="Calibri" w:hAnsi="Calibri" w:cs="Calibri"/>
                          <w:i/>
                          <w:sz w:val="20"/>
                          <w:szCs w:val="20"/>
                        </w:rPr>
                        <w:t>Avots: Eu</w:t>
                      </w:r>
                      <w:r w:rsidRPr="007B3B27">
                        <w:rPr>
                          <w:rFonts w:ascii="Calibri" w:hAnsi="Calibri" w:cs="Calibri"/>
                          <w:i/>
                          <w:sz w:val="20"/>
                          <w:szCs w:val="20"/>
                        </w:rPr>
                        <w:t>rostat [prc_hicp_manr]</w:t>
                      </w:r>
                    </w:p>
                    <w:p w14:paraId="1B603756" w14:textId="6EA756B6" w:rsidR="00EB0955" w:rsidRPr="007B3B27" w:rsidRDefault="00EB0955">
                      <w:pPr>
                        <w:rPr>
                          <w:rFonts w:ascii="Calibri" w:hAnsi="Calibri" w:cs="Calibri"/>
                          <w:i/>
                          <w:sz w:val="20"/>
                          <w:szCs w:val="20"/>
                        </w:rPr>
                      </w:pPr>
                      <w:r w:rsidRPr="007B3B27">
                        <w:rPr>
                          <w:rStyle w:val="Emphasis"/>
                          <w:rFonts w:ascii="Calibri" w:hAnsi="Calibri" w:cs="Calibri"/>
                          <w:b/>
                          <w:i w:val="0"/>
                          <w:color w:val="191919"/>
                          <w:sz w:val="20"/>
                          <w:szCs w:val="20"/>
                          <w:bdr w:val="none" w:sz="0" w:space="0" w:color="auto" w:frame="1"/>
                          <w:shd w:val="clear" w:color="auto" w:fill="FFFFFF"/>
                        </w:rPr>
                        <w:t xml:space="preserve">25. attēls: </w:t>
                      </w:r>
                      <w:r w:rsidRPr="007B3B27">
                        <w:rPr>
                          <w:rStyle w:val="Emphasis"/>
                          <w:rFonts w:ascii="Calibri" w:hAnsi="Calibri" w:cs="Calibri"/>
                          <w:i w:val="0"/>
                          <w:color w:val="191919"/>
                          <w:sz w:val="20"/>
                          <w:szCs w:val="20"/>
                          <w:bdr w:val="none" w:sz="0" w:space="0" w:color="auto" w:frame="1"/>
                          <w:shd w:val="clear" w:color="auto" w:fill="FFFFFF"/>
                        </w:rPr>
                        <w:t>Pamatinflācija EZ un Latvijā</w:t>
                      </w:r>
                    </w:p>
                  </w:txbxContent>
                </v:textbox>
                <w10:wrap type="square"/>
              </v:shape>
            </w:pict>
          </mc:Fallback>
        </mc:AlternateContent>
      </w:r>
      <w:r w:rsidR="00DB5CF6" w:rsidRPr="00D940D7">
        <w:rPr>
          <w:rFonts w:ascii="Calibri" w:hAnsi="Calibri" w:cs="Calibri"/>
          <w:b/>
          <w:sz w:val="22"/>
        </w:rPr>
        <w:t>Pamatinflācijas</w:t>
      </w:r>
      <w:r w:rsidR="00DB5CF6" w:rsidRPr="00D940D7">
        <w:rPr>
          <w:rFonts w:ascii="Calibri" w:hAnsi="Calibri" w:cs="Calibri"/>
          <w:sz w:val="22"/>
        </w:rPr>
        <w:t xml:space="preserve"> grafikā redzams, ka Latvijas ekonomikas izaugsmes periods saskanējis ar pamatinflācijas pieaugumu laikā no 2016. </w:t>
      </w:r>
      <w:proofErr w:type="gramStart"/>
      <w:r w:rsidR="00DB5CF6" w:rsidRPr="00D940D7">
        <w:rPr>
          <w:rFonts w:ascii="Calibri" w:hAnsi="Calibri" w:cs="Calibri"/>
          <w:sz w:val="22"/>
        </w:rPr>
        <w:t>gada</w:t>
      </w:r>
      <w:proofErr w:type="gramEnd"/>
      <w:r w:rsidR="00DB5CF6" w:rsidRPr="00D940D7">
        <w:rPr>
          <w:rFonts w:ascii="Calibri" w:hAnsi="Calibri" w:cs="Calibri"/>
          <w:sz w:val="22"/>
        </w:rPr>
        <w:t xml:space="preserve"> nogales līdz 2019. </w:t>
      </w:r>
      <w:proofErr w:type="gramStart"/>
      <w:r w:rsidR="00DB5CF6" w:rsidRPr="00D940D7">
        <w:rPr>
          <w:rFonts w:ascii="Calibri" w:hAnsi="Calibri" w:cs="Calibri"/>
          <w:sz w:val="22"/>
        </w:rPr>
        <w:t>gada</w:t>
      </w:r>
      <w:proofErr w:type="gramEnd"/>
      <w:r w:rsidR="00DB5CF6" w:rsidRPr="00D940D7">
        <w:rPr>
          <w:rFonts w:ascii="Calibri" w:hAnsi="Calibri" w:cs="Calibri"/>
          <w:sz w:val="22"/>
        </w:rPr>
        <w:t xml:space="preserve"> nogalei, kad ekonomikas izaugsme sāka sabremzēties. Šim sabremzēšanās periodam pievienojās arī ārējo notikumu šoks saistībā ar Covid-19 ierobežojumiem, kas strauji pazemināja pamatinflācijas rādītājus, zemāk par Eiro zonas vērtībām. Pašlaik Eiro zonā </w:t>
      </w:r>
      <w:proofErr w:type="gramStart"/>
      <w:r w:rsidR="00DB5CF6" w:rsidRPr="00D940D7">
        <w:rPr>
          <w:rFonts w:ascii="Calibri" w:hAnsi="Calibri" w:cs="Calibri"/>
          <w:sz w:val="22"/>
        </w:rPr>
        <w:t>un</w:t>
      </w:r>
      <w:proofErr w:type="gramEnd"/>
      <w:r w:rsidR="00DB5CF6" w:rsidRPr="00D940D7">
        <w:rPr>
          <w:rFonts w:ascii="Calibri" w:hAnsi="Calibri" w:cs="Calibri"/>
          <w:sz w:val="22"/>
        </w:rPr>
        <w:t xml:space="preserve"> Latvijā saglabājas minimālas pamatinflācijas vērtības, kas ir zemākas par 1%, pie Eiro zonas inflācijas mērķa vērtības 2%.</w:t>
      </w:r>
    </w:p>
    <w:p w14:paraId="09DDD6C9" w14:textId="77777777" w:rsidR="00D940D7" w:rsidRDefault="00D940D7" w:rsidP="00DB5CF6">
      <w:pPr>
        <w:spacing w:before="240"/>
        <w:rPr>
          <w:rFonts w:ascii="Calibri" w:hAnsi="Calibri" w:cs="Calibri"/>
          <w:b/>
          <w:sz w:val="22"/>
        </w:rPr>
      </w:pPr>
    </w:p>
    <w:p w14:paraId="1601CBCF" w14:textId="559F79C4" w:rsidR="00DB5CF6" w:rsidRPr="00D940D7" w:rsidRDefault="00DB5CF6" w:rsidP="004B0127">
      <w:pPr>
        <w:pStyle w:val="ListParagraph"/>
        <w:numPr>
          <w:ilvl w:val="0"/>
          <w:numId w:val="23"/>
        </w:numPr>
        <w:spacing w:before="240"/>
        <w:ind w:left="426" w:hanging="426"/>
        <w:jc w:val="both"/>
        <w:rPr>
          <w:rFonts w:ascii="Calibri" w:hAnsi="Calibri" w:cs="Calibri"/>
          <w:b/>
          <w:sz w:val="22"/>
        </w:rPr>
      </w:pPr>
      <w:r w:rsidRPr="00D940D7">
        <w:rPr>
          <w:rFonts w:ascii="Calibri" w:hAnsi="Calibri" w:cs="Calibri"/>
          <w:b/>
          <w:sz w:val="22"/>
        </w:rPr>
        <w:t xml:space="preserve">Covid-19 krīzē patēriņa cenu indeksi nav samazinājušies vienmērīgi, bet cenu kritums bija raksturīgs atsevišķām nozarēm. </w:t>
      </w:r>
      <w:r w:rsidRPr="00362CD2">
        <w:rPr>
          <w:rFonts w:ascii="Calibri" w:hAnsi="Calibri" w:cs="Calibri"/>
          <w:sz w:val="22"/>
        </w:rPr>
        <w:t xml:space="preserve">Skatoties uz patēriņa cenām strukturāli redzams, ka cenas būtiski kritās apdrošināšanai, izmitināšanas pakalpojumiem, personisko transportlīdzekļu ekspluatācijas izdevumiem. Samazinājās mājokļu īres maksa </w:t>
      </w:r>
      <w:proofErr w:type="gramStart"/>
      <w:r w:rsidRPr="00362CD2">
        <w:rPr>
          <w:rFonts w:ascii="Calibri" w:hAnsi="Calibri" w:cs="Calibri"/>
          <w:sz w:val="22"/>
        </w:rPr>
        <w:t>un</w:t>
      </w:r>
      <w:proofErr w:type="gramEnd"/>
      <w:r w:rsidRPr="00362CD2">
        <w:rPr>
          <w:rFonts w:ascii="Calibri" w:hAnsi="Calibri" w:cs="Calibri"/>
          <w:sz w:val="22"/>
        </w:rPr>
        <w:t xml:space="preserve"> elektroenerģijas, gāzes un cita kurināmā izmaksas.</w:t>
      </w:r>
    </w:p>
    <w:p w14:paraId="5DF492DF" w14:textId="77777777" w:rsidR="00DB5CF6" w:rsidRDefault="00DB5CF6" w:rsidP="00DB5CF6">
      <w:pPr>
        <w:spacing w:before="240"/>
        <w:rPr>
          <w:rFonts w:ascii="Calibri" w:hAnsi="Calibri" w:cs="Calibri"/>
          <w:b/>
          <w:sz w:val="22"/>
        </w:rPr>
      </w:pPr>
      <w:r>
        <w:rPr>
          <w:noProof/>
          <w:lang w:val="lv-LV" w:eastAsia="lv-LV"/>
        </w:rPr>
        <w:lastRenderedPageBreak/>
        <w:drawing>
          <wp:inline distT="0" distB="0" distL="0" distR="0" wp14:anchorId="3BDF5C62" wp14:editId="02E7F931">
            <wp:extent cx="5274310" cy="3267710"/>
            <wp:effectExtent l="0" t="0" r="2540" b="889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0AB36A94" w14:textId="77777777" w:rsidR="00DB5CF6" w:rsidRPr="007B3B27" w:rsidRDefault="00DB5CF6" w:rsidP="00DB5CF6">
      <w:pPr>
        <w:rPr>
          <w:rFonts w:ascii="Calibri" w:hAnsi="Calibri" w:cs="Calibri"/>
          <w:i/>
          <w:sz w:val="20"/>
        </w:rPr>
      </w:pPr>
      <w:r w:rsidRPr="007B3B27">
        <w:rPr>
          <w:rFonts w:ascii="Calibri" w:hAnsi="Calibri" w:cs="Calibri"/>
          <w:i/>
          <w:sz w:val="20"/>
        </w:rPr>
        <w:t>Avots CSP [PC041m]</w:t>
      </w:r>
    </w:p>
    <w:p w14:paraId="200C6305" w14:textId="1D0141D7" w:rsidR="00DB5CF6" w:rsidRPr="007B3B27" w:rsidRDefault="007B3B27" w:rsidP="00DB5CF6">
      <w:pPr>
        <w:rPr>
          <w:rFonts w:ascii="Calibri" w:hAnsi="Calibri" w:cs="Calibri"/>
          <w:sz w:val="22"/>
        </w:rPr>
      </w:pPr>
      <w:r w:rsidRPr="007B3B27">
        <w:rPr>
          <w:rStyle w:val="Emphasis"/>
          <w:rFonts w:ascii="Calibri" w:hAnsi="Calibri" w:cs="Calibri"/>
          <w:b/>
          <w:i w:val="0"/>
          <w:color w:val="191919"/>
          <w:sz w:val="22"/>
          <w:bdr w:val="none" w:sz="0" w:space="0" w:color="auto" w:frame="1"/>
          <w:shd w:val="clear" w:color="auto" w:fill="FFFFFF"/>
        </w:rPr>
        <w:t xml:space="preserve">26. </w:t>
      </w:r>
      <w:proofErr w:type="gramStart"/>
      <w:r w:rsidRPr="007B3B27">
        <w:rPr>
          <w:rStyle w:val="Emphasis"/>
          <w:rFonts w:ascii="Calibri" w:hAnsi="Calibri" w:cs="Calibri"/>
          <w:b/>
          <w:i w:val="0"/>
          <w:color w:val="191919"/>
          <w:sz w:val="22"/>
          <w:bdr w:val="none" w:sz="0" w:space="0" w:color="auto" w:frame="1"/>
          <w:shd w:val="clear" w:color="auto" w:fill="FFFFFF"/>
        </w:rPr>
        <w:t>a</w:t>
      </w:r>
      <w:r w:rsidR="00DB5CF6" w:rsidRPr="007B3B27">
        <w:rPr>
          <w:rStyle w:val="Emphasis"/>
          <w:rFonts w:ascii="Calibri" w:hAnsi="Calibri" w:cs="Calibri"/>
          <w:b/>
          <w:i w:val="0"/>
          <w:color w:val="191919"/>
          <w:sz w:val="22"/>
          <w:bdr w:val="none" w:sz="0" w:space="0" w:color="auto" w:frame="1"/>
          <w:shd w:val="clear" w:color="auto" w:fill="FFFFFF"/>
        </w:rPr>
        <w:t>ttēls</w:t>
      </w:r>
      <w:proofErr w:type="gramEnd"/>
      <w:r w:rsidR="00DB5CF6" w:rsidRPr="007B3B27">
        <w:rPr>
          <w:rStyle w:val="Emphasis"/>
          <w:rFonts w:ascii="Calibri" w:hAnsi="Calibri" w:cs="Calibri"/>
          <w:b/>
          <w:i w:val="0"/>
          <w:color w:val="191919"/>
          <w:sz w:val="22"/>
          <w:bdr w:val="none" w:sz="0" w:space="0" w:color="auto" w:frame="1"/>
          <w:shd w:val="clear" w:color="auto" w:fill="FFFFFF"/>
        </w:rPr>
        <w:t>:</w:t>
      </w:r>
      <w:r w:rsidR="00DB5CF6" w:rsidRPr="007B3B27">
        <w:rPr>
          <w:rStyle w:val="Emphasis"/>
          <w:rFonts w:ascii="Calibri" w:hAnsi="Calibri" w:cs="Calibri"/>
          <w:b/>
          <w:color w:val="191919"/>
          <w:sz w:val="22"/>
          <w:bdr w:val="none" w:sz="0" w:space="0" w:color="auto" w:frame="1"/>
          <w:shd w:val="clear" w:color="auto" w:fill="FFFFFF"/>
        </w:rPr>
        <w:t xml:space="preserve"> </w:t>
      </w:r>
      <w:r w:rsidR="00DB5CF6" w:rsidRPr="007B3B27">
        <w:rPr>
          <w:rFonts w:ascii="Calibri" w:hAnsi="Calibri" w:cs="Calibri"/>
          <w:sz w:val="22"/>
        </w:rPr>
        <w:t>Patēriņa cenu indeksi grupās un apakšgrupās (ECOICOP) (2015=1)</w:t>
      </w:r>
    </w:p>
    <w:p w14:paraId="6ED8E314" w14:textId="77777777" w:rsidR="00D940D7" w:rsidRPr="008A2E04" w:rsidRDefault="00D940D7" w:rsidP="00DB5CF6">
      <w:pPr>
        <w:rPr>
          <w:rFonts w:ascii="Calibri" w:hAnsi="Calibri" w:cs="Calibri"/>
          <w:sz w:val="22"/>
        </w:rPr>
      </w:pPr>
    </w:p>
    <w:p w14:paraId="5D067C43" w14:textId="474D18F5" w:rsidR="00D940D7" w:rsidRDefault="007D0B95" w:rsidP="00D940D7">
      <w:pPr>
        <w:pStyle w:val="Heading2"/>
        <w:rPr>
          <w:rFonts w:eastAsiaTheme="minorHAnsi"/>
        </w:rPr>
      </w:pPr>
      <w:bookmarkStart w:id="20" w:name="_Toc53387635"/>
      <w:r>
        <w:rPr>
          <w:rFonts w:eastAsiaTheme="minorHAnsi"/>
        </w:rPr>
        <w:t>4</w:t>
      </w:r>
      <w:r w:rsidR="007F1DB8">
        <w:rPr>
          <w:rFonts w:eastAsiaTheme="minorHAnsi"/>
        </w:rPr>
        <w:t xml:space="preserve">.3 </w:t>
      </w:r>
      <w:r w:rsidR="00D940D7">
        <w:rPr>
          <w:rFonts w:eastAsiaTheme="minorHAnsi"/>
        </w:rPr>
        <w:t xml:space="preserve">Latvijas ekonomikas cikli </w:t>
      </w:r>
      <w:proofErr w:type="gramStart"/>
      <w:r w:rsidR="00D940D7">
        <w:rPr>
          <w:rFonts w:eastAsiaTheme="minorHAnsi"/>
        </w:rPr>
        <w:t>un</w:t>
      </w:r>
      <w:proofErr w:type="gramEnd"/>
      <w:r w:rsidR="00D940D7">
        <w:rPr>
          <w:rFonts w:eastAsiaTheme="minorHAnsi"/>
        </w:rPr>
        <w:t xml:space="preserve"> attīstība starp divām krīzēm</w:t>
      </w:r>
      <w:bookmarkEnd w:id="20"/>
    </w:p>
    <w:p w14:paraId="163F7396" w14:textId="37D0189B" w:rsidR="00DB5CF6" w:rsidRDefault="00DB5CF6" w:rsidP="007F1DB8">
      <w:pPr>
        <w:pStyle w:val="NormalWeb"/>
        <w:numPr>
          <w:ilvl w:val="0"/>
          <w:numId w:val="23"/>
        </w:numPr>
        <w:spacing w:line="284" w:lineRule="atLeast"/>
        <w:ind w:left="426" w:right="-199" w:hanging="426"/>
        <w:jc w:val="both"/>
        <w:textAlignment w:val="baseline"/>
        <w:rPr>
          <w:rFonts w:ascii="Calibri" w:eastAsiaTheme="minorHAnsi" w:hAnsi="Calibri" w:cs="Calibri"/>
          <w:sz w:val="22"/>
          <w:szCs w:val="22"/>
          <w:lang w:eastAsia="en-US"/>
        </w:rPr>
      </w:pPr>
      <w:r w:rsidRPr="00AD0A5B">
        <w:rPr>
          <w:rFonts w:ascii="Calibri" w:eastAsiaTheme="minorHAnsi" w:hAnsi="Calibri" w:cs="Calibri"/>
          <w:b/>
          <w:sz w:val="22"/>
          <w:szCs w:val="22"/>
          <w:lang w:eastAsia="en-US"/>
        </w:rPr>
        <w:t>Ekonomikas cikla siltuma karte</w:t>
      </w:r>
      <w:r>
        <w:rPr>
          <w:rStyle w:val="FootnoteReference"/>
          <w:rFonts w:ascii="Calibri" w:eastAsiaTheme="minorHAnsi" w:hAnsi="Calibri" w:cs="Calibri"/>
          <w:b/>
          <w:sz w:val="22"/>
          <w:szCs w:val="22"/>
          <w:lang w:eastAsia="en-US"/>
        </w:rPr>
        <w:footnoteReference w:id="24"/>
      </w:r>
      <w:r w:rsidRPr="00AD0A5B">
        <w:rPr>
          <w:rFonts w:ascii="Calibri" w:eastAsiaTheme="minorHAnsi" w:hAnsi="Calibri" w:cs="Calibri"/>
          <w:sz w:val="22"/>
          <w:szCs w:val="22"/>
          <w:lang w:eastAsia="en-US"/>
        </w:rPr>
        <w:t xml:space="preserve"> ļauj salīdzināt 20 gadu ilgtermiņa vidējos rādītājus ekonomikā </w:t>
      </w:r>
      <w:proofErr w:type="gramStart"/>
      <w:r w:rsidRPr="00AD0A5B">
        <w:rPr>
          <w:rFonts w:ascii="Calibri" w:eastAsiaTheme="minorHAnsi" w:hAnsi="Calibri" w:cs="Calibri"/>
          <w:sz w:val="22"/>
          <w:szCs w:val="22"/>
          <w:lang w:eastAsia="en-US"/>
        </w:rPr>
        <w:t>un</w:t>
      </w:r>
      <w:proofErr w:type="gramEnd"/>
      <w:r w:rsidRPr="00AD0A5B">
        <w:rPr>
          <w:rFonts w:ascii="Calibri" w:eastAsiaTheme="minorHAnsi" w:hAnsi="Calibri" w:cs="Calibri"/>
          <w:sz w:val="22"/>
          <w:szCs w:val="22"/>
          <w:lang w:eastAsia="en-US"/>
        </w:rPr>
        <w:t xml:space="preserve"> spriest par ekonomikas atrašanos ekonomikas izaugsmes, recesijas vai krīzes fāzē. Šī brīža krīzes kontekstā, tā </w:t>
      </w:r>
      <w:proofErr w:type="gramStart"/>
      <w:r w:rsidRPr="00AD0A5B">
        <w:rPr>
          <w:rFonts w:ascii="Calibri" w:eastAsiaTheme="minorHAnsi" w:hAnsi="Calibri" w:cs="Calibri"/>
          <w:sz w:val="22"/>
          <w:szCs w:val="22"/>
          <w:lang w:eastAsia="en-US"/>
        </w:rPr>
        <w:t>dod</w:t>
      </w:r>
      <w:proofErr w:type="gramEnd"/>
      <w:r w:rsidRPr="00AD0A5B">
        <w:rPr>
          <w:rFonts w:ascii="Calibri" w:eastAsiaTheme="minorHAnsi" w:hAnsi="Calibri" w:cs="Calibri"/>
          <w:sz w:val="22"/>
          <w:szCs w:val="22"/>
          <w:lang w:eastAsia="en-US"/>
        </w:rPr>
        <w:t xml:space="preserve"> iespēju salīdzināt tendences ekonomikā ar ainu pirms finanšu krīzes 2008.gadā. Siltuma kartē atainotie makroekonomikas rādītāji nosacīti sadalāmi četrās sadaļās (1) situācija darba tirgū, (2) reālā sektora stāvoklis, ekonomiskas noskaņojums, banku kreditēšanas aktivitāte (3) starptautiskās tirdzniecības indikatori, (4) pamatinflācija un mājokļu cenu pārmaiņas. Rādītāju ilgtermiņa (20 gadu) pārmaiņas vizualizētas ar krāsu pārejām. Rādītājam ilgtermiņā krītoties laika rinda iekrāsojas zila, rādītājiem ilgtermiņā kāpjot laika rinda redzama oranžā krāsā. Siltuma kartē labi saskatāma ekonomikas pārkaršana pirms finanšu krīzes 2007.-2008. </w:t>
      </w:r>
      <w:proofErr w:type="gramStart"/>
      <w:r w:rsidRPr="00AD0A5B">
        <w:rPr>
          <w:rFonts w:ascii="Calibri" w:eastAsiaTheme="minorHAnsi" w:hAnsi="Calibri" w:cs="Calibri"/>
          <w:sz w:val="22"/>
          <w:szCs w:val="22"/>
          <w:lang w:eastAsia="en-US"/>
        </w:rPr>
        <w:t>gados</w:t>
      </w:r>
      <w:proofErr w:type="gramEnd"/>
      <w:r w:rsidRPr="00AD0A5B">
        <w:rPr>
          <w:rFonts w:ascii="Calibri" w:eastAsiaTheme="minorHAnsi" w:hAnsi="Calibri" w:cs="Calibri"/>
          <w:sz w:val="22"/>
          <w:szCs w:val="22"/>
          <w:lang w:eastAsia="en-US"/>
        </w:rPr>
        <w:t xml:space="preserve"> un ekonomikas vispārēja atdzišana 2009-2010. </w:t>
      </w:r>
      <w:proofErr w:type="gramStart"/>
      <w:r w:rsidRPr="00AD0A5B">
        <w:rPr>
          <w:rFonts w:ascii="Calibri" w:eastAsiaTheme="minorHAnsi" w:hAnsi="Calibri" w:cs="Calibri"/>
          <w:sz w:val="22"/>
          <w:szCs w:val="22"/>
          <w:lang w:eastAsia="en-US"/>
        </w:rPr>
        <w:t>gados</w:t>
      </w:r>
      <w:proofErr w:type="gramEnd"/>
      <w:r w:rsidRPr="00AD0A5B">
        <w:rPr>
          <w:rFonts w:ascii="Calibri" w:eastAsiaTheme="minorHAnsi" w:hAnsi="Calibri" w:cs="Calibri"/>
          <w:sz w:val="22"/>
          <w:szCs w:val="22"/>
          <w:lang w:eastAsia="en-US"/>
        </w:rPr>
        <w:t xml:space="preserve">. Līdzīgi skatāma ekonomikas izaugsmes fāze līdz 2019. </w:t>
      </w:r>
      <w:proofErr w:type="gramStart"/>
      <w:r w:rsidRPr="00AD0A5B">
        <w:rPr>
          <w:rFonts w:ascii="Calibri" w:eastAsiaTheme="minorHAnsi" w:hAnsi="Calibri" w:cs="Calibri"/>
          <w:sz w:val="22"/>
          <w:szCs w:val="22"/>
          <w:lang w:eastAsia="en-US"/>
        </w:rPr>
        <w:t>gadam</w:t>
      </w:r>
      <w:proofErr w:type="gramEnd"/>
      <w:r w:rsidRPr="00AD0A5B">
        <w:rPr>
          <w:rFonts w:ascii="Calibri" w:eastAsiaTheme="minorHAnsi" w:hAnsi="Calibri" w:cs="Calibri"/>
          <w:sz w:val="22"/>
          <w:szCs w:val="22"/>
          <w:lang w:eastAsia="en-US"/>
        </w:rPr>
        <w:t xml:space="preserve"> un Covid-19 notikumu ietekme ekonomikā, kas parāda, ka šajā krīzē salīdzinot ar finanšu krīzi, ekonomika iegāja labākā stāvoklī. Līdz ar to arī sekas nav tik dziļas kā iepriekšējā krīzē.</w:t>
      </w:r>
    </w:p>
    <w:p w14:paraId="454CBFA2" w14:textId="77777777" w:rsidR="00030FF4" w:rsidRPr="00AD0A5B" w:rsidRDefault="00030FF4" w:rsidP="00030FF4">
      <w:pPr>
        <w:pStyle w:val="NormalWeb"/>
        <w:spacing w:line="284" w:lineRule="atLeast"/>
        <w:ind w:left="502" w:right="-199"/>
        <w:jc w:val="both"/>
        <w:textAlignment w:val="baseline"/>
        <w:rPr>
          <w:rFonts w:ascii="Calibri" w:eastAsiaTheme="minorHAnsi" w:hAnsi="Calibri" w:cs="Calibri"/>
          <w:sz w:val="22"/>
          <w:szCs w:val="22"/>
          <w:lang w:eastAsia="en-US"/>
        </w:rPr>
      </w:pPr>
    </w:p>
    <w:p w14:paraId="5609B4F3" w14:textId="7DA2F883" w:rsidR="00D940D7" w:rsidRPr="00030FF4" w:rsidRDefault="00030FF4" w:rsidP="00D940D7">
      <w:pPr>
        <w:spacing w:before="240"/>
        <w:rPr>
          <w:rFonts w:ascii="Calibri" w:hAnsi="Calibri" w:cs="Calibri"/>
          <w:b/>
          <w:sz w:val="22"/>
        </w:rPr>
      </w:pPr>
      <w:r>
        <w:rPr>
          <w:noProof/>
          <w:lang w:val="lv-LV" w:eastAsia="lv-LV"/>
        </w:rPr>
        <w:lastRenderedPageBreak/>
        <w:drawing>
          <wp:inline distT="0" distB="0" distL="0" distR="0" wp14:anchorId="5BCAB4A7" wp14:editId="12A8D6C0">
            <wp:extent cx="5734052" cy="2133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49">
                      <a:extLst>
                        <a:ext uri="{28A0092B-C50C-407E-A947-70E740481C1C}">
                          <a14:useLocalDpi xmlns:a14="http://schemas.microsoft.com/office/drawing/2010/main" val="0"/>
                        </a:ext>
                      </a:extLst>
                    </a:blip>
                    <a:stretch>
                      <a:fillRect/>
                    </a:stretch>
                  </pic:blipFill>
                  <pic:spPr>
                    <a:xfrm>
                      <a:off x="0" y="0"/>
                      <a:ext cx="5734052" cy="2133600"/>
                    </a:xfrm>
                    <a:prstGeom prst="rect">
                      <a:avLst/>
                    </a:prstGeom>
                  </pic:spPr>
                </pic:pic>
              </a:graphicData>
            </a:graphic>
          </wp:inline>
        </w:drawing>
      </w:r>
    </w:p>
    <w:p w14:paraId="3A20B7A5" w14:textId="5CD975B6" w:rsidR="00030FF4" w:rsidRPr="007B3B27" w:rsidRDefault="00D940D7" w:rsidP="00030FF4">
      <w:pPr>
        <w:rPr>
          <w:rFonts w:asciiTheme="minorHAnsi" w:hAnsiTheme="minorHAnsi"/>
          <w:i/>
          <w:sz w:val="20"/>
          <w:szCs w:val="20"/>
        </w:rPr>
      </w:pPr>
      <w:r w:rsidRPr="007B3B27">
        <w:rPr>
          <w:rFonts w:asciiTheme="minorHAnsi" w:hAnsiTheme="minorHAnsi"/>
          <w:i/>
          <w:sz w:val="20"/>
          <w:szCs w:val="20"/>
        </w:rPr>
        <w:t>Avots: Centrālā Statisti</w:t>
      </w:r>
      <w:r w:rsidR="00F2200E">
        <w:rPr>
          <w:rFonts w:asciiTheme="minorHAnsi" w:hAnsiTheme="minorHAnsi"/>
          <w:i/>
          <w:sz w:val="20"/>
          <w:szCs w:val="20"/>
        </w:rPr>
        <w:t>kas pārvalde, Latvijas Banka, Eu</w:t>
      </w:r>
      <w:r w:rsidRPr="007B3B27">
        <w:rPr>
          <w:rFonts w:asciiTheme="minorHAnsi" w:hAnsiTheme="minorHAnsi"/>
          <w:i/>
          <w:sz w:val="20"/>
          <w:szCs w:val="20"/>
        </w:rPr>
        <w:t>rostat, FDP aprēķini</w:t>
      </w:r>
    </w:p>
    <w:p w14:paraId="4E28AB34" w14:textId="767D5013" w:rsidR="00DB5CF6" w:rsidRPr="007B3B27" w:rsidRDefault="007B3B27" w:rsidP="00030FF4">
      <w:pPr>
        <w:rPr>
          <w:rFonts w:asciiTheme="minorHAnsi" w:hAnsiTheme="minorHAnsi"/>
          <w:sz w:val="20"/>
          <w:szCs w:val="20"/>
        </w:rPr>
      </w:pPr>
      <w:r w:rsidRPr="007B3B27">
        <w:rPr>
          <w:rFonts w:asciiTheme="minorHAnsi" w:hAnsiTheme="minorHAnsi" w:cs="Calibri"/>
          <w:b/>
          <w:sz w:val="20"/>
          <w:szCs w:val="20"/>
        </w:rPr>
        <w:t xml:space="preserve">27. </w:t>
      </w:r>
      <w:proofErr w:type="gramStart"/>
      <w:r w:rsidRPr="007B3B27">
        <w:rPr>
          <w:rFonts w:asciiTheme="minorHAnsi" w:hAnsiTheme="minorHAnsi" w:cs="Calibri"/>
          <w:b/>
          <w:sz w:val="20"/>
          <w:szCs w:val="20"/>
        </w:rPr>
        <w:t>attēls</w:t>
      </w:r>
      <w:proofErr w:type="gramEnd"/>
      <w:r w:rsidRPr="007B3B27">
        <w:rPr>
          <w:rFonts w:asciiTheme="minorHAnsi" w:hAnsiTheme="minorHAnsi" w:cs="Calibri"/>
          <w:b/>
          <w:sz w:val="20"/>
          <w:szCs w:val="20"/>
        </w:rPr>
        <w:t>:</w:t>
      </w:r>
      <w:r w:rsidR="00D940D7" w:rsidRPr="007B3B27">
        <w:rPr>
          <w:rFonts w:asciiTheme="minorHAnsi" w:hAnsiTheme="minorHAnsi" w:cs="Calibri"/>
          <w:b/>
          <w:sz w:val="20"/>
          <w:szCs w:val="20"/>
        </w:rPr>
        <w:t xml:space="preserve"> </w:t>
      </w:r>
      <w:r w:rsidR="00D940D7" w:rsidRPr="007B3B27">
        <w:rPr>
          <w:rFonts w:asciiTheme="minorHAnsi" w:hAnsiTheme="minorHAnsi" w:cs="Calibri"/>
          <w:sz w:val="20"/>
          <w:szCs w:val="20"/>
        </w:rPr>
        <w:t>Latvijas ekonomikas cikla siltuma karte (excel fails skatāms</w:t>
      </w:r>
      <w:hyperlink r:id="rId50" w:history="1">
        <w:r w:rsidR="00D940D7" w:rsidRPr="007B3B27">
          <w:rPr>
            <w:rStyle w:val="Hyperlink"/>
            <w:rFonts w:asciiTheme="minorHAnsi" w:hAnsiTheme="minorHAnsi" w:cs="Calibri"/>
            <w:sz w:val="20"/>
            <w:szCs w:val="20"/>
          </w:rPr>
          <w:t xml:space="preserve"> šeit</w:t>
        </w:r>
      </w:hyperlink>
      <w:r w:rsidR="00D940D7" w:rsidRPr="007B3B27">
        <w:rPr>
          <w:rFonts w:asciiTheme="minorHAnsi" w:hAnsiTheme="minorHAnsi" w:cs="Calibri"/>
          <w:sz w:val="20"/>
          <w:szCs w:val="20"/>
        </w:rPr>
        <w:t>)</w:t>
      </w:r>
    </w:p>
    <w:p w14:paraId="093CC036" w14:textId="77777777" w:rsidR="00DB5CF6" w:rsidRPr="00B050C3" w:rsidRDefault="00DB5CF6" w:rsidP="00DB5CF6">
      <w:pPr>
        <w:rPr>
          <w:rFonts w:ascii="Calibri" w:hAnsi="Calibri" w:cs="Calibri"/>
          <w:b/>
          <w:sz w:val="20"/>
          <w:szCs w:val="20"/>
        </w:rPr>
      </w:pPr>
    </w:p>
    <w:p w14:paraId="7AA694AE" w14:textId="3ABFE1DD" w:rsidR="00DB5CF6" w:rsidRPr="00030FF4" w:rsidRDefault="00DB5CF6" w:rsidP="007F1DB8">
      <w:pPr>
        <w:pStyle w:val="ListParagraph"/>
        <w:numPr>
          <w:ilvl w:val="0"/>
          <w:numId w:val="23"/>
        </w:numPr>
        <w:ind w:left="426" w:hanging="426"/>
        <w:jc w:val="both"/>
        <w:rPr>
          <w:rFonts w:ascii="Calibri" w:hAnsi="Calibri" w:cs="Calibri"/>
          <w:b/>
          <w:sz w:val="22"/>
        </w:rPr>
      </w:pPr>
      <w:r w:rsidRPr="00030FF4">
        <w:rPr>
          <w:rFonts w:ascii="Calibri" w:hAnsi="Calibri" w:cs="Calibri"/>
          <w:b/>
          <w:sz w:val="22"/>
        </w:rPr>
        <w:t xml:space="preserve">Darba tirgū situācija ir nelabvēlīga </w:t>
      </w:r>
      <w:proofErr w:type="gramStart"/>
      <w:r w:rsidRPr="00030FF4">
        <w:rPr>
          <w:rFonts w:ascii="Calibri" w:hAnsi="Calibri" w:cs="Calibri"/>
          <w:b/>
          <w:sz w:val="22"/>
        </w:rPr>
        <w:t>un</w:t>
      </w:r>
      <w:proofErr w:type="gramEnd"/>
      <w:r w:rsidRPr="00030FF4">
        <w:rPr>
          <w:rFonts w:ascii="Calibri" w:hAnsi="Calibri" w:cs="Calibri"/>
          <w:b/>
          <w:sz w:val="22"/>
        </w:rPr>
        <w:t xml:space="preserve"> tomēr vērojamas stabilizēšanās pazīmes. Pašreizējie faktiskie bezdarba rādītāji ir zemāki par prognozētajiem 10.5% </w:t>
      </w:r>
      <w:proofErr w:type="gramStart"/>
      <w:r w:rsidRPr="00030FF4">
        <w:rPr>
          <w:rFonts w:ascii="Calibri" w:hAnsi="Calibri" w:cs="Calibri"/>
          <w:b/>
          <w:sz w:val="22"/>
        </w:rPr>
        <w:t>un</w:t>
      </w:r>
      <w:proofErr w:type="gramEnd"/>
      <w:r w:rsidRPr="00030FF4">
        <w:rPr>
          <w:rFonts w:ascii="Calibri" w:hAnsi="Calibri" w:cs="Calibri"/>
          <w:b/>
          <w:sz w:val="22"/>
        </w:rPr>
        <w:t xml:space="preserve"> drīzāk liecina par īslaicīgu labi kvalificētu darbinieku reintegrācijas posmu citās nozarēs. 2020. gada otrajā ceturksnī bija vērojama sabremzēšanās algu pieaugumā, bet tomēr algas turpināja pieaugt par 3.9%, vidēji sasniedzot 1118 eiro pirms nodokļu nomaksas, lai gan turpmākajā laikā kopējais plānotais algu fonds tautsaimniecībā var samazināties, tas nenovedīs pie strauja algu samazinājuma nodar</w:t>
      </w:r>
      <w:r w:rsidR="007F1DB8">
        <w:rPr>
          <w:rFonts w:ascii="Calibri" w:hAnsi="Calibri" w:cs="Calibri"/>
          <w:b/>
          <w:sz w:val="22"/>
        </w:rPr>
        <w:t>binātajiem. Vakanču skaits š.g.</w:t>
      </w:r>
      <w:r w:rsidRPr="00030FF4">
        <w:rPr>
          <w:rFonts w:ascii="Calibri" w:hAnsi="Calibri" w:cs="Calibri"/>
          <w:b/>
          <w:sz w:val="22"/>
        </w:rPr>
        <w:t xml:space="preserve">2. </w:t>
      </w:r>
      <w:proofErr w:type="gramStart"/>
      <w:r w:rsidRPr="00030FF4">
        <w:rPr>
          <w:rFonts w:ascii="Calibri" w:hAnsi="Calibri" w:cs="Calibri"/>
          <w:b/>
          <w:sz w:val="22"/>
        </w:rPr>
        <w:t>ceturksnī</w:t>
      </w:r>
      <w:proofErr w:type="gramEnd"/>
      <w:r w:rsidRPr="00030FF4">
        <w:rPr>
          <w:rFonts w:ascii="Calibri" w:hAnsi="Calibri" w:cs="Calibri"/>
          <w:b/>
          <w:sz w:val="22"/>
        </w:rPr>
        <w:t xml:space="preserve"> atgriezās 2018. </w:t>
      </w:r>
      <w:proofErr w:type="gramStart"/>
      <w:r w:rsidRPr="00030FF4">
        <w:rPr>
          <w:rFonts w:ascii="Calibri" w:hAnsi="Calibri" w:cs="Calibri"/>
          <w:b/>
          <w:sz w:val="22"/>
        </w:rPr>
        <w:t>gada</w:t>
      </w:r>
      <w:proofErr w:type="gramEnd"/>
      <w:r w:rsidRPr="00030FF4">
        <w:rPr>
          <w:rFonts w:ascii="Calibri" w:hAnsi="Calibri" w:cs="Calibri"/>
          <w:b/>
          <w:sz w:val="22"/>
        </w:rPr>
        <w:t xml:space="preserve"> nogales līmenī. </w:t>
      </w:r>
    </w:p>
    <w:p w14:paraId="2D3942D0" w14:textId="77777777" w:rsidR="00030FF4" w:rsidRDefault="00030FF4" w:rsidP="007F1DB8">
      <w:pPr>
        <w:ind w:left="426" w:hanging="426"/>
        <w:rPr>
          <w:rFonts w:ascii="Calibri" w:hAnsi="Calibri" w:cs="Calibri"/>
          <w:sz w:val="22"/>
        </w:rPr>
      </w:pPr>
    </w:p>
    <w:p w14:paraId="63A2D8D6" w14:textId="426E39D4" w:rsidR="00DB5CF6" w:rsidRPr="00030FF4" w:rsidRDefault="00DB5CF6" w:rsidP="007F1DB8">
      <w:pPr>
        <w:pStyle w:val="ListParagraph"/>
        <w:numPr>
          <w:ilvl w:val="0"/>
          <w:numId w:val="23"/>
        </w:numPr>
        <w:ind w:left="426" w:hanging="426"/>
        <w:jc w:val="both"/>
        <w:rPr>
          <w:rFonts w:ascii="Calibri" w:hAnsi="Calibri" w:cs="Calibri"/>
          <w:sz w:val="22"/>
        </w:rPr>
      </w:pPr>
      <w:r w:rsidRPr="00030FF4">
        <w:rPr>
          <w:rFonts w:ascii="Calibri" w:hAnsi="Calibri" w:cs="Calibri"/>
          <w:sz w:val="22"/>
        </w:rPr>
        <w:t xml:space="preserve">Darba tirgu Covid-19 krīze ietekmēja ar pieaugošu bezdarba līmeni, kas otrajā ceturksnī sasniedza 8.1%. 2020. </w:t>
      </w:r>
      <w:proofErr w:type="gramStart"/>
      <w:r w:rsidRPr="00030FF4">
        <w:rPr>
          <w:rFonts w:ascii="Calibri" w:hAnsi="Calibri" w:cs="Calibri"/>
          <w:sz w:val="22"/>
        </w:rPr>
        <w:t>gada</w:t>
      </w:r>
      <w:proofErr w:type="gramEnd"/>
      <w:r w:rsidRPr="00030FF4">
        <w:rPr>
          <w:rFonts w:ascii="Calibri" w:hAnsi="Calibri" w:cs="Calibri"/>
          <w:sz w:val="22"/>
        </w:rPr>
        <w:t xml:space="preserve"> jūnijā un jūlijā bezdarba rādītāji nostabilizējās vidēji 9% līmenī </w:t>
      </w:r>
      <w:bookmarkStart w:id="21" w:name="_GoBack"/>
      <w:bookmarkEnd w:id="21"/>
      <w:r w:rsidRPr="00030FF4">
        <w:rPr>
          <w:rFonts w:ascii="Calibri" w:hAnsi="Calibri" w:cs="Calibri"/>
          <w:sz w:val="22"/>
        </w:rPr>
        <w:t xml:space="preserve">un jau augustā nedaudz nokritās līdz 8.8%. Arī vakanču piedāvājums šajos mēnešos saglabājies stabils. Jāatzīmē, ka Finanšu ministrija 2020. </w:t>
      </w:r>
      <w:proofErr w:type="gramStart"/>
      <w:r w:rsidRPr="00030FF4">
        <w:rPr>
          <w:rFonts w:ascii="Calibri" w:hAnsi="Calibri" w:cs="Calibri"/>
          <w:sz w:val="22"/>
        </w:rPr>
        <w:t>gadam</w:t>
      </w:r>
      <w:proofErr w:type="gramEnd"/>
      <w:r w:rsidRPr="00030FF4">
        <w:rPr>
          <w:rFonts w:ascii="Calibri" w:hAnsi="Calibri" w:cs="Calibri"/>
          <w:sz w:val="22"/>
        </w:rPr>
        <w:t xml:space="preserve"> ir prognozējusi 10.5% bezdarba līmeni, bet faktiskie rādītāji ir š.g. pirmos divos ceturkšņos ir zemāki. Šādu noturību darba tirgū veicināja atbalsta pasākumu kopums iedzīvotājiem </w:t>
      </w:r>
      <w:proofErr w:type="gramStart"/>
      <w:r w:rsidRPr="00030FF4">
        <w:rPr>
          <w:rFonts w:ascii="Calibri" w:hAnsi="Calibri" w:cs="Calibri"/>
          <w:sz w:val="22"/>
        </w:rPr>
        <w:t>un</w:t>
      </w:r>
      <w:proofErr w:type="gramEnd"/>
      <w:r w:rsidRPr="00030FF4">
        <w:rPr>
          <w:rFonts w:ascii="Calibri" w:hAnsi="Calibri" w:cs="Calibri"/>
          <w:sz w:val="22"/>
        </w:rPr>
        <w:t xml:space="preserve"> darbaspēkam t.sk. </w:t>
      </w:r>
      <w:proofErr w:type="gramStart"/>
      <w:r w:rsidRPr="00030FF4">
        <w:rPr>
          <w:rFonts w:ascii="Calibri" w:hAnsi="Calibri" w:cs="Calibri"/>
          <w:sz w:val="22"/>
        </w:rPr>
        <w:t>dīkstāves</w:t>
      </w:r>
      <w:proofErr w:type="gramEnd"/>
      <w:r w:rsidRPr="00030FF4">
        <w:rPr>
          <w:rFonts w:ascii="Calibri" w:hAnsi="Calibri" w:cs="Calibri"/>
          <w:sz w:val="22"/>
        </w:rPr>
        <w:t xml:space="preserve"> pabalstu piešķiršana.</w:t>
      </w:r>
    </w:p>
    <w:p w14:paraId="6003D640" w14:textId="77777777" w:rsidR="00030FF4" w:rsidRDefault="00030FF4" w:rsidP="007F1DB8">
      <w:pPr>
        <w:ind w:left="426" w:hanging="426"/>
        <w:jc w:val="both"/>
        <w:rPr>
          <w:rFonts w:ascii="Calibri" w:hAnsi="Calibri" w:cs="Calibri"/>
          <w:sz w:val="22"/>
        </w:rPr>
      </w:pPr>
    </w:p>
    <w:p w14:paraId="79656CDE" w14:textId="22CAF640" w:rsidR="00DB5CF6" w:rsidRPr="00030FF4" w:rsidRDefault="00DB5CF6" w:rsidP="007F1DB8">
      <w:pPr>
        <w:pStyle w:val="ListParagraph"/>
        <w:numPr>
          <w:ilvl w:val="0"/>
          <w:numId w:val="23"/>
        </w:numPr>
        <w:ind w:left="426" w:hanging="426"/>
        <w:jc w:val="both"/>
        <w:rPr>
          <w:rFonts w:ascii="Calibri" w:hAnsi="Calibri" w:cs="Calibri"/>
          <w:sz w:val="22"/>
        </w:rPr>
      </w:pPr>
      <w:r w:rsidRPr="00030FF4">
        <w:rPr>
          <w:rFonts w:ascii="Calibri" w:hAnsi="Calibri" w:cs="Calibri"/>
          <w:sz w:val="22"/>
        </w:rPr>
        <w:t xml:space="preserve">Salīdzinot ar situāciju finanšu krīzes periodā, 2009. </w:t>
      </w:r>
      <w:proofErr w:type="gramStart"/>
      <w:r w:rsidRPr="00030FF4">
        <w:rPr>
          <w:rFonts w:ascii="Calibri" w:hAnsi="Calibri" w:cs="Calibri"/>
          <w:sz w:val="22"/>
        </w:rPr>
        <w:t>gada</w:t>
      </w:r>
      <w:proofErr w:type="gramEnd"/>
      <w:r w:rsidRPr="00030FF4">
        <w:rPr>
          <w:rFonts w:ascii="Calibri" w:hAnsi="Calibri" w:cs="Calibri"/>
          <w:sz w:val="22"/>
        </w:rPr>
        <w:t xml:space="preserve"> 2. </w:t>
      </w:r>
      <w:proofErr w:type="gramStart"/>
      <w:r w:rsidRPr="00030FF4">
        <w:rPr>
          <w:rFonts w:ascii="Calibri" w:hAnsi="Calibri" w:cs="Calibri"/>
          <w:sz w:val="22"/>
        </w:rPr>
        <w:t>ceturksnī</w:t>
      </w:r>
      <w:proofErr w:type="gramEnd"/>
      <w:r w:rsidRPr="00030FF4">
        <w:rPr>
          <w:rFonts w:ascii="Calibri" w:hAnsi="Calibri" w:cs="Calibri"/>
          <w:sz w:val="22"/>
        </w:rPr>
        <w:t xml:space="preserve"> bezdarbs pieauga līdz 17%, bet 2010. </w:t>
      </w:r>
      <w:proofErr w:type="gramStart"/>
      <w:r w:rsidRPr="00030FF4">
        <w:rPr>
          <w:rFonts w:ascii="Calibri" w:hAnsi="Calibri" w:cs="Calibri"/>
          <w:sz w:val="22"/>
        </w:rPr>
        <w:t>gada</w:t>
      </w:r>
      <w:proofErr w:type="gramEnd"/>
      <w:r w:rsidRPr="00030FF4">
        <w:rPr>
          <w:rFonts w:ascii="Calibri" w:hAnsi="Calibri" w:cs="Calibri"/>
          <w:sz w:val="22"/>
        </w:rPr>
        <w:t xml:space="preserve"> 1. </w:t>
      </w:r>
      <w:proofErr w:type="gramStart"/>
      <w:r w:rsidRPr="00030FF4">
        <w:rPr>
          <w:rFonts w:ascii="Calibri" w:hAnsi="Calibri" w:cs="Calibri"/>
          <w:sz w:val="22"/>
        </w:rPr>
        <w:t>un</w:t>
      </w:r>
      <w:proofErr w:type="gramEnd"/>
      <w:r w:rsidRPr="00030FF4">
        <w:rPr>
          <w:rFonts w:ascii="Calibri" w:hAnsi="Calibri" w:cs="Calibri"/>
          <w:sz w:val="22"/>
        </w:rPr>
        <w:t xml:space="preserve"> 2. </w:t>
      </w:r>
      <w:proofErr w:type="gramStart"/>
      <w:r w:rsidRPr="00030FF4">
        <w:rPr>
          <w:rFonts w:ascii="Calibri" w:hAnsi="Calibri" w:cs="Calibri"/>
          <w:sz w:val="22"/>
        </w:rPr>
        <w:t>ceturkšņos</w:t>
      </w:r>
      <w:proofErr w:type="gramEnd"/>
      <w:r w:rsidRPr="00030FF4">
        <w:rPr>
          <w:rFonts w:ascii="Calibri" w:hAnsi="Calibri" w:cs="Calibri"/>
          <w:sz w:val="22"/>
        </w:rPr>
        <w:t xml:space="preserve"> bezdarba līmenis sasniedza pat 20%. Turklāt realizējot izdevumu konsolidēšanas politiku, nebija pieejami līdzekļi plašiem bezdarba novēršanas pasākumiem.</w:t>
      </w:r>
    </w:p>
    <w:p w14:paraId="77AA2B20" w14:textId="77777777" w:rsidR="00030FF4" w:rsidRDefault="00030FF4" w:rsidP="007F1DB8">
      <w:pPr>
        <w:ind w:left="426" w:hanging="426"/>
        <w:jc w:val="both"/>
        <w:rPr>
          <w:rFonts w:ascii="Calibri" w:hAnsi="Calibri" w:cs="Calibri"/>
          <w:b/>
          <w:sz w:val="22"/>
        </w:rPr>
      </w:pPr>
    </w:p>
    <w:p w14:paraId="430E8CC4" w14:textId="1715A7D7" w:rsidR="00DB5CF6" w:rsidRPr="007F1DB8" w:rsidRDefault="00DB5CF6" w:rsidP="007F1DB8">
      <w:pPr>
        <w:pStyle w:val="ListParagraph"/>
        <w:numPr>
          <w:ilvl w:val="0"/>
          <w:numId w:val="23"/>
        </w:numPr>
        <w:ind w:left="426" w:hanging="426"/>
        <w:jc w:val="both"/>
        <w:rPr>
          <w:rFonts w:ascii="Calibri" w:hAnsi="Calibri" w:cs="Calibri"/>
          <w:sz w:val="22"/>
        </w:rPr>
      </w:pPr>
      <w:r w:rsidRPr="007F1DB8">
        <w:rPr>
          <w:rFonts w:ascii="Calibri" w:hAnsi="Calibri" w:cs="Calibri"/>
          <w:sz w:val="22"/>
        </w:rPr>
        <w:t>Algu līmeņa pieaugums š.g. otrajā ceturksnī ir strauji saberzējies, tomēr tas ir adekvāts esošajai spriedzei ekonomikā un paredzams, ka šis būs īstermiņa efekts, jo pieprasījums darba tirgū pozitīvi ietekmēs arī algu pieaugumu, tomēr nav paredzams, ka pieaugums būs straujš.</w:t>
      </w:r>
    </w:p>
    <w:p w14:paraId="6A7109F6" w14:textId="77777777" w:rsidR="00030FF4" w:rsidRDefault="00030FF4" w:rsidP="007F1DB8">
      <w:pPr>
        <w:ind w:left="426" w:hanging="426"/>
        <w:jc w:val="both"/>
        <w:rPr>
          <w:rFonts w:ascii="Calibri" w:hAnsi="Calibri" w:cs="Calibri"/>
          <w:sz w:val="22"/>
        </w:rPr>
      </w:pPr>
    </w:p>
    <w:p w14:paraId="203B0875" w14:textId="584F1F86" w:rsidR="00DB5CF6" w:rsidRPr="00030FF4" w:rsidRDefault="00DB5CF6" w:rsidP="007F1DB8">
      <w:pPr>
        <w:pStyle w:val="ListParagraph"/>
        <w:numPr>
          <w:ilvl w:val="0"/>
          <w:numId w:val="23"/>
        </w:numPr>
        <w:ind w:left="426" w:hanging="426"/>
        <w:jc w:val="both"/>
        <w:rPr>
          <w:rFonts w:ascii="Calibri" w:hAnsi="Calibri" w:cs="Calibri"/>
          <w:sz w:val="22"/>
        </w:rPr>
      </w:pPr>
      <w:r w:rsidRPr="00030FF4">
        <w:rPr>
          <w:rFonts w:ascii="Calibri" w:hAnsi="Calibri" w:cs="Calibri"/>
          <w:sz w:val="22"/>
        </w:rPr>
        <w:t xml:space="preserve">Salīdzināšanai 2009. </w:t>
      </w:r>
      <w:proofErr w:type="gramStart"/>
      <w:r w:rsidRPr="00030FF4">
        <w:rPr>
          <w:rFonts w:ascii="Calibri" w:hAnsi="Calibri" w:cs="Calibri"/>
          <w:sz w:val="22"/>
        </w:rPr>
        <w:t>gadā</w:t>
      </w:r>
      <w:proofErr w:type="gramEnd"/>
      <w:r w:rsidRPr="00030FF4">
        <w:rPr>
          <w:rFonts w:ascii="Calibri" w:hAnsi="Calibri" w:cs="Calibri"/>
          <w:sz w:val="22"/>
        </w:rPr>
        <w:t xml:space="preserve"> algu samazināšanās bija vērojama sešus ceturkšņus pēc kārtas, un periodā no 2009. </w:t>
      </w:r>
      <w:proofErr w:type="gramStart"/>
      <w:r w:rsidRPr="00030FF4">
        <w:rPr>
          <w:rFonts w:ascii="Calibri" w:hAnsi="Calibri" w:cs="Calibri"/>
          <w:sz w:val="22"/>
        </w:rPr>
        <w:t>gada</w:t>
      </w:r>
      <w:proofErr w:type="gramEnd"/>
      <w:r w:rsidRPr="00030FF4">
        <w:rPr>
          <w:rFonts w:ascii="Calibri" w:hAnsi="Calibri" w:cs="Calibri"/>
          <w:sz w:val="22"/>
        </w:rPr>
        <w:t xml:space="preserve"> 2. </w:t>
      </w:r>
      <w:proofErr w:type="gramStart"/>
      <w:r w:rsidRPr="00030FF4">
        <w:rPr>
          <w:rFonts w:ascii="Calibri" w:hAnsi="Calibri" w:cs="Calibri"/>
          <w:sz w:val="22"/>
        </w:rPr>
        <w:t>ceturkšņa</w:t>
      </w:r>
      <w:proofErr w:type="gramEnd"/>
      <w:r w:rsidRPr="00030FF4">
        <w:rPr>
          <w:rFonts w:ascii="Calibri" w:hAnsi="Calibri" w:cs="Calibri"/>
          <w:sz w:val="22"/>
        </w:rPr>
        <w:t xml:space="preserve"> līdz 2010. </w:t>
      </w:r>
      <w:proofErr w:type="gramStart"/>
      <w:r w:rsidRPr="00030FF4">
        <w:rPr>
          <w:rFonts w:ascii="Calibri" w:hAnsi="Calibri" w:cs="Calibri"/>
          <w:sz w:val="22"/>
        </w:rPr>
        <w:t>gada</w:t>
      </w:r>
      <w:proofErr w:type="gramEnd"/>
      <w:r w:rsidRPr="00030FF4">
        <w:rPr>
          <w:rFonts w:ascii="Calibri" w:hAnsi="Calibri" w:cs="Calibri"/>
          <w:sz w:val="22"/>
        </w:rPr>
        <w:t xml:space="preserve"> 3. </w:t>
      </w:r>
      <w:proofErr w:type="gramStart"/>
      <w:r w:rsidRPr="00030FF4">
        <w:rPr>
          <w:rFonts w:ascii="Calibri" w:hAnsi="Calibri" w:cs="Calibri"/>
          <w:sz w:val="22"/>
        </w:rPr>
        <w:t>ceturksnim</w:t>
      </w:r>
      <w:proofErr w:type="gramEnd"/>
      <w:r w:rsidRPr="00030FF4">
        <w:rPr>
          <w:rFonts w:ascii="Calibri" w:hAnsi="Calibri" w:cs="Calibri"/>
          <w:sz w:val="22"/>
        </w:rPr>
        <w:t xml:space="preserve"> vidēji bija -6% apmērā. Pirms 2008. </w:t>
      </w:r>
      <w:proofErr w:type="gramStart"/>
      <w:r w:rsidRPr="00030FF4">
        <w:rPr>
          <w:rFonts w:ascii="Calibri" w:hAnsi="Calibri" w:cs="Calibri"/>
          <w:sz w:val="22"/>
        </w:rPr>
        <w:t>gada</w:t>
      </w:r>
      <w:proofErr w:type="gramEnd"/>
      <w:r w:rsidRPr="00030FF4">
        <w:rPr>
          <w:rFonts w:ascii="Calibri" w:hAnsi="Calibri" w:cs="Calibri"/>
          <w:sz w:val="22"/>
        </w:rPr>
        <w:t xml:space="preserve"> krīzes algu pieaugums sasniedza ļoti augstus rādītājus atsevišķos ceturkšņos pat sasniedzot vairāk kā +30% kāpumu, kas notika vienlaikus ar aktīvu banku kreditēšanas politiku un noveda pie augstiem inflācijas rādītājiem 8%-9% apmērā. Pašlaik, pat neskatoties uz saspringto situāciju darba tirgū, kas bija vērojama vēl 2019. </w:t>
      </w:r>
      <w:proofErr w:type="gramStart"/>
      <w:r w:rsidRPr="00030FF4">
        <w:rPr>
          <w:rFonts w:ascii="Calibri" w:hAnsi="Calibri" w:cs="Calibri"/>
          <w:sz w:val="22"/>
        </w:rPr>
        <w:t>gada</w:t>
      </w:r>
      <w:proofErr w:type="gramEnd"/>
      <w:r w:rsidRPr="00030FF4">
        <w:rPr>
          <w:rFonts w:ascii="Calibri" w:hAnsi="Calibri" w:cs="Calibri"/>
          <w:sz w:val="22"/>
        </w:rPr>
        <w:t xml:space="preserve"> nogalē, algu kāpums ilgtermiņā bija mērens un ļāva noturēt inflācijas rādītājus pieņemamos apmēros, lai gan pašlaik patēriņa cenas balansē uz deflācijas robežas.</w:t>
      </w:r>
    </w:p>
    <w:p w14:paraId="2283499F" w14:textId="7D85FC3E" w:rsidR="00030FF4" w:rsidRPr="00030FF4" w:rsidRDefault="00DB5CF6" w:rsidP="007F1DB8">
      <w:pPr>
        <w:pStyle w:val="ListParagraph"/>
        <w:numPr>
          <w:ilvl w:val="0"/>
          <w:numId w:val="23"/>
        </w:numPr>
        <w:ind w:left="426" w:hanging="426"/>
        <w:jc w:val="both"/>
        <w:rPr>
          <w:rFonts w:ascii="Calibri" w:hAnsi="Calibri" w:cs="Calibri"/>
          <w:sz w:val="22"/>
        </w:rPr>
      </w:pPr>
      <w:r w:rsidRPr="00030FF4">
        <w:rPr>
          <w:rFonts w:ascii="Calibri" w:hAnsi="Calibri" w:cs="Calibri"/>
          <w:b/>
          <w:sz w:val="22"/>
        </w:rPr>
        <w:lastRenderedPageBreak/>
        <w:t>Otrajā ceturksnī uzņēmēji kā saimniecisko darbību ierobežojošo faktoru uzsver pieprasījuma trūkumu, kas ir zemāks par jaudu noslodzi</w:t>
      </w:r>
      <w:r w:rsidRPr="00362CD2">
        <w:rPr>
          <w:rFonts w:ascii="Calibri" w:hAnsi="Calibri" w:cs="Calibri"/>
          <w:sz w:val="22"/>
        </w:rPr>
        <w:t xml:space="preserve">, turklāt </w:t>
      </w:r>
      <w:proofErr w:type="gramStart"/>
      <w:r w:rsidRPr="00362CD2">
        <w:rPr>
          <w:rFonts w:ascii="Calibri" w:hAnsi="Calibri" w:cs="Calibri"/>
          <w:sz w:val="22"/>
        </w:rPr>
        <w:t>tas</w:t>
      </w:r>
      <w:proofErr w:type="gramEnd"/>
      <w:r w:rsidRPr="00362CD2">
        <w:rPr>
          <w:rFonts w:ascii="Calibri" w:hAnsi="Calibri" w:cs="Calibri"/>
          <w:sz w:val="22"/>
        </w:rPr>
        <w:t xml:space="preserve"> korelē ar otrajā ceturksnī novērotiem ļoti zemiem konfidences indikatoriem būvniecībā (vidēji otrajā ceturksnī -30.0), rūpniecībā (vidēji -15.1), pakalpojumos (jūnijā -33.8). Jāpiebilst, ka jūlijā </w:t>
      </w:r>
      <w:proofErr w:type="gramStart"/>
      <w:r w:rsidRPr="00362CD2">
        <w:rPr>
          <w:rFonts w:ascii="Calibri" w:hAnsi="Calibri" w:cs="Calibri"/>
          <w:sz w:val="22"/>
        </w:rPr>
        <w:t>un</w:t>
      </w:r>
      <w:proofErr w:type="gramEnd"/>
      <w:r w:rsidRPr="00362CD2">
        <w:rPr>
          <w:rFonts w:ascii="Calibri" w:hAnsi="Calibri" w:cs="Calibri"/>
          <w:sz w:val="22"/>
        </w:rPr>
        <w:t xml:space="preserve"> augustā konfidences rādītāji ir uzlabojušies rūpniecībā, bet būvniecībā un pakalpojumos uzlabojumi ir ļoti mi</w:t>
      </w:r>
      <w:r w:rsidR="00030FF4" w:rsidRPr="00362CD2">
        <w:rPr>
          <w:rFonts w:ascii="Calibri" w:hAnsi="Calibri" w:cs="Calibri"/>
          <w:sz w:val="22"/>
        </w:rPr>
        <w:t>nimāli.</w:t>
      </w:r>
      <w:r w:rsidR="00030FF4" w:rsidRPr="00030FF4">
        <w:rPr>
          <w:rFonts w:ascii="Calibri" w:hAnsi="Calibri" w:cs="Calibri"/>
          <w:b/>
          <w:sz w:val="22"/>
        </w:rPr>
        <w:t xml:space="preserve"> </w:t>
      </w:r>
      <w:r w:rsidRPr="00030FF4">
        <w:rPr>
          <w:rFonts w:ascii="Calibri" w:hAnsi="Calibri" w:cs="Calibri"/>
          <w:sz w:val="22"/>
        </w:rPr>
        <w:t>Iepriekšējā finanšu krīzē bija vērojama pretēja situācija - jaudu noslodz</w:t>
      </w:r>
      <w:r w:rsidR="00030FF4" w:rsidRPr="00030FF4">
        <w:rPr>
          <w:rFonts w:ascii="Calibri" w:hAnsi="Calibri" w:cs="Calibri"/>
          <w:sz w:val="22"/>
        </w:rPr>
        <w:t xml:space="preserve">e bija zemāka par pieprasījumu. </w:t>
      </w:r>
    </w:p>
    <w:p w14:paraId="6401A7EE" w14:textId="77777777" w:rsidR="00030FF4" w:rsidRDefault="00030FF4" w:rsidP="007F1DB8">
      <w:pPr>
        <w:ind w:left="426" w:hanging="426"/>
        <w:jc w:val="both"/>
        <w:rPr>
          <w:rFonts w:ascii="Calibri" w:hAnsi="Calibri" w:cs="Calibri"/>
          <w:sz w:val="22"/>
        </w:rPr>
      </w:pPr>
    </w:p>
    <w:p w14:paraId="290E549F" w14:textId="2261EDFE" w:rsidR="00030FF4" w:rsidRPr="00030FF4" w:rsidRDefault="00DB5CF6" w:rsidP="007F1DB8">
      <w:pPr>
        <w:pStyle w:val="ListParagraph"/>
        <w:numPr>
          <w:ilvl w:val="0"/>
          <w:numId w:val="23"/>
        </w:numPr>
        <w:ind w:left="426" w:hanging="426"/>
        <w:jc w:val="both"/>
        <w:rPr>
          <w:rFonts w:ascii="Calibri" w:hAnsi="Calibri" w:cs="Calibri"/>
          <w:b/>
          <w:sz w:val="22"/>
        </w:rPr>
      </w:pPr>
      <w:r w:rsidRPr="00030FF4">
        <w:rPr>
          <w:rFonts w:ascii="Calibri" w:hAnsi="Calibri" w:cs="Calibri"/>
          <w:b/>
          <w:sz w:val="22"/>
        </w:rPr>
        <w:t>Jaudu noslodze, sākoties Covid-19 ierobežojošiem pasākumiem, š.g. otrajā ceturksnī ir kritusies par -6%, sasniedzot 69%. Tomēr pēdējie publicētie Eurostat dati par trešo ceturksni liecina, ka jaudu noslodze pakāpusies līdz 72%.</w:t>
      </w:r>
      <w:r w:rsidRPr="00030FF4">
        <w:rPr>
          <w:rFonts w:ascii="Calibri" w:hAnsi="Calibri" w:cs="Calibri"/>
          <w:sz w:val="22"/>
        </w:rPr>
        <w:t xml:space="preserve"> Nozaru griezumā redzams, ka pieprasījuma kritums visstraujāk ir izpaudies rūpniecības nozarē, bet pēc CSP publicētiem jaunākajiem datiem par trešo ceturksni, pieprasījuma trūkuma problēma turpināja pieaugt tieši pakalpojumu nozarē, kas saistīts t.sk. </w:t>
      </w:r>
      <w:proofErr w:type="gramStart"/>
      <w:r w:rsidRPr="00030FF4">
        <w:rPr>
          <w:rFonts w:ascii="Calibri" w:hAnsi="Calibri" w:cs="Calibri"/>
          <w:sz w:val="22"/>
        </w:rPr>
        <w:t>ar</w:t>
      </w:r>
      <w:proofErr w:type="gramEnd"/>
      <w:r w:rsidRPr="00030FF4">
        <w:rPr>
          <w:rFonts w:ascii="Calibri" w:hAnsi="Calibri" w:cs="Calibri"/>
          <w:sz w:val="22"/>
        </w:rPr>
        <w:t xml:space="preserve"> dziļā krīzē nonākušo tūrisma pakalpojumu nozari. Tajā pašā laikā būvniecībā </w:t>
      </w:r>
      <w:proofErr w:type="gramStart"/>
      <w:r w:rsidRPr="00030FF4">
        <w:rPr>
          <w:rFonts w:ascii="Calibri" w:hAnsi="Calibri" w:cs="Calibri"/>
          <w:sz w:val="22"/>
        </w:rPr>
        <w:t>un</w:t>
      </w:r>
      <w:proofErr w:type="gramEnd"/>
      <w:r w:rsidRPr="00030FF4">
        <w:rPr>
          <w:rFonts w:ascii="Calibri" w:hAnsi="Calibri" w:cs="Calibri"/>
          <w:sz w:val="22"/>
        </w:rPr>
        <w:t xml:space="preserve"> rūpniecībā situācija stabilizējās. Šāds rezultāts krasi atšķir</w:t>
      </w:r>
      <w:r w:rsidR="007F1DB8">
        <w:rPr>
          <w:rFonts w:ascii="Calibri" w:hAnsi="Calibri" w:cs="Calibri"/>
          <w:sz w:val="22"/>
        </w:rPr>
        <w:t>as no ainas, kas bija vērojama f</w:t>
      </w:r>
      <w:r w:rsidRPr="00030FF4">
        <w:rPr>
          <w:rFonts w:ascii="Calibri" w:hAnsi="Calibri" w:cs="Calibri"/>
          <w:sz w:val="22"/>
        </w:rPr>
        <w:t xml:space="preserve">inanšu krīzes laikā 2009. </w:t>
      </w:r>
      <w:proofErr w:type="gramStart"/>
      <w:r w:rsidRPr="00030FF4">
        <w:rPr>
          <w:rFonts w:ascii="Calibri" w:hAnsi="Calibri" w:cs="Calibri"/>
          <w:sz w:val="22"/>
        </w:rPr>
        <w:t>gada</w:t>
      </w:r>
      <w:proofErr w:type="gramEnd"/>
      <w:r w:rsidRPr="00030FF4">
        <w:rPr>
          <w:rFonts w:ascii="Calibri" w:hAnsi="Calibri" w:cs="Calibri"/>
          <w:sz w:val="22"/>
        </w:rPr>
        <w:t xml:space="preserve"> sākumā, kad jaudu noslodze bija ievērojami zemāka par pieprasījumu būvniecībā, pakalpojumos un ražošanā. Kopš Covid-19 ierobežojumu ieviešanas, ekonomikas sentimenta rādītājs ir piedzīvojis dramatisku kritu</w:t>
      </w:r>
      <w:r w:rsidR="007F1DB8">
        <w:rPr>
          <w:rFonts w:ascii="Calibri" w:hAnsi="Calibri" w:cs="Calibri"/>
          <w:sz w:val="22"/>
        </w:rPr>
        <w:t>mu, kas salīdzināms vienīgi ar f</w:t>
      </w:r>
      <w:r w:rsidRPr="00030FF4">
        <w:rPr>
          <w:rFonts w:ascii="Calibri" w:hAnsi="Calibri" w:cs="Calibri"/>
          <w:sz w:val="22"/>
        </w:rPr>
        <w:t xml:space="preserve">inanšu krīzes laika rādītājiem. </w:t>
      </w:r>
    </w:p>
    <w:p w14:paraId="7ACBF3B9" w14:textId="4EA60E62" w:rsidR="00030FF4" w:rsidRPr="00030FF4" w:rsidRDefault="00030FF4" w:rsidP="007F1DB8">
      <w:pPr>
        <w:ind w:left="426" w:hanging="426"/>
        <w:jc w:val="both"/>
        <w:rPr>
          <w:rFonts w:ascii="Calibri" w:hAnsi="Calibri" w:cs="Calibri"/>
          <w:b/>
          <w:sz w:val="22"/>
        </w:rPr>
      </w:pPr>
    </w:p>
    <w:p w14:paraId="26960A68" w14:textId="77777777" w:rsidR="00030FF4" w:rsidRPr="00030FF4" w:rsidRDefault="00DB5CF6" w:rsidP="007F1DB8">
      <w:pPr>
        <w:pStyle w:val="ListParagraph"/>
        <w:numPr>
          <w:ilvl w:val="0"/>
          <w:numId w:val="23"/>
        </w:numPr>
        <w:ind w:left="426" w:hanging="426"/>
        <w:jc w:val="both"/>
        <w:rPr>
          <w:rFonts w:ascii="Calibri" w:hAnsi="Calibri" w:cs="Calibri"/>
          <w:b/>
          <w:sz w:val="22"/>
        </w:rPr>
      </w:pPr>
      <w:r w:rsidRPr="00030FF4">
        <w:rPr>
          <w:rFonts w:ascii="Calibri" w:hAnsi="Calibri" w:cs="Calibri"/>
          <w:b/>
          <w:sz w:val="22"/>
        </w:rPr>
        <w:t xml:space="preserve">Krītoties Latvijas eksporta apjomam, tirdzniecības bilance ilgtermiņā saglabājas negatīva, tomēr Covid-19 ierobežojumu rezultātā ir krities arī importa apjoms, kas īstermiņā ietekmējis arī tirdzniecības bilanci. </w:t>
      </w:r>
      <w:r w:rsidRPr="00030FF4">
        <w:rPr>
          <w:rFonts w:ascii="Calibri" w:hAnsi="Calibri" w:cs="Calibri"/>
          <w:sz w:val="22"/>
        </w:rPr>
        <w:t xml:space="preserve">Kopš 2018. </w:t>
      </w:r>
      <w:proofErr w:type="gramStart"/>
      <w:r w:rsidRPr="00030FF4">
        <w:rPr>
          <w:rFonts w:ascii="Calibri" w:hAnsi="Calibri" w:cs="Calibri"/>
          <w:sz w:val="22"/>
        </w:rPr>
        <w:t>gada</w:t>
      </w:r>
      <w:proofErr w:type="gramEnd"/>
      <w:r w:rsidRPr="00030FF4">
        <w:rPr>
          <w:rFonts w:ascii="Calibri" w:hAnsi="Calibri" w:cs="Calibri"/>
          <w:sz w:val="22"/>
        </w:rPr>
        <w:t xml:space="preserve"> Latvijas eksporta, it īpaši reeksporta apjoms, turpināja kristies, kamēr importa vērtība pieauga. Divdesmit gadu ilgtermiņa novērojumi liecina, ka vidēji tirdzniecības bilances deficīts Latvijā bijis -14.4% no IKP. Šā gada otrajā ceturksnī tirdzniecības bilances deficīts sasniedza -5.4% no IKP. Ekonomikas cikla siltuma kartes novērtējumā šāds deficīts ir salīdzinoši </w:t>
      </w:r>
      <w:proofErr w:type="gramStart"/>
      <w:r w:rsidRPr="00030FF4">
        <w:rPr>
          <w:rFonts w:ascii="Calibri" w:hAnsi="Calibri" w:cs="Calibri"/>
          <w:sz w:val="22"/>
        </w:rPr>
        <w:t>augsts,</w:t>
      </w:r>
      <w:proofErr w:type="gramEnd"/>
      <w:r w:rsidRPr="00030FF4">
        <w:rPr>
          <w:rFonts w:ascii="Calibri" w:hAnsi="Calibri" w:cs="Calibri"/>
          <w:sz w:val="22"/>
        </w:rPr>
        <w:t xml:space="preserve"> pat neskatoties uz to, ka īstermiņā novērota tirdzniecības bilances uzlabošanās, kas š.g. otrajā ceturksnī notika lielākoties samazinātā importa apjoma rezultātā. Negatīva tirdzniecības bilance korelē ar tekošā konta deficītu, kas vidēji 20 gadu periodā uzrādījis -5% deficītu no IKP, tomēr pozitīvi ir </w:t>
      </w:r>
      <w:proofErr w:type="gramStart"/>
      <w:r w:rsidRPr="00030FF4">
        <w:rPr>
          <w:rFonts w:ascii="Calibri" w:hAnsi="Calibri" w:cs="Calibri"/>
          <w:sz w:val="22"/>
        </w:rPr>
        <w:t>tas</w:t>
      </w:r>
      <w:proofErr w:type="gramEnd"/>
      <w:r w:rsidRPr="00030FF4">
        <w:rPr>
          <w:rFonts w:ascii="Calibri" w:hAnsi="Calibri" w:cs="Calibri"/>
          <w:sz w:val="22"/>
        </w:rPr>
        <w:t xml:space="preserve">, ka 2019. </w:t>
      </w:r>
      <w:proofErr w:type="gramStart"/>
      <w:r w:rsidRPr="00030FF4">
        <w:rPr>
          <w:rFonts w:ascii="Calibri" w:hAnsi="Calibri" w:cs="Calibri"/>
          <w:sz w:val="22"/>
        </w:rPr>
        <w:t>gada</w:t>
      </w:r>
      <w:proofErr w:type="gramEnd"/>
      <w:r w:rsidRPr="00030FF4">
        <w:rPr>
          <w:rFonts w:ascii="Calibri" w:hAnsi="Calibri" w:cs="Calibri"/>
          <w:sz w:val="22"/>
        </w:rPr>
        <w:t xml:space="preserve"> pēdējā ceturksnī un arī š.g. pirmos divos ceturkšņos  tekošā kontā bija pārpalikums vidēji +2.4% no IKP. </w:t>
      </w:r>
    </w:p>
    <w:p w14:paraId="651A0B06" w14:textId="77777777" w:rsidR="00030FF4" w:rsidRPr="00030FF4" w:rsidRDefault="00030FF4" w:rsidP="007F1DB8">
      <w:pPr>
        <w:pStyle w:val="ListParagraph"/>
        <w:ind w:left="426" w:hanging="426"/>
        <w:rPr>
          <w:rFonts w:ascii="Calibri" w:hAnsi="Calibri" w:cs="Calibri"/>
          <w:b/>
          <w:sz w:val="22"/>
        </w:rPr>
      </w:pPr>
    </w:p>
    <w:p w14:paraId="407DD13A" w14:textId="1BB0A6F1" w:rsidR="00DB5CF6" w:rsidRPr="00030FF4" w:rsidRDefault="00DB5CF6" w:rsidP="007F1DB8">
      <w:pPr>
        <w:pStyle w:val="ListParagraph"/>
        <w:numPr>
          <w:ilvl w:val="0"/>
          <w:numId w:val="23"/>
        </w:numPr>
        <w:ind w:left="426" w:hanging="426"/>
        <w:jc w:val="both"/>
        <w:rPr>
          <w:rFonts w:ascii="Calibri" w:hAnsi="Calibri" w:cs="Calibri"/>
          <w:b/>
          <w:sz w:val="22"/>
        </w:rPr>
      </w:pPr>
      <w:r w:rsidRPr="00030FF4">
        <w:rPr>
          <w:rFonts w:ascii="Calibri" w:hAnsi="Calibri" w:cs="Calibri"/>
          <w:b/>
          <w:sz w:val="22"/>
        </w:rPr>
        <w:t xml:space="preserve">Kreditēšanas aktivitāte, kas kopš 2018. </w:t>
      </w:r>
      <w:proofErr w:type="gramStart"/>
      <w:r w:rsidRPr="00030FF4">
        <w:rPr>
          <w:rFonts w:ascii="Calibri" w:hAnsi="Calibri" w:cs="Calibri"/>
          <w:b/>
          <w:sz w:val="22"/>
        </w:rPr>
        <w:t>gada</w:t>
      </w:r>
      <w:proofErr w:type="gramEnd"/>
      <w:r w:rsidRPr="00030FF4">
        <w:rPr>
          <w:rFonts w:ascii="Calibri" w:hAnsi="Calibri" w:cs="Calibri"/>
          <w:b/>
          <w:sz w:val="22"/>
        </w:rPr>
        <w:t xml:space="preserve"> saglabājas diezgan zema, ir spējusi noturēt gan pamatinflāciju, gan mājokļu cenas stabilā un salīdzinoši zemā līmenī.</w:t>
      </w:r>
      <w:r w:rsidR="00030FF4">
        <w:rPr>
          <w:rFonts w:ascii="Calibri" w:hAnsi="Calibri" w:cs="Calibri"/>
          <w:b/>
          <w:sz w:val="22"/>
        </w:rPr>
        <w:t xml:space="preserve"> </w:t>
      </w:r>
      <w:r w:rsidRPr="00030FF4">
        <w:rPr>
          <w:rFonts w:ascii="Calibri" w:hAnsi="Calibri" w:cs="Calibri"/>
          <w:sz w:val="22"/>
        </w:rPr>
        <w:t xml:space="preserve">Kreditēšanas aktivitāte saglabājās zema, vēl kopš 2018. </w:t>
      </w:r>
      <w:proofErr w:type="gramStart"/>
      <w:r w:rsidRPr="00030FF4">
        <w:rPr>
          <w:rFonts w:ascii="Calibri" w:hAnsi="Calibri" w:cs="Calibri"/>
          <w:sz w:val="22"/>
        </w:rPr>
        <w:t>gada</w:t>
      </w:r>
      <w:proofErr w:type="gramEnd"/>
      <w:r w:rsidRPr="00030FF4">
        <w:rPr>
          <w:rFonts w:ascii="Calibri" w:hAnsi="Calibri" w:cs="Calibri"/>
          <w:sz w:val="22"/>
        </w:rPr>
        <w:t xml:space="preserve">, kad Latvijā tika ieviestas vērienīgas  banku sektora uzraudzības procedūras sakarā ar MONEYVAL ziņojumu. Lai gan Latvijai izdevās sekmīgi ieviest MONEYVAL rekomendācijas, </w:t>
      </w:r>
      <w:proofErr w:type="gramStart"/>
      <w:r w:rsidRPr="00030FF4">
        <w:rPr>
          <w:rFonts w:ascii="Calibri" w:hAnsi="Calibri" w:cs="Calibri"/>
          <w:sz w:val="22"/>
        </w:rPr>
        <w:t>un</w:t>
      </w:r>
      <w:proofErr w:type="gramEnd"/>
      <w:r w:rsidRPr="00030FF4">
        <w:rPr>
          <w:rFonts w:ascii="Calibri" w:hAnsi="Calibri" w:cs="Calibri"/>
          <w:sz w:val="22"/>
        </w:rPr>
        <w:t xml:space="preserve"> atbūt uzticību starptautiskā banku vidē, tomēr kreditēšanas aktivitāti papildus ietekmēja ekonomikas cikla sabremzēšanās sākums, kas mazināja kopējo pieprasījumu pēc kredītiem, turklāt arī kreditēšanas standarti bankās ir kļuvuši stingrāki. Pašlaik banku izsniegtie kredīti mājsaimniecībām ir saistīti ar hipotekāro kreditēšanu </w:t>
      </w:r>
      <w:proofErr w:type="gramStart"/>
      <w:r w:rsidRPr="00030FF4">
        <w:rPr>
          <w:rFonts w:ascii="Calibri" w:hAnsi="Calibri" w:cs="Calibri"/>
          <w:sz w:val="22"/>
        </w:rPr>
        <w:t>un</w:t>
      </w:r>
      <w:proofErr w:type="gramEnd"/>
      <w:r w:rsidRPr="00030FF4">
        <w:rPr>
          <w:rFonts w:ascii="Calibri" w:hAnsi="Calibri" w:cs="Calibri"/>
          <w:sz w:val="22"/>
        </w:rPr>
        <w:t xml:space="preserve"> valdības sektorā ar pašvaldību kreditēšanu.</w:t>
      </w:r>
    </w:p>
    <w:p w14:paraId="40D03605" w14:textId="77777777" w:rsidR="00030FF4" w:rsidRDefault="00030FF4" w:rsidP="007F1DB8">
      <w:pPr>
        <w:ind w:left="426" w:hanging="426"/>
        <w:rPr>
          <w:rFonts w:ascii="Calibri" w:hAnsi="Calibri" w:cs="Calibri"/>
          <w:b/>
          <w:sz w:val="22"/>
        </w:rPr>
      </w:pPr>
    </w:p>
    <w:p w14:paraId="4824709E" w14:textId="4C56AAAA" w:rsidR="00B6363A" w:rsidRPr="007F1DB8" w:rsidRDefault="00DC40A7" w:rsidP="72B40892">
      <w:pPr>
        <w:pStyle w:val="ListParagraph"/>
        <w:numPr>
          <w:ilvl w:val="0"/>
          <w:numId w:val="23"/>
        </w:numPr>
        <w:ind w:left="426" w:hanging="426"/>
        <w:jc w:val="both"/>
        <w:rPr>
          <w:rFonts w:ascii="Calibri" w:hAnsi="Calibri" w:cs="Calibri"/>
          <w:b/>
          <w:bCs/>
          <w:sz w:val="22"/>
          <w:szCs w:val="22"/>
        </w:rPr>
      </w:pPr>
      <w:r>
        <w:rPr>
          <w:rStyle w:val="spellingerror"/>
          <w:rFonts w:ascii="Calibri" w:hAnsi="Calibri" w:cs="Calibri"/>
          <w:b/>
          <w:bCs/>
          <w:color w:val="000000"/>
          <w:sz w:val="22"/>
          <w:szCs w:val="22"/>
          <w:shd w:val="clear" w:color="auto" w:fill="FFFFFF"/>
        </w:rPr>
        <w:t>Pamatinflācija</w:t>
      </w:r>
      <w:r>
        <w:rPr>
          <w:rStyle w:val="normaltextrun"/>
          <w:rFonts w:ascii="Calibri" w:hAnsi="Calibri" w:cs="Calibri"/>
          <w:b/>
          <w:bCs/>
          <w:color w:val="000000"/>
          <w:sz w:val="22"/>
          <w:szCs w:val="22"/>
          <w:shd w:val="clear" w:color="auto" w:fill="FFFFFF"/>
        </w:rPr>
        <w:t> </w:t>
      </w:r>
      <w:r>
        <w:rPr>
          <w:rStyle w:val="spellingerror"/>
          <w:rFonts w:ascii="Calibri" w:hAnsi="Calibri" w:cs="Calibri"/>
          <w:b/>
          <w:bCs/>
          <w:color w:val="000000"/>
          <w:sz w:val="22"/>
          <w:szCs w:val="22"/>
          <w:shd w:val="clear" w:color="auto" w:fill="FFFFFF"/>
        </w:rPr>
        <w:t>kopš</w:t>
      </w:r>
      <w:r>
        <w:rPr>
          <w:rStyle w:val="normaltextrun"/>
          <w:rFonts w:ascii="Calibri" w:hAnsi="Calibri" w:cs="Calibri"/>
          <w:b/>
          <w:bCs/>
          <w:color w:val="000000"/>
          <w:sz w:val="22"/>
          <w:szCs w:val="22"/>
          <w:shd w:val="clear" w:color="auto" w:fill="FFFFFF"/>
        </w:rPr>
        <w:t> 2017. </w:t>
      </w:r>
      <w:proofErr w:type="gramStart"/>
      <w:r>
        <w:rPr>
          <w:rStyle w:val="spellingerror"/>
          <w:rFonts w:ascii="Calibri" w:hAnsi="Calibri" w:cs="Calibri"/>
          <w:b/>
          <w:bCs/>
          <w:color w:val="000000"/>
          <w:sz w:val="22"/>
          <w:szCs w:val="22"/>
          <w:shd w:val="clear" w:color="auto" w:fill="FFFFFF"/>
        </w:rPr>
        <w:t>gada</w:t>
      </w:r>
      <w:proofErr w:type="gramEnd"/>
      <w:r>
        <w:rPr>
          <w:rStyle w:val="normaltextrun"/>
          <w:rFonts w:ascii="Calibri" w:hAnsi="Calibri" w:cs="Calibri"/>
          <w:b/>
          <w:bCs/>
          <w:color w:val="000000"/>
          <w:sz w:val="22"/>
          <w:szCs w:val="22"/>
          <w:shd w:val="clear" w:color="auto" w:fill="FFFFFF"/>
        </w:rPr>
        <w:t> </w:t>
      </w:r>
      <w:r>
        <w:rPr>
          <w:rStyle w:val="spellingerror"/>
          <w:rFonts w:ascii="Calibri" w:hAnsi="Calibri" w:cs="Calibri"/>
          <w:b/>
          <w:bCs/>
          <w:color w:val="000000"/>
          <w:sz w:val="22"/>
          <w:szCs w:val="22"/>
          <w:shd w:val="clear" w:color="auto" w:fill="FFFFFF"/>
        </w:rPr>
        <w:t>ir</w:t>
      </w:r>
      <w:r>
        <w:rPr>
          <w:rStyle w:val="normaltextrun"/>
          <w:rFonts w:ascii="Calibri" w:hAnsi="Calibri" w:cs="Calibri"/>
          <w:b/>
          <w:bCs/>
          <w:color w:val="000000"/>
          <w:sz w:val="22"/>
          <w:szCs w:val="22"/>
          <w:shd w:val="clear" w:color="auto" w:fill="FFFFFF"/>
        </w:rPr>
        <w:t> </w:t>
      </w:r>
      <w:r>
        <w:rPr>
          <w:rStyle w:val="spellingerror"/>
          <w:rFonts w:ascii="Calibri" w:hAnsi="Calibri" w:cs="Calibri"/>
          <w:b/>
          <w:bCs/>
          <w:color w:val="000000"/>
          <w:sz w:val="22"/>
          <w:szCs w:val="22"/>
          <w:shd w:val="clear" w:color="auto" w:fill="FFFFFF"/>
        </w:rPr>
        <w:t>bijusi</w:t>
      </w:r>
      <w:r>
        <w:rPr>
          <w:rStyle w:val="normaltextrun"/>
          <w:rFonts w:ascii="Calibri" w:hAnsi="Calibri" w:cs="Calibri"/>
          <w:b/>
          <w:bCs/>
          <w:color w:val="000000"/>
          <w:sz w:val="22"/>
          <w:szCs w:val="22"/>
          <w:shd w:val="clear" w:color="auto" w:fill="FFFFFF"/>
        </w:rPr>
        <w:t> </w:t>
      </w:r>
      <w:r>
        <w:rPr>
          <w:rStyle w:val="spellingerror"/>
          <w:rFonts w:ascii="Calibri" w:hAnsi="Calibri" w:cs="Calibri"/>
          <w:b/>
          <w:bCs/>
          <w:color w:val="000000"/>
          <w:sz w:val="22"/>
          <w:szCs w:val="22"/>
          <w:shd w:val="clear" w:color="auto" w:fill="FFFFFF"/>
        </w:rPr>
        <w:t>stabila</w:t>
      </w:r>
      <w:r>
        <w:rPr>
          <w:rStyle w:val="normaltextrun"/>
          <w:rFonts w:ascii="Calibri" w:hAnsi="Calibri" w:cs="Calibri"/>
          <w:b/>
          <w:bCs/>
          <w:color w:val="000000"/>
          <w:sz w:val="22"/>
          <w:szCs w:val="22"/>
          <w:shd w:val="clear" w:color="auto" w:fill="FFFFFF"/>
        </w:rPr>
        <w:t> un </w:t>
      </w:r>
      <w:r>
        <w:rPr>
          <w:rStyle w:val="spellingerror"/>
          <w:rFonts w:ascii="Calibri" w:hAnsi="Calibri" w:cs="Calibri"/>
          <w:b/>
          <w:bCs/>
          <w:color w:val="000000"/>
          <w:sz w:val="22"/>
          <w:szCs w:val="22"/>
          <w:shd w:val="clear" w:color="auto" w:fill="FFFFFF"/>
        </w:rPr>
        <w:t>zema</w:t>
      </w:r>
      <w:r>
        <w:rPr>
          <w:rStyle w:val="normaltextrun"/>
          <w:rFonts w:ascii="Calibri" w:hAnsi="Calibri" w:cs="Calibri"/>
          <w:b/>
          <w:bCs/>
          <w:color w:val="000000"/>
          <w:sz w:val="22"/>
          <w:szCs w:val="22"/>
          <w:shd w:val="clear" w:color="auto" w:fill="FFFFFF"/>
        </w:rPr>
        <w:t>, </w:t>
      </w:r>
      <w:r>
        <w:rPr>
          <w:rStyle w:val="spellingerror"/>
          <w:rFonts w:ascii="Calibri" w:hAnsi="Calibri" w:cs="Calibri"/>
          <w:b/>
          <w:bCs/>
          <w:color w:val="000000"/>
          <w:sz w:val="22"/>
          <w:szCs w:val="22"/>
          <w:shd w:val="clear" w:color="auto" w:fill="FFFFFF"/>
        </w:rPr>
        <w:t>pretēji</w:t>
      </w:r>
      <w:r>
        <w:rPr>
          <w:rStyle w:val="normaltextrun"/>
          <w:rFonts w:ascii="Calibri" w:hAnsi="Calibri" w:cs="Calibri"/>
          <w:b/>
          <w:bCs/>
          <w:color w:val="000000"/>
          <w:sz w:val="22"/>
          <w:szCs w:val="22"/>
          <w:shd w:val="clear" w:color="auto" w:fill="FFFFFF"/>
        </w:rPr>
        <w:t> </w:t>
      </w:r>
      <w:r>
        <w:rPr>
          <w:rStyle w:val="spellingerror"/>
          <w:rFonts w:ascii="Calibri" w:hAnsi="Calibri" w:cs="Calibri"/>
          <w:b/>
          <w:bCs/>
          <w:color w:val="000000"/>
          <w:sz w:val="22"/>
          <w:szCs w:val="22"/>
          <w:shd w:val="clear" w:color="auto" w:fill="FFFFFF"/>
        </w:rPr>
        <w:t>situācijai</w:t>
      </w:r>
      <w:r>
        <w:rPr>
          <w:rStyle w:val="normaltextrun"/>
          <w:rFonts w:ascii="Calibri" w:hAnsi="Calibri" w:cs="Calibri"/>
          <w:b/>
          <w:bCs/>
          <w:color w:val="000000"/>
          <w:sz w:val="22"/>
          <w:szCs w:val="22"/>
          <w:shd w:val="clear" w:color="auto" w:fill="FFFFFF"/>
        </w:rPr>
        <w:t> </w:t>
      </w:r>
      <w:r>
        <w:rPr>
          <w:rStyle w:val="spellingerror"/>
          <w:rFonts w:ascii="Calibri" w:hAnsi="Calibri" w:cs="Calibri"/>
          <w:b/>
          <w:bCs/>
          <w:color w:val="000000"/>
          <w:sz w:val="22"/>
          <w:szCs w:val="22"/>
          <w:shd w:val="clear" w:color="auto" w:fill="FFFFFF"/>
        </w:rPr>
        <w:t>pirms</w:t>
      </w:r>
      <w:r>
        <w:rPr>
          <w:rStyle w:val="normaltextrun"/>
          <w:rFonts w:ascii="Calibri" w:hAnsi="Calibri" w:cs="Calibri"/>
          <w:b/>
          <w:bCs/>
          <w:color w:val="000000"/>
          <w:sz w:val="22"/>
          <w:szCs w:val="22"/>
          <w:shd w:val="clear" w:color="auto" w:fill="FFFFFF"/>
        </w:rPr>
        <w:t> </w:t>
      </w:r>
      <w:r>
        <w:rPr>
          <w:rStyle w:val="spellingerror"/>
          <w:rFonts w:ascii="Calibri" w:hAnsi="Calibri" w:cs="Calibri"/>
          <w:b/>
          <w:bCs/>
          <w:color w:val="000000"/>
          <w:sz w:val="22"/>
          <w:szCs w:val="22"/>
          <w:shd w:val="clear" w:color="auto" w:fill="FFFFFF"/>
        </w:rPr>
        <w:t>globālās</w:t>
      </w:r>
      <w:r>
        <w:rPr>
          <w:rStyle w:val="normaltextrun"/>
          <w:rFonts w:ascii="Calibri" w:hAnsi="Calibri" w:cs="Calibri"/>
          <w:b/>
          <w:bCs/>
          <w:color w:val="000000"/>
          <w:sz w:val="22"/>
          <w:szCs w:val="22"/>
          <w:shd w:val="clear" w:color="auto" w:fill="FFFFFF"/>
        </w:rPr>
        <w:t> </w:t>
      </w:r>
      <w:r>
        <w:rPr>
          <w:rStyle w:val="spellingerror"/>
          <w:rFonts w:ascii="Calibri" w:hAnsi="Calibri" w:cs="Calibri"/>
          <w:b/>
          <w:bCs/>
          <w:color w:val="000000"/>
          <w:sz w:val="22"/>
          <w:szCs w:val="22"/>
          <w:shd w:val="clear" w:color="auto" w:fill="FFFFFF"/>
        </w:rPr>
        <w:t>finanšu</w:t>
      </w:r>
      <w:r>
        <w:rPr>
          <w:rStyle w:val="normaltextrun"/>
          <w:rFonts w:ascii="Calibri" w:hAnsi="Calibri" w:cs="Calibri"/>
          <w:b/>
          <w:bCs/>
          <w:color w:val="000000"/>
          <w:sz w:val="22"/>
          <w:szCs w:val="22"/>
          <w:shd w:val="clear" w:color="auto" w:fill="FFFFFF"/>
        </w:rPr>
        <w:t> </w:t>
      </w:r>
      <w:r>
        <w:rPr>
          <w:rStyle w:val="spellingerror"/>
          <w:rFonts w:ascii="Calibri" w:hAnsi="Calibri" w:cs="Calibri"/>
          <w:b/>
          <w:bCs/>
          <w:color w:val="000000"/>
          <w:sz w:val="22"/>
          <w:szCs w:val="22"/>
          <w:shd w:val="clear" w:color="auto" w:fill="FFFFFF"/>
        </w:rPr>
        <w:t>krīzes</w:t>
      </w:r>
      <w:r>
        <w:rPr>
          <w:rStyle w:val="normaltextrun"/>
          <w:rFonts w:ascii="Calibri" w:hAnsi="Calibri" w:cs="Calibri"/>
          <w:b/>
          <w:bCs/>
          <w:color w:val="000000"/>
          <w:sz w:val="22"/>
          <w:szCs w:val="22"/>
          <w:shd w:val="clear" w:color="auto" w:fill="FFFFFF"/>
        </w:rPr>
        <w:t>, </w:t>
      </w:r>
      <w:r>
        <w:rPr>
          <w:rStyle w:val="spellingerror"/>
          <w:rFonts w:ascii="Calibri" w:hAnsi="Calibri" w:cs="Calibri"/>
          <w:b/>
          <w:bCs/>
          <w:color w:val="000000"/>
          <w:sz w:val="22"/>
          <w:szCs w:val="22"/>
          <w:shd w:val="clear" w:color="auto" w:fill="FFFFFF"/>
        </w:rPr>
        <w:t>kad</w:t>
      </w:r>
      <w:r>
        <w:rPr>
          <w:rStyle w:val="normaltextrun"/>
          <w:rFonts w:ascii="Calibri" w:hAnsi="Calibri" w:cs="Calibri"/>
          <w:b/>
          <w:bCs/>
          <w:color w:val="000000"/>
          <w:sz w:val="22"/>
          <w:szCs w:val="22"/>
          <w:shd w:val="clear" w:color="auto" w:fill="FFFFFF"/>
        </w:rPr>
        <w:t> </w:t>
      </w:r>
      <w:r>
        <w:rPr>
          <w:rStyle w:val="spellingerror"/>
          <w:rFonts w:ascii="Calibri" w:hAnsi="Calibri" w:cs="Calibri"/>
          <w:b/>
          <w:bCs/>
          <w:color w:val="000000"/>
          <w:sz w:val="22"/>
          <w:szCs w:val="22"/>
          <w:shd w:val="clear" w:color="auto" w:fill="FFFFFF"/>
        </w:rPr>
        <w:t>pamatinflācijas</w:t>
      </w:r>
      <w:r>
        <w:rPr>
          <w:rStyle w:val="normaltextrun"/>
          <w:rFonts w:ascii="Calibri" w:hAnsi="Calibri" w:cs="Calibri"/>
          <w:b/>
          <w:bCs/>
          <w:color w:val="000000"/>
          <w:sz w:val="22"/>
          <w:szCs w:val="22"/>
          <w:shd w:val="clear" w:color="auto" w:fill="FFFFFF"/>
        </w:rPr>
        <w:t> </w:t>
      </w:r>
      <w:r>
        <w:rPr>
          <w:rStyle w:val="spellingerror"/>
          <w:rFonts w:ascii="Calibri" w:hAnsi="Calibri" w:cs="Calibri"/>
          <w:b/>
          <w:bCs/>
          <w:color w:val="000000"/>
          <w:sz w:val="22"/>
          <w:szCs w:val="22"/>
          <w:shd w:val="clear" w:color="auto" w:fill="FFFFFF"/>
        </w:rPr>
        <w:t>rādītāji</w:t>
      </w:r>
      <w:r>
        <w:rPr>
          <w:rStyle w:val="normaltextrun"/>
          <w:rFonts w:ascii="Calibri" w:hAnsi="Calibri" w:cs="Calibri"/>
          <w:b/>
          <w:bCs/>
          <w:color w:val="000000"/>
          <w:sz w:val="22"/>
          <w:szCs w:val="22"/>
          <w:shd w:val="clear" w:color="auto" w:fill="FFFFFF"/>
        </w:rPr>
        <w:t> </w:t>
      </w:r>
      <w:r>
        <w:rPr>
          <w:rStyle w:val="spellingerror"/>
          <w:rFonts w:ascii="Calibri" w:hAnsi="Calibri" w:cs="Calibri"/>
          <w:b/>
          <w:bCs/>
          <w:color w:val="000000"/>
          <w:sz w:val="22"/>
          <w:szCs w:val="22"/>
          <w:shd w:val="clear" w:color="auto" w:fill="FFFFFF"/>
        </w:rPr>
        <w:t>bija</w:t>
      </w:r>
      <w:r>
        <w:rPr>
          <w:rStyle w:val="normaltextrun"/>
          <w:rFonts w:ascii="Calibri" w:hAnsi="Calibri" w:cs="Calibri"/>
          <w:b/>
          <w:bCs/>
          <w:color w:val="000000"/>
          <w:sz w:val="22"/>
          <w:szCs w:val="22"/>
          <w:shd w:val="clear" w:color="auto" w:fill="FFFFFF"/>
        </w:rPr>
        <w:t> </w:t>
      </w:r>
      <w:r>
        <w:rPr>
          <w:rStyle w:val="spellingerror"/>
          <w:rFonts w:ascii="Calibri" w:hAnsi="Calibri" w:cs="Calibri"/>
          <w:b/>
          <w:bCs/>
          <w:color w:val="000000"/>
          <w:sz w:val="22"/>
          <w:szCs w:val="22"/>
          <w:shd w:val="clear" w:color="auto" w:fill="FFFFFF"/>
        </w:rPr>
        <w:t>augsti</w:t>
      </w:r>
      <w:r>
        <w:rPr>
          <w:rStyle w:val="normaltextrun"/>
          <w:rFonts w:ascii="Calibri" w:hAnsi="Calibri" w:cs="Calibri"/>
          <w:b/>
          <w:bCs/>
          <w:color w:val="000000"/>
          <w:sz w:val="22"/>
          <w:szCs w:val="22"/>
          <w:shd w:val="clear" w:color="auto" w:fill="FFFFFF"/>
        </w:rPr>
        <w:t>, </w:t>
      </w:r>
      <w:r>
        <w:rPr>
          <w:rStyle w:val="spellingerror"/>
          <w:rFonts w:ascii="Calibri" w:hAnsi="Calibri" w:cs="Calibri"/>
          <w:b/>
          <w:bCs/>
          <w:color w:val="000000"/>
          <w:sz w:val="22"/>
          <w:szCs w:val="22"/>
          <w:shd w:val="clear" w:color="auto" w:fill="FFFFFF"/>
        </w:rPr>
        <w:t>maksimāli</w:t>
      </w:r>
      <w:r>
        <w:rPr>
          <w:rStyle w:val="normaltextrun"/>
          <w:rFonts w:ascii="Calibri" w:hAnsi="Calibri" w:cs="Calibri"/>
          <w:b/>
          <w:bCs/>
          <w:color w:val="000000"/>
          <w:sz w:val="22"/>
          <w:szCs w:val="22"/>
          <w:shd w:val="clear" w:color="auto" w:fill="FFFFFF"/>
        </w:rPr>
        <w:t> </w:t>
      </w:r>
      <w:r>
        <w:rPr>
          <w:rStyle w:val="spellingerror"/>
          <w:rFonts w:ascii="Calibri" w:hAnsi="Calibri" w:cs="Calibri"/>
          <w:b/>
          <w:bCs/>
          <w:color w:val="000000"/>
          <w:sz w:val="22"/>
          <w:szCs w:val="22"/>
          <w:shd w:val="clear" w:color="auto" w:fill="FFFFFF"/>
        </w:rPr>
        <w:t>sasniedzot</w:t>
      </w:r>
      <w:r>
        <w:rPr>
          <w:rStyle w:val="normaltextrun"/>
          <w:rFonts w:ascii="Calibri" w:hAnsi="Calibri" w:cs="Calibri"/>
          <w:b/>
          <w:bCs/>
          <w:color w:val="000000"/>
          <w:sz w:val="22"/>
          <w:szCs w:val="22"/>
          <w:shd w:val="clear" w:color="auto" w:fill="FFFFFF"/>
        </w:rPr>
        <w:t> 9.9% </w:t>
      </w:r>
      <w:r>
        <w:rPr>
          <w:rStyle w:val="spellingerror"/>
          <w:rFonts w:ascii="Calibri" w:hAnsi="Calibri" w:cs="Calibri"/>
          <w:b/>
          <w:bCs/>
          <w:color w:val="000000"/>
          <w:sz w:val="22"/>
          <w:szCs w:val="22"/>
          <w:shd w:val="clear" w:color="auto" w:fill="FFFFFF"/>
        </w:rPr>
        <w:t>līmeni</w:t>
      </w:r>
      <w:r>
        <w:rPr>
          <w:rStyle w:val="normaltextrun"/>
          <w:rFonts w:ascii="Calibri" w:hAnsi="Calibri" w:cs="Calibri"/>
          <w:b/>
          <w:bCs/>
          <w:color w:val="000000"/>
          <w:sz w:val="22"/>
          <w:szCs w:val="22"/>
          <w:shd w:val="clear" w:color="auto" w:fill="FFFFFF"/>
        </w:rPr>
        <w:t>.  Covid-19 </w:t>
      </w:r>
      <w:r>
        <w:rPr>
          <w:rStyle w:val="spellingerror"/>
          <w:rFonts w:ascii="Calibri" w:hAnsi="Calibri" w:cs="Calibri"/>
          <w:b/>
          <w:bCs/>
          <w:color w:val="000000"/>
          <w:sz w:val="22"/>
          <w:szCs w:val="22"/>
          <w:shd w:val="clear" w:color="auto" w:fill="FFFFFF"/>
        </w:rPr>
        <w:t>krīzē</w:t>
      </w:r>
      <w:r>
        <w:rPr>
          <w:rStyle w:val="normaltextrun"/>
          <w:rFonts w:ascii="Calibri" w:hAnsi="Calibri" w:cs="Calibri"/>
          <w:b/>
          <w:bCs/>
          <w:color w:val="000000"/>
          <w:sz w:val="22"/>
          <w:szCs w:val="22"/>
          <w:shd w:val="clear" w:color="auto" w:fill="FFFFFF"/>
        </w:rPr>
        <w:t> </w:t>
      </w:r>
      <w:r>
        <w:rPr>
          <w:rStyle w:val="spellingerror"/>
          <w:rFonts w:ascii="Calibri" w:hAnsi="Calibri" w:cs="Calibri"/>
          <w:b/>
          <w:bCs/>
          <w:color w:val="000000"/>
          <w:sz w:val="22"/>
          <w:szCs w:val="22"/>
          <w:shd w:val="clear" w:color="auto" w:fill="FFFFFF"/>
        </w:rPr>
        <w:t>pamatinflācijas</w:t>
      </w:r>
      <w:r>
        <w:rPr>
          <w:rStyle w:val="normaltextrun"/>
          <w:rFonts w:ascii="Calibri" w:hAnsi="Calibri" w:cs="Calibri"/>
          <w:b/>
          <w:bCs/>
          <w:color w:val="000000"/>
          <w:sz w:val="22"/>
          <w:szCs w:val="22"/>
          <w:shd w:val="clear" w:color="auto" w:fill="FFFFFF"/>
        </w:rPr>
        <w:t> </w:t>
      </w:r>
      <w:r>
        <w:rPr>
          <w:rStyle w:val="spellingerror"/>
          <w:rFonts w:ascii="Calibri" w:hAnsi="Calibri" w:cs="Calibri"/>
          <w:b/>
          <w:bCs/>
          <w:color w:val="000000"/>
          <w:sz w:val="22"/>
          <w:szCs w:val="22"/>
          <w:shd w:val="clear" w:color="auto" w:fill="FFFFFF"/>
        </w:rPr>
        <w:t>vidējā</w:t>
      </w:r>
      <w:r>
        <w:rPr>
          <w:rStyle w:val="normaltextrun"/>
          <w:rFonts w:ascii="Calibri" w:hAnsi="Calibri" w:cs="Calibri"/>
          <w:b/>
          <w:bCs/>
          <w:color w:val="000000"/>
          <w:sz w:val="22"/>
          <w:szCs w:val="22"/>
          <w:shd w:val="clear" w:color="auto" w:fill="FFFFFF"/>
        </w:rPr>
        <w:t> </w:t>
      </w:r>
      <w:r>
        <w:rPr>
          <w:rStyle w:val="spellingerror"/>
          <w:rFonts w:ascii="Calibri" w:hAnsi="Calibri" w:cs="Calibri"/>
          <w:b/>
          <w:bCs/>
          <w:color w:val="000000"/>
          <w:sz w:val="22"/>
          <w:szCs w:val="22"/>
          <w:shd w:val="clear" w:color="auto" w:fill="FFFFFF"/>
        </w:rPr>
        <w:t>vērtība</w:t>
      </w:r>
      <w:r>
        <w:rPr>
          <w:rStyle w:val="normaltextrun"/>
          <w:rFonts w:ascii="Calibri" w:hAnsi="Calibri" w:cs="Calibri"/>
          <w:b/>
          <w:bCs/>
          <w:color w:val="000000"/>
          <w:sz w:val="22"/>
          <w:szCs w:val="22"/>
          <w:shd w:val="clear" w:color="auto" w:fill="FFFFFF"/>
        </w:rPr>
        <w:t> </w:t>
      </w:r>
      <w:r>
        <w:rPr>
          <w:rStyle w:val="spellingerror"/>
          <w:rFonts w:ascii="Calibri" w:hAnsi="Calibri" w:cs="Calibri"/>
          <w:b/>
          <w:bCs/>
          <w:color w:val="000000"/>
          <w:sz w:val="22"/>
          <w:szCs w:val="22"/>
          <w:shd w:val="clear" w:color="auto" w:fill="FFFFFF"/>
        </w:rPr>
        <w:t>otrajā</w:t>
      </w:r>
      <w:r>
        <w:rPr>
          <w:rStyle w:val="normaltextrun"/>
          <w:rFonts w:ascii="Calibri" w:hAnsi="Calibri" w:cs="Calibri"/>
          <w:b/>
          <w:bCs/>
          <w:color w:val="000000"/>
          <w:sz w:val="22"/>
          <w:szCs w:val="22"/>
          <w:shd w:val="clear" w:color="auto" w:fill="FFFFFF"/>
        </w:rPr>
        <w:t> </w:t>
      </w:r>
      <w:r>
        <w:rPr>
          <w:rStyle w:val="spellingerror"/>
          <w:rFonts w:ascii="Calibri" w:hAnsi="Calibri" w:cs="Calibri"/>
          <w:b/>
          <w:bCs/>
          <w:color w:val="000000"/>
          <w:sz w:val="22"/>
          <w:szCs w:val="22"/>
          <w:shd w:val="clear" w:color="auto" w:fill="FFFFFF"/>
        </w:rPr>
        <w:t>ceturksnī</w:t>
      </w:r>
      <w:r>
        <w:rPr>
          <w:rStyle w:val="normaltextrun"/>
          <w:rFonts w:ascii="Calibri" w:hAnsi="Calibri" w:cs="Calibri"/>
          <w:b/>
          <w:bCs/>
          <w:color w:val="000000"/>
          <w:sz w:val="22"/>
          <w:szCs w:val="22"/>
          <w:shd w:val="clear" w:color="auto" w:fill="FFFFFF"/>
        </w:rPr>
        <w:t> </w:t>
      </w:r>
      <w:r>
        <w:rPr>
          <w:rStyle w:val="spellingerror"/>
          <w:rFonts w:ascii="Calibri" w:hAnsi="Calibri" w:cs="Calibri"/>
          <w:b/>
          <w:bCs/>
          <w:color w:val="000000"/>
          <w:sz w:val="22"/>
          <w:szCs w:val="22"/>
          <w:shd w:val="clear" w:color="auto" w:fill="FFFFFF"/>
        </w:rPr>
        <w:t>nokritās</w:t>
      </w:r>
      <w:r>
        <w:rPr>
          <w:rStyle w:val="normaltextrun"/>
          <w:rFonts w:ascii="Calibri" w:hAnsi="Calibri" w:cs="Calibri"/>
          <w:b/>
          <w:bCs/>
          <w:color w:val="000000"/>
          <w:sz w:val="22"/>
          <w:szCs w:val="22"/>
          <w:shd w:val="clear" w:color="auto" w:fill="FFFFFF"/>
        </w:rPr>
        <w:t> </w:t>
      </w:r>
      <w:r>
        <w:rPr>
          <w:rStyle w:val="spellingerror"/>
          <w:rFonts w:ascii="Calibri" w:hAnsi="Calibri" w:cs="Calibri"/>
          <w:b/>
          <w:bCs/>
          <w:color w:val="000000"/>
          <w:sz w:val="22"/>
          <w:szCs w:val="22"/>
          <w:shd w:val="clear" w:color="auto" w:fill="FFFFFF"/>
        </w:rPr>
        <w:t>līdz</w:t>
      </w:r>
      <w:r>
        <w:rPr>
          <w:rStyle w:val="normaltextrun"/>
          <w:rFonts w:ascii="Calibri" w:hAnsi="Calibri" w:cs="Calibri"/>
          <w:b/>
          <w:bCs/>
          <w:color w:val="000000"/>
          <w:sz w:val="22"/>
          <w:szCs w:val="22"/>
          <w:shd w:val="clear" w:color="auto" w:fill="FFFFFF"/>
        </w:rPr>
        <w:t> 0.3%, pie tam </w:t>
      </w:r>
      <w:r>
        <w:rPr>
          <w:rStyle w:val="spellingerror"/>
          <w:rFonts w:ascii="Calibri" w:hAnsi="Calibri" w:cs="Calibri"/>
          <w:b/>
          <w:bCs/>
          <w:color w:val="000000"/>
          <w:sz w:val="22"/>
          <w:szCs w:val="22"/>
          <w:shd w:val="clear" w:color="auto" w:fill="FFFFFF"/>
        </w:rPr>
        <w:t>š.g</w:t>
      </w:r>
      <w:r>
        <w:rPr>
          <w:rStyle w:val="normaltextrun"/>
          <w:rFonts w:ascii="Calibri" w:hAnsi="Calibri" w:cs="Calibri"/>
          <w:b/>
          <w:bCs/>
          <w:color w:val="000000"/>
          <w:sz w:val="22"/>
          <w:szCs w:val="22"/>
          <w:shd w:val="clear" w:color="auto" w:fill="FFFFFF"/>
        </w:rPr>
        <w:t>. </w:t>
      </w:r>
      <w:r>
        <w:rPr>
          <w:rStyle w:val="spellingerror"/>
          <w:rFonts w:ascii="Calibri" w:hAnsi="Calibri" w:cs="Calibri"/>
          <w:b/>
          <w:bCs/>
          <w:color w:val="000000"/>
          <w:sz w:val="22"/>
          <w:szCs w:val="22"/>
          <w:shd w:val="clear" w:color="auto" w:fill="FFFFFF"/>
        </w:rPr>
        <w:t>jūnijā</w:t>
      </w:r>
      <w:r>
        <w:rPr>
          <w:rStyle w:val="normaltextrun"/>
          <w:rFonts w:ascii="Calibri" w:hAnsi="Calibri" w:cs="Calibri"/>
          <w:b/>
          <w:bCs/>
          <w:color w:val="000000"/>
          <w:sz w:val="22"/>
          <w:szCs w:val="22"/>
          <w:shd w:val="clear" w:color="auto" w:fill="FFFFFF"/>
        </w:rPr>
        <w:t> </w:t>
      </w:r>
      <w:r>
        <w:rPr>
          <w:rStyle w:val="spellingerror"/>
          <w:rFonts w:ascii="Calibri" w:hAnsi="Calibri" w:cs="Calibri"/>
          <w:b/>
          <w:bCs/>
          <w:color w:val="000000"/>
          <w:sz w:val="22"/>
          <w:szCs w:val="22"/>
          <w:shd w:val="clear" w:color="auto" w:fill="FFFFFF"/>
        </w:rPr>
        <w:t>pamatinflācijas</w:t>
      </w:r>
      <w:r>
        <w:rPr>
          <w:rStyle w:val="normaltextrun"/>
          <w:rFonts w:ascii="Calibri" w:hAnsi="Calibri" w:cs="Calibri"/>
          <w:b/>
          <w:bCs/>
          <w:color w:val="000000"/>
          <w:sz w:val="22"/>
          <w:szCs w:val="22"/>
          <w:shd w:val="clear" w:color="auto" w:fill="FFFFFF"/>
        </w:rPr>
        <w:t> </w:t>
      </w:r>
      <w:r>
        <w:rPr>
          <w:rStyle w:val="spellingerror"/>
          <w:rFonts w:ascii="Calibri" w:hAnsi="Calibri" w:cs="Calibri"/>
          <w:b/>
          <w:bCs/>
          <w:color w:val="000000"/>
          <w:sz w:val="22"/>
          <w:szCs w:val="22"/>
          <w:shd w:val="clear" w:color="auto" w:fill="FFFFFF"/>
        </w:rPr>
        <w:t>vērtība</w:t>
      </w:r>
      <w:r>
        <w:rPr>
          <w:rStyle w:val="normaltextrun"/>
          <w:rFonts w:ascii="Calibri" w:hAnsi="Calibri" w:cs="Calibri"/>
          <w:b/>
          <w:bCs/>
          <w:color w:val="000000"/>
          <w:sz w:val="22"/>
          <w:szCs w:val="22"/>
          <w:shd w:val="clear" w:color="auto" w:fill="FFFFFF"/>
        </w:rPr>
        <w:t> </w:t>
      </w:r>
      <w:r>
        <w:rPr>
          <w:rStyle w:val="spellingerror"/>
          <w:rFonts w:ascii="Calibri" w:hAnsi="Calibri" w:cs="Calibri"/>
          <w:b/>
          <w:bCs/>
          <w:color w:val="000000"/>
          <w:sz w:val="22"/>
          <w:szCs w:val="22"/>
          <w:shd w:val="clear" w:color="auto" w:fill="FFFFFF"/>
        </w:rPr>
        <w:t>bija</w:t>
      </w:r>
      <w:r>
        <w:rPr>
          <w:rStyle w:val="normaltextrun"/>
          <w:rFonts w:ascii="Calibri" w:hAnsi="Calibri" w:cs="Calibri"/>
          <w:b/>
          <w:bCs/>
          <w:color w:val="000000"/>
          <w:sz w:val="22"/>
          <w:szCs w:val="22"/>
          <w:shd w:val="clear" w:color="auto" w:fill="FFFFFF"/>
        </w:rPr>
        <w:t> </w:t>
      </w:r>
      <w:r>
        <w:rPr>
          <w:rStyle w:val="spellingerror"/>
          <w:rFonts w:ascii="Calibri" w:hAnsi="Calibri" w:cs="Calibri"/>
          <w:b/>
          <w:bCs/>
          <w:color w:val="000000"/>
          <w:sz w:val="22"/>
          <w:szCs w:val="22"/>
          <w:shd w:val="clear" w:color="auto" w:fill="FFFFFF"/>
        </w:rPr>
        <w:t>negatīva</w:t>
      </w:r>
      <w:r>
        <w:rPr>
          <w:rStyle w:val="normaltextrun"/>
          <w:rFonts w:ascii="Calibri" w:hAnsi="Calibri" w:cs="Calibri"/>
          <w:b/>
          <w:bCs/>
          <w:color w:val="000000"/>
          <w:sz w:val="22"/>
          <w:szCs w:val="22"/>
          <w:shd w:val="clear" w:color="auto" w:fill="FFFFFF"/>
        </w:rPr>
        <w:t xml:space="preserve"> -0.1%. </w:t>
      </w:r>
      <w:r w:rsidR="00DB5CF6" w:rsidRPr="72B40892">
        <w:rPr>
          <w:rFonts w:ascii="Calibri" w:hAnsi="Calibri" w:cs="Calibri"/>
          <w:sz w:val="22"/>
          <w:szCs w:val="22"/>
        </w:rPr>
        <w:t xml:space="preserve">Mājokļu cenas iepriekšējo piecu gadu periodā bija stabilas </w:t>
      </w:r>
      <w:proofErr w:type="gramStart"/>
      <w:r w:rsidR="00DB5CF6" w:rsidRPr="72B40892">
        <w:rPr>
          <w:rFonts w:ascii="Calibri" w:hAnsi="Calibri" w:cs="Calibri"/>
          <w:sz w:val="22"/>
          <w:szCs w:val="22"/>
        </w:rPr>
        <w:t>un</w:t>
      </w:r>
      <w:proofErr w:type="gramEnd"/>
      <w:r w:rsidR="00DB5CF6" w:rsidRPr="72B40892">
        <w:rPr>
          <w:rFonts w:ascii="Calibri" w:hAnsi="Calibri" w:cs="Calibri"/>
          <w:sz w:val="22"/>
          <w:szCs w:val="22"/>
        </w:rPr>
        <w:t xml:space="preserve"> nevarēja novērot nekustamā tirgus pārkarša</w:t>
      </w:r>
      <w:r w:rsidR="007F1DB8" w:rsidRPr="72B40892">
        <w:rPr>
          <w:rFonts w:ascii="Calibri" w:hAnsi="Calibri" w:cs="Calibri"/>
          <w:sz w:val="22"/>
          <w:szCs w:val="22"/>
        </w:rPr>
        <w:t>nas pazīmes, kā tas bija pirms f</w:t>
      </w:r>
      <w:r w:rsidR="00DB5CF6" w:rsidRPr="72B40892">
        <w:rPr>
          <w:rFonts w:ascii="Calibri" w:hAnsi="Calibri" w:cs="Calibri"/>
          <w:sz w:val="22"/>
          <w:szCs w:val="22"/>
        </w:rPr>
        <w:t xml:space="preserve">inanšu krīzes, tomēr š.g. otrajā ceturksnī ir ievērojama sabremzēšanās mājokļu cenās, kas pieauga vien par +1.6%. </w:t>
      </w:r>
    </w:p>
    <w:sectPr w:rsidR="00B6363A" w:rsidRPr="007F1DB8" w:rsidSect="007C1D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4E98F" w14:textId="77777777" w:rsidR="004037F5" w:rsidRDefault="004037F5" w:rsidP="0082036A">
      <w:r>
        <w:separator/>
      </w:r>
    </w:p>
  </w:endnote>
  <w:endnote w:type="continuationSeparator" w:id="0">
    <w:p w14:paraId="1DD72C56" w14:textId="77777777" w:rsidR="004037F5" w:rsidRDefault="004037F5" w:rsidP="0082036A">
      <w:r>
        <w:continuationSeparator/>
      </w:r>
    </w:p>
  </w:endnote>
  <w:endnote w:type="continuationNotice" w:id="1">
    <w:p w14:paraId="5CD21244" w14:textId="77777777" w:rsidR="004037F5" w:rsidRDefault="004037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18C96" w14:textId="77777777" w:rsidR="004037F5" w:rsidRDefault="004037F5" w:rsidP="0082036A">
      <w:r>
        <w:separator/>
      </w:r>
    </w:p>
  </w:footnote>
  <w:footnote w:type="continuationSeparator" w:id="0">
    <w:p w14:paraId="21C6E485" w14:textId="77777777" w:rsidR="004037F5" w:rsidRDefault="004037F5" w:rsidP="0082036A">
      <w:r>
        <w:continuationSeparator/>
      </w:r>
    </w:p>
  </w:footnote>
  <w:footnote w:type="continuationNotice" w:id="1">
    <w:p w14:paraId="49738FDC" w14:textId="77777777" w:rsidR="004037F5" w:rsidRDefault="004037F5"/>
  </w:footnote>
  <w:footnote w:id="2">
    <w:p w14:paraId="1A88EF72" w14:textId="77777777" w:rsidR="00EB0955" w:rsidRPr="00765BFE" w:rsidRDefault="00EB0955" w:rsidP="00FB6E46">
      <w:pPr>
        <w:pStyle w:val="FootnoteText"/>
        <w:rPr>
          <w:rFonts w:asciiTheme="minorHAnsi" w:hAnsiTheme="minorHAnsi" w:cstheme="minorHAnsi"/>
        </w:rPr>
      </w:pPr>
      <w:r w:rsidRPr="00765BFE">
        <w:rPr>
          <w:rStyle w:val="FootnoteReference"/>
          <w:rFonts w:asciiTheme="minorHAnsi" w:hAnsiTheme="minorHAnsi" w:cstheme="minorHAnsi"/>
        </w:rPr>
        <w:footnoteRef/>
      </w:r>
      <w:r w:rsidRPr="004374A4">
        <w:rPr>
          <w:rFonts w:asciiTheme="minorHAnsi" w:hAnsiTheme="minorHAnsi" w:cstheme="minorHAnsi"/>
          <w:sz w:val="16"/>
          <w:szCs w:val="16"/>
        </w:rPr>
        <w:t xml:space="preserve"> Avots: </w:t>
      </w:r>
      <w:hyperlink r:id="rId1" w:history="1">
        <w:r w:rsidRPr="004374A4">
          <w:rPr>
            <w:rStyle w:val="Hyperlink"/>
            <w:rFonts w:asciiTheme="minorHAnsi" w:hAnsiTheme="minorHAnsi" w:cstheme="minorHAnsi"/>
            <w:sz w:val="16"/>
            <w:szCs w:val="16"/>
          </w:rPr>
          <w:t>https://www.imf.org/external/datamapper/G_XWDG_G01_GDP_PT@FM/ADVEC/FM_EMG/FM_LIDC</w:t>
        </w:r>
      </w:hyperlink>
      <w:r w:rsidRPr="004374A4">
        <w:rPr>
          <w:rFonts w:asciiTheme="minorHAnsi" w:hAnsiTheme="minorHAnsi" w:cstheme="minorHAnsi"/>
          <w:sz w:val="16"/>
          <w:szCs w:val="16"/>
        </w:rPr>
        <w:t>, skatīts 09/10/20</w:t>
      </w:r>
    </w:p>
  </w:footnote>
  <w:footnote w:id="3">
    <w:p w14:paraId="16C131C3" w14:textId="77777777" w:rsidR="00EB0955" w:rsidRPr="00F365E6" w:rsidRDefault="00EB0955" w:rsidP="00D66F83">
      <w:pPr>
        <w:pStyle w:val="FootnoteText"/>
        <w:rPr>
          <w:rFonts w:asciiTheme="minorHAnsi" w:hAnsiTheme="minorHAnsi" w:cstheme="minorHAnsi"/>
          <w:sz w:val="16"/>
          <w:szCs w:val="16"/>
          <w:lang w:val="lv-LV"/>
        </w:rPr>
      </w:pPr>
      <w:r w:rsidRPr="00F365E6">
        <w:rPr>
          <w:rStyle w:val="FootnoteReference"/>
          <w:rFonts w:asciiTheme="minorHAnsi" w:hAnsiTheme="minorHAnsi" w:cstheme="minorHAnsi"/>
          <w:sz w:val="16"/>
          <w:szCs w:val="16"/>
        </w:rPr>
        <w:footnoteRef/>
      </w:r>
      <w:r w:rsidRPr="00F365E6">
        <w:rPr>
          <w:rFonts w:asciiTheme="minorHAnsi" w:hAnsiTheme="minorHAnsi" w:cstheme="minorHAnsi"/>
          <w:sz w:val="16"/>
          <w:szCs w:val="16"/>
        </w:rPr>
        <w:t xml:space="preserve"> FM Bilance_07082020 datne</w:t>
      </w:r>
    </w:p>
  </w:footnote>
  <w:footnote w:id="4">
    <w:p w14:paraId="71C20A51" w14:textId="77777777" w:rsidR="00EB0955" w:rsidRPr="00210E30" w:rsidRDefault="00EB0955" w:rsidP="00E94AE5">
      <w:pPr>
        <w:pStyle w:val="FootnoteText"/>
        <w:rPr>
          <w:lang w:val="lv-LV"/>
        </w:rPr>
      </w:pPr>
      <w:r w:rsidRPr="00F365E6">
        <w:rPr>
          <w:rStyle w:val="FootnoteReference"/>
          <w:rFonts w:asciiTheme="minorHAnsi" w:hAnsiTheme="minorHAnsi"/>
          <w:sz w:val="16"/>
          <w:szCs w:val="16"/>
          <w:lang w:val="lv-LV"/>
        </w:rPr>
        <w:footnoteRef/>
      </w:r>
      <w:r w:rsidRPr="00F365E6">
        <w:rPr>
          <w:rFonts w:asciiTheme="minorHAnsi" w:hAnsiTheme="minorHAnsi"/>
          <w:sz w:val="16"/>
          <w:szCs w:val="16"/>
          <w:lang w:val="lv-LV"/>
        </w:rPr>
        <w:t xml:space="preserve"> </w:t>
      </w:r>
      <w:r w:rsidRPr="00F365E6">
        <w:rPr>
          <w:rFonts w:asciiTheme="minorHAnsi" w:hAnsiTheme="minorHAnsi"/>
          <w:sz w:val="16"/>
          <w:szCs w:val="16"/>
          <w:lang w:val="lv-LV"/>
        </w:rPr>
        <w:t>Saskaņā ar SIP un FDL, fiskālais rezultāts tiek novērtēts balstoties uz Eiropas kontu sistēmas 2010 (EKS2010) metodoloģiju, kas balstās uz uzkrājumu metodi. Tikmēr tradicionāli Latvijā valsts budžets tiek apstiprināts un novērtēts balstoties uz naudas plūsmas metodi.</w:t>
      </w:r>
      <w:r w:rsidRPr="00210E30">
        <w:rPr>
          <w:lang w:val="lv-LV"/>
        </w:rPr>
        <w:t xml:space="preserve"> </w:t>
      </w:r>
    </w:p>
  </w:footnote>
  <w:footnote w:id="5">
    <w:p w14:paraId="60E8ADA2" w14:textId="77777777" w:rsidR="00EB0955" w:rsidRPr="00F365E6" w:rsidRDefault="00EB0955" w:rsidP="00A00F2A">
      <w:pPr>
        <w:pStyle w:val="FootnoteText"/>
        <w:rPr>
          <w:rFonts w:asciiTheme="minorHAnsi" w:hAnsiTheme="minorHAnsi" w:cstheme="minorHAnsi"/>
          <w:sz w:val="16"/>
          <w:szCs w:val="16"/>
        </w:rPr>
      </w:pPr>
      <w:r w:rsidRPr="00F365E6">
        <w:rPr>
          <w:rStyle w:val="FootnoteReference"/>
          <w:rFonts w:asciiTheme="minorHAnsi" w:hAnsiTheme="minorHAnsi" w:cstheme="minorHAnsi"/>
          <w:sz w:val="16"/>
          <w:szCs w:val="16"/>
          <w:lang w:val="lv-LV"/>
        </w:rPr>
        <w:footnoteRef/>
      </w:r>
      <w:r w:rsidRPr="00F365E6">
        <w:rPr>
          <w:rFonts w:asciiTheme="minorHAnsi" w:hAnsiTheme="minorHAnsi" w:cstheme="minorHAnsi"/>
          <w:sz w:val="16"/>
          <w:szCs w:val="16"/>
          <w:lang w:val="lv-LV"/>
        </w:rPr>
        <w:t xml:space="preserve"> </w:t>
      </w:r>
      <w:r w:rsidRPr="00F365E6">
        <w:rPr>
          <w:rFonts w:asciiTheme="minorHAnsi" w:hAnsiTheme="minorHAnsi" w:cstheme="minorHAnsi"/>
          <w:sz w:val="16"/>
          <w:szCs w:val="16"/>
          <w:lang w:val="lv-LV"/>
        </w:rPr>
        <w:t>Fiskālais stimuls tiek definēts kā VVBB pasliktināšanās salīdzinot ar iepriekšējo gadu (% no IKP), lai stimulētu ekonomiku. Piemēram, skatīt SVF 2019.gada ziņojumu par Latvijas ekonomiku. Pieejams:</w:t>
      </w:r>
      <w:r w:rsidRPr="00D831FB">
        <w:rPr>
          <w:rFonts w:asciiTheme="minorHAnsi" w:hAnsiTheme="minorHAnsi" w:cstheme="minorHAnsi"/>
          <w:sz w:val="16"/>
          <w:szCs w:val="16"/>
          <w:lang w:val="lv-LV"/>
        </w:rPr>
        <w:t xml:space="preserve"> </w:t>
      </w:r>
      <w:hyperlink r:id="rId2">
        <w:r w:rsidRPr="00D831FB">
          <w:rPr>
            <w:rStyle w:val="Hyperlink"/>
            <w:rFonts w:asciiTheme="minorHAnsi" w:hAnsiTheme="minorHAnsi" w:cstheme="minorHAnsi"/>
            <w:sz w:val="16"/>
            <w:szCs w:val="16"/>
            <w:lang w:val="lv-LV"/>
          </w:rPr>
          <w:t>https://www.imf.org/en/Publications/CR/Issues/2019/08/06/Republic-of-Latvia-2019-Article-IV-Consultation-Press-Release-and-Staff-Report-48565</w:t>
        </w:r>
      </w:hyperlink>
      <w:r w:rsidRPr="00D831FB">
        <w:rPr>
          <w:rFonts w:asciiTheme="minorHAnsi" w:hAnsiTheme="minorHAnsi" w:cstheme="minorHAnsi"/>
          <w:sz w:val="16"/>
          <w:szCs w:val="16"/>
          <w:lang w:val="lv-LV"/>
        </w:rPr>
        <w:t xml:space="preserve">. </w:t>
      </w:r>
      <w:r w:rsidRPr="00F365E6">
        <w:rPr>
          <w:rFonts w:asciiTheme="minorHAnsi" w:hAnsiTheme="minorHAnsi" w:cstheme="minorHAnsi"/>
          <w:sz w:val="16"/>
          <w:szCs w:val="16"/>
          <w:lang w:val="lv-LV"/>
        </w:rPr>
        <w:t>Skatīts:</w:t>
      </w:r>
      <w:r w:rsidRPr="00F365E6">
        <w:rPr>
          <w:rFonts w:asciiTheme="minorHAnsi" w:hAnsiTheme="minorHAnsi" w:cstheme="minorHAnsi"/>
          <w:sz w:val="16"/>
          <w:szCs w:val="16"/>
        </w:rPr>
        <w:t xml:space="preserve"> 17/09/2020</w:t>
      </w:r>
    </w:p>
  </w:footnote>
  <w:footnote w:id="6">
    <w:p w14:paraId="23A0F483" w14:textId="30C3920E" w:rsidR="00EB0955" w:rsidRPr="00F365E6" w:rsidRDefault="00EB0955">
      <w:pPr>
        <w:pStyle w:val="FootnoteText"/>
        <w:rPr>
          <w:rFonts w:asciiTheme="minorHAnsi" w:hAnsiTheme="minorHAnsi" w:cstheme="minorHAnsi"/>
          <w:sz w:val="16"/>
          <w:szCs w:val="16"/>
          <w:lang w:val="lv-LV"/>
        </w:rPr>
      </w:pPr>
      <w:r w:rsidRPr="00F365E6">
        <w:rPr>
          <w:rStyle w:val="FootnoteReference"/>
          <w:sz w:val="16"/>
          <w:szCs w:val="16"/>
        </w:rPr>
        <w:footnoteRef/>
      </w:r>
      <w:r w:rsidRPr="00F365E6">
        <w:rPr>
          <w:sz w:val="16"/>
          <w:szCs w:val="16"/>
        </w:rPr>
        <w:t xml:space="preserve"> </w:t>
      </w:r>
      <w:r w:rsidRPr="00F365E6">
        <w:rPr>
          <w:rFonts w:asciiTheme="minorHAnsi" w:hAnsiTheme="minorHAnsi" w:cstheme="minorHAnsi"/>
          <w:sz w:val="16"/>
          <w:szCs w:val="16"/>
          <w:lang w:val="lv-LV"/>
        </w:rPr>
        <w:t xml:space="preserve">FDP viedoklis par nodokļu reformu. Pieejams: </w:t>
      </w:r>
      <w:hyperlink r:id="rId3" w:history="1">
        <w:r w:rsidRPr="00F365E6">
          <w:rPr>
            <w:rStyle w:val="Hyperlink"/>
            <w:rFonts w:asciiTheme="minorHAnsi" w:hAnsiTheme="minorHAnsi" w:cstheme="minorHAnsi"/>
            <w:sz w:val="16"/>
            <w:szCs w:val="16"/>
            <w:lang w:val="lv-LV"/>
          </w:rPr>
          <w:t>https://fdp.gov.lv/jaunumi/Fiskalasdisciplinaspadomenakklajaarpriekslikumiemnodoklusistemaspilnveidosanai</w:t>
        </w:r>
      </w:hyperlink>
      <w:r w:rsidRPr="00F365E6">
        <w:rPr>
          <w:rFonts w:asciiTheme="minorHAnsi" w:hAnsiTheme="minorHAnsi" w:cstheme="minorHAnsi"/>
          <w:sz w:val="16"/>
          <w:szCs w:val="16"/>
          <w:lang w:val="lv-LV"/>
        </w:rPr>
        <w:t>. Skatīts: 28/09/20</w:t>
      </w:r>
    </w:p>
  </w:footnote>
  <w:footnote w:id="7">
    <w:p w14:paraId="54DB2CD0" w14:textId="05B17626" w:rsidR="00EB0955" w:rsidRPr="00F365E6" w:rsidRDefault="00EB0955">
      <w:pPr>
        <w:pStyle w:val="FootnoteText"/>
        <w:rPr>
          <w:rFonts w:asciiTheme="minorHAnsi" w:hAnsiTheme="minorHAnsi" w:cstheme="minorHAnsi"/>
          <w:sz w:val="16"/>
          <w:szCs w:val="16"/>
          <w:lang w:val="lv-LV"/>
        </w:rPr>
      </w:pPr>
      <w:r w:rsidRPr="00F365E6">
        <w:rPr>
          <w:rStyle w:val="FootnoteReference"/>
          <w:sz w:val="16"/>
          <w:szCs w:val="16"/>
        </w:rPr>
        <w:footnoteRef/>
      </w:r>
      <w:r w:rsidRPr="00F365E6">
        <w:rPr>
          <w:sz w:val="16"/>
          <w:szCs w:val="16"/>
        </w:rPr>
        <w:t xml:space="preserve"> </w:t>
      </w:r>
      <w:r w:rsidRPr="00F365E6">
        <w:rPr>
          <w:rFonts w:asciiTheme="minorHAnsi" w:hAnsiTheme="minorHAnsi" w:cstheme="minorHAnsi"/>
          <w:sz w:val="16"/>
          <w:szCs w:val="16"/>
          <w:lang w:val="lv-LV"/>
        </w:rPr>
        <w:t xml:space="preserve">Ziņojums pieejams: </w:t>
      </w:r>
      <w:hyperlink r:id="rId4" w:history="1">
        <w:r w:rsidRPr="00F365E6">
          <w:rPr>
            <w:rStyle w:val="Hyperlink"/>
            <w:rFonts w:asciiTheme="minorHAnsi" w:hAnsiTheme="minorHAnsi" w:cstheme="minorHAnsi"/>
            <w:sz w:val="16"/>
            <w:szCs w:val="16"/>
            <w:lang w:val="lv-LV"/>
          </w:rPr>
          <w:t>http://tap.mk.gov.lv/lv/mk/tap/?pid=40491864&amp;mode=mk&amp;date=2020-09-22</w:t>
        </w:r>
      </w:hyperlink>
      <w:r w:rsidRPr="00F365E6">
        <w:rPr>
          <w:rFonts w:asciiTheme="minorHAnsi" w:hAnsiTheme="minorHAnsi" w:cstheme="minorHAnsi"/>
          <w:sz w:val="16"/>
          <w:szCs w:val="16"/>
          <w:lang w:val="lv-LV"/>
        </w:rPr>
        <w:t>, skatīts: 29/09/2020</w:t>
      </w:r>
    </w:p>
  </w:footnote>
  <w:footnote w:id="8">
    <w:p w14:paraId="57E79AEE" w14:textId="3A3EBCC8" w:rsidR="00EB0955" w:rsidRPr="00837C78" w:rsidRDefault="00EB0955">
      <w:pPr>
        <w:pStyle w:val="FootnoteText"/>
        <w:rPr>
          <w:rFonts w:asciiTheme="minorHAnsi" w:hAnsiTheme="minorHAnsi" w:cstheme="minorHAnsi"/>
          <w:lang w:val="lv-LV"/>
        </w:rPr>
      </w:pPr>
      <w:r>
        <w:rPr>
          <w:rStyle w:val="FootnoteReference"/>
        </w:rPr>
        <w:footnoteRef/>
      </w:r>
      <w:r w:rsidRPr="00D831FB">
        <w:rPr>
          <w:lang w:val="lv-LV"/>
        </w:rPr>
        <w:t xml:space="preserve"> </w:t>
      </w:r>
      <w:r w:rsidRPr="00D831FB">
        <w:rPr>
          <w:rFonts w:asciiTheme="minorHAnsi" w:hAnsiTheme="minorHAnsi" w:cstheme="minorHAnsi"/>
          <w:sz w:val="16"/>
          <w:szCs w:val="16"/>
          <w:lang w:val="lv-LV"/>
        </w:rPr>
        <w:t>EK darba dokuments Norādījumi da</w:t>
      </w:r>
      <w:r w:rsidR="00E80565">
        <w:rPr>
          <w:rFonts w:asciiTheme="minorHAnsi" w:hAnsiTheme="minorHAnsi" w:cstheme="minorHAnsi"/>
          <w:sz w:val="16"/>
          <w:szCs w:val="16"/>
          <w:lang w:val="lv-LV"/>
        </w:rPr>
        <w:t>lībvalstīm par Atjaunošanās un n</w:t>
      </w:r>
      <w:r w:rsidRPr="00D831FB">
        <w:rPr>
          <w:rFonts w:asciiTheme="minorHAnsi" w:hAnsiTheme="minorHAnsi" w:cstheme="minorHAnsi"/>
          <w:sz w:val="16"/>
          <w:szCs w:val="16"/>
          <w:lang w:val="lv-LV"/>
        </w:rPr>
        <w:t xml:space="preserve">oturības plāniem. Pieejams: </w:t>
      </w:r>
      <w:hyperlink r:id="rId5" w:history="1">
        <w:r w:rsidRPr="00D831FB">
          <w:rPr>
            <w:rStyle w:val="Hyperlink"/>
            <w:rFonts w:asciiTheme="minorHAnsi" w:hAnsiTheme="minorHAnsi" w:cstheme="minorHAnsi"/>
            <w:sz w:val="16"/>
            <w:szCs w:val="16"/>
            <w:lang w:val="lv-LV"/>
          </w:rPr>
          <w:t>https://ec.europa.eu/info/sites/info/files/3_en_document_travail_service_part1_v3_en_0.pdf</w:t>
        </w:r>
      </w:hyperlink>
      <w:r w:rsidRPr="00D831FB">
        <w:rPr>
          <w:rFonts w:asciiTheme="minorHAnsi" w:hAnsiTheme="minorHAnsi" w:cstheme="minorHAnsi"/>
          <w:sz w:val="16"/>
          <w:szCs w:val="16"/>
          <w:lang w:val="lv-LV"/>
        </w:rPr>
        <w:t>, skatīts: 29/09/2020</w:t>
      </w:r>
    </w:p>
  </w:footnote>
  <w:footnote w:id="9">
    <w:p w14:paraId="4BFCCF7B" w14:textId="21AF7726" w:rsidR="00EB0955" w:rsidRPr="00A00F2A" w:rsidRDefault="00EB0955" w:rsidP="00B6363A">
      <w:pPr>
        <w:pStyle w:val="FootnoteText"/>
        <w:rPr>
          <w:rFonts w:asciiTheme="minorHAnsi" w:hAnsiTheme="minorHAnsi" w:cstheme="minorHAnsi"/>
          <w:sz w:val="16"/>
          <w:szCs w:val="16"/>
          <w:lang w:val="lv-LV"/>
        </w:rPr>
      </w:pPr>
      <w:r w:rsidRPr="00A00F2A">
        <w:rPr>
          <w:rStyle w:val="FootnoteReference"/>
          <w:rFonts w:asciiTheme="minorHAnsi" w:hAnsiTheme="minorHAnsi" w:cstheme="minorHAnsi"/>
          <w:sz w:val="16"/>
          <w:szCs w:val="16"/>
        </w:rPr>
        <w:footnoteRef/>
      </w:r>
      <w:r w:rsidRPr="00A00F2A">
        <w:rPr>
          <w:rFonts w:asciiTheme="minorHAnsi" w:hAnsiTheme="minorHAnsi" w:cstheme="minorHAnsi"/>
          <w:sz w:val="16"/>
          <w:szCs w:val="16"/>
        </w:rPr>
        <w:t xml:space="preserve"> </w:t>
      </w:r>
      <w:r w:rsidRPr="00A00F2A">
        <w:rPr>
          <w:rFonts w:asciiTheme="minorHAnsi" w:hAnsiTheme="minorHAnsi" w:cstheme="minorHAnsi"/>
          <w:sz w:val="16"/>
          <w:szCs w:val="16"/>
          <w:lang w:val="lv-LV"/>
        </w:rPr>
        <w:t>Likuma "Par valsts budžetu 2019. gadam" paskaidrojumi. 2. nodaļa Fiskālais apskats. Pieejams: https://www.fm.gov.lv/lv/sadalas/valsts_budzets/valsts_budzeta_izstrade/_budzets2019/, skatīts: 17/04/2020</w:t>
      </w:r>
    </w:p>
  </w:footnote>
  <w:footnote w:id="10">
    <w:p w14:paraId="3CB06EDC" w14:textId="5A7511A3" w:rsidR="00EB0955" w:rsidRPr="00A00F2A" w:rsidRDefault="00EB0955" w:rsidP="00B6363A">
      <w:pPr>
        <w:pStyle w:val="FootnoteText"/>
        <w:rPr>
          <w:rFonts w:asciiTheme="minorHAnsi" w:hAnsiTheme="minorHAnsi"/>
          <w:sz w:val="16"/>
          <w:szCs w:val="16"/>
          <w:lang w:val="lv-LV"/>
        </w:rPr>
      </w:pPr>
      <w:r w:rsidRPr="00A00F2A">
        <w:rPr>
          <w:rStyle w:val="FootnoteReference"/>
          <w:rFonts w:asciiTheme="minorHAnsi" w:hAnsiTheme="minorHAnsi" w:cstheme="minorHAnsi"/>
          <w:sz w:val="16"/>
          <w:szCs w:val="16"/>
          <w:lang w:val="lv-LV"/>
        </w:rPr>
        <w:footnoteRef/>
      </w:r>
      <w:r w:rsidRPr="00A00F2A">
        <w:rPr>
          <w:rFonts w:asciiTheme="minorHAnsi" w:hAnsiTheme="minorHAnsi" w:cstheme="minorHAnsi"/>
          <w:sz w:val="16"/>
          <w:szCs w:val="16"/>
          <w:lang w:val="lv-LV"/>
        </w:rPr>
        <w:t xml:space="preserve"> </w:t>
      </w:r>
      <w:r w:rsidRPr="00A00F2A">
        <w:rPr>
          <w:rFonts w:asciiTheme="minorHAnsi" w:hAnsiTheme="minorHAnsi" w:cstheme="minorHAnsi"/>
          <w:sz w:val="16"/>
          <w:szCs w:val="16"/>
          <w:lang w:val="lv-LV"/>
        </w:rPr>
        <w:t xml:space="preserve">Likuma "Par valsts budžetu 2018. gadam" paskaidrojumi. 2. nodaļa Fiskālais apskats. Pieejams: </w:t>
      </w:r>
      <w:r w:rsidRPr="00A00F2A">
        <w:rPr>
          <w:rFonts w:asciiTheme="minorHAnsi" w:hAnsiTheme="minorHAnsi" w:cstheme="minorHAnsi"/>
          <w:i/>
          <w:iCs/>
          <w:sz w:val="16"/>
          <w:szCs w:val="16"/>
          <w:lang w:val="lv-LV"/>
        </w:rPr>
        <w:t>http://www.fm.gov.lv/files/files/FMPask_D_050218_bud2018.pdf</w:t>
      </w:r>
      <w:r w:rsidRPr="00A00F2A">
        <w:rPr>
          <w:rFonts w:asciiTheme="minorHAnsi" w:hAnsiTheme="minorHAnsi" w:cstheme="minorHAnsi"/>
          <w:sz w:val="16"/>
          <w:szCs w:val="16"/>
          <w:lang w:val="lv-LV"/>
        </w:rPr>
        <w:t>, skatīts: 17/04/2020</w:t>
      </w:r>
    </w:p>
  </w:footnote>
  <w:footnote w:id="11">
    <w:p w14:paraId="5799CB35" w14:textId="71C0789A" w:rsidR="00EB0955" w:rsidRPr="00A00F2A" w:rsidRDefault="00EB0955" w:rsidP="00B6363A">
      <w:pPr>
        <w:pStyle w:val="FootnoteText"/>
        <w:rPr>
          <w:sz w:val="16"/>
          <w:szCs w:val="16"/>
          <w:lang w:val="lv-LV"/>
        </w:rPr>
      </w:pPr>
      <w:r w:rsidRPr="00A00F2A">
        <w:rPr>
          <w:rStyle w:val="FootnoteReference"/>
          <w:rFonts w:asciiTheme="minorHAnsi" w:hAnsiTheme="minorHAnsi"/>
          <w:sz w:val="16"/>
          <w:szCs w:val="16"/>
          <w:lang w:val="lv-LV"/>
        </w:rPr>
        <w:footnoteRef/>
      </w:r>
      <w:r w:rsidRPr="00A00F2A">
        <w:rPr>
          <w:rFonts w:asciiTheme="minorHAnsi" w:hAnsiTheme="minorHAnsi"/>
          <w:sz w:val="16"/>
          <w:szCs w:val="16"/>
          <w:lang w:val="lv-LV"/>
        </w:rPr>
        <w:t xml:space="preserve"> </w:t>
      </w:r>
      <w:r w:rsidRPr="00A00F2A">
        <w:rPr>
          <w:rFonts w:asciiTheme="minorHAnsi" w:hAnsiTheme="minorHAnsi"/>
          <w:sz w:val="16"/>
          <w:szCs w:val="16"/>
          <w:lang w:val="lv-LV"/>
        </w:rPr>
        <w:t>Saskaņā ar SIP un FDL, fiskālais rezultāts tiek novērtēts balstoties uz Eiropas kontu sistēmas 2010 (EKS2010) metodoloģiju, kas balstās uz uzkrājumu metodi. Tikmēr tradicionāli Latvijā valsts budžets tiek apstiprināts un novērtēts balstoties uz naudas plūsmas metodi.</w:t>
      </w:r>
      <w:r w:rsidRPr="00A00F2A">
        <w:rPr>
          <w:sz w:val="16"/>
          <w:szCs w:val="16"/>
          <w:lang w:val="lv-LV"/>
        </w:rPr>
        <w:t xml:space="preserve"> </w:t>
      </w:r>
    </w:p>
  </w:footnote>
  <w:footnote w:id="12">
    <w:p w14:paraId="319920B1" w14:textId="3A708013" w:rsidR="00EB0955" w:rsidRPr="00F365E6" w:rsidRDefault="00EB0955">
      <w:pPr>
        <w:pStyle w:val="FootnoteText"/>
        <w:rPr>
          <w:rFonts w:asciiTheme="minorHAnsi" w:hAnsiTheme="minorHAnsi"/>
          <w:sz w:val="16"/>
          <w:szCs w:val="16"/>
        </w:rPr>
      </w:pPr>
      <w:r w:rsidRPr="00F365E6">
        <w:rPr>
          <w:rStyle w:val="FootnoteReference"/>
          <w:rFonts w:asciiTheme="minorHAnsi" w:hAnsiTheme="minorHAnsi"/>
          <w:sz w:val="16"/>
          <w:szCs w:val="16"/>
        </w:rPr>
        <w:footnoteRef/>
      </w:r>
      <w:r w:rsidRPr="00F365E6">
        <w:rPr>
          <w:rFonts w:asciiTheme="minorHAnsi" w:hAnsiTheme="minorHAnsi"/>
          <w:sz w:val="16"/>
          <w:szCs w:val="16"/>
          <w:lang w:val="lv-LV"/>
        </w:rPr>
        <w:t xml:space="preserve"> </w:t>
      </w:r>
      <w:r w:rsidRPr="00F365E6">
        <w:rPr>
          <w:rFonts w:asciiTheme="minorHAnsi" w:hAnsiTheme="minorHAnsi"/>
          <w:sz w:val="16"/>
          <w:szCs w:val="16"/>
          <w:lang w:val="lv-LV"/>
        </w:rPr>
        <w:t xml:space="preserve">Fiskālās disciplīnas padomes pētījums “2018.gada nodokļu reformas rezultāti un kritēriji tālākai nodokļu sistēmas pilnveidošanai”. Pieejams: </w:t>
      </w:r>
      <w:hyperlink r:id="rId6" w:history="1">
        <w:r w:rsidRPr="00F365E6">
          <w:rPr>
            <w:rStyle w:val="Hyperlink"/>
            <w:rFonts w:asciiTheme="minorHAnsi" w:hAnsiTheme="minorHAnsi"/>
            <w:sz w:val="16"/>
            <w:szCs w:val="16"/>
          </w:rPr>
          <w:t>https://fdp.gov.lv/files/uploaded/FDPnodokluzinojumsgalaversija.pdf</w:t>
        </w:r>
      </w:hyperlink>
      <w:r w:rsidRPr="00F365E6">
        <w:rPr>
          <w:rFonts w:asciiTheme="minorHAnsi" w:hAnsiTheme="minorHAnsi"/>
          <w:sz w:val="16"/>
          <w:szCs w:val="16"/>
        </w:rPr>
        <w:t xml:space="preserve">, </w:t>
      </w:r>
      <w:r w:rsidRPr="00F365E6">
        <w:rPr>
          <w:rFonts w:asciiTheme="minorHAnsi" w:hAnsiTheme="minorHAnsi"/>
          <w:sz w:val="16"/>
          <w:szCs w:val="16"/>
          <w:lang w:val="lv-LV"/>
        </w:rPr>
        <w:t xml:space="preserve">skatīts </w:t>
      </w:r>
      <w:r w:rsidRPr="00F365E6">
        <w:rPr>
          <w:rFonts w:asciiTheme="minorHAnsi" w:hAnsiTheme="minorHAnsi"/>
          <w:sz w:val="16"/>
          <w:szCs w:val="16"/>
        </w:rPr>
        <w:t>19/04/2020</w:t>
      </w:r>
    </w:p>
  </w:footnote>
  <w:footnote w:id="13">
    <w:p w14:paraId="64F86F73" w14:textId="47ADE9D2" w:rsidR="00EB0955" w:rsidRPr="00310942" w:rsidRDefault="00EB0955">
      <w:pPr>
        <w:pStyle w:val="FootnoteText"/>
        <w:rPr>
          <w:rFonts w:asciiTheme="minorHAnsi" w:hAnsiTheme="minorHAnsi" w:cstheme="minorHAnsi"/>
          <w:lang w:val="lv-LV"/>
        </w:rPr>
      </w:pPr>
      <w:r>
        <w:rPr>
          <w:rStyle w:val="FootnoteReference"/>
        </w:rPr>
        <w:footnoteRef/>
      </w:r>
      <w:r>
        <w:t xml:space="preserve"> </w:t>
      </w:r>
      <w:r w:rsidRPr="00D831FB">
        <w:rPr>
          <w:rFonts w:asciiTheme="minorHAnsi" w:hAnsiTheme="minorHAnsi" w:cstheme="minorHAnsi"/>
          <w:sz w:val="16"/>
          <w:szCs w:val="16"/>
          <w:lang w:val="lv-LV"/>
        </w:rPr>
        <w:t xml:space="preserve">Piemēram LB 29.09.2020 diskusija par jaunākajām Latvijas IKP un inflācijas prognozēm. Pieejams: </w:t>
      </w:r>
      <w:hyperlink r:id="rId7" w:history="1">
        <w:r w:rsidRPr="00D831FB">
          <w:rPr>
            <w:rStyle w:val="Hyperlink"/>
            <w:rFonts w:asciiTheme="minorHAnsi" w:hAnsiTheme="minorHAnsi" w:cstheme="minorHAnsi"/>
            <w:sz w:val="16"/>
            <w:szCs w:val="16"/>
            <w:lang w:val="lv-LV"/>
          </w:rPr>
          <w:t>https://www.bank.lv/darbibas-jomas/monetaras-politikas-istenosana/prognozes</w:t>
        </w:r>
      </w:hyperlink>
      <w:r w:rsidRPr="00D831FB">
        <w:rPr>
          <w:rFonts w:asciiTheme="minorHAnsi" w:hAnsiTheme="minorHAnsi" w:cstheme="minorHAnsi"/>
          <w:sz w:val="16"/>
          <w:szCs w:val="16"/>
          <w:lang w:val="lv-LV"/>
        </w:rPr>
        <w:t>, skatīts 01/10/2020.</w:t>
      </w:r>
    </w:p>
  </w:footnote>
  <w:footnote w:id="14">
    <w:p w14:paraId="4C154033" w14:textId="1ECFC426" w:rsidR="00EB0955" w:rsidRPr="00F365E6" w:rsidRDefault="00EB0955">
      <w:pPr>
        <w:pStyle w:val="FootnoteText"/>
        <w:rPr>
          <w:rFonts w:asciiTheme="minorHAnsi" w:hAnsiTheme="minorHAnsi" w:cstheme="minorHAnsi"/>
          <w:sz w:val="16"/>
          <w:szCs w:val="16"/>
          <w:vertAlign w:val="subscript"/>
          <w:lang w:val="lv-LV"/>
        </w:rPr>
      </w:pPr>
      <w:r w:rsidRPr="00F365E6">
        <w:rPr>
          <w:rStyle w:val="FootnoteReference"/>
          <w:sz w:val="16"/>
          <w:szCs w:val="16"/>
          <w:vertAlign w:val="subscript"/>
        </w:rPr>
        <w:footnoteRef/>
      </w:r>
      <w:r w:rsidRPr="00D831FB">
        <w:rPr>
          <w:sz w:val="16"/>
          <w:szCs w:val="16"/>
          <w:vertAlign w:val="subscript"/>
          <w:lang w:val="lv-LV"/>
        </w:rPr>
        <w:t xml:space="preserve"> </w:t>
      </w:r>
      <w:r w:rsidRPr="00F365E6">
        <w:rPr>
          <w:rFonts w:asciiTheme="minorHAnsi" w:hAnsiTheme="minorHAnsi" w:cstheme="minorHAnsi"/>
          <w:sz w:val="16"/>
          <w:szCs w:val="16"/>
          <w:vertAlign w:val="subscript"/>
          <w:lang w:val="lv-LV"/>
        </w:rPr>
        <w:t xml:space="preserve">LB 29.09.2020 diskusija par jaunākajām Latvijas IKP un inflācijas prognozēm. Pieejams: </w:t>
      </w:r>
      <w:hyperlink r:id="rId8" w:history="1">
        <w:r w:rsidRPr="00F365E6">
          <w:rPr>
            <w:rStyle w:val="Hyperlink"/>
            <w:rFonts w:asciiTheme="minorHAnsi" w:hAnsiTheme="minorHAnsi" w:cstheme="minorHAnsi"/>
            <w:sz w:val="16"/>
            <w:szCs w:val="16"/>
            <w:vertAlign w:val="subscript"/>
            <w:lang w:val="lv-LV"/>
          </w:rPr>
          <w:t>https://www.bank.lv/darbibas-jomas/monetaras-politikas-istenosana/prognozes</w:t>
        </w:r>
      </w:hyperlink>
      <w:r w:rsidRPr="00F365E6">
        <w:rPr>
          <w:rFonts w:asciiTheme="minorHAnsi" w:hAnsiTheme="minorHAnsi" w:cstheme="minorHAnsi"/>
          <w:sz w:val="16"/>
          <w:szCs w:val="16"/>
          <w:vertAlign w:val="subscript"/>
          <w:lang w:val="lv-LV"/>
        </w:rPr>
        <w:t>, skatīts 01/10/2020.</w:t>
      </w:r>
    </w:p>
  </w:footnote>
  <w:footnote w:id="15">
    <w:p w14:paraId="437A42FD" w14:textId="2E83BF86" w:rsidR="00EB0955" w:rsidRPr="006613B3" w:rsidRDefault="00EB0955">
      <w:pPr>
        <w:pStyle w:val="FootnoteText"/>
        <w:rPr>
          <w:rFonts w:asciiTheme="minorHAnsi" w:hAnsiTheme="minorHAnsi" w:cstheme="minorHAnsi"/>
          <w:lang w:val="lv-LV"/>
        </w:rPr>
      </w:pPr>
      <w:r w:rsidRPr="00F365E6">
        <w:rPr>
          <w:rStyle w:val="FootnoteReference"/>
          <w:sz w:val="16"/>
          <w:szCs w:val="16"/>
          <w:vertAlign w:val="subscript"/>
        </w:rPr>
        <w:footnoteRef/>
      </w:r>
      <w:r w:rsidRPr="00F365E6">
        <w:rPr>
          <w:sz w:val="16"/>
          <w:szCs w:val="16"/>
          <w:vertAlign w:val="subscript"/>
        </w:rPr>
        <w:t xml:space="preserve"> </w:t>
      </w:r>
      <w:r w:rsidRPr="00F365E6">
        <w:rPr>
          <w:rFonts w:asciiTheme="minorHAnsi" w:hAnsiTheme="minorHAnsi" w:cstheme="minorHAnsi"/>
          <w:sz w:val="16"/>
          <w:szCs w:val="16"/>
          <w:vertAlign w:val="subscript"/>
          <w:lang w:val="lv-LV"/>
        </w:rPr>
        <w:t>Saskaņā ar ALTUM sniegto informāciju</w:t>
      </w:r>
    </w:p>
  </w:footnote>
  <w:footnote w:id="16">
    <w:p w14:paraId="4D1414E9" w14:textId="23F32CB0" w:rsidR="00EB0955" w:rsidRPr="00F365E6" w:rsidRDefault="00EB0955">
      <w:pPr>
        <w:pStyle w:val="FootnoteText"/>
        <w:rPr>
          <w:rFonts w:asciiTheme="minorHAnsi" w:hAnsiTheme="minorHAnsi"/>
          <w:sz w:val="16"/>
          <w:szCs w:val="16"/>
          <w:lang w:val="lv-LV"/>
        </w:rPr>
      </w:pPr>
      <w:r w:rsidRPr="00F365E6">
        <w:rPr>
          <w:rStyle w:val="FootnoteReference"/>
          <w:sz w:val="16"/>
          <w:szCs w:val="16"/>
        </w:rPr>
        <w:footnoteRef/>
      </w:r>
      <w:r w:rsidRPr="00F365E6">
        <w:rPr>
          <w:sz w:val="16"/>
          <w:szCs w:val="16"/>
        </w:rPr>
        <w:t xml:space="preserve"> </w:t>
      </w:r>
      <w:hyperlink r:id="rId9" w:history="1">
        <w:r w:rsidRPr="00F365E6">
          <w:rPr>
            <w:rStyle w:val="Hyperlink"/>
            <w:rFonts w:asciiTheme="minorHAnsi" w:hAnsiTheme="minorHAnsi" w:cstheme="minorHAnsi"/>
            <w:sz w:val="16"/>
            <w:szCs w:val="16"/>
          </w:rPr>
          <w:t>https://www.bloomberg.com/news/articles/2020-04-21/as-airlines-scrap-jet-orders-tiny-air-baltic-is-throttling-up?utm_content=business&amp;utm_medium=social&amp;utm_source=twitter&amp;cmpid=socialflow-twitter-business&amp;utm_campaign=socialflow-organic</w:t>
        </w:r>
      </w:hyperlink>
      <w:r w:rsidRPr="00F365E6">
        <w:rPr>
          <w:rFonts w:asciiTheme="minorHAnsi" w:hAnsiTheme="minorHAnsi" w:cstheme="minorHAnsi"/>
          <w:sz w:val="16"/>
          <w:szCs w:val="16"/>
        </w:rPr>
        <w:t xml:space="preserve">, </w:t>
      </w:r>
      <w:r w:rsidRPr="00F365E6">
        <w:rPr>
          <w:rFonts w:asciiTheme="minorHAnsi" w:hAnsiTheme="minorHAnsi" w:cstheme="minorHAnsi"/>
          <w:sz w:val="16"/>
          <w:szCs w:val="16"/>
          <w:lang w:val="lv-LV"/>
        </w:rPr>
        <w:t>skatīts 22/04/2020</w:t>
      </w:r>
    </w:p>
  </w:footnote>
  <w:footnote w:id="17">
    <w:p w14:paraId="03AE6740" w14:textId="77777777" w:rsidR="00EB0955" w:rsidRPr="00462E32" w:rsidRDefault="00EB0955" w:rsidP="00DB5CF6">
      <w:pPr>
        <w:pStyle w:val="FootnoteText"/>
        <w:rPr>
          <w:rFonts w:asciiTheme="minorHAnsi" w:hAnsiTheme="minorHAnsi" w:cstheme="minorHAnsi"/>
          <w:sz w:val="16"/>
          <w:szCs w:val="16"/>
          <w:lang w:val="lv-LV"/>
        </w:rPr>
      </w:pPr>
      <w:r w:rsidRPr="00462E32">
        <w:rPr>
          <w:rStyle w:val="FootnoteReference"/>
          <w:rFonts w:asciiTheme="minorHAnsi" w:hAnsiTheme="minorHAnsi" w:cstheme="minorHAnsi"/>
          <w:sz w:val="16"/>
          <w:szCs w:val="16"/>
        </w:rPr>
        <w:footnoteRef/>
      </w:r>
      <w:r w:rsidRPr="00462E32">
        <w:rPr>
          <w:rFonts w:asciiTheme="minorHAnsi" w:hAnsiTheme="minorHAnsi" w:cstheme="minorHAnsi"/>
          <w:sz w:val="16"/>
          <w:szCs w:val="16"/>
          <w:lang w:val="lv-LV"/>
        </w:rPr>
        <w:t xml:space="preserve"> </w:t>
      </w:r>
      <w:hyperlink r:id="rId10" w:history="1">
        <w:r w:rsidRPr="00462E32">
          <w:rPr>
            <w:rStyle w:val="Hyperlink"/>
            <w:rFonts w:asciiTheme="minorHAnsi" w:hAnsiTheme="minorHAnsi" w:cstheme="minorHAnsi"/>
            <w:sz w:val="16"/>
            <w:szCs w:val="16"/>
            <w:lang w:val="lv-LV"/>
          </w:rPr>
          <w:t>CSP datu matrica [VF020c.] Vispārējās valdības parāds sadalījumā pa apakšsektoriem pa ceturkšņiem perioda beigās (milj. euro).</w:t>
        </w:r>
      </w:hyperlink>
    </w:p>
  </w:footnote>
  <w:footnote w:id="18">
    <w:p w14:paraId="59800FF2" w14:textId="77777777" w:rsidR="00EB0955" w:rsidRPr="00F365E6" w:rsidRDefault="00EB0955" w:rsidP="00DB5CF6">
      <w:pPr>
        <w:pStyle w:val="FootnoteText"/>
        <w:rPr>
          <w:rFonts w:asciiTheme="minorHAnsi" w:hAnsiTheme="minorHAnsi" w:cstheme="minorHAnsi"/>
          <w:sz w:val="16"/>
          <w:szCs w:val="16"/>
        </w:rPr>
      </w:pPr>
      <w:r w:rsidRPr="00F365E6">
        <w:rPr>
          <w:rStyle w:val="FootnoteReference"/>
          <w:rFonts w:asciiTheme="minorHAnsi" w:hAnsiTheme="minorHAnsi" w:cstheme="minorHAnsi"/>
          <w:sz w:val="16"/>
          <w:szCs w:val="16"/>
        </w:rPr>
        <w:footnoteRef/>
      </w:r>
      <w:r w:rsidRPr="00F365E6">
        <w:rPr>
          <w:rFonts w:asciiTheme="minorHAnsi" w:hAnsiTheme="minorHAnsi" w:cstheme="minorHAnsi"/>
          <w:sz w:val="16"/>
          <w:szCs w:val="16"/>
        </w:rPr>
        <w:t xml:space="preserve"> </w:t>
      </w:r>
      <w:hyperlink r:id="rId11" w:history="1">
        <w:r w:rsidRPr="00F365E6">
          <w:rPr>
            <w:rFonts w:asciiTheme="minorHAnsi" w:hAnsiTheme="minorHAnsi" w:cstheme="minorHAnsi"/>
            <w:iCs/>
            <w:sz w:val="16"/>
            <w:szCs w:val="16"/>
          </w:rPr>
          <w:t>OECD Economic Outlook</w:t>
        </w:r>
      </w:hyperlink>
      <w:r w:rsidRPr="00F365E6">
        <w:rPr>
          <w:rFonts w:asciiTheme="minorHAnsi" w:hAnsiTheme="minorHAnsi" w:cstheme="minorHAnsi"/>
          <w:iCs/>
          <w:sz w:val="16"/>
          <w:szCs w:val="16"/>
        </w:rPr>
        <w:t xml:space="preserve"> https://www.oecd.org/economic-outlook/june-2020/?utm_source=facebook&amp;utm_medium=social&amp;utm_campaign=ecooutlookjun2020&amp;utm_content=en&amp;utm_term=pac</w:t>
      </w:r>
    </w:p>
  </w:footnote>
  <w:footnote w:id="19">
    <w:p w14:paraId="20F0AFB3" w14:textId="77777777" w:rsidR="00EB0955" w:rsidRPr="000B4DB8" w:rsidRDefault="00EB0955" w:rsidP="00DB5CF6">
      <w:pPr>
        <w:pStyle w:val="FootnoteText"/>
        <w:rPr>
          <w:sz w:val="16"/>
          <w:szCs w:val="16"/>
        </w:rPr>
      </w:pPr>
      <w:r w:rsidRPr="00F365E6">
        <w:rPr>
          <w:rStyle w:val="FootnoteReference"/>
          <w:sz w:val="16"/>
          <w:szCs w:val="16"/>
        </w:rPr>
        <w:footnoteRef/>
      </w:r>
      <w:r w:rsidRPr="00F365E6">
        <w:rPr>
          <w:sz w:val="16"/>
          <w:szCs w:val="16"/>
        </w:rPr>
        <w:t xml:space="preserve"> </w:t>
      </w:r>
      <w:hyperlink r:id="rId12" w:history="1">
        <w:r w:rsidRPr="00E80565">
          <w:rPr>
            <w:rStyle w:val="Hyperlink"/>
            <w:rFonts w:asciiTheme="minorHAnsi" w:eastAsiaTheme="majorEastAsia" w:hAnsiTheme="minorHAnsi" w:cstheme="minorHAnsi"/>
            <w:sz w:val="16"/>
            <w:szCs w:val="16"/>
          </w:rPr>
          <w:t>https://fdp.gov.lv/files/uploaded/FDP_1_08_278_20200617_Makroekonomikas_prognozes_viedoklis.docx.pdf</w:t>
        </w:r>
      </w:hyperlink>
    </w:p>
  </w:footnote>
  <w:footnote w:id="20">
    <w:p w14:paraId="4C913860" w14:textId="77777777" w:rsidR="00EB0955" w:rsidRPr="00F365E6" w:rsidRDefault="00EB0955" w:rsidP="00DB5CF6">
      <w:pPr>
        <w:pStyle w:val="FootnoteText"/>
        <w:rPr>
          <w:sz w:val="16"/>
          <w:szCs w:val="16"/>
          <w:lang w:val="lv-LV"/>
        </w:rPr>
      </w:pPr>
      <w:r w:rsidRPr="00F365E6">
        <w:rPr>
          <w:rStyle w:val="FootnoteReference"/>
          <w:sz w:val="16"/>
          <w:szCs w:val="16"/>
        </w:rPr>
        <w:footnoteRef/>
      </w:r>
      <w:r w:rsidRPr="00D91C96">
        <w:rPr>
          <w:rFonts w:asciiTheme="minorHAnsi" w:hAnsiTheme="minorHAnsi" w:cstheme="minorHAnsi"/>
          <w:sz w:val="16"/>
          <w:szCs w:val="16"/>
        </w:rPr>
        <w:t xml:space="preserve"> WHO </w:t>
      </w:r>
      <w:hyperlink r:id="rId13" w:history="1">
        <w:r w:rsidRPr="00D91C96">
          <w:rPr>
            <w:rStyle w:val="Hyperlink"/>
            <w:rFonts w:asciiTheme="minorHAnsi" w:hAnsiTheme="minorHAnsi" w:cstheme="minorHAnsi"/>
            <w:bCs/>
            <w:sz w:val="16"/>
            <w:szCs w:val="16"/>
            <w:shd w:val="clear" w:color="auto" w:fill="FFFFFF"/>
          </w:rPr>
          <w:t>WHO Coronavirus Disease (COVID-19) Dashboard</w:t>
        </w:r>
      </w:hyperlink>
      <w:r w:rsidRPr="00D91C96">
        <w:rPr>
          <w:rFonts w:asciiTheme="minorHAnsi" w:hAnsiTheme="minorHAnsi" w:cstheme="minorHAnsi"/>
          <w:sz w:val="16"/>
          <w:szCs w:val="16"/>
        </w:rPr>
        <w:t xml:space="preserve"> [07.10.2020] </w:t>
      </w:r>
      <w:hyperlink r:id="rId14" w:history="1">
        <w:r w:rsidRPr="00D91C96">
          <w:rPr>
            <w:rStyle w:val="Hyperlink"/>
            <w:rFonts w:asciiTheme="minorHAnsi" w:hAnsiTheme="minorHAnsi" w:cstheme="minorHAnsi"/>
            <w:sz w:val="16"/>
            <w:szCs w:val="16"/>
          </w:rPr>
          <w:t>https://covid19.who.int/?gclid=CjwKCAjwzvX7BRAeEiwAsXExo5gbHYH08kwDJHMV_E3nABGjLDNUSeq-XdsSRKTNxp6HqEabC0NyAhoC3V0QAvD_BwE</w:t>
        </w:r>
      </w:hyperlink>
    </w:p>
  </w:footnote>
  <w:footnote w:id="21">
    <w:p w14:paraId="7A2C8640" w14:textId="77777777" w:rsidR="00EB0955" w:rsidRPr="00F365E6" w:rsidRDefault="00EB0955" w:rsidP="00DB5CF6">
      <w:pPr>
        <w:pStyle w:val="FootnoteText"/>
        <w:rPr>
          <w:rFonts w:asciiTheme="minorHAnsi" w:hAnsiTheme="minorHAnsi" w:cstheme="minorHAnsi"/>
          <w:sz w:val="16"/>
          <w:szCs w:val="16"/>
          <w:lang w:val="lv-LV"/>
        </w:rPr>
      </w:pPr>
      <w:r w:rsidRPr="00F365E6">
        <w:rPr>
          <w:rStyle w:val="FootnoteReference"/>
          <w:rFonts w:asciiTheme="minorHAnsi" w:hAnsiTheme="minorHAnsi" w:cstheme="minorHAnsi"/>
          <w:sz w:val="16"/>
          <w:szCs w:val="16"/>
        </w:rPr>
        <w:footnoteRef/>
      </w:r>
      <w:r w:rsidRPr="00F365E6">
        <w:rPr>
          <w:rFonts w:asciiTheme="minorHAnsi" w:hAnsiTheme="minorHAnsi" w:cstheme="minorHAnsi"/>
          <w:sz w:val="16"/>
          <w:szCs w:val="16"/>
        </w:rPr>
        <w:t xml:space="preserve"> ECB staff macroeconomic projections for the euro area, September 2020 </w:t>
      </w:r>
      <w:hyperlink r:id="rId15" w:anchor="toc3" w:history="1">
        <w:r w:rsidRPr="00F365E6">
          <w:rPr>
            <w:rStyle w:val="Hyperlink"/>
            <w:rFonts w:asciiTheme="minorHAnsi" w:hAnsiTheme="minorHAnsi" w:cstheme="minorHAnsi"/>
            <w:sz w:val="16"/>
            <w:szCs w:val="16"/>
          </w:rPr>
          <w:t>https://www.ecb.europa.eu/pub/projections/html/ecb.projections202009_ecbstaff~0940bca288.en.html#toc3</w:t>
        </w:r>
      </w:hyperlink>
    </w:p>
  </w:footnote>
  <w:footnote w:id="22">
    <w:p w14:paraId="19273B1D" w14:textId="77777777" w:rsidR="00EB0955" w:rsidRPr="00951215" w:rsidRDefault="00EB0955" w:rsidP="00DB5CF6">
      <w:pPr>
        <w:pStyle w:val="FootnoteText"/>
        <w:rPr>
          <w:lang w:val="lv-LV"/>
        </w:rPr>
      </w:pPr>
      <w:r w:rsidRPr="00F365E6">
        <w:rPr>
          <w:rStyle w:val="FootnoteReference"/>
          <w:rFonts w:asciiTheme="minorHAnsi" w:hAnsiTheme="minorHAnsi" w:cstheme="minorHAnsi"/>
          <w:sz w:val="16"/>
          <w:szCs w:val="16"/>
        </w:rPr>
        <w:footnoteRef/>
      </w:r>
      <w:r w:rsidRPr="00F365E6">
        <w:rPr>
          <w:rFonts w:asciiTheme="minorHAnsi" w:hAnsiTheme="minorHAnsi" w:cstheme="minorHAnsi"/>
          <w:sz w:val="16"/>
          <w:szCs w:val="16"/>
        </w:rPr>
        <w:t xml:space="preserve"> IMF datamapper </w:t>
      </w:r>
      <w:hyperlink r:id="rId16" w:history="1">
        <w:r w:rsidRPr="00F365E6">
          <w:rPr>
            <w:rStyle w:val="Hyperlink"/>
            <w:rFonts w:asciiTheme="minorHAnsi" w:hAnsiTheme="minorHAnsi" w:cstheme="minorHAnsi"/>
            <w:sz w:val="16"/>
            <w:szCs w:val="16"/>
          </w:rPr>
          <w:t>https://www.imf.org/external/datamapper/NGDP_RPCH@WEO/LVA/EURO</w:t>
        </w:r>
      </w:hyperlink>
    </w:p>
  </w:footnote>
  <w:footnote w:id="23">
    <w:p w14:paraId="111396BD" w14:textId="77777777" w:rsidR="00EB0955" w:rsidRPr="00F365E6" w:rsidRDefault="00EB0955" w:rsidP="00DB5CF6">
      <w:pPr>
        <w:pStyle w:val="FootnoteText"/>
        <w:rPr>
          <w:sz w:val="16"/>
          <w:szCs w:val="16"/>
          <w:lang w:val="lv-LV"/>
        </w:rPr>
      </w:pPr>
      <w:r w:rsidRPr="00F365E6">
        <w:rPr>
          <w:rStyle w:val="FootnoteReference"/>
          <w:sz w:val="16"/>
          <w:szCs w:val="16"/>
        </w:rPr>
        <w:footnoteRef/>
      </w:r>
      <w:r w:rsidRPr="00D831FB">
        <w:rPr>
          <w:sz w:val="16"/>
          <w:szCs w:val="16"/>
          <w:lang w:val="lv-LV"/>
        </w:rPr>
        <w:t xml:space="preserve"> </w:t>
      </w:r>
      <w:r w:rsidRPr="00D831FB">
        <w:rPr>
          <w:sz w:val="16"/>
          <w:szCs w:val="16"/>
          <w:lang w:val="lv-LV"/>
        </w:rPr>
        <w:t xml:space="preserve">Lidosta “Rīga” gadu uzsāk ar iespaidīgu 12,2% pasažieru skaita pieaugumu: </w:t>
      </w:r>
      <w:hyperlink r:id="rId17" w:history="1">
        <w:r w:rsidRPr="00D831FB">
          <w:rPr>
            <w:rStyle w:val="Hyperlink"/>
            <w:i/>
            <w:sz w:val="16"/>
            <w:szCs w:val="16"/>
            <w:lang w:val="lv-LV"/>
          </w:rPr>
          <w:t>https://www.riga-airport.com/preses-telpa/jaunumi/lidosta-riga-gadu-uzsak-ar-iespaidigu-12-2-pasazieru-skaita-pieaugumu</w:t>
        </w:r>
      </w:hyperlink>
    </w:p>
  </w:footnote>
  <w:footnote w:id="24">
    <w:p w14:paraId="378A83E9" w14:textId="77777777" w:rsidR="00EB0955" w:rsidRPr="007F1DB8" w:rsidRDefault="00EB0955" w:rsidP="00DB5CF6">
      <w:pPr>
        <w:pStyle w:val="FootnoteText"/>
        <w:rPr>
          <w:rFonts w:asciiTheme="minorHAnsi" w:hAnsiTheme="minorHAnsi" w:cstheme="minorHAnsi"/>
          <w:sz w:val="16"/>
          <w:szCs w:val="16"/>
          <w:lang w:val="lv-LV"/>
        </w:rPr>
      </w:pPr>
      <w:r w:rsidRPr="007F1DB8">
        <w:rPr>
          <w:rStyle w:val="FootnoteReference"/>
          <w:rFonts w:asciiTheme="minorHAnsi" w:hAnsiTheme="minorHAnsi" w:cstheme="minorHAnsi"/>
          <w:sz w:val="16"/>
          <w:szCs w:val="16"/>
        </w:rPr>
        <w:footnoteRef/>
      </w:r>
      <w:r w:rsidRPr="007F1DB8">
        <w:rPr>
          <w:rFonts w:asciiTheme="minorHAnsi" w:hAnsiTheme="minorHAnsi" w:cstheme="minorHAnsi"/>
          <w:sz w:val="16"/>
          <w:szCs w:val="16"/>
        </w:rPr>
        <w:t xml:space="preserve"> Latvijas ekonomikas siltuma karte </w:t>
      </w:r>
      <w:hyperlink r:id="rId18" w:history="1">
        <w:r w:rsidRPr="007F1DB8">
          <w:rPr>
            <w:rStyle w:val="Hyperlink"/>
            <w:rFonts w:asciiTheme="minorHAnsi" w:hAnsiTheme="minorHAnsi" w:cstheme="minorHAnsi"/>
            <w:sz w:val="16"/>
            <w:szCs w:val="16"/>
          </w:rPr>
          <w:t>https://fdp.gov.lv/ekonomikas-siltuma-karte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948"/>
    <w:multiLevelType w:val="multilevel"/>
    <w:tmpl w:val="0F8E03AC"/>
    <w:lvl w:ilvl="0">
      <w:start w:val="1"/>
      <w:numFmt w:val="decimal"/>
      <w:lvlText w:val="%1."/>
      <w:lvlJc w:val="left"/>
      <w:pPr>
        <w:ind w:left="720" w:hanging="360"/>
      </w:pPr>
      <w:rPr>
        <w:rFonts w:hint="default"/>
        <w:b w:val="0"/>
        <w:bCs/>
      </w:rPr>
    </w:lvl>
    <w:lvl w:ilvl="1">
      <w:start w:val="1"/>
      <w:numFmt w:val="decimal"/>
      <w:lvlText w:val="%1.%2."/>
      <w:lvlJc w:val="left"/>
      <w:pPr>
        <w:ind w:left="720" w:hanging="360"/>
      </w:pPr>
      <w:rPr>
        <w:i w:val="0"/>
        <w:iCs/>
      </w:rPr>
    </w:lvl>
    <w:lvl w:ilvl="2">
      <w:start w:val="1"/>
      <w:numFmt w:val="decimal"/>
      <w:lvlText w:val="%1.%2.%3."/>
      <w:lvlJc w:val="left"/>
      <w:pPr>
        <w:ind w:left="1080" w:hanging="720"/>
      </w:pPr>
      <w:rPr>
        <w:i/>
      </w:rPr>
    </w:lvl>
    <w:lvl w:ilvl="3">
      <w:start w:val="1"/>
      <w:numFmt w:val="decimal"/>
      <w:lvlText w:val="%1.%2.%3.%4."/>
      <w:lvlJc w:val="left"/>
      <w:pPr>
        <w:ind w:left="1080" w:hanging="720"/>
      </w:pPr>
      <w:rPr>
        <w:i/>
      </w:rPr>
    </w:lvl>
    <w:lvl w:ilvl="4">
      <w:start w:val="1"/>
      <w:numFmt w:val="decimal"/>
      <w:lvlText w:val="%1.%2.%3.%4.%5."/>
      <w:lvlJc w:val="left"/>
      <w:pPr>
        <w:ind w:left="1440" w:hanging="1080"/>
      </w:pPr>
      <w:rPr>
        <w:i/>
      </w:rPr>
    </w:lvl>
    <w:lvl w:ilvl="5">
      <w:start w:val="1"/>
      <w:numFmt w:val="decimal"/>
      <w:lvlText w:val="%1.%2.%3.%4.%5.%6."/>
      <w:lvlJc w:val="left"/>
      <w:pPr>
        <w:ind w:left="1440" w:hanging="1080"/>
      </w:pPr>
      <w:rPr>
        <w:i/>
      </w:rPr>
    </w:lvl>
    <w:lvl w:ilvl="6">
      <w:start w:val="1"/>
      <w:numFmt w:val="decimal"/>
      <w:lvlText w:val="%1.%2.%3.%4.%5.%6.%7."/>
      <w:lvlJc w:val="left"/>
      <w:pPr>
        <w:ind w:left="1800" w:hanging="1440"/>
      </w:pPr>
      <w:rPr>
        <w:i/>
      </w:rPr>
    </w:lvl>
    <w:lvl w:ilvl="7">
      <w:start w:val="1"/>
      <w:numFmt w:val="decimal"/>
      <w:lvlText w:val="%1.%2.%3.%4.%5.%6.%7.%8."/>
      <w:lvlJc w:val="left"/>
      <w:pPr>
        <w:ind w:left="1800" w:hanging="1440"/>
      </w:pPr>
      <w:rPr>
        <w:i/>
      </w:rPr>
    </w:lvl>
    <w:lvl w:ilvl="8">
      <w:start w:val="1"/>
      <w:numFmt w:val="decimal"/>
      <w:lvlText w:val="%1.%2.%3.%4.%5.%6.%7.%8.%9."/>
      <w:lvlJc w:val="left"/>
      <w:pPr>
        <w:ind w:left="2160" w:hanging="1800"/>
      </w:pPr>
      <w:rPr>
        <w:i/>
      </w:rPr>
    </w:lvl>
  </w:abstractNum>
  <w:abstractNum w:abstractNumId="1" w15:restartNumberingAfterBreak="0">
    <w:nsid w:val="033235C6"/>
    <w:multiLevelType w:val="hybridMultilevel"/>
    <w:tmpl w:val="3C9C8A70"/>
    <w:lvl w:ilvl="0" w:tplc="4C083190">
      <w:start w:val="1"/>
      <w:numFmt w:val="decimal"/>
      <w:lvlText w:val="%1."/>
      <w:lvlJc w:val="left"/>
      <w:pPr>
        <w:ind w:left="1408" w:hanging="360"/>
      </w:pPr>
      <w:rPr>
        <w:rFonts w:asciiTheme="minorHAnsi" w:hAnsiTheme="minorHAnsi" w:cstheme="minorHAnsi" w:hint="default"/>
        <w:b/>
        <w:i w:val="0"/>
        <w:color w:val="auto"/>
        <w:sz w:val="22"/>
        <w:szCs w:val="22"/>
      </w:rPr>
    </w:lvl>
    <w:lvl w:ilvl="1" w:tplc="04260019" w:tentative="1">
      <w:start w:val="1"/>
      <w:numFmt w:val="lowerLetter"/>
      <w:lvlText w:val="%2."/>
      <w:lvlJc w:val="left"/>
      <w:pPr>
        <w:ind w:left="1495" w:hanging="360"/>
      </w:pPr>
    </w:lvl>
    <w:lvl w:ilvl="2" w:tplc="0426001B" w:tentative="1">
      <w:start w:val="1"/>
      <w:numFmt w:val="lowerRoman"/>
      <w:lvlText w:val="%3."/>
      <w:lvlJc w:val="right"/>
      <w:pPr>
        <w:ind w:left="2215" w:hanging="180"/>
      </w:pPr>
    </w:lvl>
    <w:lvl w:ilvl="3" w:tplc="0426000F" w:tentative="1">
      <w:start w:val="1"/>
      <w:numFmt w:val="decimal"/>
      <w:lvlText w:val="%4."/>
      <w:lvlJc w:val="left"/>
      <w:pPr>
        <w:ind w:left="2935" w:hanging="360"/>
      </w:pPr>
    </w:lvl>
    <w:lvl w:ilvl="4" w:tplc="04260019" w:tentative="1">
      <w:start w:val="1"/>
      <w:numFmt w:val="lowerLetter"/>
      <w:lvlText w:val="%5."/>
      <w:lvlJc w:val="left"/>
      <w:pPr>
        <w:ind w:left="3655" w:hanging="360"/>
      </w:pPr>
    </w:lvl>
    <w:lvl w:ilvl="5" w:tplc="0426001B" w:tentative="1">
      <w:start w:val="1"/>
      <w:numFmt w:val="lowerRoman"/>
      <w:lvlText w:val="%6."/>
      <w:lvlJc w:val="right"/>
      <w:pPr>
        <w:ind w:left="4375" w:hanging="180"/>
      </w:pPr>
    </w:lvl>
    <w:lvl w:ilvl="6" w:tplc="0426000F" w:tentative="1">
      <w:start w:val="1"/>
      <w:numFmt w:val="decimal"/>
      <w:lvlText w:val="%7."/>
      <w:lvlJc w:val="left"/>
      <w:pPr>
        <w:ind w:left="5095" w:hanging="360"/>
      </w:pPr>
    </w:lvl>
    <w:lvl w:ilvl="7" w:tplc="04260019" w:tentative="1">
      <w:start w:val="1"/>
      <w:numFmt w:val="lowerLetter"/>
      <w:lvlText w:val="%8."/>
      <w:lvlJc w:val="left"/>
      <w:pPr>
        <w:ind w:left="5815" w:hanging="360"/>
      </w:pPr>
    </w:lvl>
    <w:lvl w:ilvl="8" w:tplc="0426001B" w:tentative="1">
      <w:start w:val="1"/>
      <w:numFmt w:val="lowerRoman"/>
      <w:lvlText w:val="%9."/>
      <w:lvlJc w:val="right"/>
      <w:pPr>
        <w:ind w:left="6535" w:hanging="180"/>
      </w:pPr>
    </w:lvl>
  </w:abstractNum>
  <w:abstractNum w:abstractNumId="2" w15:restartNumberingAfterBreak="0">
    <w:nsid w:val="0FDC1343"/>
    <w:multiLevelType w:val="hybridMultilevel"/>
    <w:tmpl w:val="4BA67C56"/>
    <w:lvl w:ilvl="0" w:tplc="4C083190">
      <w:start w:val="1"/>
      <w:numFmt w:val="decimal"/>
      <w:lvlText w:val="%1."/>
      <w:lvlJc w:val="left"/>
      <w:pPr>
        <w:ind w:left="1353" w:hanging="360"/>
      </w:pPr>
      <w:rPr>
        <w:rFonts w:asciiTheme="minorHAnsi" w:hAnsiTheme="minorHAnsi" w:cstheme="minorHAnsi" w:hint="default"/>
        <w:b/>
        <w:i w:val="0"/>
        <w:color w:val="auto"/>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F053C9"/>
    <w:multiLevelType w:val="multilevel"/>
    <w:tmpl w:val="A1CCAA5C"/>
    <w:lvl w:ilvl="0">
      <w:start w:val="1"/>
      <w:numFmt w:val="decimal"/>
      <w:lvlText w:val="%1."/>
      <w:lvlJc w:val="left"/>
      <w:pPr>
        <w:ind w:left="1353" w:hanging="360"/>
      </w:pPr>
      <w:rPr>
        <w:rFonts w:asciiTheme="minorHAnsi" w:hAnsiTheme="minorHAnsi" w:cstheme="minorHAnsi" w:hint="default"/>
        <w:b/>
        <w:i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BE24AE"/>
    <w:multiLevelType w:val="hybridMultilevel"/>
    <w:tmpl w:val="A1CCAA5C"/>
    <w:lvl w:ilvl="0" w:tplc="02A4B7D0">
      <w:start w:val="1"/>
      <w:numFmt w:val="decimal"/>
      <w:lvlText w:val="%1."/>
      <w:lvlJc w:val="left"/>
      <w:pPr>
        <w:ind w:left="1353" w:hanging="360"/>
      </w:pPr>
      <w:rPr>
        <w:rFonts w:asciiTheme="minorHAnsi" w:hAnsiTheme="minorHAnsi" w:cstheme="minorHAnsi" w:hint="default"/>
        <w:b/>
        <w:i w:val="0"/>
        <w:color w:val="auto"/>
        <w:sz w:val="22"/>
        <w:szCs w:val="22"/>
      </w:rPr>
    </w:lvl>
    <w:lvl w:ilvl="1" w:tplc="1B923350">
      <w:start w:val="1"/>
      <w:numFmt w:val="lowerLetter"/>
      <w:lvlText w:val="%2."/>
      <w:lvlJc w:val="left"/>
      <w:pPr>
        <w:ind w:left="1440" w:hanging="360"/>
      </w:pPr>
    </w:lvl>
    <w:lvl w:ilvl="2" w:tplc="F06CE2DA">
      <w:start w:val="1"/>
      <w:numFmt w:val="lowerRoman"/>
      <w:lvlText w:val="%3."/>
      <w:lvlJc w:val="right"/>
      <w:pPr>
        <w:ind w:left="2160" w:hanging="180"/>
      </w:pPr>
    </w:lvl>
    <w:lvl w:ilvl="3" w:tplc="6B0ABCEC">
      <w:start w:val="1"/>
      <w:numFmt w:val="decimal"/>
      <w:lvlText w:val="%4."/>
      <w:lvlJc w:val="left"/>
      <w:pPr>
        <w:ind w:left="2880" w:hanging="360"/>
      </w:pPr>
    </w:lvl>
    <w:lvl w:ilvl="4" w:tplc="303CF33E">
      <w:start w:val="1"/>
      <w:numFmt w:val="lowerLetter"/>
      <w:lvlText w:val="%5."/>
      <w:lvlJc w:val="left"/>
      <w:pPr>
        <w:ind w:left="3600" w:hanging="360"/>
      </w:pPr>
    </w:lvl>
    <w:lvl w:ilvl="5" w:tplc="1334F7A8">
      <w:start w:val="1"/>
      <w:numFmt w:val="lowerRoman"/>
      <w:lvlText w:val="%6."/>
      <w:lvlJc w:val="right"/>
      <w:pPr>
        <w:ind w:left="4320" w:hanging="180"/>
      </w:pPr>
    </w:lvl>
    <w:lvl w:ilvl="6" w:tplc="73144F52">
      <w:start w:val="1"/>
      <w:numFmt w:val="decimal"/>
      <w:lvlText w:val="%7."/>
      <w:lvlJc w:val="left"/>
      <w:pPr>
        <w:ind w:left="5040" w:hanging="360"/>
      </w:pPr>
    </w:lvl>
    <w:lvl w:ilvl="7" w:tplc="62DCE7E4">
      <w:start w:val="1"/>
      <w:numFmt w:val="lowerLetter"/>
      <w:lvlText w:val="%8."/>
      <w:lvlJc w:val="left"/>
      <w:pPr>
        <w:ind w:left="5760" w:hanging="360"/>
      </w:pPr>
    </w:lvl>
    <w:lvl w:ilvl="8" w:tplc="B81214AA">
      <w:start w:val="1"/>
      <w:numFmt w:val="lowerRoman"/>
      <w:lvlText w:val="%9."/>
      <w:lvlJc w:val="right"/>
      <w:pPr>
        <w:ind w:left="6480" w:hanging="180"/>
      </w:pPr>
    </w:lvl>
  </w:abstractNum>
  <w:abstractNum w:abstractNumId="5" w15:restartNumberingAfterBreak="0">
    <w:nsid w:val="20B9060D"/>
    <w:multiLevelType w:val="multilevel"/>
    <w:tmpl w:val="8A986410"/>
    <w:lvl w:ilvl="0">
      <w:start w:val="1"/>
      <w:numFmt w:val="decimal"/>
      <w:lvlText w:val="%1."/>
      <w:lvlJc w:val="left"/>
      <w:pPr>
        <w:ind w:left="720" w:hanging="360"/>
      </w:pPr>
      <w:rPr>
        <w:rFonts w:hint="default"/>
        <w:b w:val="0"/>
        <w:bCs/>
      </w:rPr>
    </w:lvl>
    <w:lvl w:ilvl="1">
      <w:start w:val="1"/>
      <w:numFmt w:val="decimal"/>
      <w:lvlText w:val="%1.%2."/>
      <w:lvlJc w:val="left"/>
      <w:pPr>
        <w:ind w:left="720" w:hanging="360"/>
      </w:pPr>
      <w:rPr>
        <w:i w:val="0"/>
        <w:iCs/>
      </w:rPr>
    </w:lvl>
    <w:lvl w:ilvl="2">
      <w:start w:val="1"/>
      <w:numFmt w:val="decimal"/>
      <w:lvlText w:val="%1.%2.%3."/>
      <w:lvlJc w:val="left"/>
      <w:pPr>
        <w:ind w:left="1080" w:hanging="720"/>
      </w:pPr>
      <w:rPr>
        <w:i/>
      </w:rPr>
    </w:lvl>
    <w:lvl w:ilvl="3">
      <w:start w:val="1"/>
      <w:numFmt w:val="decimal"/>
      <w:lvlText w:val="%1.%2.%3.%4."/>
      <w:lvlJc w:val="left"/>
      <w:pPr>
        <w:ind w:left="1080" w:hanging="720"/>
      </w:pPr>
      <w:rPr>
        <w:i/>
      </w:rPr>
    </w:lvl>
    <w:lvl w:ilvl="4">
      <w:start w:val="1"/>
      <w:numFmt w:val="decimal"/>
      <w:lvlText w:val="%1.%2.%3.%4.%5."/>
      <w:lvlJc w:val="left"/>
      <w:pPr>
        <w:ind w:left="1440" w:hanging="1080"/>
      </w:pPr>
      <w:rPr>
        <w:i/>
      </w:rPr>
    </w:lvl>
    <w:lvl w:ilvl="5">
      <w:start w:val="1"/>
      <w:numFmt w:val="decimal"/>
      <w:lvlText w:val="%1.%2.%3.%4.%5.%6."/>
      <w:lvlJc w:val="left"/>
      <w:pPr>
        <w:ind w:left="1440" w:hanging="1080"/>
      </w:pPr>
      <w:rPr>
        <w:i/>
      </w:rPr>
    </w:lvl>
    <w:lvl w:ilvl="6">
      <w:start w:val="1"/>
      <w:numFmt w:val="decimal"/>
      <w:lvlText w:val="%1.%2.%3.%4.%5.%6.%7."/>
      <w:lvlJc w:val="left"/>
      <w:pPr>
        <w:ind w:left="1800" w:hanging="1440"/>
      </w:pPr>
      <w:rPr>
        <w:i/>
      </w:rPr>
    </w:lvl>
    <w:lvl w:ilvl="7">
      <w:start w:val="1"/>
      <w:numFmt w:val="decimal"/>
      <w:lvlText w:val="%1.%2.%3.%4.%5.%6.%7.%8."/>
      <w:lvlJc w:val="left"/>
      <w:pPr>
        <w:ind w:left="1800" w:hanging="1440"/>
      </w:pPr>
      <w:rPr>
        <w:i/>
      </w:rPr>
    </w:lvl>
    <w:lvl w:ilvl="8">
      <w:start w:val="1"/>
      <w:numFmt w:val="decimal"/>
      <w:lvlText w:val="%1.%2.%3.%4.%5.%6.%7.%8.%9."/>
      <w:lvlJc w:val="left"/>
      <w:pPr>
        <w:ind w:left="2160" w:hanging="1800"/>
      </w:pPr>
      <w:rPr>
        <w:i/>
      </w:rPr>
    </w:lvl>
  </w:abstractNum>
  <w:abstractNum w:abstractNumId="6" w15:restartNumberingAfterBreak="0">
    <w:nsid w:val="28E33D50"/>
    <w:multiLevelType w:val="hybridMultilevel"/>
    <w:tmpl w:val="AD9A5960"/>
    <w:lvl w:ilvl="0" w:tplc="4C083190">
      <w:start w:val="1"/>
      <w:numFmt w:val="decimal"/>
      <w:lvlText w:val="%1."/>
      <w:lvlJc w:val="left"/>
      <w:pPr>
        <w:ind w:left="1353" w:hanging="360"/>
      </w:pPr>
      <w:rPr>
        <w:rFonts w:asciiTheme="minorHAnsi" w:hAnsiTheme="minorHAnsi" w:cstheme="minorHAnsi" w:hint="default"/>
        <w:b/>
        <w:i w:val="0"/>
        <w:color w:val="auto"/>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553D4D"/>
    <w:multiLevelType w:val="hybridMultilevel"/>
    <w:tmpl w:val="E848A860"/>
    <w:lvl w:ilvl="0" w:tplc="4C083190">
      <w:start w:val="1"/>
      <w:numFmt w:val="decimal"/>
      <w:lvlText w:val="%1."/>
      <w:lvlJc w:val="left"/>
      <w:pPr>
        <w:ind w:left="1353" w:hanging="360"/>
      </w:pPr>
      <w:rPr>
        <w:rFonts w:asciiTheme="minorHAnsi" w:hAnsiTheme="minorHAnsi" w:cstheme="minorHAnsi" w:hint="default"/>
        <w:b/>
        <w:i w:val="0"/>
        <w:color w:val="auto"/>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6E81D2C"/>
    <w:multiLevelType w:val="hybridMultilevel"/>
    <w:tmpl w:val="1276AC78"/>
    <w:lvl w:ilvl="0" w:tplc="4C083190">
      <w:start w:val="1"/>
      <w:numFmt w:val="decimal"/>
      <w:lvlText w:val="%1."/>
      <w:lvlJc w:val="left"/>
      <w:pPr>
        <w:ind w:left="502" w:hanging="360"/>
      </w:pPr>
      <w:rPr>
        <w:rFonts w:asciiTheme="minorHAnsi" w:hAnsiTheme="minorHAnsi" w:cstheme="minorHAnsi" w:hint="default"/>
        <w:b/>
        <w:i w:val="0"/>
        <w:color w:val="auto"/>
        <w:sz w:val="22"/>
        <w:szCs w:val="22"/>
      </w:rPr>
    </w:lvl>
    <w:lvl w:ilvl="1" w:tplc="CD2E15EA">
      <w:start w:val="1"/>
      <w:numFmt w:val="lowerLetter"/>
      <w:lvlText w:val="%2."/>
      <w:lvlJc w:val="left"/>
      <w:pPr>
        <w:ind w:left="1440" w:hanging="360"/>
      </w:pPr>
    </w:lvl>
    <w:lvl w:ilvl="2" w:tplc="21B6918A">
      <w:start w:val="1"/>
      <w:numFmt w:val="lowerRoman"/>
      <w:lvlText w:val="%3."/>
      <w:lvlJc w:val="right"/>
      <w:pPr>
        <w:ind w:left="2160" w:hanging="180"/>
      </w:pPr>
    </w:lvl>
    <w:lvl w:ilvl="3" w:tplc="D85CFCF4">
      <w:start w:val="1"/>
      <w:numFmt w:val="decimal"/>
      <w:lvlText w:val="%4."/>
      <w:lvlJc w:val="left"/>
      <w:pPr>
        <w:ind w:left="2880" w:hanging="360"/>
      </w:pPr>
    </w:lvl>
    <w:lvl w:ilvl="4" w:tplc="C7B87096">
      <w:start w:val="1"/>
      <w:numFmt w:val="lowerLetter"/>
      <w:lvlText w:val="%5."/>
      <w:lvlJc w:val="left"/>
      <w:pPr>
        <w:ind w:left="3600" w:hanging="360"/>
      </w:pPr>
    </w:lvl>
    <w:lvl w:ilvl="5" w:tplc="BCBE5638">
      <w:start w:val="1"/>
      <w:numFmt w:val="lowerRoman"/>
      <w:lvlText w:val="%6."/>
      <w:lvlJc w:val="right"/>
      <w:pPr>
        <w:ind w:left="4320" w:hanging="180"/>
      </w:pPr>
    </w:lvl>
    <w:lvl w:ilvl="6" w:tplc="0478E08A">
      <w:start w:val="1"/>
      <w:numFmt w:val="decimal"/>
      <w:lvlText w:val="%7."/>
      <w:lvlJc w:val="left"/>
      <w:pPr>
        <w:ind w:left="5040" w:hanging="360"/>
      </w:pPr>
    </w:lvl>
    <w:lvl w:ilvl="7" w:tplc="9ECA4B46">
      <w:start w:val="1"/>
      <w:numFmt w:val="lowerLetter"/>
      <w:lvlText w:val="%8."/>
      <w:lvlJc w:val="left"/>
      <w:pPr>
        <w:ind w:left="5760" w:hanging="360"/>
      </w:pPr>
    </w:lvl>
    <w:lvl w:ilvl="8" w:tplc="3A60D4B6">
      <w:start w:val="1"/>
      <w:numFmt w:val="lowerRoman"/>
      <w:lvlText w:val="%9."/>
      <w:lvlJc w:val="right"/>
      <w:pPr>
        <w:ind w:left="6480" w:hanging="180"/>
      </w:pPr>
    </w:lvl>
  </w:abstractNum>
  <w:abstractNum w:abstractNumId="9" w15:restartNumberingAfterBreak="0">
    <w:nsid w:val="37AF6719"/>
    <w:multiLevelType w:val="hybridMultilevel"/>
    <w:tmpl w:val="FAD67F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BE5F31"/>
    <w:multiLevelType w:val="hybridMultilevel"/>
    <w:tmpl w:val="B438463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4B7935B8"/>
    <w:multiLevelType w:val="hybridMultilevel"/>
    <w:tmpl w:val="2EE2D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E67060B"/>
    <w:multiLevelType w:val="hybridMultilevel"/>
    <w:tmpl w:val="0E147648"/>
    <w:lvl w:ilvl="0" w:tplc="4C083190">
      <w:start w:val="1"/>
      <w:numFmt w:val="decimal"/>
      <w:lvlText w:val="%1."/>
      <w:lvlJc w:val="left"/>
      <w:pPr>
        <w:ind w:left="1353" w:hanging="360"/>
      </w:pPr>
      <w:rPr>
        <w:rFonts w:asciiTheme="minorHAnsi" w:hAnsiTheme="minorHAnsi" w:cstheme="minorHAnsi" w:hint="default"/>
        <w:b/>
        <w:i w:val="0"/>
        <w:color w:val="auto"/>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44F22D7"/>
    <w:multiLevelType w:val="hybridMultilevel"/>
    <w:tmpl w:val="AA7E44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576F760B"/>
    <w:multiLevelType w:val="multilevel"/>
    <w:tmpl w:val="A1CCAA5C"/>
    <w:lvl w:ilvl="0">
      <w:start w:val="1"/>
      <w:numFmt w:val="decimal"/>
      <w:lvlText w:val="%1."/>
      <w:lvlJc w:val="left"/>
      <w:pPr>
        <w:ind w:left="1353" w:hanging="360"/>
      </w:pPr>
      <w:rPr>
        <w:rFonts w:asciiTheme="minorHAnsi" w:hAnsiTheme="minorHAnsi" w:cstheme="minorHAnsi" w:hint="default"/>
        <w:b/>
        <w:i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B20EF2"/>
    <w:multiLevelType w:val="multilevel"/>
    <w:tmpl w:val="0F8E03AC"/>
    <w:lvl w:ilvl="0">
      <w:start w:val="1"/>
      <w:numFmt w:val="decimal"/>
      <w:lvlText w:val="%1."/>
      <w:lvlJc w:val="left"/>
      <w:pPr>
        <w:ind w:left="720" w:hanging="360"/>
      </w:pPr>
      <w:rPr>
        <w:rFonts w:hint="default"/>
        <w:b w:val="0"/>
        <w:bCs/>
      </w:rPr>
    </w:lvl>
    <w:lvl w:ilvl="1">
      <w:start w:val="1"/>
      <w:numFmt w:val="decimal"/>
      <w:lvlText w:val="%1.%2."/>
      <w:lvlJc w:val="left"/>
      <w:pPr>
        <w:ind w:left="720" w:hanging="360"/>
      </w:pPr>
      <w:rPr>
        <w:i w:val="0"/>
        <w:iCs/>
      </w:rPr>
    </w:lvl>
    <w:lvl w:ilvl="2">
      <w:start w:val="1"/>
      <w:numFmt w:val="decimal"/>
      <w:lvlText w:val="%1.%2.%3."/>
      <w:lvlJc w:val="left"/>
      <w:pPr>
        <w:ind w:left="1080" w:hanging="720"/>
      </w:pPr>
      <w:rPr>
        <w:i/>
      </w:rPr>
    </w:lvl>
    <w:lvl w:ilvl="3">
      <w:start w:val="1"/>
      <w:numFmt w:val="decimal"/>
      <w:lvlText w:val="%1.%2.%3.%4."/>
      <w:lvlJc w:val="left"/>
      <w:pPr>
        <w:ind w:left="1080" w:hanging="720"/>
      </w:pPr>
      <w:rPr>
        <w:i/>
      </w:rPr>
    </w:lvl>
    <w:lvl w:ilvl="4">
      <w:start w:val="1"/>
      <w:numFmt w:val="decimal"/>
      <w:lvlText w:val="%1.%2.%3.%4.%5."/>
      <w:lvlJc w:val="left"/>
      <w:pPr>
        <w:ind w:left="1440" w:hanging="1080"/>
      </w:pPr>
      <w:rPr>
        <w:i/>
      </w:rPr>
    </w:lvl>
    <w:lvl w:ilvl="5">
      <w:start w:val="1"/>
      <w:numFmt w:val="decimal"/>
      <w:lvlText w:val="%1.%2.%3.%4.%5.%6."/>
      <w:lvlJc w:val="left"/>
      <w:pPr>
        <w:ind w:left="1440" w:hanging="1080"/>
      </w:pPr>
      <w:rPr>
        <w:i/>
      </w:rPr>
    </w:lvl>
    <w:lvl w:ilvl="6">
      <w:start w:val="1"/>
      <w:numFmt w:val="decimal"/>
      <w:lvlText w:val="%1.%2.%3.%4.%5.%6.%7."/>
      <w:lvlJc w:val="left"/>
      <w:pPr>
        <w:ind w:left="1800" w:hanging="1440"/>
      </w:pPr>
      <w:rPr>
        <w:i/>
      </w:rPr>
    </w:lvl>
    <w:lvl w:ilvl="7">
      <w:start w:val="1"/>
      <w:numFmt w:val="decimal"/>
      <w:lvlText w:val="%1.%2.%3.%4.%5.%6.%7.%8."/>
      <w:lvlJc w:val="left"/>
      <w:pPr>
        <w:ind w:left="1800" w:hanging="1440"/>
      </w:pPr>
      <w:rPr>
        <w:i/>
      </w:rPr>
    </w:lvl>
    <w:lvl w:ilvl="8">
      <w:start w:val="1"/>
      <w:numFmt w:val="decimal"/>
      <w:lvlText w:val="%1.%2.%3.%4.%5.%6.%7.%8.%9."/>
      <w:lvlJc w:val="left"/>
      <w:pPr>
        <w:ind w:left="2160" w:hanging="1800"/>
      </w:pPr>
      <w:rPr>
        <w:i/>
      </w:rPr>
    </w:lvl>
  </w:abstractNum>
  <w:abstractNum w:abstractNumId="16" w15:restartNumberingAfterBreak="0">
    <w:nsid w:val="5BE2319A"/>
    <w:multiLevelType w:val="hybridMultilevel"/>
    <w:tmpl w:val="2B220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AC1DD5"/>
    <w:multiLevelType w:val="hybridMultilevel"/>
    <w:tmpl w:val="577C8102"/>
    <w:lvl w:ilvl="0" w:tplc="A288C8FC">
      <w:start w:val="1"/>
      <w:numFmt w:val="decimal"/>
      <w:lvlText w:val="%1."/>
      <w:lvlJc w:val="left"/>
      <w:pPr>
        <w:ind w:left="720" w:hanging="360"/>
      </w:pPr>
    </w:lvl>
    <w:lvl w:ilvl="1" w:tplc="25C08D30">
      <w:start w:val="1"/>
      <w:numFmt w:val="lowerLetter"/>
      <w:lvlText w:val="%2."/>
      <w:lvlJc w:val="left"/>
      <w:pPr>
        <w:ind w:left="1440" w:hanging="360"/>
      </w:pPr>
    </w:lvl>
    <w:lvl w:ilvl="2" w:tplc="0C5EE50C">
      <w:start w:val="1"/>
      <w:numFmt w:val="lowerRoman"/>
      <w:lvlText w:val="%3."/>
      <w:lvlJc w:val="right"/>
      <w:pPr>
        <w:ind w:left="2160" w:hanging="180"/>
      </w:pPr>
    </w:lvl>
    <w:lvl w:ilvl="3" w:tplc="8E32A0A8">
      <w:start w:val="1"/>
      <w:numFmt w:val="decimal"/>
      <w:lvlText w:val="%4."/>
      <w:lvlJc w:val="left"/>
      <w:pPr>
        <w:ind w:left="2880" w:hanging="360"/>
      </w:pPr>
    </w:lvl>
    <w:lvl w:ilvl="4" w:tplc="C32CFAB2">
      <w:start w:val="1"/>
      <w:numFmt w:val="lowerLetter"/>
      <w:lvlText w:val="%5."/>
      <w:lvlJc w:val="left"/>
      <w:pPr>
        <w:ind w:left="3600" w:hanging="360"/>
      </w:pPr>
    </w:lvl>
    <w:lvl w:ilvl="5" w:tplc="1AAC9DAA">
      <w:start w:val="1"/>
      <w:numFmt w:val="lowerRoman"/>
      <w:lvlText w:val="%6."/>
      <w:lvlJc w:val="right"/>
      <w:pPr>
        <w:ind w:left="4320" w:hanging="180"/>
      </w:pPr>
    </w:lvl>
    <w:lvl w:ilvl="6" w:tplc="0918371E">
      <w:start w:val="1"/>
      <w:numFmt w:val="decimal"/>
      <w:lvlText w:val="%7."/>
      <w:lvlJc w:val="left"/>
      <w:pPr>
        <w:ind w:left="5040" w:hanging="360"/>
      </w:pPr>
    </w:lvl>
    <w:lvl w:ilvl="7" w:tplc="FA8EA70C">
      <w:start w:val="1"/>
      <w:numFmt w:val="lowerLetter"/>
      <w:lvlText w:val="%8."/>
      <w:lvlJc w:val="left"/>
      <w:pPr>
        <w:ind w:left="5760" w:hanging="360"/>
      </w:pPr>
    </w:lvl>
    <w:lvl w:ilvl="8" w:tplc="14FA00A4">
      <w:start w:val="1"/>
      <w:numFmt w:val="lowerRoman"/>
      <w:lvlText w:val="%9."/>
      <w:lvlJc w:val="right"/>
      <w:pPr>
        <w:ind w:left="6480" w:hanging="180"/>
      </w:pPr>
    </w:lvl>
  </w:abstractNum>
  <w:abstractNum w:abstractNumId="18" w15:restartNumberingAfterBreak="0">
    <w:nsid w:val="6A9942E9"/>
    <w:multiLevelType w:val="hybridMultilevel"/>
    <w:tmpl w:val="F4FC17AC"/>
    <w:lvl w:ilvl="0" w:tplc="A12A5F34">
      <w:start w:val="39"/>
      <w:numFmt w:val="decimal"/>
      <w:lvlText w:val="%1."/>
      <w:lvlJc w:val="left"/>
      <w:pPr>
        <w:ind w:left="720" w:hanging="360"/>
      </w:pPr>
      <w:rPr>
        <w:rFonts w:asciiTheme="minorHAnsi" w:hAnsiTheme="minorHAnsi" w:cstheme="minorHAnsi"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0A06D20"/>
    <w:multiLevelType w:val="hybridMultilevel"/>
    <w:tmpl w:val="8912F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841951"/>
    <w:multiLevelType w:val="hybridMultilevel"/>
    <w:tmpl w:val="DCAE8D66"/>
    <w:lvl w:ilvl="0" w:tplc="04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24643A0"/>
    <w:multiLevelType w:val="hybridMultilevel"/>
    <w:tmpl w:val="DCAE8D66"/>
    <w:lvl w:ilvl="0" w:tplc="04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8CB614D"/>
    <w:multiLevelType w:val="hybridMultilevel"/>
    <w:tmpl w:val="66740482"/>
    <w:lvl w:ilvl="0" w:tplc="413C00E4">
      <w:start w:val="5"/>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8"/>
  </w:num>
  <w:num w:numId="3">
    <w:abstractNumId w:val="0"/>
  </w:num>
  <w:num w:numId="4">
    <w:abstractNumId w:val="19"/>
  </w:num>
  <w:num w:numId="5">
    <w:abstractNumId w:val="21"/>
  </w:num>
  <w:num w:numId="6">
    <w:abstractNumId w:val="20"/>
  </w:num>
  <w:num w:numId="7">
    <w:abstractNumId w:val="16"/>
  </w:num>
  <w:num w:numId="8">
    <w:abstractNumId w:val="15"/>
  </w:num>
  <w:num w:numId="9">
    <w:abstractNumId w:val="5"/>
  </w:num>
  <w:num w:numId="10">
    <w:abstractNumId w:val="11"/>
  </w:num>
  <w:num w:numId="11">
    <w:abstractNumId w:val="6"/>
  </w:num>
  <w:num w:numId="12">
    <w:abstractNumId w:val="13"/>
  </w:num>
  <w:num w:numId="13">
    <w:abstractNumId w:val="10"/>
  </w:num>
  <w:num w:numId="14">
    <w:abstractNumId w:val="14"/>
  </w:num>
  <w:num w:numId="15">
    <w:abstractNumId w:val="4"/>
  </w:num>
  <w:num w:numId="16">
    <w:abstractNumId w:val="3"/>
  </w:num>
  <w:num w:numId="17">
    <w:abstractNumId w:val="7"/>
  </w:num>
  <w:num w:numId="18">
    <w:abstractNumId w:val="12"/>
  </w:num>
  <w:num w:numId="19">
    <w:abstractNumId w:val="1"/>
  </w:num>
  <w:num w:numId="20">
    <w:abstractNumId w:val="2"/>
  </w:num>
  <w:num w:numId="21">
    <w:abstractNumId w:val="9"/>
  </w:num>
  <w:num w:numId="22">
    <w:abstractNumId w:val="22"/>
  </w:num>
  <w:num w:numId="2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A5F"/>
    <w:rsid w:val="00001AF1"/>
    <w:rsid w:val="0000682E"/>
    <w:rsid w:val="000107A4"/>
    <w:rsid w:val="000109A2"/>
    <w:rsid w:val="00011054"/>
    <w:rsid w:val="000122B6"/>
    <w:rsid w:val="00012CAC"/>
    <w:rsid w:val="00013480"/>
    <w:rsid w:val="00015043"/>
    <w:rsid w:val="0001608C"/>
    <w:rsid w:val="000169CD"/>
    <w:rsid w:val="00017DDB"/>
    <w:rsid w:val="00021BAC"/>
    <w:rsid w:val="00023F0D"/>
    <w:rsid w:val="0003090A"/>
    <w:rsid w:val="00030FF4"/>
    <w:rsid w:val="00031648"/>
    <w:rsid w:val="00034400"/>
    <w:rsid w:val="00034E50"/>
    <w:rsid w:val="000369ED"/>
    <w:rsid w:val="0004026F"/>
    <w:rsid w:val="000448C7"/>
    <w:rsid w:val="00044F35"/>
    <w:rsid w:val="00045340"/>
    <w:rsid w:val="00045F09"/>
    <w:rsid w:val="00046051"/>
    <w:rsid w:val="00046ABF"/>
    <w:rsid w:val="00047AC8"/>
    <w:rsid w:val="00050132"/>
    <w:rsid w:val="00050864"/>
    <w:rsid w:val="00052B1F"/>
    <w:rsid w:val="00052DA5"/>
    <w:rsid w:val="000579B7"/>
    <w:rsid w:val="00057D0D"/>
    <w:rsid w:val="0006100A"/>
    <w:rsid w:val="000619DB"/>
    <w:rsid w:val="0006276C"/>
    <w:rsid w:val="000635B5"/>
    <w:rsid w:val="000637F7"/>
    <w:rsid w:val="000639BC"/>
    <w:rsid w:val="000661C1"/>
    <w:rsid w:val="000663A6"/>
    <w:rsid w:val="0006649C"/>
    <w:rsid w:val="000665B0"/>
    <w:rsid w:val="00074583"/>
    <w:rsid w:val="00076C94"/>
    <w:rsid w:val="00077427"/>
    <w:rsid w:val="000823E5"/>
    <w:rsid w:val="00082ADC"/>
    <w:rsid w:val="000838EF"/>
    <w:rsid w:val="00083B9E"/>
    <w:rsid w:val="00085597"/>
    <w:rsid w:val="0008653D"/>
    <w:rsid w:val="00086B0D"/>
    <w:rsid w:val="00086BC0"/>
    <w:rsid w:val="00087E29"/>
    <w:rsid w:val="00090F83"/>
    <w:rsid w:val="0009130B"/>
    <w:rsid w:val="00092080"/>
    <w:rsid w:val="0009516C"/>
    <w:rsid w:val="00095FC0"/>
    <w:rsid w:val="0009752F"/>
    <w:rsid w:val="000A079D"/>
    <w:rsid w:val="000A2B7E"/>
    <w:rsid w:val="000A31F9"/>
    <w:rsid w:val="000A3F5C"/>
    <w:rsid w:val="000A4BE7"/>
    <w:rsid w:val="000A6081"/>
    <w:rsid w:val="000B07CA"/>
    <w:rsid w:val="000B161D"/>
    <w:rsid w:val="000B1B94"/>
    <w:rsid w:val="000B21BC"/>
    <w:rsid w:val="000B2359"/>
    <w:rsid w:val="000B4064"/>
    <w:rsid w:val="000B4B3E"/>
    <w:rsid w:val="000B57B8"/>
    <w:rsid w:val="000B5C72"/>
    <w:rsid w:val="000B5DCF"/>
    <w:rsid w:val="000B7732"/>
    <w:rsid w:val="000C0040"/>
    <w:rsid w:val="000C15A1"/>
    <w:rsid w:val="000C1683"/>
    <w:rsid w:val="000C2371"/>
    <w:rsid w:val="000C2A52"/>
    <w:rsid w:val="000C5261"/>
    <w:rsid w:val="000C5527"/>
    <w:rsid w:val="000C5760"/>
    <w:rsid w:val="000C6E89"/>
    <w:rsid w:val="000C6EC5"/>
    <w:rsid w:val="000C7CCA"/>
    <w:rsid w:val="000D133B"/>
    <w:rsid w:val="000D1A3C"/>
    <w:rsid w:val="000D1CE6"/>
    <w:rsid w:val="000D2EA6"/>
    <w:rsid w:val="000D2FFF"/>
    <w:rsid w:val="000D3A35"/>
    <w:rsid w:val="000D4DB6"/>
    <w:rsid w:val="000D50B6"/>
    <w:rsid w:val="000D5E3B"/>
    <w:rsid w:val="000D63DE"/>
    <w:rsid w:val="000D666D"/>
    <w:rsid w:val="000D6920"/>
    <w:rsid w:val="000D7E8C"/>
    <w:rsid w:val="000E0CA4"/>
    <w:rsid w:val="000E1246"/>
    <w:rsid w:val="000E35CB"/>
    <w:rsid w:val="000E369C"/>
    <w:rsid w:val="000E3C2D"/>
    <w:rsid w:val="000E5579"/>
    <w:rsid w:val="000E5F4A"/>
    <w:rsid w:val="000E5FD7"/>
    <w:rsid w:val="000F00BF"/>
    <w:rsid w:val="000F02B7"/>
    <w:rsid w:val="000F1D5F"/>
    <w:rsid w:val="000F2EC5"/>
    <w:rsid w:val="000F3D5D"/>
    <w:rsid w:val="000F5825"/>
    <w:rsid w:val="000F5A0D"/>
    <w:rsid w:val="000F611F"/>
    <w:rsid w:val="000F6DF3"/>
    <w:rsid w:val="000F775D"/>
    <w:rsid w:val="0010004E"/>
    <w:rsid w:val="001011B9"/>
    <w:rsid w:val="00101F74"/>
    <w:rsid w:val="001026A6"/>
    <w:rsid w:val="00103C0E"/>
    <w:rsid w:val="0010452B"/>
    <w:rsid w:val="00106783"/>
    <w:rsid w:val="00106A4D"/>
    <w:rsid w:val="001071FC"/>
    <w:rsid w:val="00107D38"/>
    <w:rsid w:val="0011082A"/>
    <w:rsid w:val="00110F78"/>
    <w:rsid w:val="001131B1"/>
    <w:rsid w:val="001137C8"/>
    <w:rsid w:val="00113F6D"/>
    <w:rsid w:val="001150F9"/>
    <w:rsid w:val="0011548F"/>
    <w:rsid w:val="00117313"/>
    <w:rsid w:val="001178A0"/>
    <w:rsid w:val="00117BC1"/>
    <w:rsid w:val="00120CDD"/>
    <w:rsid w:val="0012119C"/>
    <w:rsid w:val="00121DC3"/>
    <w:rsid w:val="00122112"/>
    <w:rsid w:val="001233F4"/>
    <w:rsid w:val="00123E1A"/>
    <w:rsid w:val="00126C01"/>
    <w:rsid w:val="00126F91"/>
    <w:rsid w:val="00127599"/>
    <w:rsid w:val="001312C2"/>
    <w:rsid w:val="0013147D"/>
    <w:rsid w:val="001371FE"/>
    <w:rsid w:val="00137809"/>
    <w:rsid w:val="001426D4"/>
    <w:rsid w:val="001428F5"/>
    <w:rsid w:val="0014371B"/>
    <w:rsid w:val="00143DA3"/>
    <w:rsid w:val="0014582E"/>
    <w:rsid w:val="00145B02"/>
    <w:rsid w:val="00146B92"/>
    <w:rsid w:val="00150901"/>
    <w:rsid w:val="00150ABB"/>
    <w:rsid w:val="00150FCD"/>
    <w:rsid w:val="00151487"/>
    <w:rsid w:val="0015283F"/>
    <w:rsid w:val="00153567"/>
    <w:rsid w:val="00154A90"/>
    <w:rsid w:val="0015532F"/>
    <w:rsid w:val="00157CFA"/>
    <w:rsid w:val="001601D7"/>
    <w:rsid w:val="00161782"/>
    <w:rsid w:val="001620DE"/>
    <w:rsid w:val="00162407"/>
    <w:rsid w:val="001627DD"/>
    <w:rsid w:val="001631B9"/>
    <w:rsid w:val="0016328C"/>
    <w:rsid w:val="001645FF"/>
    <w:rsid w:val="001652A7"/>
    <w:rsid w:val="00165764"/>
    <w:rsid w:val="00165BBF"/>
    <w:rsid w:val="00166CED"/>
    <w:rsid w:val="00167B5B"/>
    <w:rsid w:val="00167E02"/>
    <w:rsid w:val="00170388"/>
    <w:rsid w:val="001706DE"/>
    <w:rsid w:val="00172EBF"/>
    <w:rsid w:val="00173617"/>
    <w:rsid w:val="001747ED"/>
    <w:rsid w:val="00175A64"/>
    <w:rsid w:val="00175DFB"/>
    <w:rsid w:val="00177A98"/>
    <w:rsid w:val="0018086E"/>
    <w:rsid w:val="00180B93"/>
    <w:rsid w:val="00181256"/>
    <w:rsid w:val="00182267"/>
    <w:rsid w:val="0018382F"/>
    <w:rsid w:val="00183AE4"/>
    <w:rsid w:val="001845A2"/>
    <w:rsid w:val="0018494C"/>
    <w:rsid w:val="001853DF"/>
    <w:rsid w:val="00185731"/>
    <w:rsid w:val="001873A0"/>
    <w:rsid w:val="00187F7D"/>
    <w:rsid w:val="00192714"/>
    <w:rsid w:val="00192D5B"/>
    <w:rsid w:val="0019344C"/>
    <w:rsid w:val="001951A5"/>
    <w:rsid w:val="00195C05"/>
    <w:rsid w:val="00196748"/>
    <w:rsid w:val="00196D0A"/>
    <w:rsid w:val="001A01DA"/>
    <w:rsid w:val="001A043A"/>
    <w:rsid w:val="001A0856"/>
    <w:rsid w:val="001A0B9B"/>
    <w:rsid w:val="001A0CF1"/>
    <w:rsid w:val="001A13AE"/>
    <w:rsid w:val="001A58BA"/>
    <w:rsid w:val="001A6D51"/>
    <w:rsid w:val="001B0B5B"/>
    <w:rsid w:val="001B3DEB"/>
    <w:rsid w:val="001BDCAA"/>
    <w:rsid w:val="001C22AC"/>
    <w:rsid w:val="001C339C"/>
    <w:rsid w:val="001C3EC7"/>
    <w:rsid w:val="001C4320"/>
    <w:rsid w:val="001C4C2D"/>
    <w:rsid w:val="001C5CD3"/>
    <w:rsid w:val="001C7684"/>
    <w:rsid w:val="001C7870"/>
    <w:rsid w:val="001D1ABD"/>
    <w:rsid w:val="001D1D75"/>
    <w:rsid w:val="001D203E"/>
    <w:rsid w:val="001D6357"/>
    <w:rsid w:val="001E0D91"/>
    <w:rsid w:val="001E2DE3"/>
    <w:rsid w:val="001E3063"/>
    <w:rsid w:val="001E5CB1"/>
    <w:rsid w:val="001E6168"/>
    <w:rsid w:val="001E6855"/>
    <w:rsid w:val="001E7DFA"/>
    <w:rsid w:val="001F026E"/>
    <w:rsid w:val="001F0B66"/>
    <w:rsid w:val="001F12CB"/>
    <w:rsid w:val="001F17AA"/>
    <w:rsid w:val="001F20ED"/>
    <w:rsid w:val="001F3866"/>
    <w:rsid w:val="001F3D06"/>
    <w:rsid w:val="001F3EC6"/>
    <w:rsid w:val="001F4A32"/>
    <w:rsid w:val="001F4D66"/>
    <w:rsid w:val="001F6AB4"/>
    <w:rsid w:val="001F719B"/>
    <w:rsid w:val="001F7A7D"/>
    <w:rsid w:val="00200A29"/>
    <w:rsid w:val="00203FEB"/>
    <w:rsid w:val="00204192"/>
    <w:rsid w:val="00205923"/>
    <w:rsid w:val="002061D8"/>
    <w:rsid w:val="002061E7"/>
    <w:rsid w:val="00210A5A"/>
    <w:rsid w:val="00210E30"/>
    <w:rsid w:val="00211640"/>
    <w:rsid w:val="00213C27"/>
    <w:rsid w:val="0021495B"/>
    <w:rsid w:val="002158EE"/>
    <w:rsid w:val="0021615D"/>
    <w:rsid w:val="002217CF"/>
    <w:rsid w:val="00222146"/>
    <w:rsid w:val="0022580F"/>
    <w:rsid w:val="002263CF"/>
    <w:rsid w:val="002322F2"/>
    <w:rsid w:val="0023230A"/>
    <w:rsid w:val="00232684"/>
    <w:rsid w:val="00232E69"/>
    <w:rsid w:val="0023448A"/>
    <w:rsid w:val="00235209"/>
    <w:rsid w:val="00235832"/>
    <w:rsid w:val="00236148"/>
    <w:rsid w:val="00236EC6"/>
    <w:rsid w:val="00237215"/>
    <w:rsid w:val="00237682"/>
    <w:rsid w:val="0023785F"/>
    <w:rsid w:val="00237F86"/>
    <w:rsid w:val="00240837"/>
    <w:rsid w:val="0024208F"/>
    <w:rsid w:val="00242B5D"/>
    <w:rsid w:val="00244299"/>
    <w:rsid w:val="002443D3"/>
    <w:rsid w:val="00244A7F"/>
    <w:rsid w:val="0024725B"/>
    <w:rsid w:val="00247416"/>
    <w:rsid w:val="00247BB8"/>
    <w:rsid w:val="0025049D"/>
    <w:rsid w:val="0025223A"/>
    <w:rsid w:val="00253DD4"/>
    <w:rsid w:val="002558DF"/>
    <w:rsid w:val="00260231"/>
    <w:rsid w:val="00261120"/>
    <w:rsid w:val="0026115C"/>
    <w:rsid w:val="002611C6"/>
    <w:rsid w:val="00263764"/>
    <w:rsid w:val="00264382"/>
    <w:rsid w:val="002644E1"/>
    <w:rsid w:val="00266EB5"/>
    <w:rsid w:val="00267FB2"/>
    <w:rsid w:val="0027036A"/>
    <w:rsid w:val="002730DD"/>
    <w:rsid w:val="00273761"/>
    <w:rsid w:val="00273897"/>
    <w:rsid w:val="002746B9"/>
    <w:rsid w:val="00274E79"/>
    <w:rsid w:val="00276DF4"/>
    <w:rsid w:val="0027716F"/>
    <w:rsid w:val="00280099"/>
    <w:rsid w:val="002802FD"/>
    <w:rsid w:val="002813D4"/>
    <w:rsid w:val="002815E6"/>
    <w:rsid w:val="00281C1E"/>
    <w:rsid w:val="00282BB5"/>
    <w:rsid w:val="00283FDD"/>
    <w:rsid w:val="002849EA"/>
    <w:rsid w:val="002852B4"/>
    <w:rsid w:val="0028567E"/>
    <w:rsid w:val="00286921"/>
    <w:rsid w:val="00286BFE"/>
    <w:rsid w:val="00286C40"/>
    <w:rsid w:val="002876C7"/>
    <w:rsid w:val="00290BEE"/>
    <w:rsid w:val="00290C69"/>
    <w:rsid w:val="00290FC9"/>
    <w:rsid w:val="00291005"/>
    <w:rsid w:val="0029167E"/>
    <w:rsid w:val="00291B53"/>
    <w:rsid w:val="002920D1"/>
    <w:rsid w:val="00292465"/>
    <w:rsid w:val="002951FA"/>
    <w:rsid w:val="002A0060"/>
    <w:rsid w:val="002A0562"/>
    <w:rsid w:val="002A21BE"/>
    <w:rsid w:val="002A2618"/>
    <w:rsid w:val="002A28E4"/>
    <w:rsid w:val="002A3208"/>
    <w:rsid w:val="002A3889"/>
    <w:rsid w:val="002A590B"/>
    <w:rsid w:val="002A60B4"/>
    <w:rsid w:val="002A6421"/>
    <w:rsid w:val="002A6472"/>
    <w:rsid w:val="002A669E"/>
    <w:rsid w:val="002A67C6"/>
    <w:rsid w:val="002B15B1"/>
    <w:rsid w:val="002B1C5F"/>
    <w:rsid w:val="002B2135"/>
    <w:rsid w:val="002B2ED9"/>
    <w:rsid w:val="002B42A3"/>
    <w:rsid w:val="002B464E"/>
    <w:rsid w:val="002B49CF"/>
    <w:rsid w:val="002B4C0A"/>
    <w:rsid w:val="002C0E54"/>
    <w:rsid w:val="002C27A3"/>
    <w:rsid w:val="002C2930"/>
    <w:rsid w:val="002C30E4"/>
    <w:rsid w:val="002C318B"/>
    <w:rsid w:val="002C4B2D"/>
    <w:rsid w:val="002C4F34"/>
    <w:rsid w:val="002C62C5"/>
    <w:rsid w:val="002C6836"/>
    <w:rsid w:val="002C765A"/>
    <w:rsid w:val="002D053E"/>
    <w:rsid w:val="002D3F91"/>
    <w:rsid w:val="002D5189"/>
    <w:rsid w:val="002D6125"/>
    <w:rsid w:val="002D6226"/>
    <w:rsid w:val="002D6911"/>
    <w:rsid w:val="002D696E"/>
    <w:rsid w:val="002D6AC3"/>
    <w:rsid w:val="002D6B01"/>
    <w:rsid w:val="002D7297"/>
    <w:rsid w:val="002D762B"/>
    <w:rsid w:val="002E0D8F"/>
    <w:rsid w:val="002E191A"/>
    <w:rsid w:val="002E1C17"/>
    <w:rsid w:val="002E3965"/>
    <w:rsid w:val="002E460F"/>
    <w:rsid w:val="002E522B"/>
    <w:rsid w:val="002E6967"/>
    <w:rsid w:val="002E6E76"/>
    <w:rsid w:val="002F057E"/>
    <w:rsid w:val="002F10D9"/>
    <w:rsid w:val="002F550E"/>
    <w:rsid w:val="002F5CBF"/>
    <w:rsid w:val="002F606F"/>
    <w:rsid w:val="002F7BA9"/>
    <w:rsid w:val="002F7BE2"/>
    <w:rsid w:val="002F7DB9"/>
    <w:rsid w:val="0030103D"/>
    <w:rsid w:val="003020D4"/>
    <w:rsid w:val="00302774"/>
    <w:rsid w:val="00304329"/>
    <w:rsid w:val="003044C1"/>
    <w:rsid w:val="00305546"/>
    <w:rsid w:val="003063B0"/>
    <w:rsid w:val="00307221"/>
    <w:rsid w:val="00307C29"/>
    <w:rsid w:val="00307D1A"/>
    <w:rsid w:val="00307F5A"/>
    <w:rsid w:val="00310942"/>
    <w:rsid w:val="00312155"/>
    <w:rsid w:val="00312DC9"/>
    <w:rsid w:val="00312E2A"/>
    <w:rsid w:val="0031654C"/>
    <w:rsid w:val="00316CF1"/>
    <w:rsid w:val="00317AA3"/>
    <w:rsid w:val="00317E47"/>
    <w:rsid w:val="00320B54"/>
    <w:rsid w:val="00321249"/>
    <w:rsid w:val="003227A3"/>
    <w:rsid w:val="00323467"/>
    <w:rsid w:val="003236C2"/>
    <w:rsid w:val="003247EB"/>
    <w:rsid w:val="00325966"/>
    <w:rsid w:val="00326154"/>
    <w:rsid w:val="00326F51"/>
    <w:rsid w:val="00326FAB"/>
    <w:rsid w:val="00331360"/>
    <w:rsid w:val="00331AD7"/>
    <w:rsid w:val="00331C5B"/>
    <w:rsid w:val="00332980"/>
    <w:rsid w:val="00333DB3"/>
    <w:rsid w:val="00335607"/>
    <w:rsid w:val="003372AD"/>
    <w:rsid w:val="003379D1"/>
    <w:rsid w:val="00337B9E"/>
    <w:rsid w:val="00341EFD"/>
    <w:rsid w:val="003422D5"/>
    <w:rsid w:val="00342C77"/>
    <w:rsid w:val="0034320C"/>
    <w:rsid w:val="0034348F"/>
    <w:rsid w:val="003436E6"/>
    <w:rsid w:val="00343F6A"/>
    <w:rsid w:val="00344620"/>
    <w:rsid w:val="003452D2"/>
    <w:rsid w:val="00345586"/>
    <w:rsid w:val="0034638B"/>
    <w:rsid w:val="0034FCA3"/>
    <w:rsid w:val="003500CB"/>
    <w:rsid w:val="00351224"/>
    <w:rsid w:val="00352434"/>
    <w:rsid w:val="00354FFE"/>
    <w:rsid w:val="00356586"/>
    <w:rsid w:val="00357520"/>
    <w:rsid w:val="00357976"/>
    <w:rsid w:val="0036042D"/>
    <w:rsid w:val="00362927"/>
    <w:rsid w:val="00362CD2"/>
    <w:rsid w:val="00363418"/>
    <w:rsid w:val="00363E28"/>
    <w:rsid w:val="00365326"/>
    <w:rsid w:val="00365364"/>
    <w:rsid w:val="003654F5"/>
    <w:rsid w:val="0036555F"/>
    <w:rsid w:val="00365681"/>
    <w:rsid w:val="00366CB9"/>
    <w:rsid w:val="00370019"/>
    <w:rsid w:val="00372530"/>
    <w:rsid w:val="00372F55"/>
    <w:rsid w:val="00373DA5"/>
    <w:rsid w:val="00374E38"/>
    <w:rsid w:val="003752AD"/>
    <w:rsid w:val="0037647A"/>
    <w:rsid w:val="003802B5"/>
    <w:rsid w:val="003811B9"/>
    <w:rsid w:val="00381E70"/>
    <w:rsid w:val="003823A6"/>
    <w:rsid w:val="00382534"/>
    <w:rsid w:val="003826C9"/>
    <w:rsid w:val="003826DB"/>
    <w:rsid w:val="00382AD3"/>
    <w:rsid w:val="00383443"/>
    <w:rsid w:val="0038406C"/>
    <w:rsid w:val="00386620"/>
    <w:rsid w:val="00386D2E"/>
    <w:rsid w:val="0038709F"/>
    <w:rsid w:val="00390462"/>
    <w:rsid w:val="00394235"/>
    <w:rsid w:val="00395502"/>
    <w:rsid w:val="00395D1D"/>
    <w:rsid w:val="003A07A3"/>
    <w:rsid w:val="003A0F6A"/>
    <w:rsid w:val="003A1F04"/>
    <w:rsid w:val="003A20D1"/>
    <w:rsid w:val="003A4449"/>
    <w:rsid w:val="003A4F0B"/>
    <w:rsid w:val="003A537C"/>
    <w:rsid w:val="003A5A13"/>
    <w:rsid w:val="003A6547"/>
    <w:rsid w:val="003A7AD9"/>
    <w:rsid w:val="003AC5A5"/>
    <w:rsid w:val="003B1010"/>
    <w:rsid w:val="003B267F"/>
    <w:rsid w:val="003B398F"/>
    <w:rsid w:val="003B676F"/>
    <w:rsid w:val="003C0284"/>
    <w:rsid w:val="003C1800"/>
    <w:rsid w:val="003C1942"/>
    <w:rsid w:val="003C202C"/>
    <w:rsid w:val="003C339B"/>
    <w:rsid w:val="003C48DD"/>
    <w:rsid w:val="003C4D09"/>
    <w:rsid w:val="003C52FB"/>
    <w:rsid w:val="003C5441"/>
    <w:rsid w:val="003C60BC"/>
    <w:rsid w:val="003C79C6"/>
    <w:rsid w:val="003C7C50"/>
    <w:rsid w:val="003D0553"/>
    <w:rsid w:val="003D0760"/>
    <w:rsid w:val="003D0F53"/>
    <w:rsid w:val="003D2ECE"/>
    <w:rsid w:val="003D322E"/>
    <w:rsid w:val="003D484A"/>
    <w:rsid w:val="003D53C0"/>
    <w:rsid w:val="003D59A8"/>
    <w:rsid w:val="003D6C17"/>
    <w:rsid w:val="003D701C"/>
    <w:rsid w:val="003D79BE"/>
    <w:rsid w:val="003E06ED"/>
    <w:rsid w:val="003E3D0E"/>
    <w:rsid w:val="003E6FC3"/>
    <w:rsid w:val="003F0308"/>
    <w:rsid w:val="003F0F80"/>
    <w:rsid w:val="003F269C"/>
    <w:rsid w:val="003F2D5C"/>
    <w:rsid w:val="003F4814"/>
    <w:rsid w:val="003F5C39"/>
    <w:rsid w:val="003F7EBA"/>
    <w:rsid w:val="00400808"/>
    <w:rsid w:val="00400F43"/>
    <w:rsid w:val="00401B47"/>
    <w:rsid w:val="00402BA9"/>
    <w:rsid w:val="0040311A"/>
    <w:rsid w:val="004037F5"/>
    <w:rsid w:val="004046D3"/>
    <w:rsid w:val="00404797"/>
    <w:rsid w:val="00404BBF"/>
    <w:rsid w:val="004051F7"/>
    <w:rsid w:val="00405A98"/>
    <w:rsid w:val="004070C5"/>
    <w:rsid w:val="004076C0"/>
    <w:rsid w:val="0040A8AE"/>
    <w:rsid w:val="0041057D"/>
    <w:rsid w:val="00411108"/>
    <w:rsid w:val="004115EA"/>
    <w:rsid w:val="004117D0"/>
    <w:rsid w:val="00413DEB"/>
    <w:rsid w:val="0041498B"/>
    <w:rsid w:val="004153FB"/>
    <w:rsid w:val="00416154"/>
    <w:rsid w:val="00416BD1"/>
    <w:rsid w:val="00417399"/>
    <w:rsid w:val="00420E33"/>
    <w:rsid w:val="004214C0"/>
    <w:rsid w:val="00421819"/>
    <w:rsid w:val="00421C9F"/>
    <w:rsid w:val="004236D5"/>
    <w:rsid w:val="00423811"/>
    <w:rsid w:val="0042411D"/>
    <w:rsid w:val="0042639E"/>
    <w:rsid w:val="00426533"/>
    <w:rsid w:val="0043063D"/>
    <w:rsid w:val="0043135E"/>
    <w:rsid w:val="00431E86"/>
    <w:rsid w:val="004328FB"/>
    <w:rsid w:val="0043308C"/>
    <w:rsid w:val="004335F6"/>
    <w:rsid w:val="0043373A"/>
    <w:rsid w:val="004356A1"/>
    <w:rsid w:val="00437449"/>
    <w:rsid w:val="004374A4"/>
    <w:rsid w:val="00440625"/>
    <w:rsid w:val="00440DFA"/>
    <w:rsid w:val="00442F5B"/>
    <w:rsid w:val="004456A6"/>
    <w:rsid w:val="00445B3A"/>
    <w:rsid w:val="0045099B"/>
    <w:rsid w:val="00450B4B"/>
    <w:rsid w:val="0045172D"/>
    <w:rsid w:val="00455299"/>
    <w:rsid w:val="00455A35"/>
    <w:rsid w:val="004563DC"/>
    <w:rsid w:val="00456622"/>
    <w:rsid w:val="004566CC"/>
    <w:rsid w:val="004578AD"/>
    <w:rsid w:val="004610AB"/>
    <w:rsid w:val="00462E32"/>
    <w:rsid w:val="004630D3"/>
    <w:rsid w:val="00463E11"/>
    <w:rsid w:val="004656D5"/>
    <w:rsid w:val="00465792"/>
    <w:rsid w:val="00465D8E"/>
    <w:rsid w:val="004660A3"/>
    <w:rsid w:val="00466148"/>
    <w:rsid w:val="00466497"/>
    <w:rsid w:val="00466532"/>
    <w:rsid w:val="00466B83"/>
    <w:rsid w:val="00466F5D"/>
    <w:rsid w:val="00467532"/>
    <w:rsid w:val="004721A4"/>
    <w:rsid w:val="0047225E"/>
    <w:rsid w:val="0047275A"/>
    <w:rsid w:val="00472A88"/>
    <w:rsid w:val="00475B21"/>
    <w:rsid w:val="00476074"/>
    <w:rsid w:val="004762E7"/>
    <w:rsid w:val="00476C3D"/>
    <w:rsid w:val="00480164"/>
    <w:rsid w:val="00481041"/>
    <w:rsid w:val="0048246C"/>
    <w:rsid w:val="004825B0"/>
    <w:rsid w:val="00482E00"/>
    <w:rsid w:val="004837C5"/>
    <w:rsid w:val="00484D87"/>
    <w:rsid w:val="00485A18"/>
    <w:rsid w:val="00486634"/>
    <w:rsid w:val="004871B1"/>
    <w:rsid w:val="004874A6"/>
    <w:rsid w:val="00490B8F"/>
    <w:rsid w:val="00490F7B"/>
    <w:rsid w:val="004920AA"/>
    <w:rsid w:val="00493672"/>
    <w:rsid w:val="00494508"/>
    <w:rsid w:val="0049546C"/>
    <w:rsid w:val="004A1AAF"/>
    <w:rsid w:val="004A1DCF"/>
    <w:rsid w:val="004A1E02"/>
    <w:rsid w:val="004A239F"/>
    <w:rsid w:val="004A2761"/>
    <w:rsid w:val="004A2B68"/>
    <w:rsid w:val="004A389C"/>
    <w:rsid w:val="004A3937"/>
    <w:rsid w:val="004A3AA5"/>
    <w:rsid w:val="004A5434"/>
    <w:rsid w:val="004A5D47"/>
    <w:rsid w:val="004A726F"/>
    <w:rsid w:val="004A7AF2"/>
    <w:rsid w:val="004B0127"/>
    <w:rsid w:val="004B2A9A"/>
    <w:rsid w:val="004B2E62"/>
    <w:rsid w:val="004B329A"/>
    <w:rsid w:val="004B3429"/>
    <w:rsid w:val="004B3AF5"/>
    <w:rsid w:val="004B49CC"/>
    <w:rsid w:val="004B7356"/>
    <w:rsid w:val="004C06B8"/>
    <w:rsid w:val="004C1464"/>
    <w:rsid w:val="004C2909"/>
    <w:rsid w:val="004C398B"/>
    <w:rsid w:val="004C3B01"/>
    <w:rsid w:val="004C3E0F"/>
    <w:rsid w:val="004C441C"/>
    <w:rsid w:val="004C63CB"/>
    <w:rsid w:val="004D05EE"/>
    <w:rsid w:val="004D10B0"/>
    <w:rsid w:val="004D28E0"/>
    <w:rsid w:val="004D303B"/>
    <w:rsid w:val="004D473C"/>
    <w:rsid w:val="004D4BD5"/>
    <w:rsid w:val="004D72C5"/>
    <w:rsid w:val="004D786F"/>
    <w:rsid w:val="004D7888"/>
    <w:rsid w:val="004E12B1"/>
    <w:rsid w:val="004E1683"/>
    <w:rsid w:val="004E1C78"/>
    <w:rsid w:val="004E34FB"/>
    <w:rsid w:val="004E476A"/>
    <w:rsid w:val="004E4B7E"/>
    <w:rsid w:val="004E5A47"/>
    <w:rsid w:val="004E5EDC"/>
    <w:rsid w:val="004E7664"/>
    <w:rsid w:val="004E7C3C"/>
    <w:rsid w:val="004F0BF9"/>
    <w:rsid w:val="004F103B"/>
    <w:rsid w:val="004F1CB2"/>
    <w:rsid w:val="004F3C46"/>
    <w:rsid w:val="004F4ABD"/>
    <w:rsid w:val="004F4AC2"/>
    <w:rsid w:val="004F6937"/>
    <w:rsid w:val="004F6991"/>
    <w:rsid w:val="004F6B43"/>
    <w:rsid w:val="005001AC"/>
    <w:rsid w:val="00500F13"/>
    <w:rsid w:val="005011D3"/>
    <w:rsid w:val="0050361C"/>
    <w:rsid w:val="005039A3"/>
    <w:rsid w:val="00503DD4"/>
    <w:rsid w:val="005047B7"/>
    <w:rsid w:val="00504B8D"/>
    <w:rsid w:val="005065F1"/>
    <w:rsid w:val="00506912"/>
    <w:rsid w:val="005106C7"/>
    <w:rsid w:val="005111DA"/>
    <w:rsid w:val="00511596"/>
    <w:rsid w:val="00511F0B"/>
    <w:rsid w:val="005123F6"/>
    <w:rsid w:val="0051267A"/>
    <w:rsid w:val="00512C8A"/>
    <w:rsid w:val="0051312D"/>
    <w:rsid w:val="005160EA"/>
    <w:rsid w:val="005165D0"/>
    <w:rsid w:val="0052062A"/>
    <w:rsid w:val="00520FC2"/>
    <w:rsid w:val="005229DE"/>
    <w:rsid w:val="0052354D"/>
    <w:rsid w:val="00523690"/>
    <w:rsid w:val="00526117"/>
    <w:rsid w:val="0052649F"/>
    <w:rsid w:val="005264BE"/>
    <w:rsid w:val="005271D9"/>
    <w:rsid w:val="00527590"/>
    <w:rsid w:val="00527678"/>
    <w:rsid w:val="00527C05"/>
    <w:rsid w:val="00531313"/>
    <w:rsid w:val="00531A73"/>
    <w:rsid w:val="0053248A"/>
    <w:rsid w:val="005329D6"/>
    <w:rsid w:val="00533D4D"/>
    <w:rsid w:val="00533D95"/>
    <w:rsid w:val="005340E9"/>
    <w:rsid w:val="00535351"/>
    <w:rsid w:val="00535FF8"/>
    <w:rsid w:val="005376D7"/>
    <w:rsid w:val="00541BC9"/>
    <w:rsid w:val="00542218"/>
    <w:rsid w:val="005423F3"/>
    <w:rsid w:val="00543694"/>
    <w:rsid w:val="00544CBE"/>
    <w:rsid w:val="005456AD"/>
    <w:rsid w:val="0054618B"/>
    <w:rsid w:val="00546689"/>
    <w:rsid w:val="00546C7C"/>
    <w:rsid w:val="00547DA5"/>
    <w:rsid w:val="00552616"/>
    <w:rsid w:val="00554483"/>
    <w:rsid w:val="00555E15"/>
    <w:rsid w:val="00557917"/>
    <w:rsid w:val="00557B5B"/>
    <w:rsid w:val="00560234"/>
    <w:rsid w:val="00561E94"/>
    <w:rsid w:val="0056229F"/>
    <w:rsid w:val="005637DE"/>
    <w:rsid w:val="00563FD2"/>
    <w:rsid w:val="00565BDC"/>
    <w:rsid w:val="00565DA2"/>
    <w:rsid w:val="0056755D"/>
    <w:rsid w:val="00567CE3"/>
    <w:rsid w:val="00570371"/>
    <w:rsid w:val="00570659"/>
    <w:rsid w:val="00570A66"/>
    <w:rsid w:val="0057106F"/>
    <w:rsid w:val="00571712"/>
    <w:rsid w:val="0057178B"/>
    <w:rsid w:val="00572346"/>
    <w:rsid w:val="00573E4C"/>
    <w:rsid w:val="005740A8"/>
    <w:rsid w:val="005775BD"/>
    <w:rsid w:val="0057770B"/>
    <w:rsid w:val="0058019A"/>
    <w:rsid w:val="0058043D"/>
    <w:rsid w:val="005804C0"/>
    <w:rsid w:val="00581D60"/>
    <w:rsid w:val="00581F8F"/>
    <w:rsid w:val="00582C77"/>
    <w:rsid w:val="00583807"/>
    <w:rsid w:val="005850A2"/>
    <w:rsid w:val="005850C7"/>
    <w:rsid w:val="005901F7"/>
    <w:rsid w:val="0059056C"/>
    <w:rsid w:val="005905D1"/>
    <w:rsid w:val="005911C6"/>
    <w:rsid w:val="0059183E"/>
    <w:rsid w:val="00591E26"/>
    <w:rsid w:val="0059267B"/>
    <w:rsid w:val="0059335E"/>
    <w:rsid w:val="0059450F"/>
    <w:rsid w:val="00595E6D"/>
    <w:rsid w:val="005978CA"/>
    <w:rsid w:val="00597DAB"/>
    <w:rsid w:val="005A0B32"/>
    <w:rsid w:val="005A144F"/>
    <w:rsid w:val="005A1E85"/>
    <w:rsid w:val="005A5A68"/>
    <w:rsid w:val="005A6F49"/>
    <w:rsid w:val="005A71CA"/>
    <w:rsid w:val="005A784D"/>
    <w:rsid w:val="005B0928"/>
    <w:rsid w:val="005B0C4C"/>
    <w:rsid w:val="005B12A2"/>
    <w:rsid w:val="005B14E5"/>
    <w:rsid w:val="005B2293"/>
    <w:rsid w:val="005B3208"/>
    <w:rsid w:val="005B5DEC"/>
    <w:rsid w:val="005B650F"/>
    <w:rsid w:val="005B7897"/>
    <w:rsid w:val="005C1FB7"/>
    <w:rsid w:val="005C3044"/>
    <w:rsid w:val="005C3945"/>
    <w:rsid w:val="005C3D22"/>
    <w:rsid w:val="005C5E20"/>
    <w:rsid w:val="005C67C7"/>
    <w:rsid w:val="005C690C"/>
    <w:rsid w:val="005C6ED2"/>
    <w:rsid w:val="005C7A8E"/>
    <w:rsid w:val="005D143D"/>
    <w:rsid w:val="005D1709"/>
    <w:rsid w:val="005D27D1"/>
    <w:rsid w:val="005D41E3"/>
    <w:rsid w:val="005D533E"/>
    <w:rsid w:val="005D65E8"/>
    <w:rsid w:val="005D6881"/>
    <w:rsid w:val="005E0EF5"/>
    <w:rsid w:val="005E1C99"/>
    <w:rsid w:val="005E2077"/>
    <w:rsid w:val="005E3D53"/>
    <w:rsid w:val="005E507D"/>
    <w:rsid w:val="005E551C"/>
    <w:rsid w:val="005E5EB7"/>
    <w:rsid w:val="005E701A"/>
    <w:rsid w:val="005E7383"/>
    <w:rsid w:val="005E7BC3"/>
    <w:rsid w:val="005E7E72"/>
    <w:rsid w:val="005F05A3"/>
    <w:rsid w:val="005F0A76"/>
    <w:rsid w:val="005F21EB"/>
    <w:rsid w:val="005F3A5D"/>
    <w:rsid w:val="005F637A"/>
    <w:rsid w:val="005F6A5F"/>
    <w:rsid w:val="005F6BB0"/>
    <w:rsid w:val="006006DE"/>
    <w:rsid w:val="00601054"/>
    <w:rsid w:val="006013F6"/>
    <w:rsid w:val="00603845"/>
    <w:rsid w:val="00607375"/>
    <w:rsid w:val="006102A7"/>
    <w:rsid w:val="00612947"/>
    <w:rsid w:val="00613D1E"/>
    <w:rsid w:val="0061608F"/>
    <w:rsid w:val="00616D65"/>
    <w:rsid w:val="006171F6"/>
    <w:rsid w:val="00621F92"/>
    <w:rsid w:val="00622A86"/>
    <w:rsid w:val="00622AC2"/>
    <w:rsid w:val="00624176"/>
    <w:rsid w:val="0062534F"/>
    <w:rsid w:val="00626197"/>
    <w:rsid w:val="006265C7"/>
    <w:rsid w:val="006269DA"/>
    <w:rsid w:val="006313BD"/>
    <w:rsid w:val="006314EB"/>
    <w:rsid w:val="00631BA8"/>
    <w:rsid w:val="006338C6"/>
    <w:rsid w:val="006339F8"/>
    <w:rsid w:val="0063487C"/>
    <w:rsid w:val="00635702"/>
    <w:rsid w:val="00635BB4"/>
    <w:rsid w:val="00635E08"/>
    <w:rsid w:val="00636A32"/>
    <w:rsid w:val="006408B5"/>
    <w:rsid w:val="0064103B"/>
    <w:rsid w:val="00641B1E"/>
    <w:rsid w:val="00642A08"/>
    <w:rsid w:val="00643EF5"/>
    <w:rsid w:val="006448A1"/>
    <w:rsid w:val="006448CA"/>
    <w:rsid w:val="0064497B"/>
    <w:rsid w:val="00644A95"/>
    <w:rsid w:val="006457D1"/>
    <w:rsid w:val="00646566"/>
    <w:rsid w:val="0064694C"/>
    <w:rsid w:val="00647C76"/>
    <w:rsid w:val="00647D5C"/>
    <w:rsid w:val="0065086A"/>
    <w:rsid w:val="0065192E"/>
    <w:rsid w:val="00652F4E"/>
    <w:rsid w:val="00653C5C"/>
    <w:rsid w:val="006543F9"/>
    <w:rsid w:val="00654425"/>
    <w:rsid w:val="00654ABA"/>
    <w:rsid w:val="006552B6"/>
    <w:rsid w:val="00656472"/>
    <w:rsid w:val="00656C27"/>
    <w:rsid w:val="00660A24"/>
    <w:rsid w:val="006613B3"/>
    <w:rsid w:val="00662E42"/>
    <w:rsid w:val="00662E51"/>
    <w:rsid w:val="0066300C"/>
    <w:rsid w:val="00663443"/>
    <w:rsid w:val="00663E6B"/>
    <w:rsid w:val="0066705B"/>
    <w:rsid w:val="006718A7"/>
    <w:rsid w:val="00672218"/>
    <w:rsid w:val="006737B2"/>
    <w:rsid w:val="00673912"/>
    <w:rsid w:val="006751ED"/>
    <w:rsid w:val="006756BB"/>
    <w:rsid w:val="006756C3"/>
    <w:rsid w:val="006758F2"/>
    <w:rsid w:val="00676044"/>
    <w:rsid w:val="0068169E"/>
    <w:rsid w:val="00682310"/>
    <w:rsid w:val="006826F8"/>
    <w:rsid w:val="0068374B"/>
    <w:rsid w:val="00684C02"/>
    <w:rsid w:val="00684CEC"/>
    <w:rsid w:val="00687017"/>
    <w:rsid w:val="006931E2"/>
    <w:rsid w:val="00696206"/>
    <w:rsid w:val="006970FD"/>
    <w:rsid w:val="006A1B6A"/>
    <w:rsid w:val="006A25EE"/>
    <w:rsid w:val="006A288E"/>
    <w:rsid w:val="006A3B92"/>
    <w:rsid w:val="006A3E29"/>
    <w:rsid w:val="006A3F9E"/>
    <w:rsid w:val="006A4496"/>
    <w:rsid w:val="006A4A2B"/>
    <w:rsid w:val="006A4B26"/>
    <w:rsid w:val="006A50A5"/>
    <w:rsid w:val="006A5E91"/>
    <w:rsid w:val="006A60F5"/>
    <w:rsid w:val="006A6FF9"/>
    <w:rsid w:val="006AC314"/>
    <w:rsid w:val="006B1403"/>
    <w:rsid w:val="006B1A83"/>
    <w:rsid w:val="006B1BC6"/>
    <w:rsid w:val="006B311F"/>
    <w:rsid w:val="006B40D3"/>
    <w:rsid w:val="006B5BD2"/>
    <w:rsid w:val="006B6EDB"/>
    <w:rsid w:val="006B73DC"/>
    <w:rsid w:val="006C15F7"/>
    <w:rsid w:val="006C3CBB"/>
    <w:rsid w:val="006C6B57"/>
    <w:rsid w:val="006C7CD3"/>
    <w:rsid w:val="006D0783"/>
    <w:rsid w:val="006D333A"/>
    <w:rsid w:val="006D35AF"/>
    <w:rsid w:val="006D420F"/>
    <w:rsid w:val="006D4758"/>
    <w:rsid w:val="006D495A"/>
    <w:rsid w:val="006D589E"/>
    <w:rsid w:val="006D5DA9"/>
    <w:rsid w:val="006D7871"/>
    <w:rsid w:val="006D7BBD"/>
    <w:rsid w:val="006E0E37"/>
    <w:rsid w:val="006E0EA1"/>
    <w:rsid w:val="006E1440"/>
    <w:rsid w:val="006E20BE"/>
    <w:rsid w:val="006E2FBB"/>
    <w:rsid w:val="006E4717"/>
    <w:rsid w:val="006E705D"/>
    <w:rsid w:val="006F2906"/>
    <w:rsid w:val="006F2F84"/>
    <w:rsid w:val="006F304F"/>
    <w:rsid w:val="006F3473"/>
    <w:rsid w:val="006F4802"/>
    <w:rsid w:val="006F62FC"/>
    <w:rsid w:val="006F69AE"/>
    <w:rsid w:val="006F6D4F"/>
    <w:rsid w:val="006F70E1"/>
    <w:rsid w:val="006F75E4"/>
    <w:rsid w:val="00702248"/>
    <w:rsid w:val="007037DF"/>
    <w:rsid w:val="00703DA7"/>
    <w:rsid w:val="00704214"/>
    <w:rsid w:val="007046F1"/>
    <w:rsid w:val="00705955"/>
    <w:rsid w:val="00706986"/>
    <w:rsid w:val="007071FD"/>
    <w:rsid w:val="00712E69"/>
    <w:rsid w:val="00713ABF"/>
    <w:rsid w:val="007156F7"/>
    <w:rsid w:val="00715BDC"/>
    <w:rsid w:val="00715F4A"/>
    <w:rsid w:val="0071655C"/>
    <w:rsid w:val="00720CDA"/>
    <w:rsid w:val="0072243B"/>
    <w:rsid w:val="007225EC"/>
    <w:rsid w:val="00723552"/>
    <w:rsid w:val="007255C5"/>
    <w:rsid w:val="00726D49"/>
    <w:rsid w:val="0072767A"/>
    <w:rsid w:val="0072779A"/>
    <w:rsid w:val="007304B2"/>
    <w:rsid w:val="0073136A"/>
    <w:rsid w:val="007314F5"/>
    <w:rsid w:val="007340A2"/>
    <w:rsid w:val="00734423"/>
    <w:rsid w:val="00735A50"/>
    <w:rsid w:val="00736617"/>
    <w:rsid w:val="007408EE"/>
    <w:rsid w:val="00740AAB"/>
    <w:rsid w:val="00741918"/>
    <w:rsid w:val="007420E3"/>
    <w:rsid w:val="007428BA"/>
    <w:rsid w:val="00742BF1"/>
    <w:rsid w:val="007439BE"/>
    <w:rsid w:val="007446AC"/>
    <w:rsid w:val="00745100"/>
    <w:rsid w:val="0074581C"/>
    <w:rsid w:val="00746038"/>
    <w:rsid w:val="00746581"/>
    <w:rsid w:val="00746B5D"/>
    <w:rsid w:val="0074717C"/>
    <w:rsid w:val="00750C35"/>
    <w:rsid w:val="00751AF9"/>
    <w:rsid w:val="007521E9"/>
    <w:rsid w:val="00752453"/>
    <w:rsid w:val="00752730"/>
    <w:rsid w:val="00752EF1"/>
    <w:rsid w:val="00753D2F"/>
    <w:rsid w:val="00753F84"/>
    <w:rsid w:val="00754444"/>
    <w:rsid w:val="00756906"/>
    <w:rsid w:val="00756C6D"/>
    <w:rsid w:val="00760E5E"/>
    <w:rsid w:val="007623B1"/>
    <w:rsid w:val="00763C1E"/>
    <w:rsid w:val="00763F87"/>
    <w:rsid w:val="00764A35"/>
    <w:rsid w:val="00764B3C"/>
    <w:rsid w:val="0076579B"/>
    <w:rsid w:val="00765BFE"/>
    <w:rsid w:val="00765C5A"/>
    <w:rsid w:val="00767B4A"/>
    <w:rsid w:val="007712E2"/>
    <w:rsid w:val="00771E6F"/>
    <w:rsid w:val="0077273E"/>
    <w:rsid w:val="00773E45"/>
    <w:rsid w:val="007744DC"/>
    <w:rsid w:val="00774F74"/>
    <w:rsid w:val="007756D9"/>
    <w:rsid w:val="00775BCB"/>
    <w:rsid w:val="00775E64"/>
    <w:rsid w:val="007766B6"/>
    <w:rsid w:val="00777C67"/>
    <w:rsid w:val="00777ECC"/>
    <w:rsid w:val="0078054E"/>
    <w:rsid w:val="00780F31"/>
    <w:rsid w:val="007811EF"/>
    <w:rsid w:val="00781884"/>
    <w:rsid w:val="00781990"/>
    <w:rsid w:val="00781C1B"/>
    <w:rsid w:val="00781C1E"/>
    <w:rsid w:val="00782CD5"/>
    <w:rsid w:val="0078512A"/>
    <w:rsid w:val="00785B4C"/>
    <w:rsid w:val="00790A0F"/>
    <w:rsid w:val="007934C0"/>
    <w:rsid w:val="007940FB"/>
    <w:rsid w:val="007961DF"/>
    <w:rsid w:val="007A0E18"/>
    <w:rsid w:val="007A4A01"/>
    <w:rsid w:val="007A57AC"/>
    <w:rsid w:val="007A5D12"/>
    <w:rsid w:val="007A7136"/>
    <w:rsid w:val="007A74E8"/>
    <w:rsid w:val="007A7835"/>
    <w:rsid w:val="007B1686"/>
    <w:rsid w:val="007B2583"/>
    <w:rsid w:val="007B3B27"/>
    <w:rsid w:val="007B4775"/>
    <w:rsid w:val="007B4A6E"/>
    <w:rsid w:val="007B6466"/>
    <w:rsid w:val="007C1DD6"/>
    <w:rsid w:val="007C424D"/>
    <w:rsid w:val="007C55F3"/>
    <w:rsid w:val="007C5DE2"/>
    <w:rsid w:val="007C68AA"/>
    <w:rsid w:val="007C77EC"/>
    <w:rsid w:val="007D0B95"/>
    <w:rsid w:val="007D1EDE"/>
    <w:rsid w:val="007D22FA"/>
    <w:rsid w:val="007D35E0"/>
    <w:rsid w:val="007D4FA6"/>
    <w:rsid w:val="007D6E10"/>
    <w:rsid w:val="007E036E"/>
    <w:rsid w:val="007E1FF9"/>
    <w:rsid w:val="007E29B8"/>
    <w:rsid w:val="007E4511"/>
    <w:rsid w:val="007E6440"/>
    <w:rsid w:val="007E7139"/>
    <w:rsid w:val="007E77A7"/>
    <w:rsid w:val="007E7875"/>
    <w:rsid w:val="007F1DB8"/>
    <w:rsid w:val="007F27A5"/>
    <w:rsid w:val="007F2D76"/>
    <w:rsid w:val="007F5712"/>
    <w:rsid w:val="007F6426"/>
    <w:rsid w:val="007F6498"/>
    <w:rsid w:val="007F6943"/>
    <w:rsid w:val="007F742D"/>
    <w:rsid w:val="007F79D9"/>
    <w:rsid w:val="007F7F85"/>
    <w:rsid w:val="008014F3"/>
    <w:rsid w:val="0080256A"/>
    <w:rsid w:val="00802A12"/>
    <w:rsid w:val="008032F0"/>
    <w:rsid w:val="008036CF"/>
    <w:rsid w:val="00804586"/>
    <w:rsid w:val="0080576B"/>
    <w:rsid w:val="00805834"/>
    <w:rsid w:val="00806136"/>
    <w:rsid w:val="00806771"/>
    <w:rsid w:val="00806F52"/>
    <w:rsid w:val="00810F1C"/>
    <w:rsid w:val="008111D0"/>
    <w:rsid w:val="008128F8"/>
    <w:rsid w:val="00813884"/>
    <w:rsid w:val="008142F6"/>
    <w:rsid w:val="008152F6"/>
    <w:rsid w:val="00815BF2"/>
    <w:rsid w:val="00816108"/>
    <w:rsid w:val="0082036A"/>
    <w:rsid w:val="008223F1"/>
    <w:rsid w:val="00822B09"/>
    <w:rsid w:val="00823C56"/>
    <w:rsid w:val="008252DE"/>
    <w:rsid w:val="008254A8"/>
    <w:rsid w:val="00825B50"/>
    <w:rsid w:val="00826928"/>
    <w:rsid w:val="0083218E"/>
    <w:rsid w:val="008327C8"/>
    <w:rsid w:val="00833F15"/>
    <w:rsid w:val="00834BE1"/>
    <w:rsid w:val="00835352"/>
    <w:rsid w:val="008359FD"/>
    <w:rsid w:val="00835EFC"/>
    <w:rsid w:val="008365F9"/>
    <w:rsid w:val="008366F7"/>
    <w:rsid w:val="00837C78"/>
    <w:rsid w:val="008426F6"/>
    <w:rsid w:val="00842B6E"/>
    <w:rsid w:val="00843740"/>
    <w:rsid w:val="008444BB"/>
    <w:rsid w:val="00844742"/>
    <w:rsid w:val="00846685"/>
    <w:rsid w:val="008466E9"/>
    <w:rsid w:val="00846F7D"/>
    <w:rsid w:val="008478CA"/>
    <w:rsid w:val="0085039E"/>
    <w:rsid w:val="00850941"/>
    <w:rsid w:val="00850AAF"/>
    <w:rsid w:val="00851CDF"/>
    <w:rsid w:val="00852988"/>
    <w:rsid w:val="0085308F"/>
    <w:rsid w:val="008551D4"/>
    <w:rsid w:val="008562C2"/>
    <w:rsid w:val="00856F29"/>
    <w:rsid w:val="00856FE4"/>
    <w:rsid w:val="0085769F"/>
    <w:rsid w:val="00861D40"/>
    <w:rsid w:val="008624BC"/>
    <w:rsid w:val="00862AF4"/>
    <w:rsid w:val="00862C2D"/>
    <w:rsid w:val="008634BB"/>
    <w:rsid w:val="00864B4B"/>
    <w:rsid w:val="00865698"/>
    <w:rsid w:val="0086575E"/>
    <w:rsid w:val="00865774"/>
    <w:rsid w:val="00865F46"/>
    <w:rsid w:val="008665FC"/>
    <w:rsid w:val="008676FE"/>
    <w:rsid w:val="00870D6D"/>
    <w:rsid w:val="0087280A"/>
    <w:rsid w:val="00872DAD"/>
    <w:rsid w:val="0087450D"/>
    <w:rsid w:val="00874FAE"/>
    <w:rsid w:val="008770B4"/>
    <w:rsid w:val="00877ED6"/>
    <w:rsid w:val="00883B18"/>
    <w:rsid w:val="00883BA8"/>
    <w:rsid w:val="00884AC7"/>
    <w:rsid w:val="00884C71"/>
    <w:rsid w:val="00884E32"/>
    <w:rsid w:val="00886488"/>
    <w:rsid w:val="008904A0"/>
    <w:rsid w:val="0089140F"/>
    <w:rsid w:val="00891789"/>
    <w:rsid w:val="00892218"/>
    <w:rsid w:val="00892F91"/>
    <w:rsid w:val="00893B7E"/>
    <w:rsid w:val="00893E92"/>
    <w:rsid w:val="00894612"/>
    <w:rsid w:val="00894B41"/>
    <w:rsid w:val="008A22DA"/>
    <w:rsid w:val="008A23A7"/>
    <w:rsid w:val="008A677A"/>
    <w:rsid w:val="008B17BB"/>
    <w:rsid w:val="008B198A"/>
    <w:rsid w:val="008B1AC4"/>
    <w:rsid w:val="008B2EBF"/>
    <w:rsid w:val="008B3A86"/>
    <w:rsid w:val="008B4615"/>
    <w:rsid w:val="008B4C64"/>
    <w:rsid w:val="008B6911"/>
    <w:rsid w:val="008C019F"/>
    <w:rsid w:val="008C0689"/>
    <w:rsid w:val="008C179E"/>
    <w:rsid w:val="008C4CAB"/>
    <w:rsid w:val="008C4FFF"/>
    <w:rsid w:val="008C5533"/>
    <w:rsid w:val="008D115B"/>
    <w:rsid w:val="008D28DA"/>
    <w:rsid w:val="008D2A26"/>
    <w:rsid w:val="008D3700"/>
    <w:rsid w:val="008D3ABF"/>
    <w:rsid w:val="008D3E81"/>
    <w:rsid w:val="008D551E"/>
    <w:rsid w:val="008E0B86"/>
    <w:rsid w:val="008E1649"/>
    <w:rsid w:val="008E26BE"/>
    <w:rsid w:val="008E2DBF"/>
    <w:rsid w:val="008E3DED"/>
    <w:rsid w:val="008E568B"/>
    <w:rsid w:val="008E7DA9"/>
    <w:rsid w:val="008F3E90"/>
    <w:rsid w:val="008F4408"/>
    <w:rsid w:val="008F7C92"/>
    <w:rsid w:val="00901B0B"/>
    <w:rsid w:val="00902CFF"/>
    <w:rsid w:val="0090379B"/>
    <w:rsid w:val="00905143"/>
    <w:rsid w:val="00905220"/>
    <w:rsid w:val="00905527"/>
    <w:rsid w:val="00905A41"/>
    <w:rsid w:val="00906344"/>
    <w:rsid w:val="00906568"/>
    <w:rsid w:val="009073E9"/>
    <w:rsid w:val="009104C6"/>
    <w:rsid w:val="0091071E"/>
    <w:rsid w:val="00911223"/>
    <w:rsid w:val="00911BEB"/>
    <w:rsid w:val="009152E9"/>
    <w:rsid w:val="009178CC"/>
    <w:rsid w:val="009178F1"/>
    <w:rsid w:val="0092053C"/>
    <w:rsid w:val="00920A79"/>
    <w:rsid w:val="00921128"/>
    <w:rsid w:val="009213F5"/>
    <w:rsid w:val="0092244D"/>
    <w:rsid w:val="00925576"/>
    <w:rsid w:val="00925BAC"/>
    <w:rsid w:val="00926557"/>
    <w:rsid w:val="00927486"/>
    <w:rsid w:val="00930AC5"/>
    <w:rsid w:val="00931516"/>
    <w:rsid w:val="0093249A"/>
    <w:rsid w:val="00932829"/>
    <w:rsid w:val="00935DDC"/>
    <w:rsid w:val="00937CF1"/>
    <w:rsid w:val="00940A02"/>
    <w:rsid w:val="00941719"/>
    <w:rsid w:val="009417F7"/>
    <w:rsid w:val="00941C08"/>
    <w:rsid w:val="00942558"/>
    <w:rsid w:val="00942B0C"/>
    <w:rsid w:val="009433FD"/>
    <w:rsid w:val="0094357B"/>
    <w:rsid w:val="00943DBB"/>
    <w:rsid w:val="00944A39"/>
    <w:rsid w:val="0094513C"/>
    <w:rsid w:val="0094533A"/>
    <w:rsid w:val="0094691D"/>
    <w:rsid w:val="009478FC"/>
    <w:rsid w:val="0095068D"/>
    <w:rsid w:val="0095074F"/>
    <w:rsid w:val="009510F2"/>
    <w:rsid w:val="00951205"/>
    <w:rsid w:val="00953735"/>
    <w:rsid w:val="00953D3E"/>
    <w:rsid w:val="00953D4D"/>
    <w:rsid w:val="009541A1"/>
    <w:rsid w:val="009555D7"/>
    <w:rsid w:val="00955857"/>
    <w:rsid w:val="009567DC"/>
    <w:rsid w:val="00956CE8"/>
    <w:rsid w:val="0095772F"/>
    <w:rsid w:val="00961566"/>
    <w:rsid w:val="00961885"/>
    <w:rsid w:val="00961E02"/>
    <w:rsid w:val="00962BC0"/>
    <w:rsid w:val="0096453D"/>
    <w:rsid w:val="00970282"/>
    <w:rsid w:val="00970C67"/>
    <w:rsid w:val="009719BE"/>
    <w:rsid w:val="00971B16"/>
    <w:rsid w:val="00973460"/>
    <w:rsid w:val="00973495"/>
    <w:rsid w:val="0097456B"/>
    <w:rsid w:val="00975594"/>
    <w:rsid w:val="00976703"/>
    <w:rsid w:val="00976A98"/>
    <w:rsid w:val="00976C6C"/>
    <w:rsid w:val="00980A9E"/>
    <w:rsid w:val="009817ED"/>
    <w:rsid w:val="00981C73"/>
    <w:rsid w:val="009825F5"/>
    <w:rsid w:val="00983083"/>
    <w:rsid w:val="009837EF"/>
    <w:rsid w:val="009838E8"/>
    <w:rsid w:val="00985C97"/>
    <w:rsid w:val="00986CB5"/>
    <w:rsid w:val="00987043"/>
    <w:rsid w:val="009877E1"/>
    <w:rsid w:val="00990B4F"/>
    <w:rsid w:val="00992330"/>
    <w:rsid w:val="00992B76"/>
    <w:rsid w:val="00992CB9"/>
    <w:rsid w:val="009946E0"/>
    <w:rsid w:val="00997F7D"/>
    <w:rsid w:val="009A10C9"/>
    <w:rsid w:val="009A1914"/>
    <w:rsid w:val="009A1EF2"/>
    <w:rsid w:val="009A26C1"/>
    <w:rsid w:val="009B03B1"/>
    <w:rsid w:val="009B4547"/>
    <w:rsid w:val="009B47F2"/>
    <w:rsid w:val="009B53ED"/>
    <w:rsid w:val="009B5E4F"/>
    <w:rsid w:val="009B615A"/>
    <w:rsid w:val="009B62A0"/>
    <w:rsid w:val="009B63E7"/>
    <w:rsid w:val="009C117D"/>
    <w:rsid w:val="009C260A"/>
    <w:rsid w:val="009C444C"/>
    <w:rsid w:val="009C56C4"/>
    <w:rsid w:val="009C667E"/>
    <w:rsid w:val="009C6BEF"/>
    <w:rsid w:val="009C72ED"/>
    <w:rsid w:val="009D0844"/>
    <w:rsid w:val="009D0B51"/>
    <w:rsid w:val="009D19E2"/>
    <w:rsid w:val="009D2355"/>
    <w:rsid w:val="009D23CA"/>
    <w:rsid w:val="009D4DA6"/>
    <w:rsid w:val="009D50C8"/>
    <w:rsid w:val="009D5458"/>
    <w:rsid w:val="009D7A86"/>
    <w:rsid w:val="009D7CA8"/>
    <w:rsid w:val="009E06CC"/>
    <w:rsid w:val="009E2772"/>
    <w:rsid w:val="009E2982"/>
    <w:rsid w:val="009E51DF"/>
    <w:rsid w:val="009E5DC9"/>
    <w:rsid w:val="009E756A"/>
    <w:rsid w:val="009E7687"/>
    <w:rsid w:val="009E7722"/>
    <w:rsid w:val="009F008F"/>
    <w:rsid w:val="009F1C7F"/>
    <w:rsid w:val="009F2355"/>
    <w:rsid w:val="009F3BF5"/>
    <w:rsid w:val="009F436C"/>
    <w:rsid w:val="009F560F"/>
    <w:rsid w:val="009F6296"/>
    <w:rsid w:val="00A00A95"/>
    <w:rsid w:val="00A00D1D"/>
    <w:rsid w:val="00A00F2A"/>
    <w:rsid w:val="00A0213D"/>
    <w:rsid w:val="00A02A3A"/>
    <w:rsid w:val="00A0411D"/>
    <w:rsid w:val="00A06957"/>
    <w:rsid w:val="00A074D0"/>
    <w:rsid w:val="00A07E39"/>
    <w:rsid w:val="00A10746"/>
    <w:rsid w:val="00A10913"/>
    <w:rsid w:val="00A10C25"/>
    <w:rsid w:val="00A112B2"/>
    <w:rsid w:val="00A123FF"/>
    <w:rsid w:val="00A13B39"/>
    <w:rsid w:val="00A14C0B"/>
    <w:rsid w:val="00A15F6F"/>
    <w:rsid w:val="00A16681"/>
    <w:rsid w:val="00A167ED"/>
    <w:rsid w:val="00A218B4"/>
    <w:rsid w:val="00A249D7"/>
    <w:rsid w:val="00A24E45"/>
    <w:rsid w:val="00A25268"/>
    <w:rsid w:val="00A261CC"/>
    <w:rsid w:val="00A31545"/>
    <w:rsid w:val="00A32B1A"/>
    <w:rsid w:val="00A35594"/>
    <w:rsid w:val="00A37580"/>
    <w:rsid w:val="00A376A9"/>
    <w:rsid w:val="00A434A7"/>
    <w:rsid w:val="00A434C3"/>
    <w:rsid w:val="00A43EA3"/>
    <w:rsid w:val="00A44063"/>
    <w:rsid w:val="00A44ACB"/>
    <w:rsid w:val="00A45C0C"/>
    <w:rsid w:val="00A477C5"/>
    <w:rsid w:val="00A50106"/>
    <w:rsid w:val="00A51B76"/>
    <w:rsid w:val="00A534B3"/>
    <w:rsid w:val="00A55531"/>
    <w:rsid w:val="00A56A17"/>
    <w:rsid w:val="00A571CE"/>
    <w:rsid w:val="00A57920"/>
    <w:rsid w:val="00A60142"/>
    <w:rsid w:val="00A60FB2"/>
    <w:rsid w:val="00A62ED9"/>
    <w:rsid w:val="00A632C6"/>
    <w:rsid w:val="00A638A0"/>
    <w:rsid w:val="00A639C6"/>
    <w:rsid w:val="00A63D19"/>
    <w:rsid w:val="00A651E2"/>
    <w:rsid w:val="00A654AF"/>
    <w:rsid w:val="00A66F0D"/>
    <w:rsid w:val="00A719D9"/>
    <w:rsid w:val="00A737A9"/>
    <w:rsid w:val="00A74AA8"/>
    <w:rsid w:val="00A75412"/>
    <w:rsid w:val="00A772B2"/>
    <w:rsid w:val="00A77452"/>
    <w:rsid w:val="00A806C6"/>
    <w:rsid w:val="00A808DB"/>
    <w:rsid w:val="00A82476"/>
    <w:rsid w:val="00A82538"/>
    <w:rsid w:val="00A83C54"/>
    <w:rsid w:val="00A83CC2"/>
    <w:rsid w:val="00A8549F"/>
    <w:rsid w:val="00A85A4C"/>
    <w:rsid w:val="00A871B8"/>
    <w:rsid w:val="00A92CFF"/>
    <w:rsid w:val="00A93D07"/>
    <w:rsid w:val="00A9454D"/>
    <w:rsid w:val="00A96F03"/>
    <w:rsid w:val="00A9725D"/>
    <w:rsid w:val="00A972F8"/>
    <w:rsid w:val="00AA006F"/>
    <w:rsid w:val="00AA0580"/>
    <w:rsid w:val="00AA4B7C"/>
    <w:rsid w:val="00AA6E57"/>
    <w:rsid w:val="00AA720A"/>
    <w:rsid w:val="00AB0777"/>
    <w:rsid w:val="00AB131A"/>
    <w:rsid w:val="00AB17D7"/>
    <w:rsid w:val="00AB1B45"/>
    <w:rsid w:val="00AB2814"/>
    <w:rsid w:val="00AB3D75"/>
    <w:rsid w:val="00AB616B"/>
    <w:rsid w:val="00AB7C86"/>
    <w:rsid w:val="00AC2A96"/>
    <w:rsid w:val="00AC2DB9"/>
    <w:rsid w:val="00AC4247"/>
    <w:rsid w:val="00AC5720"/>
    <w:rsid w:val="00AC64B9"/>
    <w:rsid w:val="00AC6C2C"/>
    <w:rsid w:val="00AC6EDC"/>
    <w:rsid w:val="00AD01AB"/>
    <w:rsid w:val="00AD0B15"/>
    <w:rsid w:val="00AD14E7"/>
    <w:rsid w:val="00AD2AA8"/>
    <w:rsid w:val="00AD2E75"/>
    <w:rsid w:val="00AD42B8"/>
    <w:rsid w:val="00AD55EF"/>
    <w:rsid w:val="00AD5DB3"/>
    <w:rsid w:val="00AD61F1"/>
    <w:rsid w:val="00AD623F"/>
    <w:rsid w:val="00AD67C3"/>
    <w:rsid w:val="00AD6D91"/>
    <w:rsid w:val="00AE1B64"/>
    <w:rsid w:val="00AE36EA"/>
    <w:rsid w:val="00AE39D2"/>
    <w:rsid w:val="00AE4F2A"/>
    <w:rsid w:val="00AE688F"/>
    <w:rsid w:val="00AF070D"/>
    <w:rsid w:val="00AF087A"/>
    <w:rsid w:val="00AF0DBC"/>
    <w:rsid w:val="00AF1158"/>
    <w:rsid w:val="00AF1462"/>
    <w:rsid w:val="00AF257A"/>
    <w:rsid w:val="00AF48ED"/>
    <w:rsid w:val="00AF4C68"/>
    <w:rsid w:val="00AF59FA"/>
    <w:rsid w:val="00AF6674"/>
    <w:rsid w:val="00AF726C"/>
    <w:rsid w:val="00B008F7"/>
    <w:rsid w:val="00B00C33"/>
    <w:rsid w:val="00B00D4C"/>
    <w:rsid w:val="00B0433B"/>
    <w:rsid w:val="00B0497D"/>
    <w:rsid w:val="00B058BD"/>
    <w:rsid w:val="00B0660D"/>
    <w:rsid w:val="00B068B5"/>
    <w:rsid w:val="00B104C7"/>
    <w:rsid w:val="00B10C1A"/>
    <w:rsid w:val="00B1352C"/>
    <w:rsid w:val="00B13759"/>
    <w:rsid w:val="00B13BE2"/>
    <w:rsid w:val="00B142BF"/>
    <w:rsid w:val="00B16FB5"/>
    <w:rsid w:val="00B21141"/>
    <w:rsid w:val="00B21888"/>
    <w:rsid w:val="00B2202F"/>
    <w:rsid w:val="00B22FA3"/>
    <w:rsid w:val="00B2423B"/>
    <w:rsid w:val="00B2614D"/>
    <w:rsid w:val="00B264C9"/>
    <w:rsid w:val="00B32F0B"/>
    <w:rsid w:val="00B33562"/>
    <w:rsid w:val="00B34CF8"/>
    <w:rsid w:val="00B35CF0"/>
    <w:rsid w:val="00B37357"/>
    <w:rsid w:val="00B37852"/>
    <w:rsid w:val="00B37ABE"/>
    <w:rsid w:val="00B41DB8"/>
    <w:rsid w:val="00B42309"/>
    <w:rsid w:val="00B424E1"/>
    <w:rsid w:val="00B4385C"/>
    <w:rsid w:val="00B43970"/>
    <w:rsid w:val="00B43D3A"/>
    <w:rsid w:val="00B44013"/>
    <w:rsid w:val="00B44D40"/>
    <w:rsid w:val="00B44E92"/>
    <w:rsid w:val="00B456A3"/>
    <w:rsid w:val="00B456AA"/>
    <w:rsid w:val="00B47819"/>
    <w:rsid w:val="00B47E52"/>
    <w:rsid w:val="00B50369"/>
    <w:rsid w:val="00B51507"/>
    <w:rsid w:val="00B5203D"/>
    <w:rsid w:val="00B5226E"/>
    <w:rsid w:val="00B53F04"/>
    <w:rsid w:val="00B54F7B"/>
    <w:rsid w:val="00B561C9"/>
    <w:rsid w:val="00B575F2"/>
    <w:rsid w:val="00B57656"/>
    <w:rsid w:val="00B61576"/>
    <w:rsid w:val="00B6363A"/>
    <w:rsid w:val="00B63AC0"/>
    <w:rsid w:val="00B63B56"/>
    <w:rsid w:val="00B66DB3"/>
    <w:rsid w:val="00B71938"/>
    <w:rsid w:val="00B72041"/>
    <w:rsid w:val="00B72229"/>
    <w:rsid w:val="00B73084"/>
    <w:rsid w:val="00B74F43"/>
    <w:rsid w:val="00B76021"/>
    <w:rsid w:val="00B768C4"/>
    <w:rsid w:val="00B8094C"/>
    <w:rsid w:val="00B8561C"/>
    <w:rsid w:val="00B85B7E"/>
    <w:rsid w:val="00B8615A"/>
    <w:rsid w:val="00B86E5A"/>
    <w:rsid w:val="00B870C8"/>
    <w:rsid w:val="00B900CE"/>
    <w:rsid w:val="00B93203"/>
    <w:rsid w:val="00B940AC"/>
    <w:rsid w:val="00B9602E"/>
    <w:rsid w:val="00BA0A23"/>
    <w:rsid w:val="00BA1480"/>
    <w:rsid w:val="00BA18DF"/>
    <w:rsid w:val="00BA2148"/>
    <w:rsid w:val="00BA423E"/>
    <w:rsid w:val="00BA5EA6"/>
    <w:rsid w:val="00BA5F88"/>
    <w:rsid w:val="00BA6C1D"/>
    <w:rsid w:val="00BA7403"/>
    <w:rsid w:val="00BA7BDA"/>
    <w:rsid w:val="00BA7C68"/>
    <w:rsid w:val="00BB0DA8"/>
    <w:rsid w:val="00BB2DAA"/>
    <w:rsid w:val="00BB379C"/>
    <w:rsid w:val="00BB4C7E"/>
    <w:rsid w:val="00BB4F2F"/>
    <w:rsid w:val="00BB6580"/>
    <w:rsid w:val="00BB6891"/>
    <w:rsid w:val="00BB7D63"/>
    <w:rsid w:val="00BB7EE8"/>
    <w:rsid w:val="00BC1082"/>
    <w:rsid w:val="00BC14CC"/>
    <w:rsid w:val="00BC1737"/>
    <w:rsid w:val="00BC1C22"/>
    <w:rsid w:val="00BC1CF0"/>
    <w:rsid w:val="00BC1E2F"/>
    <w:rsid w:val="00BC2E20"/>
    <w:rsid w:val="00BC4329"/>
    <w:rsid w:val="00BC466E"/>
    <w:rsid w:val="00BC7F6F"/>
    <w:rsid w:val="00BD28BF"/>
    <w:rsid w:val="00BD332D"/>
    <w:rsid w:val="00BD3B50"/>
    <w:rsid w:val="00BD4ECC"/>
    <w:rsid w:val="00BD62D7"/>
    <w:rsid w:val="00BD7796"/>
    <w:rsid w:val="00BD786C"/>
    <w:rsid w:val="00BE0D63"/>
    <w:rsid w:val="00BE2208"/>
    <w:rsid w:val="00BE2421"/>
    <w:rsid w:val="00BE2E5C"/>
    <w:rsid w:val="00BE3319"/>
    <w:rsid w:val="00BE3CEB"/>
    <w:rsid w:val="00BE4052"/>
    <w:rsid w:val="00BE4765"/>
    <w:rsid w:val="00BE50F1"/>
    <w:rsid w:val="00BE5B4B"/>
    <w:rsid w:val="00BE5DD4"/>
    <w:rsid w:val="00BE71E6"/>
    <w:rsid w:val="00BE765F"/>
    <w:rsid w:val="00BF0CB5"/>
    <w:rsid w:val="00BF0D13"/>
    <w:rsid w:val="00BF0EE6"/>
    <w:rsid w:val="00BF1E95"/>
    <w:rsid w:val="00BF37FB"/>
    <w:rsid w:val="00BF394D"/>
    <w:rsid w:val="00BF3DBC"/>
    <w:rsid w:val="00BF43C7"/>
    <w:rsid w:val="00BF5AF2"/>
    <w:rsid w:val="00BF5D2E"/>
    <w:rsid w:val="00BF5E9D"/>
    <w:rsid w:val="00BF71BE"/>
    <w:rsid w:val="00BF7AC0"/>
    <w:rsid w:val="00C00C4F"/>
    <w:rsid w:val="00C0127E"/>
    <w:rsid w:val="00C03019"/>
    <w:rsid w:val="00C03B2F"/>
    <w:rsid w:val="00C03C98"/>
    <w:rsid w:val="00C0457A"/>
    <w:rsid w:val="00C052EB"/>
    <w:rsid w:val="00C05BF9"/>
    <w:rsid w:val="00C063C4"/>
    <w:rsid w:val="00C0732A"/>
    <w:rsid w:val="00C074EF"/>
    <w:rsid w:val="00C10F3E"/>
    <w:rsid w:val="00C13746"/>
    <w:rsid w:val="00C14812"/>
    <w:rsid w:val="00C165A8"/>
    <w:rsid w:val="00C20B8F"/>
    <w:rsid w:val="00C211F1"/>
    <w:rsid w:val="00C213CB"/>
    <w:rsid w:val="00C242F6"/>
    <w:rsid w:val="00C2592B"/>
    <w:rsid w:val="00C25BDC"/>
    <w:rsid w:val="00C2697E"/>
    <w:rsid w:val="00C31744"/>
    <w:rsid w:val="00C328F6"/>
    <w:rsid w:val="00C35166"/>
    <w:rsid w:val="00C35DBD"/>
    <w:rsid w:val="00C36594"/>
    <w:rsid w:val="00C36E60"/>
    <w:rsid w:val="00C379F7"/>
    <w:rsid w:val="00C4099C"/>
    <w:rsid w:val="00C4280E"/>
    <w:rsid w:val="00C45ACC"/>
    <w:rsid w:val="00C4615A"/>
    <w:rsid w:val="00C468B1"/>
    <w:rsid w:val="00C47A28"/>
    <w:rsid w:val="00C51106"/>
    <w:rsid w:val="00C51992"/>
    <w:rsid w:val="00C52234"/>
    <w:rsid w:val="00C52407"/>
    <w:rsid w:val="00C530E8"/>
    <w:rsid w:val="00C53ABA"/>
    <w:rsid w:val="00C54210"/>
    <w:rsid w:val="00C5460D"/>
    <w:rsid w:val="00C54D77"/>
    <w:rsid w:val="00C551F5"/>
    <w:rsid w:val="00C556BC"/>
    <w:rsid w:val="00C55AAD"/>
    <w:rsid w:val="00C567B0"/>
    <w:rsid w:val="00C56969"/>
    <w:rsid w:val="00C57D20"/>
    <w:rsid w:val="00C604B7"/>
    <w:rsid w:val="00C604C1"/>
    <w:rsid w:val="00C61A45"/>
    <w:rsid w:val="00C62084"/>
    <w:rsid w:val="00C62225"/>
    <w:rsid w:val="00C64E9D"/>
    <w:rsid w:val="00C64EE8"/>
    <w:rsid w:val="00C64F16"/>
    <w:rsid w:val="00C651B0"/>
    <w:rsid w:val="00C66393"/>
    <w:rsid w:val="00C700FA"/>
    <w:rsid w:val="00C70742"/>
    <w:rsid w:val="00C7155F"/>
    <w:rsid w:val="00C71763"/>
    <w:rsid w:val="00C71A7D"/>
    <w:rsid w:val="00C71B9C"/>
    <w:rsid w:val="00C72008"/>
    <w:rsid w:val="00C74404"/>
    <w:rsid w:val="00C76BD0"/>
    <w:rsid w:val="00C76CDB"/>
    <w:rsid w:val="00C80F09"/>
    <w:rsid w:val="00C80FF3"/>
    <w:rsid w:val="00C821B4"/>
    <w:rsid w:val="00C83440"/>
    <w:rsid w:val="00C85F3D"/>
    <w:rsid w:val="00C861A0"/>
    <w:rsid w:val="00C87455"/>
    <w:rsid w:val="00C87869"/>
    <w:rsid w:val="00C87F79"/>
    <w:rsid w:val="00C90015"/>
    <w:rsid w:val="00C90ECD"/>
    <w:rsid w:val="00C91CF8"/>
    <w:rsid w:val="00C926F8"/>
    <w:rsid w:val="00C945F5"/>
    <w:rsid w:val="00C94F06"/>
    <w:rsid w:val="00C95195"/>
    <w:rsid w:val="00C97433"/>
    <w:rsid w:val="00CA0BF8"/>
    <w:rsid w:val="00CA4E0A"/>
    <w:rsid w:val="00CA4E4B"/>
    <w:rsid w:val="00CA69D7"/>
    <w:rsid w:val="00CA6F75"/>
    <w:rsid w:val="00CA7495"/>
    <w:rsid w:val="00CA7970"/>
    <w:rsid w:val="00CB2492"/>
    <w:rsid w:val="00CB315D"/>
    <w:rsid w:val="00CB31FC"/>
    <w:rsid w:val="00CB3694"/>
    <w:rsid w:val="00CB3EBB"/>
    <w:rsid w:val="00CB481D"/>
    <w:rsid w:val="00CB4859"/>
    <w:rsid w:val="00CB4AA6"/>
    <w:rsid w:val="00CB671C"/>
    <w:rsid w:val="00CB73E6"/>
    <w:rsid w:val="00CB75A5"/>
    <w:rsid w:val="00CC05DF"/>
    <w:rsid w:val="00CC095E"/>
    <w:rsid w:val="00CC4204"/>
    <w:rsid w:val="00CC55A0"/>
    <w:rsid w:val="00CC60B2"/>
    <w:rsid w:val="00CC66BE"/>
    <w:rsid w:val="00CC7348"/>
    <w:rsid w:val="00CD10AC"/>
    <w:rsid w:val="00CD2EE0"/>
    <w:rsid w:val="00CD2F68"/>
    <w:rsid w:val="00CD3ED6"/>
    <w:rsid w:val="00CD58BA"/>
    <w:rsid w:val="00CD63CA"/>
    <w:rsid w:val="00CD66DC"/>
    <w:rsid w:val="00CE0418"/>
    <w:rsid w:val="00CE0AB0"/>
    <w:rsid w:val="00CE2615"/>
    <w:rsid w:val="00CE29C9"/>
    <w:rsid w:val="00CE3692"/>
    <w:rsid w:val="00CE3D09"/>
    <w:rsid w:val="00CE55A4"/>
    <w:rsid w:val="00CE706F"/>
    <w:rsid w:val="00CF03C6"/>
    <w:rsid w:val="00CF05BD"/>
    <w:rsid w:val="00CF0A93"/>
    <w:rsid w:val="00CF285A"/>
    <w:rsid w:val="00CF350D"/>
    <w:rsid w:val="00CF3B03"/>
    <w:rsid w:val="00CF46B9"/>
    <w:rsid w:val="00CF4E72"/>
    <w:rsid w:val="00CF4EFB"/>
    <w:rsid w:val="00CF63BF"/>
    <w:rsid w:val="00CF7631"/>
    <w:rsid w:val="00CF7F2C"/>
    <w:rsid w:val="00D006D2"/>
    <w:rsid w:val="00D009B9"/>
    <w:rsid w:val="00D00C4B"/>
    <w:rsid w:val="00D0121A"/>
    <w:rsid w:val="00D022E5"/>
    <w:rsid w:val="00D028B6"/>
    <w:rsid w:val="00D03351"/>
    <w:rsid w:val="00D0540C"/>
    <w:rsid w:val="00D06465"/>
    <w:rsid w:val="00D07861"/>
    <w:rsid w:val="00D10DF7"/>
    <w:rsid w:val="00D10E62"/>
    <w:rsid w:val="00D11BE0"/>
    <w:rsid w:val="00D11EBE"/>
    <w:rsid w:val="00D1493E"/>
    <w:rsid w:val="00D1565B"/>
    <w:rsid w:val="00D1569E"/>
    <w:rsid w:val="00D16653"/>
    <w:rsid w:val="00D20932"/>
    <w:rsid w:val="00D20F0C"/>
    <w:rsid w:val="00D21EFE"/>
    <w:rsid w:val="00D23177"/>
    <w:rsid w:val="00D24688"/>
    <w:rsid w:val="00D24E28"/>
    <w:rsid w:val="00D256AA"/>
    <w:rsid w:val="00D2628F"/>
    <w:rsid w:val="00D26F8C"/>
    <w:rsid w:val="00D2748C"/>
    <w:rsid w:val="00D27A1D"/>
    <w:rsid w:val="00D305D4"/>
    <w:rsid w:val="00D3183B"/>
    <w:rsid w:val="00D35AF4"/>
    <w:rsid w:val="00D36DB0"/>
    <w:rsid w:val="00D3789F"/>
    <w:rsid w:val="00D406FD"/>
    <w:rsid w:val="00D40B5E"/>
    <w:rsid w:val="00D40DFE"/>
    <w:rsid w:val="00D41CFB"/>
    <w:rsid w:val="00D4321E"/>
    <w:rsid w:val="00D44315"/>
    <w:rsid w:val="00D46291"/>
    <w:rsid w:val="00D5086A"/>
    <w:rsid w:val="00D514D6"/>
    <w:rsid w:val="00D54E89"/>
    <w:rsid w:val="00D553FE"/>
    <w:rsid w:val="00D55D3B"/>
    <w:rsid w:val="00D56697"/>
    <w:rsid w:val="00D56B5E"/>
    <w:rsid w:val="00D56D41"/>
    <w:rsid w:val="00D57990"/>
    <w:rsid w:val="00D57D3B"/>
    <w:rsid w:val="00D60613"/>
    <w:rsid w:val="00D60722"/>
    <w:rsid w:val="00D61D13"/>
    <w:rsid w:val="00D6272E"/>
    <w:rsid w:val="00D63E94"/>
    <w:rsid w:val="00D63FEA"/>
    <w:rsid w:val="00D6586B"/>
    <w:rsid w:val="00D66A1E"/>
    <w:rsid w:val="00D66DA4"/>
    <w:rsid w:val="00D66F83"/>
    <w:rsid w:val="00D673F2"/>
    <w:rsid w:val="00D710E2"/>
    <w:rsid w:val="00D724F3"/>
    <w:rsid w:val="00D73088"/>
    <w:rsid w:val="00D75623"/>
    <w:rsid w:val="00D771A8"/>
    <w:rsid w:val="00D80B03"/>
    <w:rsid w:val="00D80DEA"/>
    <w:rsid w:val="00D8160E"/>
    <w:rsid w:val="00D8198D"/>
    <w:rsid w:val="00D831FB"/>
    <w:rsid w:val="00D8440C"/>
    <w:rsid w:val="00D85797"/>
    <w:rsid w:val="00D866DE"/>
    <w:rsid w:val="00D87504"/>
    <w:rsid w:val="00D9040C"/>
    <w:rsid w:val="00D906E0"/>
    <w:rsid w:val="00D91C96"/>
    <w:rsid w:val="00D936F3"/>
    <w:rsid w:val="00D9383B"/>
    <w:rsid w:val="00D940D7"/>
    <w:rsid w:val="00D9521E"/>
    <w:rsid w:val="00D9596B"/>
    <w:rsid w:val="00D9663B"/>
    <w:rsid w:val="00DA2517"/>
    <w:rsid w:val="00DA3517"/>
    <w:rsid w:val="00DA3592"/>
    <w:rsid w:val="00DA3BF2"/>
    <w:rsid w:val="00DA4DB1"/>
    <w:rsid w:val="00DA7551"/>
    <w:rsid w:val="00DB160E"/>
    <w:rsid w:val="00DB1C1E"/>
    <w:rsid w:val="00DB1F89"/>
    <w:rsid w:val="00DB333C"/>
    <w:rsid w:val="00DB3528"/>
    <w:rsid w:val="00DB4C9F"/>
    <w:rsid w:val="00DB5CF6"/>
    <w:rsid w:val="00DB78E5"/>
    <w:rsid w:val="00DC0A6D"/>
    <w:rsid w:val="00DC1001"/>
    <w:rsid w:val="00DC2365"/>
    <w:rsid w:val="00DC345D"/>
    <w:rsid w:val="00DC40A7"/>
    <w:rsid w:val="00DC481D"/>
    <w:rsid w:val="00DC49EF"/>
    <w:rsid w:val="00DC7894"/>
    <w:rsid w:val="00DC7896"/>
    <w:rsid w:val="00DD02B9"/>
    <w:rsid w:val="00DD12C0"/>
    <w:rsid w:val="00DD1DF2"/>
    <w:rsid w:val="00DD2728"/>
    <w:rsid w:val="00DD40C5"/>
    <w:rsid w:val="00DD46BE"/>
    <w:rsid w:val="00DD499F"/>
    <w:rsid w:val="00DD6E6C"/>
    <w:rsid w:val="00DD6FDE"/>
    <w:rsid w:val="00DE293B"/>
    <w:rsid w:val="00DE2AD7"/>
    <w:rsid w:val="00DE2C9B"/>
    <w:rsid w:val="00DE2D1B"/>
    <w:rsid w:val="00DE35E4"/>
    <w:rsid w:val="00DE3B13"/>
    <w:rsid w:val="00DE3B1F"/>
    <w:rsid w:val="00DE4797"/>
    <w:rsid w:val="00DE533B"/>
    <w:rsid w:val="00DE5C9F"/>
    <w:rsid w:val="00DE5F74"/>
    <w:rsid w:val="00DE720F"/>
    <w:rsid w:val="00DF0E59"/>
    <w:rsid w:val="00DF25C2"/>
    <w:rsid w:val="00DF3EB2"/>
    <w:rsid w:val="00DF6822"/>
    <w:rsid w:val="00DF74F7"/>
    <w:rsid w:val="00E0010F"/>
    <w:rsid w:val="00E00141"/>
    <w:rsid w:val="00E0018A"/>
    <w:rsid w:val="00E01B4C"/>
    <w:rsid w:val="00E02770"/>
    <w:rsid w:val="00E0609F"/>
    <w:rsid w:val="00E0622E"/>
    <w:rsid w:val="00E062C2"/>
    <w:rsid w:val="00E0751E"/>
    <w:rsid w:val="00E1023A"/>
    <w:rsid w:val="00E10967"/>
    <w:rsid w:val="00E117B4"/>
    <w:rsid w:val="00E11A3E"/>
    <w:rsid w:val="00E11ED4"/>
    <w:rsid w:val="00E12C91"/>
    <w:rsid w:val="00E138F7"/>
    <w:rsid w:val="00E1402E"/>
    <w:rsid w:val="00E17776"/>
    <w:rsid w:val="00E206B2"/>
    <w:rsid w:val="00E206BF"/>
    <w:rsid w:val="00E207ED"/>
    <w:rsid w:val="00E222DD"/>
    <w:rsid w:val="00E22E94"/>
    <w:rsid w:val="00E2313C"/>
    <w:rsid w:val="00E24B51"/>
    <w:rsid w:val="00E24D94"/>
    <w:rsid w:val="00E255C7"/>
    <w:rsid w:val="00E260D2"/>
    <w:rsid w:val="00E263D6"/>
    <w:rsid w:val="00E27CC4"/>
    <w:rsid w:val="00E308CC"/>
    <w:rsid w:val="00E30FB7"/>
    <w:rsid w:val="00E31BB7"/>
    <w:rsid w:val="00E31CA9"/>
    <w:rsid w:val="00E31F61"/>
    <w:rsid w:val="00E32545"/>
    <w:rsid w:val="00E35382"/>
    <w:rsid w:val="00E35416"/>
    <w:rsid w:val="00E35441"/>
    <w:rsid w:val="00E36215"/>
    <w:rsid w:val="00E36584"/>
    <w:rsid w:val="00E36789"/>
    <w:rsid w:val="00E369E7"/>
    <w:rsid w:val="00E37C3D"/>
    <w:rsid w:val="00E40B08"/>
    <w:rsid w:val="00E415C8"/>
    <w:rsid w:val="00E42369"/>
    <w:rsid w:val="00E42538"/>
    <w:rsid w:val="00E4366F"/>
    <w:rsid w:val="00E47BC0"/>
    <w:rsid w:val="00E500BB"/>
    <w:rsid w:val="00E515CB"/>
    <w:rsid w:val="00E51715"/>
    <w:rsid w:val="00E52426"/>
    <w:rsid w:val="00E52507"/>
    <w:rsid w:val="00E52D9A"/>
    <w:rsid w:val="00E53879"/>
    <w:rsid w:val="00E539D0"/>
    <w:rsid w:val="00E53DB0"/>
    <w:rsid w:val="00E53E3E"/>
    <w:rsid w:val="00E56F1C"/>
    <w:rsid w:val="00E6029B"/>
    <w:rsid w:val="00E60EEE"/>
    <w:rsid w:val="00E616DD"/>
    <w:rsid w:val="00E661C5"/>
    <w:rsid w:val="00E66261"/>
    <w:rsid w:val="00E6649C"/>
    <w:rsid w:val="00E66A28"/>
    <w:rsid w:val="00E674FA"/>
    <w:rsid w:val="00E70269"/>
    <w:rsid w:val="00E7075C"/>
    <w:rsid w:val="00E73A7C"/>
    <w:rsid w:val="00E74AEB"/>
    <w:rsid w:val="00E7576D"/>
    <w:rsid w:val="00E77D54"/>
    <w:rsid w:val="00E80565"/>
    <w:rsid w:val="00E80820"/>
    <w:rsid w:val="00E8289C"/>
    <w:rsid w:val="00E83A18"/>
    <w:rsid w:val="00E846D3"/>
    <w:rsid w:val="00E90276"/>
    <w:rsid w:val="00E90B68"/>
    <w:rsid w:val="00E91725"/>
    <w:rsid w:val="00E92E7E"/>
    <w:rsid w:val="00E92FFC"/>
    <w:rsid w:val="00E933DB"/>
    <w:rsid w:val="00E93504"/>
    <w:rsid w:val="00E93775"/>
    <w:rsid w:val="00E93B28"/>
    <w:rsid w:val="00E93E65"/>
    <w:rsid w:val="00E94AE5"/>
    <w:rsid w:val="00E94E89"/>
    <w:rsid w:val="00E95FD3"/>
    <w:rsid w:val="00E961F4"/>
    <w:rsid w:val="00E971AF"/>
    <w:rsid w:val="00EA2385"/>
    <w:rsid w:val="00EA2B91"/>
    <w:rsid w:val="00EA4B63"/>
    <w:rsid w:val="00EA68C6"/>
    <w:rsid w:val="00EA793D"/>
    <w:rsid w:val="00EB0955"/>
    <w:rsid w:val="00EB252D"/>
    <w:rsid w:val="00EB31C6"/>
    <w:rsid w:val="00EB36E8"/>
    <w:rsid w:val="00EB4D5E"/>
    <w:rsid w:val="00EB51E0"/>
    <w:rsid w:val="00EB59CF"/>
    <w:rsid w:val="00EB5A68"/>
    <w:rsid w:val="00EB6DF3"/>
    <w:rsid w:val="00EC062D"/>
    <w:rsid w:val="00EC1923"/>
    <w:rsid w:val="00EC20A4"/>
    <w:rsid w:val="00EC2C6B"/>
    <w:rsid w:val="00EC4115"/>
    <w:rsid w:val="00EC43E5"/>
    <w:rsid w:val="00EC4882"/>
    <w:rsid w:val="00EC5141"/>
    <w:rsid w:val="00EC5BE8"/>
    <w:rsid w:val="00EC64BA"/>
    <w:rsid w:val="00EC6D1D"/>
    <w:rsid w:val="00EC6DE7"/>
    <w:rsid w:val="00EC7973"/>
    <w:rsid w:val="00EC7C14"/>
    <w:rsid w:val="00ED0BD5"/>
    <w:rsid w:val="00ED2915"/>
    <w:rsid w:val="00ED3102"/>
    <w:rsid w:val="00ED3560"/>
    <w:rsid w:val="00ED4D21"/>
    <w:rsid w:val="00ED5121"/>
    <w:rsid w:val="00ED7A99"/>
    <w:rsid w:val="00EE0A28"/>
    <w:rsid w:val="00EE10CB"/>
    <w:rsid w:val="00EE2174"/>
    <w:rsid w:val="00EE231D"/>
    <w:rsid w:val="00EE24A8"/>
    <w:rsid w:val="00EE3431"/>
    <w:rsid w:val="00EE35A1"/>
    <w:rsid w:val="00EE4517"/>
    <w:rsid w:val="00EE4585"/>
    <w:rsid w:val="00EE53C1"/>
    <w:rsid w:val="00EE717B"/>
    <w:rsid w:val="00EE7A57"/>
    <w:rsid w:val="00EF0291"/>
    <w:rsid w:val="00EF0997"/>
    <w:rsid w:val="00EF2EFB"/>
    <w:rsid w:val="00EF348E"/>
    <w:rsid w:val="00EF4CA6"/>
    <w:rsid w:val="00EF72C2"/>
    <w:rsid w:val="00EF7499"/>
    <w:rsid w:val="00F00408"/>
    <w:rsid w:val="00F0142C"/>
    <w:rsid w:val="00F01EAC"/>
    <w:rsid w:val="00F02DF8"/>
    <w:rsid w:val="00F048C4"/>
    <w:rsid w:val="00F05307"/>
    <w:rsid w:val="00F0555F"/>
    <w:rsid w:val="00F07863"/>
    <w:rsid w:val="00F07EAC"/>
    <w:rsid w:val="00F1053A"/>
    <w:rsid w:val="00F12167"/>
    <w:rsid w:val="00F1368B"/>
    <w:rsid w:val="00F13F15"/>
    <w:rsid w:val="00F14150"/>
    <w:rsid w:val="00F17FF7"/>
    <w:rsid w:val="00F214F0"/>
    <w:rsid w:val="00F2200E"/>
    <w:rsid w:val="00F2266D"/>
    <w:rsid w:val="00F22EEB"/>
    <w:rsid w:val="00F23835"/>
    <w:rsid w:val="00F23F8F"/>
    <w:rsid w:val="00F242FF"/>
    <w:rsid w:val="00F24426"/>
    <w:rsid w:val="00F24C2C"/>
    <w:rsid w:val="00F253C5"/>
    <w:rsid w:val="00F26103"/>
    <w:rsid w:val="00F302D0"/>
    <w:rsid w:val="00F331FA"/>
    <w:rsid w:val="00F33634"/>
    <w:rsid w:val="00F3403A"/>
    <w:rsid w:val="00F365E6"/>
    <w:rsid w:val="00F371F6"/>
    <w:rsid w:val="00F3730C"/>
    <w:rsid w:val="00F37695"/>
    <w:rsid w:val="00F42BFD"/>
    <w:rsid w:val="00F43CD7"/>
    <w:rsid w:val="00F44EB6"/>
    <w:rsid w:val="00F4523C"/>
    <w:rsid w:val="00F45402"/>
    <w:rsid w:val="00F46096"/>
    <w:rsid w:val="00F4674F"/>
    <w:rsid w:val="00F51015"/>
    <w:rsid w:val="00F52758"/>
    <w:rsid w:val="00F528F1"/>
    <w:rsid w:val="00F52F75"/>
    <w:rsid w:val="00F5318F"/>
    <w:rsid w:val="00F53C45"/>
    <w:rsid w:val="00F552A3"/>
    <w:rsid w:val="00F55492"/>
    <w:rsid w:val="00F55AB2"/>
    <w:rsid w:val="00F55BB1"/>
    <w:rsid w:val="00F5614C"/>
    <w:rsid w:val="00F62B3D"/>
    <w:rsid w:val="00F64C1E"/>
    <w:rsid w:val="00F64E95"/>
    <w:rsid w:val="00F6529D"/>
    <w:rsid w:val="00F6549A"/>
    <w:rsid w:val="00F65CC5"/>
    <w:rsid w:val="00F66E88"/>
    <w:rsid w:val="00F677AA"/>
    <w:rsid w:val="00F67CD9"/>
    <w:rsid w:val="00F70D59"/>
    <w:rsid w:val="00F70E81"/>
    <w:rsid w:val="00F71951"/>
    <w:rsid w:val="00F71F16"/>
    <w:rsid w:val="00F72AF9"/>
    <w:rsid w:val="00F72EC6"/>
    <w:rsid w:val="00F73276"/>
    <w:rsid w:val="00F73609"/>
    <w:rsid w:val="00F744B1"/>
    <w:rsid w:val="00F74668"/>
    <w:rsid w:val="00F751B9"/>
    <w:rsid w:val="00F75272"/>
    <w:rsid w:val="00F75C23"/>
    <w:rsid w:val="00F82AC1"/>
    <w:rsid w:val="00F82FD4"/>
    <w:rsid w:val="00F83F5F"/>
    <w:rsid w:val="00F844BB"/>
    <w:rsid w:val="00F845BB"/>
    <w:rsid w:val="00F90289"/>
    <w:rsid w:val="00F92010"/>
    <w:rsid w:val="00F92DDB"/>
    <w:rsid w:val="00F93070"/>
    <w:rsid w:val="00F93430"/>
    <w:rsid w:val="00F93957"/>
    <w:rsid w:val="00F97FE4"/>
    <w:rsid w:val="00FA06BB"/>
    <w:rsid w:val="00FA0F1D"/>
    <w:rsid w:val="00FA1029"/>
    <w:rsid w:val="00FA2594"/>
    <w:rsid w:val="00FA37A8"/>
    <w:rsid w:val="00FA3E48"/>
    <w:rsid w:val="00FA49E0"/>
    <w:rsid w:val="00FA4F8E"/>
    <w:rsid w:val="00FA51C5"/>
    <w:rsid w:val="00FAE214"/>
    <w:rsid w:val="00FB21A3"/>
    <w:rsid w:val="00FB2743"/>
    <w:rsid w:val="00FB27FC"/>
    <w:rsid w:val="00FB2D80"/>
    <w:rsid w:val="00FB41BB"/>
    <w:rsid w:val="00FB50B4"/>
    <w:rsid w:val="00FB527D"/>
    <w:rsid w:val="00FB5A6C"/>
    <w:rsid w:val="00FB642B"/>
    <w:rsid w:val="00FB6DE4"/>
    <w:rsid w:val="00FB6E46"/>
    <w:rsid w:val="00FB71C7"/>
    <w:rsid w:val="00FB76EA"/>
    <w:rsid w:val="00FC1B9B"/>
    <w:rsid w:val="00FC2E8C"/>
    <w:rsid w:val="00FC3F55"/>
    <w:rsid w:val="00FC5BC6"/>
    <w:rsid w:val="00FC6716"/>
    <w:rsid w:val="00FC70C2"/>
    <w:rsid w:val="00FC7388"/>
    <w:rsid w:val="00FC7C38"/>
    <w:rsid w:val="00FD02E2"/>
    <w:rsid w:val="00FD0FD8"/>
    <w:rsid w:val="00FD42A1"/>
    <w:rsid w:val="00FD50A0"/>
    <w:rsid w:val="00FD62FE"/>
    <w:rsid w:val="00FD66DE"/>
    <w:rsid w:val="00FD6F96"/>
    <w:rsid w:val="00FE1B0D"/>
    <w:rsid w:val="00FE4CE2"/>
    <w:rsid w:val="00FE6678"/>
    <w:rsid w:val="00FE7039"/>
    <w:rsid w:val="00FE7FEC"/>
    <w:rsid w:val="00FF0070"/>
    <w:rsid w:val="00FF15A2"/>
    <w:rsid w:val="00FF2097"/>
    <w:rsid w:val="00FF2317"/>
    <w:rsid w:val="00FF299F"/>
    <w:rsid w:val="00FF2F42"/>
    <w:rsid w:val="00FF748E"/>
    <w:rsid w:val="00FF78C0"/>
    <w:rsid w:val="013A7A08"/>
    <w:rsid w:val="014888E4"/>
    <w:rsid w:val="014D252B"/>
    <w:rsid w:val="01696530"/>
    <w:rsid w:val="016B8C22"/>
    <w:rsid w:val="01E093A6"/>
    <w:rsid w:val="01FA4C99"/>
    <w:rsid w:val="0247DE2E"/>
    <w:rsid w:val="024DEB70"/>
    <w:rsid w:val="02564B41"/>
    <w:rsid w:val="025C35BC"/>
    <w:rsid w:val="02659750"/>
    <w:rsid w:val="028BD11E"/>
    <w:rsid w:val="028EB88D"/>
    <w:rsid w:val="02961516"/>
    <w:rsid w:val="0296E5DA"/>
    <w:rsid w:val="029C3C37"/>
    <w:rsid w:val="02AB015A"/>
    <w:rsid w:val="02BBB567"/>
    <w:rsid w:val="02BBC8E9"/>
    <w:rsid w:val="02E30465"/>
    <w:rsid w:val="03035210"/>
    <w:rsid w:val="0306FE6E"/>
    <w:rsid w:val="03080C75"/>
    <w:rsid w:val="030BE5F1"/>
    <w:rsid w:val="031CA77C"/>
    <w:rsid w:val="03281BD5"/>
    <w:rsid w:val="033954BE"/>
    <w:rsid w:val="03526465"/>
    <w:rsid w:val="0354C14D"/>
    <w:rsid w:val="0367CFDB"/>
    <w:rsid w:val="036C9AD6"/>
    <w:rsid w:val="039096F6"/>
    <w:rsid w:val="03963B32"/>
    <w:rsid w:val="03A3E814"/>
    <w:rsid w:val="03A7D5BE"/>
    <w:rsid w:val="03B15178"/>
    <w:rsid w:val="03BAF7BA"/>
    <w:rsid w:val="03E9C975"/>
    <w:rsid w:val="03F0380E"/>
    <w:rsid w:val="03F74AB7"/>
    <w:rsid w:val="040BE41E"/>
    <w:rsid w:val="0438D24B"/>
    <w:rsid w:val="043A758E"/>
    <w:rsid w:val="044D2BF4"/>
    <w:rsid w:val="045A6A4A"/>
    <w:rsid w:val="047B0AAA"/>
    <w:rsid w:val="047D72D6"/>
    <w:rsid w:val="049BD2B9"/>
    <w:rsid w:val="04ACA403"/>
    <w:rsid w:val="04B34BFD"/>
    <w:rsid w:val="04BDEE5B"/>
    <w:rsid w:val="04C03653"/>
    <w:rsid w:val="04C34DE7"/>
    <w:rsid w:val="04CB5DF4"/>
    <w:rsid w:val="04FD6DE7"/>
    <w:rsid w:val="0529E2CB"/>
    <w:rsid w:val="0536CBC1"/>
    <w:rsid w:val="054ADA8E"/>
    <w:rsid w:val="05551D19"/>
    <w:rsid w:val="055EF6A8"/>
    <w:rsid w:val="05784723"/>
    <w:rsid w:val="0579174D"/>
    <w:rsid w:val="058733A5"/>
    <w:rsid w:val="0590D288"/>
    <w:rsid w:val="05C30DC7"/>
    <w:rsid w:val="05C4F061"/>
    <w:rsid w:val="05D6CF94"/>
    <w:rsid w:val="05DB4983"/>
    <w:rsid w:val="05F07CBC"/>
    <w:rsid w:val="06338B47"/>
    <w:rsid w:val="063561E0"/>
    <w:rsid w:val="0689922D"/>
    <w:rsid w:val="06A517D1"/>
    <w:rsid w:val="06BBF90A"/>
    <w:rsid w:val="06BFFF7F"/>
    <w:rsid w:val="06C0508A"/>
    <w:rsid w:val="06D6B497"/>
    <w:rsid w:val="06D7DE45"/>
    <w:rsid w:val="06E26EB2"/>
    <w:rsid w:val="06E2E9AE"/>
    <w:rsid w:val="07035B5E"/>
    <w:rsid w:val="07040C4A"/>
    <w:rsid w:val="070D33AC"/>
    <w:rsid w:val="0719203D"/>
    <w:rsid w:val="074A883A"/>
    <w:rsid w:val="074BD515"/>
    <w:rsid w:val="075FADF4"/>
    <w:rsid w:val="07692EAC"/>
    <w:rsid w:val="076D195A"/>
    <w:rsid w:val="0771D109"/>
    <w:rsid w:val="07866CC7"/>
    <w:rsid w:val="0795BEE6"/>
    <w:rsid w:val="079630AD"/>
    <w:rsid w:val="07C977E8"/>
    <w:rsid w:val="07E9FE39"/>
    <w:rsid w:val="0807AE82"/>
    <w:rsid w:val="080859AE"/>
    <w:rsid w:val="08286759"/>
    <w:rsid w:val="084B6A11"/>
    <w:rsid w:val="0853FDE8"/>
    <w:rsid w:val="087C5A92"/>
    <w:rsid w:val="08825B43"/>
    <w:rsid w:val="08D2F160"/>
    <w:rsid w:val="09244171"/>
    <w:rsid w:val="093891E7"/>
    <w:rsid w:val="094DABD2"/>
    <w:rsid w:val="0956DB9D"/>
    <w:rsid w:val="095AA26C"/>
    <w:rsid w:val="09605950"/>
    <w:rsid w:val="096B1D82"/>
    <w:rsid w:val="0972ECDD"/>
    <w:rsid w:val="0977617C"/>
    <w:rsid w:val="099A7B28"/>
    <w:rsid w:val="099C7098"/>
    <w:rsid w:val="09CB2744"/>
    <w:rsid w:val="09D16485"/>
    <w:rsid w:val="0A2FA985"/>
    <w:rsid w:val="0A39F3CB"/>
    <w:rsid w:val="0A4A0BBE"/>
    <w:rsid w:val="0A5C7B0A"/>
    <w:rsid w:val="0A6BDEEC"/>
    <w:rsid w:val="0A6F04B2"/>
    <w:rsid w:val="0A7E5CB7"/>
    <w:rsid w:val="0A8C0AE3"/>
    <w:rsid w:val="0A980423"/>
    <w:rsid w:val="0A98836E"/>
    <w:rsid w:val="0A99F4DA"/>
    <w:rsid w:val="0AD45B75"/>
    <w:rsid w:val="0B0059CA"/>
    <w:rsid w:val="0B0CDF6A"/>
    <w:rsid w:val="0B1668CD"/>
    <w:rsid w:val="0B29D05D"/>
    <w:rsid w:val="0B2DCA0E"/>
    <w:rsid w:val="0B40CE1B"/>
    <w:rsid w:val="0B526FCA"/>
    <w:rsid w:val="0BAC7067"/>
    <w:rsid w:val="0BB1DF4A"/>
    <w:rsid w:val="0BBDA360"/>
    <w:rsid w:val="0BE5A656"/>
    <w:rsid w:val="0C61D99F"/>
    <w:rsid w:val="0C7E31C0"/>
    <w:rsid w:val="0D07F804"/>
    <w:rsid w:val="0D0B6019"/>
    <w:rsid w:val="0D157D0E"/>
    <w:rsid w:val="0D25D937"/>
    <w:rsid w:val="0D27E477"/>
    <w:rsid w:val="0D31066D"/>
    <w:rsid w:val="0D477803"/>
    <w:rsid w:val="0D737072"/>
    <w:rsid w:val="0D742EBA"/>
    <w:rsid w:val="0D796ACC"/>
    <w:rsid w:val="0D7CAABB"/>
    <w:rsid w:val="0DACF1B5"/>
    <w:rsid w:val="0DB2EB8A"/>
    <w:rsid w:val="0DBFF82E"/>
    <w:rsid w:val="0DEA0646"/>
    <w:rsid w:val="0DF83382"/>
    <w:rsid w:val="0DFAFFED"/>
    <w:rsid w:val="0DFCAD7A"/>
    <w:rsid w:val="0E340B9D"/>
    <w:rsid w:val="0E46177B"/>
    <w:rsid w:val="0E4FB486"/>
    <w:rsid w:val="0E96B7DC"/>
    <w:rsid w:val="0E98A6FC"/>
    <w:rsid w:val="0EDB7406"/>
    <w:rsid w:val="0EE7ECD1"/>
    <w:rsid w:val="0EF526F6"/>
    <w:rsid w:val="0F1CC5CB"/>
    <w:rsid w:val="0F2A46E2"/>
    <w:rsid w:val="0F30DBDC"/>
    <w:rsid w:val="0F3579FB"/>
    <w:rsid w:val="0F3992F5"/>
    <w:rsid w:val="0F9DAE44"/>
    <w:rsid w:val="0FA06D08"/>
    <w:rsid w:val="0FB11D42"/>
    <w:rsid w:val="0FD06B3C"/>
    <w:rsid w:val="0FD313AE"/>
    <w:rsid w:val="0FEEC335"/>
    <w:rsid w:val="10217DAF"/>
    <w:rsid w:val="10382EEB"/>
    <w:rsid w:val="1044CE01"/>
    <w:rsid w:val="104EDFC2"/>
    <w:rsid w:val="10564065"/>
    <w:rsid w:val="1059FED8"/>
    <w:rsid w:val="106EC94E"/>
    <w:rsid w:val="1091B21A"/>
    <w:rsid w:val="109A53ED"/>
    <w:rsid w:val="109DDB60"/>
    <w:rsid w:val="10AA5DD0"/>
    <w:rsid w:val="10AF369B"/>
    <w:rsid w:val="10C87859"/>
    <w:rsid w:val="10D1857D"/>
    <w:rsid w:val="1144C8EC"/>
    <w:rsid w:val="116381E5"/>
    <w:rsid w:val="1167C6CB"/>
    <w:rsid w:val="11851877"/>
    <w:rsid w:val="1187FC70"/>
    <w:rsid w:val="11AD421B"/>
    <w:rsid w:val="11ED43F3"/>
    <w:rsid w:val="12433150"/>
    <w:rsid w:val="127089C2"/>
    <w:rsid w:val="1275862F"/>
    <w:rsid w:val="1279C0BF"/>
    <w:rsid w:val="12A78756"/>
    <w:rsid w:val="12B07AEE"/>
    <w:rsid w:val="12D17952"/>
    <w:rsid w:val="1306B064"/>
    <w:rsid w:val="13153C14"/>
    <w:rsid w:val="132012E9"/>
    <w:rsid w:val="136B144E"/>
    <w:rsid w:val="1375B545"/>
    <w:rsid w:val="1376F006"/>
    <w:rsid w:val="137DC7E8"/>
    <w:rsid w:val="13D0E901"/>
    <w:rsid w:val="13DC3979"/>
    <w:rsid w:val="13EBEB81"/>
    <w:rsid w:val="14554C69"/>
    <w:rsid w:val="1469C747"/>
    <w:rsid w:val="147321CC"/>
    <w:rsid w:val="14908921"/>
    <w:rsid w:val="1496833C"/>
    <w:rsid w:val="14BFE54D"/>
    <w:rsid w:val="14C72E93"/>
    <w:rsid w:val="14D14846"/>
    <w:rsid w:val="14E3000C"/>
    <w:rsid w:val="150FB83D"/>
    <w:rsid w:val="152B1FE4"/>
    <w:rsid w:val="15406A53"/>
    <w:rsid w:val="1573092D"/>
    <w:rsid w:val="1587FED0"/>
    <w:rsid w:val="15A8E6D6"/>
    <w:rsid w:val="15AA4841"/>
    <w:rsid w:val="15DF9658"/>
    <w:rsid w:val="16075D21"/>
    <w:rsid w:val="16116299"/>
    <w:rsid w:val="161309D3"/>
    <w:rsid w:val="161EDC6F"/>
    <w:rsid w:val="1627655D"/>
    <w:rsid w:val="16326F95"/>
    <w:rsid w:val="165127D3"/>
    <w:rsid w:val="16FB31DF"/>
    <w:rsid w:val="171D4B8F"/>
    <w:rsid w:val="172E315B"/>
    <w:rsid w:val="173F40E7"/>
    <w:rsid w:val="174F2688"/>
    <w:rsid w:val="177BF71A"/>
    <w:rsid w:val="17B8A95A"/>
    <w:rsid w:val="17D9E2C2"/>
    <w:rsid w:val="180653BC"/>
    <w:rsid w:val="18086B0C"/>
    <w:rsid w:val="1813D418"/>
    <w:rsid w:val="181D17B3"/>
    <w:rsid w:val="18285C81"/>
    <w:rsid w:val="18410B29"/>
    <w:rsid w:val="1843684E"/>
    <w:rsid w:val="18441552"/>
    <w:rsid w:val="184F5BB7"/>
    <w:rsid w:val="187D711F"/>
    <w:rsid w:val="188C49F9"/>
    <w:rsid w:val="18A8567D"/>
    <w:rsid w:val="18C92291"/>
    <w:rsid w:val="18DE4247"/>
    <w:rsid w:val="1929AD9A"/>
    <w:rsid w:val="193BF616"/>
    <w:rsid w:val="193C65B0"/>
    <w:rsid w:val="195F2EF2"/>
    <w:rsid w:val="1968DBF6"/>
    <w:rsid w:val="1984FB3A"/>
    <w:rsid w:val="19AAC7B3"/>
    <w:rsid w:val="19D1E851"/>
    <w:rsid w:val="19ECEAF4"/>
    <w:rsid w:val="19EDADEE"/>
    <w:rsid w:val="1A1ABD96"/>
    <w:rsid w:val="1A280D91"/>
    <w:rsid w:val="1A33FB70"/>
    <w:rsid w:val="1A9CAB79"/>
    <w:rsid w:val="1AD95FE9"/>
    <w:rsid w:val="1ADF594E"/>
    <w:rsid w:val="1AEA4C3C"/>
    <w:rsid w:val="1B0CD8A3"/>
    <w:rsid w:val="1B161D37"/>
    <w:rsid w:val="1B18E59A"/>
    <w:rsid w:val="1B2D3752"/>
    <w:rsid w:val="1B33EC89"/>
    <w:rsid w:val="1B49C748"/>
    <w:rsid w:val="1B602A99"/>
    <w:rsid w:val="1B6BBB9F"/>
    <w:rsid w:val="1B9ABCF2"/>
    <w:rsid w:val="1BA307C2"/>
    <w:rsid w:val="1BAC6740"/>
    <w:rsid w:val="1BB8E8CC"/>
    <w:rsid w:val="1BBE584A"/>
    <w:rsid w:val="1BD666BD"/>
    <w:rsid w:val="1BE9D4B0"/>
    <w:rsid w:val="1C37545E"/>
    <w:rsid w:val="1C48ED3A"/>
    <w:rsid w:val="1C595775"/>
    <w:rsid w:val="1C92CCBF"/>
    <w:rsid w:val="1CA2576E"/>
    <w:rsid w:val="1CA2AFB5"/>
    <w:rsid w:val="1CAB4703"/>
    <w:rsid w:val="1CB39B8D"/>
    <w:rsid w:val="1CB9B973"/>
    <w:rsid w:val="1CD32DD8"/>
    <w:rsid w:val="1CF4F630"/>
    <w:rsid w:val="1CF5D439"/>
    <w:rsid w:val="1CFEE45D"/>
    <w:rsid w:val="1D192CCA"/>
    <w:rsid w:val="1D9C0C4A"/>
    <w:rsid w:val="1DF5A2A7"/>
    <w:rsid w:val="1E051302"/>
    <w:rsid w:val="1E1C16C2"/>
    <w:rsid w:val="1E1FCC8A"/>
    <w:rsid w:val="1E2D9964"/>
    <w:rsid w:val="1E2F5CC7"/>
    <w:rsid w:val="1E45D9AA"/>
    <w:rsid w:val="1E4D2E7B"/>
    <w:rsid w:val="1E55CC69"/>
    <w:rsid w:val="1E5A570C"/>
    <w:rsid w:val="1E7DD2E5"/>
    <w:rsid w:val="1EFE4E8D"/>
    <w:rsid w:val="1F15AF73"/>
    <w:rsid w:val="1F22D56E"/>
    <w:rsid w:val="1F23F30B"/>
    <w:rsid w:val="1FE060CE"/>
    <w:rsid w:val="1FFFD10C"/>
    <w:rsid w:val="200B4783"/>
    <w:rsid w:val="2013D0F2"/>
    <w:rsid w:val="201FCE4E"/>
    <w:rsid w:val="202D6EE2"/>
    <w:rsid w:val="2046EB0E"/>
    <w:rsid w:val="2047F3BA"/>
    <w:rsid w:val="20957005"/>
    <w:rsid w:val="209AC2D3"/>
    <w:rsid w:val="209D37FC"/>
    <w:rsid w:val="20FE6D57"/>
    <w:rsid w:val="21100452"/>
    <w:rsid w:val="2133A26B"/>
    <w:rsid w:val="21568B5B"/>
    <w:rsid w:val="2196A316"/>
    <w:rsid w:val="21C08578"/>
    <w:rsid w:val="22337582"/>
    <w:rsid w:val="2242267B"/>
    <w:rsid w:val="224C9B80"/>
    <w:rsid w:val="228114F7"/>
    <w:rsid w:val="2290088B"/>
    <w:rsid w:val="22954455"/>
    <w:rsid w:val="22A34E13"/>
    <w:rsid w:val="22A8C57E"/>
    <w:rsid w:val="22B9985A"/>
    <w:rsid w:val="22C93E1E"/>
    <w:rsid w:val="22F3DD4D"/>
    <w:rsid w:val="231689C2"/>
    <w:rsid w:val="234A00FE"/>
    <w:rsid w:val="236884C5"/>
    <w:rsid w:val="23697D4D"/>
    <w:rsid w:val="23799130"/>
    <w:rsid w:val="238AF874"/>
    <w:rsid w:val="23A2A67B"/>
    <w:rsid w:val="23A42143"/>
    <w:rsid w:val="23D0C1C6"/>
    <w:rsid w:val="23F6B7C2"/>
    <w:rsid w:val="240401A6"/>
    <w:rsid w:val="24195F75"/>
    <w:rsid w:val="2435214C"/>
    <w:rsid w:val="24365358"/>
    <w:rsid w:val="244FA591"/>
    <w:rsid w:val="250856FD"/>
    <w:rsid w:val="254365A0"/>
    <w:rsid w:val="256335CA"/>
    <w:rsid w:val="256F112F"/>
    <w:rsid w:val="257D850B"/>
    <w:rsid w:val="2587A114"/>
    <w:rsid w:val="2599F7F0"/>
    <w:rsid w:val="25A20011"/>
    <w:rsid w:val="25C1242D"/>
    <w:rsid w:val="25EA4864"/>
    <w:rsid w:val="25EFBCA6"/>
    <w:rsid w:val="25F3A965"/>
    <w:rsid w:val="26039EF0"/>
    <w:rsid w:val="260D9DF2"/>
    <w:rsid w:val="26194A2D"/>
    <w:rsid w:val="26221AF4"/>
    <w:rsid w:val="26282036"/>
    <w:rsid w:val="264C0AD1"/>
    <w:rsid w:val="26889D7C"/>
    <w:rsid w:val="26D0B357"/>
    <w:rsid w:val="26F25FFA"/>
    <w:rsid w:val="270029B6"/>
    <w:rsid w:val="2709C073"/>
    <w:rsid w:val="2738F99F"/>
    <w:rsid w:val="2742488D"/>
    <w:rsid w:val="274A792E"/>
    <w:rsid w:val="274F6142"/>
    <w:rsid w:val="27521BD9"/>
    <w:rsid w:val="27762007"/>
    <w:rsid w:val="27C1445E"/>
    <w:rsid w:val="27EA3F14"/>
    <w:rsid w:val="27FECBE6"/>
    <w:rsid w:val="28052E0E"/>
    <w:rsid w:val="281718A4"/>
    <w:rsid w:val="2845F7FB"/>
    <w:rsid w:val="2846B530"/>
    <w:rsid w:val="284746DC"/>
    <w:rsid w:val="28839A4E"/>
    <w:rsid w:val="28A1F7B0"/>
    <w:rsid w:val="2900D322"/>
    <w:rsid w:val="2904822E"/>
    <w:rsid w:val="29137FC4"/>
    <w:rsid w:val="29205B04"/>
    <w:rsid w:val="29342CAB"/>
    <w:rsid w:val="2965628D"/>
    <w:rsid w:val="29A02731"/>
    <w:rsid w:val="29A29207"/>
    <w:rsid w:val="29AA6B7D"/>
    <w:rsid w:val="29DB6095"/>
    <w:rsid w:val="29F06841"/>
    <w:rsid w:val="2A04FDF9"/>
    <w:rsid w:val="2A0D7AAB"/>
    <w:rsid w:val="2A1FC26A"/>
    <w:rsid w:val="2A3E1B49"/>
    <w:rsid w:val="2A3E9888"/>
    <w:rsid w:val="2A5391F6"/>
    <w:rsid w:val="2A53E11B"/>
    <w:rsid w:val="2A5E21D7"/>
    <w:rsid w:val="2A6522FF"/>
    <w:rsid w:val="2AA5814F"/>
    <w:rsid w:val="2AC71122"/>
    <w:rsid w:val="2AC9010D"/>
    <w:rsid w:val="2AE30AD8"/>
    <w:rsid w:val="2AF406ED"/>
    <w:rsid w:val="2B42CB76"/>
    <w:rsid w:val="2B4AAE46"/>
    <w:rsid w:val="2B4AC256"/>
    <w:rsid w:val="2B4B7BB1"/>
    <w:rsid w:val="2B53651A"/>
    <w:rsid w:val="2B540D06"/>
    <w:rsid w:val="2B920ACD"/>
    <w:rsid w:val="2BA62970"/>
    <w:rsid w:val="2BE863A2"/>
    <w:rsid w:val="2C080DB9"/>
    <w:rsid w:val="2C187665"/>
    <w:rsid w:val="2C1D1E49"/>
    <w:rsid w:val="2C5BEF3F"/>
    <w:rsid w:val="2C7203DF"/>
    <w:rsid w:val="2C83B56A"/>
    <w:rsid w:val="2C8D0610"/>
    <w:rsid w:val="2CCD0833"/>
    <w:rsid w:val="2CF8BEA0"/>
    <w:rsid w:val="2CF90042"/>
    <w:rsid w:val="2D389D1D"/>
    <w:rsid w:val="2D4313F9"/>
    <w:rsid w:val="2D4D99CB"/>
    <w:rsid w:val="2D6D7511"/>
    <w:rsid w:val="2D844BA7"/>
    <w:rsid w:val="2DB1DB20"/>
    <w:rsid w:val="2DB2BCDB"/>
    <w:rsid w:val="2DC3F924"/>
    <w:rsid w:val="2DC5D22D"/>
    <w:rsid w:val="2DD8304A"/>
    <w:rsid w:val="2DDAC0E8"/>
    <w:rsid w:val="2DDB578F"/>
    <w:rsid w:val="2E1F7081"/>
    <w:rsid w:val="2E2AF97E"/>
    <w:rsid w:val="2E58044B"/>
    <w:rsid w:val="2E7261B0"/>
    <w:rsid w:val="2E7B94AF"/>
    <w:rsid w:val="2E96F4BC"/>
    <w:rsid w:val="2EB0C898"/>
    <w:rsid w:val="2EB156F8"/>
    <w:rsid w:val="2EC601CD"/>
    <w:rsid w:val="2F0509EF"/>
    <w:rsid w:val="2F0FDD22"/>
    <w:rsid w:val="2F1A05D7"/>
    <w:rsid w:val="2F3C7722"/>
    <w:rsid w:val="2F562038"/>
    <w:rsid w:val="2F59CB4C"/>
    <w:rsid w:val="2F5F287D"/>
    <w:rsid w:val="2F7E149B"/>
    <w:rsid w:val="2FB7D01E"/>
    <w:rsid w:val="2FBF6B06"/>
    <w:rsid w:val="2FC74622"/>
    <w:rsid w:val="2FED2FAF"/>
    <w:rsid w:val="2FED8BAE"/>
    <w:rsid w:val="2FFD994D"/>
    <w:rsid w:val="302AC49E"/>
    <w:rsid w:val="30378EF5"/>
    <w:rsid w:val="30819255"/>
    <w:rsid w:val="30A4716E"/>
    <w:rsid w:val="30D701FB"/>
    <w:rsid w:val="30E23783"/>
    <w:rsid w:val="30F1412C"/>
    <w:rsid w:val="30FDC35E"/>
    <w:rsid w:val="310CD83E"/>
    <w:rsid w:val="31238384"/>
    <w:rsid w:val="31267549"/>
    <w:rsid w:val="31372095"/>
    <w:rsid w:val="3145E1E3"/>
    <w:rsid w:val="31506C15"/>
    <w:rsid w:val="31634B6C"/>
    <w:rsid w:val="317190C1"/>
    <w:rsid w:val="31884193"/>
    <w:rsid w:val="31A8691D"/>
    <w:rsid w:val="31C00143"/>
    <w:rsid w:val="31F46CED"/>
    <w:rsid w:val="31FF39F1"/>
    <w:rsid w:val="32066B00"/>
    <w:rsid w:val="322EE65E"/>
    <w:rsid w:val="323C5FBC"/>
    <w:rsid w:val="325CDC8A"/>
    <w:rsid w:val="3274F440"/>
    <w:rsid w:val="33049E7D"/>
    <w:rsid w:val="330DEDA6"/>
    <w:rsid w:val="3319BA33"/>
    <w:rsid w:val="33298C53"/>
    <w:rsid w:val="334A7727"/>
    <w:rsid w:val="334ABA88"/>
    <w:rsid w:val="335D703D"/>
    <w:rsid w:val="33AD58AC"/>
    <w:rsid w:val="33EFCFD8"/>
    <w:rsid w:val="340202B0"/>
    <w:rsid w:val="347215EC"/>
    <w:rsid w:val="3495C3E9"/>
    <w:rsid w:val="34BB4AAD"/>
    <w:rsid w:val="34D31083"/>
    <w:rsid w:val="34EA1181"/>
    <w:rsid w:val="34FBA09F"/>
    <w:rsid w:val="35342073"/>
    <w:rsid w:val="35678038"/>
    <w:rsid w:val="356AB317"/>
    <w:rsid w:val="357692EF"/>
    <w:rsid w:val="3583C9AA"/>
    <w:rsid w:val="35ABE6EB"/>
    <w:rsid w:val="35D690CB"/>
    <w:rsid w:val="35DD010A"/>
    <w:rsid w:val="35FF911E"/>
    <w:rsid w:val="36013773"/>
    <w:rsid w:val="362F146E"/>
    <w:rsid w:val="36932AAB"/>
    <w:rsid w:val="36B047C9"/>
    <w:rsid w:val="36B27284"/>
    <w:rsid w:val="36B6410C"/>
    <w:rsid w:val="36D41B2E"/>
    <w:rsid w:val="36D99702"/>
    <w:rsid w:val="36DA8633"/>
    <w:rsid w:val="36E5F7A8"/>
    <w:rsid w:val="36F8F4B9"/>
    <w:rsid w:val="370152BE"/>
    <w:rsid w:val="370BAB2F"/>
    <w:rsid w:val="374461D9"/>
    <w:rsid w:val="37771222"/>
    <w:rsid w:val="37A6F4F0"/>
    <w:rsid w:val="37B9F7EE"/>
    <w:rsid w:val="37CD7C73"/>
    <w:rsid w:val="37D40D43"/>
    <w:rsid w:val="37E0EBF3"/>
    <w:rsid w:val="37F776A9"/>
    <w:rsid w:val="37F8D894"/>
    <w:rsid w:val="382B7EED"/>
    <w:rsid w:val="385F5327"/>
    <w:rsid w:val="386D1395"/>
    <w:rsid w:val="3875D335"/>
    <w:rsid w:val="38987E9E"/>
    <w:rsid w:val="38BD851C"/>
    <w:rsid w:val="38BDF96F"/>
    <w:rsid w:val="38C3132C"/>
    <w:rsid w:val="3939D871"/>
    <w:rsid w:val="394831D9"/>
    <w:rsid w:val="394ABA68"/>
    <w:rsid w:val="39795EC1"/>
    <w:rsid w:val="397C95AB"/>
    <w:rsid w:val="398C9138"/>
    <w:rsid w:val="3999EA33"/>
    <w:rsid w:val="39B435DA"/>
    <w:rsid w:val="39BDB50C"/>
    <w:rsid w:val="39D0FF4F"/>
    <w:rsid w:val="3A0427B6"/>
    <w:rsid w:val="3A3F666F"/>
    <w:rsid w:val="3A97BFC1"/>
    <w:rsid w:val="3AAB7E54"/>
    <w:rsid w:val="3AABCD3C"/>
    <w:rsid w:val="3ACE698E"/>
    <w:rsid w:val="3AD01E15"/>
    <w:rsid w:val="3AD05153"/>
    <w:rsid w:val="3AF606B8"/>
    <w:rsid w:val="3B08D10C"/>
    <w:rsid w:val="3B0CC5E8"/>
    <w:rsid w:val="3B1A88AF"/>
    <w:rsid w:val="3B4B6BAD"/>
    <w:rsid w:val="3B682415"/>
    <w:rsid w:val="3B7375BD"/>
    <w:rsid w:val="3B7E1FFF"/>
    <w:rsid w:val="3B83FE34"/>
    <w:rsid w:val="3BD5D53F"/>
    <w:rsid w:val="3BE945E7"/>
    <w:rsid w:val="3BF563C9"/>
    <w:rsid w:val="3BFDCD41"/>
    <w:rsid w:val="3C019B50"/>
    <w:rsid w:val="3C0562E4"/>
    <w:rsid w:val="3C0A55D8"/>
    <w:rsid w:val="3C23FDBB"/>
    <w:rsid w:val="3C347B60"/>
    <w:rsid w:val="3C592B5E"/>
    <w:rsid w:val="3C674F48"/>
    <w:rsid w:val="3C9EFEB6"/>
    <w:rsid w:val="3CB6D6C1"/>
    <w:rsid w:val="3CC33676"/>
    <w:rsid w:val="3CEDAC49"/>
    <w:rsid w:val="3CF90F26"/>
    <w:rsid w:val="3D0AD43C"/>
    <w:rsid w:val="3D0E4C1A"/>
    <w:rsid w:val="3D4C0514"/>
    <w:rsid w:val="3D53792B"/>
    <w:rsid w:val="3DA80708"/>
    <w:rsid w:val="3DC4775C"/>
    <w:rsid w:val="3DEA48DE"/>
    <w:rsid w:val="3E0F3B2D"/>
    <w:rsid w:val="3E2601D5"/>
    <w:rsid w:val="3E42EB64"/>
    <w:rsid w:val="3E4D44CC"/>
    <w:rsid w:val="3E509198"/>
    <w:rsid w:val="3E52551C"/>
    <w:rsid w:val="3E728E33"/>
    <w:rsid w:val="3E7F6126"/>
    <w:rsid w:val="3EAABDA5"/>
    <w:rsid w:val="3EB0DE7A"/>
    <w:rsid w:val="3EC3FD20"/>
    <w:rsid w:val="3F3048D6"/>
    <w:rsid w:val="3F4335D3"/>
    <w:rsid w:val="3F4D29C4"/>
    <w:rsid w:val="3F5BB982"/>
    <w:rsid w:val="3F665586"/>
    <w:rsid w:val="3F7CFD25"/>
    <w:rsid w:val="3FD559D0"/>
    <w:rsid w:val="3FDE5379"/>
    <w:rsid w:val="3FE5A055"/>
    <w:rsid w:val="40168EAF"/>
    <w:rsid w:val="4032F272"/>
    <w:rsid w:val="40346B2B"/>
    <w:rsid w:val="406A74EB"/>
    <w:rsid w:val="4070D4C3"/>
    <w:rsid w:val="40B99EC9"/>
    <w:rsid w:val="40BEF642"/>
    <w:rsid w:val="40D75B49"/>
    <w:rsid w:val="412072C7"/>
    <w:rsid w:val="41655F57"/>
    <w:rsid w:val="4182008B"/>
    <w:rsid w:val="418BDE03"/>
    <w:rsid w:val="4196A2F6"/>
    <w:rsid w:val="419BFA92"/>
    <w:rsid w:val="41A33DD6"/>
    <w:rsid w:val="41B9ABCE"/>
    <w:rsid w:val="42317EB8"/>
    <w:rsid w:val="425BC563"/>
    <w:rsid w:val="425CC9FF"/>
    <w:rsid w:val="42674815"/>
    <w:rsid w:val="42814386"/>
    <w:rsid w:val="42D1FBC9"/>
    <w:rsid w:val="42D7BEDA"/>
    <w:rsid w:val="42D94EF3"/>
    <w:rsid w:val="42E5CE66"/>
    <w:rsid w:val="42EF3781"/>
    <w:rsid w:val="42FA0097"/>
    <w:rsid w:val="4309E17F"/>
    <w:rsid w:val="430BA94D"/>
    <w:rsid w:val="431D0EE5"/>
    <w:rsid w:val="437C52AE"/>
    <w:rsid w:val="43C79EB7"/>
    <w:rsid w:val="43E33742"/>
    <w:rsid w:val="43EDC506"/>
    <w:rsid w:val="43F2293A"/>
    <w:rsid w:val="43FF6D5A"/>
    <w:rsid w:val="4421391D"/>
    <w:rsid w:val="4424D686"/>
    <w:rsid w:val="444B38B1"/>
    <w:rsid w:val="445D3759"/>
    <w:rsid w:val="446781C1"/>
    <w:rsid w:val="44695D5C"/>
    <w:rsid w:val="446F7067"/>
    <w:rsid w:val="44773399"/>
    <w:rsid w:val="448D30BE"/>
    <w:rsid w:val="4494893D"/>
    <w:rsid w:val="4496331B"/>
    <w:rsid w:val="44B624B2"/>
    <w:rsid w:val="44D1540F"/>
    <w:rsid w:val="44E15230"/>
    <w:rsid w:val="4508E77A"/>
    <w:rsid w:val="451F594D"/>
    <w:rsid w:val="457117B5"/>
    <w:rsid w:val="4597B2B2"/>
    <w:rsid w:val="45DD3628"/>
    <w:rsid w:val="45E53197"/>
    <w:rsid w:val="463418E2"/>
    <w:rsid w:val="466CC2F6"/>
    <w:rsid w:val="4680B7AA"/>
    <w:rsid w:val="4680BC6B"/>
    <w:rsid w:val="46865E76"/>
    <w:rsid w:val="46D51931"/>
    <w:rsid w:val="46EAE0A1"/>
    <w:rsid w:val="4724DC84"/>
    <w:rsid w:val="4735C343"/>
    <w:rsid w:val="476B0FDF"/>
    <w:rsid w:val="479775E9"/>
    <w:rsid w:val="47A24647"/>
    <w:rsid w:val="47A3944C"/>
    <w:rsid w:val="47B44073"/>
    <w:rsid w:val="47D8535E"/>
    <w:rsid w:val="47E37089"/>
    <w:rsid w:val="47F6A190"/>
    <w:rsid w:val="481757E6"/>
    <w:rsid w:val="48321D51"/>
    <w:rsid w:val="485AD316"/>
    <w:rsid w:val="487E8315"/>
    <w:rsid w:val="4885A196"/>
    <w:rsid w:val="489FBB43"/>
    <w:rsid w:val="48AEA0A3"/>
    <w:rsid w:val="48BB1BAF"/>
    <w:rsid w:val="48D3FAA5"/>
    <w:rsid w:val="48DBB8D1"/>
    <w:rsid w:val="4909F30E"/>
    <w:rsid w:val="490C590D"/>
    <w:rsid w:val="49333CEE"/>
    <w:rsid w:val="494FBE59"/>
    <w:rsid w:val="49524567"/>
    <w:rsid w:val="496088EC"/>
    <w:rsid w:val="49839F44"/>
    <w:rsid w:val="498A8542"/>
    <w:rsid w:val="49951E9E"/>
    <w:rsid w:val="49963AB8"/>
    <w:rsid w:val="49A8BEA2"/>
    <w:rsid w:val="49AC825E"/>
    <w:rsid w:val="49B65449"/>
    <w:rsid w:val="49B6B516"/>
    <w:rsid w:val="49B7D01F"/>
    <w:rsid w:val="49BB570F"/>
    <w:rsid w:val="49BDEED5"/>
    <w:rsid w:val="4A044EB0"/>
    <w:rsid w:val="4A2BED3B"/>
    <w:rsid w:val="4A2F6F78"/>
    <w:rsid w:val="4A35D79E"/>
    <w:rsid w:val="4A79E73F"/>
    <w:rsid w:val="4A7E7FC4"/>
    <w:rsid w:val="4A97DF18"/>
    <w:rsid w:val="4AA98A5C"/>
    <w:rsid w:val="4AAB6223"/>
    <w:rsid w:val="4ACA9AD8"/>
    <w:rsid w:val="4AE62438"/>
    <w:rsid w:val="4AE812C2"/>
    <w:rsid w:val="4AEE1749"/>
    <w:rsid w:val="4B0AC071"/>
    <w:rsid w:val="4B1A5942"/>
    <w:rsid w:val="4B369D0A"/>
    <w:rsid w:val="4B4211D3"/>
    <w:rsid w:val="4BA05DDE"/>
    <w:rsid w:val="4BAE5271"/>
    <w:rsid w:val="4BB6316C"/>
    <w:rsid w:val="4BC1BE7B"/>
    <w:rsid w:val="4BD36057"/>
    <w:rsid w:val="4BE9A987"/>
    <w:rsid w:val="4BEEF031"/>
    <w:rsid w:val="4BF0F68D"/>
    <w:rsid w:val="4BFB6876"/>
    <w:rsid w:val="4C032779"/>
    <w:rsid w:val="4C65C510"/>
    <w:rsid w:val="4C71EA20"/>
    <w:rsid w:val="4CCB8D3E"/>
    <w:rsid w:val="4CD83C65"/>
    <w:rsid w:val="4CDC4BD2"/>
    <w:rsid w:val="4CDD04A9"/>
    <w:rsid w:val="4CDE11F7"/>
    <w:rsid w:val="4D1FC473"/>
    <w:rsid w:val="4D2DBA80"/>
    <w:rsid w:val="4D3235DA"/>
    <w:rsid w:val="4D5053D5"/>
    <w:rsid w:val="4D67FDF5"/>
    <w:rsid w:val="4D746355"/>
    <w:rsid w:val="4DCB7530"/>
    <w:rsid w:val="4DDD210D"/>
    <w:rsid w:val="4DFF6E66"/>
    <w:rsid w:val="4E0907CF"/>
    <w:rsid w:val="4E3A6C6E"/>
    <w:rsid w:val="4E4E0CD6"/>
    <w:rsid w:val="4E6D8C68"/>
    <w:rsid w:val="4E849594"/>
    <w:rsid w:val="4E8B1728"/>
    <w:rsid w:val="4E8B42DB"/>
    <w:rsid w:val="4E9998E0"/>
    <w:rsid w:val="4EAC609C"/>
    <w:rsid w:val="4ED9D622"/>
    <w:rsid w:val="4EECEDF9"/>
    <w:rsid w:val="4EF4E995"/>
    <w:rsid w:val="4F10B800"/>
    <w:rsid w:val="4F3D6A9A"/>
    <w:rsid w:val="4F7A76C0"/>
    <w:rsid w:val="4F8513C1"/>
    <w:rsid w:val="4F9E3D70"/>
    <w:rsid w:val="4FAA510E"/>
    <w:rsid w:val="4FC544FA"/>
    <w:rsid w:val="4FCAAE6E"/>
    <w:rsid w:val="4FCAD080"/>
    <w:rsid w:val="4FE4D846"/>
    <w:rsid w:val="4FFBDA9D"/>
    <w:rsid w:val="501EDB54"/>
    <w:rsid w:val="50291FCD"/>
    <w:rsid w:val="5071BC50"/>
    <w:rsid w:val="50A2A156"/>
    <w:rsid w:val="50A7B4E6"/>
    <w:rsid w:val="50A8F502"/>
    <w:rsid w:val="50B900CF"/>
    <w:rsid w:val="50BF5EB5"/>
    <w:rsid w:val="50FA5797"/>
    <w:rsid w:val="51130972"/>
    <w:rsid w:val="51170BF6"/>
    <w:rsid w:val="5157E236"/>
    <w:rsid w:val="51590BD9"/>
    <w:rsid w:val="517B0FEF"/>
    <w:rsid w:val="517FB67C"/>
    <w:rsid w:val="5186D0DE"/>
    <w:rsid w:val="518FA7C6"/>
    <w:rsid w:val="51BA30A0"/>
    <w:rsid w:val="51BE0421"/>
    <w:rsid w:val="51C23C7B"/>
    <w:rsid w:val="51F1044F"/>
    <w:rsid w:val="5200C6F2"/>
    <w:rsid w:val="520A18C6"/>
    <w:rsid w:val="520DF69A"/>
    <w:rsid w:val="52153391"/>
    <w:rsid w:val="52432278"/>
    <w:rsid w:val="525ECC9A"/>
    <w:rsid w:val="5277011A"/>
    <w:rsid w:val="527A7D23"/>
    <w:rsid w:val="52D09443"/>
    <w:rsid w:val="52D52FDF"/>
    <w:rsid w:val="52E80DF4"/>
    <w:rsid w:val="52F4A398"/>
    <w:rsid w:val="532C01DD"/>
    <w:rsid w:val="532D3ECF"/>
    <w:rsid w:val="533B4213"/>
    <w:rsid w:val="539BC302"/>
    <w:rsid w:val="53BD516E"/>
    <w:rsid w:val="53BE30A8"/>
    <w:rsid w:val="53C776C6"/>
    <w:rsid w:val="53EBEE2D"/>
    <w:rsid w:val="53F04FAD"/>
    <w:rsid w:val="540F4D34"/>
    <w:rsid w:val="5425089F"/>
    <w:rsid w:val="5437EBC9"/>
    <w:rsid w:val="5471854E"/>
    <w:rsid w:val="547CD332"/>
    <w:rsid w:val="54F4EFCA"/>
    <w:rsid w:val="552C5FC7"/>
    <w:rsid w:val="55397292"/>
    <w:rsid w:val="55528B58"/>
    <w:rsid w:val="55571EAD"/>
    <w:rsid w:val="555B4E4D"/>
    <w:rsid w:val="557B7D68"/>
    <w:rsid w:val="559B7BC0"/>
    <w:rsid w:val="55C031F6"/>
    <w:rsid w:val="55DE40EB"/>
    <w:rsid w:val="55E30879"/>
    <w:rsid w:val="55EF478B"/>
    <w:rsid w:val="55F18CBB"/>
    <w:rsid w:val="56062279"/>
    <w:rsid w:val="560D0111"/>
    <w:rsid w:val="56187D84"/>
    <w:rsid w:val="566A99B5"/>
    <w:rsid w:val="567761E1"/>
    <w:rsid w:val="568A1E5D"/>
    <w:rsid w:val="56911E1A"/>
    <w:rsid w:val="56BCE958"/>
    <w:rsid w:val="56F149CD"/>
    <w:rsid w:val="56FE97FA"/>
    <w:rsid w:val="5705A68D"/>
    <w:rsid w:val="570685E4"/>
    <w:rsid w:val="5741662A"/>
    <w:rsid w:val="577C13F2"/>
    <w:rsid w:val="57A2D059"/>
    <w:rsid w:val="57B1F2C9"/>
    <w:rsid w:val="57C864CA"/>
    <w:rsid w:val="57DED930"/>
    <w:rsid w:val="57FDC680"/>
    <w:rsid w:val="581C99AB"/>
    <w:rsid w:val="58640529"/>
    <w:rsid w:val="58857357"/>
    <w:rsid w:val="58B9263A"/>
    <w:rsid w:val="58F46D4C"/>
    <w:rsid w:val="5906B519"/>
    <w:rsid w:val="590EC5E3"/>
    <w:rsid w:val="59266F96"/>
    <w:rsid w:val="593FA572"/>
    <w:rsid w:val="594C5451"/>
    <w:rsid w:val="59608A5C"/>
    <w:rsid w:val="596C7E11"/>
    <w:rsid w:val="59810F08"/>
    <w:rsid w:val="5983E5B8"/>
    <w:rsid w:val="59C09FB9"/>
    <w:rsid w:val="59DD6B6F"/>
    <w:rsid w:val="59EE00B3"/>
    <w:rsid w:val="59FF8587"/>
    <w:rsid w:val="5A0F8794"/>
    <w:rsid w:val="5A2B1070"/>
    <w:rsid w:val="5A3E9E33"/>
    <w:rsid w:val="5A79F340"/>
    <w:rsid w:val="5A7D878F"/>
    <w:rsid w:val="5A844683"/>
    <w:rsid w:val="5A987FCE"/>
    <w:rsid w:val="5A9AF1CA"/>
    <w:rsid w:val="5ADD1913"/>
    <w:rsid w:val="5AE79B7A"/>
    <w:rsid w:val="5B17DCA6"/>
    <w:rsid w:val="5B1EB586"/>
    <w:rsid w:val="5B227CC8"/>
    <w:rsid w:val="5B49963C"/>
    <w:rsid w:val="5B6072DB"/>
    <w:rsid w:val="5B647A61"/>
    <w:rsid w:val="5B73A529"/>
    <w:rsid w:val="5B987FFF"/>
    <w:rsid w:val="5BA6513C"/>
    <w:rsid w:val="5BA7BECE"/>
    <w:rsid w:val="5BDA193E"/>
    <w:rsid w:val="5C00E616"/>
    <w:rsid w:val="5C4589A7"/>
    <w:rsid w:val="5C552A36"/>
    <w:rsid w:val="5C68F23B"/>
    <w:rsid w:val="5C6BF133"/>
    <w:rsid w:val="5CAC20A7"/>
    <w:rsid w:val="5CD61117"/>
    <w:rsid w:val="5CE703C0"/>
    <w:rsid w:val="5D3F4242"/>
    <w:rsid w:val="5D484594"/>
    <w:rsid w:val="5D566835"/>
    <w:rsid w:val="5D56896D"/>
    <w:rsid w:val="5D606C1B"/>
    <w:rsid w:val="5D7099BC"/>
    <w:rsid w:val="5D9BB774"/>
    <w:rsid w:val="5D9E3A00"/>
    <w:rsid w:val="5DD33076"/>
    <w:rsid w:val="5E067911"/>
    <w:rsid w:val="5E0DFEDA"/>
    <w:rsid w:val="5E2EFFB3"/>
    <w:rsid w:val="5E9396F6"/>
    <w:rsid w:val="5EA6B106"/>
    <w:rsid w:val="5EA8F4AA"/>
    <w:rsid w:val="5F07CFDC"/>
    <w:rsid w:val="5F08678A"/>
    <w:rsid w:val="5F4F3DCF"/>
    <w:rsid w:val="5F5C9630"/>
    <w:rsid w:val="5F94BD7B"/>
    <w:rsid w:val="5FAD3CA4"/>
    <w:rsid w:val="5FB8D490"/>
    <w:rsid w:val="5FCFA602"/>
    <w:rsid w:val="6027A60E"/>
    <w:rsid w:val="60686FD9"/>
    <w:rsid w:val="609E05BC"/>
    <w:rsid w:val="60A8EAD5"/>
    <w:rsid w:val="60AF89A0"/>
    <w:rsid w:val="60B0FE9E"/>
    <w:rsid w:val="60E1D25E"/>
    <w:rsid w:val="60F29649"/>
    <w:rsid w:val="615216D0"/>
    <w:rsid w:val="616F82DE"/>
    <w:rsid w:val="61970BC2"/>
    <w:rsid w:val="61F6DA96"/>
    <w:rsid w:val="620BFED8"/>
    <w:rsid w:val="624E5B2B"/>
    <w:rsid w:val="626CCB99"/>
    <w:rsid w:val="627AD034"/>
    <w:rsid w:val="6285967D"/>
    <w:rsid w:val="628E5313"/>
    <w:rsid w:val="629DC705"/>
    <w:rsid w:val="62BF3413"/>
    <w:rsid w:val="62C53065"/>
    <w:rsid w:val="62D615B8"/>
    <w:rsid w:val="62E86E5A"/>
    <w:rsid w:val="631A923B"/>
    <w:rsid w:val="636F3AF3"/>
    <w:rsid w:val="638431EF"/>
    <w:rsid w:val="63A90986"/>
    <w:rsid w:val="63B52A08"/>
    <w:rsid w:val="63D0AA5D"/>
    <w:rsid w:val="63FA5B75"/>
    <w:rsid w:val="64080B16"/>
    <w:rsid w:val="64146133"/>
    <w:rsid w:val="642E38EF"/>
    <w:rsid w:val="6468F5CF"/>
    <w:rsid w:val="6476AC54"/>
    <w:rsid w:val="648B3060"/>
    <w:rsid w:val="64A77B64"/>
    <w:rsid w:val="64CFA929"/>
    <w:rsid w:val="64E0DFCA"/>
    <w:rsid w:val="65078F09"/>
    <w:rsid w:val="6515103C"/>
    <w:rsid w:val="651ECE5A"/>
    <w:rsid w:val="6520FD92"/>
    <w:rsid w:val="653DCE85"/>
    <w:rsid w:val="6582E00D"/>
    <w:rsid w:val="65A94A49"/>
    <w:rsid w:val="65C0AF71"/>
    <w:rsid w:val="65C5E49D"/>
    <w:rsid w:val="65F4A7F8"/>
    <w:rsid w:val="66269B65"/>
    <w:rsid w:val="6627693D"/>
    <w:rsid w:val="6639EF0F"/>
    <w:rsid w:val="66538FE8"/>
    <w:rsid w:val="665F4C57"/>
    <w:rsid w:val="666ABFAB"/>
    <w:rsid w:val="66707E98"/>
    <w:rsid w:val="6675C3F8"/>
    <w:rsid w:val="66A1527D"/>
    <w:rsid w:val="66A29862"/>
    <w:rsid w:val="66B5C44E"/>
    <w:rsid w:val="66CBF35D"/>
    <w:rsid w:val="66FA420E"/>
    <w:rsid w:val="672D7860"/>
    <w:rsid w:val="67427064"/>
    <w:rsid w:val="67604CCD"/>
    <w:rsid w:val="6767AE75"/>
    <w:rsid w:val="6769A100"/>
    <w:rsid w:val="67759767"/>
    <w:rsid w:val="67954FB2"/>
    <w:rsid w:val="67A903D4"/>
    <w:rsid w:val="67BFFDA0"/>
    <w:rsid w:val="68015046"/>
    <w:rsid w:val="681B706A"/>
    <w:rsid w:val="681FDB24"/>
    <w:rsid w:val="68440B39"/>
    <w:rsid w:val="6845B508"/>
    <w:rsid w:val="6846771F"/>
    <w:rsid w:val="685BB9C2"/>
    <w:rsid w:val="687A7695"/>
    <w:rsid w:val="68ABE201"/>
    <w:rsid w:val="68D73C46"/>
    <w:rsid w:val="68D8CF3E"/>
    <w:rsid w:val="68FE9655"/>
    <w:rsid w:val="68FFF71B"/>
    <w:rsid w:val="6905EF95"/>
    <w:rsid w:val="69088BB3"/>
    <w:rsid w:val="6933909B"/>
    <w:rsid w:val="699ECA21"/>
    <w:rsid w:val="69FA68C2"/>
    <w:rsid w:val="69FF0F23"/>
    <w:rsid w:val="6A0A3303"/>
    <w:rsid w:val="6A1F3C55"/>
    <w:rsid w:val="6A3195D0"/>
    <w:rsid w:val="6A620975"/>
    <w:rsid w:val="6ABECBC9"/>
    <w:rsid w:val="6AD22798"/>
    <w:rsid w:val="6AD4092D"/>
    <w:rsid w:val="6ADB69D0"/>
    <w:rsid w:val="6B1424ED"/>
    <w:rsid w:val="6B14F8EC"/>
    <w:rsid w:val="6B15CABC"/>
    <w:rsid w:val="6B286AEB"/>
    <w:rsid w:val="6B54CA27"/>
    <w:rsid w:val="6B5AB774"/>
    <w:rsid w:val="6B72F67A"/>
    <w:rsid w:val="6B7B83A3"/>
    <w:rsid w:val="6BB1F10C"/>
    <w:rsid w:val="6BD7E1D8"/>
    <w:rsid w:val="6BDB0A82"/>
    <w:rsid w:val="6C09C5C1"/>
    <w:rsid w:val="6C16D08F"/>
    <w:rsid w:val="6C2BF125"/>
    <w:rsid w:val="6C53C3A8"/>
    <w:rsid w:val="6CA7C7EE"/>
    <w:rsid w:val="6CEBCC49"/>
    <w:rsid w:val="6CF5FE2B"/>
    <w:rsid w:val="6D1667A4"/>
    <w:rsid w:val="6D17D04D"/>
    <w:rsid w:val="6D22A330"/>
    <w:rsid w:val="6D307063"/>
    <w:rsid w:val="6D67A4AC"/>
    <w:rsid w:val="6D833FFB"/>
    <w:rsid w:val="6D8C2995"/>
    <w:rsid w:val="6DABA473"/>
    <w:rsid w:val="6DC42C34"/>
    <w:rsid w:val="6DD85AD6"/>
    <w:rsid w:val="6DF72780"/>
    <w:rsid w:val="6E2E7678"/>
    <w:rsid w:val="6E3F9DD4"/>
    <w:rsid w:val="6E6DF184"/>
    <w:rsid w:val="6E84F3A2"/>
    <w:rsid w:val="6E9E4582"/>
    <w:rsid w:val="6EB6C257"/>
    <w:rsid w:val="6EE9DA44"/>
    <w:rsid w:val="6F028CF5"/>
    <w:rsid w:val="6F031E4C"/>
    <w:rsid w:val="6F3706D9"/>
    <w:rsid w:val="6F6CB5E2"/>
    <w:rsid w:val="6F7E0501"/>
    <w:rsid w:val="6FA02C14"/>
    <w:rsid w:val="6FA8D104"/>
    <w:rsid w:val="6FBE3807"/>
    <w:rsid w:val="6FFE1374"/>
    <w:rsid w:val="70063C05"/>
    <w:rsid w:val="701ACF81"/>
    <w:rsid w:val="707EA331"/>
    <w:rsid w:val="708BDFD9"/>
    <w:rsid w:val="7094C526"/>
    <w:rsid w:val="70B0A60E"/>
    <w:rsid w:val="70BA00FF"/>
    <w:rsid w:val="70CC6A28"/>
    <w:rsid w:val="70CEDDF5"/>
    <w:rsid w:val="70D7AC0F"/>
    <w:rsid w:val="70E3C89A"/>
    <w:rsid w:val="712F7B77"/>
    <w:rsid w:val="71401944"/>
    <w:rsid w:val="7141A35A"/>
    <w:rsid w:val="7163B377"/>
    <w:rsid w:val="7176692F"/>
    <w:rsid w:val="718130A1"/>
    <w:rsid w:val="718B8D81"/>
    <w:rsid w:val="71A231A2"/>
    <w:rsid w:val="71E0862A"/>
    <w:rsid w:val="71EA5703"/>
    <w:rsid w:val="7242BFAD"/>
    <w:rsid w:val="72616AF9"/>
    <w:rsid w:val="72B40892"/>
    <w:rsid w:val="72C51C71"/>
    <w:rsid w:val="72E57CC0"/>
    <w:rsid w:val="73005F5E"/>
    <w:rsid w:val="730A2B47"/>
    <w:rsid w:val="732B9C40"/>
    <w:rsid w:val="733D81D6"/>
    <w:rsid w:val="736ED7AA"/>
    <w:rsid w:val="73757766"/>
    <w:rsid w:val="73775A5B"/>
    <w:rsid w:val="7384D3A8"/>
    <w:rsid w:val="73BC32A2"/>
    <w:rsid w:val="73C1CAC5"/>
    <w:rsid w:val="73C9A1AE"/>
    <w:rsid w:val="73DF017D"/>
    <w:rsid w:val="73F6DF0D"/>
    <w:rsid w:val="74200724"/>
    <w:rsid w:val="744EEFAE"/>
    <w:rsid w:val="74547A5E"/>
    <w:rsid w:val="74759112"/>
    <w:rsid w:val="747CABC7"/>
    <w:rsid w:val="748BC3A9"/>
    <w:rsid w:val="74AB107C"/>
    <w:rsid w:val="74B0EB79"/>
    <w:rsid w:val="74E399C0"/>
    <w:rsid w:val="74E91727"/>
    <w:rsid w:val="74EFE3C8"/>
    <w:rsid w:val="74F8A5FC"/>
    <w:rsid w:val="750EEF42"/>
    <w:rsid w:val="7532191E"/>
    <w:rsid w:val="7555BF21"/>
    <w:rsid w:val="7574CD71"/>
    <w:rsid w:val="75831F22"/>
    <w:rsid w:val="75B40301"/>
    <w:rsid w:val="75CB22C8"/>
    <w:rsid w:val="75CF844A"/>
    <w:rsid w:val="75F40916"/>
    <w:rsid w:val="75F485EA"/>
    <w:rsid w:val="75F5000C"/>
    <w:rsid w:val="75FCC431"/>
    <w:rsid w:val="760906F6"/>
    <w:rsid w:val="76174343"/>
    <w:rsid w:val="7651591A"/>
    <w:rsid w:val="76A2B27F"/>
    <w:rsid w:val="76A7A3AC"/>
    <w:rsid w:val="76BDBB38"/>
    <w:rsid w:val="76C67A14"/>
    <w:rsid w:val="76D00203"/>
    <w:rsid w:val="76D8BDA4"/>
    <w:rsid w:val="7710E7A7"/>
    <w:rsid w:val="771F8655"/>
    <w:rsid w:val="7771261D"/>
    <w:rsid w:val="777FEDF7"/>
    <w:rsid w:val="77A5FB25"/>
    <w:rsid w:val="77C0D523"/>
    <w:rsid w:val="77C49853"/>
    <w:rsid w:val="77F41EE6"/>
    <w:rsid w:val="77F4F329"/>
    <w:rsid w:val="77FA332E"/>
    <w:rsid w:val="780A6387"/>
    <w:rsid w:val="780C3735"/>
    <w:rsid w:val="781100EA"/>
    <w:rsid w:val="78278069"/>
    <w:rsid w:val="785674D7"/>
    <w:rsid w:val="7875F5FC"/>
    <w:rsid w:val="7877E563"/>
    <w:rsid w:val="788C68B4"/>
    <w:rsid w:val="78A37A52"/>
    <w:rsid w:val="78BA4109"/>
    <w:rsid w:val="78BF1A10"/>
    <w:rsid w:val="78BF72C2"/>
    <w:rsid w:val="78F2A412"/>
    <w:rsid w:val="78FAFDD0"/>
    <w:rsid w:val="7913217C"/>
    <w:rsid w:val="7963A5E3"/>
    <w:rsid w:val="79918D79"/>
    <w:rsid w:val="79A752C9"/>
    <w:rsid w:val="79FE0EE7"/>
    <w:rsid w:val="7A163B52"/>
    <w:rsid w:val="7A1C0AC1"/>
    <w:rsid w:val="7A4A2A68"/>
    <w:rsid w:val="7A4C62F0"/>
    <w:rsid w:val="7A6E94FD"/>
    <w:rsid w:val="7A709247"/>
    <w:rsid w:val="7A814966"/>
    <w:rsid w:val="7A8FBF2E"/>
    <w:rsid w:val="7AA9AFA0"/>
    <w:rsid w:val="7AEABA5D"/>
    <w:rsid w:val="7B1E36EC"/>
    <w:rsid w:val="7B234A5A"/>
    <w:rsid w:val="7B2751FC"/>
    <w:rsid w:val="7B2865A9"/>
    <w:rsid w:val="7B33B568"/>
    <w:rsid w:val="7B37254B"/>
    <w:rsid w:val="7B459AE0"/>
    <w:rsid w:val="7B570A22"/>
    <w:rsid w:val="7B5CD3AB"/>
    <w:rsid w:val="7B63AF1C"/>
    <w:rsid w:val="7B6C7ADA"/>
    <w:rsid w:val="7B6CA79D"/>
    <w:rsid w:val="7B78E4EE"/>
    <w:rsid w:val="7B915A6A"/>
    <w:rsid w:val="7BF0D766"/>
    <w:rsid w:val="7C141E94"/>
    <w:rsid w:val="7C186C3E"/>
    <w:rsid w:val="7C187EDF"/>
    <w:rsid w:val="7C437AFC"/>
    <w:rsid w:val="7C753232"/>
    <w:rsid w:val="7C7FBBFA"/>
    <w:rsid w:val="7CC70AC9"/>
    <w:rsid w:val="7CC8A510"/>
    <w:rsid w:val="7CEA9B28"/>
    <w:rsid w:val="7D080AA7"/>
    <w:rsid w:val="7D18F7B6"/>
    <w:rsid w:val="7D1ED259"/>
    <w:rsid w:val="7D3C886E"/>
    <w:rsid w:val="7D4897EC"/>
    <w:rsid w:val="7D86A140"/>
    <w:rsid w:val="7D99BF25"/>
    <w:rsid w:val="7D9B9BA6"/>
    <w:rsid w:val="7D9F3F19"/>
    <w:rsid w:val="7DBB6FA2"/>
    <w:rsid w:val="7DBF3B2C"/>
    <w:rsid w:val="7DC7FEEF"/>
    <w:rsid w:val="7E246FD6"/>
    <w:rsid w:val="7E283D7D"/>
    <w:rsid w:val="7E2DDA95"/>
    <w:rsid w:val="7E4F2FCE"/>
    <w:rsid w:val="7E9FFBA3"/>
    <w:rsid w:val="7EB90AB3"/>
    <w:rsid w:val="7EC2FFB3"/>
    <w:rsid w:val="7EF1BBA9"/>
    <w:rsid w:val="7EF594E2"/>
    <w:rsid w:val="7F073479"/>
    <w:rsid w:val="7F1355C0"/>
    <w:rsid w:val="7F18DF71"/>
    <w:rsid w:val="7F5C67E4"/>
    <w:rsid w:val="7F607799"/>
    <w:rsid w:val="7FA520D5"/>
    <w:rsid w:val="7FC6BBB2"/>
    <w:rsid w:val="7FD9FD7C"/>
    <w:rsid w:val="7FF2E265"/>
    <w:rsid w:val="7FF7EA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D999D"/>
  <w15:docId w15:val="{A8A7E73B-5931-824A-AC1A-FD1E7690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99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F528F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28F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C576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1652A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F6A5F"/>
    <w:pPr>
      <w:spacing w:before="100" w:beforeAutospacing="1" w:after="100" w:afterAutospacing="1"/>
    </w:pPr>
    <w:rPr>
      <w:lang w:eastAsia="lv-LV"/>
    </w:rPr>
  </w:style>
  <w:style w:type="paragraph" w:customStyle="1" w:styleId="paragraph">
    <w:name w:val="paragraph"/>
    <w:basedOn w:val="Normal"/>
    <w:rsid w:val="005F6A5F"/>
    <w:pPr>
      <w:spacing w:before="100" w:beforeAutospacing="1" w:after="100" w:afterAutospacing="1"/>
    </w:pPr>
    <w:rPr>
      <w:lang w:eastAsia="lv-LV"/>
    </w:rPr>
  </w:style>
  <w:style w:type="character" w:customStyle="1" w:styleId="textrun">
    <w:name w:val="textrun"/>
    <w:basedOn w:val="DefaultParagraphFont"/>
    <w:rsid w:val="005F6A5F"/>
  </w:style>
  <w:style w:type="character" w:customStyle="1" w:styleId="normaltextrun">
    <w:name w:val="normaltextrun"/>
    <w:basedOn w:val="DefaultParagraphFont"/>
    <w:rsid w:val="005F6A5F"/>
  </w:style>
  <w:style w:type="character" w:customStyle="1" w:styleId="eop">
    <w:name w:val="eop"/>
    <w:basedOn w:val="DefaultParagraphFont"/>
    <w:rsid w:val="005F6A5F"/>
  </w:style>
  <w:style w:type="character" w:customStyle="1" w:styleId="linebreakblob">
    <w:name w:val="linebreakblob"/>
    <w:basedOn w:val="DefaultParagraphFont"/>
    <w:rsid w:val="005F6A5F"/>
  </w:style>
  <w:style w:type="character" w:customStyle="1" w:styleId="bcx1">
    <w:name w:val="bcx1"/>
    <w:basedOn w:val="DefaultParagraphFont"/>
    <w:rsid w:val="005F6A5F"/>
  </w:style>
  <w:style w:type="character" w:customStyle="1" w:styleId="spellingerror">
    <w:name w:val="spellingerror"/>
    <w:basedOn w:val="DefaultParagraphFont"/>
    <w:rsid w:val="005F6A5F"/>
  </w:style>
  <w:style w:type="character" w:customStyle="1" w:styleId="wacimagecontainer">
    <w:name w:val="wacimagecontainer"/>
    <w:basedOn w:val="DefaultParagraphFont"/>
    <w:rsid w:val="005F6A5F"/>
  </w:style>
  <w:style w:type="character" w:customStyle="1" w:styleId="wacalttextdescribedby">
    <w:name w:val="wacalttextdescribedby"/>
    <w:basedOn w:val="DefaultParagraphFont"/>
    <w:rsid w:val="005F6A5F"/>
  </w:style>
  <w:style w:type="character" w:customStyle="1" w:styleId="contextualspellingandgrammarerror">
    <w:name w:val="contextualspellingandgrammarerror"/>
    <w:basedOn w:val="DefaultParagraphFont"/>
    <w:rsid w:val="005F6A5F"/>
  </w:style>
  <w:style w:type="character" w:customStyle="1" w:styleId="scxw219964152">
    <w:name w:val="scxw219964152"/>
    <w:basedOn w:val="DefaultParagraphFont"/>
    <w:rsid w:val="005F6A5F"/>
  </w:style>
  <w:style w:type="paragraph" w:styleId="ListParagraph">
    <w:name w:val="List Paragraph"/>
    <w:aliases w:val="2,Akapit z listą BS,Numbered Para 1,Dot pt,List Paragraph Char Char Char,Indicator Text,List Paragraph1,Bullet 1,Bullet Points,MAIN CONTENT,IFCL - List Paragraph,List Paragraph12,OBC Bullet,F5 List Paragraph,Strip,Punkti ar numuriem"/>
    <w:basedOn w:val="Normal"/>
    <w:link w:val="ListParagraphChar"/>
    <w:uiPriority w:val="34"/>
    <w:qFormat/>
    <w:rsid w:val="0082036A"/>
    <w:pPr>
      <w:ind w:left="720"/>
      <w:contextualSpacing/>
    </w:pPr>
  </w:style>
  <w:style w:type="paragraph" w:styleId="FootnoteText">
    <w:name w:val="footnote text"/>
    <w:aliases w:val="Footnote,Fußnote,Fußnote Char Char Char,single space,ft Rakstz. Rakstz.,ft Rakstz.,ft,-E Fußnotentext,Fußnotentext Ursprung,Vēres teksts Char Char Char Char Char,Char Char Char Char Char Char Char Char Char Char Char Char,footnote tex"/>
    <w:basedOn w:val="Normal"/>
    <w:link w:val="FootnoteTextChar"/>
    <w:uiPriority w:val="99"/>
    <w:unhideWhenUsed/>
    <w:qFormat/>
    <w:rsid w:val="0082036A"/>
    <w:rPr>
      <w:sz w:val="20"/>
      <w:szCs w:val="20"/>
    </w:rPr>
  </w:style>
  <w:style w:type="character" w:customStyle="1" w:styleId="FootnoteTextChar">
    <w:name w:val="Footnote Text Char"/>
    <w:aliases w:val="Footnote Char,Fußnote Char,Fußnote Char Char Char Char,single space Char,ft Rakstz. Rakstz. Char,ft Rakstz. Char,ft Char,-E Fußnotentext Char,Fußnotentext Ursprung Char,Vēres teksts Char Char Char Char Char Char,footnote tex Char"/>
    <w:basedOn w:val="DefaultParagraphFont"/>
    <w:link w:val="FootnoteText"/>
    <w:uiPriority w:val="99"/>
    <w:rsid w:val="0082036A"/>
    <w:rPr>
      <w:sz w:val="20"/>
      <w:szCs w:val="20"/>
    </w:rPr>
  </w:style>
  <w:style w:type="character" w:styleId="FootnoteReference">
    <w:name w:val="footnote reference"/>
    <w:basedOn w:val="DefaultParagraphFont"/>
    <w:uiPriority w:val="99"/>
    <w:semiHidden/>
    <w:unhideWhenUsed/>
    <w:rsid w:val="0082036A"/>
    <w:rPr>
      <w:vertAlign w:val="superscript"/>
    </w:rPr>
  </w:style>
  <w:style w:type="character" w:styleId="SubtleEmphasis">
    <w:name w:val="Subtle Emphasis"/>
    <w:basedOn w:val="DefaultParagraphFont"/>
    <w:uiPriority w:val="19"/>
    <w:qFormat/>
    <w:rsid w:val="0082036A"/>
    <w:rPr>
      <w:i/>
      <w:iCs/>
      <w:color w:val="404040" w:themeColor="text1" w:themeTint="BF"/>
    </w:rPr>
  </w:style>
  <w:style w:type="table" w:customStyle="1" w:styleId="TableGrid1">
    <w:name w:val="Table Grid1"/>
    <w:basedOn w:val="TableNormal"/>
    <w:next w:val="TableGrid"/>
    <w:uiPriority w:val="39"/>
    <w:rsid w:val="00820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20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34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443"/>
    <w:rPr>
      <w:rFonts w:ascii="Segoe UI" w:hAnsi="Segoe UI" w:cs="Segoe UI"/>
      <w:sz w:val="18"/>
      <w:szCs w:val="18"/>
    </w:rPr>
  </w:style>
  <w:style w:type="paragraph" w:styleId="NormalWeb">
    <w:name w:val="Normal (Web)"/>
    <w:basedOn w:val="Normal"/>
    <w:uiPriority w:val="99"/>
    <w:unhideWhenUsed/>
    <w:rsid w:val="00B6363A"/>
    <w:pPr>
      <w:spacing w:before="100" w:beforeAutospacing="1" w:after="100" w:afterAutospacing="1"/>
    </w:pPr>
    <w:rPr>
      <w:lang w:eastAsia="lv-LV"/>
    </w:rPr>
  </w:style>
  <w:style w:type="paragraph" w:styleId="Header">
    <w:name w:val="header"/>
    <w:basedOn w:val="Normal"/>
    <w:link w:val="HeaderChar"/>
    <w:uiPriority w:val="99"/>
    <w:unhideWhenUsed/>
    <w:rsid w:val="0065086A"/>
    <w:pPr>
      <w:tabs>
        <w:tab w:val="center" w:pos="4680"/>
        <w:tab w:val="right" w:pos="9360"/>
      </w:tabs>
    </w:pPr>
  </w:style>
  <w:style w:type="character" w:customStyle="1" w:styleId="HeaderChar">
    <w:name w:val="Header Char"/>
    <w:basedOn w:val="DefaultParagraphFont"/>
    <w:link w:val="Header"/>
    <w:uiPriority w:val="99"/>
    <w:rsid w:val="0065086A"/>
  </w:style>
  <w:style w:type="paragraph" w:styleId="Footer">
    <w:name w:val="footer"/>
    <w:basedOn w:val="Normal"/>
    <w:link w:val="FooterChar"/>
    <w:uiPriority w:val="99"/>
    <w:unhideWhenUsed/>
    <w:rsid w:val="0065086A"/>
    <w:pPr>
      <w:tabs>
        <w:tab w:val="center" w:pos="4680"/>
        <w:tab w:val="right" w:pos="9360"/>
      </w:tabs>
    </w:pPr>
  </w:style>
  <w:style w:type="character" w:customStyle="1" w:styleId="FooterChar">
    <w:name w:val="Footer Char"/>
    <w:basedOn w:val="DefaultParagraphFont"/>
    <w:link w:val="Footer"/>
    <w:uiPriority w:val="99"/>
    <w:rsid w:val="0065086A"/>
  </w:style>
  <w:style w:type="character" w:styleId="CommentReference">
    <w:name w:val="annotation reference"/>
    <w:basedOn w:val="DefaultParagraphFont"/>
    <w:uiPriority w:val="99"/>
    <w:semiHidden/>
    <w:unhideWhenUsed/>
    <w:rsid w:val="005B0928"/>
    <w:rPr>
      <w:sz w:val="16"/>
      <w:szCs w:val="16"/>
    </w:rPr>
  </w:style>
  <w:style w:type="paragraph" w:styleId="CommentText">
    <w:name w:val="annotation text"/>
    <w:basedOn w:val="Normal"/>
    <w:link w:val="CommentTextChar"/>
    <w:uiPriority w:val="99"/>
    <w:unhideWhenUsed/>
    <w:rsid w:val="005B0928"/>
    <w:rPr>
      <w:sz w:val="20"/>
      <w:szCs w:val="20"/>
    </w:rPr>
  </w:style>
  <w:style w:type="character" w:customStyle="1" w:styleId="CommentTextChar">
    <w:name w:val="Comment Text Char"/>
    <w:basedOn w:val="DefaultParagraphFont"/>
    <w:link w:val="CommentText"/>
    <w:uiPriority w:val="99"/>
    <w:rsid w:val="005B0928"/>
    <w:rPr>
      <w:sz w:val="20"/>
      <w:szCs w:val="20"/>
    </w:rPr>
  </w:style>
  <w:style w:type="paragraph" w:styleId="CommentSubject">
    <w:name w:val="annotation subject"/>
    <w:basedOn w:val="CommentText"/>
    <w:next w:val="CommentText"/>
    <w:link w:val="CommentSubjectChar"/>
    <w:uiPriority w:val="99"/>
    <w:semiHidden/>
    <w:unhideWhenUsed/>
    <w:rsid w:val="005B0928"/>
    <w:rPr>
      <w:b/>
      <w:bCs/>
    </w:rPr>
  </w:style>
  <w:style w:type="character" w:customStyle="1" w:styleId="CommentSubjectChar">
    <w:name w:val="Comment Subject Char"/>
    <w:basedOn w:val="CommentTextChar"/>
    <w:link w:val="CommentSubject"/>
    <w:uiPriority w:val="99"/>
    <w:semiHidden/>
    <w:rsid w:val="005B0928"/>
    <w:rPr>
      <w:b/>
      <w:bCs/>
      <w:sz w:val="20"/>
      <w:szCs w:val="20"/>
    </w:rPr>
  </w:style>
  <w:style w:type="character" w:styleId="Hyperlink">
    <w:name w:val="Hyperlink"/>
    <w:basedOn w:val="DefaultParagraphFont"/>
    <w:uiPriority w:val="99"/>
    <w:unhideWhenUsed/>
    <w:rsid w:val="00BE2421"/>
    <w:rPr>
      <w:color w:val="0000FF"/>
      <w:u w:val="single"/>
    </w:rPr>
  </w:style>
  <w:style w:type="character" w:styleId="FollowedHyperlink">
    <w:name w:val="FollowedHyperlink"/>
    <w:basedOn w:val="DefaultParagraphFont"/>
    <w:uiPriority w:val="99"/>
    <w:semiHidden/>
    <w:unhideWhenUsed/>
    <w:rsid w:val="00DF6822"/>
    <w:rPr>
      <w:color w:val="954F72" w:themeColor="followedHyperlink"/>
      <w:u w:val="single"/>
    </w:rPr>
  </w:style>
  <w:style w:type="character" w:customStyle="1" w:styleId="Heading1Char">
    <w:name w:val="Heading 1 Char"/>
    <w:basedOn w:val="DefaultParagraphFont"/>
    <w:link w:val="Heading1"/>
    <w:uiPriority w:val="9"/>
    <w:rsid w:val="00F528F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528F1"/>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CC05DF"/>
    <w:pPr>
      <w:outlineLvl w:val="9"/>
    </w:pPr>
    <w:rPr>
      <w:lang w:val="en-US"/>
    </w:rPr>
  </w:style>
  <w:style w:type="paragraph" w:styleId="TOC1">
    <w:name w:val="toc 1"/>
    <w:basedOn w:val="Normal"/>
    <w:next w:val="Normal"/>
    <w:autoRedefine/>
    <w:uiPriority w:val="39"/>
    <w:unhideWhenUsed/>
    <w:rsid w:val="00CC05DF"/>
    <w:pPr>
      <w:spacing w:after="100"/>
    </w:pPr>
  </w:style>
  <w:style w:type="paragraph" w:styleId="TOC2">
    <w:name w:val="toc 2"/>
    <w:basedOn w:val="Normal"/>
    <w:next w:val="Normal"/>
    <w:autoRedefine/>
    <w:uiPriority w:val="39"/>
    <w:unhideWhenUsed/>
    <w:rsid w:val="00CC05DF"/>
    <w:pPr>
      <w:spacing w:after="100"/>
      <w:ind w:left="220"/>
    </w:pPr>
  </w:style>
  <w:style w:type="paragraph" w:customStyle="1" w:styleId="FDPTitulsGads">
    <w:name w:val="FDP_Tituls_Gads"/>
    <w:basedOn w:val="Normal"/>
    <w:qFormat/>
    <w:rsid w:val="00F00408"/>
    <w:pPr>
      <w:suppressAutoHyphens/>
      <w:spacing w:before="360"/>
      <w:jc w:val="center"/>
    </w:pPr>
    <w:rPr>
      <w:rFonts w:eastAsia="SimSun" w:cs="Mangal"/>
      <w:kern w:val="20"/>
      <w:szCs w:val="32"/>
      <w:lang w:eastAsia="zh-CN" w:bidi="hi-IN"/>
    </w:rPr>
  </w:style>
  <w:style w:type="paragraph" w:customStyle="1" w:styleId="FDPTitulsLaba">
    <w:name w:val="FDP_Tituls_Laba"/>
    <w:basedOn w:val="Normal"/>
    <w:qFormat/>
    <w:rsid w:val="00F00408"/>
    <w:pPr>
      <w:suppressAutoHyphens/>
      <w:spacing w:before="960"/>
      <w:jc w:val="right"/>
    </w:pPr>
    <w:rPr>
      <w:rFonts w:eastAsia="SimSun" w:cs="Mangal"/>
      <w:color w:val="000000"/>
      <w:kern w:val="20"/>
      <w:lang w:eastAsia="zh-CN" w:bidi="hi-IN"/>
    </w:rPr>
  </w:style>
  <w:style w:type="character" w:customStyle="1" w:styleId="UnresolvedMention1">
    <w:name w:val="Unresolved Mention1"/>
    <w:basedOn w:val="DefaultParagraphFont"/>
    <w:uiPriority w:val="99"/>
    <w:semiHidden/>
    <w:unhideWhenUsed/>
    <w:rsid w:val="00C052EB"/>
    <w:rPr>
      <w:color w:val="605E5C"/>
      <w:shd w:val="clear" w:color="auto" w:fill="E1DFDD"/>
    </w:rPr>
  </w:style>
  <w:style w:type="character" w:customStyle="1" w:styleId="UnresolvedMention2">
    <w:name w:val="Unresolved Mention2"/>
    <w:basedOn w:val="DefaultParagraphFont"/>
    <w:uiPriority w:val="99"/>
    <w:semiHidden/>
    <w:unhideWhenUsed/>
    <w:rsid w:val="00E961F4"/>
    <w:rPr>
      <w:color w:val="605E5C"/>
      <w:shd w:val="clear" w:color="auto" w:fill="E1DFDD"/>
    </w:rPr>
  </w:style>
  <w:style w:type="character" w:customStyle="1" w:styleId="apple-converted-space">
    <w:name w:val="apple-converted-space"/>
    <w:basedOn w:val="DefaultParagraphFont"/>
    <w:rsid w:val="00EB252D"/>
  </w:style>
  <w:style w:type="table" w:customStyle="1" w:styleId="Style1">
    <w:name w:val="Style1"/>
    <w:basedOn w:val="TableNormal"/>
    <w:uiPriority w:val="99"/>
    <w:rsid w:val="00196D0A"/>
    <w:pPr>
      <w:spacing w:after="0" w:line="240" w:lineRule="auto"/>
    </w:pPr>
    <w:rPr>
      <w:rFonts w:ascii="Arial" w:hAnsi="Arial"/>
      <w:b/>
    </w:rPr>
    <w:tblPr/>
    <w:tblStylePr w:type="firstRow">
      <w:rPr>
        <w:rFonts w:ascii="Arial" w:hAnsi="Arial"/>
      </w:rPr>
      <w:tblPr/>
      <w:tcPr>
        <w:shd w:val="clear" w:color="auto" w:fill="1F3864" w:themeFill="accent5" w:themeFillShade="80"/>
      </w:tcPr>
    </w:tblStylePr>
  </w:style>
  <w:style w:type="paragraph" w:customStyle="1" w:styleId="mt-translation">
    <w:name w:val="mt-translation"/>
    <w:basedOn w:val="Normal"/>
    <w:rsid w:val="00196D0A"/>
    <w:pPr>
      <w:spacing w:before="100" w:beforeAutospacing="1" w:after="100" w:afterAutospacing="1"/>
    </w:pPr>
    <w:rPr>
      <w:lang w:val="lv-LV" w:eastAsia="lv-LV"/>
    </w:rPr>
  </w:style>
  <w:style w:type="paragraph" w:customStyle="1" w:styleId="tv213">
    <w:name w:val="tv213"/>
    <w:basedOn w:val="Normal"/>
    <w:rsid w:val="00B8615A"/>
    <w:pPr>
      <w:spacing w:before="100" w:beforeAutospacing="1" w:after="100" w:afterAutospacing="1"/>
    </w:pPr>
    <w:rPr>
      <w:lang w:eastAsia="en-GB"/>
    </w:rPr>
  </w:style>
  <w:style w:type="character" w:customStyle="1" w:styleId="ListParagraphChar">
    <w:name w:val="List Paragraph Char"/>
    <w:aliases w:val="2 Char,Akapit z listą BS Char,Numbered Para 1 Char,Dot pt Char,List Paragraph Char Char Char Char,Indicator Text Char,List Paragraph1 Char,Bullet 1 Char,Bullet Points Char,MAIN CONTENT Char,IFCL - List Paragraph Char,OBC Bullet Char"/>
    <w:link w:val="ListParagraph"/>
    <w:uiPriority w:val="34"/>
    <w:qFormat/>
    <w:locked/>
    <w:rsid w:val="00476074"/>
    <w:rPr>
      <w:rFonts w:ascii="Times New Roman" w:eastAsia="Times New Roman" w:hAnsi="Times New Roman" w:cs="Times New Roman"/>
      <w:sz w:val="24"/>
      <w:szCs w:val="24"/>
      <w:lang w:val="en-GB"/>
    </w:rPr>
  </w:style>
  <w:style w:type="character" w:customStyle="1" w:styleId="1">
    <w:name w:val="Неразрешенное упоминание1"/>
    <w:basedOn w:val="DefaultParagraphFont"/>
    <w:uiPriority w:val="99"/>
    <w:semiHidden/>
    <w:unhideWhenUsed/>
    <w:rsid w:val="00CB2492"/>
    <w:rPr>
      <w:color w:val="605E5C"/>
      <w:shd w:val="clear" w:color="auto" w:fill="E1DFDD"/>
    </w:rPr>
  </w:style>
  <w:style w:type="character" w:customStyle="1" w:styleId="Heading3Char">
    <w:name w:val="Heading 3 Char"/>
    <w:basedOn w:val="DefaultParagraphFont"/>
    <w:link w:val="Heading3"/>
    <w:uiPriority w:val="9"/>
    <w:rsid w:val="000C5760"/>
    <w:rPr>
      <w:rFonts w:asciiTheme="majorHAnsi" w:eastAsiaTheme="majorEastAsia" w:hAnsiTheme="majorHAnsi" w:cstheme="majorBidi"/>
      <w:color w:val="1F4D78" w:themeColor="accent1" w:themeShade="7F"/>
      <w:sz w:val="24"/>
      <w:szCs w:val="24"/>
      <w:lang w:val="en-GB"/>
    </w:rPr>
  </w:style>
  <w:style w:type="paragraph" w:styleId="TOC3">
    <w:name w:val="toc 3"/>
    <w:basedOn w:val="Normal"/>
    <w:next w:val="Normal"/>
    <w:autoRedefine/>
    <w:uiPriority w:val="39"/>
    <w:unhideWhenUsed/>
    <w:rsid w:val="00BF7AC0"/>
    <w:pPr>
      <w:spacing w:after="100"/>
      <w:ind w:left="480"/>
    </w:pPr>
  </w:style>
  <w:style w:type="character" w:customStyle="1" w:styleId="Heading4Char">
    <w:name w:val="Heading 4 Char"/>
    <w:basedOn w:val="DefaultParagraphFont"/>
    <w:link w:val="Heading4"/>
    <w:uiPriority w:val="9"/>
    <w:rsid w:val="001652A7"/>
    <w:rPr>
      <w:rFonts w:asciiTheme="majorHAnsi" w:eastAsiaTheme="majorEastAsia" w:hAnsiTheme="majorHAnsi" w:cstheme="majorBidi"/>
      <w:i/>
      <w:iCs/>
      <w:color w:val="2E74B5" w:themeColor="accent1" w:themeShade="BF"/>
      <w:sz w:val="24"/>
      <w:szCs w:val="24"/>
      <w:lang w:val="en-GB"/>
    </w:rPr>
  </w:style>
  <w:style w:type="table" w:customStyle="1" w:styleId="TableGrid2">
    <w:name w:val="Table Grid2"/>
    <w:basedOn w:val="TableNormal"/>
    <w:next w:val="TableGrid"/>
    <w:uiPriority w:val="39"/>
    <w:rsid w:val="0088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B5CF6"/>
    <w:rPr>
      <w:i/>
      <w:iCs/>
    </w:rPr>
  </w:style>
  <w:style w:type="paragraph" w:customStyle="1" w:styleId="Default">
    <w:name w:val="Default"/>
    <w:rsid w:val="00DB5CF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2827">
      <w:bodyDiv w:val="1"/>
      <w:marLeft w:val="0"/>
      <w:marRight w:val="0"/>
      <w:marTop w:val="0"/>
      <w:marBottom w:val="0"/>
      <w:divBdr>
        <w:top w:val="none" w:sz="0" w:space="0" w:color="auto"/>
        <w:left w:val="none" w:sz="0" w:space="0" w:color="auto"/>
        <w:bottom w:val="none" w:sz="0" w:space="0" w:color="auto"/>
        <w:right w:val="none" w:sz="0" w:space="0" w:color="auto"/>
      </w:divBdr>
    </w:div>
    <w:div w:id="47075452">
      <w:bodyDiv w:val="1"/>
      <w:marLeft w:val="0"/>
      <w:marRight w:val="0"/>
      <w:marTop w:val="0"/>
      <w:marBottom w:val="0"/>
      <w:divBdr>
        <w:top w:val="none" w:sz="0" w:space="0" w:color="auto"/>
        <w:left w:val="none" w:sz="0" w:space="0" w:color="auto"/>
        <w:bottom w:val="none" w:sz="0" w:space="0" w:color="auto"/>
        <w:right w:val="none" w:sz="0" w:space="0" w:color="auto"/>
      </w:divBdr>
    </w:div>
    <w:div w:id="54549512">
      <w:bodyDiv w:val="1"/>
      <w:marLeft w:val="0"/>
      <w:marRight w:val="0"/>
      <w:marTop w:val="0"/>
      <w:marBottom w:val="0"/>
      <w:divBdr>
        <w:top w:val="none" w:sz="0" w:space="0" w:color="auto"/>
        <w:left w:val="none" w:sz="0" w:space="0" w:color="auto"/>
        <w:bottom w:val="none" w:sz="0" w:space="0" w:color="auto"/>
        <w:right w:val="none" w:sz="0" w:space="0" w:color="auto"/>
      </w:divBdr>
    </w:div>
    <w:div w:id="239604088">
      <w:bodyDiv w:val="1"/>
      <w:marLeft w:val="0"/>
      <w:marRight w:val="0"/>
      <w:marTop w:val="0"/>
      <w:marBottom w:val="0"/>
      <w:divBdr>
        <w:top w:val="none" w:sz="0" w:space="0" w:color="auto"/>
        <w:left w:val="none" w:sz="0" w:space="0" w:color="auto"/>
        <w:bottom w:val="none" w:sz="0" w:space="0" w:color="auto"/>
        <w:right w:val="none" w:sz="0" w:space="0" w:color="auto"/>
      </w:divBdr>
      <w:divsChild>
        <w:div w:id="24794976">
          <w:marLeft w:val="0"/>
          <w:marRight w:val="0"/>
          <w:marTop w:val="0"/>
          <w:marBottom w:val="0"/>
          <w:divBdr>
            <w:top w:val="none" w:sz="0" w:space="0" w:color="auto"/>
            <w:left w:val="none" w:sz="0" w:space="0" w:color="auto"/>
            <w:bottom w:val="none" w:sz="0" w:space="0" w:color="auto"/>
            <w:right w:val="none" w:sz="0" w:space="0" w:color="auto"/>
          </w:divBdr>
          <w:divsChild>
            <w:div w:id="1227107414">
              <w:marLeft w:val="0"/>
              <w:marRight w:val="0"/>
              <w:marTop w:val="0"/>
              <w:marBottom w:val="0"/>
              <w:divBdr>
                <w:top w:val="none" w:sz="0" w:space="0" w:color="auto"/>
                <w:left w:val="none" w:sz="0" w:space="0" w:color="auto"/>
                <w:bottom w:val="none" w:sz="0" w:space="0" w:color="auto"/>
                <w:right w:val="none" w:sz="0" w:space="0" w:color="auto"/>
              </w:divBdr>
              <w:divsChild>
                <w:div w:id="17979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18876">
      <w:bodyDiv w:val="1"/>
      <w:marLeft w:val="0"/>
      <w:marRight w:val="0"/>
      <w:marTop w:val="0"/>
      <w:marBottom w:val="0"/>
      <w:divBdr>
        <w:top w:val="none" w:sz="0" w:space="0" w:color="auto"/>
        <w:left w:val="none" w:sz="0" w:space="0" w:color="auto"/>
        <w:bottom w:val="none" w:sz="0" w:space="0" w:color="auto"/>
        <w:right w:val="none" w:sz="0" w:space="0" w:color="auto"/>
      </w:divBdr>
    </w:div>
    <w:div w:id="426077534">
      <w:bodyDiv w:val="1"/>
      <w:marLeft w:val="0"/>
      <w:marRight w:val="0"/>
      <w:marTop w:val="0"/>
      <w:marBottom w:val="0"/>
      <w:divBdr>
        <w:top w:val="none" w:sz="0" w:space="0" w:color="auto"/>
        <w:left w:val="none" w:sz="0" w:space="0" w:color="auto"/>
        <w:bottom w:val="none" w:sz="0" w:space="0" w:color="auto"/>
        <w:right w:val="none" w:sz="0" w:space="0" w:color="auto"/>
      </w:divBdr>
      <w:divsChild>
        <w:div w:id="1645741184">
          <w:marLeft w:val="0"/>
          <w:marRight w:val="0"/>
          <w:marTop w:val="0"/>
          <w:marBottom w:val="0"/>
          <w:divBdr>
            <w:top w:val="none" w:sz="0" w:space="0" w:color="auto"/>
            <w:left w:val="none" w:sz="0" w:space="0" w:color="auto"/>
            <w:bottom w:val="none" w:sz="0" w:space="0" w:color="auto"/>
            <w:right w:val="none" w:sz="0" w:space="0" w:color="auto"/>
          </w:divBdr>
          <w:divsChild>
            <w:div w:id="1750425376">
              <w:marLeft w:val="0"/>
              <w:marRight w:val="0"/>
              <w:marTop w:val="0"/>
              <w:marBottom w:val="0"/>
              <w:divBdr>
                <w:top w:val="none" w:sz="0" w:space="0" w:color="auto"/>
                <w:left w:val="none" w:sz="0" w:space="0" w:color="auto"/>
                <w:bottom w:val="none" w:sz="0" w:space="0" w:color="auto"/>
                <w:right w:val="none" w:sz="0" w:space="0" w:color="auto"/>
              </w:divBdr>
              <w:divsChild>
                <w:div w:id="2080595677">
                  <w:marLeft w:val="0"/>
                  <w:marRight w:val="0"/>
                  <w:marTop w:val="0"/>
                  <w:marBottom w:val="0"/>
                  <w:divBdr>
                    <w:top w:val="none" w:sz="0" w:space="0" w:color="auto"/>
                    <w:left w:val="none" w:sz="0" w:space="0" w:color="auto"/>
                    <w:bottom w:val="none" w:sz="0" w:space="0" w:color="auto"/>
                    <w:right w:val="none" w:sz="0" w:space="0" w:color="auto"/>
                  </w:divBdr>
                  <w:divsChild>
                    <w:div w:id="37906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732345">
      <w:bodyDiv w:val="1"/>
      <w:marLeft w:val="0"/>
      <w:marRight w:val="0"/>
      <w:marTop w:val="0"/>
      <w:marBottom w:val="0"/>
      <w:divBdr>
        <w:top w:val="none" w:sz="0" w:space="0" w:color="auto"/>
        <w:left w:val="none" w:sz="0" w:space="0" w:color="auto"/>
        <w:bottom w:val="none" w:sz="0" w:space="0" w:color="auto"/>
        <w:right w:val="none" w:sz="0" w:space="0" w:color="auto"/>
      </w:divBdr>
      <w:divsChild>
        <w:div w:id="183054319">
          <w:marLeft w:val="0"/>
          <w:marRight w:val="0"/>
          <w:marTop w:val="0"/>
          <w:marBottom w:val="0"/>
          <w:divBdr>
            <w:top w:val="none" w:sz="0" w:space="0" w:color="auto"/>
            <w:left w:val="none" w:sz="0" w:space="0" w:color="auto"/>
            <w:bottom w:val="none" w:sz="0" w:space="0" w:color="auto"/>
            <w:right w:val="none" w:sz="0" w:space="0" w:color="auto"/>
          </w:divBdr>
        </w:div>
        <w:div w:id="408237827">
          <w:marLeft w:val="0"/>
          <w:marRight w:val="0"/>
          <w:marTop w:val="0"/>
          <w:marBottom w:val="0"/>
          <w:divBdr>
            <w:top w:val="none" w:sz="0" w:space="0" w:color="auto"/>
            <w:left w:val="none" w:sz="0" w:space="0" w:color="auto"/>
            <w:bottom w:val="none" w:sz="0" w:space="0" w:color="auto"/>
            <w:right w:val="none" w:sz="0" w:space="0" w:color="auto"/>
          </w:divBdr>
        </w:div>
        <w:div w:id="928394294">
          <w:marLeft w:val="0"/>
          <w:marRight w:val="0"/>
          <w:marTop w:val="0"/>
          <w:marBottom w:val="0"/>
          <w:divBdr>
            <w:top w:val="none" w:sz="0" w:space="0" w:color="auto"/>
            <w:left w:val="none" w:sz="0" w:space="0" w:color="auto"/>
            <w:bottom w:val="none" w:sz="0" w:space="0" w:color="auto"/>
            <w:right w:val="none" w:sz="0" w:space="0" w:color="auto"/>
          </w:divBdr>
        </w:div>
        <w:div w:id="1039361379">
          <w:marLeft w:val="0"/>
          <w:marRight w:val="0"/>
          <w:marTop w:val="0"/>
          <w:marBottom w:val="0"/>
          <w:divBdr>
            <w:top w:val="none" w:sz="0" w:space="0" w:color="auto"/>
            <w:left w:val="none" w:sz="0" w:space="0" w:color="auto"/>
            <w:bottom w:val="none" w:sz="0" w:space="0" w:color="auto"/>
            <w:right w:val="none" w:sz="0" w:space="0" w:color="auto"/>
          </w:divBdr>
        </w:div>
        <w:div w:id="1960183847">
          <w:marLeft w:val="0"/>
          <w:marRight w:val="0"/>
          <w:marTop w:val="0"/>
          <w:marBottom w:val="0"/>
          <w:divBdr>
            <w:top w:val="none" w:sz="0" w:space="0" w:color="auto"/>
            <w:left w:val="none" w:sz="0" w:space="0" w:color="auto"/>
            <w:bottom w:val="none" w:sz="0" w:space="0" w:color="auto"/>
            <w:right w:val="none" w:sz="0" w:space="0" w:color="auto"/>
          </w:divBdr>
        </w:div>
      </w:divsChild>
    </w:div>
    <w:div w:id="471682525">
      <w:bodyDiv w:val="1"/>
      <w:marLeft w:val="0"/>
      <w:marRight w:val="0"/>
      <w:marTop w:val="0"/>
      <w:marBottom w:val="0"/>
      <w:divBdr>
        <w:top w:val="none" w:sz="0" w:space="0" w:color="auto"/>
        <w:left w:val="none" w:sz="0" w:space="0" w:color="auto"/>
        <w:bottom w:val="none" w:sz="0" w:space="0" w:color="auto"/>
        <w:right w:val="none" w:sz="0" w:space="0" w:color="auto"/>
      </w:divBdr>
      <w:divsChild>
        <w:div w:id="1031878690">
          <w:marLeft w:val="0"/>
          <w:marRight w:val="0"/>
          <w:marTop w:val="0"/>
          <w:marBottom w:val="0"/>
          <w:divBdr>
            <w:top w:val="none" w:sz="0" w:space="0" w:color="auto"/>
            <w:left w:val="none" w:sz="0" w:space="0" w:color="auto"/>
            <w:bottom w:val="none" w:sz="0" w:space="0" w:color="auto"/>
            <w:right w:val="none" w:sz="0" w:space="0" w:color="auto"/>
          </w:divBdr>
          <w:divsChild>
            <w:div w:id="1715039635">
              <w:marLeft w:val="0"/>
              <w:marRight w:val="0"/>
              <w:marTop w:val="0"/>
              <w:marBottom w:val="0"/>
              <w:divBdr>
                <w:top w:val="none" w:sz="0" w:space="0" w:color="auto"/>
                <w:left w:val="none" w:sz="0" w:space="0" w:color="auto"/>
                <w:bottom w:val="none" w:sz="0" w:space="0" w:color="auto"/>
                <w:right w:val="none" w:sz="0" w:space="0" w:color="auto"/>
              </w:divBdr>
              <w:divsChild>
                <w:div w:id="5728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3106">
      <w:bodyDiv w:val="1"/>
      <w:marLeft w:val="0"/>
      <w:marRight w:val="0"/>
      <w:marTop w:val="0"/>
      <w:marBottom w:val="0"/>
      <w:divBdr>
        <w:top w:val="none" w:sz="0" w:space="0" w:color="auto"/>
        <w:left w:val="none" w:sz="0" w:space="0" w:color="auto"/>
        <w:bottom w:val="none" w:sz="0" w:space="0" w:color="auto"/>
        <w:right w:val="none" w:sz="0" w:space="0" w:color="auto"/>
      </w:divBdr>
      <w:divsChild>
        <w:div w:id="1718092531">
          <w:marLeft w:val="0"/>
          <w:marRight w:val="0"/>
          <w:marTop w:val="0"/>
          <w:marBottom w:val="0"/>
          <w:divBdr>
            <w:top w:val="none" w:sz="0" w:space="0" w:color="auto"/>
            <w:left w:val="none" w:sz="0" w:space="0" w:color="auto"/>
            <w:bottom w:val="none" w:sz="0" w:space="0" w:color="auto"/>
            <w:right w:val="none" w:sz="0" w:space="0" w:color="auto"/>
          </w:divBdr>
        </w:div>
      </w:divsChild>
    </w:div>
    <w:div w:id="650913426">
      <w:bodyDiv w:val="1"/>
      <w:marLeft w:val="0"/>
      <w:marRight w:val="0"/>
      <w:marTop w:val="0"/>
      <w:marBottom w:val="0"/>
      <w:divBdr>
        <w:top w:val="none" w:sz="0" w:space="0" w:color="auto"/>
        <w:left w:val="none" w:sz="0" w:space="0" w:color="auto"/>
        <w:bottom w:val="none" w:sz="0" w:space="0" w:color="auto"/>
        <w:right w:val="none" w:sz="0" w:space="0" w:color="auto"/>
      </w:divBdr>
    </w:div>
    <w:div w:id="699664921">
      <w:bodyDiv w:val="1"/>
      <w:marLeft w:val="0"/>
      <w:marRight w:val="0"/>
      <w:marTop w:val="0"/>
      <w:marBottom w:val="0"/>
      <w:divBdr>
        <w:top w:val="none" w:sz="0" w:space="0" w:color="auto"/>
        <w:left w:val="none" w:sz="0" w:space="0" w:color="auto"/>
        <w:bottom w:val="none" w:sz="0" w:space="0" w:color="auto"/>
        <w:right w:val="none" w:sz="0" w:space="0" w:color="auto"/>
      </w:divBdr>
    </w:div>
    <w:div w:id="736905770">
      <w:bodyDiv w:val="1"/>
      <w:marLeft w:val="0"/>
      <w:marRight w:val="0"/>
      <w:marTop w:val="0"/>
      <w:marBottom w:val="0"/>
      <w:divBdr>
        <w:top w:val="none" w:sz="0" w:space="0" w:color="auto"/>
        <w:left w:val="none" w:sz="0" w:space="0" w:color="auto"/>
        <w:bottom w:val="none" w:sz="0" w:space="0" w:color="auto"/>
        <w:right w:val="none" w:sz="0" w:space="0" w:color="auto"/>
      </w:divBdr>
    </w:div>
    <w:div w:id="834609854">
      <w:bodyDiv w:val="1"/>
      <w:marLeft w:val="0"/>
      <w:marRight w:val="0"/>
      <w:marTop w:val="0"/>
      <w:marBottom w:val="0"/>
      <w:divBdr>
        <w:top w:val="none" w:sz="0" w:space="0" w:color="auto"/>
        <w:left w:val="none" w:sz="0" w:space="0" w:color="auto"/>
        <w:bottom w:val="none" w:sz="0" w:space="0" w:color="auto"/>
        <w:right w:val="none" w:sz="0" w:space="0" w:color="auto"/>
      </w:divBdr>
    </w:div>
    <w:div w:id="882014914">
      <w:bodyDiv w:val="1"/>
      <w:marLeft w:val="0"/>
      <w:marRight w:val="0"/>
      <w:marTop w:val="0"/>
      <w:marBottom w:val="0"/>
      <w:divBdr>
        <w:top w:val="none" w:sz="0" w:space="0" w:color="auto"/>
        <w:left w:val="none" w:sz="0" w:space="0" w:color="auto"/>
        <w:bottom w:val="none" w:sz="0" w:space="0" w:color="auto"/>
        <w:right w:val="none" w:sz="0" w:space="0" w:color="auto"/>
      </w:divBdr>
    </w:div>
    <w:div w:id="898785788">
      <w:bodyDiv w:val="1"/>
      <w:marLeft w:val="0"/>
      <w:marRight w:val="0"/>
      <w:marTop w:val="0"/>
      <w:marBottom w:val="0"/>
      <w:divBdr>
        <w:top w:val="none" w:sz="0" w:space="0" w:color="auto"/>
        <w:left w:val="none" w:sz="0" w:space="0" w:color="auto"/>
        <w:bottom w:val="none" w:sz="0" w:space="0" w:color="auto"/>
        <w:right w:val="none" w:sz="0" w:space="0" w:color="auto"/>
      </w:divBdr>
    </w:div>
    <w:div w:id="921183424">
      <w:bodyDiv w:val="1"/>
      <w:marLeft w:val="0"/>
      <w:marRight w:val="0"/>
      <w:marTop w:val="0"/>
      <w:marBottom w:val="0"/>
      <w:divBdr>
        <w:top w:val="none" w:sz="0" w:space="0" w:color="auto"/>
        <w:left w:val="none" w:sz="0" w:space="0" w:color="auto"/>
        <w:bottom w:val="none" w:sz="0" w:space="0" w:color="auto"/>
        <w:right w:val="none" w:sz="0" w:space="0" w:color="auto"/>
      </w:divBdr>
    </w:div>
    <w:div w:id="949892838">
      <w:bodyDiv w:val="1"/>
      <w:marLeft w:val="0"/>
      <w:marRight w:val="0"/>
      <w:marTop w:val="0"/>
      <w:marBottom w:val="0"/>
      <w:divBdr>
        <w:top w:val="none" w:sz="0" w:space="0" w:color="auto"/>
        <w:left w:val="none" w:sz="0" w:space="0" w:color="auto"/>
        <w:bottom w:val="none" w:sz="0" w:space="0" w:color="auto"/>
        <w:right w:val="none" w:sz="0" w:space="0" w:color="auto"/>
      </w:divBdr>
    </w:div>
    <w:div w:id="1065445934">
      <w:bodyDiv w:val="1"/>
      <w:marLeft w:val="0"/>
      <w:marRight w:val="0"/>
      <w:marTop w:val="0"/>
      <w:marBottom w:val="0"/>
      <w:divBdr>
        <w:top w:val="none" w:sz="0" w:space="0" w:color="auto"/>
        <w:left w:val="none" w:sz="0" w:space="0" w:color="auto"/>
        <w:bottom w:val="none" w:sz="0" w:space="0" w:color="auto"/>
        <w:right w:val="none" w:sz="0" w:space="0" w:color="auto"/>
      </w:divBdr>
    </w:div>
    <w:div w:id="1097672268">
      <w:bodyDiv w:val="1"/>
      <w:marLeft w:val="0"/>
      <w:marRight w:val="0"/>
      <w:marTop w:val="0"/>
      <w:marBottom w:val="0"/>
      <w:divBdr>
        <w:top w:val="none" w:sz="0" w:space="0" w:color="auto"/>
        <w:left w:val="none" w:sz="0" w:space="0" w:color="auto"/>
        <w:bottom w:val="none" w:sz="0" w:space="0" w:color="auto"/>
        <w:right w:val="none" w:sz="0" w:space="0" w:color="auto"/>
      </w:divBdr>
    </w:div>
    <w:div w:id="1148087490">
      <w:bodyDiv w:val="1"/>
      <w:marLeft w:val="0"/>
      <w:marRight w:val="0"/>
      <w:marTop w:val="0"/>
      <w:marBottom w:val="0"/>
      <w:divBdr>
        <w:top w:val="none" w:sz="0" w:space="0" w:color="auto"/>
        <w:left w:val="none" w:sz="0" w:space="0" w:color="auto"/>
        <w:bottom w:val="none" w:sz="0" w:space="0" w:color="auto"/>
        <w:right w:val="none" w:sz="0" w:space="0" w:color="auto"/>
      </w:divBdr>
    </w:div>
    <w:div w:id="1263536723">
      <w:bodyDiv w:val="1"/>
      <w:marLeft w:val="0"/>
      <w:marRight w:val="0"/>
      <w:marTop w:val="0"/>
      <w:marBottom w:val="0"/>
      <w:divBdr>
        <w:top w:val="none" w:sz="0" w:space="0" w:color="auto"/>
        <w:left w:val="none" w:sz="0" w:space="0" w:color="auto"/>
        <w:bottom w:val="none" w:sz="0" w:space="0" w:color="auto"/>
        <w:right w:val="none" w:sz="0" w:space="0" w:color="auto"/>
      </w:divBdr>
    </w:div>
    <w:div w:id="1287808909">
      <w:bodyDiv w:val="1"/>
      <w:marLeft w:val="0"/>
      <w:marRight w:val="0"/>
      <w:marTop w:val="0"/>
      <w:marBottom w:val="0"/>
      <w:divBdr>
        <w:top w:val="none" w:sz="0" w:space="0" w:color="auto"/>
        <w:left w:val="none" w:sz="0" w:space="0" w:color="auto"/>
        <w:bottom w:val="none" w:sz="0" w:space="0" w:color="auto"/>
        <w:right w:val="none" w:sz="0" w:space="0" w:color="auto"/>
      </w:divBdr>
    </w:div>
    <w:div w:id="1308048525">
      <w:bodyDiv w:val="1"/>
      <w:marLeft w:val="0"/>
      <w:marRight w:val="0"/>
      <w:marTop w:val="0"/>
      <w:marBottom w:val="0"/>
      <w:divBdr>
        <w:top w:val="none" w:sz="0" w:space="0" w:color="auto"/>
        <w:left w:val="none" w:sz="0" w:space="0" w:color="auto"/>
        <w:bottom w:val="none" w:sz="0" w:space="0" w:color="auto"/>
        <w:right w:val="none" w:sz="0" w:space="0" w:color="auto"/>
      </w:divBdr>
    </w:div>
    <w:div w:id="1621297095">
      <w:bodyDiv w:val="1"/>
      <w:marLeft w:val="0"/>
      <w:marRight w:val="0"/>
      <w:marTop w:val="0"/>
      <w:marBottom w:val="0"/>
      <w:divBdr>
        <w:top w:val="none" w:sz="0" w:space="0" w:color="auto"/>
        <w:left w:val="none" w:sz="0" w:space="0" w:color="auto"/>
        <w:bottom w:val="none" w:sz="0" w:space="0" w:color="auto"/>
        <w:right w:val="none" w:sz="0" w:space="0" w:color="auto"/>
      </w:divBdr>
    </w:div>
    <w:div w:id="1742101784">
      <w:bodyDiv w:val="1"/>
      <w:marLeft w:val="0"/>
      <w:marRight w:val="0"/>
      <w:marTop w:val="0"/>
      <w:marBottom w:val="0"/>
      <w:divBdr>
        <w:top w:val="none" w:sz="0" w:space="0" w:color="auto"/>
        <w:left w:val="none" w:sz="0" w:space="0" w:color="auto"/>
        <w:bottom w:val="none" w:sz="0" w:space="0" w:color="auto"/>
        <w:right w:val="none" w:sz="0" w:space="0" w:color="auto"/>
      </w:divBdr>
    </w:div>
    <w:div w:id="1806510478">
      <w:bodyDiv w:val="1"/>
      <w:marLeft w:val="0"/>
      <w:marRight w:val="0"/>
      <w:marTop w:val="0"/>
      <w:marBottom w:val="0"/>
      <w:divBdr>
        <w:top w:val="none" w:sz="0" w:space="0" w:color="auto"/>
        <w:left w:val="none" w:sz="0" w:space="0" w:color="auto"/>
        <w:bottom w:val="none" w:sz="0" w:space="0" w:color="auto"/>
        <w:right w:val="none" w:sz="0" w:space="0" w:color="auto"/>
      </w:divBdr>
    </w:div>
    <w:div w:id="1892964241">
      <w:bodyDiv w:val="1"/>
      <w:marLeft w:val="0"/>
      <w:marRight w:val="0"/>
      <w:marTop w:val="0"/>
      <w:marBottom w:val="0"/>
      <w:divBdr>
        <w:top w:val="none" w:sz="0" w:space="0" w:color="auto"/>
        <w:left w:val="none" w:sz="0" w:space="0" w:color="auto"/>
        <w:bottom w:val="none" w:sz="0" w:space="0" w:color="auto"/>
        <w:right w:val="none" w:sz="0" w:space="0" w:color="auto"/>
      </w:divBdr>
    </w:div>
    <w:div w:id="213289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hyperlink" Target="http://likumi.lv/ta/id/254896" TargetMode="External"/><Relationship Id="rId26" Type="http://schemas.openxmlformats.org/officeDocument/2006/relationships/chart" Target="charts/chart7.xml"/><Relationship Id="rId39" Type="http://schemas.openxmlformats.org/officeDocument/2006/relationships/chart" Target="charts/chart170.xml"/><Relationship Id="rId21" Type="http://schemas.openxmlformats.org/officeDocument/2006/relationships/hyperlink" Target="http://likumi.lv/ta/id/254896-fiskalas-disciplinas-likums" TargetMode="External"/><Relationship Id="rId34" Type="http://schemas.openxmlformats.org/officeDocument/2006/relationships/chart" Target="charts/chart14.xml"/><Relationship Id="rId42" Type="http://schemas.openxmlformats.org/officeDocument/2006/relationships/chart" Target="charts/chart20.xml"/><Relationship Id="rId47" Type="http://schemas.openxmlformats.org/officeDocument/2006/relationships/chart" Target="charts/chart230.xml"/><Relationship Id="rId50" Type="http://schemas.openxmlformats.org/officeDocument/2006/relationships/hyperlink" Target="https://fdp.gov.lv/ekonomikas-siltuma-kart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likumi.lv/ta/id/254896" TargetMode="External"/><Relationship Id="rId29" Type="http://schemas.openxmlformats.org/officeDocument/2006/relationships/chart" Target="charts/chart10.xml"/><Relationship Id="rId11" Type="http://schemas.openxmlformats.org/officeDocument/2006/relationships/chart" Target="charts/chart1.xml"/><Relationship Id="rId24" Type="http://schemas.openxmlformats.org/officeDocument/2006/relationships/chart" Target="charts/chart6.xml"/><Relationship Id="rId32" Type="http://schemas.openxmlformats.org/officeDocument/2006/relationships/chart" Target="charts/chart13.xml"/><Relationship Id="rId37" Type="http://schemas.openxmlformats.org/officeDocument/2006/relationships/chart" Target="charts/chart17.xml"/><Relationship Id="rId40" Type="http://schemas.openxmlformats.org/officeDocument/2006/relationships/chart" Target="charts/chart18.xml"/><Relationship Id="rId45" Type="http://schemas.openxmlformats.org/officeDocument/2006/relationships/chart" Target="charts/chart22.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chart" Target="charts/chart5.xml"/><Relationship Id="rId28" Type="http://schemas.openxmlformats.org/officeDocument/2006/relationships/chart" Target="charts/chart9.xml"/><Relationship Id="rId36" Type="http://schemas.openxmlformats.org/officeDocument/2006/relationships/chart" Target="charts/chart16.xml"/><Relationship Id="rId49"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likumi.lv/ta/id/254896-fiskalas-disciplinas-likums" TargetMode="External"/><Relationship Id="rId31" Type="http://schemas.openxmlformats.org/officeDocument/2006/relationships/chart" Target="charts/chart12.xml"/><Relationship Id="rId44" Type="http://schemas.openxmlformats.org/officeDocument/2006/relationships/image" Target="media/image3.png"/><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likumi.lv/ta/id/254896-fiskalas-disciplinas-likums" TargetMode="Externa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5.xml"/><Relationship Id="rId43" Type="http://schemas.openxmlformats.org/officeDocument/2006/relationships/chart" Target="charts/chart21.xml"/><Relationship Id="rId48" Type="http://schemas.openxmlformats.org/officeDocument/2006/relationships/chart" Target="charts/chart24.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hart" Target="charts/chart2.xml"/><Relationship Id="rId17" Type="http://schemas.openxmlformats.org/officeDocument/2006/relationships/hyperlink" Target="http://likumi.lv/ta/id/254896" TargetMode="External"/><Relationship Id="rId25" Type="http://schemas.openxmlformats.org/officeDocument/2006/relationships/hyperlink" Target="https://www.oecd.org/economic-outlook/june-2020/?utm_source=facebook&amp;utm_medium=social&amp;utm_campaign=ecooutlookjun2020&amp;utm_content=en&amp;utm_term=pac" TargetMode="External"/><Relationship Id="rId33" Type="http://schemas.openxmlformats.org/officeDocument/2006/relationships/image" Target="media/image2.png"/><Relationship Id="rId46" Type="http://schemas.openxmlformats.org/officeDocument/2006/relationships/chart" Target="charts/chart23.xml"/><Relationship Id="rId20" Type="http://schemas.openxmlformats.org/officeDocument/2006/relationships/hyperlink" Target="http://likumi.lv/ta/id/254896-fiskalas-disciplinas-likums" TargetMode="External"/><Relationship Id="rId41"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bank.lv/darbibas-jomas/monetaras-politikas-istenosana/prognozes" TargetMode="External"/><Relationship Id="rId13" Type="http://schemas.openxmlformats.org/officeDocument/2006/relationships/hyperlink" Target="https://covid19.who.int/" TargetMode="External"/><Relationship Id="rId18" Type="http://schemas.openxmlformats.org/officeDocument/2006/relationships/hyperlink" Target="https://fdp.gov.lv/ekonomikas-siltuma-karte" TargetMode="External"/><Relationship Id="rId3" Type="http://schemas.openxmlformats.org/officeDocument/2006/relationships/hyperlink" Target="https://fdp.gov.lv/jaunumi/Fiskalasdisciplinaspadomenakklajaarpriekslikumiemnodoklusistemaspilnveidosanai" TargetMode="External"/><Relationship Id="rId7" Type="http://schemas.openxmlformats.org/officeDocument/2006/relationships/hyperlink" Target="https://www.bank.lv/darbibas-jomas/monetaras-politikas-istenosana/prognozes" TargetMode="External"/><Relationship Id="rId12" Type="http://schemas.openxmlformats.org/officeDocument/2006/relationships/hyperlink" Target="https://fdp.gov.lv/files/uploaded/FDP_1_08_278_20200617_Makroekonomikas_prognozes_viedoklis.docx.pdf" TargetMode="External"/><Relationship Id="rId17" Type="http://schemas.openxmlformats.org/officeDocument/2006/relationships/hyperlink" Target="https://www.riga-airport.com/preses-telpa/jaunumi/lidosta-riga-gadu-uzsak-ar-iespaidigu-12-2-pasazieru-skaita-pieaugumu" TargetMode="External"/><Relationship Id="rId2" Type="http://schemas.openxmlformats.org/officeDocument/2006/relationships/hyperlink" Target="https://www.imf.org/en/Publications/CR/Issues/2019/08/06/Republic-of-Latvia-2019-Article-IV-Consultation-Press-Release-and-Staff-Report-48565" TargetMode="External"/><Relationship Id="rId16" Type="http://schemas.openxmlformats.org/officeDocument/2006/relationships/hyperlink" Target="https://www.imf.org/external/datamapper/NGDP_RPCH@WEO/LVA/EURO" TargetMode="External"/><Relationship Id="rId1" Type="http://schemas.openxmlformats.org/officeDocument/2006/relationships/hyperlink" Target="https://www.imf.org/external/datamapper/G_XWDG_G01_GDP_PT@FM/ADVEC/FM_EMG/FM_LIDC" TargetMode="External"/><Relationship Id="rId6" Type="http://schemas.openxmlformats.org/officeDocument/2006/relationships/hyperlink" Target="https://fdp.gov.lv/files/uploaded/FDPnodokluzinojumsgalaversija.pdf" TargetMode="External"/><Relationship Id="rId11" Type="http://schemas.openxmlformats.org/officeDocument/2006/relationships/hyperlink" Target="https://www.oecd.org/economic-outlook/june-2020/?utm_source=facebook&amp;utm_medium=social&amp;utm_campaign=ecooutlookjun2020&amp;utm_content=en&amp;utm_term=pac" TargetMode="External"/><Relationship Id="rId5" Type="http://schemas.openxmlformats.org/officeDocument/2006/relationships/hyperlink" Target="https://ec.europa.eu/info/sites/info/files/3_en_document_travail_service_part1_v3_en_0.pdf" TargetMode="External"/><Relationship Id="rId15" Type="http://schemas.openxmlformats.org/officeDocument/2006/relationships/hyperlink" Target="https://www.ecb.europa.eu/pub/projections/html/ecb.projections202009_ecbstaff~0940bca288.en.html" TargetMode="External"/><Relationship Id="rId10" Type="http://schemas.openxmlformats.org/officeDocument/2006/relationships/hyperlink" Target="https://www.csb.gov.lv/lv/statistika/statistikas-temas/ekonomika/valdibas-finanses/tabulas/vf020c/visparejas-valdibas-parads-sadalijuma-pa" TargetMode="External"/><Relationship Id="rId4" Type="http://schemas.openxmlformats.org/officeDocument/2006/relationships/hyperlink" Target="http://tap.mk.gov.lv/lv/mk/tap/?pid=40491864&amp;mode=mk&amp;date=2020-09-22" TargetMode="External"/><Relationship Id="rId9" Type="http://schemas.openxmlformats.org/officeDocument/2006/relationships/hyperlink" Target="https://www.bloomberg.com/news/articles/2020-04-21/as-airlines-scrap-jet-orders-tiny-air-baltic-is-throttling-up?utm_content=business&amp;utm_medium=social&amp;utm_source=twitter&amp;cmpid=socialflow-twitter-business&amp;utm_campaign=socialflow-organic" TargetMode="External"/><Relationship Id="rId14" Type="http://schemas.openxmlformats.org/officeDocument/2006/relationships/hyperlink" Target="https://covid19.who.int/?gclid=CjwKCAjwzvX7BRAeEiwAsXExo5gbHYH08kwDJHMV_E3nABGjLDNUSeq-XdsSRKTNxp6HqEabC0NyAhoC3V0QAvD_Bw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viktorija.zaremba\Desktop\2020\UZ2020_grafiki_eurostatsts_inpr_m%20(4).xls"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file:///C:\Users\viktorija.zaremba\Desktop\2020\7_monitora_grafiki\7_monit_FDP_2020_II_20200120_makro_P2.xlsx" TargetMode="External"/><Relationship Id="rId2" Type="http://schemas.microsoft.com/office/2011/relationships/chartColorStyle" Target="colors9.xml"/><Relationship Id="rId1" Type="http://schemas.microsoft.com/office/2011/relationships/chartStyle" Target="style9.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viktorija.zaremba\Desktop\2020\7_monitora_grafiki\7_monit_FDP_2020_II_20200120_makro_P2.xlsx" TargetMode="External"/><Relationship Id="rId2" Type="http://schemas.microsoft.com/office/2011/relationships/chartColorStyle" Target="colors10.xml"/><Relationship Id="rId1" Type="http://schemas.microsoft.com/office/2011/relationships/chartStyle" Target="style10.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viktorija.zaremba\Desktop\UZ2020_namq_10_gdp.xls" TargetMode="External"/><Relationship Id="rId2" Type="http://schemas.microsoft.com/office/2011/relationships/chartColorStyle" Target="colors11.xml"/><Relationship Id="rId1" Type="http://schemas.microsoft.com/office/2011/relationships/chartStyle" Target="style11.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viktorija.zaremba\Desktop\2020\Mazumtirdznieciba.xlsx" TargetMode="External"/><Relationship Id="rId2" Type="http://schemas.microsoft.com/office/2011/relationships/chartColorStyle" Target="colors12.xml"/><Relationship Id="rId1" Type="http://schemas.microsoft.com/office/2011/relationships/chartStyle" Target="style12.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viktorija.zaremba\Desktop\2020\Transports%20_un_uzglabashana.xlsx" TargetMode="External"/><Relationship Id="rId2" Type="http://schemas.microsoft.com/office/2011/relationships/chartColorStyle" Target="colors13.xml"/><Relationship Id="rId1" Type="http://schemas.microsoft.com/office/2011/relationships/chartStyle" Target="style13.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viktorija.zaremba\Desktop\2020\Transports%20_un_uzglabashana.xlsx" TargetMode="External"/><Relationship Id="rId2" Type="http://schemas.microsoft.com/office/2011/relationships/chartColorStyle" Target="colors14.xml"/><Relationship Id="rId1" Type="http://schemas.microsoft.com/office/2011/relationships/chartStyle" Target="style14.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viktorija.zaremba\Desktop\2020\eksports_komb_nomenkl_makro_P5_P6.xlsx" TargetMode="External"/><Relationship Id="rId2" Type="http://schemas.microsoft.com/office/2011/relationships/chartColorStyle" Target="colors15.xml"/><Relationship Id="rId1" Type="http://schemas.microsoft.com/office/2011/relationships/chartStyle" Target="style15.xml"/></Relationships>
</file>

<file path=word/charts/_rels/chart170.xml.rels><?xml version="1.0" encoding="UTF-8" standalone="yes"?>
<Relationships xmlns="http://schemas.openxmlformats.org/package/2006/relationships"><Relationship Id="rId3" Type="http://schemas.openxmlformats.org/officeDocument/2006/relationships/oleObject" Target="file:///C:\Users\viktorija.zaremba\Desktop\2020\eksports_komb_nomenkl_makro_P5_P6.xlsx" TargetMode="External"/><Relationship Id="rId2" Type="http://schemas.microsoft.com/office/2011/relationships/chartColorStyle" Target="colors150.xml"/><Relationship Id="rId1" Type="http://schemas.microsoft.com/office/2011/relationships/chartStyle" Target="style150.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viktorija.zaremba\Desktop\2020\eksports_komb_nomenkl_makro_P5_P6.xlsx" TargetMode="External"/><Relationship Id="rId2" Type="http://schemas.microsoft.com/office/2011/relationships/chartColorStyle" Target="colors16.xml"/><Relationship Id="rId1" Type="http://schemas.microsoft.com/office/2011/relationships/chartStyle" Target="style16.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viktorija.zaremba\Desktop\2020\eksports_komb_nomenkl_makro_P5_P6.xlsx" TargetMode="External"/><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viktorija.zaremba\Desktop\2020\Eksports_sevcice_LB_makro_P8_P9.xls" TargetMode="External"/></Relationships>
</file>

<file path=word/charts/_rels/chart21.xml.rels><?xml version="1.0" encoding="UTF-8" standalone="yes"?>
<Relationships xmlns="http://schemas.openxmlformats.org/package/2006/relationships"><Relationship Id="rId3" Type="http://schemas.openxmlformats.org/officeDocument/2006/relationships/oleObject" Target="file:///C:\Users\viktorija.zaremba\Desktop\2020\7_monitora_grafiki\7_monit_FDP_2020_II_20200120_makro_P15_P16.xlsx" TargetMode="External"/><Relationship Id="rId2" Type="http://schemas.microsoft.com/office/2011/relationships/chartColorStyle" Target="colors18.xml"/><Relationship Id="rId1" Type="http://schemas.microsoft.com/office/2011/relationships/chartStyle" Target="style18.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viktorija.zaremba\Desktop\2020\7_monitora_grafiki\7_monit_FDP_2020_II_20193110_makro_P17_P18_P19.xlsx" TargetMode="External"/><Relationship Id="rId2" Type="http://schemas.microsoft.com/office/2011/relationships/chartColorStyle" Target="colors19.xml"/><Relationship Id="rId1" Type="http://schemas.microsoft.com/office/2011/relationships/chartStyle" Target="style19.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viktorija.zaremba\AppData\Local\Microsoft\Windows\INetCache\IE\R57RGH3H\prc_hicp_manr.xls" TargetMode="External"/><Relationship Id="rId2" Type="http://schemas.microsoft.com/office/2011/relationships/chartColorStyle" Target="colors20.xml"/><Relationship Id="rId1" Type="http://schemas.microsoft.com/office/2011/relationships/chartStyle" Target="style20.xml"/></Relationships>
</file>

<file path=word/charts/_rels/chart230.xml.rels><?xml version="1.0" encoding="UTF-8" standalone="yes"?>
<Relationships xmlns="http://schemas.openxmlformats.org/package/2006/relationships"><Relationship Id="rId3" Type="http://schemas.openxmlformats.org/officeDocument/2006/relationships/oleObject" Target="file:///C:\Users\viktorija.zaremba\AppData\Local\Microsoft\Windows\INetCache\IE\R57RGH3H\prc_hicp_manr.xls" TargetMode="External"/><Relationship Id="rId2" Type="http://schemas.microsoft.com/office/2011/relationships/chartColorStyle" Target="colors200.xml"/><Relationship Id="rId1" Type="http://schemas.microsoft.com/office/2011/relationships/chartStyle" Target="style200.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viktorija.zaremba\Desktop\2020\inflacijas_analize_grupas.xlsx" TargetMode="External"/><Relationship Id="rId2" Type="http://schemas.microsoft.com/office/2011/relationships/chartColorStyle" Target="colors21.xml"/><Relationship Id="rId1" Type="http://schemas.microsoft.com/office/2011/relationships/chartStyle" Target="style2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viktorija.zaremba\Desktop\tututu2020\7_monitora_grafiki\7_monit_parada_dinamik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viktorija.zaremba\Desktop\tututu2020\Visp_val_paraads_grafiki_UZ202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Viktorija\Desktop\mod_MACRO_COVID_karantina\COVID_MONITOR\New%20folder\Augusta%20_makro_deklaracijai.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Viktorija\Desktop\mod_MACRO_COVID_karantina\COVID_MONITOR\New%20folder\Augusta%20_makro_deklaracijai.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viktorija.zaremba\Desktop\UZ2020_namq_10_gdp.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900481189851275E-2"/>
          <c:y val="8.7771058494665322E-2"/>
          <c:w val="0.88254396325459317"/>
          <c:h val="0.68292856187352691"/>
        </c:manualLayout>
      </c:layout>
      <c:barChart>
        <c:barDir val="col"/>
        <c:grouping val="clustered"/>
        <c:varyColors val="0"/>
        <c:ser>
          <c:idx val="0"/>
          <c:order val="0"/>
          <c:tx>
            <c:strRef>
              <c:f>'[VK_ikmenesa_LV_2020_augusts (1).xlsx]2'!$B$206</c:f>
              <c:strCache>
                <c:ptCount val="1"/>
                <c:pt idx="0">
                  <c:v>2019</c:v>
                </c:pt>
              </c:strCache>
            </c:strRef>
          </c:tx>
          <c:spPr>
            <a:solidFill>
              <a:schemeClr val="accent1"/>
            </a:solidFill>
            <a:ln>
              <a:noFill/>
            </a:ln>
            <a:effectLst/>
          </c:spPr>
          <c:invertIfNegative val="0"/>
          <c:dPt>
            <c:idx val="11"/>
            <c:invertIfNegative val="0"/>
            <c:bubble3D val="0"/>
            <c:spPr>
              <a:solidFill>
                <a:schemeClr val="accent1"/>
              </a:solidFill>
              <a:ln>
                <a:noFill/>
              </a:ln>
              <a:effectLst/>
            </c:spPr>
            <c:extLst>
              <c:ext xmlns:c16="http://schemas.microsoft.com/office/drawing/2014/chart" uri="{C3380CC4-5D6E-409C-BE32-E72D297353CC}">
                <c16:uniqueId val="{00000001-6B20-4C43-86FE-F77E6C820908}"/>
              </c:ext>
            </c:extLst>
          </c:dPt>
          <c:cat>
            <c:strRef>
              <c:f>'[VK_ikmenesa_LV_2020_augusts (1).xlsx]2'!$A$207:$A$218</c:f>
              <c:strCache>
                <c:ptCount val="12"/>
                <c:pt idx="0">
                  <c:v>janv</c:v>
                </c:pt>
                <c:pt idx="1">
                  <c:v>febr</c:v>
                </c:pt>
                <c:pt idx="2">
                  <c:v>marts</c:v>
                </c:pt>
                <c:pt idx="3">
                  <c:v>apr</c:v>
                </c:pt>
                <c:pt idx="4">
                  <c:v>maijs</c:v>
                </c:pt>
                <c:pt idx="5">
                  <c:v>jūn</c:v>
                </c:pt>
                <c:pt idx="6">
                  <c:v>jūl</c:v>
                </c:pt>
                <c:pt idx="7">
                  <c:v>aug</c:v>
                </c:pt>
                <c:pt idx="8">
                  <c:v>sept</c:v>
                </c:pt>
                <c:pt idx="9">
                  <c:v>okt</c:v>
                </c:pt>
                <c:pt idx="10">
                  <c:v>nov</c:v>
                </c:pt>
                <c:pt idx="11">
                  <c:v>dec</c:v>
                </c:pt>
              </c:strCache>
            </c:strRef>
          </c:cat>
          <c:val>
            <c:numRef>
              <c:f>'[VK_ikmenesa_LV_2020_augusts (1).xlsx]2'!$B$207:$B$218</c:f>
              <c:numCache>
                <c:formatCode>#\ ##0.0</c:formatCode>
                <c:ptCount val="12"/>
                <c:pt idx="0">
                  <c:v>0.56978729820186369</c:v>
                </c:pt>
                <c:pt idx="1">
                  <c:v>0.92683921774511102</c:v>
                </c:pt>
                <c:pt idx="2">
                  <c:v>0.65840303189395022</c:v>
                </c:pt>
                <c:pt idx="3">
                  <c:v>0.89587697532484789</c:v>
                </c:pt>
                <c:pt idx="4">
                  <c:v>1.6879310506628153</c:v>
                </c:pt>
                <c:pt idx="5">
                  <c:v>2.2286750229688934</c:v>
                </c:pt>
                <c:pt idx="6">
                  <c:v>1.9594347191232451</c:v>
                </c:pt>
                <c:pt idx="7">
                  <c:v>1.9584182143325901</c:v>
                </c:pt>
                <c:pt idx="8">
                  <c:v>1.7115091022443876</c:v>
                </c:pt>
                <c:pt idx="9">
                  <c:v>1.456835660847879</c:v>
                </c:pt>
                <c:pt idx="10">
                  <c:v>1.0002100931880791</c:v>
                </c:pt>
                <c:pt idx="11">
                  <c:v>-0.38592983659272245</c:v>
                </c:pt>
              </c:numCache>
            </c:numRef>
          </c:val>
          <c:extLst>
            <c:ext xmlns:c16="http://schemas.microsoft.com/office/drawing/2014/chart" uri="{C3380CC4-5D6E-409C-BE32-E72D297353CC}">
              <c16:uniqueId val="{00000002-6B20-4C43-86FE-F77E6C820908}"/>
            </c:ext>
          </c:extLst>
        </c:ser>
        <c:ser>
          <c:idx val="1"/>
          <c:order val="1"/>
          <c:tx>
            <c:strRef>
              <c:f>'[VK_ikmenesa_LV_2020_augusts (1).xlsx]2'!$C$206</c:f>
              <c:strCache>
                <c:ptCount val="1"/>
                <c:pt idx="0">
                  <c:v>2020</c:v>
                </c:pt>
              </c:strCache>
            </c:strRef>
          </c:tx>
          <c:spPr>
            <a:solidFill>
              <a:schemeClr val="accent2"/>
            </a:solidFill>
            <a:ln>
              <a:noFill/>
            </a:ln>
            <a:effectLst/>
          </c:spPr>
          <c:invertIfNegative val="0"/>
          <c:cat>
            <c:strRef>
              <c:f>'[VK_ikmenesa_LV_2020_augusts (1).xlsx]2'!$A$207:$A$218</c:f>
              <c:strCache>
                <c:ptCount val="12"/>
                <c:pt idx="0">
                  <c:v>janv</c:v>
                </c:pt>
                <c:pt idx="1">
                  <c:v>febr</c:v>
                </c:pt>
                <c:pt idx="2">
                  <c:v>marts</c:v>
                </c:pt>
                <c:pt idx="3">
                  <c:v>apr</c:v>
                </c:pt>
                <c:pt idx="4">
                  <c:v>maijs</c:v>
                </c:pt>
                <c:pt idx="5">
                  <c:v>jūn</c:v>
                </c:pt>
                <c:pt idx="6">
                  <c:v>jūl</c:v>
                </c:pt>
                <c:pt idx="7">
                  <c:v>aug</c:v>
                </c:pt>
                <c:pt idx="8">
                  <c:v>sept</c:v>
                </c:pt>
                <c:pt idx="9">
                  <c:v>okt</c:v>
                </c:pt>
                <c:pt idx="10">
                  <c:v>nov</c:v>
                </c:pt>
                <c:pt idx="11">
                  <c:v>dec</c:v>
                </c:pt>
              </c:strCache>
            </c:strRef>
          </c:cat>
          <c:val>
            <c:numRef>
              <c:f>'[VK_ikmenesa_LV_2020_augusts (1).xlsx]2'!$C$207:$C$218</c:f>
              <c:numCache>
                <c:formatCode>#\ ##0.0</c:formatCode>
                <c:ptCount val="12"/>
                <c:pt idx="0">
                  <c:v>0.33750338119080669</c:v>
                </c:pt>
                <c:pt idx="1">
                  <c:v>0.76440977105910335</c:v>
                </c:pt>
                <c:pt idx="2">
                  <c:v>0.25283426425011674</c:v>
                </c:pt>
                <c:pt idx="3">
                  <c:v>-4.0095817845644359E-2</c:v>
                </c:pt>
                <c:pt idx="4">
                  <c:v>0.20821026411656829</c:v>
                </c:pt>
                <c:pt idx="5">
                  <c:v>-0.46581492831924731</c:v>
                </c:pt>
                <c:pt idx="6">
                  <c:v>2.1871401742030675E-2</c:v>
                </c:pt>
                <c:pt idx="7">
                  <c:v>-0.14236455540170034</c:v>
                </c:pt>
                <c:pt idx="8">
                  <c:v>0</c:v>
                </c:pt>
                <c:pt idx="9">
                  <c:v>0</c:v>
                </c:pt>
                <c:pt idx="10">
                  <c:v>0</c:v>
                </c:pt>
                <c:pt idx="11">
                  <c:v>0</c:v>
                </c:pt>
              </c:numCache>
            </c:numRef>
          </c:val>
          <c:extLst>
            <c:ext xmlns:c16="http://schemas.microsoft.com/office/drawing/2014/chart" uri="{C3380CC4-5D6E-409C-BE32-E72D297353CC}">
              <c16:uniqueId val="{00000003-6B20-4C43-86FE-F77E6C820908}"/>
            </c:ext>
          </c:extLst>
        </c:ser>
        <c:dLbls>
          <c:showLegendKey val="0"/>
          <c:showVal val="0"/>
          <c:showCatName val="0"/>
          <c:showSerName val="0"/>
          <c:showPercent val="0"/>
          <c:showBubbleSize val="0"/>
        </c:dLbls>
        <c:gapWidth val="219"/>
        <c:overlap val="-27"/>
        <c:axId val="433091520"/>
        <c:axId val="433088776"/>
      </c:barChart>
      <c:catAx>
        <c:axId val="43309152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33088776"/>
        <c:crosses val="autoZero"/>
        <c:auto val="1"/>
        <c:lblAlgn val="ctr"/>
        <c:lblOffset val="100"/>
        <c:noMultiLvlLbl val="0"/>
      </c:catAx>
      <c:valAx>
        <c:axId val="43308877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33091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3206036745406826E-2"/>
          <c:y val="7.5565369066233651E-2"/>
          <c:w val="0.8762384076990376"/>
          <c:h val="0.72960927928608654"/>
        </c:manualLayout>
      </c:layout>
      <c:lineChart>
        <c:grouping val="standard"/>
        <c:varyColors val="0"/>
        <c:ser>
          <c:idx val="6"/>
          <c:order val="6"/>
          <c:tx>
            <c:strRef>
              <c:f>Data!$U$22</c:f>
              <c:strCache>
                <c:ptCount val="1"/>
                <c:pt idx="0">
                  <c:v>Īrija</c:v>
                </c:pt>
              </c:strCache>
            </c:strRef>
          </c:tx>
          <c:spPr>
            <a:ln w="28575" cap="rnd">
              <a:solidFill>
                <a:schemeClr val="accent1">
                  <a:lumMod val="60000"/>
                </a:schemeClr>
              </a:solidFill>
              <a:round/>
            </a:ln>
            <a:effectLst/>
          </c:spPr>
          <c:marker>
            <c:symbol val="none"/>
          </c:marker>
          <c:cat>
            <c:multiLvlStrRef>
              <c:f>Data!$V$12:$AB$15</c:f>
              <c:multiLvlStrCache>
                <c:ptCount val="7"/>
                <c:lvl>
                  <c:pt idx="6">
                    <c:v>jkl</c:v>
                  </c:pt>
                </c:lvl>
                <c:lvl>
                  <c:pt idx="0">
                    <c:v>2020M01</c:v>
                  </c:pt>
                  <c:pt idx="1">
                    <c:v>2020M02</c:v>
                  </c:pt>
                  <c:pt idx="2">
                    <c:v>2020M03</c:v>
                  </c:pt>
                  <c:pt idx="3">
                    <c:v>2020M04</c:v>
                  </c:pt>
                  <c:pt idx="4">
                    <c:v>2020M05</c:v>
                  </c:pt>
                  <c:pt idx="5">
                    <c:v>2020M06</c:v>
                  </c:pt>
                  <c:pt idx="6">
                    <c:v>2020M07</c:v>
                  </c:pt>
                </c:lvl>
              </c:multiLvlStrCache>
            </c:multiLvlStrRef>
          </c:cat>
          <c:val>
            <c:numRef>
              <c:f>Data!$V$22:$AB$22</c:f>
              <c:numCache>
                <c:formatCode>0.0</c:formatCode>
                <c:ptCount val="7"/>
                <c:pt idx="0">
                  <c:v>1.0649627263045858</c:v>
                </c:pt>
                <c:pt idx="1">
                  <c:v>-1.32788559754853</c:v>
                </c:pt>
                <c:pt idx="2">
                  <c:v>23.753976670201496</c:v>
                </c:pt>
                <c:pt idx="3">
                  <c:v>3.8815117466802747</c:v>
                </c:pt>
                <c:pt idx="4">
                  <c:v>-13.013013013013008</c:v>
                </c:pt>
                <c:pt idx="5">
                  <c:v>4.9946865037194641</c:v>
                </c:pt>
                <c:pt idx="6">
                  <c:v>12.988384371700107</c:v>
                </c:pt>
              </c:numCache>
            </c:numRef>
          </c:val>
          <c:smooth val="0"/>
          <c:extLst>
            <c:ext xmlns:c16="http://schemas.microsoft.com/office/drawing/2014/chart" uri="{C3380CC4-5D6E-409C-BE32-E72D297353CC}">
              <c16:uniqueId val="{00000000-877C-4762-BDF5-E770EC4E68EA}"/>
            </c:ext>
          </c:extLst>
        </c:ser>
        <c:ser>
          <c:idx val="13"/>
          <c:order val="13"/>
          <c:tx>
            <c:strRef>
              <c:f>Data!$U$29</c:f>
              <c:strCache>
                <c:ptCount val="1"/>
                <c:pt idx="0">
                  <c:v>Latvija</c:v>
                </c:pt>
              </c:strCache>
            </c:strRef>
          </c:tx>
          <c:spPr>
            <a:ln w="28575" cap="rnd">
              <a:solidFill>
                <a:schemeClr val="accent2">
                  <a:lumMod val="80000"/>
                  <a:lumOff val="20000"/>
                </a:schemeClr>
              </a:solidFill>
              <a:round/>
            </a:ln>
            <a:effectLst/>
          </c:spPr>
          <c:marker>
            <c:symbol val="none"/>
          </c:marker>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Data!$V$12:$AB$15</c:f>
              <c:multiLvlStrCache>
                <c:ptCount val="7"/>
                <c:lvl>
                  <c:pt idx="6">
                    <c:v>jkl</c:v>
                  </c:pt>
                </c:lvl>
                <c:lvl>
                  <c:pt idx="0">
                    <c:v>2020M01</c:v>
                  </c:pt>
                  <c:pt idx="1">
                    <c:v>2020M02</c:v>
                  </c:pt>
                  <c:pt idx="2">
                    <c:v>2020M03</c:v>
                  </c:pt>
                  <c:pt idx="3">
                    <c:v>2020M04</c:v>
                  </c:pt>
                  <c:pt idx="4">
                    <c:v>2020M05</c:v>
                  </c:pt>
                  <c:pt idx="5">
                    <c:v>2020M06</c:v>
                  </c:pt>
                  <c:pt idx="6">
                    <c:v>2020M07</c:v>
                  </c:pt>
                </c:lvl>
              </c:multiLvlStrCache>
            </c:multiLvlStrRef>
          </c:cat>
          <c:val>
            <c:numRef>
              <c:f>Data!$V$29:$AB$29</c:f>
              <c:numCache>
                <c:formatCode>0.0</c:formatCode>
                <c:ptCount val="7"/>
                <c:pt idx="0">
                  <c:v>-2.6541095890410844</c:v>
                </c:pt>
                <c:pt idx="1">
                  <c:v>1.0362694300518172</c:v>
                </c:pt>
                <c:pt idx="2">
                  <c:v>-3.6051502145922854</c:v>
                </c:pt>
                <c:pt idx="3">
                  <c:v>-9.1783216783216801</c:v>
                </c:pt>
                <c:pt idx="4">
                  <c:v>-6.4267352185089948</c:v>
                </c:pt>
                <c:pt idx="5">
                  <c:v>-0.76142131979696615</c:v>
                </c:pt>
                <c:pt idx="6">
                  <c:v>0.25839793281654977</c:v>
                </c:pt>
              </c:numCache>
            </c:numRef>
          </c:val>
          <c:smooth val="0"/>
          <c:extLst>
            <c:ext xmlns:c16="http://schemas.microsoft.com/office/drawing/2014/chart" uri="{C3380CC4-5D6E-409C-BE32-E72D297353CC}">
              <c16:uniqueId val="{00000001-877C-4762-BDF5-E770EC4E68EA}"/>
            </c:ext>
          </c:extLst>
        </c:ser>
        <c:ser>
          <c:idx val="20"/>
          <c:order val="20"/>
          <c:tx>
            <c:strRef>
              <c:f>Data!$U$36</c:f>
              <c:strCache>
                <c:ptCount val="1"/>
                <c:pt idx="0">
                  <c:v>Polija</c:v>
                </c:pt>
              </c:strCache>
            </c:strRef>
          </c:tx>
          <c:spPr>
            <a:ln w="28575" cap="rnd">
              <a:solidFill>
                <a:schemeClr val="accent3">
                  <a:lumMod val="80000"/>
                </a:schemeClr>
              </a:solidFill>
              <a:round/>
            </a:ln>
            <a:effectLst/>
          </c:spPr>
          <c:marker>
            <c:symbol val="none"/>
          </c:marker>
          <c:cat>
            <c:multiLvlStrRef>
              <c:f>Data!$V$12:$AB$15</c:f>
              <c:multiLvlStrCache>
                <c:ptCount val="7"/>
                <c:lvl>
                  <c:pt idx="6">
                    <c:v>jkl</c:v>
                  </c:pt>
                </c:lvl>
                <c:lvl>
                  <c:pt idx="0">
                    <c:v>2020M01</c:v>
                  </c:pt>
                  <c:pt idx="1">
                    <c:v>2020M02</c:v>
                  </c:pt>
                  <c:pt idx="2">
                    <c:v>2020M03</c:v>
                  </c:pt>
                  <c:pt idx="3">
                    <c:v>2020M04</c:v>
                  </c:pt>
                  <c:pt idx="4">
                    <c:v>2020M05</c:v>
                  </c:pt>
                  <c:pt idx="5">
                    <c:v>2020M06</c:v>
                  </c:pt>
                  <c:pt idx="6">
                    <c:v>2020M07</c:v>
                  </c:pt>
                </c:lvl>
              </c:multiLvlStrCache>
            </c:multiLvlStrRef>
          </c:cat>
          <c:val>
            <c:numRef>
              <c:f>Data!$V$36:$AB$36</c:f>
              <c:numCache>
                <c:formatCode>0.0</c:formatCode>
                <c:ptCount val="7"/>
                <c:pt idx="0">
                  <c:v>3.5953177257525226</c:v>
                </c:pt>
                <c:pt idx="1">
                  <c:v>2.9580936729663136</c:v>
                </c:pt>
                <c:pt idx="2">
                  <c:v>-5.0736497545008206</c:v>
                </c:pt>
                <c:pt idx="3">
                  <c:v>-25.061425061425055</c:v>
                </c:pt>
                <c:pt idx="4">
                  <c:v>-15.453802125919864</c:v>
                </c:pt>
                <c:pt idx="5">
                  <c:v>-5.0083472454090128</c:v>
                </c:pt>
                <c:pt idx="6">
                  <c:v>0.16556291390728006</c:v>
                </c:pt>
              </c:numCache>
            </c:numRef>
          </c:val>
          <c:smooth val="0"/>
          <c:extLst>
            <c:ext xmlns:c16="http://schemas.microsoft.com/office/drawing/2014/chart" uri="{C3380CC4-5D6E-409C-BE32-E72D297353CC}">
              <c16:uniqueId val="{00000002-877C-4762-BDF5-E770EC4E68EA}"/>
            </c:ext>
          </c:extLst>
        </c:ser>
        <c:dLbls>
          <c:showLegendKey val="0"/>
          <c:showVal val="0"/>
          <c:showCatName val="0"/>
          <c:showSerName val="0"/>
          <c:showPercent val="0"/>
          <c:showBubbleSize val="0"/>
        </c:dLbls>
        <c:marker val="1"/>
        <c:smooth val="0"/>
        <c:axId val="1465897519"/>
        <c:axId val="1"/>
      </c:lineChart>
      <c:scatterChart>
        <c:scatterStyle val="lineMarker"/>
        <c:varyColors val="0"/>
        <c:ser>
          <c:idx val="0"/>
          <c:order val="0"/>
          <c:tx>
            <c:strRef>
              <c:f>Data!$U$16</c:f>
              <c:strCache>
                <c:ptCount val="1"/>
                <c:pt idx="0">
                  <c:v>Beļģija</c:v>
                </c:pt>
              </c:strCache>
            </c:strRef>
          </c:tx>
          <c:spPr>
            <a:ln w="19050">
              <a:noFill/>
            </a:ln>
          </c:spPr>
          <c:marker>
            <c:symbol val="circle"/>
            <c:size val="5"/>
            <c:spPr>
              <a:solidFill>
                <a:schemeClr val="accent1"/>
              </a:solidFill>
              <a:ln w="9525">
                <a:solidFill>
                  <a:schemeClr val="accent1"/>
                </a:solidFill>
              </a:ln>
              <a:effectLst/>
            </c:spPr>
          </c:marker>
          <c:xVal>
            <c:multiLvlStrRef>
              <c:f>Data!$V$12:$AB$15</c:f>
              <c:multiLvlStrCache>
                <c:ptCount val="7"/>
                <c:lvl>
                  <c:pt idx="6">
                    <c:v>jkl</c:v>
                  </c:pt>
                </c:lvl>
                <c:lvl>
                  <c:pt idx="0">
                    <c:v>2020M01</c:v>
                  </c:pt>
                  <c:pt idx="1">
                    <c:v>2020M02</c:v>
                  </c:pt>
                  <c:pt idx="2">
                    <c:v>2020M03</c:v>
                  </c:pt>
                  <c:pt idx="3">
                    <c:v>2020M04</c:v>
                  </c:pt>
                  <c:pt idx="4">
                    <c:v>2020M05</c:v>
                  </c:pt>
                  <c:pt idx="5">
                    <c:v>2020M06</c:v>
                  </c:pt>
                  <c:pt idx="6">
                    <c:v>2020M07</c:v>
                  </c:pt>
                </c:lvl>
              </c:multiLvlStrCache>
            </c:multiLvlStrRef>
          </c:xVal>
          <c:yVal>
            <c:numRef>
              <c:f>Data!$V$16:$AB$16</c:f>
              <c:numCache>
                <c:formatCode>0.0</c:formatCode>
                <c:ptCount val="7"/>
                <c:pt idx="0">
                  <c:v>0.26714158504006491</c:v>
                </c:pt>
                <c:pt idx="1">
                  <c:v>1.9784172661870656</c:v>
                </c:pt>
                <c:pt idx="2">
                  <c:v>-3.0769230769230802</c:v>
                </c:pt>
                <c:pt idx="3">
                  <c:v>-18.888888888888886</c:v>
                </c:pt>
                <c:pt idx="4">
                  <c:v>-4.7153024911032162</c:v>
                </c:pt>
                <c:pt idx="5">
                  <c:v>-10.732538330494052</c:v>
                </c:pt>
                <c:pt idx="6">
                  <c:v>-5.0955414012738913</c:v>
                </c:pt>
              </c:numCache>
            </c:numRef>
          </c:yVal>
          <c:smooth val="0"/>
          <c:extLst>
            <c:ext xmlns:c16="http://schemas.microsoft.com/office/drawing/2014/chart" uri="{C3380CC4-5D6E-409C-BE32-E72D297353CC}">
              <c16:uniqueId val="{00000003-877C-4762-BDF5-E770EC4E68EA}"/>
            </c:ext>
          </c:extLst>
        </c:ser>
        <c:ser>
          <c:idx val="1"/>
          <c:order val="1"/>
          <c:tx>
            <c:strRef>
              <c:f>Data!$U$17</c:f>
              <c:strCache>
                <c:ptCount val="1"/>
                <c:pt idx="0">
                  <c:v>Bulgārija</c:v>
                </c:pt>
              </c:strCache>
            </c:strRef>
          </c:tx>
          <c:spPr>
            <a:ln w="19050">
              <a:noFill/>
            </a:ln>
          </c:spPr>
          <c:marker>
            <c:symbol val="circle"/>
            <c:size val="5"/>
            <c:spPr>
              <a:solidFill>
                <a:schemeClr val="accent2"/>
              </a:solidFill>
              <a:ln w="9525">
                <a:solidFill>
                  <a:schemeClr val="accent2"/>
                </a:solidFill>
              </a:ln>
              <a:effectLst/>
            </c:spPr>
          </c:marker>
          <c:xVal>
            <c:multiLvlStrRef>
              <c:f>Data!$V$12:$AB$15</c:f>
              <c:multiLvlStrCache>
                <c:ptCount val="7"/>
                <c:lvl>
                  <c:pt idx="6">
                    <c:v>jkl</c:v>
                  </c:pt>
                </c:lvl>
                <c:lvl>
                  <c:pt idx="0">
                    <c:v>2020M01</c:v>
                  </c:pt>
                  <c:pt idx="1">
                    <c:v>2020M02</c:v>
                  </c:pt>
                  <c:pt idx="2">
                    <c:v>2020M03</c:v>
                  </c:pt>
                  <c:pt idx="3">
                    <c:v>2020M04</c:v>
                  </c:pt>
                  <c:pt idx="4">
                    <c:v>2020M05</c:v>
                  </c:pt>
                  <c:pt idx="5">
                    <c:v>2020M06</c:v>
                  </c:pt>
                  <c:pt idx="6">
                    <c:v>2020M07</c:v>
                  </c:pt>
                </c:lvl>
              </c:multiLvlStrCache>
            </c:multiLvlStrRef>
          </c:xVal>
          <c:yVal>
            <c:numRef>
              <c:f>Data!$V$17:$AB$17</c:f>
              <c:numCache>
                <c:formatCode>0.0</c:formatCode>
                <c:ptCount val="7"/>
                <c:pt idx="0">
                  <c:v>-0.27752081406104878</c:v>
                </c:pt>
                <c:pt idx="1">
                  <c:v>-1.3611615245009148</c:v>
                </c:pt>
                <c:pt idx="2">
                  <c:v>-5.4078826764436201</c:v>
                </c:pt>
                <c:pt idx="3">
                  <c:v>-15.555555555555557</c:v>
                </c:pt>
                <c:pt idx="4">
                  <c:v>-14.523589269195185</c:v>
                </c:pt>
                <c:pt idx="5">
                  <c:v>-7.6343072573044282</c:v>
                </c:pt>
                <c:pt idx="6">
                  <c:v>-6.173994387277844</c:v>
                </c:pt>
              </c:numCache>
            </c:numRef>
          </c:yVal>
          <c:smooth val="0"/>
          <c:extLst>
            <c:ext xmlns:c16="http://schemas.microsoft.com/office/drawing/2014/chart" uri="{C3380CC4-5D6E-409C-BE32-E72D297353CC}">
              <c16:uniqueId val="{00000004-877C-4762-BDF5-E770EC4E68EA}"/>
            </c:ext>
          </c:extLst>
        </c:ser>
        <c:ser>
          <c:idx val="2"/>
          <c:order val="2"/>
          <c:tx>
            <c:strRef>
              <c:f>Data!$U$18</c:f>
              <c:strCache>
                <c:ptCount val="1"/>
                <c:pt idx="0">
                  <c:v>Čehija</c:v>
                </c:pt>
              </c:strCache>
            </c:strRef>
          </c:tx>
          <c:spPr>
            <a:ln w="19050">
              <a:noFill/>
            </a:ln>
          </c:spPr>
          <c:marker>
            <c:symbol val="circle"/>
            <c:size val="5"/>
            <c:spPr>
              <a:solidFill>
                <a:schemeClr val="accent3"/>
              </a:solidFill>
              <a:ln w="9525">
                <a:solidFill>
                  <a:schemeClr val="accent3"/>
                </a:solidFill>
              </a:ln>
              <a:effectLst/>
            </c:spPr>
          </c:marker>
          <c:xVal>
            <c:multiLvlStrRef>
              <c:f>Data!$V$12:$AB$15</c:f>
              <c:multiLvlStrCache>
                <c:ptCount val="7"/>
                <c:lvl>
                  <c:pt idx="6">
                    <c:v>jkl</c:v>
                  </c:pt>
                </c:lvl>
                <c:lvl>
                  <c:pt idx="0">
                    <c:v>2020M01</c:v>
                  </c:pt>
                  <c:pt idx="1">
                    <c:v>2020M02</c:v>
                  </c:pt>
                  <c:pt idx="2">
                    <c:v>2020M03</c:v>
                  </c:pt>
                  <c:pt idx="3">
                    <c:v>2020M04</c:v>
                  </c:pt>
                  <c:pt idx="4">
                    <c:v>2020M05</c:v>
                  </c:pt>
                  <c:pt idx="5">
                    <c:v>2020M06</c:v>
                  </c:pt>
                  <c:pt idx="6">
                    <c:v>2020M07</c:v>
                  </c:pt>
                </c:lvl>
              </c:multiLvlStrCache>
            </c:multiLvlStrRef>
          </c:xVal>
          <c:yVal>
            <c:numRef>
              <c:f>Data!$V$18:$AB$18</c:f>
              <c:numCache>
                <c:formatCode>0.0</c:formatCode>
                <c:ptCount val="7"/>
                <c:pt idx="0">
                  <c:v>-1.5859030837004298</c:v>
                </c:pt>
                <c:pt idx="1">
                  <c:v>-0.88495575221239164</c:v>
                </c:pt>
                <c:pt idx="2">
                  <c:v>-11.816578483245152</c:v>
                </c:pt>
                <c:pt idx="3">
                  <c:v>-34.120734908136484</c:v>
                </c:pt>
                <c:pt idx="4">
                  <c:v>-24.570446735395194</c:v>
                </c:pt>
                <c:pt idx="5">
                  <c:v>-9.9467140319715668</c:v>
                </c:pt>
                <c:pt idx="6">
                  <c:v>-4.7111111111111086</c:v>
                </c:pt>
              </c:numCache>
            </c:numRef>
          </c:yVal>
          <c:smooth val="0"/>
          <c:extLst>
            <c:ext xmlns:c16="http://schemas.microsoft.com/office/drawing/2014/chart" uri="{C3380CC4-5D6E-409C-BE32-E72D297353CC}">
              <c16:uniqueId val="{00000005-877C-4762-BDF5-E770EC4E68EA}"/>
            </c:ext>
          </c:extLst>
        </c:ser>
        <c:ser>
          <c:idx val="3"/>
          <c:order val="3"/>
          <c:tx>
            <c:strRef>
              <c:f>Data!$U$19</c:f>
              <c:strCache>
                <c:ptCount val="1"/>
                <c:pt idx="0">
                  <c:v>Dānija</c:v>
                </c:pt>
              </c:strCache>
            </c:strRef>
          </c:tx>
          <c:spPr>
            <a:ln w="19050">
              <a:noFill/>
            </a:ln>
          </c:spPr>
          <c:marker>
            <c:symbol val="circle"/>
            <c:size val="5"/>
            <c:spPr>
              <a:solidFill>
                <a:schemeClr val="accent4"/>
              </a:solidFill>
              <a:ln w="9525">
                <a:solidFill>
                  <a:schemeClr val="accent4"/>
                </a:solidFill>
              </a:ln>
              <a:effectLst/>
            </c:spPr>
          </c:marker>
          <c:xVal>
            <c:multiLvlStrRef>
              <c:f>Data!$V$12:$AB$15</c:f>
              <c:multiLvlStrCache>
                <c:ptCount val="7"/>
                <c:lvl>
                  <c:pt idx="6">
                    <c:v>jkl</c:v>
                  </c:pt>
                </c:lvl>
                <c:lvl>
                  <c:pt idx="0">
                    <c:v>2020M01</c:v>
                  </c:pt>
                  <c:pt idx="1">
                    <c:v>2020M02</c:v>
                  </c:pt>
                  <c:pt idx="2">
                    <c:v>2020M03</c:v>
                  </c:pt>
                  <c:pt idx="3">
                    <c:v>2020M04</c:v>
                  </c:pt>
                  <c:pt idx="4">
                    <c:v>2020M05</c:v>
                  </c:pt>
                  <c:pt idx="5">
                    <c:v>2020M06</c:v>
                  </c:pt>
                  <c:pt idx="6">
                    <c:v>2020M07</c:v>
                  </c:pt>
                </c:lvl>
              </c:multiLvlStrCache>
            </c:multiLvlStrRef>
          </c:xVal>
          <c:yVal>
            <c:numRef>
              <c:f>Data!$V$19:$AB$19</c:f>
              <c:numCache>
                <c:formatCode>0.0</c:formatCode>
                <c:ptCount val="7"/>
                <c:pt idx="0">
                  <c:v>-2.8880866425992906</c:v>
                </c:pt>
                <c:pt idx="1">
                  <c:v>-0.27447392497712997</c:v>
                </c:pt>
                <c:pt idx="2">
                  <c:v>-3.8938053097345176</c:v>
                </c:pt>
                <c:pt idx="3">
                  <c:v>-9.1150442477876084</c:v>
                </c:pt>
                <c:pt idx="4">
                  <c:v>-14.890016920473784</c:v>
                </c:pt>
                <c:pt idx="5">
                  <c:v>-5.0816696914700543</c:v>
                </c:pt>
                <c:pt idx="6">
                  <c:v>-12.411971830985919</c:v>
                </c:pt>
              </c:numCache>
            </c:numRef>
          </c:yVal>
          <c:smooth val="0"/>
          <c:extLst>
            <c:ext xmlns:c16="http://schemas.microsoft.com/office/drawing/2014/chart" uri="{C3380CC4-5D6E-409C-BE32-E72D297353CC}">
              <c16:uniqueId val="{00000006-877C-4762-BDF5-E770EC4E68EA}"/>
            </c:ext>
          </c:extLst>
        </c:ser>
        <c:ser>
          <c:idx val="4"/>
          <c:order val="4"/>
          <c:tx>
            <c:strRef>
              <c:f>Data!$U$20</c:f>
              <c:strCache>
                <c:ptCount val="1"/>
                <c:pt idx="0">
                  <c:v>Vācija</c:v>
                </c:pt>
              </c:strCache>
            </c:strRef>
          </c:tx>
          <c:spPr>
            <a:ln w="19050">
              <a:noFill/>
            </a:ln>
          </c:spPr>
          <c:marker>
            <c:symbol val="circle"/>
            <c:size val="5"/>
            <c:spPr>
              <a:solidFill>
                <a:schemeClr val="accent5"/>
              </a:solidFill>
              <a:ln w="9525">
                <a:solidFill>
                  <a:schemeClr val="accent5"/>
                </a:solidFill>
              </a:ln>
              <a:effectLst/>
            </c:spPr>
          </c:marker>
          <c:xVal>
            <c:multiLvlStrRef>
              <c:f>Data!$V$12:$AB$15</c:f>
              <c:multiLvlStrCache>
                <c:ptCount val="7"/>
                <c:lvl>
                  <c:pt idx="6">
                    <c:v>jkl</c:v>
                  </c:pt>
                </c:lvl>
                <c:lvl>
                  <c:pt idx="0">
                    <c:v>2020M01</c:v>
                  </c:pt>
                  <c:pt idx="1">
                    <c:v>2020M02</c:v>
                  </c:pt>
                  <c:pt idx="2">
                    <c:v>2020M03</c:v>
                  </c:pt>
                  <c:pt idx="3">
                    <c:v>2020M04</c:v>
                  </c:pt>
                  <c:pt idx="4">
                    <c:v>2020M05</c:v>
                  </c:pt>
                  <c:pt idx="5">
                    <c:v>2020M06</c:v>
                  </c:pt>
                  <c:pt idx="6">
                    <c:v>2020M07</c:v>
                  </c:pt>
                </c:lvl>
              </c:multiLvlStrCache>
            </c:multiLvlStrRef>
          </c:xVal>
          <c:yVal>
            <c:numRef>
              <c:f>Data!$V$20:$AB$20</c:f>
              <c:numCache>
                <c:formatCode>0.0</c:formatCode>
                <c:ptCount val="7"/>
                <c:pt idx="0">
                  <c:v>-3.2882011605415897</c:v>
                </c:pt>
                <c:pt idx="1">
                  <c:v>-2.5242718446601913</c:v>
                </c:pt>
                <c:pt idx="2">
                  <c:v>-13.500482160077141</c:v>
                </c:pt>
                <c:pt idx="3">
                  <c:v>-29.207920792079207</c:v>
                </c:pt>
                <c:pt idx="4">
                  <c:v>-23.280943025540282</c:v>
                </c:pt>
                <c:pt idx="5">
                  <c:v>-13.74501992031874</c:v>
                </c:pt>
                <c:pt idx="6">
                  <c:v>-11.477045908183641</c:v>
                </c:pt>
              </c:numCache>
            </c:numRef>
          </c:yVal>
          <c:smooth val="0"/>
          <c:extLst>
            <c:ext xmlns:c16="http://schemas.microsoft.com/office/drawing/2014/chart" uri="{C3380CC4-5D6E-409C-BE32-E72D297353CC}">
              <c16:uniqueId val="{00000007-877C-4762-BDF5-E770EC4E68EA}"/>
            </c:ext>
          </c:extLst>
        </c:ser>
        <c:ser>
          <c:idx val="5"/>
          <c:order val="5"/>
          <c:tx>
            <c:strRef>
              <c:f>Data!$U$21</c:f>
              <c:strCache>
                <c:ptCount val="1"/>
                <c:pt idx="0">
                  <c:v>Igaunija</c:v>
                </c:pt>
              </c:strCache>
            </c:strRef>
          </c:tx>
          <c:spPr>
            <a:ln w="19050">
              <a:noFill/>
            </a:ln>
          </c:spPr>
          <c:marker>
            <c:symbol val="circle"/>
            <c:size val="5"/>
            <c:spPr>
              <a:solidFill>
                <a:schemeClr val="accent6"/>
              </a:solidFill>
              <a:ln w="9525">
                <a:solidFill>
                  <a:schemeClr val="accent6"/>
                </a:solidFill>
              </a:ln>
              <a:effectLst/>
            </c:spPr>
          </c:marker>
          <c:xVal>
            <c:multiLvlStrRef>
              <c:f>Data!$V$12:$AB$15</c:f>
              <c:multiLvlStrCache>
                <c:ptCount val="7"/>
                <c:lvl>
                  <c:pt idx="6">
                    <c:v>jkl</c:v>
                  </c:pt>
                </c:lvl>
                <c:lvl>
                  <c:pt idx="0">
                    <c:v>2020M01</c:v>
                  </c:pt>
                  <c:pt idx="1">
                    <c:v>2020M02</c:v>
                  </c:pt>
                  <c:pt idx="2">
                    <c:v>2020M03</c:v>
                  </c:pt>
                  <c:pt idx="3">
                    <c:v>2020M04</c:v>
                  </c:pt>
                  <c:pt idx="4">
                    <c:v>2020M05</c:v>
                  </c:pt>
                  <c:pt idx="5">
                    <c:v>2020M06</c:v>
                  </c:pt>
                  <c:pt idx="6">
                    <c:v>2020M07</c:v>
                  </c:pt>
                </c:lvl>
              </c:multiLvlStrCache>
            </c:multiLvlStrRef>
          </c:xVal>
          <c:yVal>
            <c:numRef>
              <c:f>Data!$V$21:$AB$21</c:f>
              <c:numCache>
                <c:formatCode>0.0</c:formatCode>
                <c:ptCount val="7"/>
                <c:pt idx="0">
                  <c:v>-8.1266039349871591</c:v>
                </c:pt>
                <c:pt idx="1">
                  <c:v>3.5180299032541882</c:v>
                </c:pt>
                <c:pt idx="2">
                  <c:v>-8.7553648068669503</c:v>
                </c:pt>
                <c:pt idx="3">
                  <c:v>-16.965046888320529</c:v>
                </c:pt>
                <c:pt idx="4">
                  <c:v>-17.527519051651126</c:v>
                </c:pt>
                <c:pt idx="5">
                  <c:v>-5.2299368800721453</c:v>
                </c:pt>
                <c:pt idx="6">
                  <c:v>-0.46082949308755872</c:v>
                </c:pt>
              </c:numCache>
            </c:numRef>
          </c:yVal>
          <c:smooth val="0"/>
          <c:extLst>
            <c:ext xmlns:c16="http://schemas.microsoft.com/office/drawing/2014/chart" uri="{C3380CC4-5D6E-409C-BE32-E72D297353CC}">
              <c16:uniqueId val="{00000008-877C-4762-BDF5-E770EC4E68EA}"/>
            </c:ext>
          </c:extLst>
        </c:ser>
        <c:ser>
          <c:idx val="7"/>
          <c:order val="7"/>
          <c:tx>
            <c:strRef>
              <c:f>Data!$U$23</c:f>
              <c:strCache>
                <c:ptCount val="1"/>
                <c:pt idx="0">
                  <c:v>Grieķija</c:v>
                </c:pt>
              </c:strCache>
            </c:strRef>
          </c:tx>
          <c:spPr>
            <a:ln w="19050">
              <a:noFill/>
            </a:ln>
          </c:spPr>
          <c:marker>
            <c:symbol val="circle"/>
            <c:size val="5"/>
            <c:spPr>
              <a:solidFill>
                <a:schemeClr val="accent2">
                  <a:lumMod val="60000"/>
                </a:schemeClr>
              </a:solidFill>
              <a:ln w="9525">
                <a:solidFill>
                  <a:schemeClr val="accent2">
                    <a:lumMod val="60000"/>
                  </a:schemeClr>
                </a:solidFill>
              </a:ln>
              <a:effectLst/>
            </c:spPr>
          </c:marker>
          <c:xVal>
            <c:multiLvlStrRef>
              <c:f>Data!$V$12:$AB$15</c:f>
              <c:multiLvlStrCache>
                <c:ptCount val="7"/>
                <c:lvl>
                  <c:pt idx="6">
                    <c:v>jkl</c:v>
                  </c:pt>
                </c:lvl>
                <c:lvl>
                  <c:pt idx="0">
                    <c:v>2020M01</c:v>
                  </c:pt>
                  <c:pt idx="1">
                    <c:v>2020M02</c:v>
                  </c:pt>
                  <c:pt idx="2">
                    <c:v>2020M03</c:v>
                  </c:pt>
                  <c:pt idx="3">
                    <c:v>2020M04</c:v>
                  </c:pt>
                  <c:pt idx="4">
                    <c:v>2020M05</c:v>
                  </c:pt>
                  <c:pt idx="5">
                    <c:v>2020M06</c:v>
                  </c:pt>
                  <c:pt idx="6">
                    <c:v>2020M07</c:v>
                  </c:pt>
                </c:lvl>
              </c:multiLvlStrCache>
            </c:multiLvlStrRef>
          </c:xVal>
          <c:yVal>
            <c:numRef>
              <c:f>Data!$V$23:$AB$23</c:f>
              <c:numCache>
                <c:formatCode>0.0</c:formatCode>
                <c:ptCount val="7"/>
                <c:pt idx="0">
                  <c:v>0</c:v>
                </c:pt>
                <c:pt idx="1">
                  <c:v>-3.0909090909090935</c:v>
                </c:pt>
                <c:pt idx="2">
                  <c:v>9.2506938020363805E-2</c:v>
                </c:pt>
                <c:pt idx="3">
                  <c:v>-10.100090991810745</c:v>
                </c:pt>
                <c:pt idx="4">
                  <c:v>-7.5715604801477383</c:v>
                </c:pt>
                <c:pt idx="5">
                  <c:v>-4.8059149722735697</c:v>
                </c:pt>
                <c:pt idx="6">
                  <c:v>-0.37418147801685109</c:v>
                </c:pt>
              </c:numCache>
            </c:numRef>
          </c:yVal>
          <c:smooth val="0"/>
          <c:extLst>
            <c:ext xmlns:c16="http://schemas.microsoft.com/office/drawing/2014/chart" uri="{C3380CC4-5D6E-409C-BE32-E72D297353CC}">
              <c16:uniqueId val="{00000009-877C-4762-BDF5-E770EC4E68EA}"/>
            </c:ext>
          </c:extLst>
        </c:ser>
        <c:ser>
          <c:idx val="8"/>
          <c:order val="8"/>
          <c:tx>
            <c:strRef>
              <c:f>Data!$U$24</c:f>
              <c:strCache>
                <c:ptCount val="1"/>
                <c:pt idx="0">
                  <c:v>Spānija</c:v>
                </c:pt>
              </c:strCache>
            </c:strRef>
          </c:tx>
          <c:spPr>
            <a:ln w="19050">
              <a:noFill/>
            </a:ln>
          </c:spPr>
          <c:marker>
            <c:symbol val="circle"/>
            <c:size val="5"/>
            <c:spPr>
              <a:solidFill>
                <a:schemeClr val="accent3">
                  <a:lumMod val="60000"/>
                </a:schemeClr>
              </a:solidFill>
              <a:ln w="9525">
                <a:solidFill>
                  <a:schemeClr val="accent3">
                    <a:lumMod val="60000"/>
                  </a:schemeClr>
                </a:solidFill>
              </a:ln>
              <a:effectLst/>
            </c:spPr>
          </c:marker>
          <c:xVal>
            <c:multiLvlStrRef>
              <c:f>Data!$V$12:$AB$15</c:f>
              <c:multiLvlStrCache>
                <c:ptCount val="7"/>
                <c:lvl>
                  <c:pt idx="6">
                    <c:v>jkl</c:v>
                  </c:pt>
                </c:lvl>
                <c:lvl>
                  <c:pt idx="0">
                    <c:v>2020M01</c:v>
                  </c:pt>
                  <c:pt idx="1">
                    <c:v>2020M02</c:v>
                  </c:pt>
                  <c:pt idx="2">
                    <c:v>2020M03</c:v>
                  </c:pt>
                  <c:pt idx="3">
                    <c:v>2020M04</c:v>
                  </c:pt>
                  <c:pt idx="4">
                    <c:v>2020M05</c:v>
                  </c:pt>
                  <c:pt idx="5">
                    <c:v>2020M06</c:v>
                  </c:pt>
                  <c:pt idx="6">
                    <c:v>2020M07</c:v>
                  </c:pt>
                </c:lvl>
              </c:multiLvlStrCache>
            </c:multiLvlStrRef>
          </c:xVal>
          <c:yVal>
            <c:numRef>
              <c:f>Data!$V$24:$AB$24</c:f>
              <c:numCache>
                <c:formatCode>0.0</c:formatCode>
                <c:ptCount val="7"/>
                <c:pt idx="0">
                  <c:v>-2.0715630885122351</c:v>
                </c:pt>
                <c:pt idx="1">
                  <c:v>-2.4528301886792434</c:v>
                </c:pt>
                <c:pt idx="2">
                  <c:v>-14.772727272727266</c:v>
                </c:pt>
                <c:pt idx="3">
                  <c:v>-34.336782690498595</c:v>
                </c:pt>
                <c:pt idx="4">
                  <c:v>-25.117150890346764</c:v>
                </c:pt>
                <c:pt idx="5">
                  <c:v>-14.672897196261687</c:v>
                </c:pt>
                <c:pt idx="6">
                  <c:v>-6.3730084348641043</c:v>
                </c:pt>
              </c:numCache>
            </c:numRef>
          </c:yVal>
          <c:smooth val="0"/>
          <c:extLst>
            <c:ext xmlns:c16="http://schemas.microsoft.com/office/drawing/2014/chart" uri="{C3380CC4-5D6E-409C-BE32-E72D297353CC}">
              <c16:uniqueId val="{0000000A-877C-4762-BDF5-E770EC4E68EA}"/>
            </c:ext>
          </c:extLst>
        </c:ser>
        <c:ser>
          <c:idx val="9"/>
          <c:order val="9"/>
          <c:tx>
            <c:strRef>
              <c:f>Data!$U$25</c:f>
              <c:strCache>
                <c:ptCount val="1"/>
                <c:pt idx="0">
                  <c:v>Francija</c:v>
                </c:pt>
              </c:strCache>
            </c:strRef>
          </c:tx>
          <c:spPr>
            <a:ln w="19050">
              <a:noFill/>
            </a:ln>
          </c:spPr>
          <c:marker>
            <c:symbol val="circle"/>
            <c:size val="5"/>
            <c:spPr>
              <a:solidFill>
                <a:schemeClr val="accent4">
                  <a:lumMod val="60000"/>
                </a:schemeClr>
              </a:solidFill>
              <a:ln w="9525">
                <a:solidFill>
                  <a:schemeClr val="accent4">
                    <a:lumMod val="60000"/>
                  </a:schemeClr>
                </a:solidFill>
              </a:ln>
              <a:effectLst/>
            </c:spPr>
          </c:marker>
          <c:xVal>
            <c:multiLvlStrRef>
              <c:f>Data!$V$12:$AB$15</c:f>
              <c:multiLvlStrCache>
                <c:ptCount val="7"/>
                <c:lvl>
                  <c:pt idx="6">
                    <c:v>jkl</c:v>
                  </c:pt>
                </c:lvl>
                <c:lvl>
                  <c:pt idx="0">
                    <c:v>2020M01</c:v>
                  </c:pt>
                  <c:pt idx="1">
                    <c:v>2020M02</c:v>
                  </c:pt>
                  <c:pt idx="2">
                    <c:v>2020M03</c:v>
                  </c:pt>
                  <c:pt idx="3">
                    <c:v>2020M04</c:v>
                  </c:pt>
                  <c:pt idx="4">
                    <c:v>2020M05</c:v>
                  </c:pt>
                  <c:pt idx="5">
                    <c:v>2020M06</c:v>
                  </c:pt>
                  <c:pt idx="6">
                    <c:v>2020M07</c:v>
                  </c:pt>
                </c:lvl>
              </c:multiLvlStrCache>
            </c:multiLvlStrRef>
          </c:xVal>
          <c:yVal>
            <c:numRef>
              <c:f>Data!$V$25:$AB$25</c:f>
              <c:numCache>
                <c:formatCode>0.0</c:formatCode>
                <c:ptCount val="7"/>
                <c:pt idx="0">
                  <c:v>-2.9580152671755684</c:v>
                </c:pt>
                <c:pt idx="1">
                  <c:v>-1.5340364333652872</c:v>
                </c:pt>
                <c:pt idx="2">
                  <c:v>-17.857142857142861</c:v>
                </c:pt>
                <c:pt idx="3">
                  <c:v>-35.316698656429935</c:v>
                </c:pt>
                <c:pt idx="4">
                  <c:v>-23.490566037735846</c:v>
                </c:pt>
                <c:pt idx="5">
                  <c:v>-11.47540983606558</c:v>
                </c:pt>
                <c:pt idx="6">
                  <c:v>-8.3653846153846132</c:v>
                </c:pt>
              </c:numCache>
            </c:numRef>
          </c:yVal>
          <c:smooth val="0"/>
          <c:extLst>
            <c:ext xmlns:c16="http://schemas.microsoft.com/office/drawing/2014/chart" uri="{C3380CC4-5D6E-409C-BE32-E72D297353CC}">
              <c16:uniqueId val="{0000000B-877C-4762-BDF5-E770EC4E68EA}"/>
            </c:ext>
          </c:extLst>
        </c:ser>
        <c:ser>
          <c:idx val="10"/>
          <c:order val="10"/>
          <c:tx>
            <c:strRef>
              <c:f>Data!$U$26</c:f>
              <c:strCache>
                <c:ptCount val="1"/>
                <c:pt idx="0">
                  <c:v>Horvātija</c:v>
                </c:pt>
              </c:strCache>
            </c:strRef>
          </c:tx>
          <c:spPr>
            <a:ln w="19050">
              <a:noFill/>
            </a:ln>
          </c:spPr>
          <c:marker>
            <c:symbol val="circle"/>
            <c:size val="5"/>
            <c:spPr>
              <a:solidFill>
                <a:schemeClr val="accent5">
                  <a:lumMod val="60000"/>
                </a:schemeClr>
              </a:solidFill>
              <a:ln w="9525">
                <a:solidFill>
                  <a:schemeClr val="accent5">
                    <a:lumMod val="60000"/>
                  </a:schemeClr>
                </a:solidFill>
              </a:ln>
              <a:effectLst/>
            </c:spPr>
          </c:marker>
          <c:xVal>
            <c:multiLvlStrRef>
              <c:f>Data!$V$12:$AB$15</c:f>
              <c:multiLvlStrCache>
                <c:ptCount val="7"/>
                <c:lvl>
                  <c:pt idx="6">
                    <c:v>jkl</c:v>
                  </c:pt>
                </c:lvl>
                <c:lvl>
                  <c:pt idx="0">
                    <c:v>2020M01</c:v>
                  </c:pt>
                  <c:pt idx="1">
                    <c:v>2020M02</c:v>
                  </c:pt>
                  <c:pt idx="2">
                    <c:v>2020M03</c:v>
                  </c:pt>
                  <c:pt idx="3">
                    <c:v>2020M04</c:v>
                  </c:pt>
                  <c:pt idx="4">
                    <c:v>2020M05</c:v>
                  </c:pt>
                  <c:pt idx="5">
                    <c:v>2020M06</c:v>
                  </c:pt>
                  <c:pt idx="6">
                    <c:v>2020M07</c:v>
                  </c:pt>
                </c:lvl>
              </c:multiLvlStrCache>
            </c:multiLvlStrRef>
          </c:xVal>
          <c:yVal>
            <c:numRef>
              <c:f>Data!$V$26:$AB$26</c:f>
              <c:numCache>
                <c:formatCode>0.0</c:formatCode>
                <c:ptCount val="7"/>
                <c:pt idx="0">
                  <c:v>-5.6603773584905639</c:v>
                </c:pt>
                <c:pt idx="1">
                  <c:v>-2.7752081406105447</c:v>
                </c:pt>
                <c:pt idx="2">
                  <c:v>-4.779411764705884</c:v>
                </c:pt>
                <c:pt idx="3">
                  <c:v>-10.986964618249544</c:v>
                </c:pt>
                <c:pt idx="4">
                  <c:v>-12.160898035547234</c:v>
                </c:pt>
                <c:pt idx="5">
                  <c:v>-2.0408163265306314</c:v>
                </c:pt>
                <c:pt idx="6">
                  <c:v>-1.5711645101663549</c:v>
                </c:pt>
              </c:numCache>
            </c:numRef>
          </c:yVal>
          <c:smooth val="0"/>
          <c:extLst>
            <c:ext xmlns:c16="http://schemas.microsoft.com/office/drawing/2014/chart" uri="{C3380CC4-5D6E-409C-BE32-E72D297353CC}">
              <c16:uniqueId val="{0000000C-877C-4762-BDF5-E770EC4E68EA}"/>
            </c:ext>
          </c:extLst>
        </c:ser>
        <c:ser>
          <c:idx val="11"/>
          <c:order val="11"/>
          <c:tx>
            <c:strRef>
              <c:f>Data!$U$27</c:f>
              <c:strCache>
                <c:ptCount val="1"/>
                <c:pt idx="0">
                  <c:v>Itālija</c:v>
                </c:pt>
              </c:strCache>
            </c:strRef>
          </c:tx>
          <c:spPr>
            <a:ln w="19050">
              <a:noFill/>
            </a:ln>
          </c:spPr>
          <c:marker>
            <c:symbol val="circle"/>
            <c:size val="5"/>
            <c:spPr>
              <a:solidFill>
                <a:schemeClr val="accent6">
                  <a:lumMod val="60000"/>
                </a:schemeClr>
              </a:solidFill>
              <a:ln w="9525">
                <a:solidFill>
                  <a:schemeClr val="accent6">
                    <a:lumMod val="60000"/>
                  </a:schemeClr>
                </a:solidFill>
              </a:ln>
              <a:effectLst/>
            </c:spPr>
          </c:marker>
          <c:xVal>
            <c:multiLvlStrRef>
              <c:f>Data!$V$12:$AB$15</c:f>
              <c:multiLvlStrCache>
                <c:ptCount val="7"/>
                <c:lvl>
                  <c:pt idx="6">
                    <c:v>jkl</c:v>
                  </c:pt>
                </c:lvl>
                <c:lvl>
                  <c:pt idx="0">
                    <c:v>2020M01</c:v>
                  </c:pt>
                  <c:pt idx="1">
                    <c:v>2020M02</c:v>
                  </c:pt>
                  <c:pt idx="2">
                    <c:v>2020M03</c:v>
                  </c:pt>
                  <c:pt idx="3">
                    <c:v>2020M04</c:v>
                  </c:pt>
                  <c:pt idx="4">
                    <c:v>2020M05</c:v>
                  </c:pt>
                  <c:pt idx="5">
                    <c:v>2020M06</c:v>
                  </c:pt>
                  <c:pt idx="6">
                    <c:v>2020M07</c:v>
                  </c:pt>
                </c:lvl>
              </c:multiLvlStrCache>
            </c:multiLvlStrRef>
          </c:xVal>
          <c:yVal>
            <c:numRef>
              <c:f>Data!$V$27:$AB$27</c:f>
              <c:numCache>
                <c:formatCode>0.0</c:formatCode>
                <c:ptCount val="7"/>
                <c:pt idx="0">
                  <c:v>-0.94607379375591449</c:v>
                </c:pt>
                <c:pt idx="1">
                  <c:v>-2.9135338345864739</c:v>
                </c:pt>
                <c:pt idx="2">
                  <c:v>-29.517502365184484</c:v>
                </c:pt>
                <c:pt idx="3">
                  <c:v>-43.387250237868692</c:v>
                </c:pt>
                <c:pt idx="4">
                  <c:v>-20.64090480678604</c:v>
                </c:pt>
                <c:pt idx="5">
                  <c:v>-13.812677388836335</c:v>
                </c:pt>
                <c:pt idx="6">
                  <c:v>-7.5614366729678721</c:v>
                </c:pt>
              </c:numCache>
            </c:numRef>
          </c:yVal>
          <c:smooth val="0"/>
          <c:extLst>
            <c:ext xmlns:c16="http://schemas.microsoft.com/office/drawing/2014/chart" uri="{C3380CC4-5D6E-409C-BE32-E72D297353CC}">
              <c16:uniqueId val="{0000000D-877C-4762-BDF5-E770EC4E68EA}"/>
            </c:ext>
          </c:extLst>
        </c:ser>
        <c:ser>
          <c:idx val="12"/>
          <c:order val="12"/>
          <c:tx>
            <c:strRef>
              <c:f>Data!$U$28</c:f>
              <c:strCache>
                <c:ptCount val="1"/>
                <c:pt idx="0">
                  <c:v>Kipra</c:v>
                </c:pt>
              </c:strCache>
            </c:strRef>
          </c:tx>
          <c:spPr>
            <a:ln w="19050">
              <a:noFill/>
            </a:ln>
          </c:spPr>
          <c:marker>
            <c:symbol val="circle"/>
            <c:size val="5"/>
            <c:spPr>
              <a:solidFill>
                <a:schemeClr val="accent1">
                  <a:lumMod val="80000"/>
                  <a:lumOff val="20000"/>
                </a:schemeClr>
              </a:solidFill>
              <a:ln w="9525">
                <a:solidFill>
                  <a:schemeClr val="accent1">
                    <a:lumMod val="80000"/>
                    <a:lumOff val="20000"/>
                  </a:schemeClr>
                </a:solidFill>
              </a:ln>
              <a:effectLst/>
            </c:spPr>
          </c:marker>
          <c:xVal>
            <c:multiLvlStrRef>
              <c:f>Data!$V$12:$AB$15</c:f>
              <c:multiLvlStrCache>
                <c:ptCount val="7"/>
                <c:lvl>
                  <c:pt idx="6">
                    <c:v>jkl</c:v>
                  </c:pt>
                </c:lvl>
                <c:lvl>
                  <c:pt idx="0">
                    <c:v>2020M01</c:v>
                  </c:pt>
                  <c:pt idx="1">
                    <c:v>2020M02</c:v>
                  </c:pt>
                  <c:pt idx="2">
                    <c:v>2020M03</c:v>
                  </c:pt>
                  <c:pt idx="3">
                    <c:v>2020M04</c:v>
                  </c:pt>
                  <c:pt idx="4">
                    <c:v>2020M05</c:v>
                  </c:pt>
                  <c:pt idx="5">
                    <c:v>2020M06</c:v>
                  </c:pt>
                  <c:pt idx="6">
                    <c:v>2020M07</c:v>
                  </c:pt>
                </c:lvl>
              </c:multiLvlStrCache>
            </c:multiLvlStrRef>
          </c:xVal>
          <c:yVal>
            <c:numRef>
              <c:f>Data!$V$28:$AB$28</c:f>
              <c:numCache>
                <c:formatCode>0.0</c:formatCode>
                <c:ptCount val="7"/>
                <c:pt idx="0">
                  <c:v>1.8619084561675834</c:v>
                </c:pt>
                <c:pt idx="1">
                  <c:v>3.0421216848673964</c:v>
                </c:pt>
                <c:pt idx="2">
                  <c:v>-11.714507370054321</c:v>
                </c:pt>
                <c:pt idx="3">
                  <c:v>-36.726703210649973</c:v>
                </c:pt>
                <c:pt idx="4">
                  <c:v>-12.869038607115826</c:v>
                </c:pt>
                <c:pt idx="5">
                  <c:v>-11.244377811094452</c:v>
                </c:pt>
                <c:pt idx="6">
                  <c:v>0</c:v>
                </c:pt>
              </c:numCache>
            </c:numRef>
          </c:yVal>
          <c:smooth val="0"/>
          <c:extLst>
            <c:ext xmlns:c16="http://schemas.microsoft.com/office/drawing/2014/chart" uri="{C3380CC4-5D6E-409C-BE32-E72D297353CC}">
              <c16:uniqueId val="{0000000E-877C-4762-BDF5-E770EC4E68EA}"/>
            </c:ext>
          </c:extLst>
        </c:ser>
        <c:ser>
          <c:idx val="14"/>
          <c:order val="14"/>
          <c:tx>
            <c:strRef>
              <c:f>Data!$U$30</c:f>
              <c:strCache>
                <c:ptCount val="1"/>
                <c:pt idx="0">
                  <c:v>Lietuva</c:v>
                </c:pt>
              </c:strCache>
            </c:strRef>
          </c:tx>
          <c:spPr>
            <a:ln w="19050">
              <a:noFill/>
            </a:ln>
          </c:spPr>
          <c:marker>
            <c:symbol val="circle"/>
            <c:size val="5"/>
            <c:spPr>
              <a:solidFill>
                <a:schemeClr val="accent3">
                  <a:lumMod val="80000"/>
                  <a:lumOff val="20000"/>
                </a:schemeClr>
              </a:solidFill>
              <a:ln w="9525">
                <a:solidFill>
                  <a:schemeClr val="accent3">
                    <a:lumMod val="80000"/>
                    <a:lumOff val="20000"/>
                  </a:schemeClr>
                </a:solidFill>
              </a:ln>
              <a:effectLst/>
            </c:spPr>
          </c:marker>
          <c:xVal>
            <c:multiLvlStrRef>
              <c:f>Data!$V$12:$AB$15</c:f>
              <c:multiLvlStrCache>
                <c:ptCount val="7"/>
                <c:lvl>
                  <c:pt idx="6">
                    <c:v>jkl</c:v>
                  </c:pt>
                </c:lvl>
                <c:lvl>
                  <c:pt idx="0">
                    <c:v>2020M01</c:v>
                  </c:pt>
                  <c:pt idx="1">
                    <c:v>2020M02</c:v>
                  </c:pt>
                  <c:pt idx="2">
                    <c:v>2020M03</c:v>
                  </c:pt>
                  <c:pt idx="3">
                    <c:v>2020M04</c:v>
                  </c:pt>
                  <c:pt idx="4">
                    <c:v>2020M05</c:v>
                  </c:pt>
                  <c:pt idx="5">
                    <c:v>2020M06</c:v>
                  </c:pt>
                  <c:pt idx="6">
                    <c:v>2020M07</c:v>
                  </c:pt>
                </c:lvl>
              </c:multiLvlStrCache>
            </c:multiLvlStrRef>
          </c:xVal>
          <c:yVal>
            <c:numRef>
              <c:f>Data!$V$30:$AB$30</c:f>
              <c:numCache>
                <c:formatCode>0.0</c:formatCode>
                <c:ptCount val="7"/>
                <c:pt idx="0">
                  <c:v>-4.5304777594728165</c:v>
                </c:pt>
                <c:pt idx="1">
                  <c:v>-1.7182130584192521</c:v>
                </c:pt>
                <c:pt idx="2">
                  <c:v>-3.6423841059602609</c:v>
                </c:pt>
                <c:pt idx="3">
                  <c:v>-13.52459016393442</c:v>
                </c:pt>
                <c:pt idx="4">
                  <c:v>-3.0690537084398954</c:v>
                </c:pt>
                <c:pt idx="5">
                  <c:v>-1.778154106689243</c:v>
                </c:pt>
                <c:pt idx="6">
                  <c:v>-0.75503355704698549</c:v>
                </c:pt>
              </c:numCache>
            </c:numRef>
          </c:yVal>
          <c:smooth val="0"/>
          <c:extLst>
            <c:ext xmlns:c16="http://schemas.microsoft.com/office/drawing/2014/chart" uri="{C3380CC4-5D6E-409C-BE32-E72D297353CC}">
              <c16:uniqueId val="{0000000F-877C-4762-BDF5-E770EC4E68EA}"/>
            </c:ext>
          </c:extLst>
        </c:ser>
        <c:ser>
          <c:idx val="15"/>
          <c:order val="15"/>
          <c:tx>
            <c:strRef>
              <c:f>Data!$U$31</c:f>
              <c:strCache>
                <c:ptCount val="1"/>
                <c:pt idx="0">
                  <c:v>Luksemburga</c:v>
                </c:pt>
              </c:strCache>
            </c:strRef>
          </c:tx>
          <c:spPr>
            <a:ln w="19050">
              <a:noFill/>
            </a:ln>
          </c:spPr>
          <c:marker>
            <c:symbol val="circle"/>
            <c:size val="5"/>
            <c:spPr>
              <a:solidFill>
                <a:schemeClr val="accent4">
                  <a:lumMod val="80000"/>
                  <a:lumOff val="20000"/>
                </a:schemeClr>
              </a:solidFill>
              <a:ln w="9525">
                <a:solidFill>
                  <a:schemeClr val="accent4">
                    <a:lumMod val="80000"/>
                    <a:lumOff val="20000"/>
                  </a:schemeClr>
                </a:solidFill>
              </a:ln>
              <a:effectLst/>
            </c:spPr>
          </c:marker>
          <c:xVal>
            <c:multiLvlStrRef>
              <c:f>Data!$V$12:$AB$15</c:f>
              <c:multiLvlStrCache>
                <c:ptCount val="7"/>
                <c:lvl>
                  <c:pt idx="6">
                    <c:v>jkl</c:v>
                  </c:pt>
                </c:lvl>
                <c:lvl>
                  <c:pt idx="0">
                    <c:v>2020M01</c:v>
                  </c:pt>
                  <c:pt idx="1">
                    <c:v>2020M02</c:v>
                  </c:pt>
                  <c:pt idx="2">
                    <c:v>2020M03</c:v>
                  </c:pt>
                  <c:pt idx="3">
                    <c:v>2020M04</c:v>
                  </c:pt>
                  <c:pt idx="4">
                    <c:v>2020M05</c:v>
                  </c:pt>
                  <c:pt idx="5">
                    <c:v>2020M06</c:v>
                  </c:pt>
                  <c:pt idx="6">
                    <c:v>2020M07</c:v>
                  </c:pt>
                </c:lvl>
              </c:multiLvlStrCache>
            </c:multiLvlStrRef>
          </c:xVal>
          <c:yVal>
            <c:numRef>
              <c:f>Data!$V$31:$AB$31</c:f>
              <c:numCache>
                <c:formatCode>0.0</c:formatCode>
                <c:ptCount val="7"/>
                <c:pt idx="0">
                  <c:v>-5.7673509286412497</c:v>
                </c:pt>
                <c:pt idx="1">
                  <c:v>-4.063429137760167</c:v>
                </c:pt>
                <c:pt idx="2">
                  <c:v>-22.200198216055497</c:v>
                </c:pt>
                <c:pt idx="3">
                  <c:v>-33.365949119373781</c:v>
                </c:pt>
                <c:pt idx="4">
                  <c:v>-23.908730158730151</c:v>
                </c:pt>
                <c:pt idx="5">
                  <c:v>-16.700404858299606</c:v>
                </c:pt>
                <c:pt idx="6">
                  <c:v>-18.518518518518505</c:v>
                </c:pt>
              </c:numCache>
            </c:numRef>
          </c:yVal>
          <c:smooth val="0"/>
          <c:extLst>
            <c:ext xmlns:c16="http://schemas.microsoft.com/office/drawing/2014/chart" uri="{C3380CC4-5D6E-409C-BE32-E72D297353CC}">
              <c16:uniqueId val="{00000010-877C-4762-BDF5-E770EC4E68EA}"/>
            </c:ext>
          </c:extLst>
        </c:ser>
        <c:ser>
          <c:idx val="16"/>
          <c:order val="16"/>
          <c:tx>
            <c:strRef>
              <c:f>Data!$U$32</c:f>
              <c:strCache>
                <c:ptCount val="1"/>
                <c:pt idx="0">
                  <c:v>Ungārija</c:v>
                </c:pt>
              </c:strCache>
            </c:strRef>
          </c:tx>
          <c:spPr>
            <a:ln w="19050">
              <a:noFill/>
            </a:ln>
          </c:spPr>
          <c:marker>
            <c:symbol val="circle"/>
            <c:size val="5"/>
            <c:spPr>
              <a:solidFill>
                <a:schemeClr val="accent5">
                  <a:lumMod val="80000"/>
                  <a:lumOff val="20000"/>
                </a:schemeClr>
              </a:solidFill>
              <a:ln w="9525">
                <a:solidFill>
                  <a:schemeClr val="accent5">
                    <a:lumMod val="80000"/>
                    <a:lumOff val="20000"/>
                  </a:schemeClr>
                </a:solidFill>
              </a:ln>
              <a:effectLst/>
            </c:spPr>
          </c:marker>
          <c:xVal>
            <c:multiLvlStrRef>
              <c:f>Data!$V$12:$AB$15</c:f>
              <c:multiLvlStrCache>
                <c:ptCount val="7"/>
                <c:lvl>
                  <c:pt idx="6">
                    <c:v>jkl</c:v>
                  </c:pt>
                </c:lvl>
                <c:lvl>
                  <c:pt idx="0">
                    <c:v>2020M01</c:v>
                  </c:pt>
                  <c:pt idx="1">
                    <c:v>2020M02</c:v>
                  </c:pt>
                  <c:pt idx="2">
                    <c:v>2020M03</c:v>
                  </c:pt>
                  <c:pt idx="3">
                    <c:v>2020M04</c:v>
                  </c:pt>
                  <c:pt idx="4">
                    <c:v>2020M05</c:v>
                  </c:pt>
                  <c:pt idx="5">
                    <c:v>2020M06</c:v>
                  </c:pt>
                  <c:pt idx="6">
                    <c:v>2020M07</c:v>
                  </c:pt>
                </c:lvl>
              </c:multiLvlStrCache>
            </c:multiLvlStrRef>
          </c:xVal>
          <c:yVal>
            <c:numRef>
              <c:f>Data!$V$32:$AB$32</c:f>
              <c:numCache>
                <c:formatCode>0.0</c:formatCode>
                <c:ptCount val="7"/>
                <c:pt idx="0">
                  <c:v>3.231441048034938</c:v>
                </c:pt>
                <c:pt idx="1">
                  <c:v>2.2413793103448256</c:v>
                </c:pt>
                <c:pt idx="2">
                  <c:v>-9.9914602903501191</c:v>
                </c:pt>
                <c:pt idx="3">
                  <c:v>-36.764705882352942</c:v>
                </c:pt>
                <c:pt idx="4">
                  <c:v>-27.683134582623509</c:v>
                </c:pt>
                <c:pt idx="5">
                  <c:v>-12.40105540897099</c:v>
                </c:pt>
                <c:pt idx="6">
                  <c:v>-7.9378774805867209</c:v>
                </c:pt>
              </c:numCache>
            </c:numRef>
          </c:yVal>
          <c:smooth val="0"/>
          <c:extLst>
            <c:ext xmlns:c16="http://schemas.microsoft.com/office/drawing/2014/chart" uri="{C3380CC4-5D6E-409C-BE32-E72D297353CC}">
              <c16:uniqueId val="{00000011-877C-4762-BDF5-E770EC4E68EA}"/>
            </c:ext>
          </c:extLst>
        </c:ser>
        <c:ser>
          <c:idx val="17"/>
          <c:order val="17"/>
          <c:tx>
            <c:strRef>
              <c:f>Data!$U$33</c:f>
              <c:strCache>
                <c:ptCount val="1"/>
                <c:pt idx="0">
                  <c:v>Malta</c:v>
                </c:pt>
              </c:strCache>
            </c:strRef>
          </c:tx>
          <c:spPr>
            <a:ln w="19050">
              <a:noFill/>
            </a:ln>
          </c:spPr>
          <c:marker>
            <c:symbol val="circle"/>
            <c:size val="5"/>
            <c:spPr>
              <a:solidFill>
                <a:schemeClr val="accent6">
                  <a:lumMod val="80000"/>
                  <a:lumOff val="20000"/>
                </a:schemeClr>
              </a:solidFill>
              <a:ln w="9525">
                <a:solidFill>
                  <a:schemeClr val="accent6">
                    <a:lumMod val="80000"/>
                    <a:lumOff val="20000"/>
                  </a:schemeClr>
                </a:solidFill>
              </a:ln>
              <a:effectLst/>
            </c:spPr>
          </c:marker>
          <c:xVal>
            <c:multiLvlStrRef>
              <c:f>Data!$V$12:$AB$15</c:f>
              <c:multiLvlStrCache>
                <c:ptCount val="7"/>
                <c:lvl>
                  <c:pt idx="6">
                    <c:v>jkl</c:v>
                  </c:pt>
                </c:lvl>
                <c:lvl>
                  <c:pt idx="0">
                    <c:v>2020M01</c:v>
                  </c:pt>
                  <c:pt idx="1">
                    <c:v>2020M02</c:v>
                  </c:pt>
                  <c:pt idx="2">
                    <c:v>2020M03</c:v>
                  </c:pt>
                  <c:pt idx="3">
                    <c:v>2020M04</c:v>
                  </c:pt>
                  <c:pt idx="4">
                    <c:v>2020M05</c:v>
                  </c:pt>
                  <c:pt idx="5">
                    <c:v>2020M06</c:v>
                  </c:pt>
                  <c:pt idx="6">
                    <c:v>2020M07</c:v>
                  </c:pt>
                </c:lvl>
              </c:multiLvlStrCache>
            </c:multiLvlStrRef>
          </c:xVal>
          <c:yVal>
            <c:numRef>
              <c:f>Data!$V$33:$AB$33</c:f>
              <c:numCache>
                <c:formatCode>0.0</c:formatCode>
                <c:ptCount val="7"/>
                <c:pt idx="0">
                  <c:v>11.322645290581164</c:v>
                </c:pt>
                <c:pt idx="1">
                  <c:v>12.75510204081634</c:v>
                </c:pt>
                <c:pt idx="2">
                  <c:v>6.5082644628099189</c:v>
                </c:pt>
                <c:pt idx="3">
                  <c:v>-6.4139941690962132</c:v>
                </c:pt>
                <c:pt idx="4">
                  <c:v>-8.612440191387563</c:v>
                </c:pt>
                <c:pt idx="5">
                  <c:v>-3.5922330097087496</c:v>
                </c:pt>
                <c:pt idx="6">
                  <c:v>-2.4201355275895367</c:v>
                </c:pt>
              </c:numCache>
            </c:numRef>
          </c:yVal>
          <c:smooth val="0"/>
          <c:extLst>
            <c:ext xmlns:c16="http://schemas.microsoft.com/office/drawing/2014/chart" uri="{C3380CC4-5D6E-409C-BE32-E72D297353CC}">
              <c16:uniqueId val="{00000012-877C-4762-BDF5-E770EC4E68EA}"/>
            </c:ext>
          </c:extLst>
        </c:ser>
        <c:ser>
          <c:idx val="18"/>
          <c:order val="18"/>
          <c:tx>
            <c:strRef>
              <c:f>Data!$U$34</c:f>
              <c:strCache>
                <c:ptCount val="1"/>
                <c:pt idx="0">
                  <c:v>Nīderlande</c:v>
                </c:pt>
              </c:strCache>
            </c:strRef>
          </c:tx>
          <c:spPr>
            <a:ln w="19050">
              <a:noFill/>
            </a:ln>
          </c:spPr>
          <c:marker>
            <c:symbol val="circle"/>
            <c:size val="5"/>
            <c:spPr>
              <a:solidFill>
                <a:schemeClr val="accent1">
                  <a:lumMod val="80000"/>
                </a:schemeClr>
              </a:solidFill>
              <a:ln w="9525">
                <a:solidFill>
                  <a:schemeClr val="accent1">
                    <a:lumMod val="80000"/>
                  </a:schemeClr>
                </a:solidFill>
              </a:ln>
              <a:effectLst/>
            </c:spPr>
          </c:marker>
          <c:xVal>
            <c:multiLvlStrRef>
              <c:f>Data!$V$12:$AB$15</c:f>
              <c:multiLvlStrCache>
                <c:ptCount val="7"/>
                <c:lvl>
                  <c:pt idx="6">
                    <c:v>jkl</c:v>
                  </c:pt>
                </c:lvl>
                <c:lvl>
                  <c:pt idx="0">
                    <c:v>2020M01</c:v>
                  </c:pt>
                  <c:pt idx="1">
                    <c:v>2020M02</c:v>
                  </c:pt>
                  <c:pt idx="2">
                    <c:v>2020M03</c:v>
                  </c:pt>
                  <c:pt idx="3">
                    <c:v>2020M04</c:v>
                  </c:pt>
                  <c:pt idx="4">
                    <c:v>2020M05</c:v>
                  </c:pt>
                  <c:pt idx="5">
                    <c:v>2020M06</c:v>
                  </c:pt>
                  <c:pt idx="6">
                    <c:v>2020M07</c:v>
                  </c:pt>
                </c:lvl>
              </c:multiLvlStrCache>
            </c:multiLvlStrRef>
          </c:xVal>
          <c:yVal>
            <c:numRef>
              <c:f>Data!$V$34:$AB$34</c:f>
              <c:numCache>
                <c:formatCode>0.0</c:formatCode>
                <c:ptCount val="7"/>
                <c:pt idx="0">
                  <c:v>-1.343570057581573</c:v>
                </c:pt>
                <c:pt idx="1">
                  <c:v>-1.1650485436893234</c:v>
                </c:pt>
                <c:pt idx="2">
                  <c:v>-2.4201355275895367</c:v>
                </c:pt>
                <c:pt idx="3">
                  <c:v>-8.0234833659491187</c:v>
                </c:pt>
                <c:pt idx="4">
                  <c:v>-8.9581304771178196</c:v>
                </c:pt>
                <c:pt idx="5">
                  <c:v>-7.3891625615763559</c:v>
                </c:pt>
                <c:pt idx="6">
                  <c:v>-5.8070866141732154</c:v>
                </c:pt>
              </c:numCache>
            </c:numRef>
          </c:yVal>
          <c:smooth val="0"/>
          <c:extLst>
            <c:ext xmlns:c16="http://schemas.microsoft.com/office/drawing/2014/chart" uri="{C3380CC4-5D6E-409C-BE32-E72D297353CC}">
              <c16:uniqueId val="{00000013-877C-4762-BDF5-E770EC4E68EA}"/>
            </c:ext>
          </c:extLst>
        </c:ser>
        <c:ser>
          <c:idx val="19"/>
          <c:order val="19"/>
          <c:tx>
            <c:strRef>
              <c:f>Data!$U$35</c:f>
              <c:strCache>
                <c:ptCount val="1"/>
                <c:pt idx="0">
                  <c:v>Austrija</c:v>
                </c:pt>
              </c:strCache>
            </c:strRef>
          </c:tx>
          <c:spPr>
            <a:ln w="19050">
              <a:noFill/>
            </a:ln>
          </c:spPr>
          <c:marker>
            <c:symbol val="circle"/>
            <c:size val="5"/>
            <c:spPr>
              <a:solidFill>
                <a:schemeClr val="accent2">
                  <a:lumMod val="80000"/>
                </a:schemeClr>
              </a:solidFill>
              <a:ln w="9525">
                <a:solidFill>
                  <a:schemeClr val="accent2">
                    <a:lumMod val="80000"/>
                  </a:schemeClr>
                </a:solidFill>
              </a:ln>
              <a:effectLst/>
            </c:spPr>
          </c:marker>
          <c:xVal>
            <c:multiLvlStrRef>
              <c:f>Data!$V$12:$AB$15</c:f>
              <c:multiLvlStrCache>
                <c:ptCount val="7"/>
                <c:lvl>
                  <c:pt idx="6">
                    <c:v>jkl</c:v>
                  </c:pt>
                </c:lvl>
                <c:lvl>
                  <c:pt idx="0">
                    <c:v>2020M01</c:v>
                  </c:pt>
                  <c:pt idx="1">
                    <c:v>2020M02</c:v>
                  </c:pt>
                  <c:pt idx="2">
                    <c:v>2020M03</c:v>
                  </c:pt>
                  <c:pt idx="3">
                    <c:v>2020M04</c:v>
                  </c:pt>
                  <c:pt idx="4">
                    <c:v>2020M05</c:v>
                  </c:pt>
                  <c:pt idx="5">
                    <c:v>2020M06</c:v>
                  </c:pt>
                  <c:pt idx="6">
                    <c:v>2020M07</c:v>
                  </c:pt>
                </c:lvl>
              </c:multiLvlStrCache>
            </c:multiLvlStrRef>
          </c:xVal>
          <c:yVal>
            <c:numRef>
              <c:f>Data!$V$35:$AB$35</c:f>
              <c:numCache>
                <c:formatCode>0.0</c:formatCode>
                <c:ptCount val="7"/>
                <c:pt idx="0">
                  <c:v>-0.43066322136088786</c:v>
                </c:pt>
                <c:pt idx="1">
                  <c:v>-5.4898648648648702</c:v>
                </c:pt>
                <c:pt idx="2">
                  <c:v>-11.063829787234042</c:v>
                </c:pt>
                <c:pt idx="3">
                  <c:v>-22.819383259911902</c:v>
                </c:pt>
                <c:pt idx="4">
                  <c:v>-16.989436619718319</c:v>
                </c:pt>
                <c:pt idx="5">
                  <c:v>-12.049252418645565</c:v>
                </c:pt>
                <c:pt idx="6">
                  <c:v>0</c:v>
                </c:pt>
              </c:numCache>
            </c:numRef>
          </c:yVal>
          <c:smooth val="0"/>
          <c:extLst>
            <c:ext xmlns:c16="http://schemas.microsoft.com/office/drawing/2014/chart" uri="{C3380CC4-5D6E-409C-BE32-E72D297353CC}">
              <c16:uniqueId val="{00000014-877C-4762-BDF5-E770EC4E68EA}"/>
            </c:ext>
          </c:extLst>
        </c:ser>
        <c:ser>
          <c:idx val="21"/>
          <c:order val="21"/>
          <c:tx>
            <c:strRef>
              <c:f>Data!$U$37</c:f>
              <c:strCache>
                <c:ptCount val="1"/>
                <c:pt idx="0">
                  <c:v>Portugāle</c:v>
                </c:pt>
              </c:strCache>
            </c:strRef>
          </c:tx>
          <c:spPr>
            <a:ln w="19050">
              <a:noFill/>
            </a:ln>
          </c:spPr>
          <c:marker>
            <c:symbol val="circle"/>
            <c:size val="5"/>
            <c:spPr>
              <a:solidFill>
                <a:schemeClr val="accent4">
                  <a:lumMod val="80000"/>
                </a:schemeClr>
              </a:solidFill>
              <a:ln w="9525">
                <a:solidFill>
                  <a:schemeClr val="accent4">
                    <a:lumMod val="80000"/>
                  </a:schemeClr>
                </a:solidFill>
              </a:ln>
              <a:effectLst/>
            </c:spPr>
          </c:marker>
          <c:xVal>
            <c:multiLvlStrRef>
              <c:f>Data!$V$12:$AB$15</c:f>
              <c:multiLvlStrCache>
                <c:ptCount val="7"/>
                <c:lvl>
                  <c:pt idx="6">
                    <c:v>jkl</c:v>
                  </c:pt>
                </c:lvl>
                <c:lvl>
                  <c:pt idx="0">
                    <c:v>2020M01</c:v>
                  </c:pt>
                  <c:pt idx="1">
                    <c:v>2020M02</c:v>
                  </c:pt>
                  <c:pt idx="2">
                    <c:v>2020M03</c:v>
                  </c:pt>
                  <c:pt idx="3">
                    <c:v>2020M04</c:v>
                  </c:pt>
                  <c:pt idx="4">
                    <c:v>2020M05</c:v>
                  </c:pt>
                  <c:pt idx="5">
                    <c:v>2020M06</c:v>
                  </c:pt>
                  <c:pt idx="6">
                    <c:v>2020M07</c:v>
                  </c:pt>
                </c:lvl>
              </c:multiLvlStrCache>
            </c:multiLvlStrRef>
          </c:xVal>
          <c:yVal>
            <c:numRef>
              <c:f>Data!$V$37:$AB$37</c:f>
              <c:numCache>
                <c:formatCode>0.0</c:formatCode>
                <c:ptCount val="7"/>
                <c:pt idx="0">
                  <c:v>2.2922636103151888</c:v>
                </c:pt>
                <c:pt idx="1">
                  <c:v>0.96993210475267233</c:v>
                </c:pt>
                <c:pt idx="2">
                  <c:v>-7.3929961089494185</c:v>
                </c:pt>
                <c:pt idx="3">
                  <c:v>-28.989612842304055</c:v>
                </c:pt>
                <c:pt idx="4">
                  <c:v>-27.25563909774435</c:v>
                </c:pt>
                <c:pt idx="5">
                  <c:v>-14.597815292949363</c:v>
                </c:pt>
                <c:pt idx="6">
                  <c:v>-9.5864661654135261</c:v>
                </c:pt>
              </c:numCache>
            </c:numRef>
          </c:yVal>
          <c:smooth val="0"/>
          <c:extLst>
            <c:ext xmlns:c16="http://schemas.microsoft.com/office/drawing/2014/chart" uri="{C3380CC4-5D6E-409C-BE32-E72D297353CC}">
              <c16:uniqueId val="{00000015-877C-4762-BDF5-E770EC4E68EA}"/>
            </c:ext>
          </c:extLst>
        </c:ser>
        <c:ser>
          <c:idx val="22"/>
          <c:order val="22"/>
          <c:tx>
            <c:strRef>
              <c:f>Data!$U$38</c:f>
              <c:strCache>
                <c:ptCount val="1"/>
                <c:pt idx="0">
                  <c:v>Rumānija</c:v>
                </c:pt>
              </c:strCache>
            </c:strRef>
          </c:tx>
          <c:spPr>
            <a:ln w="19050">
              <a:noFill/>
            </a:ln>
          </c:spPr>
          <c:marker>
            <c:symbol val="circle"/>
            <c:size val="5"/>
            <c:spPr>
              <a:solidFill>
                <a:schemeClr val="accent5">
                  <a:lumMod val="80000"/>
                </a:schemeClr>
              </a:solidFill>
              <a:ln w="9525">
                <a:solidFill>
                  <a:schemeClr val="accent5">
                    <a:lumMod val="80000"/>
                  </a:schemeClr>
                </a:solidFill>
              </a:ln>
              <a:effectLst/>
            </c:spPr>
          </c:marker>
          <c:xVal>
            <c:multiLvlStrRef>
              <c:f>Data!$V$12:$AB$15</c:f>
              <c:multiLvlStrCache>
                <c:ptCount val="7"/>
                <c:lvl>
                  <c:pt idx="6">
                    <c:v>jkl</c:v>
                  </c:pt>
                </c:lvl>
                <c:lvl>
                  <c:pt idx="0">
                    <c:v>2020M01</c:v>
                  </c:pt>
                  <c:pt idx="1">
                    <c:v>2020M02</c:v>
                  </c:pt>
                  <c:pt idx="2">
                    <c:v>2020M03</c:v>
                  </c:pt>
                  <c:pt idx="3">
                    <c:v>2020M04</c:v>
                  </c:pt>
                  <c:pt idx="4">
                    <c:v>2020M05</c:v>
                  </c:pt>
                  <c:pt idx="5">
                    <c:v>2020M06</c:v>
                  </c:pt>
                  <c:pt idx="6">
                    <c:v>2020M07</c:v>
                  </c:pt>
                </c:lvl>
              </c:multiLvlStrCache>
            </c:multiLvlStrRef>
          </c:xVal>
          <c:yVal>
            <c:numRef>
              <c:f>Data!$V$38:$AB$38</c:f>
              <c:numCache>
                <c:formatCode>0.0</c:formatCode>
                <c:ptCount val="7"/>
                <c:pt idx="0">
                  <c:v>-2.5684931506849296</c:v>
                </c:pt>
                <c:pt idx="1">
                  <c:v>-1.9541206457094233</c:v>
                </c:pt>
                <c:pt idx="2">
                  <c:v>-14.467005076142129</c:v>
                </c:pt>
                <c:pt idx="3">
                  <c:v>-38.739495798319325</c:v>
                </c:pt>
                <c:pt idx="4">
                  <c:v>-27.639484978540779</c:v>
                </c:pt>
                <c:pt idx="5">
                  <c:v>-14.335664335664347</c:v>
                </c:pt>
                <c:pt idx="6">
                  <c:v>-9.8842386464826291</c:v>
                </c:pt>
              </c:numCache>
            </c:numRef>
          </c:yVal>
          <c:smooth val="0"/>
          <c:extLst>
            <c:ext xmlns:c16="http://schemas.microsoft.com/office/drawing/2014/chart" uri="{C3380CC4-5D6E-409C-BE32-E72D297353CC}">
              <c16:uniqueId val="{00000016-877C-4762-BDF5-E770EC4E68EA}"/>
            </c:ext>
          </c:extLst>
        </c:ser>
        <c:ser>
          <c:idx val="23"/>
          <c:order val="23"/>
          <c:tx>
            <c:strRef>
              <c:f>Data!$U$39</c:f>
              <c:strCache>
                <c:ptCount val="1"/>
                <c:pt idx="0">
                  <c:v>Slovēnija</c:v>
                </c:pt>
              </c:strCache>
            </c:strRef>
          </c:tx>
          <c:spPr>
            <a:ln w="19050">
              <a:noFill/>
            </a:ln>
          </c:spPr>
          <c:marker>
            <c:symbol val="circle"/>
            <c:size val="5"/>
            <c:spPr>
              <a:solidFill>
                <a:schemeClr val="accent6">
                  <a:lumMod val="80000"/>
                </a:schemeClr>
              </a:solidFill>
              <a:ln w="9525">
                <a:solidFill>
                  <a:schemeClr val="accent6">
                    <a:lumMod val="80000"/>
                  </a:schemeClr>
                </a:solidFill>
              </a:ln>
              <a:effectLst/>
            </c:spPr>
          </c:marker>
          <c:xVal>
            <c:multiLvlStrRef>
              <c:f>Data!$V$12:$AB$15</c:f>
              <c:multiLvlStrCache>
                <c:ptCount val="7"/>
                <c:lvl>
                  <c:pt idx="6">
                    <c:v>jkl</c:v>
                  </c:pt>
                </c:lvl>
                <c:lvl>
                  <c:pt idx="0">
                    <c:v>2020M01</c:v>
                  </c:pt>
                  <c:pt idx="1">
                    <c:v>2020M02</c:v>
                  </c:pt>
                  <c:pt idx="2">
                    <c:v>2020M03</c:v>
                  </c:pt>
                  <c:pt idx="3">
                    <c:v>2020M04</c:v>
                  </c:pt>
                  <c:pt idx="4">
                    <c:v>2020M05</c:v>
                  </c:pt>
                  <c:pt idx="5">
                    <c:v>2020M06</c:v>
                  </c:pt>
                  <c:pt idx="6">
                    <c:v>2020M07</c:v>
                  </c:pt>
                </c:lvl>
              </c:multiLvlStrCache>
            </c:multiLvlStrRef>
          </c:xVal>
          <c:yVal>
            <c:numRef>
              <c:f>Data!$V$39:$AB$39</c:f>
              <c:numCache>
                <c:formatCode>0.0</c:formatCode>
                <c:ptCount val="7"/>
                <c:pt idx="0">
                  <c:v>-2.5963808025177002</c:v>
                </c:pt>
                <c:pt idx="1">
                  <c:v>3.4649476228847789</c:v>
                </c:pt>
                <c:pt idx="2">
                  <c:v>-8.2202713487629637</c:v>
                </c:pt>
                <c:pt idx="3">
                  <c:v>-24.426877470355734</c:v>
                </c:pt>
                <c:pt idx="4">
                  <c:v>-16.401273885350307</c:v>
                </c:pt>
                <c:pt idx="5">
                  <c:v>-11.173633440514479</c:v>
                </c:pt>
                <c:pt idx="6">
                  <c:v>-4.8644338118022432</c:v>
                </c:pt>
              </c:numCache>
            </c:numRef>
          </c:yVal>
          <c:smooth val="0"/>
          <c:extLst>
            <c:ext xmlns:c16="http://schemas.microsoft.com/office/drawing/2014/chart" uri="{C3380CC4-5D6E-409C-BE32-E72D297353CC}">
              <c16:uniqueId val="{00000017-877C-4762-BDF5-E770EC4E68EA}"/>
            </c:ext>
          </c:extLst>
        </c:ser>
        <c:ser>
          <c:idx val="24"/>
          <c:order val="24"/>
          <c:tx>
            <c:strRef>
              <c:f>Data!$U$40</c:f>
              <c:strCache>
                <c:ptCount val="1"/>
                <c:pt idx="0">
                  <c:v>Slovākija</c:v>
                </c:pt>
              </c:strCache>
            </c:strRef>
          </c:tx>
          <c:spPr>
            <a:ln w="19050">
              <a:noFill/>
            </a:ln>
          </c:spPr>
          <c:marker>
            <c:symbol val="circle"/>
            <c:size val="5"/>
            <c:spPr>
              <a:solidFill>
                <a:schemeClr val="accent1">
                  <a:lumMod val="60000"/>
                  <a:lumOff val="40000"/>
                </a:schemeClr>
              </a:solidFill>
              <a:ln w="9525">
                <a:solidFill>
                  <a:schemeClr val="accent1">
                    <a:lumMod val="60000"/>
                    <a:lumOff val="40000"/>
                  </a:schemeClr>
                </a:solidFill>
              </a:ln>
              <a:effectLst/>
            </c:spPr>
          </c:marker>
          <c:xVal>
            <c:multiLvlStrRef>
              <c:f>Data!$V$12:$AB$15</c:f>
              <c:multiLvlStrCache>
                <c:ptCount val="7"/>
                <c:lvl>
                  <c:pt idx="6">
                    <c:v>jkl</c:v>
                  </c:pt>
                </c:lvl>
                <c:lvl>
                  <c:pt idx="0">
                    <c:v>2020M01</c:v>
                  </c:pt>
                  <c:pt idx="1">
                    <c:v>2020M02</c:v>
                  </c:pt>
                  <c:pt idx="2">
                    <c:v>2020M03</c:v>
                  </c:pt>
                  <c:pt idx="3">
                    <c:v>2020M04</c:v>
                  </c:pt>
                  <c:pt idx="4">
                    <c:v>2020M05</c:v>
                  </c:pt>
                  <c:pt idx="5">
                    <c:v>2020M06</c:v>
                  </c:pt>
                  <c:pt idx="6">
                    <c:v>2020M07</c:v>
                  </c:pt>
                </c:lvl>
              </c:multiLvlStrCache>
            </c:multiLvlStrRef>
          </c:xVal>
          <c:yVal>
            <c:numRef>
              <c:f>Data!$V$40:$AB$40</c:f>
              <c:numCache>
                <c:formatCode>0.0</c:formatCode>
                <c:ptCount val="7"/>
                <c:pt idx="0">
                  <c:v>0.86956521739129755</c:v>
                </c:pt>
                <c:pt idx="1">
                  <c:v>-0.34512510785160089</c:v>
                </c:pt>
                <c:pt idx="2">
                  <c:v>-21.779661016949163</c:v>
                </c:pt>
                <c:pt idx="3">
                  <c:v>-42.721791559000856</c:v>
                </c:pt>
                <c:pt idx="4">
                  <c:v>-30.378657487091218</c:v>
                </c:pt>
                <c:pt idx="5">
                  <c:v>-12.266666666666666</c:v>
                </c:pt>
                <c:pt idx="6">
                  <c:v>-6.299911268855368</c:v>
                </c:pt>
              </c:numCache>
            </c:numRef>
          </c:yVal>
          <c:smooth val="0"/>
          <c:extLst>
            <c:ext xmlns:c16="http://schemas.microsoft.com/office/drawing/2014/chart" uri="{C3380CC4-5D6E-409C-BE32-E72D297353CC}">
              <c16:uniqueId val="{00000018-877C-4762-BDF5-E770EC4E68EA}"/>
            </c:ext>
          </c:extLst>
        </c:ser>
        <c:ser>
          <c:idx val="25"/>
          <c:order val="25"/>
          <c:tx>
            <c:strRef>
              <c:f>Data!$U$41</c:f>
              <c:strCache>
                <c:ptCount val="1"/>
                <c:pt idx="0">
                  <c:v>Somija</c:v>
                </c:pt>
              </c:strCache>
            </c:strRef>
          </c:tx>
          <c:spPr>
            <a:ln w="19050">
              <a:noFill/>
            </a:ln>
          </c:spPr>
          <c:marker>
            <c:symbol val="circle"/>
            <c:size val="5"/>
            <c:spPr>
              <a:solidFill>
                <a:schemeClr val="accent2">
                  <a:lumMod val="60000"/>
                  <a:lumOff val="40000"/>
                </a:schemeClr>
              </a:solidFill>
              <a:ln w="9525">
                <a:solidFill>
                  <a:schemeClr val="accent2">
                    <a:lumMod val="60000"/>
                    <a:lumOff val="40000"/>
                  </a:schemeClr>
                </a:solidFill>
              </a:ln>
              <a:effectLst/>
            </c:spPr>
          </c:marker>
          <c:xVal>
            <c:multiLvlStrRef>
              <c:f>Data!$V$12:$AB$15</c:f>
              <c:multiLvlStrCache>
                <c:ptCount val="7"/>
                <c:lvl>
                  <c:pt idx="6">
                    <c:v>jkl</c:v>
                  </c:pt>
                </c:lvl>
                <c:lvl>
                  <c:pt idx="0">
                    <c:v>2020M01</c:v>
                  </c:pt>
                  <c:pt idx="1">
                    <c:v>2020M02</c:v>
                  </c:pt>
                  <c:pt idx="2">
                    <c:v>2020M03</c:v>
                  </c:pt>
                  <c:pt idx="3">
                    <c:v>2020M04</c:v>
                  </c:pt>
                  <c:pt idx="4">
                    <c:v>2020M05</c:v>
                  </c:pt>
                  <c:pt idx="5">
                    <c:v>2020M06</c:v>
                  </c:pt>
                  <c:pt idx="6">
                    <c:v>2020M07</c:v>
                  </c:pt>
                </c:lvl>
              </c:multiLvlStrCache>
            </c:multiLvlStrRef>
          </c:xVal>
          <c:yVal>
            <c:numRef>
              <c:f>Data!$V$41:$AB$41</c:f>
              <c:numCache>
                <c:formatCode>0.0</c:formatCode>
                <c:ptCount val="7"/>
                <c:pt idx="0">
                  <c:v>-2.7264731750219937</c:v>
                </c:pt>
                <c:pt idx="1">
                  <c:v>-1.1576135351736383</c:v>
                </c:pt>
                <c:pt idx="2">
                  <c:v>2.1641118124436218</c:v>
                </c:pt>
                <c:pt idx="3">
                  <c:v>-4.3402777777777857</c:v>
                </c:pt>
                <c:pt idx="4">
                  <c:v>-3.9964476021314397</c:v>
                </c:pt>
                <c:pt idx="5">
                  <c:v>-6.3811188811188799</c:v>
                </c:pt>
                <c:pt idx="6">
                  <c:v>-5.8362369337979061</c:v>
                </c:pt>
              </c:numCache>
            </c:numRef>
          </c:yVal>
          <c:smooth val="0"/>
          <c:extLst>
            <c:ext xmlns:c16="http://schemas.microsoft.com/office/drawing/2014/chart" uri="{C3380CC4-5D6E-409C-BE32-E72D297353CC}">
              <c16:uniqueId val="{00000019-877C-4762-BDF5-E770EC4E68EA}"/>
            </c:ext>
          </c:extLst>
        </c:ser>
        <c:ser>
          <c:idx val="26"/>
          <c:order val="26"/>
          <c:tx>
            <c:strRef>
              <c:f>Data!$U$42</c:f>
              <c:strCache>
                <c:ptCount val="1"/>
                <c:pt idx="0">
                  <c:v>Zviedrija</c:v>
                </c:pt>
              </c:strCache>
            </c:strRef>
          </c:tx>
          <c:spPr>
            <a:ln w="19050">
              <a:noFill/>
            </a:ln>
          </c:spPr>
          <c:marker>
            <c:symbol val="circle"/>
            <c:size val="5"/>
            <c:spPr>
              <a:solidFill>
                <a:schemeClr val="accent3">
                  <a:lumMod val="60000"/>
                  <a:lumOff val="40000"/>
                </a:schemeClr>
              </a:solidFill>
              <a:ln w="9525">
                <a:solidFill>
                  <a:schemeClr val="accent3">
                    <a:lumMod val="60000"/>
                    <a:lumOff val="40000"/>
                  </a:schemeClr>
                </a:solidFill>
              </a:ln>
              <a:effectLst/>
            </c:spPr>
          </c:marker>
          <c:xVal>
            <c:multiLvlStrRef>
              <c:f>Data!$V$12:$AB$15</c:f>
              <c:multiLvlStrCache>
                <c:ptCount val="7"/>
                <c:lvl>
                  <c:pt idx="6">
                    <c:v>jkl</c:v>
                  </c:pt>
                </c:lvl>
                <c:lvl>
                  <c:pt idx="0">
                    <c:v>2020M01</c:v>
                  </c:pt>
                  <c:pt idx="1">
                    <c:v>2020M02</c:v>
                  </c:pt>
                  <c:pt idx="2">
                    <c:v>2020M03</c:v>
                  </c:pt>
                  <c:pt idx="3">
                    <c:v>2020M04</c:v>
                  </c:pt>
                  <c:pt idx="4">
                    <c:v>2020M05</c:v>
                  </c:pt>
                  <c:pt idx="5">
                    <c:v>2020M06</c:v>
                  </c:pt>
                  <c:pt idx="6">
                    <c:v>2020M07</c:v>
                  </c:pt>
                </c:lvl>
              </c:multiLvlStrCache>
            </c:multiLvlStrRef>
          </c:xVal>
          <c:yVal>
            <c:numRef>
              <c:f>Data!$V$42:$AB$42</c:f>
              <c:numCache>
                <c:formatCode>0.0</c:formatCode>
                <c:ptCount val="7"/>
                <c:pt idx="0">
                  <c:v>-0.26714158504006491</c:v>
                </c:pt>
                <c:pt idx="1">
                  <c:v>0.44762757385854002</c:v>
                </c:pt>
                <c:pt idx="2">
                  <c:v>0.72202166064980133</c:v>
                </c:pt>
                <c:pt idx="3">
                  <c:v>-15.49549549549549</c:v>
                </c:pt>
                <c:pt idx="4">
                  <c:v>-15.40516473731077</c:v>
                </c:pt>
                <c:pt idx="5">
                  <c:v>-10.240427426536073</c:v>
                </c:pt>
                <c:pt idx="6">
                  <c:v>-7.7333333333333343</c:v>
                </c:pt>
              </c:numCache>
            </c:numRef>
          </c:yVal>
          <c:smooth val="0"/>
          <c:extLst>
            <c:ext xmlns:c16="http://schemas.microsoft.com/office/drawing/2014/chart" uri="{C3380CC4-5D6E-409C-BE32-E72D297353CC}">
              <c16:uniqueId val="{0000001A-877C-4762-BDF5-E770EC4E68EA}"/>
            </c:ext>
          </c:extLst>
        </c:ser>
        <c:dLbls>
          <c:showLegendKey val="0"/>
          <c:showVal val="0"/>
          <c:showCatName val="0"/>
          <c:showSerName val="0"/>
          <c:showPercent val="0"/>
          <c:showBubbleSize val="0"/>
        </c:dLbls>
        <c:axId val="1465897519"/>
        <c:axId val="1"/>
      </c:scatterChart>
      <c:catAx>
        <c:axId val="14658975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lv-LV"/>
          </a:p>
        </c:txPr>
        <c:crossAx val="1"/>
        <c:crosses val="autoZero"/>
        <c:auto val="1"/>
        <c:lblAlgn val="ctr"/>
        <c:lblOffset val="100"/>
        <c:tickMarkSkip val="1"/>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lv-LV"/>
          </a:p>
        </c:txPr>
        <c:crossAx val="1465897519"/>
        <c:crosses val="autoZero"/>
        <c:crossBetween val="between"/>
      </c:valAx>
      <c:spPr>
        <a:noFill/>
        <a:ln w="25400">
          <a:noFill/>
        </a:ln>
      </c:spPr>
    </c:plotArea>
    <c:legend>
      <c:legendPos val="b"/>
      <c:layout>
        <c:manualLayout>
          <c:xMode val="edge"/>
          <c:yMode val="edge"/>
          <c:x val="1.6448669898795402E-2"/>
          <c:y val="0.83496550911905243"/>
          <c:w val="0.9791426835837661"/>
          <c:h val="0.14760128541624606"/>
        </c:manualLayout>
      </c:layout>
      <c:overlay val="0"/>
      <c:spPr>
        <a:noFill/>
        <a:ln w="25400">
          <a:noFill/>
        </a:ln>
      </c:spPr>
      <c:txPr>
        <a:bodyPr/>
        <a:lstStyle/>
        <a:p>
          <a:pPr>
            <a:defRPr sz="825" b="0" i="0" u="none" strike="noStrike" baseline="0">
              <a:solidFill>
                <a:srgbClr val="333333"/>
              </a:solidFill>
              <a:latin typeface="Calibri"/>
              <a:ea typeface="Calibri"/>
              <a:cs typeface="Calibri"/>
            </a:defRPr>
          </a:pPr>
          <a:endParaRPr lang="lv-LV"/>
        </a:p>
      </c:txPr>
    </c:legend>
    <c:plotVisOnly val="1"/>
    <c:dispBlanksAs val="gap"/>
    <c:showDLblsOverMax val="0"/>
  </c:chart>
  <c:spPr>
    <a:solidFill>
      <a:schemeClr val="bg1"/>
    </a:solidFill>
    <a:ln w="9525" cap="flat" cmpd="sng" algn="ctr">
      <a:noFill/>
      <a:round/>
    </a:ln>
    <a:effectLst/>
  </c:spPr>
  <c:txPr>
    <a:bodyPr/>
    <a:lstStyle/>
    <a:p>
      <a:pPr>
        <a:defRPr sz="1000" b="0" i="0" u="none" strike="noStrike" baseline="0">
          <a:solidFill>
            <a:srgbClr val="000000"/>
          </a:solidFill>
          <a:latin typeface="Calibri"/>
          <a:ea typeface="Calibri"/>
          <a:cs typeface="Calibri"/>
        </a:defRPr>
      </a:pPr>
      <a:endParaRPr lang="lv-LV"/>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295458552872323E-2"/>
          <c:y val="2.8836042374102581E-2"/>
          <c:w val="0.89181959346341033"/>
          <c:h val="0.60840489542404785"/>
        </c:manualLayout>
      </c:layout>
      <c:lineChart>
        <c:grouping val="standard"/>
        <c:varyColors val="0"/>
        <c:ser>
          <c:idx val="0"/>
          <c:order val="0"/>
          <c:tx>
            <c:strRef>
              <c:f>'[7_monit_FDP_2020_II_20200120_makro_P2.xlsx]KR020m'!$C$4</c:f>
              <c:strCache>
                <c:ptCount val="1"/>
                <c:pt idx="0">
                  <c:v>Rūpniecība</c:v>
                </c:pt>
              </c:strCache>
            </c:strRef>
          </c:tx>
          <c:spPr>
            <a:ln w="28575" cap="rnd">
              <a:solidFill>
                <a:srgbClr val="002060"/>
              </a:solidFill>
              <a:round/>
            </a:ln>
            <a:effectLst/>
          </c:spPr>
          <c:marker>
            <c:symbol val="none"/>
          </c:marker>
          <c:cat>
            <c:multiLvlStrRef>
              <c:f>'[7_monit_FDP_2020_II_20200120_makro_P2.xlsx]KR020m'!$A$33:$B$84</c:f>
              <c:multiLvlStrCache>
                <c:ptCount val="52"/>
                <c:lvl>
                  <c:pt idx="0">
                    <c:v>5</c:v>
                  </c:pt>
                  <c:pt idx="1">
                    <c:v>6</c:v>
                  </c:pt>
                  <c:pt idx="2">
                    <c:v>7</c:v>
                  </c:pt>
                  <c:pt idx="3">
                    <c:v>8</c:v>
                  </c:pt>
                  <c:pt idx="4">
                    <c:v>9</c:v>
                  </c:pt>
                  <c:pt idx="5">
                    <c:v>10</c:v>
                  </c:pt>
                  <c:pt idx="6">
                    <c:v>11</c:v>
                  </c:pt>
                  <c:pt idx="7">
                    <c:v>12</c:v>
                  </c:pt>
                  <c:pt idx="8">
                    <c:v>1</c:v>
                  </c:pt>
                  <c:pt idx="9">
                    <c:v>2</c:v>
                  </c:pt>
                  <c:pt idx="10">
                    <c:v>3</c:v>
                  </c:pt>
                  <c:pt idx="11">
                    <c:v>4</c:v>
                  </c:pt>
                  <c:pt idx="12">
                    <c:v>5</c:v>
                  </c:pt>
                  <c:pt idx="13">
                    <c:v>6</c:v>
                  </c:pt>
                  <c:pt idx="14">
                    <c:v>7</c:v>
                  </c:pt>
                  <c:pt idx="15">
                    <c:v>8</c:v>
                  </c:pt>
                  <c:pt idx="16">
                    <c:v>9</c:v>
                  </c:pt>
                  <c:pt idx="17">
                    <c:v>10</c:v>
                  </c:pt>
                  <c:pt idx="18">
                    <c:v>11</c:v>
                  </c:pt>
                  <c:pt idx="19">
                    <c:v>12</c:v>
                  </c:pt>
                  <c:pt idx="20">
                    <c:v>1</c:v>
                  </c:pt>
                  <c:pt idx="21">
                    <c:v>2</c:v>
                  </c:pt>
                  <c:pt idx="22">
                    <c:v>3</c:v>
                  </c:pt>
                  <c:pt idx="23">
                    <c:v>4</c:v>
                  </c:pt>
                  <c:pt idx="24">
                    <c:v>5</c:v>
                  </c:pt>
                  <c:pt idx="25">
                    <c:v>6</c:v>
                  </c:pt>
                  <c:pt idx="26">
                    <c:v>7</c:v>
                  </c:pt>
                  <c:pt idx="27">
                    <c:v>8</c:v>
                  </c:pt>
                  <c:pt idx="28">
                    <c:v>9</c:v>
                  </c:pt>
                  <c:pt idx="29">
                    <c:v>10</c:v>
                  </c:pt>
                  <c:pt idx="30">
                    <c:v>11</c:v>
                  </c:pt>
                  <c:pt idx="31">
                    <c:v>12</c:v>
                  </c:pt>
                  <c:pt idx="32">
                    <c:v>1</c:v>
                  </c:pt>
                  <c:pt idx="33">
                    <c:v>2</c:v>
                  </c:pt>
                  <c:pt idx="34">
                    <c:v>3</c:v>
                  </c:pt>
                  <c:pt idx="35">
                    <c:v>4</c:v>
                  </c:pt>
                  <c:pt idx="36">
                    <c:v>5</c:v>
                  </c:pt>
                  <c:pt idx="37">
                    <c:v>6</c:v>
                  </c:pt>
                  <c:pt idx="38">
                    <c:v>7</c:v>
                  </c:pt>
                  <c:pt idx="39">
                    <c:v>8</c:v>
                  </c:pt>
                  <c:pt idx="40">
                    <c:v>9</c:v>
                  </c:pt>
                  <c:pt idx="41">
                    <c:v>10</c:v>
                  </c:pt>
                  <c:pt idx="42">
                    <c:v>11</c:v>
                  </c:pt>
                  <c:pt idx="43">
                    <c:v>12</c:v>
                  </c:pt>
                  <c:pt idx="44">
                    <c:v>1</c:v>
                  </c:pt>
                  <c:pt idx="45">
                    <c:v>2</c:v>
                  </c:pt>
                  <c:pt idx="46">
                    <c:v>3</c:v>
                  </c:pt>
                  <c:pt idx="47">
                    <c:v>4</c:v>
                  </c:pt>
                  <c:pt idx="48">
                    <c:v>5</c:v>
                  </c:pt>
                  <c:pt idx="49">
                    <c:v>6</c:v>
                  </c:pt>
                  <c:pt idx="50">
                    <c:v>7</c:v>
                  </c:pt>
                  <c:pt idx="51">
                    <c:v>8</c:v>
                  </c:pt>
                </c:lvl>
                <c:lvl>
                  <c:pt idx="0">
                    <c:v>2016</c:v>
                  </c:pt>
                  <c:pt idx="8">
                    <c:v>2017</c:v>
                  </c:pt>
                  <c:pt idx="20">
                    <c:v>2018</c:v>
                  </c:pt>
                  <c:pt idx="32">
                    <c:v>2019</c:v>
                  </c:pt>
                  <c:pt idx="44">
                    <c:v>2020</c:v>
                  </c:pt>
                </c:lvl>
              </c:multiLvlStrCache>
            </c:multiLvlStrRef>
          </c:cat>
          <c:val>
            <c:numRef>
              <c:f>'[7_monit_FDP_2020_II_20200120_makro_P2.xlsx]KR020m'!$C$33:$C$84</c:f>
              <c:numCache>
                <c:formatCode>0.0</c:formatCode>
                <c:ptCount val="52"/>
                <c:pt idx="0">
                  <c:v>-4.8</c:v>
                </c:pt>
                <c:pt idx="1">
                  <c:v>-3.2</c:v>
                </c:pt>
                <c:pt idx="2">
                  <c:v>-4.5</c:v>
                </c:pt>
                <c:pt idx="3">
                  <c:v>-5.7</c:v>
                </c:pt>
                <c:pt idx="4">
                  <c:v>-3.3</c:v>
                </c:pt>
                <c:pt idx="5">
                  <c:v>-3.8</c:v>
                </c:pt>
                <c:pt idx="6">
                  <c:v>-2</c:v>
                </c:pt>
                <c:pt idx="7">
                  <c:v>-1</c:v>
                </c:pt>
                <c:pt idx="8">
                  <c:v>-1.7</c:v>
                </c:pt>
                <c:pt idx="9">
                  <c:v>-1.1000000000000001</c:v>
                </c:pt>
                <c:pt idx="10">
                  <c:v>-0.4</c:v>
                </c:pt>
                <c:pt idx="11">
                  <c:v>-0.7</c:v>
                </c:pt>
                <c:pt idx="12">
                  <c:v>0.1</c:v>
                </c:pt>
                <c:pt idx="13">
                  <c:v>0.5</c:v>
                </c:pt>
                <c:pt idx="14">
                  <c:v>-0.9</c:v>
                </c:pt>
                <c:pt idx="15">
                  <c:v>1.6</c:v>
                </c:pt>
                <c:pt idx="16">
                  <c:v>0.9</c:v>
                </c:pt>
                <c:pt idx="17">
                  <c:v>2.7</c:v>
                </c:pt>
                <c:pt idx="18">
                  <c:v>1.7</c:v>
                </c:pt>
                <c:pt idx="19">
                  <c:v>2.6</c:v>
                </c:pt>
                <c:pt idx="20">
                  <c:v>3</c:v>
                </c:pt>
                <c:pt idx="21">
                  <c:v>1.8</c:v>
                </c:pt>
                <c:pt idx="22">
                  <c:v>1.6</c:v>
                </c:pt>
                <c:pt idx="23">
                  <c:v>0.8</c:v>
                </c:pt>
                <c:pt idx="24">
                  <c:v>0.8</c:v>
                </c:pt>
                <c:pt idx="25">
                  <c:v>0.8</c:v>
                </c:pt>
                <c:pt idx="26">
                  <c:v>1.5</c:v>
                </c:pt>
                <c:pt idx="27">
                  <c:v>2.4</c:v>
                </c:pt>
                <c:pt idx="28">
                  <c:v>0.9</c:v>
                </c:pt>
                <c:pt idx="29">
                  <c:v>1.1000000000000001</c:v>
                </c:pt>
                <c:pt idx="30">
                  <c:v>2.4</c:v>
                </c:pt>
                <c:pt idx="31">
                  <c:v>2.1</c:v>
                </c:pt>
                <c:pt idx="32">
                  <c:v>1.7</c:v>
                </c:pt>
                <c:pt idx="33">
                  <c:v>0.9</c:v>
                </c:pt>
                <c:pt idx="34">
                  <c:v>-0.3</c:v>
                </c:pt>
                <c:pt idx="35">
                  <c:v>-2.6</c:v>
                </c:pt>
                <c:pt idx="36">
                  <c:v>-2</c:v>
                </c:pt>
                <c:pt idx="37">
                  <c:v>-1.4</c:v>
                </c:pt>
                <c:pt idx="38">
                  <c:v>-2.9</c:v>
                </c:pt>
                <c:pt idx="39">
                  <c:v>-2.1</c:v>
                </c:pt>
                <c:pt idx="40">
                  <c:v>-3.1</c:v>
                </c:pt>
                <c:pt idx="41">
                  <c:v>-4</c:v>
                </c:pt>
                <c:pt idx="42">
                  <c:v>-3.5</c:v>
                </c:pt>
                <c:pt idx="43">
                  <c:v>-2.4</c:v>
                </c:pt>
                <c:pt idx="44">
                  <c:v>0.2</c:v>
                </c:pt>
                <c:pt idx="45">
                  <c:v>1.6</c:v>
                </c:pt>
                <c:pt idx="46">
                  <c:v>-2.5</c:v>
                </c:pt>
                <c:pt idx="47">
                  <c:v>-18.8</c:v>
                </c:pt>
                <c:pt idx="48">
                  <c:v>-14.4</c:v>
                </c:pt>
                <c:pt idx="49">
                  <c:v>-12.1</c:v>
                </c:pt>
                <c:pt idx="50" formatCode="General">
                  <c:v>-7</c:v>
                </c:pt>
                <c:pt idx="51" formatCode="General">
                  <c:v>-7.4</c:v>
                </c:pt>
              </c:numCache>
            </c:numRef>
          </c:val>
          <c:smooth val="0"/>
          <c:extLst>
            <c:ext xmlns:c16="http://schemas.microsoft.com/office/drawing/2014/chart" uri="{C3380CC4-5D6E-409C-BE32-E72D297353CC}">
              <c16:uniqueId val="{00000000-DA7E-4EB9-A9C1-E0C8719D29D5}"/>
            </c:ext>
          </c:extLst>
        </c:ser>
        <c:ser>
          <c:idx val="1"/>
          <c:order val="1"/>
          <c:tx>
            <c:strRef>
              <c:f>'[7_monit_FDP_2020_II_20200120_makro_P2.xlsx]KR020m'!$D$4</c:f>
              <c:strCache>
                <c:ptCount val="1"/>
                <c:pt idx="0">
                  <c:v>Būvniecība</c:v>
                </c:pt>
              </c:strCache>
            </c:strRef>
          </c:tx>
          <c:spPr>
            <a:ln w="28575" cap="rnd">
              <a:solidFill>
                <a:srgbClr val="953735"/>
              </a:solidFill>
              <a:round/>
            </a:ln>
            <a:effectLst/>
          </c:spPr>
          <c:marker>
            <c:symbol val="none"/>
          </c:marker>
          <c:cat>
            <c:multiLvlStrRef>
              <c:f>'[7_monit_FDP_2020_II_20200120_makro_P2.xlsx]KR020m'!$A$33:$B$84</c:f>
              <c:multiLvlStrCache>
                <c:ptCount val="52"/>
                <c:lvl>
                  <c:pt idx="0">
                    <c:v>5</c:v>
                  </c:pt>
                  <c:pt idx="1">
                    <c:v>6</c:v>
                  </c:pt>
                  <c:pt idx="2">
                    <c:v>7</c:v>
                  </c:pt>
                  <c:pt idx="3">
                    <c:v>8</c:v>
                  </c:pt>
                  <c:pt idx="4">
                    <c:v>9</c:v>
                  </c:pt>
                  <c:pt idx="5">
                    <c:v>10</c:v>
                  </c:pt>
                  <c:pt idx="6">
                    <c:v>11</c:v>
                  </c:pt>
                  <c:pt idx="7">
                    <c:v>12</c:v>
                  </c:pt>
                  <c:pt idx="8">
                    <c:v>1</c:v>
                  </c:pt>
                  <c:pt idx="9">
                    <c:v>2</c:v>
                  </c:pt>
                  <c:pt idx="10">
                    <c:v>3</c:v>
                  </c:pt>
                  <c:pt idx="11">
                    <c:v>4</c:v>
                  </c:pt>
                  <c:pt idx="12">
                    <c:v>5</c:v>
                  </c:pt>
                  <c:pt idx="13">
                    <c:v>6</c:v>
                  </c:pt>
                  <c:pt idx="14">
                    <c:v>7</c:v>
                  </c:pt>
                  <c:pt idx="15">
                    <c:v>8</c:v>
                  </c:pt>
                  <c:pt idx="16">
                    <c:v>9</c:v>
                  </c:pt>
                  <c:pt idx="17">
                    <c:v>10</c:v>
                  </c:pt>
                  <c:pt idx="18">
                    <c:v>11</c:v>
                  </c:pt>
                  <c:pt idx="19">
                    <c:v>12</c:v>
                  </c:pt>
                  <c:pt idx="20">
                    <c:v>1</c:v>
                  </c:pt>
                  <c:pt idx="21">
                    <c:v>2</c:v>
                  </c:pt>
                  <c:pt idx="22">
                    <c:v>3</c:v>
                  </c:pt>
                  <c:pt idx="23">
                    <c:v>4</c:v>
                  </c:pt>
                  <c:pt idx="24">
                    <c:v>5</c:v>
                  </c:pt>
                  <c:pt idx="25">
                    <c:v>6</c:v>
                  </c:pt>
                  <c:pt idx="26">
                    <c:v>7</c:v>
                  </c:pt>
                  <c:pt idx="27">
                    <c:v>8</c:v>
                  </c:pt>
                  <c:pt idx="28">
                    <c:v>9</c:v>
                  </c:pt>
                  <c:pt idx="29">
                    <c:v>10</c:v>
                  </c:pt>
                  <c:pt idx="30">
                    <c:v>11</c:v>
                  </c:pt>
                  <c:pt idx="31">
                    <c:v>12</c:v>
                  </c:pt>
                  <c:pt idx="32">
                    <c:v>1</c:v>
                  </c:pt>
                  <c:pt idx="33">
                    <c:v>2</c:v>
                  </c:pt>
                  <c:pt idx="34">
                    <c:v>3</c:v>
                  </c:pt>
                  <c:pt idx="35">
                    <c:v>4</c:v>
                  </c:pt>
                  <c:pt idx="36">
                    <c:v>5</c:v>
                  </c:pt>
                  <c:pt idx="37">
                    <c:v>6</c:v>
                  </c:pt>
                  <c:pt idx="38">
                    <c:v>7</c:v>
                  </c:pt>
                  <c:pt idx="39">
                    <c:v>8</c:v>
                  </c:pt>
                  <c:pt idx="40">
                    <c:v>9</c:v>
                  </c:pt>
                  <c:pt idx="41">
                    <c:v>10</c:v>
                  </c:pt>
                  <c:pt idx="42">
                    <c:v>11</c:v>
                  </c:pt>
                  <c:pt idx="43">
                    <c:v>12</c:v>
                  </c:pt>
                  <c:pt idx="44">
                    <c:v>1</c:v>
                  </c:pt>
                  <c:pt idx="45">
                    <c:v>2</c:v>
                  </c:pt>
                  <c:pt idx="46">
                    <c:v>3</c:v>
                  </c:pt>
                  <c:pt idx="47">
                    <c:v>4</c:v>
                  </c:pt>
                  <c:pt idx="48">
                    <c:v>5</c:v>
                  </c:pt>
                  <c:pt idx="49">
                    <c:v>6</c:v>
                  </c:pt>
                  <c:pt idx="50">
                    <c:v>7</c:v>
                  </c:pt>
                  <c:pt idx="51">
                    <c:v>8</c:v>
                  </c:pt>
                </c:lvl>
                <c:lvl>
                  <c:pt idx="0">
                    <c:v>2016</c:v>
                  </c:pt>
                  <c:pt idx="8">
                    <c:v>2017</c:v>
                  </c:pt>
                  <c:pt idx="20">
                    <c:v>2018</c:v>
                  </c:pt>
                  <c:pt idx="32">
                    <c:v>2019</c:v>
                  </c:pt>
                  <c:pt idx="44">
                    <c:v>2020</c:v>
                  </c:pt>
                </c:lvl>
              </c:multiLvlStrCache>
            </c:multiLvlStrRef>
          </c:cat>
          <c:val>
            <c:numRef>
              <c:f>'[7_monit_FDP_2020_II_20200120_makro_P2.xlsx]KR020m'!$D$33:$D$84</c:f>
              <c:numCache>
                <c:formatCode>0.0</c:formatCode>
                <c:ptCount val="52"/>
                <c:pt idx="0">
                  <c:v>-36.4</c:v>
                </c:pt>
                <c:pt idx="1">
                  <c:v>-36.700000000000003</c:v>
                </c:pt>
                <c:pt idx="2">
                  <c:v>-35.9</c:v>
                </c:pt>
                <c:pt idx="3">
                  <c:v>-32.799999999999997</c:v>
                </c:pt>
                <c:pt idx="4">
                  <c:v>-30.2</c:v>
                </c:pt>
                <c:pt idx="5">
                  <c:v>-29.8</c:v>
                </c:pt>
                <c:pt idx="6">
                  <c:v>-27.6</c:v>
                </c:pt>
                <c:pt idx="7">
                  <c:v>-24.4</c:v>
                </c:pt>
                <c:pt idx="8">
                  <c:v>-21.2</c:v>
                </c:pt>
                <c:pt idx="9">
                  <c:v>-16.899999999999999</c:v>
                </c:pt>
                <c:pt idx="10">
                  <c:v>-19</c:v>
                </c:pt>
                <c:pt idx="11">
                  <c:v>-17.100000000000001</c:v>
                </c:pt>
                <c:pt idx="12">
                  <c:v>-11.4</c:v>
                </c:pt>
                <c:pt idx="13">
                  <c:v>-13</c:v>
                </c:pt>
                <c:pt idx="14">
                  <c:v>-10.199999999999999</c:v>
                </c:pt>
                <c:pt idx="15">
                  <c:v>-11.9</c:v>
                </c:pt>
                <c:pt idx="16">
                  <c:v>-9.6</c:v>
                </c:pt>
                <c:pt idx="17">
                  <c:v>-7.4</c:v>
                </c:pt>
                <c:pt idx="18">
                  <c:v>-5.0999999999999996</c:v>
                </c:pt>
                <c:pt idx="19">
                  <c:v>-0.6</c:v>
                </c:pt>
                <c:pt idx="20">
                  <c:v>-1.7</c:v>
                </c:pt>
                <c:pt idx="21">
                  <c:v>-1.2</c:v>
                </c:pt>
                <c:pt idx="22">
                  <c:v>-3.5</c:v>
                </c:pt>
                <c:pt idx="23">
                  <c:v>-2.8</c:v>
                </c:pt>
                <c:pt idx="24">
                  <c:v>-1.2</c:v>
                </c:pt>
                <c:pt idx="25">
                  <c:v>-0.5</c:v>
                </c:pt>
                <c:pt idx="26">
                  <c:v>-1.1000000000000001</c:v>
                </c:pt>
                <c:pt idx="27">
                  <c:v>-0.6</c:v>
                </c:pt>
                <c:pt idx="28">
                  <c:v>0.7</c:v>
                </c:pt>
                <c:pt idx="29">
                  <c:v>0</c:v>
                </c:pt>
                <c:pt idx="30">
                  <c:v>-0.8</c:v>
                </c:pt>
                <c:pt idx="31">
                  <c:v>0.6</c:v>
                </c:pt>
                <c:pt idx="32">
                  <c:v>-1</c:v>
                </c:pt>
                <c:pt idx="33">
                  <c:v>-2.1</c:v>
                </c:pt>
                <c:pt idx="34">
                  <c:v>1.8</c:v>
                </c:pt>
                <c:pt idx="35">
                  <c:v>-0.5</c:v>
                </c:pt>
                <c:pt idx="36">
                  <c:v>-2.6</c:v>
                </c:pt>
                <c:pt idx="37">
                  <c:v>-4.4000000000000004</c:v>
                </c:pt>
                <c:pt idx="38">
                  <c:v>-9.3000000000000007</c:v>
                </c:pt>
                <c:pt idx="39">
                  <c:v>-9.1999999999999993</c:v>
                </c:pt>
                <c:pt idx="40">
                  <c:v>-9.9</c:v>
                </c:pt>
                <c:pt idx="41">
                  <c:v>-10.6</c:v>
                </c:pt>
                <c:pt idx="42">
                  <c:v>-10.1</c:v>
                </c:pt>
                <c:pt idx="43">
                  <c:v>-9.3000000000000007</c:v>
                </c:pt>
                <c:pt idx="44">
                  <c:v>-10.7</c:v>
                </c:pt>
                <c:pt idx="45">
                  <c:v>-10.7</c:v>
                </c:pt>
                <c:pt idx="46">
                  <c:v>-18</c:v>
                </c:pt>
                <c:pt idx="47">
                  <c:v>-32.5</c:v>
                </c:pt>
                <c:pt idx="48">
                  <c:v>-33.1</c:v>
                </c:pt>
                <c:pt idx="49">
                  <c:v>-24.3</c:v>
                </c:pt>
                <c:pt idx="50" formatCode="General">
                  <c:v>-22.9</c:v>
                </c:pt>
                <c:pt idx="51" formatCode="General">
                  <c:v>-19.100000000000001</c:v>
                </c:pt>
              </c:numCache>
            </c:numRef>
          </c:val>
          <c:smooth val="0"/>
          <c:extLst>
            <c:ext xmlns:c16="http://schemas.microsoft.com/office/drawing/2014/chart" uri="{C3380CC4-5D6E-409C-BE32-E72D297353CC}">
              <c16:uniqueId val="{00000001-DA7E-4EB9-A9C1-E0C8719D29D5}"/>
            </c:ext>
          </c:extLst>
        </c:ser>
        <c:ser>
          <c:idx val="2"/>
          <c:order val="2"/>
          <c:tx>
            <c:strRef>
              <c:f>'[7_monit_FDP_2020_II_20200120_makro_P2.xlsx]KR020m'!$E$4</c:f>
              <c:strCache>
                <c:ptCount val="1"/>
                <c:pt idx="0">
                  <c:v>Mazumtirdzniecība</c:v>
                </c:pt>
              </c:strCache>
            </c:strRef>
          </c:tx>
          <c:spPr>
            <a:ln w="28575" cap="rnd">
              <a:solidFill>
                <a:srgbClr val="4F81BD"/>
              </a:solidFill>
              <a:round/>
            </a:ln>
            <a:effectLst/>
          </c:spPr>
          <c:marker>
            <c:symbol val="none"/>
          </c:marker>
          <c:cat>
            <c:multiLvlStrRef>
              <c:f>'[7_monit_FDP_2020_II_20200120_makro_P2.xlsx]KR020m'!$A$33:$B$84</c:f>
              <c:multiLvlStrCache>
                <c:ptCount val="52"/>
                <c:lvl>
                  <c:pt idx="0">
                    <c:v>5</c:v>
                  </c:pt>
                  <c:pt idx="1">
                    <c:v>6</c:v>
                  </c:pt>
                  <c:pt idx="2">
                    <c:v>7</c:v>
                  </c:pt>
                  <c:pt idx="3">
                    <c:v>8</c:v>
                  </c:pt>
                  <c:pt idx="4">
                    <c:v>9</c:v>
                  </c:pt>
                  <c:pt idx="5">
                    <c:v>10</c:v>
                  </c:pt>
                  <c:pt idx="6">
                    <c:v>11</c:v>
                  </c:pt>
                  <c:pt idx="7">
                    <c:v>12</c:v>
                  </c:pt>
                  <c:pt idx="8">
                    <c:v>1</c:v>
                  </c:pt>
                  <c:pt idx="9">
                    <c:v>2</c:v>
                  </c:pt>
                  <c:pt idx="10">
                    <c:v>3</c:v>
                  </c:pt>
                  <c:pt idx="11">
                    <c:v>4</c:v>
                  </c:pt>
                  <c:pt idx="12">
                    <c:v>5</c:v>
                  </c:pt>
                  <c:pt idx="13">
                    <c:v>6</c:v>
                  </c:pt>
                  <c:pt idx="14">
                    <c:v>7</c:v>
                  </c:pt>
                  <c:pt idx="15">
                    <c:v>8</c:v>
                  </c:pt>
                  <c:pt idx="16">
                    <c:v>9</c:v>
                  </c:pt>
                  <c:pt idx="17">
                    <c:v>10</c:v>
                  </c:pt>
                  <c:pt idx="18">
                    <c:v>11</c:v>
                  </c:pt>
                  <c:pt idx="19">
                    <c:v>12</c:v>
                  </c:pt>
                  <c:pt idx="20">
                    <c:v>1</c:v>
                  </c:pt>
                  <c:pt idx="21">
                    <c:v>2</c:v>
                  </c:pt>
                  <c:pt idx="22">
                    <c:v>3</c:v>
                  </c:pt>
                  <c:pt idx="23">
                    <c:v>4</c:v>
                  </c:pt>
                  <c:pt idx="24">
                    <c:v>5</c:v>
                  </c:pt>
                  <c:pt idx="25">
                    <c:v>6</c:v>
                  </c:pt>
                  <c:pt idx="26">
                    <c:v>7</c:v>
                  </c:pt>
                  <c:pt idx="27">
                    <c:v>8</c:v>
                  </c:pt>
                  <c:pt idx="28">
                    <c:v>9</c:v>
                  </c:pt>
                  <c:pt idx="29">
                    <c:v>10</c:v>
                  </c:pt>
                  <c:pt idx="30">
                    <c:v>11</c:v>
                  </c:pt>
                  <c:pt idx="31">
                    <c:v>12</c:v>
                  </c:pt>
                  <c:pt idx="32">
                    <c:v>1</c:v>
                  </c:pt>
                  <c:pt idx="33">
                    <c:v>2</c:v>
                  </c:pt>
                  <c:pt idx="34">
                    <c:v>3</c:v>
                  </c:pt>
                  <c:pt idx="35">
                    <c:v>4</c:v>
                  </c:pt>
                  <c:pt idx="36">
                    <c:v>5</c:v>
                  </c:pt>
                  <c:pt idx="37">
                    <c:v>6</c:v>
                  </c:pt>
                  <c:pt idx="38">
                    <c:v>7</c:v>
                  </c:pt>
                  <c:pt idx="39">
                    <c:v>8</c:v>
                  </c:pt>
                  <c:pt idx="40">
                    <c:v>9</c:v>
                  </c:pt>
                  <c:pt idx="41">
                    <c:v>10</c:v>
                  </c:pt>
                  <c:pt idx="42">
                    <c:v>11</c:v>
                  </c:pt>
                  <c:pt idx="43">
                    <c:v>12</c:v>
                  </c:pt>
                  <c:pt idx="44">
                    <c:v>1</c:v>
                  </c:pt>
                  <c:pt idx="45">
                    <c:v>2</c:v>
                  </c:pt>
                  <c:pt idx="46">
                    <c:v>3</c:v>
                  </c:pt>
                  <c:pt idx="47">
                    <c:v>4</c:v>
                  </c:pt>
                  <c:pt idx="48">
                    <c:v>5</c:v>
                  </c:pt>
                  <c:pt idx="49">
                    <c:v>6</c:v>
                  </c:pt>
                  <c:pt idx="50">
                    <c:v>7</c:v>
                  </c:pt>
                  <c:pt idx="51">
                    <c:v>8</c:v>
                  </c:pt>
                </c:lvl>
                <c:lvl>
                  <c:pt idx="0">
                    <c:v>2016</c:v>
                  </c:pt>
                  <c:pt idx="8">
                    <c:v>2017</c:v>
                  </c:pt>
                  <c:pt idx="20">
                    <c:v>2018</c:v>
                  </c:pt>
                  <c:pt idx="32">
                    <c:v>2019</c:v>
                  </c:pt>
                  <c:pt idx="44">
                    <c:v>2020</c:v>
                  </c:pt>
                </c:lvl>
              </c:multiLvlStrCache>
            </c:multiLvlStrRef>
          </c:cat>
          <c:val>
            <c:numRef>
              <c:f>'[7_monit_FDP_2020_II_20200120_makro_P2.xlsx]KR020m'!$E$33:$E$84</c:f>
              <c:numCache>
                <c:formatCode>0.0</c:formatCode>
                <c:ptCount val="52"/>
                <c:pt idx="0">
                  <c:v>10.199999999999999</c:v>
                </c:pt>
                <c:pt idx="1">
                  <c:v>7.9</c:v>
                </c:pt>
                <c:pt idx="2">
                  <c:v>7.9</c:v>
                </c:pt>
                <c:pt idx="3">
                  <c:v>5.2</c:v>
                </c:pt>
                <c:pt idx="4">
                  <c:v>7.8</c:v>
                </c:pt>
                <c:pt idx="5">
                  <c:v>5.2</c:v>
                </c:pt>
                <c:pt idx="6">
                  <c:v>4.5</c:v>
                </c:pt>
                <c:pt idx="7">
                  <c:v>4.5</c:v>
                </c:pt>
                <c:pt idx="8">
                  <c:v>4.9000000000000004</c:v>
                </c:pt>
                <c:pt idx="9">
                  <c:v>8.5</c:v>
                </c:pt>
                <c:pt idx="10">
                  <c:v>6.6</c:v>
                </c:pt>
                <c:pt idx="11">
                  <c:v>9.5</c:v>
                </c:pt>
                <c:pt idx="12">
                  <c:v>5.7</c:v>
                </c:pt>
                <c:pt idx="13">
                  <c:v>5.0999999999999996</c:v>
                </c:pt>
                <c:pt idx="14">
                  <c:v>5.4</c:v>
                </c:pt>
                <c:pt idx="15">
                  <c:v>5.6</c:v>
                </c:pt>
                <c:pt idx="16">
                  <c:v>5.5</c:v>
                </c:pt>
                <c:pt idx="17">
                  <c:v>4.9000000000000004</c:v>
                </c:pt>
                <c:pt idx="18">
                  <c:v>3.5</c:v>
                </c:pt>
                <c:pt idx="19">
                  <c:v>5.7</c:v>
                </c:pt>
                <c:pt idx="20">
                  <c:v>7.9</c:v>
                </c:pt>
                <c:pt idx="21">
                  <c:v>9</c:v>
                </c:pt>
                <c:pt idx="22">
                  <c:v>5.7</c:v>
                </c:pt>
                <c:pt idx="23">
                  <c:v>7.1</c:v>
                </c:pt>
                <c:pt idx="24">
                  <c:v>8.4</c:v>
                </c:pt>
                <c:pt idx="25">
                  <c:v>8.8000000000000007</c:v>
                </c:pt>
                <c:pt idx="26">
                  <c:v>9.1</c:v>
                </c:pt>
                <c:pt idx="27">
                  <c:v>6.7</c:v>
                </c:pt>
                <c:pt idx="28">
                  <c:v>6.1</c:v>
                </c:pt>
                <c:pt idx="29">
                  <c:v>6.6</c:v>
                </c:pt>
                <c:pt idx="30">
                  <c:v>6.1</c:v>
                </c:pt>
                <c:pt idx="31">
                  <c:v>9</c:v>
                </c:pt>
                <c:pt idx="32">
                  <c:v>5.0999999999999996</c:v>
                </c:pt>
                <c:pt idx="33">
                  <c:v>4.4000000000000004</c:v>
                </c:pt>
                <c:pt idx="34">
                  <c:v>4</c:v>
                </c:pt>
                <c:pt idx="35">
                  <c:v>6.8</c:v>
                </c:pt>
                <c:pt idx="36">
                  <c:v>3.9</c:v>
                </c:pt>
                <c:pt idx="37">
                  <c:v>6.4</c:v>
                </c:pt>
                <c:pt idx="38">
                  <c:v>6.1</c:v>
                </c:pt>
                <c:pt idx="39">
                  <c:v>6.2</c:v>
                </c:pt>
                <c:pt idx="40">
                  <c:v>7.1</c:v>
                </c:pt>
                <c:pt idx="41">
                  <c:v>6.1</c:v>
                </c:pt>
                <c:pt idx="42">
                  <c:v>5.5</c:v>
                </c:pt>
                <c:pt idx="43">
                  <c:v>6.3</c:v>
                </c:pt>
                <c:pt idx="44">
                  <c:v>8.1</c:v>
                </c:pt>
                <c:pt idx="45">
                  <c:v>5.0999999999999996</c:v>
                </c:pt>
                <c:pt idx="46">
                  <c:v>-3.9</c:v>
                </c:pt>
                <c:pt idx="47">
                  <c:v>-26.4</c:v>
                </c:pt>
                <c:pt idx="48">
                  <c:v>-22.5</c:v>
                </c:pt>
                <c:pt idx="49">
                  <c:v>-14.2</c:v>
                </c:pt>
                <c:pt idx="50" formatCode="General">
                  <c:v>-5.6</c:v>
                </c:pt>
                <c:pt idx="51" formatCode="General">
                  <c:v>1.8</c:v>
                </c:pt>
              </c:numCache>
            </c:numRef>
          </c:val>
          <c:smooth val="0"/>
          <c:extLst>
            <c:ext xmlns:c16="http://schemas.microsoft.com/office/drawing/2014/chart" uri="{C3380CC4-5D6E-409C-BE32-E72D297353CC}">
              <c16:uniqueId val="{00000002-DA7E-4EB9-A9C1-E0C8719D29D5}"/>
            </c:ext>
          </c:extLst>
        </c:ser>
        <c:ser>
          <c:idx val="3"/>
          <c:order val="3"/>
          <c:tx>
            <c:strRef>
              <c:f>'[7_monit_FDP_2020_II_20200120_makro_P2.xlsx]KR020m'!$F$4</c:f>
              <c:strCache>
                <c:ptCount val="1"/>
                <c:pt idx="0">
                  <c:v>Pakalpojumi</c:v>
                </c:pt>
              </c:strCache>
            </c:strRef>
          </c:tx>
          <c:spPr>
            <a:ln w="28575" cap="rnd">
              <a:solidFill>
                <a:srgbClr val="9BBB59"/>
              </a:solidFill>
              <a:round/>
            </a:ln>
            <a:effectLst/>
          </c:spPr>
          <c:marker>
            <c:symbol val="none"/>
          </c:marker>
          <c:cat>
            <c:multiLvlStrRef>
              <c:f>'[7_monit_FDP_2020_II_20200120_makro_P2.xlsx]KR020m'!$A$33:$B$84</c:f>
              <c:multiLvlStrCache>
                <c:ptCount val="52"/>
                <c:lvl>
                  <c:pt idx="0">
                    <c:v>5</c:v>
                  </c:pt>
                  <c:pt idx="1">
                    <c:v>6</c:v>
                  </c:pt>
                  <c:pt idx="2">
                    <c:v>7</c:v>
                  </c:pt>
                  <c:pt idx="3">
                    <c:v>8</c:v>
                  </c:pt>
                  <c:pt idx="4">
                    <c:v>9</c:v>
                  </c:pt>
                  <c:pt idx="5">
                    <c:v>10</c:v>
                  </c:pt>
                  <c:pt idx="6">
                    <c:v>11</c:v>
                  </c:pt>
                  <c:pt idx="7">
                    <c:v>12</c:v>
                  </c:pt>
                  <c:pt idx="8">
                    <c:v>1</c:v>
                  </c:pt>
                  <c:pt idx="9">
                    <c:v>2</c:v>
                  </c:pt>
                  <c:pt idx="10">
                    <c:v>3</c:v>
                  </c:pt>
                  <c:pt idx="11">
                    <c:v>4</c:v>
                  </c:pt>
                  <c:pt idx="12">
                    <c:v>5</c:v>
                  </c:pt>
                  <c:pt idx="13">
                    <c:v>6</c:v>
                  </c:pt>
                  <c:pt idx="14">
                    <c:v>7</c:v>
                  </c:pt>
                  <c:pt idx="15">
                    <c:v>8</c:v>
                  </c:pt>
                  <c:pt idx="16">
                    <c:v>9</c:v>
                  </c:pt>
                  <c:pt idx="17">
                    <c:v>10</c:v>
                  </c:pt>
                  <c:pt idx="18">
                    <c:v>11</c:v>
                  </c:pt>
                  <c:pt idx="19">
                    <c:v>12</c:v>
                  </c:pt>
                  <c:pt idx="20">
                    <c:v>1</c:v>
                  </c:pt>
                  <c:pt idx="21">
                    <c:v>2</c:v>
                  </c:pt>
                  <c:pt idx="22">
                    <c:v>3</c:v>
                  </c:pt>
                  <c:pt idx="23">
                    <c:v>4</c:v>
                  </c:pt>
                  <c:pt idx="24">
                    <c:v>5</c:v>
                  </c:pt>
                  <c:pt idx="25">
                    <c:v>6</c:v>
                  </c:pt>
                  <c:pt idx="26">
                    <c:v>7</c:v>
                  </c:pt>
                  <c:pt idx="27">
                    <c:v>8</c:v>
                  </c:pt>
                  <c:pt idx="28">
                    <c:v>9</c:v>
                  </c:pt>
                  <c:pt idx="29">
                    <c:v>10</c:v>
                  </c:pt>
                  <c:pt idx="30">
                    <c:v>11</c:v>
                  </c:pt>
                  <c:pt idx="31">
                    <c:v>12</c:v>
                  </c:pt>
                  <c:pt idx="32">
                    <c:v>1</c:v>
                  </c:pt>
                  <c:pt idx="33">
                    <c:v>2</c:v>
                  </c:pt>
                  <c:pt idx="34">
                    <c:v>3</c:v>
                  </c:pt>
                  <c:pt idx="35">
                    <c:v>4</c:v>
                  </c:pt>
                  <c:pt idx="36">
                    <c:v>5</c:v>
                  </c:pt>
                  <c:pt idx="37">
                    <c:v>6</c:v>
                  </c:pt>
                  <c:pt idx="38">
                    <c:v>7</c:v>
                  </c:pt>
                  <c:pt idx="39">
                    <c:v>8</c:v>
                  </c:pt>
                  <c:pt idx="40">
                    <c:v>9</c:v>
                  </c:pt>
                  <c:pt idx="41">
                    <c:v>10</c:v>
                  </c:pt>
                  <c:pt idx="42">
                    <c:v>11</c:v>
                  </c:pt>
                  <c:pt idx="43">
                    <c:v>12</c:v>
                  </c:pt>
                  <c:pt idx="44">
                    <c:v>1</c:v>
                  </c:pt>
                  <c:pt idx="45">
                    <c:v>2</c:v>
                  </c:pt>
                  <c:pt idx="46">
                    <c:v>3</c:v>
                  </c:pt>
                  <c:pt idx="47">
                    <c:v>4</c:v>
                  </c:pt>
                  <c:pt idx="48">
                    <c:v>5</c:v>
                  </c:pt>
                  <c:pt idx="49">
                    <c:v>6</c:v>
                  </c:pt>
                  <c:pt idx="50">
                    <c:v>7</c:v>
                  </c:pt>
                  <c:pt idx="51">
                    <c:v>8</c:v>
                  </c:pt>
                </c:lvl>
                <c:lvl>
                  <c:pt idx="0">
                    <c:v>2016</c:v>
                  </c:pt>
                  <c:pt idx="8">
                    <c:v>2017</c:v>
                  </c:pt>
                  <c:pt idx="20">
                    <c:v>2018</c:v>
                  </c:pt>
                  <c:pt idx="32">
                    <c:v>2019</c:v>
                  </c:pt>
                  <c:pt idx="44">
                    <c:v>2020</c:v>
                  </c:pt>
                </c:lvl>
              </c:multiLvlStrCache>
            </c:multiLvlStrRef>
          </c:cat>
          <c:val>
            <c:numRef>
              <c:f>'[7_monit_FDP_2020_II_20200120_makro_P2.xlsx]KR020m'!$F$33:$F$84</c:f>
              <c:numCache>
                <c:formatCode>0.0</c:formatCode>
                <c:ptCount val="52"/>
                <c:pt idx="0">
                  <c:v>7.3</c:v>
                </c:pt>
                <c:pt idx="1">
                  <c:v>7</c:v>
                </c:pt>
                <c:pt idx="2">
                  <c:v>7.2</c:v>
                </c:pt>
                <c:pt idx="3">
                  <c:v>4.5999999999999996</c:v>
                </c:pt>
                <c:pt idx="4">
                  <c:v>5.5</c:v>
                </c:pt>
                <c:pt idx="5">
                  <c:v>4.8</c:v>
                </c:pt>
                <c:pt idx="6">
                  <c:v>5.0999999999999996</c:v>
                </c:pt>
                <c:pt idx="7">
                  <c:v>6.5</c:v>
                </c:pt>
                <c:pt idx="8">
                  <c:v>5.0999999999999996</c:v>
                </c:pt>
                <c:pt idx="9">
                  <c:v>7.4</c:v>
                </c:pt>
                <c:pt idx="10">
                  <c:v>6.8</c:v>
                </c:pt>
                <c:pt idx="11">
                  <c:v>7.4</c:v>
                </c:pt>
                <c:pt idx="12">
                  <c:v>6.5</c:v>
                </c:pt>
                <c:pt idx="13">
                  <c:v>6.4</c:v>
                </c:pt>
                <c:pt idx="14">
                  <c:v>5.3</c:v>
                </c:pt>
                <c:pt idx="15">
                  <c:v>6.4</c:v>
                </c:pt>
                <c:pt idx="16">
                  <c:v>7.1</c:v>
                </c:pt>
                <c:pt idx="17">
                  <c:v>7.6</c:v>
                </c:pt>
                <c:pt idx="18">
                  <c:v>8.1</c:v>
                </c:pt>
                <c:pt idx="19">
                  <c:v>8.6</c:v>
                </c:pt>
                <c:pt idx="20">
                  <c:v>7.5</c:v>
                </c:pt>
                <c:pt idx="21">
                  <c:v>6.1</c:v>
                </c:pt>
                <c:pt idx="22">
                  <c:v>3.8</c:v>
                </c:pt>
                <c:pt idx="23">
                  <c:v>1.1000000000000001</c:v>
                </c:pt>
                <c:pt idx="24">
                  <c:v>2.7</c:v>
                </c:pt>
                <c:pt idx="25">
                  <c:v>4</c:v>
                </c:pt>
                <c:pt idx="26">
                  <c:v>3.1</c:v>
                </c:pt>
                <c:pt idx="27">
                  <c:v>4</c:v>
                </c:pt>
                <c:pt idx="28">
                  <c:v>5.8</c:v>
                </c:pt>
                <c:pt idx="29">
                  <c:v>5.3</c:v>
                </c:pt>
                <c:pt idx="30">
                  <c:v>5.5</c:v>
                </c:pt>
                <c:pt idx="31">
                  <c:v>7.6</c:v>
                </c:pt>
                <c:pt idx="32">
                  <c:v>6.7</c:v>
                </c:pt>
                <c:pt idx="33">
                  <c:v>5.5</c:v>
                </c:pt>
                <c:pt idx="34">
                  <c:v>8.1999999999999993</c:v>
                </c:pt>
                <c:pt idx="35">
                  <c:v>6.7</c:v>
                </c:pt>
                <c:pt idx="36">
                  <c:v>4.7</c:v>
                </c:pt>
                <c:pt idx="37">
                  <c:v>5.2</c:v>
                </c:pt>
                <c:pt idx="38">
                  <c:v>5</c:v>
                </c:pt>
                <c:pt idx="39">
                  <c:v>4.5999999999999996</c:v>
                </c:pt>
                <c:pt idx="40">
                  <c:v>7.2</c:v>
                </c:pt>
                <c:pt idx="41">
                  <c:v>3.5</c:v>
                </c:pt>
                <c:pt idx="42">
                  <c:v>5.0999999999999996</c:v>
                </c:pt>
                <c:pt idx="43">
                  <c:v>3.1</c:v>
                </c:pt>
                <c:pt idx="44">
                  <c:v>5.4</c:v>
                </c:pt>
                <c:pt idx="45">
                  <c:v>2.2000000000000002</c:v>
                </c:pt>
                <c:pt idx="46">
                  <c:v>-5.8</c:v>
                </c:pt>
                <c:pt idx="47">
                  <c:v>-33.700000000000003</c:v>
                </c:pt>
                <c:pt idx="48">
                  <c:v>-37.4</c:v>
                </c:pt>
                <c:pt idx="49">
                  <c:v>-30.4</c:v>
                </c:pt>
                <c:pt idx="50" formatCode="General">
                  <c:v>-24.6</c:v>
                </c:pt>
                <c:pt idx="51" formatCode="General">
                  <c:v>-13.9</c:v>
                </c:pt>
              </c:numCache>
            </c:numRef>
          </c:val>
          <c:smooth val="0"/>
          <c:extLst>
            <c:ext xmlns:c16="http://schemas.microsoft.com/office/drawing/2014/chart" uri="{C3380CC4-5D6E-409C-BE32-E72D297353CC}">
              <c16:uniqueId val="{00000003-DA7E-4EB9-A9C1-E0C8719D29D5}"/>
            </c:ext>
          </c:extLst>
        </c:ser>
        <c:ser>
          <c:idx val="4"/>
          <c:order val="4"/>
          <c:tx>
            <c:strRef>
              <c:f>'[7_monit_FDP_2020_II_20200120_makro_P2.xlsx]KR020m'!$G$4</c:f>
              <c:strCache>
                <c:ptCount val="1"/>
                <c:pt idx="0">
                  <c:v>Patērētāji</c:v>
                </c:pt>
              </c:strCache>
            </c:strRef>
          </c:tx>
          <c:spPr>
            <a:ln w="28575" cap="rnd">
              <a:solidFill>
                <a:srgbClr val="F79646"/>
              </a:solidFill>
              <a:round/>
            </a:ln>
            <a:effectLst/>
          </c:spPr>
          <c:marker>
            <c:symbol val="none"/>
          </c:marker>
          <c:cat>
            <c:multiLvlStrRef>
              <c:f>'[7_monit_FDP_2020_II_20200120_makro_P2.xlsx]KR020m'!$A$33:$B$84</c:f>
              <c:multiLvlStrCache>
                <c:ptCount val="52"/>
                <c:lvl>
                  <c:pt idx="0">
                    <c:v>5</c:v>
                  </c:pt>
                  <c:pt idx="1">
                    <c:v>6</c:v>
                  </c:pt>
                  <c:pt idx="2">
                    <c:v>7</c:v>
                  </c:pt>
                  <c:pt idx="3">
                    <c:v>8</c:v>
                  </c:pt>
                  <c:pt idx="4">
                    <c:v>9</c:v>
                  </c:pt>
                  <c:pt idx="5">
                    <c:v>10</c:v>
                  </c:pt>
                  <c:pt idx="6">
                    <c:v>11</c:v>
                  </c:pt>
                  <c:pt idx="7">
                    <c:v>12</c:v>
                  </c:pt>
                  <c:pt idx="8">
                    <c:v>1</c:v>
                  </c:pt>
                  <c:pt idx="9">
                    <c:v>2</c:v>
                  </c:pt>
                  <c:pt idx="10">
                    <c:v>3</c:v>
                  </c:pt>
                  <c:pt idx="11">
                    <c:v>4</c:v>
                  </c:pt>
                  <c:pt idx="12">
                    <c:v>5</c:v>
                  </c:pt>
                  <c:pt idx="13">
                    <c:v>6</c:v>
                  </c:pt>
                  <c:pt idx="14">
                    <c:v>7</c:v>
                  </c:pt>
                  <c:pt idx="15">
                    <c:v>8</c:v>
                  </c:pt>
                  <c:pt idx="16">
                    <c:v>9</c:v>
                  </c:pt>
                  <c:pt idx="17">
                    <c:v>10</c:v>
                  </c:pt>
                  <c:pt idx="18">
                    <c:v>11</c:v>
                  </c:pt>
                  <c:pt idx="19">
                    <c:v>12</c:v>
                  </c:pt>
                  <c:pt idx="20">
                    <c:v>1</c:v>
                  </c:pt>
                  <c:pt idx="21">
                    <c:v>2</c:v>
                  </c:pt>
                  <c:pt idx="22">
                    <c:v>3</c:v>
                  </c:pt>
                  <c:pt idx="23">
                    <c:v>4</c:v>
                  </c:pt>
                  <c:pt idx="24">
                    <c:v>5</c:v>
                  </c:pt>
                  <c:pt idx="25">
                    <c:v>6</c:v>
                  </c:pt>
                  <c:pt idx="26">
                    <c:v>7</c:v>
                  </c:pt>
                  <c:pt idx="27">
                    <c:v>8</c:v>
                  </c:pt>
                  <c:pt idx="28">
                    <c:v>9</c:v>
                  </c:pt>
                  <c:pt idx="29">
                    <c:v>10</c:v>
                  </c:pt>
                  <c:pt idx="30">
                    <c:v>11</c:v>
                  </c:pt>
                  <c:pt idx="31">
                    <c:v>12</c:v>
                  </c:pt>
                  <c:pt idx="32">
                    <c:v>1</c:v>
                  </c:pt>
                  <c:pt idx="33">
                    <c:v>2</c:v>
                  </c:pt>
                  <c:pt idx="34">
                    <c:v>3</c:v>
                  </c:pt>
                  <c:pt idx="35">
                    <c:v>4</c:v>
                  </c:pt>
                  <c:pt idx="36">
                    <c:v>5</c:v>
                  </c:pt>
                  <c:pt idx="37">
                    <c:v>6</c:v>
                  </c:pt>
                  <c:pt idx="38">
                    <c:v>7</c:v>
                  </c:pt>
                  <c:pt idx="39">
                    <c:v>8</c:v>
                  </c:pt>
                  <c:pt idx="40">
                    <c:v>9</c:v>
                  </c:pt>
                  <c:pt idx="41">
                    <c:v>10</c:v>
                  </c:pt>
                  <c:pt idx="42">
                    <c:v>11</c:v>
                  </c:pt>
                  <c:pt idx="43">
                    <c:v>12</c:v>
                  </c:pt>
                  <c:pt idx="44">
                    <c:v>1</c:v>
                  </c:pt>
                  <c:pt idx="45">
                    <c:v>2</c:v>
                  </c:pt>
                  <c:pt idx="46">
                    <c:v>3</c:v>
                  </c:pt>
                  <c:pt idx="47">
                    <c:v>4</c:v>
                  </c:pt>
                  <c:pt idx="48">
                    <c:v>5</c:v>
                  </c:pt>
                  <c:pt idx="49">
                    <c:v>6</c:v>
                  </c:pt>
                  <c:pt idx="50">
                    <c:v>7</c:v>
                  </c:pt>
                  <c:pt idx="51">
                    <c:v>8</c:v>
                  </c:pt>
                </c:lvl>
                <c:lvl>
                  <c:pt idx="0">
                    <c:v>2016</c:v>
                  </c:pt>
                  <c:pt idx="8">
                    <c:v>2017</c:v>
                  </c:pt>
                  <c:pt idx="20">
                    <c:v>2018</c:v>
                  </c:pt>
                  <c:pt idx="32">
                    <c:v>2019</c:v>
                  </c:pt>
                  <c:pt idx="44">
                    <c:v>2020</c:v>
                  </c:pt>
                </c:lvl>
              </c:multiLvlStrCache>
            </c:multiLvlStrRef>
          </c:cat>
          <c:val>
            <c:numRef>
              <c:f>'[7_monit_FDP_2020_II_20200120_makro_P2.xlsx]KR020m'!$G$33:$G$84</c:f>
              <c:numCache>
                <c:formatCode>0.0</c:formatCode>
                <c:ptCount val="52"/>
                <c:pt idx="0">
                  <c:v>-4.5999999999999996</c:v>
                </c:pt>
                <c:pt idx="1">
                  <c:v>-3</c:v>
                </c:pt>
                <c:pt idx="2">
                  <c:v>-1.2</c:v>
                </c:pt>
                <c:pt idx="3">
                  <c:v>-4</c:v>
                </c:pt>
                <c:pt idx="4">
                  <c:v>-2.4</c:v>
                </c:pt>
                <c:pt idx="5">
                  <c:v>-6.3</c:v>
                </c:pt>
                <c:pt idx="6">
                  <c:v>-7</c:v>
                </c:pt>
                <c:pt idx="7">
                  <c:v>-11.3</c:v>
                </c:pt>
                <c:pt idx="8">
                  <c:v>-11.3</c:v>
                </c:pt>
                <c:pt idx="9">
                  <c:v>-11.3</c:v>
                </c:pt>
                <c:pt idx="10">
                  <c:v>-8.1</c:v>
                </c:pt>
                <c:pt idx="11">
                  <c:v>-8.5</c:v>
                </c:pt>
                <c:pt idx="12">
                  <c:v>-8.6</c:v>
                </c:pt>
                <c:pt idx="13">
                  <c:v>-5.8</c:v>
                </c:pt>
                <c:pt idx="14">
                  <c:v>-4.3</c:v>
                </c:pt>
                <c:pt idx="15">
                  <c:v>-7.5</c:v>
                </c:pt>
                <c:pt idx="16">
                  <c:v>-4.2</c:v>
                </c:pt>
                <c:pt idx="17">
                  <c:v>-5.0999999999999996</c:v>
                </c:pt>
                <c:pt idx="18">
                  <c:v>-5.0999999999999996</c:v>
                </c:pt>
                <c:pt idx="19">
                  <c:v>-5.0999999999999996</c:v>
                </c:pt>
                <c:pt idx="20">
                  <c:v>-1.7</c:v>
                </c:pt>
                <c:pt idx="21">
                  <c:v>-3.6</c:v>
                </c:pt>
                <c:pt idx="22">
                  <c:v>-4.5999999999999996</c:v>
                </c:pt>
                <c:pt idx="23">
                  <c:v>-4.0999999999999996</c:v>
                </c:pt>
                <c:pt idx="24">
                  <c:v>-5.8</c:v>
                </c:pt>
                <c:pt idx="25">
                  <c:v>-6.9</c:v>
                </c:pt>
                <c:pt idx="26">
                  <c:v>-7.2</c:v>
                </c:pt>
                <c:pt idx="27">
                  <c:v>-4.3</c:v>
                </c:pt>
                <c:pt idx="28">
                  <c:v>-4.2</c:v>
                </c:pt>
                <c:pt idx="29">
                  <c:v>-4.3</c:v>
                </c:pt>
                <c:pt idx="30">
                  <c:v>-5.9</c:v>
                </c:pt>
                <c:pt idx="31">
                  <c:v>-3.4</c:v>
                </c:pt>
                <c:pt idx="32">
                  <c:v>-4.5999999999999996</c:v>
                </c:pt>
                <c:pt idx="33">
                  <c:v>-6.6</c:v>
                </c:pt>
                <c:pt idx="34">
                  <c:v>-3.4</c:v>
                </c:pt>
                <c:pt idx="35">
                  <c:v>-2.5</c:v>
                </c:pt>
                <c:pt idx="36">
                  <c:v>-3.6</c:v>
                </c:pt>
                <c:pt idx="37">
                  <c:v>-4.7</c:v>
                </c:pt>
                <c:pt idx="38">
                  <c:v>-4.0999999999999996</c:v>
                </c:pt>
                <c:pt idx="39">
                  <c:v>-3.6</c:v>
                </c:pt>
                <c:pt idx="40">
                  <c:v>-3.2</c:v>
                </c:pt>
                <c:pt idx="41">
                  <c:v>-3.2</c:v>
                </c:pt>
                <c:pt idx="42">
                  <c:v>-4.5999999999999996</c:v>
                </c:pt>
                <c:pt idx="43">
                  <c:v>-1</c:v>
                </c:pt>
                <c:pt idx="44">
                  <c:v>-6.5</c:v>
                </c:pt>
                <c:pt idx="45">
                  <c:v>-3</c:v>
                </c:pt>
                <c:pt idx="46">
                  <c:v>-8.3000000000000007</c:v>
                </c:pt>
                <c:pt idx="47">
                  <c:v>-25.3</c:v>
                </c:pt>
                <c:pt idx="48">
                  <c:v>-19</c:v>
                </c:pt>
                <c:pt idx="49">
                  <c:v>-15.9</c:v>
                </c:pt>
                <c:pt idx="50" formatCode="General">
                  <c:v>-18.100000000000001</c:v>
                </c:pt>
                <c:pt idx="51" formatCode="General">
                  <c:v>-12.8</c:v>
                </c:pt>
              </c:numCache>
            </c:numRef>
          </c:val>
          <c:smooth val="0"/>
          <c:extLst>
            <c:ext xmlns:c16="http://schemas.microsoft.com/office/drawing/2014/chart" uri="{C3380CC4-5D6E-409C-BE32-E72D297353CC}">
              <c16:uniqueId val="{00000004-DA7E-4EB9-A9C1-E0C8719D29D5}"/>
            </c:ext>
          </c:extLst>
        </c:ser>
        <c:dLbls>
          <c:showLegendKey val="0"/>
          <c:showVal val="0"/>
          <c:showCatName val="0"/>
          <c:showSerName val="0"/>
          <c:showPercent val="0"/>
          <c:showBubbleSize val="0"/>
        </c:dLbls>
        <c:smooth val="0"/>
        <c:axId val="154766360"/>
        <c:axId val="154769104"/>
      </c:lineChart>
      <c:catAx>
        <c:axId val="15476636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crossAx val="154769104"/>
        <c:crosses val="autoZero"/>
        <c:auto val="1"/>
        <c:lblAlgn val="ctr"/>
        <c:lblOffset val="100"/>
        <c:noMultiLvlLbl val="0"/>
      </c:catAx>
      <c:valAx>
        <c:axId val="154769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lv-LV">
                    <a:solidFill>
                      <a:sysClr val="windowText" lastClr="000000"/>
                    </a:solidFill>
                  </a:rPr>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lv-LV"/>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crossAx val="154766360"/>
        <c:crosses val="autoZero"/>
        <c:crossBetween val="between"/>
      </c:valAx>
      <c:spPr>
        <a:noFill/>
        <a:ln>
          <a:noFill/>
        </a:ln>
        <a:effectLst/>
      </c:spPr>
    </c:plotArea>
    <c:legend>
      <c:legendPos val="b"/>
      <c:layout>
        <c:manualLayout>
          <c:xMode val="edge"/>
          <c:yMode val="edge"/>
          <c:x val="5.3540179474053498E-2"/>
          <c:y val="0.79696678576839086"/>
          <c:w val="0.88206820005369291"/>
          <c:h val="0.1678735723496787"/>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legend>
    <c:plotVisOnly val="1"/>
    <c:dispBlanksAs val="gap"/>
    <c:showDLblsOverMax val="0"/>
  </c:chart>
  <c:spPr>
    <a:no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lv-LV"/>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483467979697816E-2"/>
          <c:y val="4.1572474559210981E-2"/>
          <c:w val="0.90175359430901858"/>
          <c:h val="0.57257558998781244"/>
        </c:manualLayout>
      </c:layout>
      <c:lineChart>
        <c:grouping val="standard"/>
        <c:varyColors val="0"/>
        <c:ser>
          <c:idx val="0"/>
          <c:order val="0"/>
          <c:tx>
            <c:strRef>
              <c:f>'[7_monit_FDP_2020_II_20200120_makro_P2.xlsx]trading_partners_ESI'!$AA$45</c:f>
              <c:strCache>
                <c:ptCount val="1"/>
                <c:pt idx="0">
                  <c:v>ES</c:v>
                </c:pt>
              </c:strCache>
            </c:strRef>
          </c:tx>
          <c:spPr>
            <a:ln w="38100" cap="rnd">
              <a:solidFill>
                <a:srgbClr val="9C0006"/>
              </a:solidFill>
              <a:round/>
            </a:ln>
            <a:effectLst/>
          </c:spPr>
          <c:marker>
            <c:symbol val="none"/>
          </c:marker>
          <c:cat>
            <c:multiLvlStrRef>
              <c:f>'[7_monit_FDP_2020_II_20200120_makro_P2.xlsx]trading_partners_ESI'!$AB$43:$BK$44</c:f>
              <c:multiLvlStrCache>
                <c:ptCount val="36"/>
                <c:lvl>
                  <c:pt idx="0">
                    <c:v>9</c:v>
                  </c:pt>
                  <c:pt idx="1">
                    <c:v>10</c:v>
                  </c:pt>
                  <c:pt idx="2">
                    <c:v>11</c:v>
                  </c:pt>
                  <c:pt idx="3">
                    <c:v>12</c:v>
                  </c:pt>
                  <c:pt idx="4">
                    <c:v>1</c:v>
                  </c:pt>
                  <c:pt idx="5">
                    <c:v>2</c:v>
                  </c:pt>
                  <c:pt idx="6">
                    <c:v>3</c:v>
                  </c:pt>
                  <c:pt idx="7">
                    <c:v>4</c:v>
                  </c:pt>
                  <c:pt idx="8">
                    <c:v>5</c:v>
                  </c:pt>
                  <c:pt idx="9">
                    <c:v>6</c:v>
                  </c:pt>
                  <c:pt idx="10">
                    <c:v>7</c:v>
                  </c:pt>
                  <c:pt idx="11">
                    <c:v>8</c:v>
                  </c:pt>
                  <c:pt idx="12">
                    <c:v>9</c:v>
                  </c:pt>
                  <c:pt idx="13">
                    <c:v>10</c:v>
                  </c:pt>
                  <c:pt idx="14">
                    <c:v>11</c:v>
                  </c:pt>
                  <c:pt idx="15">
                    <c:v>12</c:v>
                  </c:pt>
                  <c:pt idx="16">
                    <c:v>1</c:v>
                  </c:pt>
                  <c:pt idx="17">
                    <c:v>2</c:v>
                  </c:pt>
                  <c:pt idx="18">
                    <c:v>3</c:v>
                  </c:pt>
                  <c:pt idx="19">
                    <c:v>4</c:v>
                  </c:pt>
                  <c:pt idx="20">
                    <c:v>5</c:v>
                  </c:pt>
                  <c:pt idx="21">
                    <c:v>6</c:v>
                  </c:pt>
                  <c:pt idx="22">
                    <c:v>7</c:v>
                  </c:pt>
                  <c:pt idx="23">
                    <c:v>8</c:v>
                  </c:pt>
                  <c:pt idx="24">
                    <c:v>9</c:v>
                  </c:pt>
                  <c:pt idx="25">
                    <c:v>10</c:v>
                  </c:pt>
                  <c:pt idx="26">
                    <c:v>11</c:v>
                  </c:pt>
                  <c:pt idx="27">
                    <c:v>12</c:v>
                  </c:pt>
                  <c:pt idx="28">
                    <c:v>1</c:v>
                  </c:pt>
                  <c:pt idx="29">
                    <c:v>2</c:v>
                  </c:pt>
                  <c:pt idx="30">
                    <c:v>3</c:v>
                  </c:pt>
                  <c:pt idx="31">
                    <c:v>4</c:v>
                  </c:pt>
                  <c:pt idx="32">
                    <c:v>5</c:v>
                  </c:pt>
                  <c:pt idx="33">
                    <c:v>6</c:v>
                  </c:pt>
                  <c:pt idx="34">
                    <c:v>7</c:v>
                  </c:pt>
                  <c:pt idx="35">
                    <c:v>8</c:v>
                  </c:pt>
                </c:lvl>
                <c:lvl>
                  <c:pt idx="4">
                    <c:v>2018</c:v>
                  </c:pt>
                  <c:pt idx="16">
                    <c:v>2019</c:v>
                  </c:pt>
                  <c:pt idx="28">
                    <c:v>2020</c:v>
                  </c:pt>
                </c:lvl>
              </c:multiLvlStrCache>
            </c:multiLvlStrRef>
          </c:cat>
          <c:val>
            <c:numRef>
              <c:f>'[7_monit_FDP_2020_II_20200120_makro_P2.xlsx]trading_partners_ESI'!$AB$45:$BK$45</c:f>
              <c:numCache>
                <c:formatCode>General</c:formatCode>
                <c:ptCount val="36"/>
                <c:pt idx="0">
                  <c:v>112.3</c:v>
                </c:pt>
                <c:pt idx="1">
                  <c:v>113.4</c:v>
                </c:pt>
                <c:pt idx="2">
                  <c:v>113.8</c:v>
                </c:pt>
                <c:pt idx="3">
                  <c:v>114.7</c:v>
                </c:pt>
                <c:pt idx="4">
                  <c:v>114.2</c:v>
                </c:pt>
                <c:pt idx="5">
                  <c:v>114.1</c:v>
                </c:pt>
                <c:pt idx="6">
                  <c:v>112.4</c:v>
                </c:pt>
                <c:pt idx="7">
                  <c:v>112.5</c:v>
                </c:pt>
                <c:pt idx="8">
                  <c:v>111.9</c:v>
                </c:pt>
                <c:pt idx="9">
                  <c:v>112.2</c:v>
                </c:pt>
                <c:pt idx="10">
                  <c:v>111.6</c:v>
                </c:pt>
                <c:pt idx="11">
                  <c:v>111.3</c:v>
                </c:pt>
                <c:pt idx="12">
                  <c:v>110.7</c:v>
                </c:pt>
                <c:pt idx="13">
                  <c:v>109.8</c:v>
                </c:pt>
                <c:pt idx="14">
                  <c:v>109.5</c:v>
                </c:pt>
                <c:pt idx="15">
                  <c:v>107.8</c:v>
                </c:pt>
                <c:pt idx="16">
                  <c:v>106.2</c:v>
                </c:pt>
                <c:pt idx="17">
                  <c:v>106.2</c:v>
                </c:pt>
                <c:pt idx="18">
                  <c:v>105.7</c:v>
                </c:pt>
                <c:pt idx="19">
                  <c:v>104</c:v>
                </c:pt>
                <c:pt idx="20">
                  <c:v>105</c:v>
                </c:pt>
                <c:pt idx="21">
                  <c:v>103.1</c:v>
                </c:pt>
                <c:pt idx="22">
                  <c:v>102.4</c:v>
                </c:pt>
                <c:pt idx="23">
                  <c:v>102.7</c:v>
                </c:pt>
                <c:pt idx="24">
                  <c:v>101.3</c:v>
                </c:pt>
                <c:pt idx="25">
                  <c:v>100.4</c:v>
                </c:pt>
                <c:pt idx="26">
                  <c:v>100.9</c:v>
                </c:pt>
                <c:pt idx="27">
                  <c:v>101</c:v>
                </c:pt>
                <c:pt idx="28">
                  <c:v>102.5</c:v>
                </c:pt>
                <c:pt idx="29">
                  <c:v>103</c:v>
                </c:pt>
                <c:pt idx="30">
                  <c:v>94.5</c:v>
                </c:pt>
                <c:pt idx="31">
                  <c:v>63.8</c:v>
                </c:pt>
                <c:pt idx="32">
                  <c:v>66.7</c:v>
                </c:pt>
                <c:pt idx="33">
                  <c:v>74.900000000000006</c:v>
                </c:pt>
                <c:pt idx="34">
                  <c:v>81.900000000000006</c:v>
                </c:pt>
                <c:pt idx="35">
                  <c:v>86.9</c:v>
                </c:pt>
              </c:numCache>
            </c:numRef>
          </c:val>
          <c:smooth val="0"/>
          <c:extLst>
            <c:ext xmlns:c16="http://schemas.microsoft.com/office/drawing/2014/chart" uri="{C3380CC4-5D6E-409C-BE32-E72D297353CC}">
              <c16:uniqueId val="{00000000-FA4E-4EFF-AC09-45F2629F3E94}"/>
            </c:ext>
          </c:extLst>
        </c:ser>
        <c:ser>
          <c:idx val="1"/>
          <c:order val="1"/>
          <c:tx>
            <c:strRef>
              <c:f>'[7_monit_FDP_2020_II_20200120_makro_P2.xlsx]trading_partners_ESI'!$AA$46</c:f>
              <c:strCache>
                <c:ptCount val="1"/>
                <c:pt idx="0">
                  <c:v>Vācija</c:v>
                </c:pt>
              </c:strCache>
            </c:strRef>
          </c:tx>
          <c:spPr>
            <a:ln w="28575" cap="rnd">
              <a:solidFill>
                <a:schemeClr val="bg1">
                  <a:lumMod val="65000"/>
                </a:schemeClr>
              </a:solidFill>
              <a:round/>
            </a:ln>
            <a:effectLst/>
          </c:spPr>
          <c:marker>
            <c:symbol val="none"/>
          </c:marker>
          <c:cat>
            <c:multiLvlStrRef>
              <c:f>'[7_monit_FDP_2020_II_20200120_makro_P2.xlsx]trading_partners_ESI'!$AB$43:$BK$44</c:f>
              <c:multiLvlStrCache>
                <c:ptCount val="36"/>
                <c:lvl>
                  <c:pt idx="0">
                    <c:v>9</c:v>
                  </c:pt>
                  <c:pt idx="1">
                    <c:v>10</c:v>
                  </c:pt>
                  <c:pt idx="2">
                    <c:v>11</c:v>
                  </c:pt>
                  <c:pt idx="3">
                    <c:v>12</c:v>
                  </c:pt>
                  <c:pt idx="4">
                    <c:v>1</c:v>
                  </c:pt>
                  <c:pt idx="5">
                    <c:v>2</c:v>
                  </c:pt>
                  <c:pt idx="6">
                    <c:v>3</c:v>
                  </c:pt>
                  <c:pt idx="7">
                    <c:v>4</c:v>
                  </c:pt>
                  <c:pt idx="8">
                    <c:v>5</c:v>
                  </c:pt>
                  <c:pt idx="9">
                    <c:v>6</c:v>
                  </c:pt>
                  <c:pt idx="10">
                    <c:v>7</c:v>
                  </c:pt>
                  <c:pt idx="11">
                    <c:v>8</c:v>
                  </c:pt>
                  <c:pt idx="12">
                    <c:v>9</c:v>
                  </c:pt>
                  <c:pt idx="13">
                    <c:v>10</c:v>
                  </c:pt>
                  <c:pt idx="14">
                    <c:v>11</c:v>
                  </c:pt>
                  <c:pt idx="15">
                    <c:v>12</c:v>
                  </c:pt>
                  <c:pt idx="16">
                    <c:v>1</c:v>
                  </c:pt>
                  <c:pt idx="17">
                    <c:v>2</c:v>
                  </c:pt>
                  <c:pt idx="18">
                    <c:v>3</c:v>
                  </c:pt>
                  <c:pt idx="19">
                    <c:v>4</c:v>
                  </c:pt>
                  <c:pt idx="20">
                    <c:v>5</c:v>
                  </c:pt>
                  <c:pt idx="21">
                    <c:v>6</c:v>
                  </c:pt>
                  <c:pt idx="22">
                    <c:v>7</c:v>
                  </c:pt>
                  <c:pt idx="23">
                    <c:v>8</c:v>
                  </c:pt>
                  <c:pt idx="24">
                    <c:v>9</c:v>
                  </c:pt>
                  <c:pt idx="25">
                    <c:v>10</c:v>
                  </c:pt>
                  <c:pt idx="26">
                    <c:v>11</c:v>
                  </c:pt>
                  <c:pt idx="27">
                    <c:v>12</c:v>
                  </c:pt>
                  <c:pt idx="28">
                    <c:v>1</c:v>
                  </c:pt>
                  <c:pt idx="29">
                    <c:v>2</c:v>
                  </c:pt>
                  <c:pt idx="30">
                    <c:v>3</c:v>
                  </c:pt>
                  <c:pt idx="31">
                    <c:v>4</c:v>
                  </c:pt>
                  <c:pt idx="32">
                    <c:v>5</c:v>
                  </c:pt>
                  <c:pt idx="33">
                    <c:v>6</c:v>
                  </c:pt>
                  <c:pt idx="34">
                    <c:v>7</c:v>
                  </c:pt>
                  <c:pt idx="35">
                    <c:v>8</c:v>
                  </c:pt>
                </c:lvl>
                <c:lvl>
                  <c:pt idx="4">
                    <c:v>2018</c:v>
                  </c:pt>
                  <c:pt idx="16">
                    <c:v>2019</c:v>
                  </c:pt>
                  <c:pt idx="28">
                    <c:v>2020</c:v>
                  </c:pt>
                </c:lvl>
              </c:multiLvlStrCache>
            </c:multiLvlStrRef>
          </c:cat>
          <c:val>
            <c:numRef>
              <c:f>'[7_monit_FDP_2020_II_20200120_makro_P2.xlsx]trading_partners_ESI'!$AB$46:$BK$46</c:f>
              <c:numCache>
                <c:formatCode>General</c:formatCode>
                <c:ptCount val="36"/>
                <c:pt idx="0">
                  <c:v>111.7</c:v>
                </c:pt>
                <c:pt idx="1">
                  <c:v>113.2</c:v>
                </c:pt>
                <c:pt idx="2">
                  <c:v>113.6</c:v>
                </c:pt>
                <c:pt idx="3">
                  <c:v>114.3</c:v>
                </c:pt>
                <c:pt idx="4">
                  <c:v>114.8</c:v>
                </c:pt>
                <c:pt idx="5">
                  <c:v>114.2</c:v>
                </c:pt>
                <c:pt idx="6">
                  <c:v>112</c:v>
                </c:pt>
                <c:pt idx="7">
                  <c:v>111.4</c:v>
                </c:pt>
                <c:pt idx="8">
                  <c:v>111.6</c:v>
                </c:pt>
                <c:pt idx="9">
                  <c:v>111.1</c:v>
                </c:pt>
                <c:pt idx="10">
                  <c:v>111.9</c:v>
                </c:pt>
                <c:pt idx="11">
                  <c:v>112</c:v>
                </c:pt>
                <c:pt idx="12">
                  <c:v>111.8</c:v>
                </c:pt>
                <c:pt idx="13">
                  <c:v>110.5</c:v>
                </c:pt>
                <c:pt idx="14">
                  <c:v>110.9</c:v>
                </c:pt>
                <c:pt idx="15">
                  <c:v>108.8</c:v>
                </c:pt>
                <c:pt idx="16">
                  <c:v>107.9</c:v>
                </c:pt>
                <c:pt idx="17">
                  <c:v>107.8</c:v>
                </c:pt>
                <c:pt idx="18">
                  <c:v>105.9</c:v>
                </c:pt>
                <c:pt idx="19">
                  <c:v>104.5</c:v>
                </c:pt>
                <c:pt idx="20">
                  <c:v>104.9</c:v>
                </c:pt>
                <c:pt idx="21">
                  <c:v>101.9</c:v>
                </c:pt>
                <c:pt idx="22">
                  <c:v>99.2</c:v>
                </c:pt>
                <c:pt idx="23">
                  <c:v>99.6</c:v>
                </c:pt>
                <c:pt idx="24">
                  <c:v>98.4</c:v>
                </c:pt>
                <c:pt idx="25">
                  <c:v>98.2</c:v>
                </c:pt>
                <c:pt idx="26">
                  <c:v>98.6</c:v>
                </c:pt>
                <c:pt idx="27">
                  <c:v>99.1</c:v>
                </c:pt>
                <c:pt idx="28">
                  <c:v>101.2</c:v>
                </c:pt>
                <c:pt idx="29">
                  <c:v>101.8</c:v>
                </c:pt>
                <c:pt idx="30">
                  <c:v>92</c:v>
                </c:pt>
                <c:pt idx="31">
                  <c:v>72.099999999999994</c:v>
                </c:pt>
                <c:pt idx="32">
                  <c:v>75.3</c:v>
                </c:pt>
                <c:pt idx="33">
                  <c:v>81.900000000000006</c:v>
                </c:pt>
                <c:pt idx="34">
                  <c:v>88.4</c:v>
                </c:pt>
                <c:pt idx="35">
                  <c:v>94.3</c:v>
                </c:pt>
              </c:numCache>
            </c:numRef>
          </c:val>
          <c:smooth val="0"/>
          <c:extLst>
            <c:ext xmlns:c16="http://schemas.microsoft.com/office/drawing/2014/chart" uri="{C3380CC4-5D6E-409C-BE32-E72D297353CC}">
              <c16:uniqueId val="{00000001-FA4E-4EFF-AC09-45F2629F3E94}"/>
            </c:ext>
          </c:extLst>
        </c:ser>
        <c:ser>
          <c:idx val="2"/>
          <c:order val="2"/>
          <c:tx>
            <c:strRef>
              <c:f>'[7_monit_FDP_2020_II_20200120_makro_P2.xlsx]trading_partners_ESI'!$AA$47</c:f>
              <c:strCache>
                <c:ptCount val="1"/>
                <c:pt idx="0">
                  <c:v>Igaunija</c:v>
                </c:pt>
              </c:strCache>
            </c:strRef>
          </c:tx>
          <c:spPr>
            <a:ln w="28575" cap="rnd">
              <a:solidFill>
                <a:schemeClr val="accent3"/>
              </a:solidFill>
              <a:prstDash val="sysDash"/>
              <a:round/>
            </a:ln>
            <a:effectLst/>
          </c:spPr>
          <c:marker>
            <c:symbol val="none"/>
          </c:marker>
          <c:cat>
            <c:multiLvlStrRef>
              <c:f>'[7_monit_FDP_2020_II_20200120_makro_P2.xlsx]trading_partners_ESI'!$AB$43:$BK$44</c:f>
              <c:multiLvlStrCache>
                <c:ptCount val="36"/>
                <c:lvl>
                  <c:pt idx="0">
                    <c:v>9</c:v>
                  </c:pt>
                  <c:pt idx="1">
                    <c:v>10</c:v>
                  </c:pt>
                  <c:pt idx="2">
                    <c:v>11</c:v>
                  </c:pt>
                  <c:pt idx="3">
                    <c:v>12</c:v>
                  </c:pt>
                  <c:pt idx="4">
                    <c:v>1</c:v>
                  </c:pt>
                  <c:pt idx="5">
                    <c:v>2</c:v>
                  </c:pt>
                  <c:pt idx="6">
                    <c:v>3</c:v>
                  </c:pt>
                  <c:pt idx="7">
                    <c:v>4</c:v>
                  </c:pt>
                  <c:pt idx="8">
                    <c:v>5</c:v>
                  </c:pt>
                  <c:pt idx="9">
                    <c:v>6</c:v>
                  </c:pt>
                  <c:pt idx="10">
                    <c:v>7</c:v>
                  </c:pt>
                  <c:pt idx="11">
                    <c:v>8</c:v>
                  </c:pt>
                  <c:pt idx="12">
                    <c:v>9</c:v>
                  </c:pt>
                  <c:pt idx="13">
                    <c:v>10</c:v>
                  </c:pt>
                  <c:pt idx="14">
                    <c:v>11</c:v>
                  </c:pt>
                  <c:pt idx="15">
                    <c:v>12</c:v>
                  </c:pt>
                  <c:pt idx="16">
                    <c:v>1</c:v>
                  </c:pt>
                  <c:pt idx="17">
                    <c:v>2</c:v>
                  </c:pt>
                  <c:pt idx="18">
                    <c:v>3</c:v>
                  </c:pt>
                  <c:pt idx="19">
                    <c:v>4</c:v>
                  </c:pt>
                  <c:pt idx="20">
                    <c:v>5</c:v>
                  </c:pt>
                  <c:pt idx="21">
                    <c:v>6</c:v>
                  </c:pt>
                  <c:pt idx="22">
                    <c:v>7</c:v>
                  </c:pt>
                  <c:pt idx="23">
                    <c:v>8</c:v>
                  </c:pt>
                  <c:pt idx="24">
                    <c:v>9</c:v>
                  </c:pt>
                  <c:pt idx="25">
                    <c:v>10</c:v>
                  </c:pt>
                  <c:pt idx="26">
                    <c:v>11</c:v>
                  </c:pt>
                  <c:pt idx="27">
                    <c:v>12</c:v>
                  </c:pt>
                  <c:pt idx="28">
                    <c:v>1</c:v>
                  </c:pt>
                  <c:pt idx="29">
                    <c:v>2</c:v>
                  </c:pt>
                  <c:pt idx="30">
                    <c:v>3</c:v>
                  </c:pt>
                  <c:pt idx="31">
                    <c:v>4</c:v>
                  </c:pt>
                  <c:pt idx="32">
                    <c:v>5</c:v>
                  </c:pt>
                  <c:pt idx="33">
                    <c:v>6</c:v>
                  </c:pt>
                  <c:pt idx="34">
                    <c:v>7</c:v>
                  </c:pt>
                  <c:pt idx="35">
                    <c:v>8</c:v>
                  </c:pt>
                </c:lvl>
                <c:lvl>
                  <c:pt idx="4">
                    <c:v>2018</c:v>
                  </c:pt>
                  <c:pt idx="16">
                    <c:v>2019</c:v>
                  </c:pt>
                  <c:pt idx="28">
                    <c:v>2020</c:v>
                  </c:pt>
                </c:lvl>
              </c:multiLvlStrCache>
            </c:multiLvlStrRef>
          </c:cat>
          <c:val>
            <c:numRef>
              <c:f>'[7_monit_FDP_2020_II_20200120_makro_P2.xlsx]trading_partners_ESI'!$AB$47:$BK$47</c:f>
              <c:numCache>
                <c:formatCode>General</c:formatCode>
                <c:ptCount val="36"/>
                <c:pt idx="0">
                  <c:v>105.7</c:v>
                </c:pt>
                <c:pt idx="1">
                  <c:v>103.9</c:v>
                </c:pt>
                <c:pt idx="2">
                  <c:v>105.7</c:v>
                </c:pt>
                <c:pt idx="3">
                  <c:v>106</c:v>
                </c:pt>
                <c:pt idx="4">
                  <c:v>104.8</c:v>
                </c:pt>
                <c:pt idx="5">
                  <c:v>104.5</c:v>
                </c:pt>
                <c:pt idx="6">
                  <c:v>104.5</c:v>
                </c:pt>
                <c:pt idx="7">
                  <c:v>102.6</c:v>
                </c:pt>
                <c:pt idx="8">
                  <c:v>101.3</c:v>
                </c:pt>
                <c:pt idx="9">
                  <c:v>102.5</c:v>
                </c:pt>
                <c:pt idx="10">
                  <c:v>104.1</c:v>
                </c:pt>
                <c:pt idx="11">
                  <c:v>102.1</c:v>
                </c:pt>
                <c:pt idx="12">
                  <c:v>103</c:v>
                </c:pt>
                <c:pt idx="13">
                  <c:v>101.9</c:v>
                </c:pt>
                <c:pt idx="14">
                  <c:v>103.1</c:v>
                </c:pt>
                <c:pt idx="15">
                  <c:v>101.7</c:v>
                </c:pt>
                <c:pt idx="16">
                  <c:v>99.9</c:v>
                </c:pt>
                <c:pt idx="17">
                  <c:v>99.3</c:v>
                </c:pt>
                <c:pt idx="18">
                  <c:v>99.9</c:v>
                </c:pt>
                <c:pt idx="19">
                  <c:v>98.6</c:v>
                </c:pt>
                <c:pt idx="20">
                  <c:v>99.7</c:v>
                </c:pt>
                <c:pt idx="21">
                  <c:v>97.6</c:v>
                </c:pt>
                <c:pt idx="22">
                  <c:v>96</c:v>
                </c:pt>
                <c:pt idx="23">
                  <c:v>96.9</c:v>
                </c:pt>
                <c:pt idx="24">
                  <c:v>94.9</c:v>
                </c:pt>
                <c:pt idx="25">
                  <c:v>94</c:v>
                </c:pt>
                <c:pt idx="26">
                  <c:v>92.4</c:v>
                </c:pt>
                <c:pt idx="27">
                  <c:v>94.4</c:v>
                </c:pt>
                <c:pt idx="28">
                  <c:v>94.4</c:v>
                </c:pt>
                <c:pt idx="29">
                  <c:v>97.1</c:v>
                </c:pt>
                <c:pt idx="30">
                  <c:v>96.5</c:v>
                </c:pt>
                <c:pt idx="31">
                  <c:v>68.599999999999994</c:v>
                </c:pt>
                <c:pt idx="32">
                  <c:v>68.599999999999994</c:v>
                </c:pt>
                <c:pt idx="33">
                  <c:v>71.599999999999994</c:v>
                </c:pt>
                <c:pt idx="34">
                  <c:v>81.2</c:v>
                </c:pt>
                <c:pt idx="35">
                  <c:v>84.4</c:v>
                </c:pt>
              </c:numCache>
            </c:numRef>
          </c:val>
          <c:smooth val="0"/>
          <c:extLst>
            <c:ext xmlns:c16="http://schemas.microsoft.com/office/drawing/2014/chart" uri="{C3380CC4-5D6E-409C-BE32-E72D297353CC}">
              <c16:uniqueId val="{00000002-FA4E-4EFF-AC09-45F2629F3E94}"/>
            </c:ext>
          </c:extLst>
        </c:ser>
        <c:ser>
          <c:idx val="3"/>
          <c:order val="3"/>
          <c:tx>
            <c:strRef>
              <c:f>'[7_monit_FDP_2020_II_20200120_makro_P2.xlsx]trading_partners_ESI'!$AA$48</c:f>
              <c:strCache>
                <c:ptCount val="1"/>
                <c:pt idx="0">
                  <c:v>Latvija</c:v>
                </c:pt>
              </c:strCache>
            </c:strRef>
          </c:tx>
          <c:spPr>
            <a:ln w="28575" cap="rnd">
              <a:solidFill>
                <a:srgbClr val="FFC000"/>
              </a:solidFill>
              <a:prstDash val="sysDash"/>
              <a:round/>
            </a:ln>
            <a:effectLst/>
          </c:spPr>
          <c:marker>
            <c:symbol val="none"/>
          </c:marker>
          <c:cat>
            <c:multiLvlStrRef>
              <c:f>'[7_monit_FDP_2020_II_20200120_makro_P2.xlsx]trading_partners_ESI'!$AB$43:$BK$44</c:f>
              <c:multiLvlStrCache>
                <c:ptCount val="36"/>
                <c:lvl>
                  <c:pt idx="0">
                    <c:v>9</c:v>
                  </c:pt>
                  <c:pt idx="1">
                    <c:v>10</c:v>
                  </c:pt>
                  <c:pt idx="2">
                    <c:v>11</c:v>
                  </c:pt>
                  <c:pt idx="3">
                    <c:v>12</c:v>
                  </c:pt>
                  <c:pt idx="4">
                    <c:v>1</c:v>
                  </c:pt>
                  <c:pt idx="5">
                    <c:v>2</c:v>
                  </c:pt>
                  <c:pt idx="6">
                    <c:v>3</c:v>
                  </c:pt>
                  <c:pt idx="7">
                    <c:v>4</c:v>
                  </c:pt>
                  <c:pt idx="8">
                    <c:v>5</c:v>
                  </c:pt>
                  <c:pt idx="9">
                    <c:v>6</c:v>
                  </c:pt>
                  <c:pt idx="10">
                    <c:v>7</c:v>
                  </c:pt>
                  <c:pt idx="11">
                    <c:v>8</c:v>
                  </c:pt>
                  <c:pt idx="12">
                    <c:v>9</c:v>
                  </c:pt>
                  <c:pt idx="13">
                    <c:v>10</c:v>
                  </c:pt>
                  <c:pt idx="14">
                    <c:v>11</c:v>
                  </c:pt>
                  <c:pt idx="15">
                    <c:v>12</c:v>
                  </c:pt>
                  <c:pt idx="16">
                    <c:v>1</c:v>
                  </c:pt>
                  <c:pt idx="17">
                    <c:v>2</c:v>
                  </c:pt>
                  <c:pt idx="18">
                    <c:v>3</c:v>
                  </c:pt>
                  <c:pt idx="19">
                    <c:v>4</c:v>
                  </c:pt>
                  <c:pt idx="20">
                    <c:v>5</c:v>
                  </c:pt>
                  <c:pt idx="21">
                    <c:v>6</c:v>
                  </c:pt>
                  <c:pt idx="22">
                    <c:v>7</c:v>
                  </c:pt>
                  <c:pt idx="23">
                    <c:v>8</c:v>
                  </c:pt>
                  <c:pt idx="24">
                    <c:v>9</c:v>
                  </c:pt>
                  <c:pt idx="25">
                    <c:v>10</c:v>
                  </c:pt>
                  <c:pt idx="26">
                    <c:v>11</c:v>
                  </c:pt>
                  <c:pt idx="27">
                    <c:v>12</c:v>
                  </c:pt>
                  <c:pt idx="28">
                    <c:v>1</c:v>
                  </c:pt>
                  <c:pt idx="29">
                    <c:v>2</c:v>
                  </c:pt>
                  <c:pt idx="30">
                    <c:v>3</c:v>
                  </c:pt>
                  <c:pt idx="31">
                    <c:v>4</c:v>
                  </c:pt>
                  <c:pt idx="32">
                    <c:v>5</c:v>
                  </c:pt>
                  <c:pt idx="33">
                    <c:v>6</c:v>
                  </c:pt>
                  <c:pt idx="34">
                    <c:v>7</c:v>
                  </c:pt>
                  <c:pt idx="35">
                    <c:v>8</c:v>
                  </c:pt>
                </c:lvl>
                <c:lvl>
                  <c:pt idx="4">
                    <c:v>2018</c:v>
                  </c:pt>
                  <c:pt idx="16">
                    <c:v>2019</c:v>
                  </c:pt>
                  <c:pt idx="28">
                    <c:v>2020</c:v>
                  </c:pt>
                </c:lvl>
              </c:multiLvlStrCache>
            </c:multiLvlStrRef>
          </c:cat>
          <c:val>
            <c:numRef>
              <c:f>'[7_monit_FDP_2020_II_20200120_makro_P2.xlsx]trading_partners_ESI'!$AB$48:$BK$48</c:f>
              <c:numCache>
                <c:formatCode>General</c:formatCode>
                <c:ptCount val="36"/>
                <c:pt idx="0">
                  <c:v>103.5</c:v>
                </c:pt>
                <c:pt idx="1">
                  <c:v>104.2</c:v>
                </c:pt>
                <c:pt idx="2">
                  <c:v>103.8</c:v>
                </c:pt>
                <c:pt idx="3">
                  <c:v>104.7</c:v>
                </c:pt>
                <c:pt idx="4">
                  <c:v>105.2</c:v>
                </c:pt>
                <c:pt idx="5">
                  <c:v>104</c:v>
                </c:pt>
                <c:pt idx="6">
                  <c:v>102.7</c:v>
                </c:pt>
                <c:pt idx="7">
                  <c:v>101.3</c:v>
                </c:pt>
                <c:pt idx="8">
                  <c:v>101.7</c:v>
                </c:pt>
                <c:pt idx="9">
                  <c:v>102</c:v>
                </c:pt>
                <c:pt idx="10">
                  <c:v>102.1</c:v>
                </c:pt>
                <c:pt idx="11">
                  <c:v>103.5</c:v>
                </c:pt>
                <c:pt idx="12">
                  <c:v>103.3</c:v>
                </c:pt>
                <c:pt idx="13">
                  <c:v>103.1</c:v>
                </c:pt>
                <c:pt idx="14">
                  <c:v>103.1</c:v>
                </c:pt>
                <c:pt idx="15">
                  <c:v>104.1</c:v>
                </c:pt>
                <c:pt idx="16">
                  <c:v>103.6</c:v>
                </c:pt>
                <c:pt idx="17">
                  <c:v>101.7</c:v>
                </c:pt>
                <c:pt idx="18">
                  <c:v>102.6</c:v>
                </c:pt>
                <c:pt idx="19">
                  <c:v>100.9</c:v>
                </c:pt>
                <c:pt idx="20">
                  <c:v>100.6</c:v>
                </c:pt>
                <c:pt idx="21">
                  <c:v>100.8</c:v>
                </c:pt>
                <c:pt idx="22">
                  <c:v>100.6</c:v>
                </c:pt>
                <c:pt idx="23">
                  <c:v>100.5</c:v>
                </c:pt>
                <c:pt idx="24">
                  <c:v>100.7</c:v>
                </c:pt>
                <c:pt idx="25">
                  <c:v>99.2</c:v>
                </c:pt>
                <c:pt idx="26">
                  <c:v>100.1</c:v>
                </c:pt>
                <c:pt idx="27">
                  <c:v>100.6</c:v>
                </c:pt>
                <c:pt idx="28">
                  <c:v>101.5</c:v>
                </c:pt>
                <c:pt idx="29">
                  <c:v>101.8</c:v>
                </c:pt>
                <c:pt idx="30">
                  <c:v>96.1</c:v>
                </c:pt>
                <c:pt idx="31">
                  <c:v>77.7</c:v>
                </c:pt>
                <c:pt idx="32">
                  <c:v>78.900000000000006</c:v>
                </c:pt>
                <c:pt idx="33">
                  <c:v>83.7</c:v>
                </c:pt>
                <c:pt idx="34">
                  <c:v>87.6</c:v>
                </c:pt>
                <c:pt idx="35">
                  <c:v>91</c:v>
                </c:pt>
              </c:numCache>
            </c:numRef>
          </c:val>
          <c:smooth val="0"/>
          <c:extLst>
            <c:ext xmlns:c16="http://schemas.microsoft.com/office/drawing/2014/chart" uri="{C3380CC4-5D6E-409C-BE32-E72D297353CC}">
              <c16:uniqueId val="{00000003-FA4E-4EFF-AC09-45F2629F3E94}"/>
            </c:ext>
          </c:extLst>
        </c:ser>
        <c:ser>
          <c:idx val="4"/>
          <c:order val="4"/>
          <c:tx>
            <c:strRef>
              <c:f>'[7_monit_FDP_2020_II_20200120_makro_P2.xlsx]trading_partners_ESI'!$AA$49</c:f>
              <c:strCache>
                <c:ptCount val="1"/>
                <c:pt idx="0">
                  <c:v>Lietuva</c:v>
                </c:pt>
              </c:strCache>
            </c:strRef>
          </c:tx>
          <c:spPr>
            <a:ln w="28575" cap="rnd">
              <a:solidFill>
                <a:schemeClr val="accent4"/>
              </a:solidFill>
              <a:prstDash val="sysDash"/>
              <a:round/>
            </a:ln>
            <a:effectLst/>
          </c:spPr>
          <c:marker>
            <c:symbol val="none"/>
          </c:marker>
          <c:cat>
            <c:multiLvlStrRef>
              <c:f>'[7_monit_FDP_2020_II_20200120_makro_P2.xlsx]trading_partners_ESI'!$AB$43:$BK$44</c:f>
              <c:multiLvlStrCache>
                <c:ptCount val="36"/>
                <c:lvl>
                  <c:pt idx="0">
                    <c:v>9</c:v>
                  </c:pt>
                  <c:pt idx="1">
                    <c:v>10</c:v>
                  </c:pt>
                  <c:pt idx="2">
                    <c:v>11</c:v>
                  </c:pt>
                  <c:pt idx="3">
                    <c:v>12</c:v>
                  </c:pt>
                  <c:pt idx="4">
                    <c:v>1</c:v>
                  </c:pt>
                  <c:pt idx="5">
                    <c:v>2</c:v>
                  </c:pt>
                  <c:pt idx="6">
                    <c:v>3</c:v>
                  </c:pt>
                  <c:pt idx="7">
                    <c:v>4</c:v>
                  </c:pt>
                  <c:pt idx="8">
                    <c:v>5</c:v>
                  </c:pt>
                  <c:pt idx="9">
                    <c:v>6</c:v>
                  </c:pt>
                  <c:pt idx="10">
                    <c:v>7</c:v>
                  </c:pt>
                  <c:pt idx="11">
                    <c:v>8</c:v>
                  </c:pt>
                  <c:pt idx="12">
                    <c:v>9</c:v>
                  </c:pt>
                  <c:pt idx="13">
                    <c:v>10</c:v>
                  </c:pt>
                  <c:pt idx="14">
                    <c:v>11</c:v>
                  </c:pt>
                  <c:pt idx="15">
                    <c:v>12</c:v>
                  </c:pt>
                  <c:pt idx="16">
                    <c:v>1</c:v>
                  </c:pt>
                  <c:pt idx="17">
                    <c:v>2</c:v>
                  </c:pt>
                  <c:pt idx="18">
                    <c:v>3</c:v>
                  </c:pt>
                  <c:pt idx="19">
                    <c:v>4</c:v>
                  </c:pt>
                  <c:pt idx="20">
                    <c:v>5</c:v>
                  </c:pt>
                  <c:pt idx="21">
                    <c:v>6</c:v>
                  </c:pt>
                  <c:pt idx="22">
                    <c:v>7</c:v>
                  </c:pt>
                  <c:pt idx="23">
                    <c:v>8</c:v>
                  </c:pt>
                  <c:pt idx="24">
                    <c:v>9</c:v>
                  </c:pt>
                  <c:pt idx="25">
                    <c:v>10</c:v>
                  </c:pt>
                  <c:pt idx="26">
                    <c:v>11</c:v>
                  </c:pt>
                  <c:pt idx="27">
                    <c:v>12</c:v>
                  </c:pt>
                  <c:pt idx="28">
                    <c:v>1</c:v>
                  </c:pt>
                  <c:pt idx="29">
                    <c:v>2</c:v>
                  </c:pt>
                  <c:pt idx="30">
                    <c:v>3</c:v>
                  </c:pt>
                  <c:pt idx="31">
                    <c:v>4</c:v>
                  </c:pt>
                  <c:pt idx="32">
                    <c:v>5</c:v>
                  </c:pt>
                  <c:pt idx="33">
                    <c:v>6</c:v>
                  </c:pt>
                  <c:pt idx="34">
                    <c:v>7</c:v>
                  </c:pt>
                  <c:pt idx="35">
                    <c:v>8</c:v>
                  </c:pt>
                </c:lvl>
                <c:lvl>
                  <c:pt idx="4">
                    <c:v>2018</c:v>
                  </c:pt>
                  <c:pt idx="16">
                    <c:v>2019</c:v>
                  </c:pt>
                  <c:pt idx="28">
                    <c:v>2020</c:v>
                  </c:pt>
                </c:lvl>
              </c:multiLvlStrCache>
            </c:multiLvlStrRef>
          </c:cat>
          <c:val>
            <c:numRef>
              <c:f>'[7_monit_FDP_2020_II_20200120_makro_P2.xlsx]trading_partners_ESI'!$AB$49:$BK$49</c:f>
              <c:numCache>
                <c:formatCode>General</c:formatCode>
                <c:ptCount val="36"/>
                <c:pt idx="0">
                  <c:v>106.9</c:v>
                </c:pt>
                <c:pt idx="1">
                  <c:v>106</c:v>
                </c:pt>
                <c:pt idx="2">
                  <c:v>105.4</c:v>
                </c:pt>
                <c:pt idx="3">
                  <c:v>107.2</c:v>
                </c:pt>
                <c:pt idx="4">
                  <c:v>106.2</c:v>
                </c:pt>
                <c:pt idx="5">
                  <c:v>107.1</c:v>
                </c:pt>
                <c:pt idx="6">
                  <c:v>106.2</c:v>
                </c:pt>
                <c:pt idx="7">
                  <c:v>108.9</c:v>
                </c:pt>
                <c:pt idx="8">
                  <c:v>109.1</c:v>
                </c:pt>
                <c:pt idx="9">
                  <c:v>110.4</c:v>
                </c:pt>
                <c:pt idx="10">
                  <c:v>111.2</c:v>
                </c:pt>
                <c:pt idx="11">
                  <c:v>110</c:v>
                </c:pt>
                <c:pt idx="12">
                  <c:v>109.8</c:v>
                </c:pt>
                <c:pt idx="13">
                  <c:v>109.9</c:v>
                </c:pt>
                <c:pt idx="14">
                  <c:v>109.2</c:v>
                </c:pt>
                <c:pt idx="15">
                  <c:v>110.4</c:v>
                </c:pt>
                <c:pt idx="16">
                  <c:v>109.5</c:v>
                </c:pt>
                <c:pt idx="17">
                  <c:v>108.4</c:v>
                </c:pt>
                <c:pt idx="18">
                  <c:v>107.7</c:v>
                </c:pt>
                <c:pt idx="19">
                  <c:v>108.6</c:v>
                </c:pt>
                <c:pt idx="20">
                  <c:v>108.7</c:v>
                </c:pt>
                <c:pt idx="21">
                  <c:v>107.2</c:v>
                </c:pt>
                <c:pt idx="22">
                  <c:v>106.8</c:v>
                </c:pt>
                <c:pt idx="23">
                  <c:v>109</c:v>
                </c:pt>
                <c:pt idx="24">
                  <c:v>108.7</c:v>
                </c:pt>
                <c:pt idx="25">
                  <c:v>108.3</c:v>
                </c:pt>
                <c:pt idx="26">
                  <c:v>108.1</c:v>
                </c:pt>
                <c:pt idx="27">
                  <c:v>107.5</c:v>
                </c:pt>
                <c:pt idx="28">
                  <c:v>108.7</c:v>
                </c:pt>
                <c:pt idx="29">
                  <c:v>110.2</c:v>
                </c:pt>
                <c:pt idx="30">
                  <c:v>103.1</c:v>
                </c:pt>
                <c:pt idx="31">
                  <c:v>81.900000000000006</c:v>
                </c:pt>
                <c:pt idx="32">
                  <c:v>85.8</c:v>
                </c:pt>
                <c:pt idx="33">
                  <c:v>89.7</c:v>
                </c:pt>
                <c:pt idx="34">
                  <c:v>94</c:v>
                </c:pt>
                <c:pt idx="35">
                  <c:v>94.5</c:v>
                </c:pt>
              </c:numCache>
            </c:numRef>
          </c:val>
          <c:smooth val="0"/>
          <c:extLst>
            <c:ext xmlns:c16="http://schemas.microsoft.com/office/drawing/2014/chart" uri="{C3380CC4-5D6E-409C-BE32-E72D297353CC}">
              <c16:uniqueId val="{00000004-FA4E-4EFF-AC09-45F2629F3E94}"/>
            </c:ext>
          </c:extLst>
        </c:ser>
        <c:ser>
          <c:idx val="5"/>
          <c:order val="5"/>
          <c:tx>
            <c:strRef>
              <c:f>'[7_monit_FDP_2020_II_20200120_makro_P2.xlsx]trading_partners_ESI'!$AA$50</c:f>
              <c:strCache>
                <c:ptCount val="1"/>
                <c:pt idx="0">
                  <c:v>Zviedrija</c:v>
                </c:pt>
              </c:strCache>
            </c:strRef>
          </c:tx>
          <c:spPr>
            <a:ln w="28575" cap="rnd">
              <a:solidFill>
                <a:srgbClr val="7F7F7F"/>
              </a:solidFill>
              <a:prstDash val="sysDash"/>
              <a:round/>
            </a:ln>
            <a:effectLst/>
          </c:spPr>
          <c:marker>
            <c:symbol val="none"/>
          </c:marker>
          <c:cat>
            <c:multiLvlStrRef>
              <c:f>'[7_monit_FDP_2020_II_20200120_makro_P2.xlsx]trading_partners_ESI'!$AB$43:$BK$44</c:f>
              <c:multiLvlStrCache>
                <c:ptCount val="36"/>
                <c:lvl>
                  <c:pt idx="0">
                    <c:v>9</c:v>
                  </c:pt>
                  <c:pt idx="1">
                    <c:v>10</c:v>
                  </c:pt>
                  <c:pt idx="2">
                    <c:v>11</c:v>
                  </c:pt>
                  <c:pt idx="3">
                    <c:v>12</c:v>
                  </c:pt>
                  <c:pt idx="4">
                    <c:v>1</c:v>
                  </c:pt>
                  <c:pt idx="5">
                    <c:v>2</c:v>
                  </c:pt>
                  <c:pt idx="6">
                    <c:v>3</c:v>
                  </c:pt>
                  <c:pt idx="7">
                    <c:v>4</c:v>
                  </c:pt>
                  <c:pt idx="8">
                    <c:v>5</c:v>
                  </c:pt>
                  <c:pt idx="9">
                    <c:v>6</c:v>
                  </c:pt>
                  <c:pt idx="10">
                    <c:v>7</c:v>
                  </c:pt>
                  <c:pt idx="11">
                    <c:v>8</c:v>
                  </c:pt>
                  <c:pt idx="12">
                    <c:v>9</c:v>
                  </c:pt>
                  <c:pt idx="13">
                    <c:v>10</c:v>
                  </c:pt>
                  <c:pt idx="14">
                    <c:v>11</c:v>
                  </c:pt>
                  <c:pt idx="15">
                    <c:v>12</c:v>
                  </c:pt>
                  <c:pt idx="16">
                    <c:v>1</c:v>
                  </c:pt>
                  <c:pt idx="17">
                    <c:v>2</c:v>
                  </c:pt>
                  <c:pt idx="18">
                    <c:v>3</c:v>
                  </c:pt>
                  <c:pt idx="19">
                    <c:v>4</c:v>
                  </c:pt>
                  <c:pt idx="20">
                    <c:v>5</c:v>
                  </c:pt>
                  <c:pt idx="21">
                    <c:v>6</c:v>
                  </c:pt>
                  <c:pt idx="22">
                    <c:v>7</c:v>
                  </c:pt>
                  <c:pt idx="23">
                    <c:v>8</c:v>
                  </c:pt>
                  <c:pt idx="24">
                    <c:v>9</c:v>
                  </c:pt>
                  <c:pt idx="25">
                    <c:v>10</c:v>
                  </c:pt>
                  <c:pt idx="26">
                    <c:v>11</c:v>
                  </c:pt>
                  <c:pt idx="27">
                    <c:v>12</c:v>
                  </c:pt>
                  <c:pt idx="28">
                    <c:v>1</c:v>
                  </c:pt>
                  <c:pt idx="29">
                    <c:v>2</c:v>
                  </c:pt>
                  <c:pt idx="30">
                    <c:v>3</c:v>
                  </c:pt>
                  <c:pt idx="31">
                    <c:v>4</c:v>
                  </c:pt>
                  <c:pt idx="32">
                    <c:v>5</c:v>
                  </c:pt>
                  <c:pt idx="33">
                    <c:v>6</c:v>
                  </c:pt>
                  <c:pt idx="34">
                    <c:v>7</c:v>
                  </c:pt>
                  <c:pt idx="35">
                    <c:v>8</c:v>
                  </c:pt>
                </c:lvl>
                <c:lvl>
                  <c:pt idx="4">
                    <c:v>2018</c:v>
                  </c:pt>
                  <c:pt idx="16">
                    <c:v>2019</c:v>
                  </c:pt>
                  <c:pt idx="28">
                    <c:v>2020</c:v>
                  </c:pt>
                </c:lvl>
              </c:multiLvlStrCache>
            </c:multiLvlStrRef>
          </c:cat>
          <c:val>
            <c:numRef>
              <c:f>'[7_monit_FDP_2020_II_20200120_makro_P2.xlsx]trading_partners_ESI'!$AB$50:$BK$50</c:f>
              <c:numCache>
                <c:formatCode>General</c:formatCode>
                <c:ptCount val="36"/>
                <c:pt idx="0">
                  <c:v>110.6</c:v>
                </c:pt>
                <c:pt idx="1">
                  <c:v>111.6</c:v>
                </c:pt>
                <c:pt idx="2">
                  <c:v>112.1</c:v>
                </c:pt>
                <c:pt idx="3">
                  <c:v>109.7</c:v>
                </c:pt>
                <c:pt idx="4">
                  <c:v>110.1</c:v>
                </c:pt>
                <c:pt idx="5">
                  <c:v>109.9</c:v>
                </c:pt>
                <c:pt idx="6">
                  <c:v>109.2</c:v>
                </c:pt>
                <c:pt idx="7">
                  <c:v>110.1</c:v>
                </c:pt>
                <c:pt idx="8">
                  <c:v>109.4</c:v>
                </c:pt>
                <c:pt idx="9">
                  <c:v>107.9</c:v>
                </c:pt>
                <c:pt idx="10">
                  <c:v>108</c:v>
                </c:pt>
                <c:pt idx="11">
                  <c:v>110.8</c:v>
                </c:pt>
                <c:pt idx="12">
                  <c:v>109.5</c:v>
                </c:pt>
                <c:pt idx="13">
                  <c:v>106.9</c:v>
                </c:pt>
                <c:pt idx="14">
                  <c:v>105.8</c:v>
                </c:pt>
                <c:pt idx="15">
                  <c:v>106.7</c:v>
                </c:pt>
                <c:pt idx="16">
                  <c:v>102.5</c:v>
                </c:pt>
                <c:pt idx="17">
                  <c:v>103.3</c:v>
                </c:pt>
                <c:pt idx="18">
                  <c:v>102.2</c:v>
                </c:pt>
                <c:pt idx="19">
                  <c:v>104.9</c:v>
                </c:pt>
                <c:pt idx="20">
                  <c:v>99.5</c:v>
                </c:pt>
                <c:pt idx="21">
                  <c:v>99.4</c:v>
                </c:pt>
                <c:pt idx="22">
                  <c:v>98.6</c:v>
                </c:pt>
                <c:pt idx="23">
                  <c:v>96.7</c:v>
                </c:pt>
                <c:pt idx="24">
                  <c:v>94.5</c:v>
                </c:pt>
                <c:pt idx="25">
                  <c:v>95.8</c:v>
                </c:pt>
                <c:pt idx="26">
                  <c:v>95</c:v>
                </c:pt>
                <c:pt idx="27">
                  <c:v>94.5</c:v>
                </c:pt>
                <c:pt idx="28">
                  <c:v>96.7</c:v>
                </c:pt>
                <c:pt idx="29">
                  <c:v>99</c:v>
                </c:pt>
                <c:pt idx="30">
                  <c:v>93.5</c:v>
                </c:pt>
                <c:pt idx="31">
                  <c:v>67.7</c:v>
                </c:pt>
                <c:pt idx="32">
                  <c:v>69.599999999999994</c:v>
                </c:pt>
                <c:pt idx="33">
                  <c:v>78.3</c:v>
                </c:pt>
                <c:pt idx="34">
                  <c:v>86</c:v>
                </c:pt>
                <c:pt idx="35">
                  <c:v>88.9</c:v>
                </c:pt>
              </c:numCache>
            </c:numRef>
          </c:val>
          <c:smooth val="0"/>
          <c:extLst>
            <c:ext xmlns:c16="http://schemas.microsoft.com/office/drawing/2014/chart" uri="{C3380CC4-5D6E-409C-BE32-E72D297353CC}">
              <c16:uniqueId val="{00000005-FA4E-4EFF-AC09-45F2629F3E94}"/>
            </c:ext>
          </c:extLst>
        </c:ser>
        <c:ser>
          <c:idx val="6"/>
          <c:order val="6"/>
          <c:tx>
            <c:strRef>
              <c:f>'[7_monit_FDP_2020_II_20200120_makro_P2.xlsx]trading_partners_ESI'!$AA$51</c:f>
              <c:strCache>
                <c:ptCount val="1"/>
                <c:pt idx="0">
                  <c:v>Apvienotā Karaliste</c:v>
                </c:pt>
              </c:strCache>
            </c:strRef>
          </c:tx>
          <c:spPr>
            <a:ln w="28575" cap="rnd">
              <a:solidFill>
                <a:srgbClr val="002060"/>
              </a:solidFill>
              <a:round/>
            </a:ln>
            <a:effectLst/>
          </c:spPr>
          <c:marker>
            <c:symbol val="none"/>
          </c:marker>
          <c:cat>
            <c:multiLvlStrRef>
              <c:f>'[7_monit_FDP_2020_II_20200120_makro_P2.xlsx]trading_partners_ESI'!$AB$43:$BK$44</c:f>
              <c:multiLvlStrCache>
                <c:ptCount val="36"/>
                <c:lvl>
                  <c:pt idx="0">
                    <c:v>9</c:v>
                  </c:pt>
                  <c:pt idx="1">
                    <c:v>10</c:v>
                  </c:pt>
                  <c:pt idx="2">
                    <c:v>11</c:v>
                  </c:pt>
                  <c:pt idx="3">
                    <c:v>12</c:v>
                  </c:pt>
                  <c:pt idx="4">
                    <c:v>1</c:v>
                  </c:pt>
                  <c:pt idx="5">
                    <c:v>2</c:v>
                  </c:pt>
                  <c:pt idx="6">
                    <c:v>3</c:v>
                  </c:pt>
                  <c:pt idx="7">
                    <c:v>4</c:v>
                  </c:pt>
                  <c:pt idx="8">
                    <c:v>5</c:v>
                  </c:pt>
                  <c:pt idx="9">
                    <c:v>6</c:v>
                  </c:pt>
                  <c:pt idx="10">
                    <c:v>7</c:v>
                  </c:pt>
                  <c:pt idx="11">
                    <c:v>8</c:v>
                  </c:pt>
                  <c:pt idx="12">
                    <c:v>9</c:v>
                  </c:pt>
                  <c:pt idx="13">
                    <c:v>10</c:v>
                  </c:pt>
                  <c:pt idx="14">
                    <c:v>11</c:v>
                  </c:pt>
                  <c:pt idx="15">
                    <c:v>12</c:v>
                  </c:pt>
                  <c:pt idx="16">
                    <c:v>1</c:v>
                  </c:pt>
                  <c:pt idx="17">
                    <c:v>2</c:v>
                  </c:pt>
                  <c:pt idx="18">
                    <c:v>3</c:v>
                  </c:pt>
                  <c:pt idx="19">
                    <c:v>4</c:v>
                  </c:pt>
                  <c:pt idx="20">
                    <c:v>5</c:v>
                  </c:pt>
                  <c:pt idx="21">
                    <c:v>6</c:v>
                  </c:pt>
                  <c:pt idx="22">
                    <c:v>7</c:v>
                  </c:pt>
                  <c:pt idx="23">
                    <c:v>8</c:v>
                  </c:pt>
                  <c:pt idx="24">
                    <c:v>9</c:v>
                  </c:pt>
                  <c:pt idx="25">
                    <c:v>10</c:v>
                  </c:pt>
                  <c:pt idx="26">
                    <c:v>11</c:v>
                  </c:pt>
                  <c:pt idx="27">
                    <c:v>12</c:v>
                  </c:pt>
                  <c:pt idx="28">
                    <c:v>1</c:v>
                  </c:pt>
                  <c:pt idx="29">
                    <c:v>2</c:v>
                  </c:pt>
                  <c:pt idx="30">
                    <c:v>3</c:v>
                  </c:pt>
                  <c:pt idx="31">
                    <c:v>4</c:v>
                  </c:pt>
                  <c:pt idx="32">
                    <c:v>5</c:v>
                  </c:pt>
                  <c:pt idx="33">
                    <c:v>6</c:v>
                  </c:pt>
                  <c:pt idx="34">
                    <c:v>7</c:v>
                  </c:pt>
                  <c:pt idx="35">
                    <c:v>8</c:v>
                  </c:pt>
                </c:lvl>
                <c:lvl>
                  <c:pt idx="4">
                    <c:v>2018</c:v>
                  </c:pt>
                  <c:pt idx="16">
                    <c:v>2019</c:v>
                  </c:pt>
                  <c:pt idx="28">
                    <c:v>2020</c:v>
                  </c:pt>
                </c:lvl>
              </c:multiLvlStrCache>
            </c:multiLvlStrRef>
          </c:cat>
          <c:val>
            <c:numRef>
              <c:f>'[7_monit_FDP_2020_II_20200120_makro_P2.xlsx]trading_partners_ESI'!$AB$51:$BK$51</c:f>
              <c:numCache>
                <c:formatCode>General</c:formatCode>
                <c:ptCount val="36"/>
                <c:pt idx="0">
                  <c:v>107.4</c:v>
                </c:pt>
                <c:pt idx="1">
                  <c:v>109.1</c:v>
                </c:pt>
                <c:pt idx="2">
                  <c:v>107.2</c:v>
                </c:pt>
                <c:pt idx="3">
                  <c:v>111</c:v>
                </c:pt>
                <c:pt idx="4">
                  <c:v>110</c:v>
                </c:pt>
                <c:pt idx="5">
                  <c:v>108.5</c:v>
                </c:pt>
                <c:pt idx="6">
                  <c:v>104.3</c:v>
                </c:pt>
                <c:pt idx="7">
                  <c:v>104.8</c:v>
                </c:pt>
                <c:pt idx="8">
                  <c:v>106.7</c:v>
                </c:pt>
                <c:pt idx="9">
                  <c:v>106.3</c:v>
                </c:pt>
                <c:pt idx="10">
                  <c:v>107.8</c:v>
                </c:pt>
                <c:pt idx="11">
                  <c:v>109</c:v>
                </c:pt>
                <c:pt idx="12">
                  <c:v>107.6</c:v>
                </c:pt>
                <c:pt idx="13">
                  <c:v>107.6</c:v>
                </c:pt>
                <c:pt idx="14">
                  <c:v>104.5</c:v>
                </c:pt>
                <c:pt idx="15">
                  <c:v>104.7</c:v>
                </c:pt>
                <c:pt idx="16">
                  <c:v>102.9</c:v>
                </c:pt>
                <c:pt idx="17">
                  <c:v>98.6</c:v>
                </c:pt>
                <c:pt idx="18">
                  <c:v>100.1</c:v>
                </c:pt>
                <c:pt idx="19">
                  <c:v>98.6</c:v>
                </c:pt>
                <c:pt idx="20">
                  <c:v>93.9</c:v>
                </c:pt>
                <c:pt idx="21">
                  <c:v>94.3</c:v>
                </c:pt>
                <c:pt idx="22">
                  <c:v>93.6</c:v>
                </c:pt>
                <c:pt idx="23">
                  <c:v>91.9</c:v>
                </c:pt>
                <c:pt idx="24">
                  <c:v>87.2</c:v>
                </c:pt>
                <c:pt idx="25">
                  <c:v>88.9</c:v>
                </c:pt>
                <c:pt idx="26">
                  <c:v>89.7</c:v>
                </c:pt>
                <c:pt idx="27">
                  <c:v>87.3</c:v>
                </c:pt>
                <c:pt idx="28">
                  <c:v>90.7</c:v>
                </c:pt>
                <c:pt idx="29">
                  <c:v>95.5</c:v>
                </c:pt>
                <c:pt idx="30">
                  <c:v>92</c:v>
                </c:pt>
                <c:pt idx="31">
                  <c:v>62.4</c:v>
                </c:pt>
                <c:pt idx="32">
                  <c:v>61.7</c:v>
                </c:pt>
                <c:pt idx="33">
                  <c:v>65.2</c:v>
                </c:pt>
                <c:pt idx="34">
                  <c:v>75.5</c:v>
                </c:pt>
                <c:pt idx="35">
                  <c:v>75.099999999999994</c:v>
                </c:pt>
              </c:numCache>
            </c:numRef>
          </c:val>
          <c:smooth val="0"/>
          <c:extLst>
            <c:ext xmlns:c16="http://schemas.microsoft.com/office/drawing/2014/chart" uri="{C3380CC4-5D6E-409C-BE32-E72D297353CC}">
              <c16:uniqueId val="{00000006-FA4E-4EFF-AC09-45F2629F3E94}"/>
            </c:ext>
          </c:extLst>
        </c:ser>
        <c:dLbls>
          <c:showLegendKey val="0"/>
          <c:showVal val="0"/>
          <c:showCatName val="0"/>
          <c:showSerName val="0"/>
          <c:showPercent val="0"/>
          <c:showBubbleSize val="0"/>
        </c:dLbls>
        <c:smooth val="0"/>
        <c:axId val="159763480"/>
        <c:axId val="159765048"/>
      </c:lineChart>
      <c:catAx>
        <c:axId val="159763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159765048"/>
        <c:crosses val="autoZero"/>
        <c:auto val="0"/>
        <c:lblAlgn val="ctr"/>
        <c:lblOffset val="100"/>
        <c:noMultiLvlLbl val="0"/>
      </c:catAx>
      <c:valAx>
        <c:axId val="159765048"/>
        <c:scaling>
          <c:orientation val="minMax"/>
          <c:max val="116.1"/>
          <c:min val="6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lv-LV">
                    <a:solidFill>
                      <a:sysClr val="windowText" lastClr="000000"/>
                    </a:solidFill>
                  </a:rPr>
                  <a:t>%</a:t>
                </a:r>
              </a:p>
            </c:rich>
          </c:tx>
          <c:layout>
            <c:manualLayout>
              <c:xMode val="edge"/>
              <c:yMode val="edge"/>
              <c:x val="0"/>
              <c:y val="0.3578904698910975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lv-LV"/>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lv-LV"/>
          </a:p>
        </c:txPr>
        <c:crossAx val="159763480"/>
        <c:crosses val="autoZero"/>
        <c:crossBetween val="between"/>
      </c:valAx>
      <c:spPr>
        <a:noFill/>
        <a:ln>
          <a:noFill/>
        </a:ln>
        <a:effectLst/>
      </c:spPr>
    </c:plotArea>
    <c:legend>
      <c:legendPos val="b"/>
      <c:layout>
        <c:manualLayout>
          <c:xMode val="edge"/>
          <c:yMode val="edge"/>
          <c:x val="2.5330137970653976E-2"/>
          <c:y val="0.80504608249736842"/>
          <c:w val="0.95656341777407849"/>
          <c:h val="0.166334605351192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lv-LV"/>
        </a:p>
      </c:txPr>
    </c:legend>
    <c:plotVisOnly val="0"/>
    <c:dispBlanksAs val="gap"/>
    <c:showDLblsOverMax val="0"/>
  </c:chart>
  <c:spPr>
    <a:noFill/>
    <a:ln w="9525" cap="flat" cmpd="sng" algn="ctr">
      <a:noFill/>
      <a:round/>
    </a:ln>
    <a:effectLst/>
  </c:spPr>
  <c:txPr>
    <a:bodyPr/>
    <a:lstStyle/>
    <a:p>
      <a:pPr>
        <a:defRPr/>
      </a:pPr>
      <a:endParaRPr lang="lv-LV"/>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230017396081305"/>
          <c:y val="2.2140221402214021E-2"/>
          <c:w val="0.60105253921748159"/>
          <c:h val="0.43362843943400065"/>
        </c:manualLayout>
      </c:layout>
      <c:lineChart>
        <c:grouping val="standard"/>
        <c:varyColors val="0"/>
        <c:ser>
          <c:idx val="0"/>
          <c:order val="0"/>
          <c:tx>
            <c:strRef>
              <c:f>rupnieciba!$A$42</c:f>
              <c:strCache>
                <c:ptCount val="1"/>
                <c:pt idx="0">
                  <c:v>(BCD) RŪPNIECĪBA</c:v>
                </c:pt>
              </c:strCache>
            </c:strRef>
          </c:tx>
          <c:spPr>
            <a:ln w="28575" cap="rnd">
              <a:solidFill>
                <a:schemeClr val="accent1"/>
              </a:solidFill>
              <a:prstDash val="sysDash"/>
              <a:round/>
            </a:ln>
            <a:effectLst/>
          </c:spPr>
          <c:marker>
            <c:symbol val="none"/>
          </c:marker>
          <c:cat>
            <c:strRef>
              <c:f>rupnieciba!$B$41:$H$41</c:f>
              <c:strCache>
                <c:ptCount val="7"/>
                <c:pt idx="0">
                  <c:v>2020M01</c:v>
                </c:pt>
                <c:pt idx="1">
                  <c:v>2020M02</c:v>
                </c:pt>
                <c:pt idx="2">
                  <c:v>2020M03</c:v>
                </c:pt>
                <c:pt idx="3">
                  <c:v>2020M04</c:v>
                </c:pt>
                <c:pt idx="4">
                  <c:v>2020M05</c:v>
                </c:pt>
                <c:pt idx="5">
                  <c:v>2020M06</c:v>
                </c:pt>
                <c:pt idx="6">
                  <c:v>2020M07</c:v>
                </c:pt>
              </c:strCache>
            </c:strRef>
          </c:cat>
          <c:val>
            <c:numRef>
              <c:f>rupnieciba!$B$42:$H$42</c:f>
              <c:numCache>
                <c:formatCode>General</c:formatCode>
                <c:ptCount val="7"/>
                <c:pt idx="0">
                  <c:v>-4.2000000000000028</c:v>
                </c:pt>
                <c:pt idx="1">
                  <c:v>-1.5</c:v>
                </c:pt>
                <c:pt idx="2">
                  <c:v>-2.2999999999999972</c:v>
                </c:pt>
                <c:pt idx="3">
                  <c:v>-4.0999999999999943</c:v>
                </c:pt>
                <c:pt idx="4">
                  <c:v>-4.5999999999999943</c:v>
                </c:pt>
                <c:pt idx="5">
                  <c:v>-3.7999999999999972</c:v>
                </c:pt>
                <c:pt idx="6">
                  <c:v>-3.2000000000000028</c:v>
                </c:pt>
              </c:numCache>
            </c:numRef>
          </c:val>
          <c:smooth val="0"/>
          <c:extLst>
            <c:ext xmlns:c16="http://schemas.microsoft.com/office/drawing/2014/chart" uri="{C3380CC4-5D6E-409C-BE32-E72D297353CC}">
              <c16:uniqueId val="{00000000-FBDD-4DB8-8695-D0B0AB98CCF3}"/>
            </c:ext>
          </c:extLst>
        </c:ser>
        <c:ser>
          <c:idx val="1"/>
          <c:order val="1"/>
          <c:tx>
            <c:strRef>
              <c:f>rupnieciba!$A$43</c:f>
              <c:strCache>
                <c:ptCount val="1"/>
                <c:pt idx="0">
                  <c:v>(B) Ieguves rūpniecība un karjeru izstrāde</c:v>
                </c:pt>
              </c:strCache>
            </c:strRef>
          </c:tx>
          <c:spPr>
            <a:ln w="9525" cap="rnd">
              <a:solidFill>
                <a:schemeClr val="accent2"/>
              </a:solidFill>
              <a:prstDash val="solid"/>
              <a:round/>
            </a:ln>
            <a:effectLst/>
          </c:spPr>
          <c:marker>
            <c:symbol val="none"/>
          </c:marker>
          <c:cat>
            <c:strRef>
              <c:f>rupnieciba!$B$41:$H$41</c:f>
              <c:strCache>
                <c:ptCount val="7"/>
                <c:pt idx="0">
                  <c:v>2020M01</c:v>
                </c:pt>
                <c:pt idx="1">
                  <c:v>2020M02</c:v>
                </c:pt>
                <c:pt idx="2">
                  <c:v>2020M03</c:v>
                </c:pt>
                <c:pt idx="3">
                  <c:v>2020M04</c:v>
                </c:pt>
                <c:pt idx="4">
                  <c:v>2020M05</c:v>
                </c:pt>
                <c:pt idx="5">
                  <c:v>2020M06</c:v>
                </c:pt>
                <c:pt idx="6">
                  <c:v>2020M07</c:v>
                </c:pt>
              </c:strCache>
            </c:strRef>
          </c:cat>
          <c:val>
            <c:numRef>
              <c:f>rupnieciba!$B$43:$H$43</c:f>
              <c:numCache>
                <c:formatCode>General</c:formatCode>
                <c:ptCount val="7"/>
                <c:pt idx="0">
                  <c:v>10.599999999999994</c:v>
                </c:pt>
                <c:pt idx="1">
                  <c:v>13.599999999999994</c:v>
                </c:pt>
                <c:pt idx="2">
                  <c:v>8.5999999999999943</c:v>
                </c:pt>
                <c:pt idx="3">
                  <c:v>3.0999999999999943</c:v>
                </c:pt>
                <c:pt idx="4">
                  <c:v>2.5</c:v>
                </c:pt>
                <c:pt idx="5">
                  <c:v>3.5999999999999943</c:v>
                </c:pt>
                <c:pt idx="6">
                  <c:v>4.9000000000000057</c:v>
                </c:pt>
              </c:numCache>
            </c:numRef>
          </c:val>
          <c:smooth val="0"/>
          <c:extLst>
            <c:ext xmlns:c16="http://schemas.microsoft.com/office/drawing/2014/chart" uri="{C3380CC4-5D6E-409C-BE32-E72D297353CC}">
              <c16:uniqueId val="{00000001-FBDD-4DB8-8695-D0B0AB98CCF3}"/>
            </c:ext>
          </c:extLst>
        </c:ser>
        <c:ser>
          <c:idx val="2"/>
          <c:order val="2"/>
          <c:tx>
            <c:strRef>
              <c:f>rupnieciba!$A$44</c:f>
              <c:strCache>
                <c:ptCount val="1"/>
                <c:pt idx="0">
                  <c:v>(C) Apstrādes rūpniecība</c:v>
                </c:pt>
              </c:strCache>
            </c:strRef>
          </c:tx>
          <c:spPr>
            <a:ln w="9525" cap="rnd">
              <a:solidFill>
                <a:srgbClr val="C00000"/>
              </a:solidFill>
              <a:round/>
            </a:ln>
            <a:effectLst/>
          </c:spPr>
          <c:marker>
            <c:symbol val="none"/>
          </c:marker>
          <c:cat>
            <c:strRef>
              <c:f>rupnieciba!$B$41:$H$41</c:f>
              <c:strCache>
                <c:ptCount val="7"/>
                <c:pt idx="0">
                  <c:v>2020M01</c:v>
                </c:pt>
                <c:pt idx="1">
                  <c:v>2020M02</c:v>
                </c:pt>
                <c:pt idx="2">
                  <c:v>2020M03</c:v>
                </c:pt>
                <c:pt idx="3">
                  <c:v>2020M04</c:v>
                </c:pt>
                <c:pt idx="4">
                  <c:v>2020M05</c:v>
                </c:pt>
                <c:pt idx="5">
                  <c:v>2020M06</c:v>
                </c:pt>
                <c:pt idx="6">
                  <c:v>2020M07</c:v>
                </c:pt>
              </c:strCache>
            </c:strRef>
          </c:cat>
          <c:val>
            <c:numRef>
              <c:f>rupnieciba!$B$44:$H$44</c:f>
              <c:numCache>
                <c:formatCode>General</c:formatCode>
                <c:ptCount val="7"/>
                <c:pt idx="0">
                  <c:v>-3.2999999999999972</c:v>
                </c:pt>
                <c:pt idx="1">
                  <c:v>-2</c:v>
                </c:pt>
                <c:pt idx="2">
                  <c:v>-2.5</c:v>
                </c:pt>
                <c:pt idx="3">
                  <c:v>-4.4000000000000057</c:v>
                </c:pt>
                <c:pt idx="4">
                  <c:v>-5</c:v>
                </c:pt>
                <c:pt idx="5">
                  <c:v>-4.5</c:v>
                </c:pt>
                <c:pt idx="6">
                  <c:v>-3.5</c:v>
                </c:pt>
              </c:numCache>
            </c:numRef>
          </c:val>
          <c:smooth val="0"/>
          <c:extLst>
            <c:ext xmlns:c16="http://schemas.microsoft.com/office/drawing/2014/chart" uri="{C3380CC4-5D6E-409C-BE32-E72D297353CC}">
              <c16:uniqueId val="{00000002-FBDD-4DB8-8695-D0B0AB98CCF3}"/>
            </c:ext>
          </c:extLst>
        </c:ser>
        <c:ser>
          <c:idx val="3"/>
          <c:order val="3"/>
          <c:tx>
            <c:strRef>
              <c:f>rupnieciba!$A$45</c:f>
              <c:strCache>
                <c:ptCount val="1"/>
                <c:pt idx="0">
                  <c:v>(D) Elektroenerģija un gāzes apgāde</c:v>
                </c:pt>
              </c:strCache>
            </c:strRef>
          </c:tx>
          <c:spPr>
            <a:ln w="9525" cap="rnd">
              <a:solidFill>
                <a:schemeClr val="accent4"/>
              </a:solidFill>
              <a:round/>
            </a:ln>
            <a:effectLst/>
          </c:spPr>
          <c:marker>
            <c:symbol val="none"/>
          </c:marker>
          <c:cat>
            <c:strRef>
              <c:f>rupnieciba!$B$41:$H$41</c:f>
              <c:strCache>
                <c:ptCount val="7"/>
                <c:pt idx="0">
                  <c:v>2020M01</c:v>
                </c:pt>
                <c:pt idx="1">
                  <c:v>2020M02</c:v>
                </c:pt>
                <c:pt idx="2">
                  <c:v>2020M03</c:v>
                </c:pt>
                <c:pt idx="3">
                  <c:v>2020M04</c:v>
                </c:pt>
                <c:pt idx="4">
                  <c:v>2020M05</c:v>
                </c:pt>
                <c:pt idx="5">
                  <c:v>2020M06</c:v>
                </c:pt>
                <c:pt idx="6">
                  <c:v>2020M07</c:v>
                </c:pt>
              </c:strCache>
            </c:strRef>
          </c:cat>
          <c:val>
            <c:numRef>
              <c:f>rupnieciba!$B$45:$H$45</c:f>
              <c:numCache>
                <c:formatCode>General</c:formatCode>
                <c:ptCount val="7"/>
                <c:pt idx="0">
                  <c:v>-10.599999999999994</c:v>
                </c:pt>
                <c:pt idx="1">
                  <c:v>-2.5</c:v>
                </c:pt>
                <c:pt idx="2">
                  <c:v>-3.2999999999999972</c:v>
                </c:pt>
                <c:pt idx="3">
                  <c:v>-4.5</c:v>
                </c:pt>
                <c:pt idx="4">
                  <c:v>-3.9000000000000057</c:v>
                </c:pt>
                <c:pt idx="5">
                  <c:v>-2.4000000000000057</c:v>
                </c:pt>
                <c:pt idx="6">
                  <c:v>-3.5</c:v>
                </c:pt>
              </c:numCache>
            </c:numRef>
          </c:val>
          <c:smooth val="0"/>
          <c:extLst>
            <c:ext xmlns:c16="http://schemas.microsoft.com/office/drawing/2014/chart" uri="{C3380CC4-5D6E-409C-BE32-E72D297353CC}">
              <c16:uniqueId val="{00000003-FBDD-4DB8-8695-D0B0AB98CCF3}"/>
            </c:ext>
          </c:extLst>
        </c:ser>
        <c:dLbls>
          <c:showLegendKey val="0"/>
          <c:showVal val="0"/>
          <c:showCatName val="0"/>
          <c:showSerName val="0"/>
          <c:showPercent val="0"/>
          <c:showBubbleSize val="0"/>
        </c:dLbls>
        <c:smooth val="0"/>
        <c:axId val="862627536"/>
        <c:axId val="862627952"/>
      </c:lineChart>
      <c:catAx>
        <c:axId val="862627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862627952"/>
        <c:crosses val="autoZero"/>
        <c:auto val="1"/>
        <c:lblAlgn val="ctr"/>
        <c:lblOffset val="100"/>
        <c:noMultiLvlLbl val="0"/>
      </c:catAx>
      <c:valAx>
        <c:axId val="8626279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lv-LV">
                    <a:solidFill>
                      <a:sysClr val="windowText" lastClr="000000"/>
                    </a:solidFill>
                  </a:rPr>
                  <a:t>%</a:t>
                </a:r>
              </a:p>
            </c:rich>
          </c:tx>
          <c:layout>
            <c:manualLayout>
              <c:xMode val="edge"/>
              <c:yMode val="edge"/>
              <c:x val="0.27317550967466275"/>
              <c:y val="0.1203635170603674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86262753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lv-LV"/>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lv-LV"/>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47978218951863"/>
          <c:y val="0.12478752717675647"/>
          <c:w val="0.88297900578464306"/>
          <c:h val="0.54502716177368271"/>
        </c:manualLayout>
      </c:layout>
      <c:barChart>
        <c:barDir val="col"/>
        <c:grouping val="stacked"/>
        <c:varyColors val="0"/>
        <c:ser>
          <c:idx val="1"/>
          <c:order val="1"/>
          <c:tx>
            <c:strRef>
              <c:f>TI0030m!$B$47</c:f>
              <c:strCache>
                <c:ptCount val="1"/>
                <c:pt idx="0">
                  <c:v>Mazumtirdzniecība pārtikas veikalos pavisam</c:v>
                </c:pt>
              </c:strCache>
            </c:strRef>
          </c:tx>
          <c:spPr>
            <a:solidFill>
              <a:srgbClr val="C0504D"/>
            </a:solidFill>
            <a:ln>
              <a:noFill/>
            </a:ln>
            <a:effectLst/>
          </c:spPr>
          <c:invertIfNegative val="0"/>
          <c:cat>
            <c:numRef>
              <c:f>TI0030m!$O$24:$AZ$24</c:f>
              <c:numCache>
                <c:formatCode>General</c:formatCode>
                <c:ptCount val="38"/>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numCache>
            </c:numRef>
          </c:cat>
          <c:val>
            <c:numRef>
              <c:f>TI0030m!$O$47:$AY$47</c:f>
              <c:numCache>
                <c:formatCode>0.0</c:formatCode>
                <c:ptCount val="37"/>
                <c:pt idx="0">
                  <c:v>5.1371661143011931</c:v>
                </c:pt>
                <c:pt idx="1">
                  <c:v>3.7646770559419327</c:v>
                </c:pt>
                <c:pt idx="2">
                  <c:v>3.1599847988815322</c:v>
                </c:pt>
                <c:pt idx="3">
                  <c:v>4.075786219433871</c:v>
                </c:pt>
                <c:pt idx="4">
                  <c:v>4.9255342110943232</c:v>
                </c:pt>
                <c:pt idx="5">
                  <c:v>3.2880047181454519</c:v>
                </c:pt>
                <c:pt idx="6">
                  <c:v>2.2197720689205851</c:v>
                </c:pt>
                <c:pt idx="7">
                  <c:v>3.4298614190297219</c:v>
                </c:pt>
                <c:pt idx="8">
                  <c:v>0.56221191685652794</c:v>
                </c:pt>
                <c:pt idx="9">
                  <c:v>3.0219021310181531</c:v>
                </c:pt>
                <c:pt idx="10">
                  <c:v>3.2165771899960718</c:v>
                </c:pt>
                <c:pt idx="11">
                  <c:v>2.4070247769817534</c:v>
                </c:pt>
                <c:pt idx="12">
                  <c:v>1.7752884535313005</c:v>
                </c:pt>
                <c:pt idx="13">
                  <c:v>2.030844960867467</c:v>
                </c:pt>
                <c:pt idx="14">
                  <c:v>2.2636790028688338</c:v>
                </c:pt>
                <c:pt idx="15">
                  <c:v>2.4114686696644645</c:v>
                </c:pt>
                <c:pt idx="16">
                  <c:v>1.4810226135709974</c:v>
                </c:pt>
                <c:pt idx="17">
                  <c:v>0.99358817483236261</c:v>
                </c:pt>
                <c:pt idx="18">
                  <c:v>2.6407422255311839</c:v>
                </c:pt>
                <c:pt idx="19">
                  <c:v>1.4538458487048276</c:v>
                </c:pt>
                <c:pt idx="20">
                  <c:v>4.3025913749116693</c:v>
                </c:pt>
                <c:pt idx="21">
                  <c:v>1.8576836116658089</c:v>
                </c:pt>
                <c:pt idx="22">
                  <c:v>2.4195294782875463</c:v>
                </c:pt>
                <c:pt idx="23">
                  <c:v>1.9821314877260829</c:v>
                </c:pt>
                <c:pt idx="24">
                  <c:v>2.0005499293675375</c:v>
                </c:pt>
                <c:pt idx="25">
                  <c:v>0.91587899922853533</c:v>
                </c:pt>
                <c:pt idx="26">
                  <c:v>1.4381489855669853</c:v>
                </c:pt>
                <c:pt idx="27">
                  <c:v>1.5831445499357284</c:v>
                </c:pt>
                <c:pt idx="28">
                  <c:v>0.91889188363110963</c:v>
                </c:pt>
                <c:pt idx="29">
                  <c:v>3.0485398246507689</c:v>
                </c:pt>
                <c:pt idx="30">
                  <c:v>4.1191251711850008</c:v>
                </c:pt>
                <c:pt idx="31">
                  <c:v>3.5774068732687252</c:v>
                </c:pt>
                <c:pt idx="32">
                  <c:v>-5.1621836644216226E-2</c:v>
                </c:pt>
                <c:pt idx="33">
                  <c:v>1.664140220636549</c:v>
                </c:pt>
                <c:pt idx="34">
                  <c:v>1.9122152956922589</c:v>
                </c:pt>
                <c:pt idx="35">
                  <c:v>1.9503972022658966</c:v>
                </c:pt>
                <c:pt idx="36">
                  <c:v>2.0754399317648335</c:v>
                </c:pt>
              </c:numCache>
            </c:numRef>
          </c:val>
          <c:extLst>
            <c:ext xmlns:c16="http://schemas.microsoft.com/office/drawing/2014/chart" uri="{C3380CC4-5D6E-409C-BE32-E72D297353CC}">
              <c16:uniqueId val="{00000000-5DCA-41F4-94AD-AAB4D88FA51B}"/>
            </c:ext>
          </c:extLst>
        </c:ser>
        <c:ser>
          <c:idx val="2"/>
          <c:order val="2"/>
          <c:tx>
            <c:strRef>
              <c:f>TI0030m!$B$48</c:f>
              <c:strCache>
                <c:ptCount val="1"/>
                <c:pt idx="0">
                  <c:v>Nepārtikas preču mazumtirdzniecība bez auto degvielas mazumtirdzniecības</c:v>
                </c:pt>
              </c:strCache>
            </c:strRef>
          </c:tx>
          <c:spPr>
            <a:solidFill>
              <a:schemeClr val="accent3">
                <a:lumMod val="50000"/>
              </a:schemeClr>
            </a:solidFill>
            <a:ln>
              <a:noFill/>
            </a:ln>
            <a:effectLst/>
          </c:spPr>
          <c:invertIfNegative val="0"/>
          <c:cat>
            <c:numRef>
              <c:f>TI0030m!$O$24:$AZ$24</c:f>
              <c:numCache>
                <c:formatCode>General</c:formatCode>
                <c:ptCount val="38"/>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numCache>
            </c:numRef>
          </c:cat>
          <c:val>
            <c:numRef>
              <c:f>TI0030m!$O$48:$AY$48</c:f>
              <c:numCache>
                <c:formatCode>0.0</c:formatCode>
                <c:ptCount val="37"/>
                <c:pt idx="0">
                  <c:v>2.6816201085557005</c:v>
                </c:pt>
                <c:pt idx="1">
                  <c:v>2.6111088423658</c:v>
                </c:pt>
                <c:pt idx="2">
                  <c:v>3.3086838132493788</c:v>
                </c:pt>
                <c:pt idx="3">
                  <c:v>2.5753743772474427</c:v>
                </c:pt>
                <c:pt idx="4">
                  <c:v>1.4740526039900095</c:v>
                </c:pt>
                <c:pt idx="5">
                  <c:v>3.1668478680728147</c:v>
                </c:pt>
                <c:pt idx="6">
                  <c:v>0.2680244970781922</c:v>
                </c:pt>
                <c:pt idx="7">
                  <c:v>1.1755452798716244</c:v>
                </c:pt>
                <c:pt idx="8">
                  <c:v>3.1450868330425443</c:v>
                </c:pt>
                <c:pt idx="9">
                  <c:v>2.7940015785319652</c:v>
                </c:pt>
                <c:pt idx="10">
                  <c:v>1.9546287809349221</c:v>
                </c:pt>
                <c:pt idx="11">
                  <c:v>1.1541204179418318</c:v>
                </c:pt>
                <c:pt idx="12">
                  <c:v>0.81639828639634338</c:v>
                </c:pt>
                <c:pt idx="13">
                  <c:v>1.4140452540919577</c:v>
                </c:pt>
                <c:pt idx="14">
                  <c:v>1.9520755134301755</c:v>
                </c:pt>
                <c:pt idx="15">
                  <c:v>2.9448756918799877</c:v>
                </c:pt>
                <c:pt idx="16">
                  <c:v>0.96474863580631942</c:v>
                </c:pt>
                <c:pt idx="17">
                  <c:v>1.6772481593097324</c:v>
                </c:pt>
                <c:pt idx="18">
                  <c:v>4.8217933298971039</c:v>
                </c:pt>
                <c:pt idx="19">
                  <c:v>3.4911473415579088</c:v>
                </c:pt>
                <c:pt idx="20">
                  <c:v>2.9657657179445498</c:v>
                </c:pt>
                <c:pt idx="21">
                  <c:v>2.0578249408502858</c:v>
                </c:pt>
                <c:pt idx="22">
                  <c:v>1.1941999867662008</c:v>
                </c:pt>
                <c:pt idx="23">
                  <c:v>3.419541585115665</c:v>
                </c:pt>
                <c:pt idx="24">
                  <c:v>2.2794426800473113</c:v>
                </c:pt>
                <c:pt idx="25">
                  <c:v>1.4490049361189685</c:v>
                </c:pt>
                <c:pt idx="26">
                  <c:v>1.3257036170432022</c:v>
                </c:pt>
                <c:pt idx="27">
                  <c:v>1.7603761092478281</c:v>
                </c:pt>
                <c:pt idx="28">
                  <c:v>3.1540192836700101</c:v>
                </c:pt>
                <c:pt idx="29">
                  <c:v>1.7646245239291991</c:v>
                </c:pt>
                <c:pt idx="30">
                  <c:v>3.5141676179417907</c:v>
                </c:pt>
                <c:pt idx="31">
                  <c:v>-2.1562152081287906</c:v>
                </c:pt>
                <c:pt idx="32">
                  <c:v>-5.9188990580533103</c:v>
                </c:pt>
                <c:pt idx="33">
                  <c:v>-2.1128485630958282</c:v>
                </c:pt>
                <c:pt idx="34">
                  <c:v>1.9048199078041645</c:v>
                </c:pt>
                <c:pt idx="35">
                  <c:v>1.8230243237505728</c:v>
                </c:pt>
                <c:pt idx="36">
                  <c:v>0.64742705836026881</c:v>
                </c:pt>
              </c:numCache>
            </c:numRef>
          </c:val>
          <c:extLst>
            <c:ext xmlns:c16="http://schemas.microsoft.com/office/drawing/2014/chart" uri="{C3380CC4-5D6E-409C-BE32-E72D297353CC}">
              <c16:uniqueId val="{00000001-5DCA-41F4-94AD-AAB4D88FA51B}"/>
            </c:ext>
          </c:extLst>
        </c:ser>
        <c:ser>
          <c:idx val="3"/>
          <c:order val="3"/>
          <c:tx>
            <c:strRef>
              <c:f>TI0030m!$B$46</c:f>
              <c:strCache>
                <c:ptCount val="1"/>
                <c:pt idx="0">
                  <c:v>Auto degvielas mazumtirdzniecība</c:v>
                </c:pt>
              </c:strCache>
            </c:strRef>
          </c:tx>
          <c:spPr>
            <a:solidFill>
              <a:srgbClr val="002060"/>
            </a:solidFill>
            <a:ln>
              <a:noFill/>
            </a:ln>
            <a:effectLst/>
          </c:spPr>
          <c:invertIfNegative val="0"/>
          <c:cat>
            <c:numRef>
              <c:f>TI0030m!$O$24:$AZ$24</c:f>
              <c:numCache>
                <c:formatCode>General</c:formatCode>
                <c:ptCount val="38"/>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numCache>
            </c:numRef>
          </c:cat>
          <c:val>
            <c:numRef>
              <c:f>TI0030m!$O$46:$AY$46</c:f>
              <c:numCache>
                <c:formatCode>0.0</c:formatCode>
                <c:ptCount val="37"/>
                <c:pt idx="0">
                  <c:v>0.61267419578151072</c:v>
                </c:pt>
                <c:pt idx="1">
                  <c:v>0.68038685461347381</c:v>
                </c:pt>
                <c:pt idx="2">
                  <c:v>0.72083285394026242</c:v>
                </c:pt>
                <c:pt idx="3">
                  <c:v>1.6805701202143757</c:v>
                </c:pt>
                <c:pt idx="4">
                  <c:v>1.6138879467176466</c:v>
                </c:pt>
                <c:pt idx="5">
                  <c:v>1.3366822619211369</c:v>
                </c:pt>
                <c:pt idx="6">
                  <c:v>2.5228783064540377</c:v>
                </c:pt>
                <c:pt idx="7">
                  <c:v>1.8492712006362477</c:v>
                </c:pt>
                <c:pt idx="8">
                  <c:v>2.1082508065450383</c:v>
                </c:pt>
                <c:pt idx="9">
                  <c:v>3.7817350697184948</c:v>
                </c:pt>
                <c:pt idx="10">
                  <c:v>3.6678342281000393</c:v>
                </c:pt>
                <c:pt idx="11">
                  <c:v>4.1978410467921421</c:v>
                </c:pt>
                <c:pt idx="12">
                  <c:v>3.4077766023397045</c:v>
                </c:pt>
                <c:pt idx="13">
                  <c:v>2.326391365135807</c:v>
                </c:pt>
                <c:pt idx="14">
                  <c:v>3.1013979872626383</c:v>
                </c:pt>
                <c:pt idx="15">
                  <c:v>2.6514599609783871</c:v>
                </c:pt>
                <c:pt idx="16">
                  <c:v>0.29217938415380029</c:v>
                </c:pt>
                <c:pt idx="17">
                  <c:v>0.96614388499269321</c:v>
                </c:pt>
                <c:pt idx="18">
                  <c:v>-0.26611686997690093</c:v>
                </c:pt>
                <c:pt idx="19">
                  <c:v>0.60907480132756819</c:v>
                </c:pt>
                <c:pt idx="20">
                  <c:v>1.9860793635522174</c:v>
                </c:pt>
                <c:pt idx="21">
                  <c:v>0.20479228960780402</c:v>
                </c:pt>
                <c:pt idx="22">
                  <c:v>9.3990050589204829E-2</c:v>
                </c:pt>
                <c:pt idx="23">
                  <c:v>0.12453722262833966</c:v>
                </c:pt>
                <c:pt idx="24">
                  <c:v>0.27801984692177761</c:v>
                </c:pt>
                <c:pt idx="25">
                  <c:v>-0.13234067374574282</c:v>
                </c:pt>
                <c:pt idx="26">
                  <c:v>-1.1111178463832598</c:v>
                </c:pt>
                <c:pt idx="27">
                  <c:v>-1.2962868205154445</c:v>
                </c:pt>
                <c:pt idx="28">
                  <c:v>0.31995887632332104</c:v>
                </c:pt>
                <c:pt idx="29">
                  <c:v>8.905770872057131E-2</c:v>
                </c:pt>
                <c:pt idx="30">
                  <c:v>2.2308811508618467</c:v>
                </c:pt>
                <c:pt idx="31">
                  <c:v>-0.24646933461109052</c:v>
                </c:pt>
                <c:pt idx="32">
                  <c:v>-4.1212445113841332</c:v>
                </c:pt>
                <c:pt idx="33">
                  <c:v>-4.1748319865358683</c:v>
                </c:pt>
                <c:pt idx="34">
                  <c:v>-1.7457465644073034</c:v>
                </c:pt>
                <c:pt idx="35">
                  <c:v>-0.75013128344934699</c:v>
                </c:pt>
                <c:pt idx="36">
                  <c:v>-0.75790569243249184</c:v>
                </c:pt>
              </c:numCache>
            </c:numRef>
          </c:val>
          <c:extLst>
            <c:ext xmlns:c16="http://schemas.microsoft.com/office/drawing/2014/chart" uri="{C3380CC4-5D6E-409C-BE32-E72D297353CC}">
              <c16:uniqueId val="{00000002-5DCA-41F4-94AD-AAB4D88FA51B}"/>
            </c:ext>
          </c:extLst>
        </c:ser>
        <c:dLbls>
          <c:showLegendKey val="0"/>
          <c:showVal val="0"/>
          <c:showCatName val="0"/>
          <c:showSerName val="0"/>
          <c:showPercent val="0"/>
          <c:showBubbleSize val="0"/>
        </c:dLbls>
        <c:gapWidth val="219"/>
        <c:overlap val="100"/>
        <c:axId val="323215608"/>
        <c:axId val="323216000"/>
      </c:barChart>
      <c:lineChart>
        <c:grouping val="standard"/>
        <c:varyColors val="0"/>
        <c:ser>
          <c:idx val="0"/>
          <c:order val="0"/>
          <c:tx>
            <c:strRef>
              <c:f>TI0030m!$B$45</c:f>
              <c:strCache>
                <c:ptCount val="1"/>
                <c:pt idx="0">
                  <c:v>MAZUMTIRDZNIECĪBA, IESKAITOT AUTO DEGVIELAS MAZUMTIRDZNIECĪBU</c:v>
                </c:pt>
              </c:strCache>
            </c:strRef>
          </c:tx>
          <c:spPr>
            <a:ln w="28575" cap="rnd">
              <a:solidFill>
                <a:srgbClr val="C00000"/>
              </a:solidFill>
              <a:round/>
            </a:ln>
            <a:effectLst/>
          </c:spPr>
          <c:marker>
            <c:symbol val="none"/>
          </c:marker>
          <c:dLbls>
            <c:spPr>
              <a:solidFill>
                <a:srgbClr val="FFFFFF">
                  <a:alpha val="69804"/>
                </a:srgbClr>
              </a:solid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TI0030m!$O$43:$AY$44</c:f>
              <c:multiLvlStrCache>
                <c:ptCount val="37"/>
                <c:lvl>
                  <c:pt idx="0">
                    <c:v>8</c:v>
                  </c:pt>
                  <c:pt idx="1">
                    <c:v>9</c:v>
                  </c:pt>
                  <c:pt idx="2">
                    <c:v>10</c:v>
                  </c:pt>
                  <c:pt idx="3">
                    <c:v>11</c:v>
                  </c:pt>
                  <c:pt idx="4">
                    <c:v>12</c:v>
                  </c:pt>
                  <c:pt idx="5">
                    <c:v>1</c:v>
                  </c:pt>
                  <c:pt idx="6">
                    <c:v>2</c:v>
                  </c:pt>
                  <c:pt idx="7">
                    <c:v>3</c:v>
                  </c:pt>
                  <c:pt idx="8">
                    <c:v>4</c:v>
                  </c:pt>
                  <c:pt idx="9">
                    <c:v>5</c:v>
                  </c:pt>
                  <c:pt idx="10">
                    <c:v>6</c:v>
                  </c:pt>
                  <c:pt idx="11">
                    <c:v>7</c:v>
                  </c:pt>
                  <c:pt idx="12">
                    <c:v>8</c:v>
                  </c:pt>
                  <c:pt idx="13">
                    <c:v>9</c:v>
                  </c:pt>
                  <c:pt idx="14">
                    <c:v>10</c:v>
                  </c:pt>
                  <c:pt idx="15">
                    <c:v>11</c:v>
                  </c:pt>
                  <c:pt idx="16">
                    <c:v>12</c:v>
                  </c:pt>
                  <c:pt idx="17">
                    <c:v>1</c:v>
                  </c:pt>
                  <c:pt idx="18">
                    <c:v>2</c:v>
                  </c:pt>
                  <c:pt idx="19">
                    <c:v>3</c:v>
                  </c:pt>
                  <c:pt idx="20">
                    <c:v>4</c:v>
                  </c:pt>
                  <c:pt idx="21">
                    <c:v>5</c:v>
                  </c:pt>
                  <c:pt idx="22">
                    <c:v>6</c:v>
                  </c:pt>
                  <c:pt idx="23">
                    <c:v>7</c:v>
                  </c:pt>
                  <c:pt idx="24">
                    <c:v>8</c:v>
                  </c:pt>
                  <c:pt idx="25">
                    <c:v>9</c:v>
                  </c:pt>
                  <c:pt idx="26">
                    <c:v>10</c:v>
                  </c:pt>
                  <c:pt idx="27">
                    <c:v>11</c:v>
                  </c:pt>
                  <c:pt idx="28">
                    <c:v>12</c:v>
                  </c:pt>
                  <c:pt idx="29">
                    <c:v>1</c:v>
                  </c:pt>
                  <c:pt idx="30">
                    <c:v>2</c:v>
                  </c:pt>
                  <c:pt idx="31">
                    <c:v>3</c:v>
                  </c:pt>
                  <c:pt idx="32">
                    <c:v>4</c:v>
                  </c:pt>
                  <c:pt idx="33">
                    <c:v>5</c:v>
                  </c:pt>
                  <c:pt idx="34">
                    <c:v>6</c:v>
                  </c:pt>
                  <c:pt idx="35">
                    <c:v>7</c:v>
                  </c:pt>
                  <c:pt idx="36">
                    <c:v>8</c:v>
                  </c:pt>
                </c:lvl>
                <c:lvl>
                  <c:pt idx="0">
                    <c:v>2017</c:v>
                  </c:pt>
                  <c:pt idx="5">
                    <c:v>2018</c:v>
                  </c:pt>
                  <c:pt idx="17">
                    <c:v>2019</c:v>
                  </c:pt>
                  <c:pt idx="29">
                    <c:v>2020</c:v>
                  </c:pt>
                </c:lvl>
              </c:multiLvlStrCache>
            </c:multiLvlStrRef>
          </c:cat>
          <c:val>
            <c:numRef>
              <c:f>TI0030m!$O$45:$AY$45</c:f>
              <c:numCache>
                <c:formatCode>0.0</c:formatCode>
                <c:ptCount val="37"/>
                <c:pt idx="0">
                  <c:v>8.4316276332114803</c:v>
                </c:pt>
                <c:pt idx="1">
                  <c:v>7.0563503069020594</c:v>
                </c:pt>
                <c:pt idx="2">
                  <c:v>7.1895014660711798</c:v>
                </c:pt>
                <c:pt idx="3">
                  <c:v>8.3317307168956809</c:v>
                </c:pt>
                <c:pt idx="4">
                  <c:v>8.0134747618019873</c:v>
                </c:pt>
                <c:pt idx="5">
                  <c:v>7.7915348481394142</c:v>
                </c:pt>
                <c:pt idx="6">
                  <c:v>5.0106748724528138</c:v>
                </c:pt>
                <c:pt idx="7">
                  <c:v>6.4546778995375975</c:v>
                </c:pt>
                <c:pt idx="8">
                  <c:v>5.8155495564440995</c:v>
                </c:pt>
                <c:pt idx="9">
                  <c:v>9.5976387792686033</c:v>
                </c:pt>
                <c:pt idx="10">
                  <c:v>8.8392038758674971</c:v>
                </c:pt>
                <c:pt idx="11">
                  <c:v>7.7589862417157374</c:v>
                </c:pt>
                <c:pt idx="12">
                  <c:v>5.9993091302751989</c:v>
                </c:pt>
                <c:pt idx="13">
                  <c:v>5.7711157291388426</c:v>
                </c:pt>
                <c:pt idx="14">
                  <c:v>7.3171525035616414</c:v>
                </c:pt>
                <c:pt idx="15">
                  <c:v>8.0076368477906001</c:v>
                </c:pt>
                <c:pt idx="16">
                  <c:v>2.7380933689410636</c:v>
                </c:pt>
                <c:pt idx="17">
                  <c:v>3.6369802191347889</c:v>
                </c:pt>
                <c:pt idx="18">
                  <c:v>7.1964186854513779</c:v>
                </c:pt>
                <c:pt idx="19">
                  <c:v>5.5540679915903057</c:v>
                </c:pt>
                <c:pt idx="20">
                  <c:v>9.2544364564084436</c:v>
                </c:pt>
                <c:pt idx="21">
                  <c:v>4.1203008421238918</c:v>
                </c:pt>
                <c:pt idx="22">
                  <c:v>3.7077195156429488</c:v>
                </c:pt>
                <c:pt idx="23">
                  <c:v>5.5262102954700909</c:v>
                </c:pt>
                <c:pt idx="24">
                  <c:v>4.5580124563366242</c:v>
                </c:pt>
                <c:pt idx="25">
                  <c:v>2.2325432616017604</c:v>
                </c:pt>
                <c:pt idx="26">
                  <c:v>1.6527347562269368</c:v>
                </c:pt>
                <c:pt idx="27">
                  <c:v>2.0473888969002374</c:v>
                </c:pt>
                <c:pt idx="28">
                  <c:v>4.3927311122843093</c:v>
                </c:pt>
                <c:pt idx="29">
                  <c:v>4.9022220573005315</c:v>
                </c:pt>
                <c:pt idx="30">
                  <c:v>9.8641739399886408</c:v>
                </c:pt>
                <c:pt idx="31">
                  <c:v>1.1747223305288435</c:v>
                </c:pt>
                <c:pt idx="32">
                  <c:v>-10.091765406081654</c:v>
                </c:pt>
                <c:pt idx="33">
                  <c:v>-4.623540328995146</c:v>
                </c:pt>
                <c:pt idx="34">
                  <c:v>2.0712886390891194</c:v>
                </c:pt>
                <c:pt idx="35">
                  <c:v>3.0232902425671115</c:v>
                </c:pt>
                <c:pt idx="36">
                  <c:v>1.9649612976926134</c:v>
                </c:pt>
              </c:numCache>
            </c:numRef>
          </c:val>
          <c:smooth val="0"/>
          <c:extLst>
            <c:ext xmlns:c16="http://schemas.microsoft.com/office/drawing/2014/chart" uri="{C3380CC4-5D6E-409C-BE32-E72D297353CC}">
              <c16:uniqueId val="{00000003-5DCA-41F4-94AD-AAB4D88FA51B}"/>
            </c:ext>
          </c:extLst>
        </c:ser>
        <c:dLbls>
          <c:showLegendKey val="0"/>
          <c:showVal val="0"/>
          <c:showCatName val="0"/>
          <c:showSerName val="0"/>
          <c:showPercent val="0"/>
          <c:showBubbleSize val="0"/>
        </c:dLbls>
        <c:marker val="1"/>
        <c:smooth val="0"/>
        <c:axId val="323215608"/>
        <c:axId val="323216000"/>
      </c:lineChart>
      <c:catAx>
        <c:axId val="32321560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crossAx val="323216000"/>
        <c:crosses val="autoZero"/>
        <c:auto val="1"/>
        <c:lblAlgn val="ctr"/>
        <c:lblOffset val="100"/>
        <c:noMultiLvlLbl val="0"/>
      </c:catAx>
      <c:valAx>
        <c:axId val="3232160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lv-LV" sz="1200">
                    <a:solidFill>
                      <a:sysClr val="windowText" lastClr="000000"/>
                    </a:solidFill>
                  </a:rPr>
                  <a:t>%</a:t>
                </a:r>
                <a:endParaRPr lang="en-GB" sz="1200">
                  <a:solidFill>
                    <a:sysClr val="windowText" lastClr="000000"/>
                  </a:solidFill>
                </a:endParaRPr>
              </a:p>
            </c:rich>
          </c:tx>
          <c:layout>
            <c:manualLayout>
              <c:xMode val="edge"/>
              <c:yMode val="edge"/>
              <c:x val="9.3667228509511195E-3"/>
              <c:y val="0.37020423334913366"/>
            </c:manualLayout>
          </c:layout>
          <c:overlay val="0"/>
          <c:spPr>
            <a:noFill/>
            <a:ln>
              <a:noFill/>
            </a:ln>
            <a:effectLst/>
          </c:spPr>
          <c:txPr>
            <a:bodyPr rot="0" spcFirstLastPara="1" vertOverflow="ellipsis"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crossAx val="323215608"/>
        <c:crosses val="autoZero"/>
        <c:crossBetween val="between"/>
      </c:valAx>
      <c:spPr>
        <a:noFill/>
        <a:ln>
          <a:noFill/>
        </a:ln>
        <a:effectLst/>
      </c:spPr>
    </c:plotArea>
    <c:legend>
      <c:legendPos val="b"/>
      <c:layout>
        <c:manualLayout>
          <c:xMode val="edge"/>
          <c:yMode val="edge"/>
          <c:x val="1.0436246637000861E-2"/>
          <c:y val="0.78717363761511894"/>
          <c:w val="0.96227222139009649"/>
          <c:h val="0.18298303982830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legend>
    <c:plotVisOnly val="1"/>
    <c:dispBlanksAs val="gap"/>
    <c:showDLblsOverMax val="0"/>
  </c:chart>
  <c:spPr>
    <a:no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lv-LV"/>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378091795924476E-2"/>
          <c:y val="4.1457311291585953E-2"/>
          <c:w val="0.91617429740257883"/>
          <c:h val="0.73587953992661914"/>
        </c:manualLayout>
      </c:layout>
      <c:barChart>
        <c:barDir val="col"/>
        <c:grouping val="stacked"/>
        <c:varyColors val="0"/>
        <c:ser>
          <c:idx val="1"/>
          <c:order val="1"/>
          <c:tx>
            <c:strRef>
              <c:f>'rail&amp;roads'!$J$5</c:f>
              <c:strCache>
                <c:ptCount val="1"/>
                <c:pt idx="0">
                  <c:v>Pārvadājumi pa dzelzceļu</c:v>
                </c:pt>
              </c:strCache>
            </c:strRef>
          </c:tx>
          <c:spPr>
            <a:solidFill>
              <a:srgbClr val="C0504D"/>
            </a:solidFill>
            <a:ln>
              <a:noFill/>
            </a:ln>
            <a:effectLst/>
          </c:spPr>
          <c:invertIfNegative val="0"/>
          <c:cat>
            <c:strRef>
              <c:f>'rail&amp;roads'!$H$6:$H$32</c:f>
              <c:strCache>
                <c:ptCount val="27"/>
                <c:pt idx="0">
                  <c:v>IV</c:v>
                </c:pt>
                <c:pt idx="1">
                  <c:v>I</c:v>
                </c:pt>
                <c:pt idx="2">
                  <c:v>II</c:v>
                </c:pt>
                <c:pt idx="3">
                  <c:v>III</c:v>
                </c:pt>
                <c:pt idx="4">
                  <c:v>IV</c:v>
                </c:pt>
                <c:pt idx="5">
                  <c:v>I</c:v>
                </c:pt>
                <c:pt idx="6">
                  <c:v>II</c:v>
                </c:pt>
                <c:pt idx="7">
                  <c:v>III</c:v>
                </c:pt>
                <c:pt idx="8">
                  <c:v>IV</c:v>
                </c:pt>
                <c:pt idx="9">
                  <c:v>I</c:v>
                </c:pt>
                <c:pt idx="10">
                  <c:v>II</c:v>
                </c:pt>
                <c:pt idx="11">
                  <c:v>III</c:v>
                </c:pt>
                <c:pt idx="12">
                  <c:v>IV</c:v>
                </c:pt>
                <c:pt idx="13">
                  <c:v>I</c:v>
                </c:pt>
                <c:pt idx="14">
                  <c:v>II</c:v>
                </c:pt>
                <c:pt idx="15">
                  <c:v>III</c:v>
                </c:pt>
                <c:pt idx="16">
                  <c:v>IV</c:v>
                </c:pt>
                <c:pt idx="17">
                  <c:v>I</c:v>
                </c:pt>
                <c:pt idx="18">
                  <c:v>II</c:v>
                </c:pt>
                <c:pt idx="19">
                  <c:v>III</c:v>
                </c:pt>
                <c:pt idx="20">
                  <c:v>IV</c:v>
                </c:pt>
                <c:pt idx="21">
                  <c:v>I</c:v>
                </c:pt>
                <c:pt idx="22">
                  <c:v>II</c:v>
                </c:pt>
                <c:pt idx="23">
                  <c:v>III</c:v>
                </c:pt>
                <c:pt idx="24">
                  <c:v>IV</c:v>
                </c:pt>
                <c:pt idx="25">
                  <c:v>I</c:v>
                </c:pt>
                <c:pt idx="26">
                  <c:v>II</c:v>
                </c:pt>
              </c:strCache>
            </c:strRef>
          </c:cat>
          <c:val>
            <c:numRef>
              <c:f>'rail&amp;roads'!$J$6:$J$32</c:f>
              <c:numCache>
                <c:formatCode>0.0</c:formatCode>
                <c:ptCount val="27"/>
                <c:pt idx="0">
                  <c:v>3.1784620925625742</c:v>
                </c:pt>
                <c:pt idx="1">
                  <c:v>4.3799466542629384</c:v>
                </c:pt>
                <c:pt idx="2">
                  <c:v>0.62045742595115971</c:v>
                </c:pt>
                <c:pt idx="3">
                  <c:v>-1.1932029167912619</c:v>
                </c:pt>
                <c:pt idx="4">
                  <c:v>0.63246275076563463</c:v>
                </c:pt>
                <c:pt idx="5">
                  <c:v>-2.341454402040867</c:v>
                </c:pt>
                <c:pt idx="6">
                  <c:v>-0.34773148912611079</c:v>
                </c:pt>
                <c:pt idx="7">
                  <c:v>2.2843354645400966</c:v>
                </c:pt>
                <c:pt idx="8">
                  <c:v>-4.3784141423209073</c:v>
                </c:pt>
                <c:pt idx="9">
                  <c:v>-11.664041341955453</c:v>
                </c:pt>
                <c:pt idx="10">
                  <c:v>-8.7270021645021636</c:v>
                </c:pt>
                <c:pt idx="11">
                  <c:v>-7.5972727738760417</c:v>
                </c:pt>
                <c:pt idx="12">
                  <c:v>1.7611851227774584</c:v>
                </c:pt>
                <c:pt idx="13">
                  <c:v>4.2626134038061796</c:v>
                </c:pt>
                <c:pt idx="14">
                  <c:v>-2.8603804305972695</c:v>
                </c:pt>
                <c:pt idx="15">
                  <c:v>-4.0934796075375184</c:v>
                </c:pt>
                <c:pt idx="16">
                  <c:v>-10.597221697026784</c:v>
                </c:pt>
                <c:pt idx="17">
                  <c:v>-7.5941103174742466</c:v>
                </c:pt>
                <c:pt idx="18">
                  <c:v>5.9997826844465791</c:v>
                </c:pt>
                <c:pt idx="19">
                  <c:v>11.39790199351328</c:v>
                </c:pt>
                <c:pt idx="20">
                  <c:v>9.8670685068786899</c:v>
                </c:pt>
                <c:pt idx="21">
                  <c:v>-0.88526793837287321</c:v>
                </c:pt>
                <c:pt idx="22">
                  <c:v>-5.1456398457399217</c:v>
                </c:pt>
                <c:pt idx="23">
                  <c:v>-7.5693474649771426</c:v>
                </c:pt>
                <c:pt idx="24">
                  <c:v>-10.039247587624109</c:v>
                </c:pt>
                <c:pt idx="25">
                  <c:v>-21.557852683386248</c:v>
                </c:pt>
                <c:pt idx="26">
                  <c:v>-15.91709406948787</c:v>
                </c:pt>
              </c:numCache>
            </c:numRef>
          </c:val>
          <c:extLst>
            <c:ext xmlns:c16="http://schemas.microsoft.com/office/drawing/2014/chart" uri="{C3380CC4-5D6E-409C-BE32-E72D297353CC}">
              <c16:uniqueId val="{00000000-83C7-48DB-87C1-912712D1BBF3}"/>
            </c:ext>
          </c:extLst>
        </c:ser>
        <c:ser>
          <c:idx val="2"/>
          <c:order val="2"/>
          <c:tx>
            <c:strRef>
              <c:f>'rail&amp;roads'!$K$5</c:f>
              <c:strCache>
                <c:ptCount val="1"/>
                <c:pt idx="0">
                  <c:v>Pārvadājumi pa ceļiem</c:v>
                </c:pt>
              </c:strCache>
            </c:strRef>
          </c:tx>
          <c:spPr>
            <a:solidFill>
              <a:srgbClr val="9BBB59"/>
            </a:solidFill>
            <a:ln>
              <a:noFill/>
            </a:ln>
            <a:effectLst/>
          </c:spPr>
          <c:invertIfNegative val="0"/>
          <c:cat>
            <c:strRef>
              <c:f>'rail&amp;roads'!$H$6:$H$32</c:f>
              <c:strCache>
                <c:ptCount val="27"/>
                <c:pt idx="0">
                  <c:v>IV</c:v>
                </c:pt>
                <c:pt idx="1">
                  <c:v>I</c:v>
                </c:pt>
                <c:pt idx="2">
                  <c:v>II</c:v>
                </c:pt>
                <c:pt idx="3">
                  <c:v>III</c:v>
                </c:pt>
                <c:pt idx="4">
                  <c:v>IV</c:v>
                </c:pt>
                <c:pt idx="5">
                  <c:v>I</c:v>
                </c:pt>
                <c:pt idx="6">
                  <c:v>II</c:v>
                </c:pt>
                <c:pt idx="7">
                  <c:v>III</c:v>
                </c:pt>
                <c:pt idx="8">
                  <c:v>IV</c:v>
                </c:pt>
                <c:pt idx="9">
                  <c:v>I</c:v>
                </c:pt>
                <c:pt idx="10">
                  <c:v>II</c:v>
                </c:pt>
                <c:pt idx="11">
                  <c:v>III</c:v>
                </c:pt>
                <c:pt idx="12">
                  <c:v>IV</c:v>
                </c:pt>
                <c:pt idx="13">
                  <c:v>I</c:v>
                </c:pt>
                <c:pt idx="14">
                  <c:v>II</c:v>
                </c:pt>
                <c:pt idx="15">
                  <c:v>III</c:v>
                </c:pt>
                <c:pt idx="16">
                  <c:v>IV</c:v>
                </c:pt>
                <c:pt idx="17">
                  <c:v>I</c:v>
                </c:pt>
                <c:pt idx="18">
                  <c:v>II</c:v>
                </c:pt>
                <c:pt idx="19">
                  <c:v>III</c:v>
                </c:pt>
                <c:pt idx="20">
                  <c:v>IV</c:v>
                </c:pt>
                <c:pt idx="21">
                  <c:v>I</c:v>
                </c:pt>
                <c:pt idx="22">
                  <c:v>II</c:v>
                </c:pt>
                <c:pt idx="23">
                  <c:v>III</c:v>
                </c:pt>
                <c:pt idx="24">
                  <c:v>IV</c:v>
                </c:pt>
                <c:pt idx="25">
                  <c:v>I</c:v>
                </c:pt>
                <c:pt idx="26">
                  <c:v>II</c:v>
                </c:pt>
              </c:strCache>
            </c:strRef>
          </c:cat>
          <c:val>
            <c:numRef>
              <c:f>'rail&amp;roads'!$K$6:$K$32</c:f>
              <c:numCache>
                <c:formatCode>0.0</c:formatCode>
                <c:ptCount val="27"/>
                <c:pt idx="0">
                  <c:v>5.8504412029533572</c:v>
                </c:pt>
                <c:pt idx="1">
                  <c:v>-2.1040314550885584</c:v>
                </c:pt>
                <c:pt idx="2">
                  <c:v>4.326892038369146</c:v>
                </c:pt>
                <c:pt idx="3">
                  <c:v>0.33880259080467601</c:v>
                </c:pt>
                <c:pt idx="4">
                  <c:v>2.8639757750937656</c:v>
                </c:pt>
                <c:pt idx="5">
                  <c:v>5.1977445292042237</c:v>
                </c:pt>
                <c:pt idx="6">
                  <c:v>-3.9192641302341844</c:v>
                </c:pt>
                <c:pt idx="7">
                  <c:v>1.1643747079119784</c:v>
                </c:pt>
                <c:pt idx="8">
                  <c:v>-0.90999464709030764</c:v>
                </c:pt>
                <c:pt idx="9">
                  <c:v>-2.5887083402420812</c:v>
                </c:pt>
                <c:pt idx="10">
                  <c:v>0.95204274891774898</c:v>
                </c:pt>
                <c:pt idx="11">
                  <c:v>3.7992771825498517</c:v>
                </c:pt>
                <c:pt idx="12">
                  <c:v>0.3563091288856125</c:v>
                </c:pt>
                <c:pt idx="13">
                  <c:v>10.512915545385686</c:v>
                </c:pt>
                <c:pt idx="14">
                  <c:v>0.73416431051996855</c:v>
                </c:pt>
                <c:pt idx="15">
                  <c:v>2.2610554922766468</c:v>
                </c:pt>
                <c:pt idx="16">
                  <c:v>3.9010371368559982</c:v>
                </c:pt>
                <c:pt idx="17">
                  <c:v>2.1157929836261244</c:v>
                </c:pt>
                <c:pt idx="18">
                  <c:v>14.182087952850011</c:v>
                </c:pt>
                <c:pt idx="19">
                  <c:v>3.9975437310860484</c:v>
                </c:pt>
                <c:pt idx="20">
                  <c:v>11.512869448599576</c:v>
                </c:pt>
                <c:pt idx="21">
                  <c:v>-1.3327292914514444</c:v>
                </c:pt>
                <c:pt idx="22">
                  <c:v>-3.3102940855538594</c:v>
                </c:pt>
                <c:pt idx="23">
                  <c:v>-1.121025475178971</c:v>
                </c:pt>
                <c:pt idx="24">
                  <c:v>-3.4800741849220058</c:v>
                </c:pt>
                <c:pt idx="25">
                  <c:v>-1.0394039282404974</c:v>
                </c:pt>
                <c:pt idx="26">
                  <c:v>3.15392631643474</c:v>
                </c:pt>
              </c:numCache>
            </c:numRef>
          </c:val>
          <c:extLst>
            <c:ext xmlns:c16="http://schemas.microsoft.com/office/drawing/2014/chart" uri="{C3380CC4-5D6E-409C-BE32-E72D297353CC}">
              <c16:uniqueId val="{00000001-83C7-48DB-87C1-912712D1BBF3}"/>
            </c:ext>
          </c:extLst>
        </c:ser>
        <c:dLbls>
          <c:showLegendKey val="0"/>
          <c:showVal val="0"/>
          <c:showCatName val="0"/>
          <c:showSerName val="0"/>
          <c:showPercent val="0"/>
          <c:showBubbleSize val="0"/>
        </c:dLbls>
        <c:gapWidth val="219"/>
        <c:overlap val="100"/>
        <c:axId val="225696472"/>
        <c:axId val="225691768"/>
      </c:barChart>
      <c:lineChart>
        <c:grouping val="standard"/>
        <c:varyColors val="0"/>
        <c:ser>
          <c:idx val="0"/>
          <c:order val="0"/>
          <c:tx>
            <c:strRef>
              <c:f>'rail&amp;roads'!$I$5</c:f>
              <c:strCache>
                <c:ptCount val="1"/>
                <c:pt idx="0">
                  <c:v>Kopā</c:v>
                </c:pt>
              </c:strCache>
            </c:strRef>
          </c:tx>
          <c:spPr>
            <a:ln w="19050" cap="rnd">
              <a:solidFill>
                <a:srgbClr val="002060"/>
              </a:solidFill>
              <a:prstDash val="solid"/>
              <a:round/>
            </a:ln>
            <a:effectLst/>
          </c:spPr>
          <c:marker>
            <c:symbol val="none"/>
          </c:marker>
          <c:dLbls>
            <c:spPr>
              <a:solidFill>
                <a:srgbClr val="FFFFFF">
                  <a:alpha val="69804"/>
                </a:srgbClr>
              </a:solid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'rail&amp;roads'!$G$6:$H$32</c:f>
              <c:multiLvlStrCache>
                <c:ptCount val="27"/>
                <c:lvl>
                  <c:pt idx="0">
                    <c:v>IV</c:v>
                  </c:pt>
                  <c:pt idx="1">
                    <c:v>I</c:v>
                  </c:pt>
                  <c:pt idx="2">
                    <c:v>II</c:v>
                  </c:pt>
                  <c:pt idx="3">
                    <c:v>III</c:v>
                  </c:pt>
                  <c:pt idx="4">
                    <c:v>IV</c:v>
                  </c:pt>
                  <c:pt idx="5">
                    <c:v>I</c:v>
                  </c:pt>
                  <c:pt idx="6">
                    <c:v>II</c:v>
                  </c:pt>
                  <c:pt idx="7">
                    <c:v>III</c:v>
                  </c:pt>
                  <c:pt idx="8">
                    <c:v>IV</c:v>
                  </c:pt>
                  <c:pt idx="9">
                    <c:v>I</c:v>
                  </c:pt>
                  <c:pt idx="10">
                    <c:v>II</c:v>
                  </c:pt>
                  <c:pt idx="11">
                    <c:v>III</c:v>
                  </c:pt>
                  <c:pt idx="12">
                    <c:v>IV</c:v>
                  </c:pt>
                  <c:pt idx="13">
                    <c:v>I</c:v>
                  </c:pt>
                  <c:pt idx="14">
                    <c:v>II</c:v>
                  </c:pt>
                  <c:pt idx="15">
                    <c:v>III</c:v>
                  </c:pt>
                  <c:pt idx="16">
                    <c:v>IV</c:v>
                  </c:pt>
                  <c:pt idx="17">
                    <c:v>I</c:v>
                  </c:pt>
                  <c:pt idx="18">
                    <c:v>II</c:v>
                  </c:pt>
                  <c:pt idx="19">
                    <c:v>III</c:v>
                  </c:pt>
                  <c:pt idx="20">
                    <c:v>IV</c:v>
                  </c:pt>
                  <c:pt idx="21">
                    <c:v>I</c:v>
                  </c:pt>
                  <c:pt idx="22">
                    <c:v>II</c:v>
                  </c:pt>
                  <c:pt idx="23">
                    <c:v>III</c:v>
                  </c:pt>
                  <c:pt idx="24">
                    <c:v>IV</c:v>
                  </c:pt>
                  <c:pt idx="25">
                    <c:v>I</c:v>
                  </c:pt>
                  <c:pt idx="26">
                    <c:v>II</c:v>
                  </c:pt>
                </c:lvl>
                <c:lvl>
                  <c:pt idx="1">
                    <c:v>2014</c:v>
                  </c:pt>
                  <c:pt idx="5">
                    <c:v>2015</c:v>
                  </c:pt>
                  <c:pt idx="9">
                    <c:v>2016</c:v>
                  </c:pt>
                  <c:pt idx="13">
                    <c:v>2017</c:v>
                  </c:pt>
                  <c:pt idx="17">
                    <c:v>2018</c:v>
                  </c:pt>
                  <c:pt idx="21">
                    <c:v>2019</c:v>
                  </c:pt>
                  <c:pt idx="25">
                    <c:v>2020</c:v>
                  </c:pt>
                </c:lvl>
              </c:multiLvlStrCache>
            </c:multiLvlStrRef>
          </c:cat>
          <c:val>
            <c:numRef>
              <c:f>'rail&amp;roads'!$I$6:$I$32</c:f>
              <c:numCache>
                <c:formatCode>0.0</c:formatCode>
                <c:ptCount val="27"/>
                <c:pt idx="0">
                  <c:v>9.0289032955159332</c:v>
                </c:pt>
                <c:pt idx="1">
                  <c:v>2.2759151991743831</c:v>
                </c:pt>
                <c:pt idx="2">
                  <c:v>4.9473494643202942</c:v>
                </c:pt>
                <c:pt idx="3">
                  <c:v>-0.85440032598658178</c:v>
                </c:pt>
                <c:pt idx="4">
                  <c:v>3.4964385258593911</c:v>
                </c:pt>
                <c:pt idx="5">
                  <c:v>2.8562901271633523</c:v>
                </c:pt>
                <c:pt idx="6">
                  <c:v>-4.2669956193602925</c:v>
                </c:pt>
                <c:pt idx="7">
                  <c:v>3.4487101724520741</c:v>
                </c:pt>
                <c:pt idx="8">
                  <c:v>-5.2884087894112035</c:v>
                </c:pt>
                <c:pt idx="9">
                  <c:v>-14.25274968219753</c:v>
                </c:pt>
                <c:pt idx="10">
                  <c:v>-7.7749594155844264</c:v>
                </c:pt>
                <c:pt idx="11">
                  <c:v>-3.7979955913261865</c:v>
                </c:pt>
                <c:pt idx="12">
                  <c:v>2.1174942516630768</c:v>
                </c:pt>
                <c:pt idx="13">
                  <c:v>14.775528949191852</c:v>
                </c:pt>
                <c:pt idx="14">
                  <c:v>-2.1262161200772844</c:v>
                </c:pt>
                <c:pt idx="15">
                  <c:v>-1.8324241152608778</c:v>
                </c:pt>
                <c:pt idx="16">
                  <c:v>-6.6961845601707815</c:v>
                </c:pt>
                <c:pt idx="17">
                  <c:v>-5.4783173338481266</c:v>
                </c:pt>
                <c:pt idx="18">
                  <c:v>20.181870637296594</c:v>
                </c:pt>
                <c:pt idx="19">
                  <c:v>15.395445724599345</c:v>
                </c:pt>
                <c:pt idx="20">
                  <c:v>21.379937955478255</c:v>
                </c:pt>
                <c:pt idx="21">
                  <c:v>-2.21799722982432</c:v>
                </c:pt>
                <c:pt idx="22">
                  <c:v>-8.4559339312937798</c:v>
                </c:pt>
                <c:pt idx="23">
                  <c:v>-8.6903729401561218</c:v>
                </c:pt>
                <c:pt idx="24">
                  <c:v>-13.51932177254611</c:v>
                </c:pt>
                <c:pt idx="25">
                  <c:v>-22.597256611626747</c:v>
                </c:pt>
                <c:pt idx="26">
                  <c:v>-12.763167753053139</c:v>
                </c:pt>
              </c:numCache>
            </c:numRef>
          </c:val>
          <c:smooth val="0"/>
          <c:extLst>
            <c:ext xmlns:c16="http://schemas.microsoft.com/office/drawing/2014/chart" uri="{C3380CC4-5D6E-409C-BE32-E72D297353CC}">
              <c16:uniqueId val="{00000002-83C7-48DB-87C1-912712D1BBF3}"/>
            </c:ext>
          </c:extLst>
        </c:ser>
        <c:dLbls>
          <c:showLegendKey val="0"/>
          <c:showVal val="0"/>
          <c:showCatName val="0"/>
          <c:showSerName val="0"/>
          <c:showPercent val="0"/>
          <c:showBubbleSize val="0"/>
        </c:dLbls>
        <c:marker val="1"/>
        <c:smooth val="0"/>
        <c:axId val="225696472"/>
        <c:axId val="225691768"/>
      </c:lineChart>
      <c:catAx>
        <c:axId val="22569647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crossAx val="225691768"/>
        <c:crosses val="autoZero"/>
        <c:auto val="1"/>
        <c:lblAlgn val="ctr"/>
        <c:lblOffset val="100"/>
        <c:noMultiLvlLbl val="0"/>
      </c:catAx>
      <c:valAx>
        <c:axId val="225691768"/>
        <c:scaling>
          <c:orientation val="minMax"/>
          <c:max val="25"/>
          <c:min val="-25"/>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lv-LV"/>
                  <a:t>%</a:t>
                </a:r>
              </a:p>
            </c:rich>
          </c:tx>
          <c:layout>
            <c:manualLayout>
              <c:xMode val="edge"/>
              <c:yMode val="edge"/>
              <c:x val="7.3192905681295478E-6"/>
              <c:y val="0.3446959640516139"/>
            </c:manualLayout>
          </c:layout>
          <c:overlay val="0"/>
          <c:spPr>
            <a:noFill/>
            <a:ln>
              <a:noFill/>
            </a:ln>
            <a:effectLst/>
          </c:spPr>
          <c:txPr>
            <a:bodyPr rot="0" spcFirstLastPara="1" vertOverflow="ellipsis"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crossAx val="225696472"/>
        <c:crosses val="autoZero"/>
        <c:crossBetween val="between"/>
      </c:valAx>
      <c:spPr>
        <a:noFill/>
        <a:ln>
          <a:noFill/>
        </a:ln>
        <a:effectLst/>
      </c:spPr>
    </c:plotArea>
    <c:legend>
      <c:legendPos val="b"/>
      <c:layout>
        <c:manualLayout>
          <c:xMode val="edge"/>
          <c:yMode val="edge"/>
          <c:x val="3.8729008431468287E-3"/>
          <c:y val="0.89939034605625001"/>
          <c:w val="0.97635600306598858"/>
          <c:h val="8.8437414446183346E-2"/>
        </c:manualLayout>
      </c:layout>
      <c:overlay val="0"/>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legend>
    <c:plotVisOnly val="1"/>
    <c:dispBlanksAs val="gap"/>
    <c:showDLblsOverMax val="0"/>
  </c:chart>
  <c:spPr>
    <a:noFill/>
    <a:ln w="9525" cap="flat" cmpd="sng" algn="ctr">
      <a:noFill/>
      <a:round/>
    </a:ln>
    <a:effectLst/>
  </c:spPr>
  <c:txPr>
    <a:bodyPr/>
    <a:lstStyle/>
    <a:p>
      <a:pPr>
        <a:defRPr sz="600">
          <a:solidFill>
            <a:sysClr val="windowText" lastClr="000000"/>
          </a:solidFill>
          <a:latin typeface="Arial" panose="020B0604020202020204" pitchFamily="34" charset="0"/>
          <a:cs typeface="Arial" panose="020B0604020202020204" pitchFamily="34" charset="0"/>
        </a:defRPr>
      </a:pPr>
      <a:endParaRPr lang="lv-LV"/>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512126135725477E-2"/>
          <c:y val="2.2620213569194261E-2"/>
          <c:w val="0.92992008871340226"/>
          <c:h val="0.70912005177435011"/>
        </c:manualLayout>
      </c:layout>
      <c:barChart>
        <c:barDir val="col"/>
        <c:grouping val="stacked"/>
        <c:varyColors val="0"/>
        <c:ser>
          <c:idx val="1"/>
          <c:order val="1"/>
          <c:tx>
            <c:strRef>
              <c:f>ports!$D$60</c:f>
              <c:strCache>
                <c:ptCount val="1"/>
                <c:pt idx="0">
                  <c:v>Rīga</c:v>
                </c:pt>
              </c:strCache>
            </c:strRef>
          </c:tx>
          <c:spPr>
            <a:solidFill>
              <a:srgbClr val="C0504D"/>
            </a:solidFill>
            <a:ln>
              <a:noFill/>
            </a:ln>
            <a:effectLst/>
          </c:spPr>
          <c:invertIfNegative val="0"/>
          <c:cat>
            <c:strRef>
              <c:f>ports!$B$61:$B$87</c:f>
              <c:strCache>
                <c:ptCount val="27"/>
                <c:pt idx="0">
                  <c:v>IV</c:v>
                </c:pt>
                <c:pt idx="1">
                  <c:v>I</c:v>
                </c:pt>
                <c:pt idx="2">
                  <c:v>II</c:v>
                </c:pt>
                <c:pt idx="3">
                  <c:v>III</c:v>
                </c:pt>
                <c:pt idx="4">
                  <c:v>IV</c:v>
                </c:pt>
                <c:pt idx="5">
                  <c:v>I</c:v>
                </c:pt>
                <c:pt idx="6">
                  <c:v>II</c:v>
                </c:pt>
                <c:pt idx="7">
                  <c:v>III</c:v>
                </c:pt>
                <c:pt idx="8">
                  <c:v>IV</c:v>
                </c:pt>
                <c:pt idx="9">
                  <c:v>I</c:v>
                </c:pt>
                <c:pt idx="10">
                  <c:v>II</c:v>
                </c:pt>
                <c:pt idx="11">
                  <c:v>III</c:v>
                </c:pt>
                <c:pt idx="12">
                  <c:v>IV</c:v>
                </c:pt>
                <c:pt idx="13">
                  <c:v>I</c:v>
                </c:pt>
                <c:pt idx="14">
                  <c:v>II</c:v>
                </c:pt>
                <c:pt idx="15">
                  <c:v>III</c:v>
                </c:pt>
                <c:pt idx="16">
                  <c:v>IV</c:v>
                </c:pt>
                <c:pt idx="17">
                  <c:v>I</c:v>
                </c:pt>
                <c:pt idx="18">
                  <c:v>II</c:v>
                </c:pt>
                <c:pt idx="19">
                  <c:v>III</c:v>
                </c:pt>
                <c:pt idx="20">
                  <c:v>IV</c:v>
                </c:pt>
                <c:pt idx="21">
                  <c:v>I</c:v>
                </c:pt>
                <c:pt idx="22">
                  <c:v>II</c:v>
                </c:pt>
                <c:pt idx="23">
                  <c:v>III</c:v>
                </c:pt>
                <c:pt idx="24">
                  <c:v>IV</c:v>
                </c:pt>
                <c:pt idx="25">
                  <c:v>I</c:v>
                </c:pt>
                <c:pt idx="26">
                  <c:v>II</c:v>
                </c:pt>
              </c:strCache>
            </c:strRef>
          </c:cat>
          <c:val>
            <c:numRef>
              <c:f>ports!$D$61:$D$87</c:f>
              <c:numCache>
                <c:formatCode>0.0</c:formatCode>
                <c:ptCount val="27"/>
                <c:pt idx="0">
                  <c:v>2.3538477704998466</c:v>
                </c:pt>
                <c:pt idx="1">
                  <c:v>9.3344228589503633</c:v>
                </c:pt>
                <c:pt idx="2">
                  <c:v>5.5604658272881462</c:v>
                </c:pt>
                <c:pt idx="3">
                  <c:v>5.2775878034461678</c:v>
                </c:pt>
                <c:pt idx="4">
                  <c:v>11.593282155357516</c:v>
                </c:pt>
                <c:pt idx="5">
                  <c:v>3.1944477914066125</c:v>
                </c:pt>
                <c:pt idx="6">
                  <c:v>-1.072626297856365</c:v>
                </c:pt>
                <c:pt idx="7">
                  <c:v>-2.9618719327668708</c:v>
                </c:pt>
                <c:pt idx="8">
                  <c:v>-5.4147613833966615</c:v>
                </c:pt>
                <c:pt idx="9">
                  <c:v>-7.39157210354157</c:v>
                </c:pt>
                <c:pt idx="10">
                  <c:v>-5.1517698913981818</c:v>
                </c:pt>
                <c:pt idx="11">
                  <c:v>-5.115813704076702</c:v>
                </c:pt>
                <c:pt idx="12">
                  <c:v>0.99696344269683368</c:v>
                </c:pt>
                <c:pt idx="13">
                  <c:v>1.1038422880922529</c:v>
                </c:pt>
                <c:pt idx="14">
                  <c:v>-6.3806552262090532</c:v>
                </c:pt>
                <c:pt idx="15">
                  <c:v>-4.4409937888198678</c:v>
                </c:pt>
                <c:pt idx="16">
                  <c:v>-11.711842717543043</c:v>
                </c:pt>
                <c:pt idx="17">
                  <c:v>-5.8597024450128981</c:v>
                </c:pt>
                <c:pt idx="18">
                  <c:v>7.7506274962737294</c:v>
                </c:pt>
                <c:pt idx="19">
                  <c:v>8.0142241913270276</c:v>
                </c:pt>
                <c:pt idx="20">
                  <c:v>10.869672646151461</c:v>
                </c:pt>
                <c:pt idx="21">
                  <c:v>0.83055837693978385</c:v>
                </c:pt>
                <c:pt idx="22">
                  <c:v>-9.4823246530965086</c:v>
                </c:pt>
                <c:pt idx="23">
                  <c:v>-8.1135204865163661</c:v>
                </c:pt>
                <c:pt idx="24">
                  <c:v>-5.0243483242623892</c:v>
                </c:pt>
                <c:pt idx="25" formatCode="0">
                  <c:v>-11.598742431299486</c:v>
                </c:pt>
                <c:pt idx="26" formatCode="0">
                  <c:v>-15.282822699515686</c:v>
                </c:pt>
              </c:numCache>
            </c:numRef>
          </c:val>
          <c:extLst>
            <c:ext xmlns:c16="http://schemas.microsoft.com/office/drawing/2014/chart" uri="{C3380CC4-5D6E-409C-BE32-E72D297353CC}">
              <c16:uniqueId val="{00000000-81D1-43D7-A670-FF9A1F49D978}"/>
            </c:ext>
          </c:extLst>
        </c:ser>
        <c:ser>
          <c:idx val="2"/>
          <c:order val="2"/>
          <c:tx>
            <c:strRef>
              <c:f>ports!$E$60</c:f>
              <c:strCache>
                <c:ptCount val="1"/>
                <c:pt idx="0">
                  <c:v>Ventspils</c:v>
                </c:pt>
              </c:strCache>
            </c:strRef>
          </c:tx>
          <c:spPr>
            <a:solidFill>
              <a:srgbClr val="9BBB59"/>
            </a:solidFill>
            <a:ln>
              <a:noFill/>
            </a:ln>
            <a:effectLst/>
          </c:spPr>
          <c:invertIfNegative val="0"/>
          <c:cat>
            <c:strRef>
              <c:f>ports!$B$61:$B$87</c:f>
              <c:strCache>
                <c:ptCount val="27"/>
                <c:pt idx="0">
                  <c:v>IV</c:v>
                </c:pt>
                <c:pt idx="1">
                  <c:v>I</c:v>
                </c:pt>
                <c:pt idx="2">
                  <c:v>II</c:v>
                </c:pt>
                <c:pt idx="3">
                  <c:v>III</c:v>
                </c:pt>
                <c:pt idx="4">
                  <c:v>IV</c:v>
                </c:pt>
                <c:pt idx="5">
                  <c:v>I</c:v>
                </c:pt>
                <c:pt idx="6">
                  <c:v>II</c:v>
                </c:pt>
                <c:pt idx="7">
                  <c:v>III</c:v>
                </c:pt>
                <c:pt idx="8">
                  <c:v>IV</c:v>
                </c:pt>
                <c:pt idx="9">
                  <c:v>I</c:v>
                </c:pt>
                <c:pt idx="10">
                  <c:v>II</c:v>
                </c:pt>
                <c:pt idx="11">
                  <c:v>III</c:v>
                </c:pt>
                <c:pt idx="12">
                  <c:v>IV</c:v>
                </c:pt>
                <c:pt idx="13">
                  <c:v>I</c:v>
                </c:pt>
                <c:pt idx="14">
                  <c:v>II</c:v>
                </c:pt>
                <c:pt idx="15">
                  <c:v>III</c:v>
                </c:pt>
                <c:pt idx="16">
                  <c:v>IV</c:v>
                </c:pt>
                <c:pt idx="17">
                  <c:v>I</c:v>
                </c:pt>
                <c:pt idx="18">
                  <c:v>II</c:v>
                </c:pt>
                <c:pt idx="19">
                  <c:v>III</c:v>
                </c:pt>
                <c:pt idx="20">
                  <c:v>IV</c:v>
                </c:pt>
                <c:pt idx="21">
                  <c:v>I</c:v>
                </c:pt>
                <c:pt idx="22">
                  <c:v>II</c:v>
                </c:pt>
                <c:pt idx="23">
                  <c:v>III</c:v>
                </c:pt>
                <c:pt idx="24">
                  <c:v>IV</c:v>
                </c:pt>
                <c:pt idx="25">
                  <c:v>I</c:v>
                </c:pt>
                <c:pt idx="26">
                  <c:v>II</c:v>
                </c:pt>
              </c:strCache>
            </c:strRef>
          </c:cat>
          <c:val>
            <c:numRef>
              <c:f>ports!$E$61:$E$87</c:f>
              <c:numCache>
                <c:formatCode>0.0</c:formatCode>
                <c:ptCount val="27"/>
                <c:pt idx="0">
                  <c:v>1.113874391397248</c:v>
                </c:pt>
                <c:pt idx="1">
                  <c:v>-0.70274402298547201</c:v>
                </c:pt>
                <c:pt idx="2">
                  <c:v>-2.7338169487756705</c:v>
                </c:pt>
                <c:pt idx="3">
                  <c:v>-8.0670834669878388</c:v>
                </c:pt>
                <c:pt idx="4">
                  <c:v>-3.5424571310920903</c:v>
                </c:pt>
                <c:pt idx="5">
                  <c:v>-7.2313661228522559</c:v>
                </c:pt>
                <c:pt idx="6">
                  <c:v>-4.383333780484536</c:v>
                </c:pt>
                <c:pt idx="7">
                  <c:v>-3.8573647632544712</c:v>
                </c:pt>
                <c:pt idx="8">
                  <c:v>-3.9608424035550973</c:v>
                </c:pt>
                <c:pt idx="9">
                  <c:v>-7.0993013770544788</c:v>
                </c:pt>
                <c:pt idx="10">
                  <c:v>-11.049893215794974</c:v>
                </c:pt>
                <c:pt idx="11">
                  <c:v>-1.7323009717626416</c:v>
                </c:pt>
                <c:pt idx="12">
                  <c:v>-0.59782221905913735</c:v>
                </c:pt>
                <c:pt idx="13">
                  <c:v>5.9776762885507218</c:v>
                </c:pt>
                <c:pt idx="14">
                  <c:v>9.0314047344502484</c:v>
                </c:pt>
                <c:pt idx="15">
                  <c:v>-1.1716544325240008</c:v>
                </c:pt>
                <c:pt idx="16">
                  <c:v>-5.565379246161009</c:v>
                </c:pt>
                <c:pt idx="17">
                  <c:v>-11.821077622804973</c:v>
                </c:pt>
                <c:pt idx="18">
                  <c:v>-1.2201495667210842</c:v>
                </c:pt>
                <c:pt idx="19">
                  <c:v>9.0234713730862612</c:v>
                </c:pt>
                <c:pt idx="20">
                  <c:v>10.076173129734345</c:v>
                </c:pt>
                <c:pt idx="21">
                  <c:v>9.4530657375384042</c:v>
                </c:pt>
                <c:pt idx="22">
                  <c:v>0.41575116522851402</c:v>
                </c:pt>
                <c:pt idx="23">
                  <c:v>-0.1511149333497166</c:v>
                </c:pt>
                <c:pt idx="24">
                  <c:v>-7.935835004296762</c:v>
                </c:pt>
                <c:pt idx="25" formatCode="0">
                  <c:v>-15.486725663716813</c:v>
                </c:pt>
                <c:pt idx="26" formatCode="0">
                  <c:v>-13.679853653400711</c:v>
                </c:pt>
              </c:numCache>
            </c:numRef>
          </c:val>
          <c:extLst>
            <c:ext xmlns:c16="http://schemas.microsoft.com/office/drawing/2014/chart" uri="{C3380CC4-5D6E-409C-BE32-E72D297353CC}">
              <c16:uniqueId val="{00000001-81D1-43D7-A670-FF9A1F49D978}"/>
            </c:ext>
          </c:extLst>
        </c:ser>
        <c:ser>
          <c:idx val="3"/>
          <c:order val="3"/>
          <c:tx>
            <c:strRef>
              <c:f>ports!$F$60</c:f>
              <c:strCache>
                <c:ptCount val="1"/>
                <c:pt idx="0">
                  <c:v>Liepāja</c:v>
                </c:pt>
              </c:strCache>
            </c:strRef>
          </c:tx>
          <c:spPr>
            <a:solidFill>
              <a:schemeClr val="accent4"/>
            </a:solidFill>
            <a:ln>
              <a:noFill/>
            </a:ln>
            <a:effectLst/>
          </c:spPr>
          <c:invertIfNegative val="0"/>
          <c:cat>
            <c:strRef>
              <c:f>ports!$B$61:$B$87</c:f>
              <c:strCache>
                <c:ptCount val="27"/>
                <c:pt idx="0">
                  <c:v>IV</c:v>
                </c:pt>
                <c:pt idx="1">
                  <c:v>I</c:v>
                </c:pt>
                <c:pt idx="2">
                  <c:v>II</c:v>
                </c:pt>
                <c:pt idx="3">
                  <c:v>III</c:v>
                </c:pt>
                <c:pt idx="4">
                  <c:v>IV</c:v>
                </c:pt>
                <c:pt idx="5">
                  <c:v>I</c:v>
                </c:pt>
                <c:pt idx="6">
                  <c:v>II</c:v>
                </c:pt>
                <c:pt idx="7">
                  <c:v>III</c:v>
                </c:pt>
                <c:pt idx="8">
                  <c:v>IV</c:v>
                </c:pt>
                <c:pt idx="9">
                  <c:v>I</c:v>
                </c:pt>
                <c:pt idx="10">
                  <c:v>II</c:v>
                </c:pt>
                <c:pt idx="11">
                  <c:v>III</c:v>
                </c:pt>
                <c:pt idx="12">
                  <c:v>IV</c:v>
                </c:pt>
                <c:pt idx="13">
                  <c:v>I</c:v>
                </c:pt>
                <c:pt idx="14">
                  <c:v>II</c:v>
                </c:pt>
                <c:pt idx="15">
                  <c:v>III</c:v>
                </c:pt>
                <c:pt idx="16">
                  <c:v>IV</c:v>
                </c:pt>
                <c:pt idx="17">
                  <c:v>I</c:v>
                </c:pt>
                <c:pt idx="18">
                  <c:v>II</c:v>
                </c:pt>
                <c:pt idx="19">
                  <c:v>III</c:v>
                </c:pt>
                <c:pt idx="20">
                  <c:v>IV</c:v>
                </c:pt>
                <c:pt idx="21">
                  <c:v>I</c:v>
                </c:pt>
                <c:pt idx="22">
                  <c:v>II</c:v>
                </c:pt>
                <c:pt idx="23">
                  <c:v>III</c:v>
                </c:pt>
                <c:pt idx="24">
                  <c:v>IV</c:v>
                </c:pt>
                <c:pt idx="25">
                  <c:v>I</c:v>
                </c:pt>
                <c:pt idx="26">
                  <c:v>II</c:v>
                </c:pt>
              </c:strCache>
            </c:strRef>
          </c:cat>
          <c:val>
            <c:numRef>
              <c:f>ports!$F$61:$F$87</c:f>
              <c:numCache>
                <c:formatCode>0.0</c:formatCode>
                <c:ptCount val="27"/>
                <c:pt idx="0">
                  <c:v>-4.2219809216901929</c:v>
                </c:pt>
                <c:pt idx="1">
                  <c:v>0.34372775917969289</c:v>
                </c:pt>
                <c:pt idx="2">
                  <c:v>0.64982350815753687</c:v>
                </c:pt>
                <c:pt idx="3">
                  <c:v>0.37584656260780636</c:v>
                </c:pt>
                <c:pt idx="4">
                  <c:v>1.2788611429747927</c:v>
                </c:pt>
                <c:pt idx="5">
                  <c:v>-0.24917463913053978</c:v>
                </c:pt>
                <c:pt idx="6">
                  <c:v>0.39277761382233695</c:v>
                </c:pt>
                <c:pt idx="7">
                  <c:v>1.5205431129979521</c:v>
                </c:pt>
                <c:pt idx="8">
                  <c:v>0.23829458362851852</c:v>
                </c:pt>
                <c:pt idx="9">
                  <c:v>0.40180915074910101</c:v>
                </c:pt>
                <c:pt idx="10">
                  <c:v>-0.51574499023038101</c:v>
                </c:pt>
                <c:pt idx="11">
                  <c:v>-0.52577198236963518</c:v>
                </c:pt>
                <c:pt idx="12">
                  <c:v>0.94833107963846042</c:v>
                </c:pt>
                <c:pt idx="13">
                  <c:v>1.1144222461250912</c:v>
                </c:pt>
                <c:pt idx="14">
                  <c:v>2.6941599403106564</c:v>
                </c:pt>
                <c:pt idx="15">
                  <c:v>2.0892151326933917</c:v>
                </c:pt>
                <c:pt idx="16">
                  <c:v>0.15181479758026936</c:v>
                </c:pt>
                <c:pt idx="17">
                  <c:v>1.9680163541672304</c:v>
                </c:pt>
                <c:pt idx="18">
                  <c:v>1.4963124512036965</c:v>
                </c:pt>
                <c:pt idx="19">
                  <c:v>1.2540898193556862</c:v>
                </c:pt>
                <c:pt idx="20">
                  <c:v>1.2784943276079936</c:v>
                </c:pt>
                <c:pt idx="21">
                  <c:v>-0.67756078118772478</c:v>
                </c:pt>
                <c:pt idx="22">
                  <c:v>-0.64080165352884988</c:v>
                </c:pt>
                <c:pt idx="23" formatCode="0.00">
                  <c:v>3.5014435776152208E-2</c:v>
                </c:pt>
                <c:pt idx="24" formatCode="0.00">
                  <c:v>2.5780578630764824E-2</c:v>
                </c:pt>
                <c:pt idx="25" formatCode="0">
                  <c:v>-1.7926176059618077</c:v>
                </c:pt>
                <c:pt idx="26" formatCode="0">
                  <c:v>-1.7253632343651297</c:v>
                </c:pt>
              </c:numCache>
            </c:numRef>
          </c:val>
          <c:extLst>
            <c:ext xmlns:c16="http://schemas.microsoft.com/office/drawing/2014/chart" uri="{C3380CC4-5D6E-409C-BE32-E72D297353CC}">
              <c16:uniqueId val="{00000002-81D1-43D7-A670-FF9A1F49D978}"/>
            </c:ext>
          </c:extLst>
        </c:ser>
        <c:ser>
          <c:idx val="4"/>
          <c:order val="4"/>
          <c:tx>
            <c:strRef>
              <c:f>ports!$G$60</c:f>
              <c:strCache>
                <c:ptCount val="1"/>
                <c:pt idx="0">
                  <c:v>Mazās ostas</c:v>
                </c:pt>
              </c:strCache>
            </c:strRef>
          </c:tx>
          <c:spPr>
            <a:solidFill>
              <a:schemeClr val="accent6"/>
            </a:solidFill>
            <a:ln>
              <a:noFill/>
            </a:ln>
            <a:effectLst/>
          </c:spPr>
          <c:invertIfNegative val="0"/>
          <c:cat>
            <c:strRef>
              <c:f>ports!$B$61:$B$87</c:f>
              <c:strCache>
                <c:ptCount val="27"/>
                <c:pt idx="0">
                  <c:v>IV</c:v>
                </c:pt>
                <c:pt idx="1">
                  <c:v>I</c:v>
                </c:pt>
                <c:pt idx="2">
                  <c:v>II</c:v>
                </c:pt>
                <c:pt idx="3">
                  <c:v>III</c:v>
                </c:pt>
                <c:pt idx="4">
                  <c:v>IV</c:v>
                </c:pt>
                <c:pt idx="5">
                  <c:v>I</c:v>
                </c:pt>
                <c:pt idx="6">
                  <c:v>II</c:v>
                </c:pt>
                <c:pt idx="7">
                  <c:v>III</c:v>
                </c:pt>
                <c:pt idx="8">
                  <c:v>IV</c:v>
                </c:pt>
                <c:pt idx="9">
                  <c:v>I</c:v>
                </c:pt>
                <c:pt idx="10">
                  <c:v>II</c:v>
                </c:pt>
                <c:pt idx="11">
                  <c:v>III</c:v>
                </c:pt>
                <c:pt idx="12">
                  <c:v>IV</c:v>
                </c:pt>
                <c:pt idx="13">
                  <c:v>I</c:v>
                </c:pt>
                <c:pt idx="14">
                  <c:v>II</c:v>
                </c:pt>
                <c:pt idx="15">
                  <c:v>III</c:v>
                </c:pt>
                <c:pt idx="16">
                  <c:v>IV</c:v>
                </c:pt>
                <c:pt idx="17">
                  <c:v>I</c:v>
                </c:pt>
                <c:pt idx="18">
                  <c:v>II</c:v>
                </c:pt>
                <c:pt idx="19">
                  <c:v>III</c:v>
                </c:pt>
                <c:pt idx="20">
                  <c:v>IV</c:v>
                </c:pt>
                <c:pt idx="21">
                  <c:v>I</c:v>
                </c:pt>
                <c:pt idx="22">
                  <c:v>II</c:v>
                </c:pt>
                <c:pt idx="23">
                  <c:v>III</c:v>
                </c:pt>
                <c:pt idx="24">
                  <c:v>IV</c:v>
                </c:pt>
                <c:pt idx="25">
                  <c:v>I</c:v>
                </c:pt>
                <c:pt idx="26">
                  <c:v>II</c:v>
                </c:pt>
              </c:strCache>
            </c:strRef>
          </c:cat>
          <c:val>
            <c:numRef>
              <c:f>ports!$G$61:$G$86</c:f>
              <c:numCache>
                <c:formatCode>0.0</c:formatCode>
                <c:ptCount val="26"/>
                <c:pt idx="0">
                  <c:v>-4.0865412682288263E-3</c:v>
                </c:pt>
                <c:pt idx="1">
                  <c:v>0.40857210638690494</c:v>
                </c:pt>
                <c:pt idx="2">
                  <c:v>0.12007004085716681</c:v>
                </c:pt>
                <c:pt idx="3">
                  <c:v>0.21061932977055811</c:v>
                </c:pt>
                <c:pt idx="4">
                  <c:v>0.27589046736668715</c:v>
                </c:pt>
                <c:pt idx="5">
                  <c:v>-0.23519772513675694</c:v>
                </c:pt>
                <c:pt idx="6">
                  <c:v>-0.4684355968127063</c:v>
                </c:pt>
                <c:pt idx="7">
                  <c:v>-6.6218198246145971E-2</c:v>
                </c:pt>
                <c:pt idx="8">
                  <c:v>-0.36871256520899071</c:v>
                </c:pt>
                <c:pt idx="9">
                  <c:v>-3.0287121915761703E-2</c:v>
                </c:pt>
                <c:pt idx="10">
                  <c:v>0.45780887899304751</c:v>
                </c:pt>
                <c:pt idx="11">
                  <c:v>2.4849919564733744E-2</c:v>
                </c:pt>
                <c:pt idx="12">
                  <c:v>0.61442839181078424</c:v>
                </c:pt>
                <c:pt idx="13">
                  <c:v>0.48785362040286162</c:v>
                </c:pt>
                <c:pt idx="14">
                  <c:v>-0.22315675235705068</c:v>
                </c:pt>
                <c:pt idx="15">
                  <c:v>0.38325804630152505</c:v>
                </c:pt>
                <c:pt idx="16">
                  <c:v>-0.481037691949744</c:v>
                </c:pt>
                <c:pt idx="17">
                  <c:v>-0.15953966047797</c:v>
                </c:pt>
                <c:pt idx="18">
                  <c:v>0.92269374955639727</c:v>
                </c:pt>
                <c:pt idx="19">
                  <c:v>0.33301513506423469</c:v>
                </c:pt>
                <c:pt idx="20">
                  <c:v>1.0010518810315494</c:v>
                </c:pt>
                <c:pt idx="21">
                  <c:v>0.80934442458761391</c:v>
                </c:pt>
                <c:pt idx="22">
                  <c:v>-0.29138115853622421</c:v>
                </c:pt>
                <c:pt idx="23">
                  <c:v>-0.38761594692548695</c:v>
                </c:pt>
                <c:pt idx="24">
                  <c:v>-0.38441707247207119</c:v>
                </c:pt>
                <c:pt idx="25">
                  <c:v>-0.41220307405682383</c:v>
                </c:pt>
              </c:numCache>
            </c:numRef>
          </c:val>
          <c:extLst>
            <c:ext xmlns:c16="http://schemas.microsoft.com/office/drawing/2014/chart" uri="{C3380CC4-5D6E-409C-BE32-E72D297353CC}">
              <c16:uniqueId val="{00000003-81D1-43D7-A670-FF9A1F49D978}"/>
            </c:ext>
          </c:extLst>
        </c:ser>
        <c:dLbls>
          <c:showLegendKey val="0"/>
          <c:showVal val="0"/>
          <c:showCatName val="0"/>
          <c:showSerName val="0"/>
          <c:showPercent val="0"/>
          <c:showBubbleSize val="0"/>
        </c:dLbls>
        <c:gapWidth val="219"/>
        <c:overlap val="100"/>
        <c:axId val="225693336"/>
        <c:axId val="225692160"/>
      </c:barChart>
      <c:lineChart>
        <c:grouping val="standard"/>
        <c:varyColors val="0"/>
        <c:ser>
          <c:idx val="0"/>
          <c:order val="0"/>
          <c:tx>
            <c:strRef>
              <c:f>ports!$C$60</c:f>
              <c:strCache>
                <c:ptCount val="1"/>
                <c:pt idx="0">
                  <c:v>Kopā</c:v>
                </c:pt>
              </c:strCache>
            </c:strRef>
          </c:tx>
          <c:spPr>
            <a:ln w="19050" cap="rnd">
              <a:solidFill>
                <a:srgbClr val="002060"/>
              </a:solidFill>
              <a:prstDash val="solid"/>
              <a:round/>
            </a:ln>
            <a:effectLst/>
          </c:spPr>
          <c:marker>
            <c:symbol val="none"/>
          </c:marker>
          <c:dLbls>
            <c:dLbl>
              <c:idx val="5"/>
              <c:layout>
                <c:manualLayout>
                  <c:x val="-7.1576225791885995E-2"/>
                  <c:y val="-2.11081794195251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1D1-43D7-A670-FF9A1F49D978}"/>
                </c:ext>
              </c:extLst>
            </c:dLbl>
            <c:dLbl>
              <c:idx val="7"/>
              <c:layout>
                <c:manualLayout>
                  <c:x val="-9.2524117910241579E-2"/>
                  <c:y val="4.749340369393135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1D1-43D7-A670-FF9A1F49D978}"/>
                </c:ext>
              </c:extLst>
            </c:dLbl>
            <c:dLbl>
              <c:idx val="16"/>
              <c:layout>
                <c:manualLayout>
                  <c:x val="-0.14838983697344194"/>
                  <c:y val="5.2770448548812663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1D1-43D7-A670-FF9A1F49D978}"/>
                </c:ext>
              </c:extLst>
            </c:dLbl>
            <c:dLbl>
              <c:idx val="25"/>
              <c:layout>
                <c:manualLayout>
                  <c:x val="-7.6164144053870717E-2"/>
                  <c:y val="0"/>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1D1-43D7-A670-FF9A1F49D978}"/>
                </c:ext>
              </c:extLst>
            </c:dLbl>
            <c:spPr>
              <a:solidFill>
                <a:srgbClr val="FFFFFF">
                  <a:alpha val="69804"/>
                </a:srgbClr>
              </a:solid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ports!$A$61:$B$87</c:f>
              <c:multiLvlStrCache>
                <c:ptCount val="27"/>
                <c:lvl>
                  <c:pt idx="0">
                    <c:v>IV</c:v>
                  </c:pt>
                  <c:pt idx="1">
                    <c:v>I</c:v>
                  </c:pt>
                  <c:pt idx="2">
                    <c:v>II</c:v>
                  </c:pt>
                  <c:pt idx="3">
                    <c:v>III</c:v>
                  </c:pt>
                  <c:pt idx="4">
                    <c:v>IV</c:v>
                  </c:pt>
                  <c:pt idx="5">
                    <c:v>I</c:v>
                  </c:pt>
                  <c:pt idx="6">
                    <c:v>II</c:v>
                  </c:pt>
                  <c:pt idx="7">
                    <c:v>III</c:v>
                  </c:pt>
                  <c:pt idx="8">
                    <c:v>IV</c:v>
                  </c:pt>
                  <c:pt idx="9">
                    <c:v>I</c:v>
                  </c:pt>
                  <c:pt idx="10">
                    <c:v>II</c:v>
                  </c:pt>
                  <c:pt idx="11">
                    <c:v>III</c:v>
                  </c:pt>
                  <c:pt idx="12">
                    <c:v>IV</c:v>
                  </c:pt>
                  <c:pt idx="13">
                    <c:v>I</c:v>
                  </c:pt>
                  <c:pt idx="14">
                    <c:v>II</c:v>
                  </c:pt>
                  <c:pt idx="15">
                    <c:v>III</c:v>
                  </c:pt>
                  <c:pt idx="16">
                    <c:v>IV</c:v>
                  </c:pt>
                  <c:pt idx="17">
                    <c:v>I</c:v>
                  </c:pt>
                  <c:pt idx="18">
                    <c:v>II</c:v>
                  </c:pt>
                  <c:pt idx="19">
                    <c:v>III</c:v>
                  </c:pt>
                  <c:pt idx="20">
                    <c:v>IV</c:v>
                  </c:pt>
                  <c:pt idx="21">
                    <c:v>I</c:v>
                  </c:pt>
                  <c:pt idx="22">
                    <c:v>II</c:v>
                  </c:pt>
                  <c:pt idx="23">
                    <c:v>III</c:v>
                  </c:pt>
                  <c:pt idx="24">
                    <c:v>IV</c:v>
                  </c:pt>
                  <c:pt idx="25">
                    <c:v>I</c:v>
                  </c:pt>
                  <c:pt idx="26">
                    <c:v>II</c:v>
                  </c:pt>
                </c:lvl>
                <c:lvl>
                  <c:pt idx="0">
                    <c:v>2013</c:v>
                  </c:pt>
                  <c:pt idx="1">
                    <c:v>2014</c:v>
                  </c:pt>
                  <c:pt idx="5">
                    <c:v>2015</c:v>
                  </c:pt>
                  <c:pt idx="9">
                    <c:v>2016</c:v>
                  </c:pt>
                  <c:pt idx="13">
                    <c:v>2017</c:v>
                  </c:pt>
                  <c:pt idx="17">
                    <c:v>2018</c:v>
                  </c:pt>
                  <c:pt idx="21">
                    <c:v>2019</c:v>
                  </c:pt>
                  <c:pt idx="25">
                    <c:v>2020</c:v>
                  </c:pt>
                </c:lvl>
              </c:multiLvlStrCache>
            </c:multiLvlStrRef>
          </c:cat>
          <c:val>
            <c:numRef>
              <c:f>ports!$C$61:$C$87</c:f>
              <c:numCache>
                <c:formatCode>0.0</c:formatCode>
                <c:ptCount val="27"/>
                <c:pt idx="0">
                  <c:v>-0.75834530106133613</c:v>
                </c:pt>
                <c:pt idx="1">
                  <c:v>9.3839787015314933</c:v>
                </c:pt>
                <c:pt idx="2">
                  <c:v>3.5965424275271607</c:v>
                </c:pt>
                <c:pt idx="3">
                  <c:v>-2.2030297711633229</c:v>
                </c:pt>
                <c:pt idx="4">
                  <c:v>9.6055766346069049</c:v>
                </c:pt>
                <c:pt idx="5">
                  <c:v>-4.5212906957129313</c:v>
                </c:pt>
                <c:pt idx="6">
                  <c:v>-5.5316180613312671</c:v>
                </c:pt>
                <c:pt idx="7">
                  <c:v>-5.3649117812695319</c:v>
                </c:pt>
                <c:pt idx="8">
                  <c:v>-9.5060217685322357</c:v>
                </c:pt>
                <c:pt idx="9">
                  <c:v>-14.119351451762718</c:v>
                </c:pt>
                <c:pt idx="10">
                  <c:v>-16.259599218430488</c:v>
                </c:pt>
                <c:pt idx="11">
                  <c:v>-7.3490367386442319</c:v>
                </c:pt>
                <c:pt idx="12">
                  <c:v>1.9619006950869489</c:v>
                </c:pt>
                <c:pt idx="13">
                  <c:v>8.6837944431709335</c:v>
                </c:pt>
                <c:pt idx="14">
                  <c:v>5.1217526961948145</c:v>
                </c:pt>
                <c:pt idx="15">
                  <c:v>-3.1401750423489694</c:v>
                </c:pt>
                <c:pt idx="16">
                  <c:v>-17.606444858073523</c:v>
                </c:pt>
                <c:pt idx="17">
                  <c:v>-15.872303374128627</c:v>
                </c:pt>
                <c:pt idx="18">
                  <c:v>8.9494841303127348</c:v>
                </c:pt>
                <c:pt idx="19">
                  <c:v>18.624800518833219</c:v>
                </c:pt>
                <c:pt idx="20">
                  <c:v>23.225391984525334</c:v>
                </c:pt>
                <c:pt idx="21">
                  <c:v>10.415407757878103</c:v>
                </c:pt>
                <c:pt idx="22">
                  <c:v>-9.9987562999330653</c:v>
                </c:pt>
                <c:pt idx="23">
                  <c:v>-8.617236931015416</c:v>
                </c:pt>
                <c:pt idx="24">
                  <c:v>-13.318819822400451</c:v>
                </c:pt>
                <c:pt idx="25">
                  <c:v>-29.290288775034934</c:v>
                </c:pt>
                <c:pt idx="26">
                  <c:v>-31.016398189092452</c:v>
                </c:pt>
              </c:numCache>
            </c:numRef>
          </c:val>
          <c:smooth val="0"/>
          <c:extLst>
            <c:ext xmlns:c16="http://schemas.microsoft.com/office/drawing/2014/chart" uri="{C3380CC4-5D6E-409C-BE32-E72D297353CC}">
              <c16:uniqueId val="{00000008-81D1-43D7-A670-FF9A1F49D978}"/>
            </c:ext>
          </c:extLst>
        </c:ser>
        <c:dLbls>
          <c:showLegendKey val="0"/>
          <c:showVal val="0"/>
          <c:showCatName val="0"/>
          <c:showSerName val="0"/>
          <c:showPercent val="0"/>
          <c:showBubbleSize val="0"/>
        </c:dLbls>
        <c:marker val="1"/>
        <c:smooth val="0"/>
        <c:axId val="225693336"/>
        <c:axId val="225692160"/>
      </c:lineChart>
      <c:catAx>
        <c:axId val="22569333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crossAx val="225692160"/>
        <c:crosses val="autoZero"/>
        <c:auto val="1"/>
        <c:lblAlgn val="ctr"/>
        <c:lblOffset val="100"/>
        <c:noMultiLvlLbl val="0"/>
      </c:catAx>
      <c:valAx>
        <c:axId val="225692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lv-LV"/>
                  <a:t>%</a:t>
                </a:r>
              </a:p>
            </c:rich>
          </c:tx>
          <c:layout>
            <c:manualLayout>
              <c:xMode val="edge"/>
              <c:yMode val="edge"/>
              <c:x val="1.4901043889545228E-2"/>
              <c:y val="0.24999729915027114"/>
            </c:manualLayout>
          </c:layout>
          <c:overlay val="0"/>
          <c:spPr>
            <a:noFill/>
            <a:ln>
              <a:noFill/>
            </a:ln>
            <a:effectLst/>
          </c:spPr>
          <c:txPr>
            <a:bodyPr rot="0" spcFirstLastPara="1" vertOverflow="ellipsis"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crossAx val="225693336"/>
        <c:crosses val="autoZero"/>
        <c:crossBetween val="between"/>
      </c:valAx>
      <c:spPr>
        <a:noFill/>
        <a:ln>
          <a:noFill/>
        </a:ln>
        <a:effectLst/>
      </c:spPr>
    </c:plotArea>
    <c:legend>
      <c:legendPos val="b"/>
      <c:layout>
        <c:manualLayout>
          <c:xMode val="edge"/>
          <c:yMode val="edge"/>
          <c:x val="1.6252051607005599E-2"/>
          <c:y val="0.86069141753059242"/>
          <c:w val="0.93583362765670119"/>
          <c:h val="0.10764631334012008"/>
        </c:manualLayout>
      </c:layout>
      <c:overlay val="0"/>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legend>
    <c:plotVisOnly val="1"/>
    <c:dispBlanksAs val="gap"/>
    <c:showDLblsOverMax val="0"/>
  </c:chart>
  <c:spPr>
    <a:noFill/>
    <a:ln w="9525" cap="flat" cmpd="sng" algn="ctr">
      <a:noFill/>
      <a:round/>
    </a:ln>
    <a:effectLst/>
  </c:spPr>
  <c:txPr>
    <a:bodyPr/>
    <a:lstStyle/>
    <a:p>
      <a:pPr>
        <a:defRPr sz="600">
          <a:solidFill>
            <a:sysClr val="windowText" lastClr="000000"/>
          </a:solidFill>
          <a:latin typeface="Arial" panose="020B0604020202020204" pitchFamily="34" charset="0"/>
          <a:cs typeface="Arial" panose="020B0604020202020204" pitchFamily="34" charset="0"/>
        </a:defRPr>
      </a:pPr>
      <a:endParaRPr lang="lv-LV"/>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01704111487925"/>
          <c:y val="5.3394355453852023E-2"/>
          <c:w val="0.83955882633314904"/>
          <c:h val="0.73398079244671077"/>
        </c:manualLayout>
      </c:layout>
      <c:lineChart>
        <c:grouping val="standard"/>
        <c:varyColors val="0"/>
        <c:ser>
          <c:idx val="0"/>
          <c:order val="0"/>
          <c:tx>
            <c:strRef>
              <c:f>Exp_m!$BK$30</c:f>
              <c:strCache>
                <c:ptCount val="1"/>
                <c:pt idx="0">
                  <c:v>Eksports kopā</c:v>
                </c:pt>
              </c:strCache>
            </c:strRef>
          </c:tx>
          <c:spPr>
            <a:ln w="28575" cap="rnd">
              <a:solidFill>
                <a:schemeClr val="accent1"/>
              </a:solidFill>
              <a:round/>
            </a:ln>
            <a:effectLst/>
          </c:spPr>
          <c:marker>
            <c:symbol val="none"/>
          </c:marker>
          <c:dLbls>
            <c:spPr>
              <a:solidFill>
                <a:schemeClr val="accent5">
                  <a:lumMod val="20000"/>
                  <a:lumOff val="80000"/>
                </a:schemeClr>
              </a:solid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Exp_m!$BL$29:$BR$29</c:f>
              <c:strCache>
                <c:ptCount val="7"/>
                <c:pt idx="0">
                  <c:v>2020M1</c:v>
                </c:pt>
                <c:pt idx="1">
                  <c:v>2020M2</c:v>
                </c:pt>
                <c:pt idx="2">
                  <c:v>2020M3</c:v>
                </c:pt>
                <c:pt idx="3">
                  <c:v>2020M4</c:v>
                </c:pt>
                <c:pt idx="4">
                  <c:v>2020M5</c:v>
                </c:pt>
                <c:pt idx="5">
                  <c:v>2020M6</c:v>
                </c:pt>
                <c:pt idx="6">
                  <c:v>2020M7</c:v>
                </c:pt>
              </c:strCache>
            </c:strRef>
          </c:cat>
          <c:val>
            <c:numRef>
              <c:f>Exp_m!$BL$30:$BR$30</c:f>
              <c:numCache>
                <c:formatCode>0.0</c:formatCode>
                <c:ptCount val="7"/>
                <c:pt idx="0">
                  <c:v>4.8945601737348596</c:v>
                </c:pt>
                <c:pt idx="1">
                  <c:v>7.3195588673822414</c:v>
                </c:pt>
                <c:pt idx="2">
                  <c:v>-0.66063586948908437</c:v>
                </c:pt>
                <c:pt idx="3">
                  <c:v>-13.87696950315835</c:v>
                </c:pt>
                <c:pt idx="4">
                  <c:v>-16.782416651480005</c:v>
                </c:pt>
                <c:pt idx="5">
                  <c:v>-1.3680658686090368</c:v>
                </c:pt>
                <c:pt idx="6">
                  <c:v>-0.33207554801104777</c:v>
                </c:pt>
              </c:numCache>
            </c:numRef>
          </c:val>
          <c:smooth val="0"/>
          <c:extLst>
            <c:ext xmlns:c16="http://schemas.microsoft.com/office/drawing/2014/chart" uri="{C3380CC4-5D6E-409C-BE32-E72D297353CC}">
              <c16:uniqueId val="{00000000-7036-4F1F-90EF-D9855F51F01E}"/>
            </c:ext>
          </c:extLst>
        </c:ser>
        <c:ser>
          <c:idx val="1"/>
          <c:order val="1"/>
          <c:tx>
            <c:strRef>
              <c:f>Exp_m!$BK$31</c:f>
              <c:strCache>
                <c:ptCount val="1"/>
                <c:pt idx="0">
                  <c:v>Eksports uz ES</c:v>
                </c:pt>
              </c:strCache>
            </c:strRef>
          </c:tx>
          <c:spPr>
            <a:ln w="28575" cap="rnd">
              <a:solidFill>
                <a:schemeClr val="accent2"/>
              </a:solidFill>
              <a:prstDash val="sysDash"/>
              <a:round/>
            </a:ln>
            <a:effectLst/>
          </c:spPr>
          <c:marker>
            <c:symbol val="none"/>
          </c:marker>
          <c:dLbls>
            <c:dLbl>
              <c:idx val="6"/>
              <c:layout>
                <c:manualLayout>
                  <c:x val="-6.5932770008741245E-2"/>
                  <c:y val="0.148684360679171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036-4F1F-90EF-D9855F51F01E}"/>
                </c:ext>
              </c:extLst>
            </c:dLbl>
            <c:spPr>
              <a:solidFill>
                <a:schemeClr val="accent2">
                  <a:lumMod val="20000"/>
                  <a:lumOff val="80000"/>
                </a:schemeClr>
              </a:solid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lv-LV"/>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Exp_m!$BL$29:$BR$29</c:f>
              <c:strCache>
                <c:ptCount val="7"/>
                <c:pt idx="0">
                  <c:v>2020M1</c:v>
                </c:pt>
                <c:pt idx="1">
                  <c:v>2020M2</c:v>
                </c:pt>
                <c:pt idx="2">
                  <c:v>2020M3</c:v>
                </c:pt>
                <c:pt idx="3">
                  <c:v>2020M4</c:v>
                </c:pt>
                <c:pt idx="4">
                  <c:v>2020M5</c:v>
                </c:pt>
                <c:pt idx="5">
                  <c:v>2020M6</c:v>
                </c:pt>
                <c:pt idx="6">
                  <c:v>2020M7</c:v>
                </c:pt>
              </c:strCache>
            </c:strRef>
          </c:cat>
          <c:val>
            <c:numRef>
              <c:f>Exp_m!$BL$31:$BR$31</c:f>
              <c:numCache>
                <c:formatCode>0.0</c:formatCode>
                <c:ptCount val="7"/>
                <c:pt idx="0">
                  <c:v>3.5353601559927768</c:v>
                </c:pt>
                <c:pt idx="1">
                  <c:v>5.3952514374969525</c:v>
                </c:pt>
                <c:pt idx="2">
                  <c:v>-1.6009230003829344</c:v>
                </c:pt>
                <c:pt idx="3">
                  <c:v>-15.418391441230199</c:v>
                </c:pt>
                <c:pt idx="4">
                  <c:v>-18.277952007642241</c:v>
                </c:pt>
                <c:pt idx="5">
                  <c:v>-1.4055126990505897</c:v>
                </c:pt>
                <c:pt idx="6">
                  <c:v>-6.8838522775664046E-2</c:v>
                </c:pt>
              </c:numCache>
            </c:numRef>
          </c:val>
          <c:smooth val="0"/>
          <c:extLst>
            <c:ext xmlns:c16="http://schemas.microsoft.com/office/drawing/2014/chart" uri="{C3380CC4-5D6E-409C-BE32-E72D297353CC}">
              <c16:uniqueId val="{00000002-7036-4F1F-90EF-D9855F51F01E}"/>
            </c:ext>
          </c:extLst>
        </c:ser>
        <c:dLbls>
          <c:showLegendKey val="0"/>
          <c:showVal val="0"/>
          <c:showCatName val="0"/>
          <c:showSerName val="0"/>
          <c:showPercent val="0"/>
          <c:showBubbleSize val="0"/>
        </c:dLbls>
        <c:smooth val="0"/>
        <c:axId val="2087766063"/>
        <c:axId val="2087772303"/>
      </c:lineChart>
      <c:catAx>
        <c:axId val="208776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1" u="none" strike="noStrike" kern="1200" baseline="0">
                <a:solidFill>
                  <a:sysClr val="windowText" lastClr="000000"/>
                </a:solidFill>
                <a:latin typeface="+mn-lt"/>
                <a:ea typeface="+mn-ea"/>
                <a:cs typeface="+mn-cs"/>
              </a:defRPr>
            </a:pPr>
            <a:endParaRPr lang="lv-LV"/>
          </a:p>
        </c:txPr>
        <c:crossAx val="2087772303"/>
        <c:crosses val="autoZero"/>
        <c:auto val="1"/>
        <c:lblAlgn val="ctr"/>
        <c:lblOffset val="100"/>
        <c:noMultiLvlLbl val="0"/>
      </c:catAx>
      <c:valAx>
        <c:axId val="208777230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lv-LV" sz="800"/>
                  <a:t>%</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lv-LV"/>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lv-LV"/>
          </a:p>
        </c:txPr>
        <c:crossAx val="2087766063"/>
        <c:crosses val="autoZero"/>
        <c:crossBetween val="between"/>
      </c:valAx>
      <c:spPr>
        <a:noFill/>
        <a:ln>
          <a:noFill/>
        </a:ln>
        <a:effectLst/>
      </c:spPr>
    </c:plotArea>
    <c:legend>
      <c:legendPos val="b"/>
      <c:layout>
        <c:manualLayout>
          <c:xMode val="edge"/>
          <c:yMode val="edge"/>
          <c:x val="3.7274594014920455E-2"/>
          <c:y val="0.91704715400277481"/>
          <c:w val="0.93420895193005626"/>
          <c:h val="5.2441785737881164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lv-LV"/>
    </a:p>
  </c:txPr>
  <c:externalData r:id="rId3">
    <c:autoUpdate val="0"/>
  </c:externalData>
</c:chartSpace>
</file>

<file path=word/charts/chart17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01704111487925"/>
          <c:y val="5.3394355453852023E-2"/>
          <c:w val="0.83955882633314904"/>
          <c:h val="0.73398079244671077"/>
        </c:manualLayout>
      </c:layout>
      <c:lineChart>
        <c:grouping val="standard"/>
        <c:varyColors val="0"/>
        <c:ser>
          <c:idx val="0"/>
          <c:order val="0"/>
          <c:tx>
            <c:strRef>
              <c:f>Exp_m!$BK$30</c:f>
              <c:strCache>
                <c:ptCount val="1"/>
                <c:pt idx="0">
                  <c:v>Eksports kopā</c:v>
                </c:pt>
              </c:strCache>
            </c:strRef>
          </c:tx>
          <c:spPr>
            <a:ln w="28575" cap="rnd">
              <a:solidFill>
                <a:schemeClr val="accent1"/>
              </a:solidFill>
              <a:round/>
            </a:ln>
            <a:effectLst/>
          </c:spPr>
          <c:marker>
            <c:symbol val="none"/>
          </c:marker>
          <c:dLbls>
            <c:spPr>
              <a:solidFill>
                <a:schemeClr val="accent5">
                  <a:lumMod val="20000"/>
                  <a:lumOff val="80000"/>
                </a:schemeClr>
              </a:solid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Exp_m!$BL$29:$BR$29</c:f>
              <c:strCache>
                <c:ptCount val="7"/>
                <c:pt idx="0">
                  <c:v>2020M1</c:v>
                </c:pt>
                <c:pt idx="1">
                  <c:v>2020M2</c:v>
                </c:pt>
                <c:pt idx="2">
                  <c:v>2020M3</c:v>
                </c:pt>
                <c:pt idx="3">
                  <c:v>2020M4</c:v>
                </c:pt>
                <c:pt idx="4">
                  <c:v>2020M5</c:v>
                </c:pt>
                <c:pt idx="5">
                  <c:v>2020M6</c:v>
                </c:pt>
                <c:pt idx="6">
                  <c:v>2020M7</c:v>
                </c:pt>
              </c:strCache>
            </c:strRef>
          </c:cat>
          <c:val>
            <c:numRef>
              <c:f>Exp_m!$BL$30:$BR$30</c:f>
              <c:numCache>
                <c:formatCode>0.0</c:formatCode>
                <c:ptCount val="7"/>
                <c:pt idx="0">
                  <c:v>4.8945601737348596</c:v>
                </c:pt>
                <c:pt idx="1">
                  <c:v>7.3195588673822414</c:v>
                </c:pt>
                <c:pt idx="2">
                  <c:v>-0.66063586948908437</c:v>
                </c:pt>
                <c:pt idx="3">
                  <c:v>-13.87696950315835</c:v>
                </c:pt>
                <c:pt idx="4">
                  <c:v>-16.782416651480005</c:v>
                </c:pt>
                <c:pt idx="5">
                  <c:v>-1.3680658686090368</c:v>
                </c:pt>
                <c:pt idx="6">
                  <c:v>-0.33207554801104777</c:v>
                </c:pt>
              </c:numCache>
            </c:numRef>
          </c:val>
          <c:smooth val="0"/>
          <c:extLst>
            <c:ext xmlns:c16="http://schemas.microsoft.com/office/drawing/2014/chart" uri="{C3380CC4-5D6E-409C-BE32-E72D297353CC}">
              <c16:uniqueId val="{00000000-7036-4F1F-90EF-D9855F51F01E}"/>
            </c:ext>
          </c:extLst>
        </c:ser>
        <c:ser>
          <c:idx val="1"/>
          <c:order val="1"/>
          <c:tx>
            <c:strRef>
              <c:f>Exp_m!$BK$31</c:f>
              <c:strCache>
                <c:ptCount val="1"/>
                <c:pt idx="0">
                  <c:v>Eksports uz ES</c:v>
                </c:pt>
              </c:strCache>
            </c:strRef>
          </c:tx>
          <c:spPr>
            <a:ln w="28575" cap="rnd">
              <a:solidFill>
                <a:schemeClr val="accent2"/>
              </a:solidFill>
              <a:prstDash val="sysDash"/>
              <a:round/>
            </a:ln>
            <a:effectLst/>
          </c:spPr>
          <c:marker>
            <c:symbol val="none"/>
          </c:marker>
          <c:dLbls>
            <c:dLbl>
              <c:idx val="6"/>
              <c:layout>
                <c:manualLayout>
                  <c:x val="-6.5932770008741245E-2"/>
                  <c:y val="0.148684360679171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036-4F1F-90EF-D9855F51F01E}"/>
                </c:ext>
              </c:extLst>
            </c:dLbl>
            <c:spPr>
              <a:solidFill>
                <a:schemeClr val="accent2">
                  <a:lumMod val="20000"/>
                  <a:lumOff val="80000"/>
                </a:schemeClr>
              </a:solid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lv-LV"/>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Exp_m!$BL$29:$BR$29</c:f>
              <c:strCache>
                <c:ptCount val="7"/>
                <c:pt idx="0">
                  <c:v>2020M1</c:v>
                </c:pt>
                <c:pt idx="1">
                  <c:v>2020M2</c:v>
                </c:pt>
                <c:pt idx="2">
                  <c:v>2020M3</c:v>
                </c:pt>
                <c:pt idx="3">
                  <c:v>2020M4</c:v>
                </c:pt>
                <c:pt idx="4">
                  <c:v>2020M5</c:v>
                </c:pt>
                <c:pt idx="5">
                  <c:v>2020M6</c:v>
                </c:pt>
                <c:pt idx="6">
                  <c:v>2020M7</c:v>
                </c:pt>
              </c:strCache>
            </c:strRef>
          </c:cat>
          <c:val>
            <c:numRef>
              <c:f>Exp_m!$BL$31:$BR$31</c:f>
              <c:numCache>
                <c:formatCode>0.0</c:formatCode>
                <c:ptCount val="7"/>
                <c:pt idx="0">
                  <c:v>3.5353601559927768</c:v>
                </c:pt>
                <c:pt idx="1">
                  <c:v>5.3952514374969525</c:v>
                </c:pt>
                <c:pt idx="2">
                  <c:v>-1.6009230003829344</c:v>
                </c:pt>
                <c:pt idx="3">
                  <c:v>-15.418391441230199</c:v>
                </c:pt>
                <c:pt idx="4">
                  <c:v>-18.277952007642241</c:v>
                </c:pt>
                <c:pt idx="5">
                  <c:v>-1.4055126990505897</c:v>
                </c:pt>
                <c:pt idx="6">
                  <c:v>-6.8838522775664046E-2</c:v>
                </c:pt>
              </c:numCache>
            </c:numRef>
          </c:val>
          <c:smooth val="0"/>
          <c:extLst>
            <c:ext xmlns:c16="http://schemas.microsoft.com/office/drawing/2014/chart" uri="{C3380CC4-5D6E-409C-BE32-E72D297353CC}">
              <c16:uniqueId val="{00000002-7036-4F1F-90EF-D9855F51F01E}"/>
            </c:ext>
          </c:extLst>
        </c:ser>
        <c:dLbls>
          <c:showLegendKey val="0"/>
          <c:showVal val="0"/>
          <c:showCatName val="0"/>
          <c:showSerName val="0"/>
          <c:showPercent val="0"/>
          <c:showBubbleSize val="0"/>
        </c:dLbls>
        <c:smooth val="0"/>
        <c:axId val="2087766063"/>
        <c:axId val="2087772303"/>
      </c:lineChart>
      <c:catAx>
        <c:axId val="208776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1" u="none" strike="noStrike" kern="1200" baseline="0">
                <a:solidFill>
                  <a:sysClr val="windowText" lastClr="000000"/>
                </a:solidFill>
                <a:latin typeface="+mn-lt"/>
                <a:ea typeface="+mn-ea"/>
                <a:cs typeface="+mn-cs"/>
              </a:defRPr>
            </a:pPr>
            <a:endParaRPr lang="lv-LV"/>
          </a:p>
        </c:txPr>
        <c:crossAx val="2087772303"/>
        <c:crosses val="autoZero"/>
        <c:auto val="1"/>
        <c:lblAlgn val="ctr"/>
        <c:lblOffset val="100"/>
        <c:noMultiLvlLbl val="0"/>
      </c:catAx>
      <c:valAx>
        <c:axId val="208777230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lv-LV" sz="800"/>
                  <a:t>%</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lv-LV"/>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lv-LV"/>
          </a:p>
        </c:txPr>
        <c:crossAx val="2087766063"/>
        <c:crosses val="autoZero"/>
        <c:crossBetween val="between"/>
      </c:valAx>
      <c:spPr>
        <a:noFill/>
        <a:ln>
          <a:noFill/>
        </a:ln>
        <a:effectLst/>
      </c:spPr>
    </c:plotArea>
    <c:legend>
      <c:legendPos val="b"/>
      <c:layout>
        <c:manualLayout>
          <c:xMode val="edge"/>
          <c:yMode val="edge"/>
          <c:x val="3.7274594014920455E-2"/>
          <c:y val="0.91704715400277481"/>
          <c:w val="0.93420895193005626"/>
          <c:h val="5.2441785737881164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lv-LV"/>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714320925391186E-2"/>
          <c:y val="7.8958957213157321E-2"/>
          <c:w val="0.90428567907460877"/>
          <c:h val="0.53380832429925618"/>
        </c:manualLayout>
      </c:layout>
      <c:barChart>
        <c:barDir val="col"/>
        <c:grouping val="stacked"/>
        <c:varyColors val="0"/>
        <c:ser>
          <c:idx val="1"/>
          <c:order val="1"/>
          <c:tx>
            <c:strRef>
              <c:f>Exp_Q!$K$4</c:f>
              <c:strCache>
                <c:ptCount val="1"/>
                <c:pt idx="0">
                  <c:v>ES-28</c:v>
                </c:pt>
              </c:strCache>
            </c:strRef>
          </c:tx>
          <c:spPr>
            <a:solidFill>
              <a:schemeClr val="accent2"/>
            </a:solidFill>
            <a:ln>
              <a:noFill/>
            </a:ln>
            <a:effectLst/>
          </c:spPr>
          <c:invertIfNegative val="0"/>
          <c:cat>
            <c:strRef>
              <c:f>Exp_Q!$I$5:$I$25</c:f>
              <c:strCache>
                <c:ptCount val="21"/>
                <c:pt idx="0">
                  <c:v>II</c:v>
                </c:pt>
                <c:pt idx="1">
                  <c:v>III</c:v>
                </c:pt>
                <c:pt idx="2">
                  <c:v>IV</c:v>
                </c:pt>
                <c:pt idx="3">
                  <c:v>I</c:v>
                </c:pt>
                <c:pt idx="4">
                  <c:v>II</c:v>
                </c:pt>
                <c:pt idx="5">
                  <c:v>III</c:v>
                </c:pt>
                <c:pt idx="6">
                  <c:v>IV</c:v>
                </c:pt>
                <c:pt idx="7">
                  <c:v>I</c:v>
                </c:pt>
                <c:pt idx="8">
                  <c:v>II</c:v>
                </c:pt>
                <c:pt idx="9">
                  <c:v>III</c:v>
                </c:pt>
                <c:pt idx="10">
                  <c:v>IV</c:v>
                </c:pt>
                <c:pt idx="11">
                  <c:v>I</c:v>
                </c:pt>
                <c:pt idx="12">
                  <c:v>II</c:v>
                </c:pt>
                <c:pt idx="13">
                  <c:v>III</c:v>
                </c:pt>
                <c:pt idx="14">
                  <c:v>IV</c:v>
                </c:pt>
                <c:pt idx="15">
                  <c:v>I</c:v>
                </c:pt>
                <c:pt idx="16">
                  <c:v>II</c:v>
                </c:pt>
                <c:pt idx="17">
                  <c:v>III</c:v>
                </c:pt>
                <c:pt idx="18">
                  <c:v>IV</c:v>
                </c:pt>
                <c:pt idx="19">
                  <c:v>I</c:v>
                </c:pt>
                <c:pt idx="20">
                  <c:v>II</c:v>
                </c:pt>
              </c:strCache>
            </c:strRef>
          </c:cat>
          <c:val>
            <c:numRef>
              <c:f>Exp_Q!$K$5:$K$25</c:f>
              <c:numCache>
                <c:formatCode>0.0</c:formatCode>
                <c:ptCount val="21"/>
                <c:pt idx="0">
                  <c:v>1.2031763856579551E-2</c:v>
                </c:pt>
                <c:pt idx="1">
                  <c:v>1.5120929346791105</c:v>
                </c:pt>
                <c:pt idx="2">
                  <c:v>-1.1893350374551781</c:v>
                </c:pt>
                <c:pt idx="3">
                  <c:v>-4.4700181708055746</c:v>
                </c:pt>
                <c:pt idx="4">
                  <c:v>2.1172510958046304</c:v>
                </c:pt>
                <c:pt idx="5">
                  <c:v>1.0287602312833255</c:v>
                </c:pt>
                <c:pt idx="6">
                  <c:v>3.6340985940558865</c:v>
                </c:pt>
                <c:pt idx="7">
                  <c:v>11.42797407484842</c:v>
                </c:pt>
                <c:pt idx="8">
                  <c:v>3.1017707725238393</c:v>
                </c:pt>
                <c:pt idx="9">
                  <c:v>2.0536181017101041</c:v>
                </c:pt>
                <c:pt idx="10">
                  <c:v>4.2128525326224189</c:v>
                </c:pt>
                <c:pt idx="11">
                  <c:v>4.2616561259008634</c:v>
                </c:pt>
                <c:pt idx="12">
                  <c:v>8.8476183633881806</c:v>
                </c:pt>
                <c:pt idx="13">
                  <c:v>7.6363759342554687</c:v>
                </c:pt>
                <c:pt idx="14">
                  <c:v>7.0913084405396924</c:v>
                </c:pt>
                <c:pt idx="15">
                  <c:v>6.4345600861982</c:v>
                </c:pt>
                <c:pt idx="16">
                  <c:v>1.662856606018849</c:v>
                </c:pt>
                <c:pt idx="17">
                  <c:v>2.232184844969741</c:v>
                </c:pt>
                <c:pt idx="18">
                  <c:v>-2.7452126882034817</c:v>
                </c:pt>
                <c:pt idx="19">
                  <c:v>-5.0326546292739236</c:v>
                </c:pt>
                <c:pt idx="20">
                  <c:v>-12.114495598758792</c:v>
                </c:pt>
              </c:numCache>
            </c:numRef>
          </c:val>
          <c:extLst>
            <c:ext xmlns:c16="http://schemas.microsoft.com/office/drawing/2014/chart" uri="{C3380CC4-5D6E-409C-BE32-E72D297353CC}">
              <c16:uniqueId val="{00000000-997B-4F58-8086-5C786EB36F63}"/>
            </c:ext>
          </c:extLst>
        </c:ser>
        <c:ser>
          <c:idx val="2"/>
          <c:order val="2"/>
          <c:tx>
            <c:strRef>
              <c:f>Exp_Q!$L$4</c:f>
              <c:strCache>
                <c:ptCount val="1"/>
                <c:pt idx="0">
                  <c:v>NVS</c:v>
                </c:pt>
              </c:strCache>
            </c:strRef>
          </c:tx>
          <c:spPr>
            <a:solidFill>
              <a:schemeClr val="accent3"/>
            </a:solidFill>
            <a:ln>
              <a:noFill/>
            </a:ln>
            <a:effectLst/>
          </c:spPr>
          <c:invertIfNegative val="0"/>
          <c:cat>
            <c:strRef>
              <c:f>Exp_Q!$I$5:$I$25</c:f>
              <c:strCache>
                <c:ptCount val="21"/>
                <c:pt idx="0">
                  <c:v>II</c:v>
                </c:pt>
                <c:pt idx="1">
                  <c:v>III</c:v>
                </c:pt>
                <c:pt idx="2">
                  <c:v>IV</c:v>
                </c:pt>
                <c:pt idx="3">
                  <c:v>I</c:v>
                </c:pt>
                <c:pt idx="4">
                  <c:v>II</c:v>
                </c:pt>
                <c:pt idx="5">
                  <c:v>III</c:v>
                </c:pt>
                <c:pt idx="6">
                  <c:v>IV</c:v>
                </c:pt>
                <c:pt idx="7">
                  <c:v>I</c:v>
                </c:pt>
                <c:pt idx="8">
                  <c:v>II</c:v>
                </c:pt>
                <c:pt idx="9">
                  <c:v>III</c:v>
                </c:pt>
                <c:pt idx="10">
                  <c:v>IV</c:v>
                </c:pt>
                <c:pt idx="11">
                  <c:v>I</c:v>
                </c:pt>
                <c:pt idx="12">
                  <c:v>II</c:v>
                </c:pt>
                <c:pt idx="13">
                  <c:v>III</c:v>
                </c:pt>
                <c:pt idx="14">
                  <c:v>IV</c:v>
                </c:pt>
                <c:pt idx="15">
                  <c:v>I</c:v>
                </c:pt>
                <c:pt idx="16">
                  <c:v>II</c:v>
                </c:pt>
                <c:pt idx="17">
                  <c:v>III</c:v>
                </c:pt>
                <c:pt idx="18">
                  <c:v>IV</c:v>
                </c:pt>
                <c:pt idx="19">
                  <c:v>I</c:v>
                </c:pt>
                <c:pt idx="20">
                  <c:v>II</c:v>
                </c:pt>
              </c:strCache>
            </c:strRef>
          </c:cat>
          <c:val>
            <c:numRef>
              <c:f>Exp_Q!$L$5:$L$25</c:f>
              <c:numCache>
                <c:formatCode>0.0</c:formatCode>
                <c:ptCount val="21"/>
                <c:pt idx="0">
                  <c:v>-1.4758963664073135</c:v>
                </c:pt>
                <c:pt idx="1">
                  <c:v>-3.3974481051228334</c:v>
                </c:pt>
                <c:pt idx="2">
                  <c:v>-3.255582774168353</c:v>
                </c:pt>
                <c:pt idx="3">
                  <c:v>-1.4657783161720161</c:v>
                </c:pt>
                <c:pt idx="4">
                  <c:v>-0.79445835942392029</c:v>
                </c:pt>
                <c:pt idx="5">
                  <c:v>-1.0437786288203053</c:v>
                </c:pt>
                <c:pt idx="6">
                  <c:v>1.1959423384943928</c:v>
                </c:pt>
                <c:pt idx="7">
                  <c:v>3.2280995191302537</c:v>
                </c:pt>
                <c:pt idx="8">
                  <c:v>2.1132516053706953</c:v>
                </c:pt>
                <c:pt idx="9">
                  <c:v>4.0698976924800245</c:v>
                </c:pt>
                <c:pt idx="10">
                  <c:v>2.757120808194192</c:v>
                </c:pt>
                <c:pt idx="11">
                  <c:v>1.4560964847771718</c:v>
                </c:pt>
                <c:pt idx="12">
                  <c:v>1.8212515266901355</c:v>
                </c:pt>
                <c:pt idx="13">
                  <c:v>-8.1166086103690832E-2</c:v>
                </c:pt>
                <c:pt idx="14">
                  <c:v>0.74364606212739215</c:v>
                </c:pt>
                <c:pt idx="15">
                  <c:v>0.24243240513148551</c:v>
                </c:pt>
                <c:pt idx="16">
                  <c:v>-0.36326057683274426</c:v>
                </c:pt>
                <c:pt idx="17">
                  <c:v>1.8152177320751182</c:v>
                </c:pt>
                <c:pt idx="18">
                  <c:v>1.1606490279198944</c:v>
                </c:pt>
                <c:pt idx="19">
                  <c:v>1.034063260340633</c:v>
                </c:pt>
                <c:pt idx="20">
                  <c:v>-1.6401747831043003</c:v>
                </c:pt>
              </c:numCache>
            </c:numRef>
          </c:val>
          <c:extLst>
            <c:ext xmlns:c16="http://schemas.microsoft.com/office/drawing/2014/chart" uri="{C3380CC4-5D6E-409C-BE32-E72D297353CC}">
              <c16:uniqueId val="{00000001-997B-4F58-8086-5C786EB36F63}"/>
            </c:ext>
          </c:extLst>
        </c:ser>
        <c:ser>
          <c:idx val="3"/>
          <c:order val="3"/>
          <c:tx>
            <c:strRef>
              <c:f>Exp_Q!$M$4</c:f>
              <c:strCache>
                <c:ptCount val="1"/>
                <c:pt idx="0">
                  <c:v>Cits</c:v>
                </c:pt>
              </c:strCache>
            </c:strRef>
          </c:tx>
          <c:spPr>
            <a:solidFill>
              <a:srgbClr val="002060"/>
            </a:solidFill>
            <a:ln>
              <a:noFill/>
            </a:ln>
            <a:effectLst/>
          </c:spPr>
          <c:invertIfNegative val="0"/>
          <c:cat>
            <c:strRef>
              <c:f>Exp_Q!$I$5:$I$25</c:f>
              <c:strCache>
                <c:ptCount val="21"/>
                <c:pt idx="0">
                  <c:v>II</c:v>
                </c:pt>
                <c:pt idx="1">
                  <c:v>III</c:v>
                </c:pt>
                <c:pt idx="2">
                  <c:v>IV</c:v>
                </c:pt>
                <c:pt idx="3">
                  <c:v>I</c:v>
                </c:pt>
                <c:pt idx="4">
                  <c:v>II</c:v>
                </c:pt>
                <c:pt idx="5">
                  <c:v>III</c:v>
                </c:pt>
                <c:pt idx="6">
                  <c:v>IV</c:v>
                </c:pt>
                <c:pt idx="7">
                  <c:v>I</c:v>
                </c:pt>
                <c:pt idx="8">
                  <c:v>II</c:v>
                </c:pt>
                <c:pt idx="9">
                  <c:v>III</c:v>
                </c:pt>
                <c:pt idx="10">
                  <c:v>IV</c:v>
                </c:pt>
                <c:pt idx="11">
                  <c:v>I</c:v>
                </c:pt>
                <c:pt idx="12">
                  <c:v>II</c:v>
                </c:pt>
                <c:pt idx="13">
                  <c:v>III</c:v>
                </c:pt>
                <c:pt idx="14">
                  <c:v>IV</c:v>
                </c:pt>
                <c:pt idx="15">
                  <c:v>I</c:v>
                </c:pt>
                <c:pt idx="16">
                  <c:v>II</c:v>
                </c:pt>
                <c:pt idx="17">
                  <c:v>III</c:v>
                </c:pt>
                <c:pt idx="18">
                  <c:v>IV</c:v>
                </c:pt>
                <c:pt idx="19">
                  <c:v>I</c:v>
                </c:pt>
                <c:pt idx="20">
                  <c:v>II</c:v>
                </c:pt>
              </c:strCache>
            </c:strRef>
          </c:cat>
          <c:val>
            <c:numRef>
              <c:f>Exp_Q!$M$5:$M$25</c:f>
              <c:numCache>
                <c:formatCode>0.0</c:formatCode>
                <c:ptCount val="21"/>
                <c:pt idx="0">
                  <c:v>3.9424079570064858</c:v>
                </c:pt>
                <c:pt idx="1">
                  <c:v>3.3288897352885178</c:v>
                </c:pt>
                <c:pt idx="2">
                  <c:v>4.1892995349167528</c:v>
                </c:pt>
                <c:pt idx="3">
                  <c:v>2.5035332121946317</c:v>
                </c:pt>
                <c:pt idx="4">
                  <c:v>-0.76314965560424686</c:v>
                </c:pt>
                <c:pt idx="5">
                  <c:v>0.57069910640533328</c:v>
                </c:pt>
                <c:pt idx="6">
                  <c:v>-3.3600284748175806</c:v>
                </c:pt>
                <c:pt idx="7">
                  <c:v>-0.93665063767510315</c:v>
                </c:pt>
                <c:pt idx="8">
                  <c:v>3.1251216189920266</c:v>
                </c:pt>
                <c:pt idx="9">
                  <c:v>4.2827272048390839</c:v>
                </c:pt>
                <c:pt idx="10">
                  <c:v>4.8232075206959406</c:v>
                </c:pt>
                <c:pt idx="11">
                  <c:v>3.4858067362847605</c:v>
                </c:pt>
                <c:pt idx="12">
                  <c:v>4.0412385947266278</c:v>
                </c:pt>
                <c:pt idx="13">
                  <c:v>0.31790050390610941</c:v>
                </c:pt>
                <c:pt idx="14">
                  <c:v>-0.50831502980859711</c:v>
                </c:pt>
                <c:pt idx="15">
                  <c:v>-1.5017340651200555</c:v>
                </c:pt>
                <c:pt idx="16">
                  <c:v>-2.3987724297748505</c:v>
                </c:pt>
                <c:pt idx="17">
                  <c:v>-0.6364234881023173</c:v>
                </c:pt>
                <c:pt idx="18">
                  <c:v>0.55547434585587729</c:v>
                </c:pt>
                <c:pt idx="19">
                  <c:v>7.6930464848252109</c:v>
                </c:pt>
                <c:pt idx="20">
                  <c:v>2.8053954784370982</c:v>
                </c:pt>
              </c:numCache>
            </c:numRef>
          </c:val>
          <c:extLst>
            <c:ext xmlns:c16="http://schemas.microsoft.com/office/drawing/2014/chart" uri="{C3380CC4-5D6E-409C-BE32-E72D297353CC}">
              <c16:uniqueId val="{00000002-997B-4F58-8086-5C786EB36F63}"/>
            </c:ext>
          </c:extLst>
        </c:ser>
        <c:dLbls>
          <c:showLegendKey val="0"/>
          <c:showVal val="0"/>
          <c:showCatName val="0"/>
          <c:showSerName val="0"/>
          <c:showPercent val="0"/>
          <c:showBubbleSize val="0"/>
        </c:dLbls>
        <c:gapWidth val="219"/>
        <c:overlap val="100"/>
        <c:axId val="210487888"/>
        <c:axId val="210489064"/>
      </c:barChart>
      <c:lineChart>
        <c:grouping val="standard"/>
        <c:varyColors val="0"/>
        <c:ser>
          <c:idx val="0"/>
          <c:order val="0"/>
          <c:tx>
            <c:strRef>
              <c:f>Exp_Q!$J$4</c:f>
              <c:strCache>
                <c:ptCount val="1"/>
                <c:pt idx="0">
                  <c:v>Eksporta pieaugums</c:v>
                </c:pt>
              </c:strCache>
            </c:strRef>
          </c:tx>
          <c:spPr>
            <a:ln w="22225" cap="rnd">
              <a:solidFill>
                <a:srgbClr val="C00000"/>
              </a:solidFill>
              <a:prstDash val="solid"/>
              <a:round/>
            </a:ln>
            <a:effectLst/>
          </c:spPr>
          <c:marker>
            <c:symbol val="none"/>
          </c:marker>
          <c:dLbls>
            <c:dLbl>
              <c:idx val="0"/>
              <c:layout>
                <c:manualLayout>
                  <c:x val="-2.185225654702419E-2"/>
                  <c:y val="4.2740991771260542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97B-4F58-8086-5C786EB36F63}"/>
                </c:ext>
              </c:extLst>
            </c:dLbl>
            <c:dLbl>
              <c:idx val="1"/>
              <c:layout>
                <c:manualLayout>
                  <c:x val="-2.1852256547024204E-2"/>
                  <c:y val="-2.124248243905225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97B-4F58-8086-5C786EB36F63}"/>
                </c:ext>
              </c:extLst>
            </c:dLbl>
            <c:dLbl>
              <c:idx val="2"/>
              <c:layout>
                <c:manualLayout>
                  <c:x val="-2.4070029281876838E-2"/>
                  <c:y val="1.15645510674627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97B-4F58-8086-5C786EB36F63}"/>
                </c:ext>
              </c:extLst>
            </c:dLbl>
            <c:dLbl>
              <c:idx val="3"/>
              <c:layout>
                <c:manualLayout>
                  <c:x val="-2.4070029281876838E-2"/>
                  <c:y val="-6.6615786583790297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97B-4F58-8086-5C786EB36F63}"/>
                </c:ext>
              </c:extLst>
            </c:dLbl>
            <c:dLbl>
              <c:idx val="4"/>
              <c:layout>
                <c:manualLayout>
                  <c:x val="-2.1852256547024176E-2"/>
                  <c:y val="-3.0163527132106242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97B-4F58-8086-5C786EB36F63}"/>
                </c:ext>
              </c:extLst>
            </c:dLbl>
            <c:dLbl>
              <c:idx val="5"/>
              <c:layout>
                <c:manualLayout>
                  <c:x val="-2.3333259477544149E-2"/>
                  <c:y val="6.2887323195778193E-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97B-4F58-8086-5C786EB36F63}"/>
                </c:ext>
              </c:extLst>
            </c:dLbl>
            <c:dLbl>
              <c:idx val="6"/>
              <c:layout>
                <c:manualLayout>
                  <c:x val="-2.1852256547024176E-2"/>
                  <c:y val="-1.03068046035473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97B-4F58-8086-5C786EB36F63}"/>
                </c:ext>
              </c:extLst>
            </c:dLbl>
            <c:dLbl>
              <c:idx val="7"/>
              <c:layout>
                <c:manualLayout>
                  <c:x val="-2.555837891984742E-2"/>
                  <c:y val="6.2887323195774854E-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97B-4F58-8086-5C786EB36F63}"/>
                </c:ext>
              </c:extLst>
            </c:dLbl>
            <c:dLbl>
              <c:idx val="8"/>
              <c:layout>
                <c:manualLayout>
                  <c:x val="-2.1852256547024284E-2"/>
                  <c:y val="1.88550029577994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97B-4F58-8086-5C786EB36F63}"/>
                </c:ext>
              </c:extLst>
            </c:dLbl>
            <c:dLbl>
              <c:idx val="9"/>
              <c:layout>
                <c:manualLayout>
                  <c:x val="-2.2173529229983537E-2"/>
                  <c:y val="2.2798161543210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97B-4F58-8086-5C786EB36F63}"/>
                </c:ext>
              </c:extLst>
            </c:dLbl>
            <c:dLbl>
              <c:idx val="16"/>
              <c:layout>
                <c:manualLayout>
                  <c:x val="-1.7384080413256033E-2"/>
                  <c:y val="-1.09906784046728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97B-4F58-8086-5C786EB36F63}"/>
                </c:ext>
              </c:extLst>
            </c:dLbl>
            <c:spPr>
              <a:solidFill>
                <a:schemeClr val="bg1">
                  <a:alpha val="70000"/>
                </a:schemeClr>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Exp_Q!$H$5:$I$25</c:f>
              <c:multiLvlStrCache>
                <c:ptCount val="21"/>
                <c:lvl>
                  <c:pt idx="0">
                    <c:v>II</c:v>
                  </c:pt>
                  <c:pt idx="1">
                    <c:v>III</c:v>
                  </c:pt>
                  <c:pt idx="2">
                    <c:v>IV</c:v>
                  </c:pt>
                  <c:pt idx="3">
                    <c:v>I</c:v>
                  </c:pt>
                  <c:pt idx="4">
                    <c:v>II</c:v>
                  </c:pt>
                  <c:pt idx="5">
                    <c:v>III</c:v>
                  </c:pt>
                  <c:pt idx="6">
                    <c:v>IV</c:v>
                  </c:pt>
                  <c:pt idx="7">
                    <c:v>I</c:v>
                  </c:pt>
                  <c:pt idx="8">
                    <c:v>II</c:v>
                  </c:pt>
                  <c:pt idx="9">
                    <c:v>III</c:v>
                  </c:pt>
                  <c:pt idx="10">
                    <c:v>IV</c:v>
                  </c:pt>
                  <c:pt idx="11">
                    <c:v>I</c:v>
                  </c:pt>
                  <c:pt idx="12">
                    <c:v>II</c:v>
                  </c:pt>
                  <c:pt idx="13">
                    <c:v>III</c:v>
                  </c:pt>
                  <c:pt idx="14">
                    <c:v>IV</c:v>
                  </c:pt>
                  <c:pt idx="15">
                    <c:v>I</c:v>
                  </c:pt>
                  <c:pt idx="16">
                    <c:v>II</c:v>
                  </c:pt>
                  <c:pt idx="17">
                    <c:v>III</c:v>
                  </c:pt>
                  <c:pt idx="18">
                    <c:v>IV</c:v>
                  </c:pt>
                  <c:pt idx="19">
                    <c:v>I</c:v>
                  </c:pt>
                  <c:pt idx="20">
                    <c:v>II</c:v>
                  </c:pt>
                </c:lvl>
                <c:lvl>
                  <c:pt idx="0">
                    <c:v>2015</c:v>
                  </c:pt>
                  <c:pt idx="3">
                    <c:v>2016</c:v>
                  </c:pt>
                  <c:pt idx="7">
                    <c:v>2017</c:v>
                  </c:pt>
                  <c:pt idx="11">
                    <c:v>2018</c:v>
                  </c:pt>
                  <c:pt idx="15">
                    <c:v>2019</c:v>
                  </c:pt>
                  <c:pt idx="19">
                    <c:v>2020</c:v>
                  </c:pt>
                </c:lvl>
              </c:multiLvlStrCache>
            </c:multiLvlStrRef>
          </c:cat>
          <c:val>
            <c:numRef>
              <c:f>Exp_Q!$J$5:$J$25</c:f>
              <c:numCache>
                <c:formatCode>0.0</c:formatCode>
                <c:ptCount val="21"/>
                <c:pt idx="0">
                  <c:v>2.4785433544557423</c:v>
                </c:pt>
                <c:pt idx="1">
                  <c:v>1.4435345648447839</c:v>
                </c:pt>
                <c:pt idx="2">
                  <c:v>-0.25561827670678161</c:v>
                </c:pt>
                <c:pt idx="3">
                  <c:v>-3.4322632747829651</c:v>
                </c:pt>
                <c:pt idx="4">
                  <c:v>0.55964308077647296</c:v>
                </c:pt>
                <c:pt idx="5">
                  <c:v>0.55568070886835574</c:v>
                </c:pt>
                <c:pt idx="6">
                  <c:v>1.4700124577327056</c:v>
                </c:pt>
                <c:pt idx="7">
                  <c:v>13.719422956303573</c:v>
                </c:pt>
                <c:pt idx="8">
                  <c:v>8.3401439968865621</c:v>
                </c:pt>
                <c:pt idx="9">
                  <c:v>10.406242999029214</c:v>
                </c:pt>
                <c:pt idx="10">
                  <c:v>11.793180861512553</c:v>
                </c:pt>
                <c:pt idx="11">
                  <c:v>9.2035593469627983</c:v>
                </c:pt>
                <c:pt idx="12">
                  <c:v>14.710108484804941</c:v>
                </c:pt>
                <c:pt idx="13">
                  <c:v>7.8731103520578882</c:v>
                </c:pt>
                <c:pt idx="14">
                  <c:v>7.3266394728584983</c:v>
                </c:pt>
                <c:pt idx="15">
                  <c:v>5.1752584262096279</c:v>
                </c:pt>
                <c:pt idx="16">
                  <c:v>-1.0991764005887417</c:v>
                </c:pt>
                <c:pt idx="17">
                  <c:v>3.4109790889425451</c:v>
                </c:pt>
                <c:pt idx="18">
                  <c:v>-1.0290893144277113</c:v>
                </c:pt>
                <c:pt idx="19">
                  <c:v>3.6944551158919259</c:v>
                </c:pt>
                <c:pt idx="20">
                  <c:v>-10.949274903425998</c:v>
                </c:pt>
              </c:numCache>
            </c:numRef>
          </c:val>
          <c:smooth val="0"/>
          <c:extLst>
            <c:ext xmlns:c16="http://schemas.microsoft.com/office/drawing/2014/chart" uri="{C3380CC4-5D6E-409C-BE32-E72D297353CC}">
              <c16:uniqueId val="{0000000E-997B-4F58-8086-5C786EB36F63}"/>
            </c:ext>
          </c:extLst>
        </c:ser>
        <c:dLbls>
          <c:showLegendKey val="0"/>
          <c:showVal val="0"/>
          <c:showCatName val="0"/>
          <c:showSerName val="0"/>
          <c:showPercent val="0"/>
          <c:showBubbleSize val="0"/>
        </c:dLbls>
        <c:marker val="1"/>
        <c:smooth val="0"/>
        <c:axId val="210487888"/>
        <c:axId val="210489064"/>
      </c:lineChart>
      <c:catAx>
        <c:axId val="21048788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lv-LV"/>
                  <a:t>gadi</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crossAx val="210489064"/>
        <c:crosses val="autoZero"/>
        <c:auto val="1"/>
        <c:lblAlgn val="ctr"/>
        <c:lblOffset val="100"/>
        <c:noMultiLvlLbl val="0"/>
      </c:catAx>
      <c:valAx>
        <c:axId val="2104890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lv-LV"/>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crossAx val="210487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legend>
    <c:plotVisOnly val="1"/>
    <c:dispBlanksAs val="gap"/>
    <c:showDLblsOverMax val="0"/>
  </c:chart>
  <c:spPr>
    <a:no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lv-LV"/>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837176219106E-2"/>
          <c:y val="6.0122953571120297E-2"/>
          <c:w val="0.92859868910562604"/>
          <c:h val="0.61346811551113978"/>
        </c:manualLayout>
      </c:layout>
      <c:lineChart>
        <c:grouping val="standard"/>
        <c:varyColors val="0"/>
        <c:ser>
          <c:idx val="0"/>
          <c:order val="0"/>
          <c:tx>
            <c:strRef>
              <c:f>Exp_m!$C$59</c:f>
              <c:strCache>
                <c:ptCount val="1"/>
                <c:pt idx="0">
                  <c:v>LT - Lietuva</c:v>
                </c:pt>
              </c:strCache>
            </c:strRef>
          </c:tx>
          <c:spPr>
            <a:ln w="28575" cap="rnd">
              <a:solidFill>
                <a:schemeClr val="accent1"/>
              </a:solidFill>
              <a:round/>
            </a:ln>
            <a:effectLst/>
          </c:spPr>
          <c:marker>
            <c:symbol val="none"/>
          </c:marker>
          <c:cat>
            <c:multiLvlStrRef>
              <c:f>Exp_m!$D$57:$AM$58</c:f>
              <c:multiLvlStrCache>
                <c:ptCount val="36"/>
                <c:lvl>
                  <c:pt idx="0">
                    <c:v>8</c:v>
                  </c:pt>
                  <c:pt idx="1">
                    <c:v>9</c:v>
                  </c:pt>
                  <c:pt idx="2">
                    <c:v>10</c:v>
                  </c:pt>
                  <c:pt idx="3">
                    <c:v>11</c:v>
                  </c:pt>
                  <c:pt idx="4">
                    <c:v>12</c:v>
                  </c:pt>
                  <c:pt idx="5">
                    <c:v>1</c:v>
                  </c:pt>
                  <c:pt idx="6">
                    <c:v>2</c:v>
                  </c:pt>
                  <c:pt idx="7">
                    <c:v>3</c:v>
                  </c:pt>
                  <c:pt idx="8">
                    <c:v>4</c:v>
                  </c:pt>
                  <c:pt idx="9">
                    <c:v>5</c:v>
                  </c:pt>
                  <c:pt idx="10">
                    <c:v>6</c:v>
                  </c:pt>
                  <c:pt idx="11">
                    <c:v>7</c:v>
                  </c:pt>
                  <c:pt idx="12">
                    <c:v>8</c:v>
                  </c:pt>
                  <c:pt idx="13">
                    <c:v>9</c:v>
                  </c:pt>
                  <c:pt idx="14">
                    <c:v>10</c:v>
                  </c:pt>
                  <c:pt idx="15">
                    <c:v>11</c:v>
                  </c:pt>
                  <c:pt idx="16">
                    <c:v>12</c:v>
                  </c:pt>
                  <c:pt idx="17">
                    <c:v>1</c:v>
                  </c:pt>
                  <c:pt idx="18">
                    <c:v>2</c:v>
                  </c:pt>
                  <c:pt idx="19">
                    <c:v>3</c:v>
                  </c:pt>
                  <c:pt idx="20">
                    <c:v>4</c:v>
                  </c:pt>
                  <c:pt idx="21">
                    <c:v>5</c:v>
                  </c:pt>
                  <c:pt idx="22">
                    <c:v>6</c:v>
                  </c:pt>
                  <c:pt idx="23">
                    <c:v>7</c:v>
                  </c:pt>
                  <c:pt idx="24">
                    <c:v>8</c:v>
                  </c:pt>
                  <c:pt idx="25">
                    <c:v>9</c:v>
                  </c:pt>
                  <c:pt idx="26">
                    <c:v>10</c:v>
                  </c:pt>
                  <c:pt idx="27">
                    <c:v>11</c:v>
                  </c:pt>
                  <c:pt idx="28">
                    <c:v>12</c:v>
                  </c:pt>
                  <c:pt idx="29">
                    <c:v>1</c:v>
                  </c:pt>
                  <c:pt idx="30">
                    <c:v>2</c:v>
                  </c:pt>
                  <c:pt idx="31">
                    <c:v>3</c:v>
                  </c:pt>
                  <c:pt idx="32">
                    <c:v>4</c:v>
                  </c:pt>
                  <c:pt idx="33">
                    <c:v>5</c:v>
                  </c:pt>
                  <c:pt idx="34">
                    <c:v>6</c:v>
                  </c:pt>
                  <c:pt idx="35">
                    <c:v>7</c:v>
                  </c:pt>
                </c:lvl>
                <c:lvl>
                  <c:pt idx="5">
                    <c:v>2018</c:v>
                  </c:pt>
                  <c:pt idx="17">
                    <c:v>2019</c:v>
                  </c:pt>
                  <c:pt idx="29">
                    <c:v>2020</c:v>
                  </c:pt>
                </c:lvl>
              </c:multiLvlStrCache>
            </c:multiLvlStrRef>
          </c:cat>
          <c:val>
            <c:numRef>
              <c:f>Exp_m!$D$59:$AM$59</c:f>
              <c:numCache>
                <c:formatCode>0.0</c:formatCode>
                <c:ptCount val="36"/>
                <c:pt idx="0">
                  <c:v>0.99351785406300852</c:v>
                </c:pt>
                <c:pt idx="1">
                  <c:v>2.6882125050295747</c:v>
                </c:pt>
                <c:pt idx="2">
                  <c:v>2.1249306925350764</c:v>
                </c:pt>
                <c:pt idx="3">
                  <c:v>2.8349923178208947</c:v>
                </c:pt>
                <c:pt idx="4">
                  <c:v>1.226114026972791</c:v>
                </c:pt>
                <c:pt idx="5">
                  <c:v>4.4041784115741223</c:v>
                </c:pt>
                <c:pt idx="6">
                  <c:v>5.4306650469730489</c:v>
                </c:pt>
                <c:pt idx="7">
                  <c:v>5.8530225509902944</c:v>
                </c:pt>
                <c:pt idx="8">
                  <c:v>6.6816840864319715</c:v>
                </c:pt>
                <c:pt idx="9">
                  <c:v>5.4680591564935765</c:v>
                </c:pt>
                <c:pt idx="10">
                  <c:v>6.7528348801283888</c:v>
                </c:pt>
                <c:pt idx="11">
                  <c:v>7.1441575337774621</c:v>
                </c:pt>
                <c:pt idx="12">
                  <c:v>9.1038826147704643</c:v>
                </c:pt>
                <c:pt idx="13">
                  <c:v>8.0079468012420172</c:v>
                </c:pt>
                <c:pt idx="14">
                  <c:v>8.4427234885373625</c:v>
                </c:pt>
                <c:pt idx="15">
                  <c:v>7.7945696938186648</c:v>
                </c:pt>
                <c:pt idx="16">
                  <c:v>7.0029522963548141</c:v>
                </c:pt>
                <c:pt idx="17">
                  <c:v>3.7090327603655826</c:v>
                </c:pt>
                <c:pt idx="18">
                  <c:v>0.74275071989822194</c:v>
                </c:pt>
                <c:pt idx="19">
                  <c:v>1.5297842407457907</c:v>
                </c:pt>
                <c:pt idx="20">
                  <c:v>2.833762268381923</c:v>
                </c:pt>
                <c:pt idx="21">
                  <c:v>4.523326423978502</c:v>
                </c:pt>
                <c:pt idx="22">
                  <c:v>5.6852074064235536</c:v>
                </c:pt>
                <c:pt idx="23">
                  <c:v>6.5584110496832881</c:v>
                </c:pt>
                <c:pt idx="24">
                  <c:v>6.7025761906931214</c:v>
                </c:pt>
                <c:pt idx="25">
                  <c:v>6.266948912627579</c:v>
                </c:pt>
                <c:pt idx="26">
                  <c:v>-1.4201235086537034</c:v>
                </c:pt>
                <c:pt idx="27">
                  <c:v>-6.2949821082478259</c:v>
                </c:pt>
                <c:pt idx="28">
                  <c:v>-8.2757916047188402</c:v>
                </c:pt>
                <c:pt idx="29">
                  <c:v>-6.0341143431227646</c:v>
                </c:pt>
                <c:pt idx="30">
                  <c:v>0.51371631349292901</c:v>
                </c:pt>
                <c:pt idx="31">
                  <c:v>-0.31001651618026704</c:v>
                </c:pt>
                <c:pt idx="32">
                  <c:v>-8.5466936375953928</c:v>
                </c:pt>
                <c:pt idx="33">
                  <c:v>-17.824912868254938</c:v>
                </c:pt>
                <c:pt idx="34">
                  <c:v>-15.827616568354951</c:v>
                </c:pt>
                <c:pt idx="35">
                  <c:v>-8.0187919751240617</c:v>
                </c:pt>
              </c:numCache>
            </c:numRef>
          </c:val>
          <c:smooth val="0"/>
          <c:extLst>
            <c:ext xmlns:c16="http://schemas.microsoft.com/office/drawing/2014/chart" uri="{C3380CC4-5D6E-409C-BE32-E72D297353CC}">
              <c16:uniqueId val="{00000000-57BE-4AFA-8C37-464FE68827A1}"/>
            </c:ext>
          </c:extLst>
        </c:ser>
        <c:ser>
          <c:idx val="1"/>
          <c:order val="1"/>
          <c:tx>
            <c:strRef>
              <c:f>Exp_m!$C$60</c:f>
              <c:strCache>
                <c:ptCount val="1"/>
                <c:pt idx="0">
                  <c:v>EE- Igaunija</c:v>
                </c:pt>
              </c:strCache>
            </c:strRef>
          </c:tx>
          <c:spPr>
            <a:ln w="28575" cap="rnd">
              <a:solidFill>
                <a:srgbClr val="002060"/>
              </a:solidFill>
              <a:round/>
            </a:ln>
            <a:effectLst/>
          </c:spPr>
          <c:marker>
            <c:symbol val="none"/>
          </c:marker>
          <c:cat>
            <c:multiLvlStrRef>
              <c:f>Exp_m!$D$57:$AM$58</c:f>
              <c:multiLvlStrCache>
                <c:ptCount val="36"/>
                <c:lvl>
                  <c:pt idx="0">
                    <c:v>8</c:v>
                  </c:pt>
                  <c:pt idx="1">
                    <c:v>9</c:v>
                  </c:pt>
                  <c:pt idx="2">
                    <c:v>10</c:v>
                  </c:pt>
                  <c:pt idx="3">
                    <c:v>11</c:v>
                  </c:pt>
                  <c:pt idx="4">
                    <c:v>12</c:v>
                  </c:pt>
                  <c:pt idx="5">
                    <c:v>1</c:v>
                  </c:pt>
                  <c:pt idx="6">
                    <c:v>2</c:v>
                  </c:pt>
                  <c:pt idx="7">
                    <c:v>3</c:v>
                  </c:pt>
                  <c:pt idx="8">
                    <c:v>4</c:v>
                  </c:pt>
                  <c:pt idx="9">
                    <c:v>5</c:v>
                  </c:pt>
                  <c:pt idx="10">
                    <c:v>6</c:v>
                  </c:pt>
                  <c:pt idx="11">
                    <c:v>7</c:v>
                  </c:pt>
                  <c:pt idx="12">
                    <c:v>8</c:v>
                  </c:pt>
                  <c:pt idx="13">
                    <c:v>9</c:v>
                  </c:pt>
                  <c:pt idx="14">
                    <c:v>10</c:v>
                  </c:pt>
                  <c:pt idx="15">
                    <c:v>11</c:v>
                  </c:pt>
                  <c:pt idx="16">
                    <c:v>12</c:v>
                  </c:pt>
                  <c:pt idx="17">
                    <c:v>1</c:v>
                  </c:pt>
                  <c:pt idx="18">
                    <c:v>2</c:v>
                  </c:pt>
                  <c:pt idx="19">
                    <c:v>3</c:v>
                  </c:pt>
                  <c:pt idx="20">
                    <c:v>4</c:v>
                  </c:pt>
                  <c:pt idx="21">
                    <c:v>5</c:v>
                  </c:pt>
                  <c:pt idx="22">
                    <c:v>6</c:v>
                  </c:pt>
                  <c:pt idx="23">
                    <c:v>7</c:v>
                  </c:pt>
                  <c:pt idx="24">
                    <c:v>8</c:v>
                  </c:pt>
                  <c:pt idx="25">
                    <c:v>9</c:v>
                  </c:pt>
                  <c:pt idx="26">
                    <c:v>10</c:v>
                  </c:pt>
                  <c:pt idx="27">
                    <c:v>11</c:v>
                  </c:pt>
                  <c:pt idx="28">
                    <c:v>12</c:v>
                  </c:pt>
                  <c:pt idx="29">
                    <c:v>1</c:v>
                  </c:pt>
                  <c:pt idx="30">
                    <c:v>2</c:v>
                  </c:pt>
                  <c:pt idx="31">
                    <c:v>3</c:v>
                  </c:pt>
                  <c:pt idx="32">
                    <c:v>4</c:v>
                  </c:pt>
                  <c:pt idx="33">
                    <c:v>5</c:v>
                  </c:pt>
                  <c:pt idx="34">
                    <c:v>6</c:v>
                  </c:pt>
                  <c:pt idx="35">
                    <c:v>7</c:v>
                  </c:pt>
                </c:lvl>
                <c:lvl>
                  <c:pt idx="5">
                    <c:v>2018</c:v>
                  </c:pt>
                  <c:pt idx="17">
                    <c:v>2019</c:v>
                  </c:pt>
                  <c:pt idx="29">
                    <c:v>2020</c:v>
                  </c:pt>
                </c:lvl>
              </c:multiLvlStrCache>
            </c:multiLvlStrRef>
          </c:cat>
          <c:val>
            <c:numRef>
              <c:f>Exp_m!$D$60:$AM$60</c:f>
              <c:numCache>
                <c:formatCode>0.0</c:formatCode>
                <c:ptCount val="36"/>
                <c:pt idx="0">
                  <c:v>5.6900841536259739</c:v>
                </c:pt>
                <c:pt idx="1">
                  <c:v>2.302925485292584</c:v>
                </c:pt>
                <c:pt idx="2">
                  <c:v>7.1764995943820464</c:v>
                </c:pt>
                <c:pt idx="3">
                  <c:v>6.5623951361324595</c:v>
                </c:pt>
                <c:pt idx="4">
                  <c:v>5.9737123330086295</c:v>
                </c:pt>
                <c:pt idx="5">
                  <c:v>7.2281717529528722</c:v>
                </c:pt>
                <c:pt idx="6">
                  <c:v>7.8721844730840207</c:v>
                </c:pt>
                <c:pt idx="7">
                  <c:v>-1.2294992233262136</c:v>
                </c:pt>
                <c:pt idx="8">
                  <c:v>-3.0824582113558763</c:v>
                </c:pt>
                <c:pt idx="9">
                  <c:v>-6.5601308767331385</c:v>
                </c:pt>
                <c:pt idx="10">
                  <c:v>1.9838461960241194</c:v>
                </c:pt>
                <c:pt idx="11">
                  <c:v>2.9270717348799824</c:v>
                </c:pt>
                <c:pt idx="12">
                  <c:v>9.8423851899781312</c:v>
                </c:pt>
                <c:pt idx="13">
                  <c:v>10.333787653149829</c:v>
                </c:pt>
                <c:pt idx="14">
                  <c:v>8.434341204611373</c:v>
                </c:pt>
                <c:pt idx="15">
                  <c:v>6.0100537131396514</c:v>
                </c:pt>
                <c:pt idx="16">
                  <c:v>6.9201786040851809</c:v>
                </c:pt>
                <c:pt idx="17">
                  <c:v>8.4270926917199951</c:v>
                </c:pt>
                <c:pt idx="18">
                  <c:v>12.076866176861367</c:v>
                </c:pt>
                <c:pt idx="19">
                  <c:v>11.31108449807896</c:v>
                </c:pt>
                <c:pt idx="20">
                  <c:v>12.484670799866704</c:v>
                </c:pt>
                <c:pt idx="21">
                  <c:v>8.644941835509524</c:v>
                </c:pt>
                <c:pt idx="22">
                  <c:v>9.0654712567984177</c:v>
                </c:pt>
                <c:pt idx="23">
                  <c:v>7.6656301565755536</c:v>
                </c:pt>
                <c:pt idx="24">
                  <c:v>5.9778357208315702</c:v>
                </c:pt>
                <c:pt idx="25">
                  <c:v>9.5581801350333571</c:v>
                </c:pt>
                <c:pt idx="26">
                  <c:v>9.123361467743841</c:v>
                </c:pt>
                <c:pt idx="27">
                  <c:v>9.5703746710600548</c:v>
                </c:pt>
                <c:pt idx="28">
                  <c:v>5.1325602701752571</c:v>
                </c:pt>
                <c:pt idx="29">
                  <c:v>2.546588030100172</c:v>
                </c:pt>
                <c:pt idx="30">
                  <c:v>4.1783058999617317</c:v>
                </c:pt>
                <c:pt idx="31">
                  <c:v>4.0556197998945942</c:v>
                </c:pt>
                <c:pt idx="32">
                  <c:v>-2.0497368239223435</c:v>
                </c:pt>
                <c:pt idx="33">
                  <c:v>-8.5101491801383826</c:v>
                </c:pt>
                <c:pt idx="34">
                  <c:v>-11.052869620559292</c:v>
                </c:pt>
                <c:pt idx="35">
                  <c:v>-1.0565325020668537</c:v>
                </c:pt>
              </c:numCache>
            </c:numRef>
          </c:val>
          <c:smooth val="0"/>
          <c:extLst>
            <c:ext xmlns:c16="http://schemas.microsoft.com/office/drawing/2014/chart" uri="{C3380CC4-5D6E-409C-BE32-E72D297353CC}">
              <c16:uniqueId val="{00000001-57BE-4AFA-8C37-464FE68827A1}"/>
            </c:ext>
          </c:extLst>
        </c:ser>
        <c:ser>
          <c:idx val="2"/>
          <c:order val="2"/>
          <c:tx>
            <c:strRef>
              <c:f>Exp_m!$C$61</c:f>
              <c:strCache>
                <c:ptCount val="1"/>
                <c:pt idx="0">
                  <c:v>RU - Krievija</c:v>
                </c:pt>
              </c:strCache>
            </c:strRef>
          </c:tx>
          <c:spPr>
            <a:ln w="28575" cap="rnd">
              <a:solidFill>
                <a:schemeClr val="accent3"/>
              </a:solidFill>
              <a:round/>
            </a:ln>
            <a:effectLst/>
          </c:spPr>
          <c:marker>
            <c:symbol val="none"/>
          </c:marker>
          <c:cat>
            <c:multiLvlStrRef>
              <c:f>Exp_m!$D$57:$AM$58</c:f>
              <c:multiLvlStrCache>
                <c:ptCount val="36"/>
                <c:lvl>
                  <c:pt idx="0">
                    <c:v>8</c:v>
                  </c:pt>
                  <c:pt idx="1">
                    <c:v>9</c:v>
                  </c:pt>
                  <c:pt idx="2">
                    <c:v>10</c:v>
                  </c:pt>
                  <c:pt idx="3">
                    <c:v>11</c:v>
                  </c:pt>
                  <c:pt idx="4">
                    <c:v>12</c:v>
                  </c:pt>
                  <c:pt idx="5">
                    <c:v>1</c:v>
                  </c:pt>
                  <c:pt idx="6">
                    <c:v>2</c:v>
                  </c:pt>
                  <c:pt idx="7">
                    <c:v>3</c:v>
                  </c:pt>
                  <c:pt idx="8">
                    <c:v>4</c:v>
                  </c:pt>
                  <c:pt idx="9">
                    <c:v>5</c:v>
                  </c:pt>
                  <c:pt idx="10">
                    <c:v>6</c:v>
                  </c:pt>
                  <c:pt idx="11">
                    <c:v>7</c:v>
                  </c:pt>
                  <c:pt idx="12">
                    <c:v>8</c:v>
                  </c:pt>
                  <c:pt idx="13">
                    <c:v>9</c:v>
                  </c:pt>
                  <c:pt idx="14">
                    <c:v>10</c:v>
                  </c:pt>
                  <c:pt idx="15">
                    <c:v>11</c:v>
                  </c:pt>
                  <c:pt idx="16">
                    <c:v>12</c:v>
                  </c:pt>
                  <c:pt idx="17">
                    <c:v>1</c:v>
                  </c:pt>
                  <c:pt idx="18">
                    <c:v>2</c:v>
                  </c:pt>
                  <c:pt idx="19">
                    <c:v>3</c:v>
                  </c:pt>
                  <c:pt idx="20">
                    <c:v>4</c:v>
                  </c:pt>
                  <c:pt idx="21">
                    <c:v>5</c:v>
                  </c:pt>
                  <c:pt idx="22">
                    <c:v>6</c:v>
                  </c:pt>
                  <c:pt idx="23">
                    <c:v>7</c:v>
                  </c:pt>
                  <c:pt idx="24">
                    <c:v>8</c:v>
                  </c:pt>
                  <c:pt idx="25">
                    <c:v>9</c:v>
                  </c:pt>
                  <c:pt idx="26">
                    <c:v>10</c:v>
                  </c:pt>
                  <c:pt idx="27">
                    <c:v>11</c:v>
                  </c:pt>
                  <c:pt idx="28">
                    <c:v>12</c:v>
                  </c:pt>
                  <c:pt idx="29">
                    <c:v>1</c:v>
                  </c:pt>
                  <c:pt idx="30">
                    <c:v>2</c:v>
                  </c:pt>
                  <c:pt idx="31">
                    <c:v>3</c:v>
                  </c:pt>
                  <c:pt idx="32">
                    <c:v>4</c:v>
                  </c:pt>
                  <c:pt idx="33">
                    <c:v>5</c:v>
                  </c:pt>
                  <c:pt idx="34">
                    <c:v>6</c:v>
                  </c:pt>
                  <c:pt idx="35">
                    <c:v>7</c:v>
                  </c:pt>
                </c:lvl>
                <c:lvl>
                  <c:pt idx="5">
                    <c:v>2018</c:v>
                  </c:pt>
                  <c:pt idx="17">
                    <c:v>2019</c:v>
                  </c:pt>
                  <c:pt idx="29">
                    <c:v>2020</c:v>
                  </c:pt>
                </c:lvl>
              </c:multiLvlStrCache>
            </c:multiLvlStrRef>
          </c:cat>
          <c:val>
            <c:numRef>
              <c:f>Exp_m!$D$61:$AM$61</c:f>
              <c:numCache>
                <c:formatCode>0.0</c:formatCode>
                <c:ptCount val="36"/>
                <c:pt idx="0">
                  <c:v>49.182582422568274</c:v>
                </c:pt>
                <c:pt idx="1">
                  <c:v>45.880351821525544</c:v>
                </c:pt>
                <c:pt idx="2">
                  <c:v>42.206059851257827</c:v>
                </c:pt>
                <c:pt idx="3">
                  <c:v>27.186335359560076</c:v>
                </c:pt>
                <c:pt idx="4">
                  <c:v>20.444051086880364</c:v>
                </c:pt>
                <c:pt idx="5">
                  <c:v>10.7635046422774</c:v>
                </c:pt>
                <c:pt idx="6">
                  <c:v>8.7776931280626904</c:v>
                </c:pt>
                <c:pt idx="7">
                  <c:v>9.5458391355261583</c:v>
                </c:pt>
                <c:pt idx="8">
                  <c:v>15.271182275978724</c:v>
                </c:pt>
                <c:pt idx="9">
                  <c:v>17.515049592252719</c:v>
                </c:pt>
                <c:pt idx="10">
                  <c:v>17.614033998727674</c:v>
                </c:pt>
                <c:pt idx="11">
                  <c:v>9.4690043751833208</c:v>
                </c:pt>
                <c:pt idx="12">
                  <c:v>2.0705627602803256</c:v>
                </c:pt>
                <c:pt idx="13">
                  <c:v>0.23034334999048056</c:v>
                </c:pt>
                <c:pt idx="14">
                  <c:v>2.6328198028268357</c:v>
                </c:pt>
                <c:pt idx="15">
                  <c:v>9.0364182794795198</c:v>
                </c:pt>
                <c:pt idx="16">
                  <c:v>7.574677958549314</c:v>
                </c:pt>
                <c:pt idx="17">
                  <c:v>10.388157405252741</c:v>
                </c:pt>
                <c:pt idx="18">
                  <c:v>2.5481195539307944</c:v>
                </c:pt>
                <c:pt idx="19">
                  <c:v>1.5273189504442009</c:v>
                </c:pt>
                <c:pt idx="20">
                  <c:v>-5.1937497676333049</c:v>
                </c:pt>
                <c:pt idx="21">
                  <c:v>-5.0593087571817685</c:v>
                </c:pt>
                <c:pt idx="22">
                  <c:v>-6.7823902956799635</c:v>
                </c:pt>
                <c:pt idx="23">
                  <c:v>0.61434270965843307</c:v>
                </c:pt>
                <c:pt idx="24">
                  <c:v>4.9511608365957693</c:v>
                </c:pt>
                <c:pt idx="25">
                  <c:v>15.300132093292106</c:v>
                </c:pt>
                <c:pt idx="26">
                  <c:v>16.949717563202871</c:v>
                </c:pt>
                <c:pt idx="27">
                  <c:v>11.712177388000455</c:v>
                </c:pt>
                <c:pt idx="28">
                  <c:v>5.95861457726512</c:v>
                </c:pt>
                <c:pt idx="29">
                  <c:v>0.35737420572936607</c:v>
                </c:pt>
                <c:pt idx="30">
                  <c:v>5.414989091107314</c:v>
                </c:pt>
                <c:pt idx="31">
                  <c:v>8.9936242316980497</c:v>
                </c:pt>
                <c:pt idx="32">
                  <c:v>7.6662426927507354</c:v>
                </c:pt>
                <c:pt idx="33">
                  <c:v>-9.3009287236078038</c:v>
                </c:pt>
                <c:pt idx="34">
                  <c:v>-12.227131693690296</c:v>
                </c:pt>
                <c:pt idx="35">
                  <c:v>-15.794872069126441</c:v>
                </c:pt>
              </c:numCache>
            </c:numRef>
          </c:val>
          <c:smooth val="0"/>
          <c:extLst>
            <c:ext xmlns:c16="http://schemas.microsoft.com/office/drawing/2014/chart" uri="{C3380CC4-5D6E-409C-BE32-E72D297353CC}">
              <c16:uniqueId val="{00000002-57BE-4AFA-8C37-464FE68827A1}"/>
            </c:ext>
          </c:extLst>
        </c:ser>
        <c:ser>
          <c:idx val="3"/>
          <c:order val="3"/>
          <c:tx>
            <c:strRef>
              <c:f>Exp_m!$C$62</c:f>
              <c:strCache>
                <c:ptCount val="1"/>
                <c:pt idx="0">
                  <c:v>DE - Vācija</c:v>
                </c:pt>
              </c:strCache>
            </c:strRef>
          </c:tx>
          <c:spPr>
            <a:ln w="28575" cap="rnd">
              <a:solidFill>
                <a:srgbClr val="F79646"/>
              </a:solidFill>
              <a:round/>
            </a:ln>
            <a:effectLst/>
          </c:spPr>
          <c:marker>
            <c:symbol val="none"/>
          </c:marker>
          <c:cat>
            <c:multiLvlStrRef>
              <c:f>Exp_m!$D$57:$AM$58</c:f>
              <c:multiLvlStrCache>
                <c:ptCount val="36"/>
                <c:lvl>
                  <c:pt idx="0">
                    <c:v>8</c:v>
                  </c:pt>
                  <c:pt idx="1">
                    <c:v>9</c:v>
                  </c:pt>
                  <c:pt idx="2">
                    <c:v>10</c:v>
                  </c:pt>
                  <c:pt idx="3">
                    <c:v>11</c:v>
                  </c:pt>
                  <c:pt idx="4">
                    <c:v>12</c:v>
                  </c:pt>
                  <c:pt idx="5">
                    <c:v>1</c:v>
                  </c:pt>
                  <c:pt idx="6">
                    <c:v>2</c:v>
                  </c:pt>
                  <c:pt idx="7">
                    <c:v>3</c:v>
                  </c:pt>
                  <c:pt idx="8">
                    <c:v>4</c:v>
                  </c:pt>
                  <c:pt idx="9">
                    <c:v>5</c:v>
                  </c:pt>
                  <c:pt idx="10">
                    <c:v>6</c:v>
                  </c:pt>
                  <c:pt idx="11">
                    <c:v>7</c:v>
                  </c:pt>
                  <c:pt idx="12">
                    <c:v>8</c:v>
                  </c:pt>
                  <c:pt idx="13">
                    <c:v>9</c:v>
                  </c:pt>
                  <c:pt idx="14">
                    <c:v>10</c:v>
                  </c:pt>
                  <c:pt idx="15">
                    <c:v>11</c:v>
                  </c:pt>
                  <c:pt idx="16">
                    <c:v>12</c:v>
                  </c:pt>
                  <c:pt idx="17">
                    <c:v>1</c:v>
                  </c:pt>
                  <c:pt idx="18">
                    <c:v>2</c:v>
                  </c:pt>
                  <c:pt idx="19">
                    <c:v>3</c:v>
                  </c:pt>
                  <c:pt idx="20">
                    <c:v>4</c:v>
                  </c:pt>
                  <c:pt idx="21">
                    <c:v>5</c:v>
                  </c:pt>
                  <c:pt idx="22">
                    <c:v>6</c:v>
                  </c:pt>
                  <c:pt idx="23">
                    <c:v>7</c:v>
                  </c:pt>
                  <c:pt idx="24">
                    <c:v>8</c:v>
                  </c:pt>
                  <c:pt idx="25">
                    <c:v>9</c:v>
                  </c:pt>
                  <c:pt idx="26">
                    <c:v>10</c:v>
                  </c:pt>
                  <c:pt idx="27">
                    <c:v>11</c:v>
                  </c:pt>
                  <c:pt idx="28">
                    <c:v>12</c:v>
                  </c:pt>
                  <c:pt idx="29">
                    <c:v>1</c:v>
                  </c:pt>
                  <c:pt idx="30">
                    <c:v>2</c:v>
                  </c:pt>
                  <c:pt idx="31">
                    <c:v>3</c:v>
                  </c:pt>
                  <c:pt idx="32">
                    <c:v>4</c:v>
                  </c:pt>
                  <c:pt idx="33">
                    <c:v>5</c:v>
                  </c:pt>
                  <c:pt idx="34">
                    <c:v>6</c:v>
                  </c:pt>
                  <c:pt idx="35">
                    <c:v>7</c:v>
                  </c:pt>
                </c:lvl>
                <c:lvl>
                  <c:pt idx="5">
                    <c:v>2018</c:v>
                  </c:pt>
                  <c:pt idx="17">
                    <c:v>2019</c:v>
                  </c:pt>
                  <c:pt idx="29">
                    <c:v>2020</c:v>
                  </c:pt>
                </c:lvl>
              </c:multiLvlStrCache>
            </c:multiLvlStrRef>
          </c:cat>
          <c:val>
            <c:numRef>
              <c:f>Exp_m!$D$62:$AM$62</c:f>
              <c:numCache>
                <c:formatCode>0.0</c:formatCode>
                <c:ptCount val="36"/>
                <c:pt idx="0">
                  <c:v>13.056054888801572</c:v>
                </c:pt>
                <c:pt idx="1">
                  <c:v>1.3890888533379275</c:v>
                </c:pt>
                <c:pt idx="2">
                  <c:v>-0.68385136340671782</c:v>
                </c:pt>
                <c:pt idx="3">
                  <c:v>1.0809940776480564</c:v>
                </c:pt>
                <c:pt idx="4">
                  <c:v>16.182960776028878</c:v>
                </c:pt>
                <c:pt idx="5">
                  <c:v>11.942582851446314</c:v>
                </c:pt>
                <c:pt idx="6">
                  <c:v>11.235446659866755</c:v>
                </c:pt>
                <c:pt idx="7">
                  <c:v>1.3137127820376238</c:v>
                </c:pt>
                <c:pt idx="8">
                  <c:v>5.9282061353060023</c:v>
                </c:pt>
                <c:pt idx="9">
                  <c:v>6.3279394206041895</c:v>
                </c:pt>
                <c:pt idx="10">
                  <c:v>10.4165095898058</c:v>
                </c:pt>
                <c:pt idx="11">
                  <c:v>12.362597717519531</c:v>
                </c:pt>
                <c:pt idx="12">
                  <c:v>12.983987409018738</c:v>
                </c:pt>
                <c:pt idx="13">
                  <c:v>9.5445531428976835</c:v>
                </c:pt>
                <c:pt idx="14">
                  <c:v>4.888987978115833</c:v>
                </c:pt>
                <c:pt idx="15">
                  <c:v>2.4802822177256267</c:v>
                </c:pt>
                <c:pt idx="16">
                  <c:v>-3.7545149108656029</c:v>
                </c:pt>
                <c:pt idx="17">
                  <c:v>0.78088984089594859</c:v>
                </c:pt>
                <c:pt idx="18">
                  <c:v>5.1937505585446964</c:v>
                </c:pt>
                <c:pt idx="19">
                  <c:v>14.713072419750461</c:v>
                </c:pt>
                <c:pt idx="20">
                  <c:v>11.262440386238136</c:v>
                </c:pt>
                <c:pt idx="21">
                  <c:v>8.9831431079328894</c:v>
                </c:pt>
                <c:pt idx="22">
                  <c:v>4.5335327845181794</c:v>
                </c:pt>
                <c:pt idx="23">
                  <c:v>2.4552621088789861</c:v>
                </c:pt>
                <c:pt idx="24">
                  <c:v>1.0698119344800139</c:v>
                </c:pt>
                <c:pt idx="25">
                  <c:v>2.6297278565464932</c:v>
                </c:pt>
                <c:pt idx="26">
                  <c:v>4.515816137309292</c:v>
                </c:pt>
                <c:pt idx="27">
                  <c:v>3.9417744042561376</c:v>
                </c:pt>
                <c:pt idx="28">
                  <c:v>9.3105642948462233</c:v>
                </c:pt>
                <c:pt idx="29">
                  <c:v>12.076513602005146</c:v>
                </c:pt>
                <c:pt idx="30">
                  <c:v>8.9158934931619971</c:v>
                </c:pt>
                <c:pt idx="31">
                  <c:v>2.996248571461857</c:v>
                </c:pt>
                <c:pt idx="32">
                  <c:v>-4.5168130884526425</c:v>
                </c:pt>
                <c:pt idx="33">
                  <c:v>-8.0697987336140979</c:v>
                </c:pt>
                <c:pt idx="34">
                  <c:v>-9.9094283259141385</c:v>
                </c:pt>
                <c:pt idx="35">
                  <c:v>-9.5278767638401263</c:v>
                </c:pt>
              </c:numCache>
            </c:numRef>
          </c:val>
          <c:smooth val="0"/>
          <c:extLst>
            <c:ext xmlns:c16="http://schemas.microsoft.com/office/drawing/2014/chart" uri="{C3380CC4-5D6E-409C-BE32-E72D297353CC}">
              <c16:uniqueId val="{00000003-57BE-4AFA-8C37-464FE68827A1}"/>
            </c:ext>
          </c:extLst>
        </c:ser>
        <c:ser>
          <c:idx val="4"/>
          <c:order val="4"/>
          <c:tx>
            <c:strRef>
              <c:f>Exp_m!$C$63</c:f>
              <c:strCache>
                <c:ptCount val="1"/>
                <c:pt idx="0">
                  <c:v>SE - Zviedrija</c:v>
                </c:pt>
              </c:strCache>
            </c:strRef>
          </c:tx>
          <c:spPr>
            <a:ln w="28575" cap="rnd">
              <a:solidFill>
                <a:srgbClr val="953735"/>
              </a:solidFill>
              <a:round/>
            </a:ln>
            <a:effectLst/>
          </c:spPr>
          <c:marker>
            <c:symbol val="none"/>
          </c:marker>
          <c:cat>
            <c:multiLvlStrRef>
              <c:f>Exp_m!$D$57:$AM$58</c:f>
              <c:multiLvlStrCache>
                <c:ptCount val="36"/>
                <c:lvl>
                  <c:pt idx="0">
                    <c:v>8</c:v>
                  </c:pt>
                  <c:pt idx="1">
                    <c:v>9</c:v>
                  </c:pt>
                  <c:pt idx="2">
                    <c:v>10</c:v>
                  </c:pt>
                  <c:pt idx="3">
                    <c:v>11</c:v>
                  </c:pt>
                  <c:pt idx="4">
                    <c:v>12</c:v>
                  </c:pt>
                  <c:pt idx="5">
                    <c:v>1</c:v>
                  </c:pt>
                  <c:pt idx="6">
                    <c:v>2</c:v>
                  </c:pt>
                  <c:pt idx="7">
                    <c:v>3</c:v>
                  </c:pt>
                  <c:pt idx="8">
                    <c:v>4</c:v>
                  </c:pt>
                  <c:pt idx="9">
                    <c:v>5</c:v>
                  </c:pt>
                  <c:pt idx="10">
                    <c:v>6</c:v>
                  </c:pt>
                  <c:pt idx="11">
                    <c:v>7</c:v>
                  </c:pt>
                  <c:pt idx="12">
                    <c:v>8</c:v>
                  </c:pt>
                  <c:pt idx="13">
                    <c:v>9</c:v>
                  </c:pt>
                  <c:pt idx="14">
                    <c:v>10</c:v>
                  </c:pt>
                  <c:pt idx="15">
                    <c:v>11</c:v>
                  </c:pt>
                  <c:pt idx="16">
                    <c:v>12</c:v>
                  </c:pt>
                  <c:pt idx="17">
                    <c:v>1</c:v>
                  </c:pt>
                  <c:pt idx="18">
                    <c:v>2</c:v>
                  </c:pt>
                  <c:pt idx="19">
                    <c:v>3</c:v>
                  </c:pt>
                  <c:pt idx="20">
                    <c:v>4</c:v>
                  </c:pt>
                  <c:pt idx="21">
                    <c:v>5</c:v>
                  </c:pt>
                  <c:pt idx="22">
                    <c:v>6</c:v>
                  </c:pt>
                  <c:pt idx="23">
                    <c:v>7</c:v>
                  </c:pt>
                  <c:pt idx="24">
                    <c:v>8</c:v>
                  </c:pt>
                  <c:pt idx="25">
                    <c:v>9</c:v>
                  </c:pt>
                  <c:pt idx="26">
                    <c:v>10</c:v>
                  </c:pt>
                  <c:pt idx="27">
                    <c:v>11</c:v>
                  </c:pt>
                  <c:pt idx="28">
                    <c:v>12</c:v>
                  </c:pt>
                  <c:pt idx="29">
                    <c:v>1</c:v>
                  </c:pt>
                  <c:pt idx="30">
                    <c:v>2</c:v>
                  </c:pt>
                  <c:pt idx="31">
                    <c:v>3</c:v>
                  </c:pt>
                  <c:pt idx="32">
                    <c:v>4</c:v>
                  </c:pt>
                  <c:pt idx="33">
                    <c:v>5</c:v>
                  </c:pt>
                  <c:pt idx="34">
                    <c:v>6</c:v>
                  </c:pt>
                  <c:pt idx="35">
                    <c:v>7</c:v>
                  </c:pt>
                </c:lvl>
                <c:lvl>
                  <c:pt idx="5">
                    <c:v>2018</c:v>
                  </c:pt>
                  <c:pt idx="17">
                    <c:v>2019</c:v>
                  </c:pt>
                  <c:pt idx="29">
                    <c:v>2020</c:v>
                  </c:pt>
                </c:lvl>
              </c:multiLvlStrCache>
            </c:multiLvlStrRef>
          </c:cat>
          <c:val>
            <c:numRef>
              <c:f>Exp_m!$D$63:$AM$63</c:f>
              <c:numCache>
                <c:formatCode>0.0</c:formatCode>
                <c:ptCount val="36"/>
                <c:pt idx="0">
                  <c:v>13.194451564722943</c:v>
                </c:pt>
                <c:pt idx="1">
                  <c:v>13.213186056942149</c:v>
                </c:pt>
                <c:pt idx="2">
                  <c:v>9.5039759701356363</c:v>
                </c:pt>
                <c:pt idx="3">
                  <c:v>8.9182775942794557</c:v>
                </c:pt>
                <c:pt idx="4">
                  <c:v>12.811274617948264</c:v>
                </c:pt>
                <c:pt idx="5">
                  <c:v>15.139753761714857</c:v>
                </c:pt>
                <c:pt idx="6">
                  <c:v>24.280075284615819</c:v>
                </c:pt>
                <c:pt idx="7">
                  <c:v>24.066086228750237</c:v>
                </c:pt>
                <c:pt idx="8">
                  <c:v>31.006714075649189</c:v>
                </c:pt>
                <c:pt idx="9">
                  <c:v>26.339730060278434</c:v>
                </c:pt>
                <c:pt idx="10">
                  <c:v>31.281971171403413</c:v>
                </c:pt>
                <c:pt idx="11">
                  <c:v>23.697930556829895</c:v>
                </c:pt>
                <c:pt idx="12">
                  <c:v>24.942132646245561</c:v>
                </c:pt>
                <c:pt idx="13">
                  <c:v>26.39348099797769</c:v>
                </c:pt>
                <c:pt idx="14">
                  <c:v>29.481715644609817</c:v>
                </c:pt>
                <c:pt idx="15">
                  <c:v>37.939329810872358</c:v>
                </c:pt>
                <c:pt idx="16">
                  <c:v>34.232925173983951</c:v>
                </c:pt>
                <c:pt idx="17">
                  <c:v>32.24272656369844</c:v>
                </c:pt>
                <c:pt idx="18">
                  <c:v>14.452899144462439</c:v>
                </c:pt>
                <c:pt idx="19">
                  <c:v>12.100344161324216</c:v>
                </c:pt>
                <c:pt idx="20">
                  <c:v>2.8643832956525284</c:v>
                </c:pt>
                <c:pt idx="21">
                  <c:v>0.89884590616884363</c:v>
                </c:pt>
                <c:pt idx="22">
                  <c:v>-6.6601477774875466</c:v>
                </c:pt>
                <c:pt idx="23">
                  <c:v>-4.9892118243631707</c:v>
                </c:pt>
                <c:pt idx="24">
                  <c:v>-9.6076358638511827</c:v>
                </c:pt>
                <c:pt idx="25">
                  <c:v>-6.7287500595149208</c:v>
                </c:pt>
                <c:pt idx="26">
                  <c:v>-10.903456008480816</c:v>
                </c:pt>
                <c:pt idx="27">
                  <c:v>-17.565165673249073</c:v>
                </c:pt>
                <c:pt idx="28">
                  <c:v>-20.351104771916596</c:v>
                </c:pt>
                <c:pt idx="29">
                  <c:v>-18.680728110439727</c:v>
                </c:pt>
                <c:pt idx="30">
                  <c:v>-6.4889966189224157</c:v>
                </c:pt>
                <c:pt idx="31">
                  <c:v>-7.1428925599686055</c:v>
                </c:pt>
                <c:pt idx="32">
                  <c:v>-5.9825858530447089</c:v>
                </c:pt>
                <c:pt idx="33">
                  <c:v>-11.88141569539367</c:v>
                </c:pt>
                <c:pt idx="34">
                  <c:v>-7.9088353725348721</c:v>
                </c:pt>
                <c:pt idx="35">
                  <c:v>-8.8570041481247372</c:v>
                </c:pt>
              </c:numCache>
            </c:numRef>
          </c:val>
          <c:smooth val="0"/>
          <c:extLst>
            <c:ext xmlns:c16="http://schemas.microsoft.com/office/drawing/2014/chart" uri="{C3380CC4-5D6E-409C-BE32-E72D297353CC}">
              <c16:uniqueId val="{00000004-57BE-4AFA-8C37-464FE68827A1}"/>
            </c:ext>
          </c:extLst>
        </c:ser>
        <c:ser>
          <c:idx val="5"/>
          <c:order val="5"/>
          <c:tx>
            <c:strRef>
              <c:f>Exp_m!$C$64</c:f>
              <c:strCache>
                <c:ptCount val="1"/>
                <c:pt idx="0">
                  <c:v>DK - Dānija</c:v>
                </c:pt>
              </c:strCache>
            </c:strRef>
          </c:tx>
          <c:spPr>
            <a:ln w="28575" cap="rnd">
              <a:solidFill>
                <a:srgbClr val="FF0000"/>
              </a:solidFill>
              <a:round/>
            </a:ln>
            <a:effectLst/>
          </c:spPr>
          <c:marker>
            <c:symbol val="none"/>
          </c:marker>
          <c:cat>
            <c:multiLvlStrRef>
              <c:f>Exp_m!$D$57:$AM$58</c:f>
              <c:multiLvlStrCache>
                <c:ptCount val="36"/>
                <c:lvl>
                  <c:pt idx="0">
                    <c:v>8</c:v>
                  </c:pt>
                  <c:pt idx="1">
                    <c:v>9</c:v>
                  </c:pt>
                  <c:pt idx="2">
                    <c:v>10</c:v>
                  </c:pt>
                  <c:pt idx="3">
                    <c:v>11</c:v>
                  </c:pt>
                  <c:pt idx="4">
                    <c:v>12</c:v>
                  </c:pt>
                  <c:pt idx="5">
                    <c:v>1</c:v>
                  </c:pt>
                  <c:pt idx="6">
                    <c:v>2</c:v>
                  </c:pt>
                  <c:pt idx="7">
                    <c:v>3</c:v>
                  </c:pt>
                  <c:pt idx="8">
                    <c:v>4</c:v>
                  </c:pt>
                  <c:pt idx="9">
                    <c:v>5</c:v>
                  </c:pt>
                  <c:pt idx="10">
                    <c:v>6</c:v>
                  </c:pt>
                  <c:pt idx="11">
                    <c:v>7</c:v>
                  </c:pt>
                  <c:pt idx="12">
                    <c:v>8</c:v>
                  </c:pt>
                  <c:pt idx="13">
                    <c:v>9</c:v>
                  </c:pt>
                  <c:pt idx="14">
                    <c:v>10</c:v>
                  </c:pt>
                  <c:pt idx="15">
                    <c:v>11</c:v>
                  </c:pt>
                  <c:pt idx="16">
                    <c:v>12</c:v>
                  </c:pt>
                  <c:pt idx="17">
                    <c:v>1</c:v>
                  </c:pt>
                  <c:pt idx="18">
                    <c:v>2</c:v>
                  </c:pt>
                  <c:pt idx="19">
                    <c:v>3</c:v>
                  </c:pt>
                  <c:pt idx="20">
                    <c:v>4</c:v>
                  </c:pt>
                  <c:pt idx="21">
                    <c:v>5</c:v>
                  </c:pt>
                  <c:pt idx="22">
                    <c:v>6</c:v>
                  </c:pt>
                  <c:pt idx="23">
                    <c:v>7</c:v>
                  </c:pt>
                  <c:pt idx="24">
                    <c:v>8</c:v>
                  </c:pt>
                  <c:pt idx="25">
                    <c:v>9</c:v>
                  </c:pt>
                  <c:pt idx="26">
                    <c:v>10</c:v>
                  </c:pt>
                  <c:pt idx="27">
                    <c:v>11</c:v>
                  </c:pt>
                  <c:pt idx="28">
                    <c:v>12</c:v>
                  </c:pt>
                  <c:pt idx="29">
                    <c:v>1</c:v>
                  </c:pt>
                  <c:pt idx="30">
                    <c:v>2</c:v>
                  </c:pt>
                  <c:pt idx="31">
                    <c:v>3</c:v>
                  </c:pt>
                  <c:pt idx="32">
                    <c:v>4</c:v>
                  </c:pt>
                  <c:pt idx="33">
                    <c:v>5</c:v>
                  </c:pt>
                  <c:pt idx="34">
                    <c:v>6</c:v>
                  </c:pt>
                  <c:pt idx="35">
                    <c:v>7</c:v>
                  </c:pt>
                </c:lvl>
                <c:lvl>
                  <c:pt idx="5">
                    <c:v>2018</c:v>
                  </c:pt>
                  <c:pt idx="17">
                    <c:v>2019</c:v>
                  </c:pt>
                  <c:pt idx="29">
                    <c:v>2020</c:v>
                  </c:pt>
                </c:lvl>
              </c:multiLvlStrCache>
            </c:multiLvlStrRef>
          </c:cat>
          <c:val>
            <c:numRef>
              <c:f>Exp_m!$D$64:$AM$64</c:f>
              <c:numCache>
                <c:formatCode>0.0</c:formatCode>
                <c:ptCount val="36"/>
                <c:pt idx="0">
                  <c:v>-9.8993238575562081E-2</c:v>
                </c:pt>
                <c:pt idx="1">
                  <c:v>-7.0245965609692762</c:v>
                </c:pt>
                <c:pt idx="2">
                  <c:v>-7.2835774400577762</c:v>
                </c:pt>
                <c:pt idx="3">
                  <c:v>-1.2514837719990846</c:v>
                </c:pt>
                <c:pt idx="4">
                  <c:v>-4.0097676922908221</c:v>
                </c:pt>
                <c:pt idx="5">
                  <c:v>4.179921374491391</c:v>
                </c:pt>
                <c:pt idx="6">
                  <c:v>-1.5048091806396324</c:v>
                </c:pt>
                <c:pt idx="7">
                  <c:v>1.9107213647449717</c:v>
                </c:pt>
                <c:pt idx="8">
                  <c:v>4.1888950613002907</c:v>
                </c:pt>
                <c:pt idx="9">
                  <c:v>7.3704174521493693</c:v>
                </c:pt>
                <c:pt idx="10">
                  <c:v>11.047775913750568</c:v>
                </c:pt>
                <c:pt idx="11">
                  <c:v>3.071051828177529</c:v>
                </c:pt>
                <c:pt idx="12">
                  <c:v>8.8823524975285792</c:v>
                </c:pt>
                <c:pt idx="13">
                  <c:v>11.49431924205826</c:v>
                </c:pt>
                <c:pt idx="14">
                  <c:v>16.507784847306418</c:v>
                </c:pt>
                <c:pt idx="15">
                  <c:v>16.5014873280914</c:v>
                </c:pt>
                <c:pt idx="16">
                  <c:v>24.369828695327911</c:v>
                </c:pt>
                <c:pt idx="17">
                  <c:v>15.205926666246871</c:v>
                </c:pt>
                <c:pt idx="18">
                  <c:v>10.564950049241695</c:v>
                </c:pt>
                <c:pt idx="19">
                  <c:v>1.7283079013637126</c:v>
                </c:pt>
                <c:pt idx="20">
                  <c:v>3.7156297403674765</c:v>
                </c:pt>
                <c:pt idx="21">
                  <c:v>5.9082668148268569</c:v>
                </c:pt>
                <c:pt idx="22">
                  <c:v>7.4133638419179304</c:v>
                </c:pt>
                <c:pt idx="23">
                  <c:v>13.493877158262402</c:v>
                </c:pt>
                <c:pt idx="24">
                  <c:v>7.8522338543861814</c:v>
                </c:pt>
                <c:pt idx="25">
                  <c:v>3.99340151467662</c:v>
                </c:pt>
                <c:pt idx="26">
                  <c:v>-3.7348921909466259</c:v>
                </c:pt>
                <c:pt idx="27">
                  <c:v>-10.049314720625969</c:v>
                </c:pt>
                <c:pt idx="28">
                  <c:v>-6.9234060438462919</c:v>
                </c:pt>
                <c:pt idx="29">
                  <c:v>-1.4291902408867685</c:v>
                </c:pt>
                <c:pt idx="30">
                  <c:v>8.5127460264397889</c:v>
                </c:pt>
                <c:pt idx="31">
                  <c:v>13.768401246469232</c:v>
                </c:pt>
                <c:pt idx="32">
                  <c:v>9.1380800889038873</c:v>
                </c:pt>
                <c:pt idx="33">
                  <c:v>1.9109084860772674</c:v>
                </c:pt>
                <c:pt idx="34">
                  <c:v>-5.820933529358518</c:v>
                </c:pt>
                <c:pt idx="35">
                  <c:v>-6.7343708949611507</c:v>
                </c:pt>
              </c:numCache>
            </c:numRef>
          </c:val>
          <c:smooth val="0"/>
          <c:extLst>
            <c:ext xmlns:c16="http://schemas.microsoft.com/office/drawing/2014/chart" uri="{C3380CC4-5D6E-409C-BE32-E72D297353CC}">
              <c16:uniqueId val="{00000005-57BE-4AFA-8C37-464FE68827A1}"/>
            </c:ext>
          </c:extLst>
        </c:ser>
        <c:ser>
          <c:idx val="6"/>
          <c:order val="6"/>
          <c:tx>
            <c:strRef>
              <c:f>Exp_m!$C$65</c:f>
              <c:strCache>
                <c:ptCount val="1"/>
                <c:pt idx="0">
                  <c:v>GB - Apvienotā Karaliste</c:v>
                </c:pt>
              </c:strCache>
            </c:strRef>
          </c:tx>
          <c:spPr>
            <a:ln w="28575" cap="rnd">
              <a:solidFill>
                <a:schemeClr val="accent1">
                  <a:lumMod val="60000"/>
                </a:schemeClr>
              </a:solidFill>
              <a:round/>
            </a:ln>
            <a:effectLst/>
          </c:spPr>
          <c:marker>
            <c:symbol val="none"/>
          </c:marker>
          <c:cat>
            <c:multiLvlStrRef>
              <c:f>Exp_m!$D$57:$AM$58</c:f>
              <c:multiLvlStrCache>
                <c:ptCount val="36"/>
                <c:lvl>
                  <c:pt idx="0">
                    <c:v>8</c:v>
                  </c:pt>
                  <c:pt idx="1">
                    <c:v>9</c:v>
                  </c:pt>
                  <c:pt idx="2">
                    <c:v>10</c:v>
                  </c:pt>
                  <c:pt idx="3">
                    <c:v>11</c:v>
                  </c:pt>
                  <c:pt idx="4">
                    <c:v>12</c:v>
                  </c:pt>
                  <c:pt idx="5">
                    <c:v>1</c:v>
                  </c:pt>
                  <c:pt idx="6">
                    <c:v>2</c:v>
                  </c:pt>
                  <c:pt idx="7">
                    <c:v>3</c:v>
                  </c:pt>
                  <c:pt idx="8">
                    <c:v>4</c:v>
                  </c:pt>
                  <c:pt idx="9">
                    <c:v>5</c:v>
                  </c:pt>
                  <c:pt idx="10">
                    <c:v>6</c:v>
                  </c:pt>
                  <c:pt idx="11">
                    <c:v>7</c:v>
                  </c:pt>
                  <c:pt idx="12">
                    <c:v>8</c:v>
                  </c:pt>
                  <c:pt idx="13">
                    <c:v>9</c:v>
                  </c:pt>
                  <c:pt idx="14">
                    <c:v>10</c:v>
                  </c:pt>
                  <c:pt idx="15">
                    <c:v>11</c:v>
                  </c:pt>
                  <c:pt idx="16">
                    <c:v>12</c:v>
                  </c:pt>
                  <c:pt idx="17">
                    <c:v>1</c:v>
                  </c:pt>
                  <c:pt idx="18">
                    <c:v>2</c:v>
                  </c:pt>
                  <c:pt idx="19">
                    <c:v>3</c:v>
                  </c:pt>
                  <c:pt idx="20">
                    <c:v>4</c:v>
                  </c:pt>
                  <c:pt idx="21">
                    <c:v>5</c:v>
                  </c:pt>
                  <c:pt idx="22">
                    <c:v>6</c:v>
                  </c:pt>
                  <c:pt idx="23">
                    <c:v>7</c:v>
                  </c:pt>
                  <c:pt idx="24">
                    <c:v>8</c:v>
                  </c:pt>
                  <c:pt idx="25">
                    <c:v>9</c:v>
                  </c:pt>
                  <c:pt idx="26">
                    <c:v>10</c:v>
                  </c:pt>
                  <c:pt idx="27">
                    <c:v>11</c:v>
                  </c:pt>
                  <c:pt idx="28">
                    <c:v>12</c:v>
                  </c:pt>
                  <c:pt idx="29">
                    <c:v>1</c:v>
                  </c:pt>
                  <c:pt idx="30">
                    <c:v>2</c:v>
                  </c:pt>
                  <c:pt idx="31">
                    <c:v>3</c:v>
                  </c:pt>
                  <c:pt idx="32">
                    <c:v>4</c:v>
                  </c:pt>
                  <c:pt idx="33">
                    <c:v>5</c:v>
                  </c:pt>
                  <c:pt idx="34">
                    <c:v>6</c:v>
                  </c:pt>
                  <c:pt idx="35">
                    <c:v>7</c:v>
                  </c:pt>
                </c:lvl>
                <c:lvl>
                  <c:pt idx="5">
                    <c:v>2018</c:v>
                  </c:pt>
                  <c:pt idx="17">
                    <c:v>2019</c:v>
                  </c:pt>
                  <c:pt idx="29">
                    <c:v>2020</c:v>
                  </c:pt>
                </c:lvl>
              </c:multiLvlStrCache>
            </c:multiLvlStrRef>
          </c:cat>
          <c:val>
            <c:numRef>
              <c:f>Exp_m!$D$65:$AM$65</c:f>
              <c:numCache>
                <c:formatCode>0.0</c:formatCode>
                <c:ptCount val="36"/>
                <c:pt idx="0">
                  <c:v>0.99097795207203632</c:v>
                </c:pt>
                <c:pt idx="1">
                  <c:v>2.4631000105991285</c:v>
                </c:pt>
                <c:pt idx="2">
                  <c:v>5.2816144405417598</c:v>
                </c:pt>
                <c:pt idx="3">
                  <c:v>4.1395378558421569</c:v>
                </c:pt>
                <c:pt idx="4">
                  <c:v>4.6758980925321714</c:v>
                </c:pt>
                <c:pt idx="5">
                  <c:v>3.7851672348550691</c:v>
                </c:pt>
                <c:pt idx="6">
                  <c:v>9.9315790092859402</c:v>
                </c:pt>
                <c:pt idx="7">
                  <c:v>6.7837574132724843</c:v>
                </c:pt>
                <c:pt idx="8">
                  <c:v>12.218568412596941</c:v>
                </c:pt>
                <c:pt idx="9">
                  <c:v>14.210635814716333</c:v>
                </c:pt>
                <c:pt idx="10">
                  <c:v>27.108939519035545</c:v>
                </c:pt>
                <c:pt idx="11">
                  <c:v>28.616584251710584</c:v>
                </c:pt>
                <c:pt idx="12">
                  <c:v>32.707788981228106</c:v>
                </c:pt>
                <c:pt idx="13">
                  <c:v>28.47749315191377</c:v>
                </c:pt>
                <c:pt idx="14">
                  <c:v>27.855677754834108</c:v>
                </c:pt>
                <c:pt idx="15">
                  <c:v>20.072977896942355</c:v>
                </c:pt>
                <c:pt idx="16">
                  <c:v>24.736930473947318</c:v>
                </c:pt>
                <c:pt idx="17">
                  <c:v>25.217029793541435</c:v>
                </c:pt>
                <c:pt idx="18">
                  <c:v>21.925259135877241</c:v>
                </c:pt>
                <c:pt idx="19">
                  <c:v>22.932126087941128</c:v>
                </c:pt>
                <c:pt idx="20">
                  <c:v>17.16457863997849</c:v>
                </c:pt>
                <c:pt idx="21">
                  <c:v>10.76777162500051</c:v>
                </c:pt>
                <c:pt idx="22">
                  <c:v>0.58910485978040938</c:v>
                </c:pt>
                <c:pt idx="23">
                  <c:v>-6.4307780681402749</c:v>
                </c:pt>
                <c:pt idx="24">
                  <c:v>-8.3680417934237976</c:v>
                </c:pt>
                <c:pt idx="25">
                  <c:v>-6.3621109489384491</c:v>
                </c:pt>
                <c:pt idx="26">
                  <c:v>-3.0803409792533931</c:v>
                </c:pt>
                <c:pt idx="27">
                  <c:v>-1.4411123870451292</c:v>
                </c:pt>
                <c:pt idx="28">
                  <c:v>-12.847300199142698</c:v>
                </c:pt>
                <c:pt idx="29">
                  <c:v>-19.259300777539522</c:v>
                </c:pt>
                <c:pt idx="30">
                  <c:v>-21.281453691824815</c:v>
                </c:pt>
                <c:pt idx="31">
                  <c:v>-14.605940143644103</c:v>
                </c:pt>
                <c:pt idx="32">
                  <c:v>-16.377089504617192</c:v>
                </c:pt>
                <c:pt idx="33">
                  <c:v>-16.063637134675911</c:v>
                </c:pt>
                <c:pt idx="34">
                  <c:v>-18.35366988934598</c:v>
                </c:pt>
                <c:pt idx="35">
                  <c:v>-8.8759983817185972</c:v>
                </c:pt>
              </c:numCache>
            </c:numRef>
          </c:val>
          <c:smooth val="0"/>
          <c:extLst>
            <c:ext xmlns:c16="http://schemas.microsoft.com/office/drawing/2014/chart" uri="{C3380CC4-5D6E-409C-BE32-E72D297353CC}">
              <c16:uniqueId val="{00000006-57BE-4AFA-8C37-464FE68827A1}"/>
            </c:ext>
          </c:extLst>
        </c:ser>
        <c:dLbls>
          <c:showLegendKey val="0"/>
          <c:showVal val="0"/>
          <c:showCatName val="0"/>
          <c:showSerName val="0"/>
          <c:showPercent val="0"/>
          <c:showBubbleSize val="0"/>
        </c:dLbls>
        <c:smooth val="0"/>
        <c:axId val="210489848"/>
        <c:axId val="210488280"/>
      </c:lineChart>
      <c:catAx>
        <c:axId val="21048984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crossAx val="210488280"/>
        <c:crosses val="autoZero"/>
        <c:auto val="1"/>
        <c:lblAlgn val="ctr"/>
        <c:lblOffset val="100"/>
        <c:noMultiLvlLbl val="0"/>
      </c:catAx>
      <c:valAx>
        <c:axId val="2104882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lv-LV" sz="1000">
                    <a:solidFill>
                      <a:sysClr val="windowText" lastClr="000000"/>
                    </a:solidFill>
                  </a:rPr>
                  <a:t>%</a:t>
                </a:r>
                <a:endParaRPr lang="en-GB" sz="1000">
                  <a:solidFill>
                    <a:sysClr val="windowText" lastClr="000000"/>
                  </a:solidFill>
                </a:endParaRPr>
              </a:p>
            </c:rich>
          </c:tx>
          <c:layout>
            <c:manualLayout>
              <c:xMode val="edge"/>
              <c:yMode val="edge"/>
              <c:x val="3.5369555448959214E-3"/>
              <c:y val="0.38971141396606784"/>
            </c:manualLayout>
          </c:layout>
          <c:overlay val="0"/>
          <c:spPr>
            <a:noFill/>
            <a:ln>
              <a:noFill/>
            </a:ln>
            <a:effectLst/>
          </c:spPr>
          <c:txPr>
            <a:bodyPr rot="0" spcFirstLastPara="1" vertOverflow="ellipsis"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crossAx val="210489848"/>
        <c:crosses val="autoZero"/>
        <c:crossBetween val="between"/>
      </c:valAx>
      <c:spPr>
        <a:noFill/>
        <a:ln w="9525">
          <a:noFill/>
        </a:ln>
        <a:effectLst/>
      </c:spPr>
    </c:plotArea>
    <c:legend>
      <c:legendPos val="t"/>
      <c:layout>
        <c:manualLayout>
          <c:xMode val="edge"/>
          <c:yMode val="edge"/>
          <c:x val="1.6261937269654522E-2"/>
          <c:y val="0.79573095993938647"/>
          <c:w val="0.98156611954928696"/>
          <c:h val="0.18127883222879723"/>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legend>
    <c:plotVisOnly val="0"/>
    <c:dispBlanksAs val="gap"/>
    <c:showDLblsOverMax val="0"/>
  </c:chart>
  <c:spPr>
    <a:no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47412510936133"/>
          <c:y val="5.0925925925925923E-2"/>
          <c:w val="0.72470319335083111"/>
          <c:h val="0.70810667510782255"/>
        </c:manualLayout>
      </c:layout>
      <c:barChart>
        <c:barDir val="col"/>
        <c:grouping val="clustered"/>
        <c:varyColors val="0"/>
        <c:ser>
          <c:idx val="0"/>
          <c:order val="0"/>
          <c:tx>
            <c:strRef>
              <c:f>'Izlaizu starpiba'!$C$26</c:f>
              <c:strCache>
                <c:ptCount val="1"/>
                <c:pt idx="0">
                  <c:v>Izlaižu starpība</c:v>
                </c:pt>
              </c:strCache>
            </c:strRef>
          </c:tx>
          <c:spPr>
            <a:solidFill>
              <a:schemeClr val="accent1"/>
            </a:solidFill>
            <a:ln>
              <a:noFill/>
            </a:ln>
            <a:effectLst/>
          </c:spPr>
          <c:invertIfNegative val="0"/>
          <c:cat>
            <c:numRef>
              <c:f>'Izlaizu starpiba'!$F$25:$N$25</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'Izlaizu starpiba'!$F$26:$N$26</c:f>
              <c:numCache>
                <c:formatCode>0.0</c:formatCode>
                <c:ptCount val="9"/>
                <c:pt idx="0">
                  <c:v>1.1000000000000001</c:v>
                </c:pt>
                <c:pt idx="1">
                  <c:v>0.7</c:v>
                </c:pt>
                <c:pt idx="2">
                  <c:v>1.3</c:v>
                </c:pt>
                <c:pt idx="3">
                  <c:v>2.2999999999999998</c:v>
                </c:pt>
                <c:pt idx="4">
                  <c:v>1.6</c:v>
                </c:pt>
                <c:pt idx="5">
                  <c:v>-7.7</c:v>
                </c:pt>
                <c:pt idx="6">
                  <c:v>-5.4</c:v>
                </c:pt>
                <c:pt idx="7">
                  <c:v>-4.8</c:v>
                </c:pt>
                <c:pt idx="8">
                  <c:v>-4.0999999999999996</c:v>
                </c:pt>
              </c:numCache>
            </c:numRef>
          </c:val>
          <c:extLst>
            <c:ext xmlns:c16="http://schemas.microsoft.com/office/drawing/2014/chart" uri="{C3380CC4-5D6E-409C-BE32-E72D297353CC}">
              <c16:uniqueId val="{00000000-07E2-43AC-B089-64C2D21521F3}"/>
            </c:ext>
          </c:extLst>
        </c:ser>
        <c:ser>
          <c:idx val="1"/>
          <c:order val="1"/>
          <c:tx>
            <c:strRef>
              <c:f>'Izlaizu starpiba'!$C$30</c:f>
              <c:strCache>
                <c:ptCount val="1"/>
                <c:pt idx="0">
                  <c:v>Fiskālais stimuls</c:v>
                </c:pt>
              </c:strCache>
            </c:strRef>
          </c:tx>
          <c:spPr>
            <a:solidFill>
              <a:schemeClr val="accent2"/>
            </a:solidFill>
            <a:ln>
              <a:noFill/>
            </a:ln>
            <a:effectLst/>
          </c:spPr>
          <c:invertIfNegative val="0"/>
          <c:cat>
            <c:numRef>
              <c:f>'Izlaizu starpiba'!$F$25:$N$25</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'Izlaizu starpiba'!$F$30:$N$30</c:f>
              <c:numCache>
                <c:formatCode>0.0</c:formatCode>
                <c:ptCount val="9"/>
                <c:pt idx="0">
                  <c:v>-0.1547883822809113</c:v>
                </c:pt>
                <c:pt idx="1">
                  <c:v>-1.5818344781765967</c:v>
                </c:pt>
                <c:pt idx="2">
                  <c:v>0.94166571954547318</c:v>
                </c:pt>
                <c:pt idx="3">
                  <c:v>4.9584275621141427E-2</c:v>
                </c:pt>
                <c:pt idx="4">
                  <c:v>-0.62875164749729351</c:v>
                </c:pt>
                <c:pt idx="5">
                  <c:v>7.3932060420759136</c:v>
                </c:pt>
                <c:pt idx="6">
                  <c:v>-3.6554176053680401</c:v>
                </c:pt>
                <c:pt idx="7">
                  <c:v>-1.1715438224290824</c:v>
                </c:pt>
                <c:pt idx="8">
                  <c:v>-1.0787448150653651</c:v>
                </c:pt>
              </c:numCache>
            </c:numRef>
          </c:val>
          <c:extLst>
            <c:ext xmlns:c16="http://schemas.microsoft.com/office/drawing/2014/chart" uri="{C3380CC4-5D6E-409C-BE32-E72D297353CC}">
              <c16:uniqueId val="{00000001-07E2-43AC-B089-64C2D21521F3}"/>
            </c:ext>
          </c:extLst>
        </c:ser>
        <c:dLbls>
          <c:showLegendKey val="0"/>
          <c:showVal val="0"/>
          <c:showCatName val="0"/>
          <c:showSerName val="0"/>
          <c:showPercent val="0"/>
          <c:showBubbleSize val="0"/>
        </c:dLbls>
        <c:gapWidth val="150"/>
        <c:axId val="879640415"/>
        <c:axId val="879633343"/>
      </c:barChart>
      <c:catAx>
        <c:axId val="879640415"/>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79633343"/>
        <c:crosses val="autoZero"/>
        <c:auto val="1"/>
        <c:lblAlgn val="ctr"/>
        <c:lblOffset val="100"/>
        <c:noMultiLvlLbl val="0"/>
      </c:catAx>
      <c:valAx>
        <c:axId val="879633343"/>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79640415"/>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v-LV"/>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907254286324858"/>
          <c:y val="2.4517598876622474E-2"/>
          <c:w val="0.84297708480594413"/>
          <c:h val="0.61701439280874215"/>
        </c:manualLayout>
      </c:layout>
      <c:barChart>
        <c:barDir val="col"/>
        <c:grouping val="stacked"/>
        <c:varyColors val="0"/>
        <c:ser>
          <c:idx val="1"/>
          <c:order val="1"/>
          <c:tx>
            <c:strRef>
              <c:f>'03 MB'!$B$61</c:f>
              <c:strCache>
                <c:ptCount val="1"/>
                <c:pt idx="0">
                  <c:v>Telesakaru pakalpojumi</c:v>
                </c:pt>
              </c:strCache>
            </c:strRef>
          </c:tx>
          <c:spPr>
            <a:solidFill>
              <a:srgbClr val="ED7D31"/>
            </a:solidFill>
            <a:ln w="25400">
              <a:noFill/>
            </a:ln>
          </c:spPr>
          <c:invertIfNegative val="0"/>
          <c:cat>
            <c:multiLvlStrRef>
              <c:f>'03 MB'!$G$58:$AB$59</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2015</c:v>
                  </c:pt>
                  <c:pt idx="4">
                    <c:v>2016</c:v>
                  </c:pt>
                  <c:pt idx="8">
                    <c:v>2017</c:v>
                  </c:pt>
                  <c:pt idx="12">
                    <c:v>2018</c:v>
                  </c:pt>
                  <c:pt idx="16">
                    <c:v>2019</c:v>
                  </c:pt>
                  <c:pt idx="20">
                    <c:v>2020</c:v>
                  </c:pt>
                </c:lvl>
              </c:multiLvlStrCache>
            </c:multiLvlStrRef>
          </c:cat>
          <c:val>
            <c:numRef>
              <c:f>'03 MB'!$G$61:$AB$61</c:f>
              <c:numCache>
                <c:formatCode>0.0</c:formatCode>
                <c:ptCount val="22"/>
                <c:pt idx="0">
                  <c:v>0.20964360587002098</c:v>
                </c:pt>
                <c:pt idx="1">
                  <c:v>0.58823529411764708</c:v>
                </c:pt>
                <c:pt idx="2">
                  <c:v>-9.2336103416435819E-2</c:v>
                </c:pt>
                <c:pt idx="3">
                  <c:v>0.28222013170272814</c:v>
                </c:pt>
                <c:pt idx="4">
                  <c:v>1.5045135406218655</c:v>
                </c:pt>
                <c:pt idx="5">
                  <c:v>2.0465116279069764</c:v>
                </c:pt>
                <c:pt idx="6">
                  <c:v>3.0120481927710845</c:v>
                </c:pt>
                <c:pt idx="7">
                  <c:v>2.8243601059135042</c:v>
                </c:pt>
                <c:pt idx="8">
                  <c:v>0.27347310847766637</c:v>
                </c:pt>
                <c:pt idx="9">
                  <c:v>-0.17406440382941687</c:v>
                </c:pt>
                <c:pt idx="10">
                  <c:v>-0.75949367088607589</c:v>
                </c:pt>
                <c:pt idx="11">
                  <c:v>-0.50293378038558256</c:v>
                </c:pt>
                <c:pt idx="12">
                  <c:v>1.3722126929674099</c:v>
                </c:pt>
                <c:pt idx="13">
                  <c:v>1.7227235438884332</c:v>
                </c:pt>
                <c:pt idx="14">
                  <c:v>2.07532667179093</c:v>
                </c:pt>
                <c:pt idx="15">
                  <c:v>2.4502297090352223</c:v>
                </c:pt>
                <c:pt idx="16">
                  <c:v>1.7543859649122806</c:v>
                </c:pt>
                <c:pt idx="17">
                  <c:v>0.22205773501110287</c:v>
                </c:pt>
                <c:pt idx="18">
                  <c:v>-0.14104372355430184</c:v>
                </c:pt>
                <c:pt idx="19">
                  <c:v>-1.4630577907827358</c:v>
                </c:pt>
                <c:pt idx="20">
                  <c:v>-1.1208967173738991</c:v>
                </c:pt>
                <c:pt idx="21">
                  <c:v>-0.35663338088445079</c:v>
                </c:pt>
              </c:numCache>
            </c:numRef>
          </c:val>
          <c:extLst>
            <c:ext xmlns:c16="http://schemas.microsoft.com/office/drawing/2014/chart" uri="{C3380CC4-5D6E-409C-BE32-E72D297353CC}">
              <c16:uniqueId val="{00000000-6C1D-457D-B030-5FD2B1B93E0C}"/>
            </c:ext>
          </c:extLst>
        </c:ser>
        <c:ser>
          <c:idx val="2"/>
          <c:order val="2"/>
          <c:tx>
            <c:strRef>
              <c:f>'03 MB'!$B$62</c:f>
              <c:strCache>
                <c:ptCount val="1"/>
                <c:pt idx="0">
                  <c:v>Būvniecība</c:v>
                </c:pt>
              </c:strCache>
            </c:strRef>
          </c:tx>
          <c:spPr>
            <a:solidFill>
              <a:srgbClr val="002060"/>
            </a:solidFill>
            <a:ln w="25400">
              <a:noFill/>
            </a:ln>
          </c:spPr>
          <c:invertIfNegative val="0"/>
          <c:cat>
            <c:multiLvlStrRef>
              <c:f>'03 MB'!$G$58:$AB$59</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2015</c:v>
                  </c:pt>
                  <c:pt idx="4">
                    <c:v>2016</c:v>
                  </c:pt>
                  <c:pt idx="8">
                    <c:v>2017</c:v>
                  </c:pt>
                  <c:pt idx="12">
                    <c:v>2018</c:v>
                  </c:pt>
                  <c:pt idx="16">
                    <c:v>2019</c:v>
                  </c:pt>
                  <c:pt idx="20">
                    <c:v>2020</c:v>
                  </c:pt>
                </c:lvl>
              </c:multiLvlStrCache>
            </c:multiLvlStrRef>
          </c:cat>
          <c:val>
            <c:numRef>
              <c:f>'03 MB'!$G$62:$AB$62</c:f>
              <c:numCache>
                <c:formatCode>0.0</c:formatCode>
                <c:ptCount val="22"/>
                <c:pt idx="0">
                  <c:v>0</c:v>
                </c:pt>
                <c:pt idx="1">
                  <c:v>-1.2745098039215685</c:v>
                </c:pt>
                <c:pt idx="2">
                  <c:v>-2.1237303785780237</c:v>
                </c:pt>
                <c:pt idx="3">
                  <c:v>-9.4073377234242708E-2</c:v>
                </c:pt>
                <c:pt idx="4">
                  <c:v>0.90270812437311942</c:v>
                </c:pt>
                <c:pt idx="5">
                  <c:v>0.83720930232558144</c:v>
                </c:pt>
                <c:pt idx="6">
                  <c:v>2.8399311531841653</c:v>
                </c:pt>
                <c:pt idx="7">
                  <c:v>1.5887025595763458</c:v>
                </c:pt>
                <c:pt idx="8">
                  <c:v>1.1850501367365542</c:v>
                </c:pt>
                <c:pt idx="9">
                  <c:v>1.5665796344647518</c:v>
                </c:pt>
                <c:pt idx="10">
                  <c:v>1.0126582278481013</c:v>
                </c:pt>
                <c:pt idx="11">
                  <c:v>2.347024308466052</c:v>
                </c:pt>
                <c:pt idx="12">
                  <c:v>0.25728987993138941</c:v>
                </c:pt>
                <c:pt idx="13">
                  <c:v>1.2305168170631664</c:v>
                </c:pt>
                <c:pt idx="14">
                  <c:v>-0.53804765564950041</c:v>
                </c:pt>
                <c:pt idx="15">
                  <c:v>-0.6891271056661562</c:v>
                </c:pt>
                <c:pt idx="16">
                  <c:v>0.58479532163742687</c:v>
                </c:pt>
                <c:pt idx="17">
                  <c:v>-7.4019245003700954E-2</c:v>
                </c:pt>
                <c:pt idx="18">
                  <c:v>1.1283497884344147</c:v>
                </c:pt>
                <c:pt idx="19">
                  <c:v>2.560351133869788</c:v>
                </c:pt>
                <c:pt idx="20">
                  <c:v>1.7614091273018415</c:v>
                </c:pt>
                <c:pt idx="21">
                  <c:v>1.8544935805991443</c:v>
                </c:pt>
              </c:numCache>
            </c:numRef>
          </c:val>
          <c:extLst>
            <c:ext xmlns:c16="http://schemas.microsoft.com/office/drawing/2014/chart" uri="{C3380CC4-5D6E-409C-BE32-E72D297353CC}">
              <c16:uniqueId val="{00000001-6C1D-457D-B030-5FD2B1B93E0C}"/>
            </c:ext>
          </c:extLst>
        </c:ser>
        <c:ser>
          <c:idx val="3"/>
          <c:order val="3"/>
          <c:tx>
            <c:strRef>
              <c:f>'03 MB'!$B$63</c:f>
              <c:strCache>
                <c:ptCount val="1"/>
                <c:pt idx="0">
                  <c:v>Transporta pakalpojumi</c:v>
                </c:pt>
              </c:strCache>
            </c:strRef>
          </c:tx>
          <c:spPr>
            <a:solidFill>
              <a:srgbClr val="FFC000"/>
            </a:solidFill>
            <a:ln w="25400">
              <a:noFill/>
            </a:ln>
          </c:spPr>
          <c:invertIfNegative val="0"/>
          <c:cat>
            <c:multiLvlStrRef>
              <c:f>'03 MB'!$G$58:$AB$59</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2015</c:v>
                  </c:pt>
                  <c:pt idx="4">
                    <c:v>2016</c:v>
                  </c:pt>
                  <c:pt idx="8">
                    <c:v>2017</c:v>
                  </c:pt>
                  <c:pt idx="12">
                    <c:v>2018</c:v>
                  </c:pt>
                  <c:pt idx="16">
                    <c:v>2019</c:v>
                  </c:pt>
                  <c:pt idx="20">
                    <c:v>2020</c:v>
                  </c:pt>
                </c:lvl>
              </c:multiLvlStrCache>
            </c:multiLvlStrRef>
          </c:cat>
          <c:val>
            <c:numRef>
              <c:f>'03 MB'!$G$63:$AB$63</c:f>
              <c:numCache>
                <c:formatCode>0.0</c:formatCode>
                <c:ptCount val="22"/>
                <c:pt idx="0">
                  <c:v>-0.7337526205450734</c:v>
                </c:pt>
                <c:pt idx="1">
                  <c:v>2.7450980392156863</c:v>
                </c:pt>
                <c:pt idx="2">
                  <c:v>4.1551246537396125</c:v>
                </c:pt>
                <c:pt idx="3">
                  <c:v>0.28222013170272814</c:v>
                </c:pt>
                <c:pt idx="4">
                  <c:v>0.80240722166499501</c:v>
                </c:pt>
                <c:pt idx="5">
                  <c:v>0.55813953488372092</c:v>
                </c:pt>
                <c:pt idx="6">
                  <c:v>-3.0981067125645438</c:v>
                </c:pt>
                <c:pt idx="7">
                  <c:v>8.8261253309797005E-2</c:v>
                </c:pt>
                <c:pt idx="8">
                  <c:v>3.828623518687329</c:v>
                </c:pt>
                <c:pt idx="9">
                  <c:v>1.8276762402088773</c:v>
                </c:pt>
                <c:pt idx="10">
                  <c:v>4.4725738396624468</c:v>
                </c:pt>
                <c:pt idx="11">
                  <c:v>4.1072925398155906</c:v>
                </c:pt>
                <c:pt idx="12">
                  <c:v>-2.5728987993138936</c:v>
                </c:pt>
                <c:pt idx="13">
                  <c:v>1.3125512715340444</c:v>
                </c:pt>
                <c:pt idx="14">
                  <c:v>4.381245196003074</c:v>
                </c:pt>
                <c:pt idx="15">
                  <c:v>0.45941807044410415</c:v>
                </c:pt>
                <c:pt idx="16">
                  <c:v>-0.16708437761069339</c:v>
                </c:pt>
                <c:pt idx="17">
                  <c:v>1.1843079200592153</c:v>
                </c:pt>
                <c:pt idx="18">
                  <c:v>7.0521861777150918E-2</c:v>
                </c:pt>
                <c:pt idx="19">
                  <c:v>-0.36576444769568395</c:v>
                </c:pt>
                <c:pt idx="20">
                  <c:v>-6.8054443554843873</c:v>
                </c:pt>
                <c:pt idx="21">
                  <c:v>-18.330955777460769</c:v>
                </c:pt>
              </c:numCache>
            </c:numRef>
          </c:val>
          <c:extLst>
            <c:ext xmlns:c16="http://schemas.microsoft.com/office/drawing/2014/chart" uri="{C3380CC4-5D6E-409C-BE32-E72D297353CC}">
              <c16:uniqueId val="{00000002-6C1D-457D-B030-5FD2B1B93E0C}"/>
            </c:ext>
          </c:extLst>
        </c:ser>
        <c:ser>
          <c:idx val="4"/>
          <c:order val="4"/>
          <c:tx>
            <c:strRef>
              <c:f>'03 MB'!$B$64</c:f>
              <c:strCache>
                <c:ptCount val="1"/>
                <c:pt idx="0">
                  <c:v>Datorpakalpojumi un informācijas pakalpojumi</c:v>
                </c:pt>
              </c:strCache>
            </c:strRef>
          </c:tx>
          <c:spPr>
            <a:solidFill>
              <a:schemeClr val="accent1"/>
            </a:solidFill>
            <a:ln w="25400">
              <a:noFill/>
            </a:ln>
          </c:spPr>
          <c:invertIfNegative val="0"/>
          <c:cat>
            <c:multiLvlStrRef>
              <c:f>'03 MB'!$G$58:$AB$59</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2015</c:v>
                  </c:pt>
                  <c:pt idx="4">
                    <c:v>2016</c:v>
                  </c:pt>
                  <c:pt idx="8">
                    <c:v>2017</c:v>
                  </c:pt>
                  <c:pt idx="12">
                    <c:v>2018</c:v>
                  </c:pt>
                  <c:pt idx="16">
                    <c:v>2019</c:v>
                  </c:pt>
                  <c:pt idx="20">
                    <c:v>2020</c:v>
                  </c:pt>
                </c:lvl>
              </c:multiLvlStrCache>
            </c:multiLvlStrRef>
          </c:cat>
          <c:val>
            <c:numRef>
              <c:f>'03 MB'!$G$64:$AB$64</c:f>
              <c:numCache>
                <c:formatCode>0.0</c:formatCode>
                <c:ptCount val="22"/>
                <c:pt idx="0">
                  <c:v>1.1530398322851152</c:v>
                </c:pt>
                <c:pt idx="1">
                  <c:v>1.6666666666666667</c:v>
                </c:pt>
                <c:pt idx="2">
                  <c:v>1.2927054478301014</c:v>
                </c:pt>
                <c:pt idx="3">
                  <c:v>1.5051740357478833</c:v>
                </c:pt>
                <c:pt idx="4">
                  <c:v>1.8054162487462388</c:v>
                </c:pt>
                <c:pt idx="5">
                  <c:v>1.6744186046511629</c:v>
                </c:pt>
                <c:pt idx="6">
                  <c:v>1.376936316695353</c:v>
                </c:pt>
                <c:pt idx="7">
                  <c:v>1.323918799646955</c:v>
                </c:pt>
                <c:pt idx="8">
                  <c:v>1.8231540565177755</c:v>
                </c:pt>
                <c:pt idx="9">
                  <c:v>1.392515230635335</c:v>
                </c:pt>
                <c:pt idx="10">
                  <c:v>2.5316455696202533</c:v>
                </c:pt>
                <c:pt idx="11">
                  <c:v>3.3528918692372169</c:v>
                </c:pt>
                <c:pt idx="12">
                  <c:v>0.77186963979416812</c:v>
                </c:pt>
                <c:pt idx="13">
                  <c:v>1.7227235438884332</c:v>
                </c:pt>
                <c:pt idx="14">
                  <c:v>1.3835511145272867</c:v>
                </c:pt>
                <c:pt idx="15">
                  <c:v>0.84226646248085757</c:v>
                </c:pt>
                <c:pt idx="16">
                  <c:v>1.7543859649122806</c:v>
                </c:pt>
                <c:pt idx="17">
                  <c:v>1.5544041450777202</c:v>
                </c:pt>
                <c:pt idx="18">
                  <c:v>0.56417489421720735</c:v>
                </c:pt>
                <c:pt idx="19">
                  <c:v>1.097293343087052</c:v>
                </c:pt>
                <c:pt idx="20">
                  <c:v>1.0408326661329064</c:v>
                </c:pt>
                <c:pt idx="21">
                  <c:v>0</c:v>
                </c:pt>
              </c:numCache>
            </c:numRef>
          </c:val>
          <c:extLst>
            <c:ext xmlns:c16="http://schemas.microsoft.com/office/drawing/2014/chart" uri="{C3380CC4-5D6E-409C-BE32-E72D297353CC}">
              <c16:uniqueId val="{00000003-6C1D-457D-B030-5FD2B1B93E0C}"/>
            </c:ext>
          </c:extLst>
        </c:ser>
        <c:ser>
          <c:idx val="5"/>
          <c:order val="5"/>
          <c:tx>
            <c:strRef>
              <c:f>'03 MB'!$B$65</c:f>
              <c:strCache>
                <c:ptCount val="1"/>
                <c:pt idx="0">
                  <c:v>Finanšu pakalpojumi</c:v>
                </c:pt>
              </c:strCache>
            </c:strRef>
          </c:tx>
          <c:spPr>
            <a:solidFill>
              <a:schemeClr val="accent3"/>
            </a:solidFill>
            <a:ln w="25400">
              <a:noFill/>
            </a:ln>
          </c:spPr>
          <c:invertIfNegative val="0"/>
          <c:cat>
            <c:multiLvlStrRef>
              <c:f>'03 MB'!$G$58:$AB$59</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2015</c:v>
                  </c:pt>
                  <c:pt idx="4">
                    <c:v>2016</c:v>
                  </c:pt>
                  <c:pt idx="8">
                    <c:v>2017</c:v>
                  </c:pt>
                  <c:pt idx="12">
                    <c:v>2018</c:v>
                  </c:pt>
                  <c:pt idx="16">
                    <c:v>2019</c:v>
                  </c:pt>
                  <c:pt idx="20">
                    <c:v>2020</c:v>
                  </c:pt>
                </c:lvl>
              </c:multiLvlStrCache>
            </c:multiLvlStrRef>
          </c:cat>
          <c:val>
            <c:numRef>
              <c:f>'03 MB'!$G$65:$AB$65</c:f>
              <c:numCache>
                <c:formatCode>0.0</c:formatCode>
                <c:ptCount val="22"/>
                <c:pt idx="0">
                  <c:v>2.7253668763102725</c:v>
                </c:pt>
                <c:pt idx="1">
                  <c:v>0.68627450980392157</c:v>
                </c:pt>
                <c:pt idx="2">
                  <c:v>1.0156971375807942</c:v>
                </c:pt>
                <c:pt idx="3">
                  <c:v>0.28222013170272814</c:v>
                </c:pt>
                <c:pt idx="4">
                  <c:v>-0.60180541624874617</c:v>
                </c:pt>
                <c:pt idx="5">
                  <c:v>-0.37209302325581395</c:v>
                </c:pt>
                <c:pt idx="6">
                  <c:v>-1.2908777969018932</c:v>
                </c:pt>
                <c:pt idx="7">
                  <c:v>0.79435127978817288</c:v>
                </c:pt>
                <c:pt idx="8">
                  <c:v>-1.276207839562443</c:v>
                </c:pt>
                <c:pt idx="9">
                  <c:v>-1.5665796344647518</c:v>
                </c:pt>
                <c:pt idx="10">
                  <c:v>-0.8438818565400843</c:v>
                </c:pt>
                <c:pt idx="11">
                  <c:v>-2.933780385582565</c:v>
                </c:pt>
                <c:pt idx="12">
                  <c:v>-1.0291595197255576</c:v>
                </c:pt>
                <c:pt idx="13">
                  <c:v>0.57424118129614443</c:v>
                </c:pt>
                <c:pt idx="14">
                  <c:v>-1.7678708685626443</c:v>
                </c:pt>
                <c:pt idx="15">
                  <c:v>-2.4502297090352223</c:v>
                </c:pt>
                <c:pt idx="16">
                  <c:v>-2.9239766081871341</c:v>
                </c:pt>
                <c:pt idx="17">
                  <c:v>-3.6269430051813467</c:v>
                </c:pt>
                <c:pt idx="18">
                  <c:v>-1.1988716502115657</c:v>
                </c:pt>
                <c:pt idx="19">
                  <c:v>-1.5362106803218727</c:v>
                </c:pt>
                <c:pt idx="20">
                  <c:v>-1.2810248198558847</c:v>
                </c:pt>
                <c:pt idx="21">
                  <c:v>-1.2838801711840229</c:v>
                </c:pt>
              </c:numCache>
            </c:numRef>
          </c:val>
          <c:extLst>
            <c:ext xmlns:c16="http://schemas.microsoft.com/office/drawing/2014/chart" uri="{C3380CC4-5D6E-409C-BE32-E72D297353CC}">
              <c16:uniqueId val="{00000004-6C1D-457D-B030-5FD2B1B93E0C}"/>
            </c:ext>
          </c:extLst>
        </c:ser>
        <c:ser>
          <c:idx val="6"/>
          <c:order val="6"/>
          <c:tx>
            <c:strRef>
              <c:f>'03 MB'!$B$66</c:f>
              <c:strCache>
                <c:ptCount val="1"/>
                <c:pt idx="0">
                  <c:v>Citi</c:v>
                </c:pt>
              </c:strCache>
            </c:strRef>
          </c:tx>
          <c:spPr>
            <a:solidFill>
              <a:schemeClr val="accent1">
                <a:lumMod val="60000"/>
              </a:schemeClr>
            </a:solidFill>
            <a:ln>
              <a:noFill/>
            </a:ln>
            <a:effectLst/>
          </c:spPr>
          <c:invertIfNegative val="0"/>
          <c:cat>
            <c:multiLvlStrRef>
              <c:f>'03 MB'!$G$58:$AB$59</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2015</c:v>
                  </c:pt>
                  <c:pt idx="4">
                    <c:v>2016</c:v>
                  </c:pt>
                  <c:pt idx="8">
                    <c:v>2017</c:v>
                  </c:pt>
                  <c:pt idx="12">
                    <c:v>2018</c:v>
                  </c:pt>
                  <c:pt idx="16">
                    <c:v>2019</c:v>
                  </c:pt>
                  <c:pt idx="20">
                    <c:v>2020</c:v>
                  </c:pt>
                </c:lvl>
              </c:multiLvlStrCache>
            </c:multiLvlStrRef>
          </c:cat>
          <c:val>
            <c:numRef>
              <c:f>'03 MB'!$G$66:$AB$66</c:f>
              <c:numCache>
                <c:formatCode>0.0</c:formatCode>
                <c:ptCount val="22"/>
                <c:pt idx="0">
                  <c:v>-0.31446540880503149</c:v>
                </c:pt>
                <c:pt idx="1">
                  <c:v>-0.19607843137254902</c:v>
                </c:pt>
                <c:pt idx="2">
                  <c:v>-9.2336103416435819E-2</c:v>
                </c:pt>
                <c:pt idx="3">
                  <c:v>-9.4073377234242708E-2</c:v>
                </c:pt>
                <c:pt idx="4">
                  <c:v>0.50150451354062187</c:v>
                </c:pt>
                <c:pt idx="5">
                  <c:v>-9.3023255813953487E-2</c:v>
                </c:pt>
                <c:pt idx="6">
                  <c:v>0.34423407917383825</c:v>
                </c:pt>
                <c:pt idx="7">
                  <c:v>0.44130626654898497</c:v>
                </c:pt>
                <c:pt idx="8">
                  <c:v>9.1157702825888781E-2</c:v>
                </c:pt>
                <c:pt idx="9">
                  <c:v>0.52219321148825071</c:v>
                </c:pt>
                <c:pt idx="10">
                  <c:v>0.67510548523206748</c:v>
                </c:pt>
                <c:pt idx="11">
                  <c:v>0.16764459346186086</c:v>
                </c:pt>
                <c:pt idx="12">
                  <c:v>8.5763293310463118E-2</c:v>
                </c:pt>
                <c:pt idx="13">
                  <c:v>0.24610336341263331</c:v>
                </c:pt>
                <c:pt idx="14">
                  <c:v>-0.61491160645657184</c:v>
                </c:pt>
                <c:pt idx="15">
                  <c:v>-7.6569678407350697E-2</c:v>
                </c:pt>
                <c:pt idx="16">
                  <c:v>0.50125313283208017</c:v>
                </c:pt>
                <c:pt idx="17">
                  <c:v>-7.4019245003700954E-2</c:v>
                </c:pt>
                <c:pt idx="18">
                  <c:v>0.84626234132581102</c:v>
                </c:pt>
                <c:pt idx="19">
                  <c:v>0.36576444769568395</c:v>
                </c:pt>
                <c:pt idx="20">
                  <c:v>-0.72057646116893515</c:v>
                </c:pt>
                <c:pt idx="21">
                  <c:v>-0.35663338088445079</c:v>
                </c:pt>
              </c:numCache>
            </c:numRef>
          </c:val>
          <c:extLst>
            <c:ext xmlns:c16="http://schemas.microsoft.com/office/drawing/2014/chart" uri="{C3380CC4-5D6E-409C-BE32-E72D297353CC}">
              <c16:uniqueId val="{00000005-6C1D-457D-B030-5FD2B1B93E0C}"/>
            </c:ext>
          </c:extLst>
        </c:ser>
        <c:ser>
          <c:idx val="7"/>
          <c:order val="7"/>
          <c:tx>
            <c:strRef>
              <c:f>'03 MB'!$B$67</c:f>
              <c:strCache>
                <c:ptCount val="1"/>
                <c:pt idx="0">
                  <c:v>Citi saimnieciskās darbības pakalpojumi</c:v>
                </c:pt>
              </c:strCache>
            </c:strRef>
          </c:tx>
          <c:spPr>
            <a:solidFill>
              <a:srgbClr val="C0504D"/>
            </a:solidFill>
            <a:ln w="25400">
              <a:noFill/>
            </a:ln>
          </c:spPr>
          <c:invertIfNegative val="0"/>
          <c:cat>
            <c:multiLvlStrRef>
              <c:f>'03 MB'!$G$58:$AB$59</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2015</c:v>
                  </c:pt>
                  <c:pt idx="4">
                    <c:v>2016</c:v>
                  </c:pt>
                  <c:pt idx="8">
                    <c:v>2017</c:v>
                  </c:pt>
                  <c:pt idx="12">
                    <c:v>2018</c:v>
                  </c:pt>
                  <c:pt idx="16">
                    <c:v>2019</c:v>
                  </c:pt>
                  <c:pt idx="20">
                    <c:v>2020</c:v>
                  </c:pt>
                </c:lvl>
              </c:multiLvlStrCache>
            </c:multiLvlStrRef>
          </c:cat>
          <c:val>
            <c:numRef>
              <c:f>'03 MB'!$G$67:$AB$67</c:f>
              <c:numCache>
                <c:formatCode>0.0</c:formatCode>
                <c:ptCount val="22"/>
                <c:pt idx="0">
                  <c:v>-0.20964360587002098</c:v>
                </c:pt>
                <c:pt idx="1">
                  <c:v>-1.0784313725490196</c:v>
                </c:pt>
                <c:pt idx="2">
                  <c:v>0.554016620498615</c:v>
                </c:pt>
                <c:pt idx="3">
                  <c:v>2.4459078080903107</c:v>
                </c:pt>
                <c:pt idx="4">
                  <c:v>2.4072216649949847</c:v>
                </c:pt>
                <c:pt idx="5">
                  <c:v>1.7674418604651163</c:v>
                </c:pt>
                <c:pt idx="6">
                  <c:v>8.6058519793459562E-2</c:v>
                </c:pt>
                <c:pt idx="7">
                  <c:v>-0.70609002647837604</c:v>
                </c:pt>
                <c:pt idx="8">
                  <c:v>1.276207839562443</c:v>
                </c:pt>
                <c:pt idx="9">
                  <c:v>1.4795474325500435</c:v>
                </c:pt>
                <c:pt idx="10">
                  <c:v>1.2658227848101267</c:v>
                </c:pt>
                <c:pt idx="11">
                  <c:v>2.347024308466052</c:v>
                </c:pt>
                <c:pt idx="12">
                  <c:v>2.3156089193825045</c:v>
                </c:pt>
                <c:pt idx="13">
                  <c:v>2.7071369975389663</c:v>
                </c:pt>
                <c:pt idx="14">
                  <c:v>3.0745580322828592</c:v>
                </c:pt>
                <c:pt idx="15">
                  <c:v>3.1393568147013782</c:v>
                </c:pt>
                <c:pt idx="16">
                  <c:v>2.6733500417710943</c:v>
                </c:pt>
                <c:pt idx="17">
                  <c:v>4.3671354552183566</c:v>
                </c:pt>
                <c:pt idx="18">
                  <c:v>2.7503526093088855</c:v>
                </c:pt>
                <c:pt idx="19">
                  <c:v>5.8522311631309432</c:v>
                </c:pt>
                <c:pt idx="20">
                  <c:v>2.0816653322658127</c:v>
                </c:pt>
                <c:pt idx="21">
                  <c:v>0.78459343794579173</c:v>
                </c:pt>
              </c:numCache>
            </c:numRef>
          </c:val>
          <c:extLst>
            <c:ext xmlns:c16="http://schemas.microsoft.com/office/drawing/2014/chart" uri="{C3380CC4-5D6E-409C-BE32-E72D297353CC}">
              <c16:uniqueId val="{00000006-6C1D-457D-B030-5FD2B1B93E0C}"/>
            </c:ext>
          </c:extLst>
        </c:ser>
        <c:ser>
          <c:idx val="8"/>
          <c:order val="8"/>
          <c:tx>
            <c:strRef>
              <c:f>'03 MB'!$B$68</c:f>
              <c:strCache>
                <c:ptCount val="1"/>
                <c:pt idx="0">
                  <c:v>Braucieni</c:v>
                </c:pt>
              </c:strCache>
            </c:strRef>
          </c:tx>
          <c:spPr>
            <a:solidFill>
              <a:schemeClr val="accent3">
                <a:lumMod val="60000"/>
              </a:schemeClr>
            </a:solidFill>
            <a:ln>
              <a:noFill/>
            </a:ln>
            <a:effectLst/>
          </c:spPr>
          <c:invertIfNegative val="0"/>
          <c:cat>
            <c:multiLvlStrRef>
              <c:f>'03 MB'!$G$58:$AB$59</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2015</c:v>
                  </c:pt>
                  <c:pt idx="4">
                    <c:v>2016</c:v>
                  </c:pt>
                  <c:pt idx="8">
                    <c:v>2017</c:v>
                  </c:pt>
                  <c:pt idx="12">
                    <c:v>2018</c:v>
                  </c:pt>
                  <c:pt idx="16">
                    <c:v>2019</c:v>
                  </c:pt>
                  <c:pt idx="20">
                    <c:v>2020</c:v>
                  </c:pt>
                </c:lvl>
              </c:multiLvlStrCache>
            </c:multiLvlStrRef>
          </c:cat>
          <c:val>
            <c:numRef>
              <c:f>'03 MB'!$G$68:$AB$68</c:f>
              <c:numCache>
                <c:formatCode>0.0</c:formatCode>
                <c:ptCount val="22"/>
                <c:pt idx="0">
                  <c:v>1.6771488469601679</c:v>
                </c:pt>
                <c:pt idx="1">
                  <c:v>2.2549019607843137</c:v>
                </c:pt>
                <c:pt idx="2">
                  <c:v>2.5854108956602029</c:v>
                </c:pt>
                <c:pt idx="3">
                  <c:v>1.9755409219190969</c:v>
                </c:pt>
                <c:pt idx="4">
                  <c:v>2.7081243731193578</c:v>
                </c:pt>
                <c:pt idx="5">
                  <c:v>0.46511627906976744</c:v>
                </c:pt>
                <c:pt idx="6">
                  <c:v>-1.2908777969018932</c:v>
                </c:pt>
                <c:pt idx="7">
                  <c:v>-1.0591350397175641</c:v>
                </c:pt>
                <c:pt idx="8">
                  <c:v>-0.91157702825888776</c:v>
                </c:pt>
                <c:pt idx="9">
                  <c:v>1.0443864229765014</c:v>
                </c:pt>
                <c:pt idx="10">
                  <c:v>1.4345991561181435</c:v>
                </c:pt>
                <c:pt idx="11">
                  <c:v>0.58675607711651301</c:v>
                </c:pt>
                <c:pt idx="12">
                  <c:v>1.4579759862778732</c:v>
                </c:pt>
                <c:pt idx="13">
                  <c:v>1.3125512715340444</c:v>
                </c:pt>
                <c:pt idx="14">
                  <c:v>0.99923136049192929</c:v>
                </c:pt>
                <c:pt idx="15">
                  <c:v>0.99540581929555894</c:v>
                </c:pt>
                <c:pt idx="16">
                  <c:v>0.16708437761069339</c:v>
                </c:pt>
                <c:pt idx="17">
                  <c:v>0.22205773501110287</c:v>
                </c:pt>
                <c:pt idx="18">
                  <c:v>0</c:v>
                </c:pt>
                <c:pt idx="19">
                  <c:v>0.43891733723482074</c:v>
                </c:pt>
                <c:pt idx="20">
                  <c:v>-0.40032025620496392</c:v>
                </c:pt>
                <c:pt idx="21">
                  <c:v>-11.840228245363766</c:v>
                </c:pt>
              </c:numCache>
            </c:numRef>
          </c:val>
          <c:extLst>
            <c:ext xmlns:c16="http://schemas.microsoft.com/office/drawing/2014/chart" uri="{C3380CC4-5D6E-409C-BE32-E72D297353CC}">
              <c16:uniqueId val="{00000007-6C1D-457D-B030-5FD2B1B93E0C}"/>
            </c:ext>
          </c:extLst>
        </c:ser>
        <c:dLbls>
          <c:showLegendKey val="0"/>
          <c:showVal val="0"/>
          <c:showCatName val="0"/>
          <c:showSerName val="0"/>
          <c:showPercent val="0"/>
          <c:showBubbleSize val="0"/>
        </c:dLbls>
        <c:gapWidth val="219"/>
        <c:overlap val="100"/>
        <c:axId val="85379712"/>
        <c:axId val="1"/>
      </c:barChart>
      <c:lineChart>
        <c:grouping val="standard"/>
        <c:varyColors val="0"/>
        <c:ser>
          <c:idx val="0"/>
          <c:order val="0"/>
          <c:tx>
            <c:strRef>
              <c:f>'03 MB'!$B$60</c:f>
              <c:strCache>
                <c:ptCount val="1"/>
                <c:pt idx="0">
                  <c:v>Kopā</c:v>
                </c:pt>
              </c:strCache>
            </c:strRef>
          </c:tx>
          <c:spPr>
            <a:ln w="28575" cap="rnd">
              <a:solidFill>
                <a:srgbClr val="C00000"/>
              </a:solidFill>
              <a:round/>
            </a:ln>
            <a:effectLst/>
          </c:spPr>
          <c:marker>
            <c:symbol val="none"/>
          </c:marker>
          <c:dLbls>
            <c:dLbl>
              <c:idx val="21"/>
              <c:layout>
                <c:manualLayout>
                  <c:x val="-5.2192066805845511E-2"/>
                  <c:y val="3.02571860816943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C1D-457D-B030-5FD2B1B93E0C}"/>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'03 MB'!$G$58:$AB$59</c:f>
              <c:multiLvlStrCache>
                <c:ptCount val="2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lvl>
                <c:lvl>
                  <c:pt idx="0">
                    <c:v>2015</c:v>
                  </c:pt>
                  <c:pt idx="4">
                    <c:v>2016</c:v>
                  </c:pt>
                  <c:pt idx="8">
                    <c:v>2017</c:v>
                  </c:pt>
                  <c:pt idx="12">
                    <c:v>2018</c:v>
                  </c:pt>
                  <c:pt idx="16">
                    <c:v>2019</c:v>
                  </c:pt>
                  <c:pt idx="20">
                    <c:v>2020</c:v>
                  </c:pt>
                </c:lvl>
              </c:multiLvlStrCache>
            </c:multiLvlStrRef>
          </c:cat>
          <c:val>
            <c:numRef>
              <c:f>'03 MB'!$G$60:$AB$60</c:f>
              <c:numCache>
                <c:formatCode>0.0</c:formatCode>
                <c:ptCount val="22"/>
                <c:pt idx="0">
                  <c:v>4.5073375262054505</c:v>
                </c:pt>
                <c:pt idx="1">
                  <c:v>5.3921568627450984</c:v>
                </c:pt>
                <c:pt idx="2">
                  <c:v>7.2945521698984299</c:v>
                </c:pt>
                <c:pt idx="3">
                  <c:v>6.5851364063969893</c:v>
                </c:pt>
                <c:pt idx="4">
                  <c:v>10.030090270812437</c:v>
                </c:pt>
                <c:pt idx="5">
                  <c:v>6.8837209302325579</c:v>
                </c:pt>
                <c:pt idx="6">
                  <c:v>1.9793459552495698</c:v>
                </c:pt>
                <c:pt idx="7">
                  <c:v>5.2956751985878201</c:v>
                </c:pt>
                <c:pt idx="8">
                  <c:v>6.2898814949863269</c:v>
                </c:pt>
                <c:pt idx="9">
                  <c:v>6.0922541340295906</c:v>
                </c:pt>
                <c:pt idx="10">
                  <c:v>9.7890295358649801</c:v>
                </c:pt>
                <c:pt idx="11">
                  <c:v>9.4719195305951374</c:v>
                </c:pt>
                <c:pt idx="12">
                  <c:v>2.6586620926243567</c:v>
                </c:pt>
                <c:pt idx="13">
                  <c:v>10.828547990155865</c:v>
                </c:pt>
                <c:pt idx="14">
                  <c:v>8.993082244427363</c:v>
                </c:pt>
                <c:pt idx="15">
                  <c:v>4.6707503828483921</c:v>
                </c:pt>
                <c:pt idx="16">
                  <c:v>4.3441938178780282</c:v>
                </c:pt>
                <c:pt idx="17">
                  <c:v>3.774981495188749</c:v>
                </c:pt>
                <c:pt idx="18">
                  <c:v>4.0197461212976027</c:v>
                </c:pt>
                <c:pt idx="19">
                  <c:v>6.9495245062179949</c:v>
                </c:pt>
                <c:pt idx="20">
                  <c:v>-5.4443554843875104</c:v>
                </c:pt>
                <c:pt idx="21">
                  <c:v>-29.529243937232525</c:v>
                </c:pt>
              </c:numCache>
            </c:numRef>
          </c:val>
          <c:smooth val="0"/>
          <c:extLst>
            <c:ext xmlns:c16="http://schemas.microsoft.com/office/drawing/2014/chart" uri="{C3380CC4-5D6E-409C-BE32-E72D297353CC}">
              <c16:uniqueId val="{00000009-6C1D-457D-B030-5FD2B1B93E0C}"/>
            </c:ext>
          </c:extLst>
        </c:ser>
        <c:dLbls>
          <c:showLegendKey val="0"/>
          <c:showVal val="0"/>
          <c:showCatName val="0"/>
          <c:showSerName val="0"/>
          <c:showPercent val="0"/>
          <c:showBubbleSize val="0"/>
        </c:dLbls>
        <c:marker val="1"/>
        <c:smooth val="0"/>
        <c:axId val="85379712"/>
        <c:axId val="1"/>
      </c:lineChart>
      <c:catAx>
        <c:axId val="8537971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0" vert="horz"/>
          <a:lstStyle/>
          <a:p>
            <a:pPr>
              <a:defRPr sz="400" b="0" i="0" u="none" strike="noStrike" baseline="0">
                <a:solidFill>
                  <a:srgbClr val="000000"/>
                </a:solidFill>
                <a:latin typeface="Arial"/>
                <a:ea typeface="Arial"/>
                <a:cs typeface="Arial"/>
              </a:defRPr>
            </a:pPr>
            <a:endParaRPr lang="lv-LV"/>
          </a:p>
        </c:txPr>
        <c:crossAx val="1"/>
        <c:crosses val="autoZero"/>
        <c:auto val="1"/>
        <c:lblAlgn val="ctr"/>
        <c:lblOffset val="100"/>
        <c:noMultiLvlLbl val="0"/>
      </c:catAx>
      <c:valAx>
        <c:axId val="1"/>
        <c:scaling>
          <c:orientation val="minMax"/>
          <c:max val="12"/>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ln w="6350">
            <a:noFill/>
          </a:ln>
        </c:spPr>
        <c:txPr>
          <a:bodyPr rot="0" vert="horz"/>
          <a:lstStyle/>
          <a:p>
            <a:pPr>
              <a:defRPr sz="700" b="0" i="0" u="none" strike="noStrike" baseline="0">
                <a:solidFill>
                  <a:sysClr val="windowText" lastClr="000000"/>
                </a:solidFill>
                <a:latin typeface="Arial"/>
                <a:ea typeface="Arial"/>
                <a:cs typeface="Arial"/>
              </a:defRPr>
            </a:pPr>
            <a:endParaRPr lang="lv-LV"/>
          </a:p>
        </c:txPr>
        <c:crossAx val="85379712"/>
        <c:crosses val="autoZero"/>
        <c:crossBetween val="between"/>
        <c:majorUnit val="4"/>
      </c:valAx>
      <c:spPr>
        <a:noFill/>
        <a:ln w="25400">
          <a:noFill/>
        </a:ln>
      </c:spPr>
    </c:plotArea>
    <c:legend>
      <c:legendPos val="b"/>
      <c:layout>
        <c:manualLayout>
          <c:xMode val="edge"/>
          <c:yMode val="edge"/>
          <c:x val="4.3618428926500835E-2"/>
          <c:y val="0.73811195169231314"/>
          <c:w val="0.91019870130231595"/>
          <c:h val="0.26183521177499874"/>
        </c:manualLayout>
      </c:layout>
      <c:overlay val="0"/>
      <c:spPr>
        <a:noFill/>
        <a:ln w="25400">
          <a:noFill/>
        </a:ln>
      </c:spPr>
      <c:txPr>
        <a:bodyPr/>
        <a:lstStyle/>
        <a:p>
          <a:pPr>
            <a:defRPr sz="600" b="0" i="0" u="none" strike="noStrike" baseline="0">
              <a:solidFill>
                <a:srgbClr val="333333"/>
              </a:solidFill>
              <a:latin typeface="Arial"/>
              <a:ea typeface="Arial"/>
              <a:cs typeface="Arial"/>
            </a:defRPr>
          </a:pPr>
          <a:endParaRPr lang="lv-LV"/>
        </a:p>
      </c:txPr>
    </c:legend>
    <c:plotVisOnly val="1"/>
    <c:dispBlanksAs val="gap"/>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lv-LV"/>
    </a:p>
  </c:txPr>
  <c:externalData r:id="rId1">
    <c:autoUpdate val="0"/>
  </c:externalData>
  <c:userShapes r:id="rId2"/>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638256122521116E-2"/>
          <c:y val="5.7959885263638648E-2"/>
          <c:w val="0.93082268277296198"/>
          <c:h val="0.67462609827710551"/>
        </c:manualLayout>
      </c:layout>
      <c:lineChart>
        <c:grouping val="standard"/>
        <c:varyColors val="0"/>
        <c:ser>
          <c:idx val="1"/>
          <c:order val="0"/>
          <c:tx>
            <c:strRef>
              <c:f>'[7_monit_FDP_2020_II_20200120_makro_P15_P16.xlsx]Registered unemployment'!$A$7</c:f>
              <c:strCache>
                <c:ptCount val="1"/>
                <c:pt idx="0">
                  <c:v>Rīgas regions</c:v>
                </c:pt>
              </c:strCache>
            </c:strRef>
          </c:tx>
          <c:spPr>
            <a:ln w="28575" cap="rnd">
              <a:solidFill>
                <a:schemeClr val="accent1"/>
              </a:solidFill>
              <a:prstDash val="sysDash"/>
              <a:round/>
            </a:ln>
            <a:effectLst/>
          </c:spPr>
          <c:marker>
            <c:symbol val="none"/>
          </c:marker>
          <c:cat>
            <c:multiLvlStrRef>
              <c:f>'[7_monit_FDP_2020_II_20200120_makro_P15_P16.xlsx]Registered unemployment'!$AL$3:$BE$4</c:f>
              <c:multiLvlStrCache>
                <c:ptCount val="20"/>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lvl>
                <c:lvl>
                  <c:pt idx="0">
                    <c:v>2019</c:v>
                  </c:pt>
                  <c:pt idx="12">
                    <c:v>2020</c:v>
                  </c:pt>
                </c:lvl>
              </c:multiLvlStrCache>
            </c:multiLvlStrRef>
          </c:cat>
          <c:val>
            <c:numRef>
              <c:f>'[7_monit_FDP_2020_II_20200120_makro_P15_P16.xlsx]Registered unemployment'!$AL$7:$BE$7</c:f>
              <c:numCache>
                <c:formatCode>General</c:formatCode>
                <c:ptCount val="20"/>
                <c:pt idx="0">
                  <c:v>4.4000000000000004</c:v>
                </c:pt>
                <c:pt idx="1">
                  <c:v>4.4000000000000004</c:v>
                </c:pt>
                <c:pt idx="2">
                  <c:v>4.2</c:v>
                </c:pt>
                <c:pt idx="3">
                  <c:v>4.0999999999999996</c:v>
                </c:pt>
                <c:pt idx="4">
                  <c:v>4</c:v>
                </c:pt>
                <c:pt idx="5" formatCode="0.0">
                  <c:v>4.0999999999999996</c:v>
                </c:pt>
                <c:pt idx="6" formatCode="0.0">
                  <c:v>4.0999999999999996</c:v>
                </c:pt>
                <c:pt idx="7">
                  <c:v>4.0999999999999996</c:v>
                </c:pt>
                <c:pt idx="8">
                  <c:v>3.9</c:v>
                </c:pt>
                <c:pt idx="9">
                  <c:v>3.9</c:v>
                </c:pt>
                <c:pt idx="10">
                  <c:v>3.9</c:v>
                </c:pt>
                <c:pt idx="11">
                  <c:v>4.3</c:v>
                </c:pt>
                <c:pt idx="12">
                  <c:v>4.3</c:v>
                </c:pt>
                <c:pt idx="13">
                  <c:v>4.3</c:v>
                </c:pt>
                <c:pt idx="14">
                  <c:v>4.9000000000000004</c:v>
                </c:pt>
                <c:pt idx="15">
                  <c:v>6.3</c:v>
                </c:pt>
                <c:pt idx="16">
                  <c:v>6.8</c:v>
                </c:pt>
                <c:pt idx="17">
                  <c:v>6.9</c:v>
                </c:pt>
                <c:pt idx="18" formatCode="0.0">
                  <c:v>6.9</c:v>
                </c:pt>
                <c:pt idx="19" formatCode="0.0">
                  <c:v>6.6</c:v>
                </c:pt>
              </c:numCache>
            </c:numRef>
          </c:val>
          <c:smooth val="0"/>
          <c:extLst>
            <c:ext xmlns:c16="http://schemas.microsoft.com/office/drawing/2014/chart" uri="{C3380CC4-5D6E-409C-BE32-E72D297353CC}">
              <c16:uniqueId val="{00000000-D165-4B36-84DA-0ADFAD2C332F}"/>
            </c:ext>
          </c:extLst>
        </c:ser>
        <c:ser>
          <c:idx val="2"/>
          <c:order val="1"/>
          <c:tx>
            <c:strRef>
              <c:f>'[7_monit_FDP_2020_II_20200120_makro_P15_P16.xlsx]Registered unemployment'!$A$10</c:f>
              <c:strCache>
                <c:ptCount val="1"/>
                <c:pt idx="0">
                  <c:v>Kurzemes reģions</c:v>
                </c:pt>
              </c:strCache>
            </c:strRef>
          </c:tx>
          <c:spPr>
            <a:ln w="28575" cap="rnd">
              <a:solidFill>
                <a:schemeClr val="accent2"/>
              </a:solidFill>
              <a:prstDash val="sysDash"/>
              <a:round/>
            </a:ln>
            <a:effectLst/>
          </c:spPr>
          <c:marker>
            <c:symbol val="none"/>
          </c:marker>
          <c:cat>
            <c:multiLvlStrRef>
              <c:f>'[7_monit_FDP_2020_II_20200120_makro_P15_P16.xlsx]Registered unemployment'!$AL$3:$BE$4</c:f>
              <c:multiLvlStrCache>
                <c:ptCount val="20"/>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lvl>
                <c:lvl>
                  <c:pt idx="0">
                    <c:v>2019</c:v>
                  </c:pt>
                  <c:pt idx="12">
                    <c:v>2020</c:v>
                  </c:pt>
                </c:lvl>
              </c:multiLvlStrCache>
            </c:multiLvlStrRef>
          </c:cat>
          <c:val>
            <c:numRef>
              <c:f>'[7_monit_FDP_2020_II_20200120_makro_P15_P16.xlsx]Registered unemployment'!$AL$10:$BE$10</c:f>
              <c:numCache>
                <c:formatCode>General</c:formatCode>
                <c:ptCount val="20"/>
                <c:pt idx="0">
                  <c:v>7.9</c:v>
                </c:pt>
                <c:pt idx="1">
                  <c:v>8.1</c:v>
                </c:pt>
                <c:pt idx="2">
                  <c:v>7.8</c:v>
                </c:pt>
                <c:pt idx="3">
                  <c:v>7.1</c:v>
                </c:pt>
                <c:pt idx="4">
                  <c:v>6.7</c:v>
                </c:pt>
                <c:pt idx="5" formatCode="0.0">
                  <c:v>6.6</c:v>
                </c:pt>
                <c:pt idx="6" formatCode="0.0">
                  <c:v>6.5</c:v>
                </c:pt>
                <c:pt idx="7">
                  <c:v>6.3</c:v>
                </c:pt>
                <c:pt idx="8">
                  <c:v>6.1</c:v>
                </c:pt>
                <c:pt idx="9">
                  <c:v>6.2</c:v>
                </c:pt>
                <c:pt idx="10">
                  <c:v>6.4</c:v>
                </c:pt>
                <c:pt idx="11">
                  <c:v>7.2</c:v>
                </c:pt>
                <c:pt idx="12">
                  <c:v>7.4</c:v>
                </c:pt>
                <c:pt idx="13">
                  <c:v>7.3</c:v>
                </c:pt>
                <c:pt idx="14">
                  <c:v>7.7</c:v>
                </c:pt>
                <c:pt idx="15">
                  <c:v>8.6</c:v>
                </c:pt>
                <c:pt idx="16">
                  <c:v>8.9</c:v>
                </c:pt>
                <c:pt idx="17">
                  <c:v>9.1999999999999993</c:v>
                </c:pt>
                <c:pt idx="18">
                  <c:v>9.1</c:v>
                </c:pt>
                <c:pt idx="19" formatCode="0.0">
                  <c:v>8.6</c:v>
                </c:pt>
              </c:numCache>
            </c:numRef>
          </c:val>
          <c:smooth val="0"/>
          <c:extLst>
            <c:ext xmlns:c16="http://schemas.microsoft.com/office/drawing/2014/chart" uri="{C3380CC4-5D6E-409C-BE32-E72D297353CC}">
              <c16:uniqueId val="{00000001-D165-4B36-84DA-0ADFAD2C332F}"/>
            </c:ext>
          </c:extLst>
        </c:ser>
        <c:ser>
          <c:idx val="3"/>
          <c:order val="2"/>
          <c:tx>
            <c:strRef>
              <c:f>'[7_monit_FDP_2020_II_20200120_makro_P15_P16.xlsx]Registered unemployment'!$A$13</c:f>
              <c:strCache>
                <c:ptCount val="1"/>
                <c:pt idx="0">
                  <c:v>Latgales reģions</c:v>
                </c:pt>
              </c:strCache>
            </c:strRef>
          </c:tx>
          <c:spPr>
            <a:ln w="28575" cap="rnd">
              <a:solidFill>
                <a:schemeClr val="accent3"/>
              </a:solidFill>
              <a:prstDash val="sysDash"/>
              <a:round/>
            </a:ln>
            <a:effectLst/>
          </c:spPr>
          <c:marker>
            <c:symbol val="none"/>
          </c:marker>
          <c:cat>
            <c:multiLvlStrRef>
              <c:f>'[7_monit_FDP_2020_II_20200120_makro_P15_P16.xlsx]Registered unemployment'!$AL$3:$BE$4</c:f>
              <c:multiLvlStrCache>
                <c:ptCount val="20"/>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lvl>
                <c:lvl>
                  <c:pt idx="0">
                    <c:v>2019</c:v>
                  </c:pt>
                  <c:pt idx="12">
                    <c:v>2020</c:v>
                  </c:pt>
                </c:lvl>
              </c:multiLvlStrCache>
            </c:multiLvlStrRef>
          </c:cat>
          <c:val>
            <c:numRef>
              <c:f>'[7_monit_FDP_2020_II_20200120_makro_P15_P16.xlsx]Registered unemployment'!$AL$13:$BE$13</c:f>
              <c:numCache>
                <c:formatCode>0.0</c:formatCode>
                <c:ptCount val="20"/>
                <c:pt idx="0">
                  <c:v>15</c:v>
                </c:pt>
                <c:pt idx="1">
                  <c:v>15.2</c:v>
                </c:pt>
                <c:pt idx="2">
                  <c:v>15.4</c:v>
                </c:pt>
                <c:pt idx="3">
                  <c:v>14.9</c:v>
                </c:pt>
                <c:pt idx="4">
                  <c:v>14.4</c:v>
                </c:pt>
                <c:pt idx="5">
                  <c:v>14.1</c:v>
                </c:pt>
                <c:pt idx="6">
                  <c:v>13.8</c:v>
                </c:pt>
                <c:pt idx="7" formatCode="General">
                  <c:v>13.6</c:v>
                </c:pt>
                <c:pt idx="8" formatCode="General">
                  <c:v>13.3</c:v>
                </c:pt>
                <c:pt idx="9" formatCode="General">
                  <c:v>13.2</c:v>
                </c:pt>
                <c:pt idx="10" formatCode="General">
                  <c:v>13.3</c:v>
                </c:pt>
                <c:pt idx="11" formatCode="General">
                  <c:v>13.8</c:v>
                </c:pt>
                <c:pt idx="12" formatCode="General">
                  <c:v>13.9</c:v>
                </c:pt>
                <c:pt idx="13" formatCode="General">
                  <c:v>13.9</c:v>
                </c:pt>
                <c:pt idx="14" formatCode="General">
                  <c:v>14.5</c:v>
                </c:pt>
                <c:pt idx="15" formatCode="General">
                  <c:v>15.3</c:v>
                </c:pt>
                <c:pt idx="16" formatCode="General">
                  <c:v>15.7</c:v>
                </c:pt>
                <c:pt idx="17" formatCode="General">
                  <c:v>16</c:v>
                </c:pt>
                <c:pt idx="18">
                  <c:v>16.100000000000001</c:v>
                </c:pt>
                <c:pt idx="19">
                  <c:v>15.8</c:v>
                </c:pt>
              </c:numCache>
            </c:numRef>
          </c:val>
          <c:smooth val="0"/>
          <c:extLst>
            <c:ext xmlns:c16="http://schemas.microsoft.com/office/drawing/2014/chart" uri="{C3380CC4-5D6E-409C-BE32-E72D297353CC}">
              <c16:uniqueId val="{00000002-D165-4B36-84DA-0ADFAD2C332F}"/>
            </c:ext>
          </c:extLst>
        </c:ser>
        <c:ser>
          <c:idx val="4"/>
          <c:order val="3"/>
          <c:tx>
            <c:strRef>
              <c:f>'[7_monit_FDP_2020_II_20200120_makro_P15_P16.xlsx]Registered unemployment'!$A$15</c:f>
              <c:strCache>
                <c:ptCount val="1"/>
                <c:pt idx="0">
                  <c:v>Vidzemes reģions</c:v>
                </c:pt>
              </c:strCache>
            </c:strRef>
          </c:tx>
          <c:spPr>
            <a:ln w="28575" cap="rnd">
              <a:solidFill>
                <a:schemeClr val="accent6"/>
              </a:solidFill>
              <a:prstDash val="sysDash"/>
              <a:round/>
            </a:ln>
            <a:effectLst/>
          </c:spPr>
          <c:marker>
            <c:symbol val="none"/>
          </c:marker>
          <c:cat>
            <c:multiLvlStrRef>
              <c:f>'[7_monit_FDP_2020_II_20200120_makro_P15_P16.xlsx]Registered unemployment'!$AL$3:$BE$4</c:f>
              <c:multiLvlStrCache>
                <c:ptCount val="20"/>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lvl>
                <c:lvl>
                  <c:pt idx="0">
                    <c:v>2019</c:v>
                  </c:pt>
                  <c:pt idx="12">
                    <c:v>2020</c:v>
                  </c:pt>
                </c:lvl>
              </c:multiLvlStrCache>
            </c:multiLvlStrRef>
          </c:cat>
          <c:val>
            <c:numRef>
              <c:f>'[7_monit_FDP_2020_II_20200120_makro_P15_P16.xlsx]Registered unemployment'!$AL$15:$BE$15</c:f>
              <c:numCache>
                <c:formatCode>General</c:formatCode>
                <c:ptCount val="20"/>
                <c:pt idx="0">
                  <c:v>6.7</c:v>
                </c:pt>
                <c:pt idx="1">
                  <c:v>6.8</c:v>
                </c:pt>
                <c:pt idx="2">
                  <c:v>6.6</c:v>
                </c:pt>
                <c:pt idx="3">
                  <c:v>6.2</c:v>
                </c:pt>
                <c:pt idx="4">
                  <c:v>5.8</c:v>
                </c:pt>
                <c:pt idx="5" formatCode="0.0">
                  <c:v>5.8</c:v>
                </c:pt>
                <c:pt idx="6" formatCode="0.0">
                  <c:v>5.7</c:v>
                </c:pt>
                <c:pt idx="7">
                  <c:v>5.6</c:v>
                </c:pt>
                <c:pt idx="8">
                  <c:v>5.4</c:v>
                </c:pt>
                <c:pt idx="9">
                  <c:v>5.4</c:v>
                </c:pt>
                <c:pt idx="10">
                  <c:v>5.6</c:v>
                </c:pt>
                <c:pt idx="11">
                  <c:v>5.9</c:v>
                </c:pt>
                <c:pt idx="12">
                  <c:v>6</c:v>
                </c:pt>
                <c:pt idx="13">
                  <c:v>6</c:v>
                </c:pt>
                <c:pt idx="14">
                  <c:v>6.7</c:v>
                </c:pt>
                <c:pt idx="15">
                  <c:v>7.7</c:v>
                </c:pt>
                <c:pt idx="16">
                  <c:v>8</c:v>
                </c:pt>
                <c:pt idx="17">
                  <c:v>8.1999999999999993</c:v>
                </c:pt>
                <c:pt idx="18" formatCode="0.0">
                  <c:v>8.1999999999999993</c:v>
                </c:pt>
                <c:pt idx="19" formatCode="0.0">
                  <c:v>7.8</c:v>
                </c:pt>
              </c:numCache>
            </c:numRef>
          </c:val>
          <c:smooth val="0"/>
          <c:extLst>
            <c:ext xmlns:c16="http://schemas.microsoft.com/office/drawing/2014/chart" uri="{C3380CC4-5D6E-409C-BE32-E72D297353CC}">
              <c16:uniqueId val="{00000003-D165-4B36-84DA-0ADFAD2C332F}"/>
            </c:ext>
          </c:extLst>
        </c:ser>
        <c:ser>
          <c:idx val="5"/>
          <c:order val="4"/>
          <c:tx>
            <c:strRef>
              <c:f>'[7_monit_FDP_2020_II_20200120_makro_P15_P16.xlsx]Registered unemployment'!$A$18</c:f>
              <c:strCache>
                <c:ptCount val="1"/>
                <c:pt idx="0">
                  <c:v>Zemgales reģions</c:v>
                </c:pt>
              </c:strCache>
            </c:strRef>
          </c:tx>
          <c:spPr>
            <a:ln w="28575" cap="rnd">
              <a:solidFill>
                <a:schemeClr val="accent4"/>
              </a:solidFill>
              <a:prstDash val="sysDash"/>
              <a:round/>
            </a:ln>
            <a:effectLst/>
          </c:spPr>
          <c:marker>
            <c:symbol val="none"/>
          </c:marker>
          <c:cat>
            <c:multiLvlStrRef>
              <c:f>'[7_monit_FDP_2020_II_20200120_makro_P15_P16.xlsx]Registered unemployment'!$AL$3:$BE$4</c:f>
              <c:multiLvlStrCache>
                <c:ptCount val="20"/>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lvl>
                <c:lvl>
                  <c:pt idx="0">
                    <c:v>2019</c:v>
                  </c:pt>
                  <c:pt idx="12">
                    <c:v>2020</c:v>
                  </c:pt>
                </c:lvl>
              </c:multiLvlStrCache>
            </c:multiLvlStrRef>
          </c:cat>
          <c:val>
            <c:numRef>
              <c:f>'[7_monit_FDP_2020_II_20200120_makro_P15_P16.xlsx]Registered unemployment'!$AL$18:$BE$18</c:f>
              <c:numCache>
                <c:formatCode>General</c:formatCode>
                <c:ptCount val="20"/>
                <c:pt idx="0">
                  <c:v>6.6</c:v>
                </c:pt>
                <c:pt idx="1">
                  <c:v>6.6</c:v>
                </c:pt>
                <c:pt idx="2">
                  <c:v>6.7</c:v>
                </c:pt>
                <c:pt idx="3">
                  <c:v>6.2</c:v>
                </c:pt>
                <c:pt idx="4">
                  <c:v>5.8</c:v>
                </c:pt>
                <c:pt idx="5" formatCode="0.0">
                  <c:v>5.8</c:v>
                </c:pt>
                <c:pt idx="6" formatCode="0.0">
                  <c:v>5.7</c:v>
                </c:pt>
                <c:pt idx="7">
                  <c:v>5.5</c:v>
                </c:pt>
                <c:pt idx="8">
                  <c:v>5.3</c:v>
                </c:pt>
                <c:pt idx="9">
                  <c:v>5.4</c:v>
                </c:pt>
                <c:pt idx="10">
                  <c:v>5.7</c:v>
                </c:pt>
                <c:pt idx="11">
                  <c:v>6.3</c:v>
                </c:pt>
                <c:pt idx="12">
                  <c:v>6.5</c:v>
                </c:pt>
                <c:pt idx="13">
                  <c:v>6.5</c:v>
                </c:pt>
                <c:pt idx="14">
                  <c:v>6.8</c:v>
                </c:pt>
                <c:pt idx="15">
                  <c:v>7.7</c:v>
                </c:pt>
                <c:pt idx="16">
                  <c:v>8</c:v>
                </c:pt>
                <c:pt idx="17">
                  <c:v>8.1999999999999993</c:v>
                </c:pt>
                <c:pt idx="18" formatCode="0.0">
                  <c:v>8</c:v>
                </c:pt>
                <c:pt idx="19" formatCode="0.0">
                  <c:v>7.6</c:v>
                </c:pt>
              </c:numCache>
            </c:numRef>
          </c:val>
          <c:smooth val="0"/>
          <c:extLst>
            <c:ext xmlns:c16="http://schemas.microsoft.com/office/drawing/2014/chart" uri="{C3380CC4-5D6E-409C-BE32-E72D297353CC}">
              <c16:uniqueId val="{00000004-D165-4B36-84DA-0ADFAD2C332F}"/>
            </c:ext>
          </c:extLst>
        </c:ser>
        <c:ser>
          <c:idx val="6"/>
          <c:order val="5"/>
          <c:tx>
            <c:strRef>
              <c:f>'[7_monit_FDP_2020_II_20200120_makro_P15_P16.xlsx]Registered unemployment'!$A$19</c:f>
              <c:strCache>
                <c:ptCount val="1"/>
                <c:pt idx="0">
                  <c:v>Kopā</c:v>
                </c:pt>
              </c:strCache>
            </c:strRef>
          </c:tx>
          <c:spPr>
            <a:ln w="28575" cap="rnd">
              <a:solidFill>
                <a:srgbClr val="002060"/>
              </a:solidFill>
              <a:round/>
            </a:ln>
            <a:effectLst/>
          </c:spPr>
          <c:marker>
            <c:symbol val="diamond"/>
            <c:size val="8"/>
            <c:spPr>
              <a:solidFill>
                <a:schemeClr val="bg1"/>
              </a:solidFill>
              <a:ln w="9525">
                <a:solidFill>
                  <a:srgbClr val="002060"/>
                </a:solidFill>
              </a:ln>
              <a:effectLst/>
            </c:spPr>
          </c:marker>
          <c:cat>
            <c:multiLvlStrRef>
              <c:f>'[7_monit_FDP_2020_II_20200120_makro_P15_P16.xlsx]Registered unemployment'!$AL$3:$BE$4</c:f>
              <c:multiLvlStrCache>
                <c:ptCount val="20"/>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lvl>
                <c:lvl>
                  <c:pt idx="0">
                    <c:v>2019</c:v>
                  </c:pt>
                  <c:pt idx="12">
                    <c:v>2020</c:v>
                  </c:pt>
                </c:lvl>
              </c:multiLvlStrCache>
            </c:multiLvlStrRef>
          </c:cat>
          <c:val>
            <c:numRef>
              <c:f>'[7_monit_FDP_2020_II_20200120_makro_P15_P16.xlsx]Registered unemployment'!$AL$19:$BE$19</c:f>
              <c:numCache>
                <c:formatCode>General</c:formatCode>
                <c:ptCount val="20"/>
                <c:pt idx="0">
                  <c:v>6.7</c:v>
                </c:pt>
                <c:pt idx="1">
                  <c:v>6.7</c:v>
                </c:pt>
                <c:pt idx="2">
                  <c:v>6.6</c:v>
                </c:pt>
                <c:pt idx="3">
                  <c:v>6.3</c:v>
                </c:pt>
                <c:pt idx="4">
                  <c:v>6.1</c:v>
                </c:pt>
                <c:pt idx="5" formatCode="0.0">
                  <c:v>6</c:v>
                </c:pt>
                <c:pt idx="6" formatCode="0.0">
                  <c:v>5.7</c:v>
                </c:pt>
                <c:pt idx="7">
                  <c:v>5.9</c:v>
                </c:pt>
                <c:pt idx="8">
                  <c:v>5.7</c:v>
                </c:pt>
                <c:pt idx="9">
                  <c:v>5.7</c:v>
                </c:pt>
                <c:pt idx="10">
                  <c:v>5.8</c:v>
                </c:pt>
                <c:pt idx="11">
                  <c:v>6.2</c:v>
                </c:pt>
                <c:pt idx="12">
                  <c:v>6.4</c:v>
                </c:pt>
                <c:pt idx="13">
                  <c:v>6.3</c:v>
                </c:pt>
                <c:pt idx="14">
                  <c:v>6.8</c:v>
                </c:pt>
                <c:pt idx="15">
                  <c:v>8</c:v>
                </c:pt>
                <c:pt idx="16">
                  <c:v>8.4</c:v>
                </c:pt>
                <c:pt idx="17">
                  <c:v>8.6</c:v>
                </c:pt>
                <c:pt idx="18" formatCode="0.0">
                  <c:v>8.6</c:v>
                </c:pt>
                <c:pt idx="19" formatCode="0.0">
                  <c:v>8.1999999999999993</c:v>
                </c:pt>
              </c:numCache>
            </c:numRef>
          </c:val>
          <c:smooth val="0"/>
          <c:extLst>
            <c:ext xmlns:c16="http://schemas.microsoft.com/office/drawing/2014/chart" uri="{C3380CC4-5D6E-409C-BE32-E72D297353CC}">
              <c16:uniqueId val="{00000005-D165-4B36-84DA-0ADFAD2C332F}"/>
            </c:ext>
          </c:extLst>
        </c:ser>
        <c:dLbls>
          <c:showLegendKey val="0"/>
          <c:showVal val="0"/>
          <c:showCatName val="0"/>
          <c:showSerName val="0"/>
          <c:showPercent val="0"/>
          <c:showBubbleSize val="0"/>
        </c:dLbls>
        <c:smooth val="0"/>
        <c:axId val="328350256"/>
        <c:axId val="328352216"/>
      </c:lineChart>
      <c:catAx>
        <c:axId val="328350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crossAx val="328352216"/>
        <c:crosses val="autoZero"/>
        <c:auto val="1"/>
        <c:lblAlgn val="ctr"/>
        <c:lblOffset val="100"/>
        <c:noMultiLvlLbl val="0"/>
      </c:catAx>
      <c:valAx>
        <c:axId val="328352216"/>
        <c:scaling>
          <c:orientation val="minMax"/>
          <c:max val="20"/>
          <c:min val="3"/>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crossAx val="3283502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Table>
      <c:spPr>
        <a:noFill/>
        <a:ln>
          <a:noFill/>
        </a:ln>
        <a:effectLst/>
      </c:spPr>
    </c:plotArea>
    <c:plotVisOnly val="1"/>
    <c:dispBlanksAs val="gap"/>
    <c:showDLblsOverMax val="0"/>
  </c:chart>
  <c:spPr>
    <a:no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lv-LV"/>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746178513709968E-2"/>
          <c:y val="4.4326710494366969E-2"/>
          <c:w val="0.87513037605734123"/>
          <c:h val="0.5491586505547229"/>
        </c:manualLayout>
      </c:layout>
      <c:barChart>
        <c:barDir val="col"/>
        <c:grouping val="clustered"/>
        <c:varyColors val="0"/>
        <c:ser>
          <c:idx val="3"/>
          <c:order val="3"/>
          <c:tx>
            <c:strRef>
              <c:f>'[7_monit_FDP_2020_II_20193110_makro_P17_P18_P19.xlsx]public&amp;private'!$D$7</c:f>
              <c:strCache>
                <c:ptCount val="1"/>
                <c:pt idx="0">
                  <c:v>Sabiedriskajā sektorā</c:v>
                </c:pt>
              </c:strCache>
            </c:strRef>
          </c:tx>
          <c:spPr>
            <a:solidFill>
              <a:srgbClr val="002060"/>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600" b="0" i="0" u="none" strike="noStrike" kern="1200" baseline="0">
                    <a:solidFill>
                      <a:schemeClr val="bg1"/>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'[7_monit_FDP_2020_II_20193110_makro_P17_P18_P19.xlsx]public&amp;private'!$D$12:$D$37</c:f>
              <c:numCache>
                <c:formatCode>General</c:formatCode>
                <c:ptCount val="26"/>
                <c:pt idx="0">
                  <c:v>770</c:v>
                </c:pt>
                <c:pt idx="1">
                  <c:v>814</c:v>
                </c:pt>
                <c:pt idx="2">
                  <c:v>819</c:v>
                </c:pt>
                <c:pt idx="3">
                  <c:v>846</c:v>
                </c:pt>
                <c:pt idx="4">
                  <c:v>809</c:v>
                </c:pt>
                <c:pt idx="5">
                  <c:v>858</c:v>
                </c:pt>
                <c:pt idx="6">
                  <c:v>868</c:v>
                </c:pt>
                <c:pt idx="7">
                  <c:v>884</c:v>
                </c:pt>
                <c:pt idx="8">
                  <c:v>836</c:v>
                </c:pt>
                <c:pt idx="9">
                  <c:v>882</c:v>
                </c:pt>
                <c:pt idx="10">
                  <c:v>885</c:v>
                </c:pt>
                <c:pt idx="11">
                  <c:v>943</c:v>
                </c:pt>
                <c:pt idx="12">
                  <c:v>897</c:v>
                </c:pt>
                <c:pt idx="13">
                  <c:v>954</c:v>
                </c:pt>
                <c:pt idx="14">
                  <c:v>954</c:v>
                </c:pt>
                <c:pt idx="15">
                  <c:v>1000</c:v>
                </c:pt>
                <c:pt idx="16">
                  <c:v>969</c:v>
                </c:pt>
                <c:pt idx="17">
                  <c:v>1035</c:v>
                </c:pt>
                <c:pt idx="18">
                  <c:v>1036</c:v>
                </c:pt>
                <c:pt idx="19" formatCode="#,##0">
                  <c:v>1089</c:v>
                </c:pt>
                <c:pt idx="20" formatCode="#,##0">
                  <c:v>1035</c:v>
                </c:pt>
                <c:pt idx="21" formatCode="#,##0">
                  <c:v>1097</c:v>
                </c:pt>
                <c:pt idx="22">
                  <c:v>1124</c:v>
                </c:pt>
                <c:pt idx="23">
                  <c:v>1156</c:v>
                </c:pt>
                <c:pt idx="24">
                  <c:v>1104</c:v>
                </c:pt>
                <c:pt idx="25">
                  <c:v>1138</c:v>
                </c:pt>
              </c:numCache>
            </c:numRef>
          </c:val>
          <c:extLst>
            <c:ext xmlns:c16="http://schemas.microsoft.com/office/drawing/2014/chart" uri="{C3380CC4-5D6E-409C-BE32-E72D297353CC}">
              <c16:uniqueId val="{00000000-73C4-4AA7-A825-A87536970D87}"/>
            </c:ext>
          </c:extLst>
        </c:ser>
        <c:ser>
          <c:idx val="4"/>
          <c:order val="4"/>
          <c:tx>
            <c:strRef>
              <c:f>'[7_monit_FDP_2020_II_20193110_makro_P17_P18_P19.xlsx]public&amp;private'!$E$7</c:f>
              <c:strCache>
                <c:ptCount val="1"/>
                <c:pt idx="0">
                  <c:v>Privātajā sektorā</c:v>
                </c:pt>
              </c:strCache>
            </c:strRef>
          </c:tx>
          <c:spPr>
            <a:solidFill>
              <a:srgbClr val="953735"/>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'[7_monit_FDP_2020_II_20193110_makro_P17_P18_P19.xlsx]public&amp;private'!$E$12:$E$37</c:f>
              <c:numCache>
                <c:formatCode>General</c:formatCode>
                <c:ptCount val="26"/>
                <c:pt idx="0">
                  <c:v>723</c:v>
                </c:pt>
                <c:pt idx="1">
                  <c:v>735</c:v>
                </c:pt>
                <c:pt idx="2">
                  <c:v>749</c:v>
                </c:pt>
                <c:pt idx="3">
                  <c:v>755</c:v>
                </c:pt>
                <c:pt idx="4">
                  <c:v>773</c:v>
                </c:pt>
                <c:pt idx="5">
                  <c:v>788</c:v>
                </c:pt>
                <c:pt idx="6">
                  <c:v>810</c:v>
                </c:pt>
                <c:pt idx="7">
                  <c:v>824</c:v>
                </c:pt>
                <c:pt idx="8">
                  <c:v>822</c:v>
                </c:pt>
                <c:pt idx="9">
                  <c:v>839</c:v>
                </c:pt>
                <c:pt idx="10">
                  <c:v>848</c:v>
                </c:pt>
                <c:pt idx="11">
                  <c:v>870</c:v>
                </c:pt>
                <c:pt idx="12">
                  <c:v>879</c:v>
                </c:pt>
                <c:pt idx="13">
                  <c:v>914</c:v>
                </c:pt>
                <c:pt idx="14">
                  <c:v>922</c:v>
                </c:pt>
                <c:pt idx="15">
                  <c:v>943</c:v>
                </c:pt>
                <c:pt idx="16">
                  <c:v>958</c:v>
                </c:pt>
                <c:pt idx="17">
                  <c:v>991</c:v>
                </c:pt>
                <c:pt idx="18">
                  <c:v>994</c:v>
                </c:pt>
                <c:pt idx="19">
                  <c:v>1020</c:v>
                </c:pt>
                <c:pt idx="20">
                  <c:v>1033</c:v>
                </c:pt>
                <c:pt idx="21" formatCode="#,##0">
                  <c:v>1068</c:v>
                </c:pt>
                <c:pt idx="22">
                  <c:v>1068</c:v>
                </c:pt>
                <c:pt idx="23">
                  <c:v>1096</c:v>
                </c:pt>
                <c:pt idx="24">
                  <c:v>1100</c:v>
                </c:pt>
                <c:pt idx="25">
                  <c:v>1108</c:v>
                </c:pt>
              </c:numCache>
            </c:numRef>
          </c:val>
          <c:extLst>
            <c:ext xmlns:c16="http://schemas.microsoft.com/office/drawing/2014/chart" uri="{C3380CC4-5D6E-409C-BE32-E72D297353CC}">
              <c16:uniqueId val="{00000001-73C4-4AA7-A825-A87536970D87}"/>
            </c:ext>
          </c:extLst>
        </c:ser>
        <c:dLbls>
          <c:showLegendKey val="0"/>
          <c:showVal val="0"/>
          <c:showCatName val="0"/>
          <c:showSerName val="0"/>
          <c:showPercent val="0"/>
          <c:showBubbleSize val="0"/>
        </c:dLbls>
        <c:gapWidth val="75"/>
        <c:axId val="194104688"/>
        <c:axId val="194101944"/>
      </c:barChart>
      <c:lineChart>
        <c:grouping val="standard"/>
        <c:varyColors val="0"/>
        <c:ser>
          <c:idx val="0"/>
          <c:order val="0"/>
          <c:tx>
            <c:strRef>
              <c:f>'[7_monit_FDP_2020_II_20193110_makro_P17_P18_P19.xlsx]public&amp;private'!$I$7</c:f>
              <c:strCache>
                <c:ptCount val="1"/>
                <c:pt idx="0">
                  <c:v>Vidējais darba samaksas pieaugums</c:v>
                </c:pt>
              </c:strCache>
            </c:strRef>
          </c:tx>
          <c:spPr>
            <a:ln w="28575" cap="rnd">
              <a:solidFill>
                <a:schemeClr val="accent3"/>
              </a:solidFill>
              <a:round/>
            </a:ln>
            <a:effectLst/>
          </c:spPr>
          <c:marker>
            <c:symbol val="none"/>
          </c:marker>
          <c:cat>
            <c:multiLvlStrRef>
              <c:f>'[7_monit_FDP_2020_II_20193110_makro_P17_P18_P19.xlsx]public&amp;private'!$A$12:$B$37</c:f>
              <c:multiLvlStrCache>
                <c:ptCount val="2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lvl>
                <c:lvl>
                  <c:pt idx="0">
                    <c:v>2014</c:v>
                  </c:pt>
                  <c:pt idx="4">
                    <c:v>2015</c:v>
                  </c:pt>
                  <c:pt idx="8">
                    <c:v>2016</c:v>
                  </c:pt>
                  <c:pt idx="12">
                    <c:v>2017</c:v>
                  </c:pt>
                  <c:pt idx="16">
                    <c:v>2018</c:v>
                  </c:pt>
                  <c:pt idx="20">
                    <c:v>2019</c:v>
                  </c:pt>
                  <c:pt idx="24">
                    <c:v>2020</c:v>
                  </c:pt>
                </c:lvl>
              </c:multiLvlStrCache>
            </c:multiLvlStrRef>
          </c:cat>
          <c:val>
            <c:numRef>
              <c:f>'[7_monit_FDP_2020_II_20193110_makro_P17_P18_P19.xlsx]public&amp;private'!$I$12:$I$37</c:f>
              <c:numCache>
                <c:formatCode>General</c:formatCode>
                <c:ptCount val="26"/>
                <c:pt idx="0">
                  <c:v>7.4000000000000057</c:v>
                </c:pt>
                <c:pt idx="1">
                  <c:v>6.5</c:v>
                </c:pt>
                <c:pt idx="2">
                  <c:v>7</c:v>
                </c:pt>
                <c:pt idx="3">
                  <c:v>6.5999999999999943</c:v>
                </c:pt>
                <c:pt idx="4">
                  <c:v>6.2000000000000028</c:v>
                </c:pt>
                <c:pt idx="5">
                  <c:v>6.4000000000000057</c:v>
                </c:pt>
                <c:pt idx="6">
                  <c:v>7.2999999999999972</c:v>
                </c:pt>
                <c:pt idx="7">
                  <c:v>7.4000000000000057</c:v>
                </c:pt>
                <c:pt idx="8">
                  <c:v>5.2000000000000028</c:v>
                </c:pt>
                <c:pt idx="9">
                  <c:v>5.0999999999999943</c:v>
                </c:pt>
                <c:pt idx="10">
                  <c:v>3.7999999999999972</c:v>
                </c:pt>
                <c:pt idx="11">
                  <c:v>5.9000000000000057</c:v>
                </c:pt>
                <c:pt idx="12">
                  <c:v>7</c:v>
                </c:pt>
                <c:pt idx="13">
                  <c:v>8.5999999999999943</c:v>
                </c:pt>
                <c:pt idx="14">
                  <c:v>8.2999999999999972</c:v>
                </c:pt>
                <c:pt idx="15">
                  <c:v>7.5</c:v>
                </c:pt>
                <c:pt idx="16">
                  <c:v>8.7000000000000028</c:v>
                </c:pt>
                <c:pt idx="17">
                  <c:v>8.4000000000000057</c:v>
                </c:pt>
                <c:pt idx="18">
                  <c:v>8.0999999999999943</c:v>
                </c:pt>
                <c:pt idx="19">
                  <c:v>8.2999999999999972</c:v>
                </c:pt>
                <c:pt idx="20">
                  <c:v>7.4000000000000057</c:v>
                </c:pt>
                <c:pt idx="21">
                  <c:v>7.0999999999999943</c:v>
                </c:pt>
                <c:pt idx="22">
                  <c:v>7.5999999999999943</c:v>
                </c:pt>
                <c:pt idx="23">
                  <c:v>6.9000000000000057</c:v>
                </c:pt>
                <c:pt idx="24">
                  <c:v>6.5999999999999943</c:v>
                </c:pt>
                <c:pt idx="25">
                  <c:v>3.9000000000000057</c:v>
                </c:pt>
              </c:numCache>
            </c:numRef>
          </c:val>
          <c:smooth val="0"/>
          <c:extLst>
            <c:ext xmlns:c16="http://schemas.microsoft.com/office/drawing/2014/chart" uri="{C3380CC4-5D6E-409C-BE32-E72D297353CC}">
              <c16:uniqueId val="{00000002-73C4-4AA7-A825-A87536970D87}"/>
            </c:ext>
          </c:extLst>
        </c:ser>
        <c:ser>
          <c:idx val="1"/>
          <c:order val="1"/>
          <c:tx>
            <c:strRef>
              <c:f>'[7_monit_FDP_2020_II_20193110_makro_P17_P18_P19.xlsx]public&amp;private'!$J$7</c:f>
              <c:strCache>
                <c:ptCount val="1"/>
                <c:pt idx="0">
                  <c:v>Darba samaksas pieaugums sabiedriskajā sektorā</c:v>
                </c:pt>
              </c:strCache>
            </c:strRef>
          </c:tx>
          <c:spPr>
            <a:ln w="28575" cap="rnd">
              <a:solidFill>
                <a:srgbClr val="4F81BD"/>
              </a:solidFill>
              <a:round/>
            </a:ln>
            <a:effectLst/>
          </c:spPr>
          <c:marker>
            <c:symbol val="none"/>
          </c:marker>
          <c:cat>
            <c:multiLvlStrRef>
              <c:f>'[7_monit_FDP_2020_II_20193110_makro_P17_P18_P19.xlsx]public&amp;private'!$A$12:$B$37</c:f>
              <c:multiLvlStrCache>
                <c:ptCount val="2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lvl>
                <c:lvl>
                  <c:pt idx="0">
                    <c:v>2014</c:v>
                  </c:pt>
                  <c:pt idx="4">
                    <c:v>2015</c:v>
                  </c:pt>
                  <c:pt idx="8">
                    <c:v>2016</c:v>
                  </c:pt>
                  <c:pt idx="12">
                    <c:v>2017</c:v>
                  </c:pt>
                  <c:pt idx="16">
                    <c:v>2018</c:v>
                  </c:pt>
                  <c:pt idx="20">
                    <c:v>2019</c:v>
                  </c:pt>
                  <c:pt idx="24">
                    <c:v>2020</c:v>
                  </c:pt>
                </c:lvl>
              </c:multiLvlStrCache>
            </c:multiLvlStrRef>
          </c:cat>
          <c:val>
            <c:numRef>
              <c:f>'[7_monit_FDP_2020_II_20193110_makro_P17_P18_P19.xlsx]public&amp;private'!$J$12:$J$37</c:f>
              <c:numCache>
                <c:formatCode>General</c:formatCode>
                <c:ptCount val="26"/>
                <c:pt idx="0">
                  <c:v>6.2000000000000028</c:v>
                </c:pt>
                <c:pt idx="1">
                  <c:v>5.9000000000000057</c:v>
                </c:pt>
                <c:pt idx="2">
                  <c:v>5.7000000000000028</c:v>
                </c:pt>
                <c:pt idx="3">
                  <c:v>6.5999999999999943</c:v>
                </c:pt>
                <c:pt idx="4">
                  <c:v>5</c:v>
                </c:pt>
                <c:pt idx="5">
                  <c:v>5.2999999999999972</c:v>
                </c:pt>
                <c:pt idx="6">
                  <c:v>5.9000000000000057</c:v>
                </c:pt>
                <c:pt idx="7">
                  <c:v>4.5</c:v>
                </c:pt>
                <c:pt idx="8">
                  <c:v>3.4000000000000057</c:v>
                </c:pt>
                <c:pt idx="9">
                  <c:v>2.7000000000000028</c:v>
                </c:pt>
                <c:pt idx="10">
                  <c:v>1.9000000000000057</c:v>
                </c:pt>
                <c:pt idx="11">
                  <c:v>6.5999999999999943</c:v>
                </c:pt>
                <c:pt idx="12">
                  <c:v>7.2999999999999972</c:v>
                </c:pt>
                <c:pt idx="13">
                  <c:v>8.2000000000000028</c:v>
                </c:pt>
                <c:pt idx="14">
                  <c:v>7.7999999999999972</c:v>
                </c:pt>
                <c:pt idx="15">
                  <c:v>6.0999999999999943</c:v>
                </c:pt>
                <c:pt idx="16">
                  <c:v>8.0999999999999943</c:v>
                </c:pt>
                <c:pt idx="17">
                  <c:v>8.4000000000000057</c:v>
                </c:pt>
                <c:pt idx="18">
                  <c:v>8.5</c:v>
                </c:pt>
                <c:pt idx="19">
                  <c:v>8.9000000000000057</c:v>
                </c:pt>
                <c:pt idx="20">
                  <c:v>6.7999999999999972</c:v>
                </c:pt>
                <c:pt idx="21">
                  <c:v>6</c:v>
                </c:pt>
                <c:pt idx="22">
                  <c:v>8.5</c:v>
                </c:pt>
                <c:pt idx="23">
                  <c:v>6.0999999999999943</c:v>
                </c:pt>
                <c:pt idx="24">
                  <c:v>6.7000000000000028</c:v>
                </c:pt>
                <c:pt idx="25">
                  <c:v>3.7999999999999972</c:v>
                </c:pt>
              </c:numCache>
            </c:numRef>
          </c:val>
          <c:smooth val="0"/>
          <c:extLst>
            <c:ext xmlns:c16="http://schemas.microsoft.com/office/drawing/2014/chart" uri="{C3380CC4-5D6E-409C-BE32-E72D297353CC}">
              <c16:uniqueId val="{00000003-73C4-4AA7-A825-A87536970D87}"/>
            </c:ext>
          </c:extLst>
        </c:ser>
        <c:ser>
          <c:idx val="2"/>
          <c:order val="2"/>
          <c:tx>
            <c:strRef>
              <c:f>'[7_monit_FDP_2020_II_20193110_makro_P17_P18_P19.xlsx]public&amp;private'!$K$7</c:f>
              <c:strCache>
                <c:ptCount val="1"/>
                <c:pt idx="0">
                  <c:v>Darba samaksas pieaugums privātajā sektorā</c:v>
                </c:pt>
              </c:strCache>
            </c:strRef>
          </c:tx>
          <c:spPr>
            <a:ln w="28575" cap="rnd">
              <a:solidFill>
                <a:srgbClr val="C0504D"/>
              </a:solidFill>
              <a:round/>
            </a:ln>
            <a:effectLst/>
          </c:spPr>
          <c:marker>
            <c:symbol val="none"/>
          </c:marker>
          <c:cat>
            <c:multiLvlStrRef>
              <c:f>'[7_monit_FDP_2020_II_20193110_makro_P17_P18_P19.xlsx]public&amp;private'!$A$12:$B$37</c:f>
              <c:multiLvlStrCache>
                <c:ptCount val="2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lvl>
                <c:lvl>
                  <c:pt idx="0">
                    <c:v>2014</c:v>
                  </c:pt>
                  <c:pt idx="4">
                    <c:v>2015</c:v>
                  </c:pt>
                  <c:pt idx="8">
                    <c:v>2016</c:v>
                  </c:pt>
                  <c:pt idx="12">
                    <c:v>2017</c:v>
                  </c:pt>
                  <c:pt idx="16">
                    <c:v>2018</c:v>
                  </c:pt>
                  <c:pt idx="20">
                    <c:v>2019</c:v>
                  </c:pt>
                  <c:pt idx="24">
                    <c:v>2020</c:v>
                  </c:pt>
                </c:lvl>
              </c:multiLvlStrCache>
            </c:multiLvlStrRef>
          </c:cat>
          <c:val>
            <c:numRef>
              <c:f>'[7_monit_FDP_2020_II_20193110_makro_P17_P18_P19.xlsx]public&amp;private'!$K$12:$K$37</c:f>
              <c:numCache>
                <c:formatCode>General</c:formatCode>
                <c:ptCount val="26"/>
                <c:pt idx="0">
                  <c:v>8.2000000000000028</c:v>
                </c:pt>
                <c:pt idx="1">
                  <c:v>7</c:v>
                </c:pt>
                <c:pt idx="2">
                  <c:v>7.9000000000000057</c:v>
                </c:pt>
                <c:pt idx="3">
                  <c:v>6.7999999999999972</c:v>
                </c:pt>
                <c:pt idx="4">
                  <c:v>7</c:v>
                </c:pt>
                <c:pt idx="5">
                  <c:v>7.2000000000000028</c:v>
                </c:pt>
                <c:pt idx="6">
                  <c:v>8.0999999999999943</c:v>
                </c:pt>
                <c:pt idx="7">
                  <c:v>9.2000000000000028</c:v>
                </c:pt>
                <c:pt idx="8">
                  <c:v>6.2999999999999972</c:v>
                </c:pt>
                <c:pt idx="9">
                  <c:v>6.5</c:v>
                </c:pt>
                <c:pt idx="10">
                  <c:v>4.7000000000000028</c:v>
                </c:pt>
                <c:pt idx="11">
                  <c:v>5.5999999999999943</c:v>
                </c:pt>
                <c:pt idx="12">
                  <c:v>7</c:v>
                </c:pt>
                <c:pt idx="13">
                  <c:v>8.9000000000000057</c:v>
                </c:pt>
                <c:pt idx="14">
                  <c:v>8.7000000000000028</c:v>
                </c:pt>
                <c:pt idx="15">
                  <c:v>8.5</c:v>
                </c:pt>
                <c:pt idx="16">
                  <c:v>9</c:v>
                </c:pt>
                <c:pt idx="17">
                  <c:v>8.5</c:v>
                </c:pt>
                <c:pt idx="18">
                  <c:v>7.9000000000000057</c:v>
                </c:pt>
                <c:pt idx="19">
                  <c:v>8.0999999999999943</c:v>
                </c:pt>
                <c:pt idx="20">
                  <c:v>7.9000000000000057</c:v>
                </c:pt>
                <c:pt idx="21">
                  <c:v>7.7999999999999972</c:v>
                </c:pt>
                <c:pt idx="22">
                  <c:v>7.4000000000000057</c:v>
                </c:pt>
                <c:pt idx="23">
                  <c:v>7.5</c:v>
                </c:pt>
                <c:pt idx="24">
                  <c:v>6.5</c:v>
                </c:pt>
                <c:pt idx="25" formatCode="0.0">
                  <c:v>3.7999999999999972</c:v>
                </c:pt>
              </c:numCache>
            </c:numRef>
          </c:val>
          <c:smooth val="0"/>
          <c:extLst>
            <c:ext xmlns:c16="http://schemas.microsoft.com/office/drawing/2014/chart" uri="{C3380CC4-5D6E-409C-BE32-E72D297353CC}">
              <c16:uniqueId val="{00000004-73C4-4AA7-A825-A87536970D87}"/>
            </c:ext>
          </c:extLst>
        </c:ser>
        <c:dLbls>
          <c:showLegendKey val="0"/>
          <c:showVal val="0"/>
          <c:showCatName val="0"/>
          <c:showSerName val="0"/>
          <c:showPercent val="0"/>
          <c:showBubbleSize val="0"/>
        </c:dLbls>
        <c:marker val="1"/>
        <c:smooth val="0"/>
        <c:axId val="194101552"/>
        <c:axId val="194100768"/>
      </c:lineChart>
      <c:valAx>
        <c:axId val="194100768"/>
        <c:scaling>
          <c:orientation val="minMax"/>
        </c:scaling>
        <c:delete val="0"/>
        <c:axPos val="r"/>
        <c:title>
          <c:tx>
            <c:rich>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r>
                  <a:rPr lang="lv-LV" sz="900"/>
                  <a:t>%</a:t>
                </a:r>
                <a:endParaRPr lang="en-GB" sz="900"/>
              </a:p>
            </c:rich>
          </c:tx>
          <c:layout>
            <c:manualLayout>
              <c:xMode val="edge"/>
              <c:yMode val="edge"/>
              <c:x val="0.9684419383767735"/>
              <c:y val="0.40708789212616681"/>
            </c:manualLayout>
          </c:layout>
          <c:overlay val="0"/>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crossAx val="194101552"/>
        <c:crosses val="max"/>
        <c:crossBetween val="between"/>
      </c:valAx>
      <c:catAx>
        <c:axId val="194101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crossAx val="194100768"/>
        <c:crosses val="autoZero"/>
        <c:auto val="1"/>
        <c:lblAlgn val="ctr"/>
        <c:lblOffset val="100"/>
        <c:noMultiLvlLbl val="0"/>
      </c:catAx>
      <c:valAx>
        <c:axId val="194101944"/>
        <c:scaling>
          <c:orientation val="minMax"/>
        </c:scaling>
        <c:delete val="0"/>
        <c:axPos val="l"/>
        <c:numFmt formatCode="#,##0" sourceLinked="0"/>
        <c:majorTickMark val="out"/>
        <c:minorTickMark val="none"/>
        <c:tickLblPos val="nextTo"/>
        <c:spPr>
          <a:noFill/>
          <a:ln>
            <a:noFill/>
          </a:ln>
          <a:effectLst/>
        </c:spPr>
        <c:txPr>
          <a:bodyPr rot="-60000000" spcFirstLastPara="1" vertOverflow="ellipsis" vert="horz" wrap="square" anchor="t" anchorCtr="0"/>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crossAx val="194104688"/>
        <c:crosses val="autoZero"/>
        <c:crossBetween val="between"/>
      </c:valAx>
      <c:catAx>
        <c:axId val="194104688"/>
        <c:scaling>
          <c:orientation val="minMax"/>
        </c:scaling>
        <c:delete val="1"/>
        <c:axPos val="b"/>
        <c:majorTickMark val="out"/>
        <c:minorTickMark val="none"/>
        <c:tickLblPos val="nextTo"/>
        <c:crossAx val="194101944"/>
        <c:crosses val="autoZero"/>
        <c:auto val="1"/>
        <c:lblAlgn val="ctr"/>
        <c:lblOffset val="100"/>
        <c:noMultiLvlLbl val="0"/>
      </c:catAx>
      <c:spPr>
        <a:noFill/>
        <a:ln>
          <a:noFill/>
        </a:ln>
        <a:effectLst/>
      </c:spPr>
    </c:plotArea>
    <c:legend>
      <c:legendPos val="b"/>
      <c:layout>
        <c:manualLayout>
          <c:xMode val="edge"/>
          <c:yMode val="edge"/>
          <c:x val="1.3165451413591172E-2"/>
          <c:y val="0.76109947768237762"/>
          <c:w val="0.97030333766018007"/>
          <c:h val="0.2189933017009553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noFill/>
    <a:ln w="9525" cap="flat" cmpd="sng" algn="ctr">
      <a:noFill/>
      <a:round/>
    </a:ln>
    <a:effectLst/>
  </c:spPr>
  <c:txPr>
    <a:bodyPr/>
    <a:lstStyle/>
    <a:p>
      <a:pPr>
        <a:defRPr/>
      </a:pPr>
      <a:endParaRPr lang="lv-LV"/>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[prc_hicp_manr.xls]Data!$A$11</c:f>
              <c:strCache>
                <c:ptCount val="1"/>
                <c:pt idx="0">
                  <c:v>Eirozona</c:v>
                </c:pt>
              </c:strCache>
            </c:strRef>
          </c:tx>
          <c:spPr>
            <a:ln w="28575" cap="rnd">
              <a:solidFill>
                <a:schemeClr val="accent1"/>
              </a:solidFill>
              <a:round/>
            </a:ln>
            <a:effectLst/>
          </c:spPr>
          <c:marker>
            <c:symbol val="none"/>
          </c:marker>
          <c:cat>
            <c:strRef>
              <c:f>[prc_hicp_manr.xls]Data!$B$10:$BQ$10</c:f>
              <c:strCache>
                <c:ptCount val="68"/>
                <c:pt idx="0">
                  <c:v>2015M01</c:v>
                </c:pt>
                <c:pt idx="1">
                  <c:v>2015M02</c:v>
                </c:pt>
                <c:pt idx="2">
                  <c:v>2015M03</c:v>
                </c:pt>
                <c:pt idx="3">
                  <c:v>2015M04</c:v>
                </c:pt>
                <c:pt idx="4">
                  <c:v>2015M05</c:v>
                </c:pt>
                <c:pt idx="5">
                  <c:v>2015M06</c:v>
                </c:pt>
                <c:pt idx="6">
                  <c:v>2015M07</c:v>
                </c:pt>
                <c:pt idx="7">
                  <c:v>2015M08</c:v>
                </c:pt>
                <c:pt idx="8">
                  <c:v>2015M09</c:v>
                </c:pt>
                <c:pt idx="9">
                  <c:v>2015M10</c:v>
                </c:pt>
                <c:pt idx="10">
                  <c:v>2015M11</c:v>
                </c:pt>
                <c:pt idx="11">
                  <c:v>2015M12</c:v>
                </c:pt>
                <c:pt idx="12">
                  <c:v>2016M01</c:v>
                </c:pt>
                <c:pt idx="13">
                  <c:v>2016M02</c:v>
                </c:pt>
                <c:pt idx="14">
                  <c:v>2016M03</c:v>
                </c:pt>
                <c:pt idx="15">
                  <c:v>2016M04</c:v>
                </c:pt>
                <c:pt idx="16">
                  <c:v>2016M05</c:v>
                </c:pt>
                <c:pt idx="17">
                  <c:v>2016M06</c:v>
                </c:pt>
                <c:pt idx="18">
                  <c:v>2016M07</c:v>
                </c:pt>
                <c:pt idx="19">
                  <c:v>2016M08</c:v>
                </c:pt>
                <c:pt idx="20">
                  <c:v>2016M09</c:v>
                </c:pt>
                <c:pt idx="21">
                  <c:v>2016M10</c:v>
                </c:pt>
                <c:pt idx="22">
                  <c:v>2016M11</c:v>
                </c:pt>
                <c:pt idx="23">
                  <c:v>2016M12</c:v>
                </c:pt>
                <c:pt idx="24">
                  <c:v>2017M01</c:v>
                </c:pt>
                <c:pt idx="25">
                  <c:v>2017M02</c:v>
                </c:pt>
                <c:pt idx="26">
                  <c:v>2017M03</c:v>
                </c:pt>
                <c:pt idx="27">
                  <c:v>2017M04</c:v>
                </c:pt>
                <c:pt idx="28">
                  <c:v>2017M05</c:v>
                </c:pt>
                <c:pt idx="29">
                  <c:v>2017M06</c:v>
                </c:pt>
                <c:pt idx="30">
                  <c:v>2017M07</c:v>
                </c:pt>
                <c:pt idx="31">
                  <c:v>2017M08</c:v>
                </c:pt>
                <c:pt idx="32">
                  <c:v>2017M09</c:v>
                </c:pt>
                <c:pt idx="33">
                  <c:v>2017M10</c:v>
                </c:pt>
                <c:pt idx="34">
                  <c:v>2017M11</c:v>
                </c:pt>
                <c:pt idx="35">
                  <c:v>2017M12</c:v>
                </c:pt>
                <c:pt idx="36">
                  <c:v>2018M01</c:v>
                </c:pt>
                <c:pt idx="37">
                  <c:v>2018M02</c:v>
                </c:pt>
                <c:pt idx="38">
                  <c:v>2018M03</c:v>
                </c:pt>
                <c:pt idx="39">
                  <c:v>2018M04</c:v>
                </c:pt>
                <c:pt idx="40">
                  <c:v>2018M05</c:v>
                </c:pt>
                <c:pt idx="41">
                  <c:v>2018M06</c:v>
                </c:pt>
                <c:pt idx="42">
                  <c:v>2018M07</c:v>
                </c:pt>
                <c:pt idx="43">
                  <c:v>2018M08</c:v>
                </c:pt>
                <c:pt idx="44">
                  <c:v>2018M09</c:v>
                </c:pt>
                <c:pt idx="45">
                  <c:v>2018M10</c:v>
                </c:pt>
                <c:pt idx="46">
                  <c:v>2018M11</c:v>
                </c:pt>
                <c:pt idx="47">
                  <c:v>2018M12</c:v>
                </c:pt>
                <c:pt idx="48">
                  <c:v>2019M01</c:v>
                </c:pt>
                <c:pt idx="49">
                  <c:v>2019M02</c:v>
                </c:pt>
                <c:pt idx="50">
                  <c:v>2019M03</c:v>
                </c:pt>
                <c:pt idx="51">
                  <c:v>2019M04</c:v>
                </c:pt>
                <c:pt idx="52">
                  <c:v>2019M05</c:v>
                </c:pt>
                <c:pt idx="53">
                  <c:v>2019M06</c:v>
                </c:pt>
                <c:pt idx="54">
                  <c:v>2019M07</c:v>
                </c:pt>
                <c:pt idx="55">
                  <c:v>2019M08</c:v>
                </c:pt>
                <c:pt idx="56">
                  <c:v>2019M09</c:v>
                </c:pt>
                <c:pt idx="57">
                  <c:v>2019M10</c:v>
                </c:pt>
                <c:pt idx="58">
                  <c:v>2019M11</c:v>
                </c:pt>
                <c:pt idx="59">
                  <c:v>2019M12</c:v>
                </c:pt>
                <c:pt idx="60">
                  <c:v>2020M01</c:v>
                </c:pt>
                <c:pt idx="61">
                  <c:v>2020M02</c:v>
                </c:pt>
                <c:pt idx="62">
                  <c:v>2020M03</c:v>
                </c:pt>
                <c:pt idx="63">
                  <c:v>2020M04</c:v>
                </c:pt>
                <c:pt idx="64">
                  <c:v>2020M05</c:v>
                </c:pt>
                <c:pt idx="65">
                  <c:v>2020M06</c:v>
                </c:pt>
                <c:pt idx="66">
                  <c:v>2020M07</c:v>
                </c:pt>
                <c:pt idx="67">
                  <c:v>2020M08</c:v>
                </c:pt>
              </c:strCache>
            </c:strRef>
          </c:cat>
          <c:val>
            <c:numRef>
              <c:f>[prc_hicp_manr.xls]Data!$B$11:$BQ$11</c:f>
              <c:numCache>
                <c:formatCode>#\ ##0.0</c:formatCode>
                <c:ptCount val="68"/>
                <c:pt idx="0">
                  <c:v>0.6</c:v>
                </c:pt>
                <c:pt idx="1">
                  <c:v>0.7</c:v>
                </c:pt>
                <c:pt idx="2">
                  <c:v>0.6</c:v>
                </c:pt>
                <c:pt idx="3">
                  <c:v>0.9</c:v>
                </c:pt>
                <c:pt idx="4">
                  <c:v>1.3</c:v>
                </c:pt>
                <c:pt idx="5">
                  <c:v>1.2</c:v>
                </c:pt>
                <c:pt idx="6">
                  <c:v>1.4</c:v>
                </c:pt>
                <c:pt idx="7">
                  <c:v>1.4</c:v>
                </c:pt>
                <c:pt idx="8">
                  <c:v>1.3</c:v>
                </c:pt>
                <c:pt idx="9">
                  <c:v>1.5</c:v>
                </c:pt>
                <c:pt idx="10">
                  <c:v>0.9</c:v>
                </c:pt>
                <c:pt idx="11">
                  <c:v>0.9</c:v>
                </c:pt>
                <c:pt idx="12">
                  <c:v>1</c:v>
                </c:pt>
                <c:pt idx="13">
                  <c:v>0.9</c:v>
                </c:pt>
                <c:pt idx="14">
                  <c:v>1</c:v>
                </c:pt>
                <c:pt idx="15">
                  <c:v>0.7</c:v>
                </c:pt>
                <c:pt idx="16">
                  <c:v>0.8</c:v>
                </c:pt>
                <c:pt idx="17">
                  <c:v>0.8</c:v>
                </c:pt>
                <c:pt idx="18">
                  <c:v>0.9</c:v>
                </c:pt>
                <c:pt idx="19">
                  <c:v>0.8</c:v>
                </c:pt>
                <c:pt idx="20">
                  <c:v>0.8</c:v>
                </c:pt>
                <c:pt idx="21">
                  <c:v>0.7</c:v>
                </c:pt>
                <c:pt idx="22">
                  <c:v>0.8</c:v>
                </c:pt>
                <c:pt idx="23">
                  <c:v>0.9</c:v>
                </c:pt>
                <c:pt idx="24">
                  <c:v>0.9</c:v>
                </c:pt>
                <c:pt idx="25">
                  <c:v>0.8</c:v>
                </c:pt>
                <c:pt idx="26">
                  <c:v>0.7</c:v>
                </c:pt>
                <c:pt idx="27">
                  <c:v>1.3</c:v>
                </c:pt>
                <c:pt idx="28">
                  <c:v>0.9</c:v>
                </c:pt>
                <c:pt idx="29">
                  <c:v>1.2</c:v>
                </c:pt>
                <c:pt idx="30">
                  <c:v>1.2</c:v>
                </c:pt>
                <c:pt idx="31">
                  <c:v>1.2</c:v>
                </c:pt>
                <c:pt idx="32">
                  <c:v>1.2</c:v>
                </c:pt>
                <c:pt idx="33">
                  <c:v>0.9</c:v>
                </c:pt>
                <c:pt idx="34">
                  <c:v>0.9</c:v>
                </c:pt>
                <c:pt idx="35">
                  <c:v>0.9</c:v>
                </c:pt>
                <c:pt idx="36">
                  <c:v>1</c:v>
                </c:pt>
                <c:pt idx="37">
                  <c:v>1</c:v>
                </c:pt>
                <c:pt idx="38">
                  <c:v>1.1000000000000001</c:v>
                </c:pt>
                <c:pt idx="39">
                  <c:v>0.7</c:v>
                </c:pt>
                <c:pt idx="40">
                  <c:v>1.2</c:v>
                </c:pt>
                <c:pt idx="41">
                  <c:v>1</c:v>
                </c:pt>
                <c:pt idx="42">
                  <c:v>1.1000000000000001</c:v>
                </c:pt>
                <c:pt idx="43">
                  <c:v>1</c:v>
                </c:pt>
                <c:pt idx="44">
                  <c:v>1</c:v>
                </c:pt>
                <c:pt idx="45">
                  <c:v>1.2</c:v>
                </c:pt>
                <c:pt idx="46">
                  <c:v>0.9</c:v>
                </c:pt>
                <c:pt idx="47">
                  <c:v>0.9</c:v>
                </c:pt>
                <c:pt idx="48">
                  <c:v>1.1000000000000001</c:v>
                </c:pt>
                <c:pt idx="49">
                  <c:v>1</c:v>
                </c:pt>
                <c:pt idx="50">
                  <c:v>0.8</c:v>
                </c:pt>
                <c:pt idx="51">
                  <c:v>1.3</c:v>
                </c:pt>
                <c:pt idx="52">
                  <c:v>0.8</c:v>
                </c:pt>
                <c:pt idx="53">
                  <c:v>1.1000000000000001</c:v>
                </c:pt>
                <c:pt idx="54">
                  <c:v>0.9</c:v>
                </c:pt>
                <c:pt idx="55">
                  <c:v>0.9</c:v>
                </c:pt>
                <c:pt idx="56">
                  <c:v>1</c:v>
                </c:pt>
                <c:pt idx="57">
                  <c:v>1.1000000000000001</c:v>
                </c:pt>
                <c:pt idx="58">
                  <c:v>1.3</c:v>
                </c:pt>
                <c:pt idx="59">
                  <c:v>1.3</c:v>
                </c:pt>
                <c:pt idx="60">
                  <c:v>1.1000000000000001</c:v>
                </c:pt>
                <c:pt idx="61">
                  <c:v>1.2</c:v>
                </c:pt>
                <c:pt idx="62">
                  <c:v>1</c:v>
                </c:pt>
                <c:pt idx="63">
                  <c:v>0.9</c:v>
                </c:pt>
                <c:pt idx="64">
                  <c:v>0.9</c:v>
                </c:pt>
                <c:pt idx="65">
                  <c:v>0.8</c:v>
                </c:pt>
                <c:pt idx="66">
                  <c:v>1.2</c:v>
                </c:pt>
                <c:pt idx="67">
                  <c:v>0.4</c:v>
                </c:pt>
              </c:numCache>
            </c:numRef>
          </c:val>
          <c:smooth val="0"/>
          <c:extLst>
            <c:ext xmlns:c16="http://schemas.microsoft.com/office/drawing/2014/chart" uri="{C3380CC4-5D6E-409C-BE32-E72D297353CC}">
              <c16:uniqueId val="{00000000-8E74-4406-8AB4-2CDD661966C1}"/>
            </c:ext>
          </c:extLst>
        </c:ser>
        <c:ser>
          <c:idx val="1"/>
          <c:order val="1"/>
          <c:tx>
            <c:strRef>
              <c:f>[prc_hicp_manr.xls]Data!$A$12</c:f>
              <c:strCache>
                <c:ptCount val="1"/>
                <c:pt idx="0">
                  <c:v>Latvia</c:v>
                </c:pt>
              </c:strCache>
            </c:strRef>
          </c:tx>
          <c:spPr>
            <a:ln w="28575" cap="rnd">
              <a:solidFill>
                <a:schemeClr val="accent2"/>
              </a:solidFill>
              <a:round/>
            </a:ln>
            <a:effectLst/>
          </c:spPr>
          <c:marker>
            <c:symbol val="none"/>
          </c:marker>
          <c:cat>
            <c:strRef>
              <c:f>[prc_hicp_manr.xls]Data!$B$10:$BQ$10</c:f>
              <c:strCache>
                <c:ptCount val="68"/>
                <c:pt idx="0">
                  <c:v>2015M01</c:v>
                </c:pt>
                <c:pt idx="1">
                  <c:v>2015M02</c:v>
                </c:pt>
                <c:pt idx="2">
                  <c:v>2015M03</c:v>
                </c:pt>
                <c:pt idx="3">
                  <c:v>2015M04</c:v>
                </c:pt>
                <c:pt idx="4">
                  <c:v>2015M05</c:v>
                </c:pt>
                <c:pt idx="5">
                  <c:v>2015M06</c:v>
                </c:pt>
                <c:pt idx="6">
                  <c:v>2015M07</c:v>
                </c:pt>
                <c:pt idx="7">
                  <c:v>2015M08</c:v>
                </c:pt>
                <c:pt idx="8">
                  <c:v>2015M09</c:v>
                </c:pt>
                <c:pt idx="9">
                  <c:v>2015M10</c:v>
                </c:pt>
                <c:pt idx="10">
                  <c:v>2015M11</c:v>
                </c:pt>
                <c:pt idx="11">
                  <c:v>2015M12</c:v>
                </c:pt>
                <c:pt idx="12">
                  <c:v>2016M01</c:v>
                </c:pt>
                <c:pt idx="13">
                  <c:v>2016M02</c:v>
                </c:pt>
                <c:pt idx="14">
                  <c:v>2016M03</c:v>
                </c:pt>
                <c:pt idx="15">
                  <c:v>2016M04</c:v>
                </c:pt>
                <c:pt idx="16">
                  <c:v>2016M05</c:v>
                </c:pt>
                <c:pt idx="17">
                  <c:v>2016M06</c:v>
                </c:pt>
                <c:pt idx="18">
                  <c:v>2016M07</c:v>
                </c:pt>
                <c:pt idx="19">
                  <c:v>2016M08</c:v>
                </c:pt>
                <c:pt idx="20">
                  <c:v>2016M09</c:v>
                </c:pt>
                <c:pt idx="21">
                  <c:v>2016M10</c:v>
                </c:pt>
                <c:pt idx="22">
                  <c:v>2016M11</c:v>
                </c:pt>
                <c:pt idx="23">
                  <c:v>2016M12</c:v>
                </c:pt>
                <c:pt idx="24">
                  <c:v>2017M01</c:v>
                </c:pt>
                <c:pt idx="25">
                  <c:v>2017M02</c:v>
                </c:pt>
                <c:pt idx="26">
                  <c:v>2017M03</c:v>
                </c:pt>
                <c:pt idx="27">
                  <c:v>2017M04</c:v>
                </c:pt>
                <c:pt idx="28">
                  <c:v>2017M05</c:v>
                </c:pt>
                <c:pt idx="29">
                  <c:v>2017M06</c:v>
                </c:pt>
                <c:pt idx="30">
                  <c:v>2017M07</c:v>
                </c:pt>
                <c:pt idx="31">
                  <c:v>2017M08</c:v>
                </c:pt>
                <c:pt idx="32">
                  <c:v>2017M09</c:v>
                </c:pt>
                <c:pt idx="33">
                  <c:v>2017M10</c:v>
                </c:pt>
                <c:pt idx="34">
                  <c:v>2017M11</c:v>
                </c:pt>
                <c:pt idx="35">
                  <c:v>2017M12</c:v>
                </c:pt>
                <c:pt idx="36">
                  <c:v>2018M01</c:v>
                </c:pt>
                <c:pt idx="37">
                  <c:v>2018M02</c:v>
                </c:pt>
                <c:pt idx="38">
                  <c:v>2018M03</c:v>
                </c:pt>
                <c:pt idx="39">
                  <c:v>2018M04</c:v>
                </c:pt>
                <c:pt idx="40">
                  <c:v>2018M05</c:v>
                </c:pt>
                <c:pt idx="41">
                  <c:v>2018M06</c:v>
                </c:pt>
                <c:pt idx="42">
                  <c:v>2018M07</c:v>
                </c:pt>
                <c:pt idx="43">
                  <c:v>2018M08</c:v>
                </c:pt>
                <c:pt idx="44">
                  <c:v>2018M09</c:v>
                </c:pt>
                <c:pt idx="45">
                  <c:v>2018M10</c:v>
                </c:pt>
                <c:pt idx="46">
                  <c:v>2018M11</c:v>
                </c:pt>
                <c:pt idx="47">
                  <c:v>2018M12</c:v>
                </c:pt>
                <c:pt idx="48">
                  <c:v>2019M01</c:v>
                </c:pt>
                <c:pt idx="49">
                  <c:v>2019M02</c:v>
                </c:pt>
                <c:pt idx="50">
                  <c:v>2019M03</c:v>
                </c:pt>
                <c:pt idx="51">
                  <c:v>2019M04</c:v>
                </c:pt>
                <c:pt idx="52">
                  <c:v>2019M05</c:v>
                </c:pt>
                <c:pt idx="53">
                  <c:v>2019M06</c:v>
                </c:pt>
                <c:pt idx="54">
                  <c:v>2019M07</c:v>
                </c:pt>
                <c:pt idx="55">
                  <c:v>2019M08</c:v>
                </c:pt>
                <c:pt idx="56">
                  <c:v>2019M09</c:v>
                </c:pt>
                <c:pt idx="57">
                  <c:v>2019M10</c:v>
                </c:pt>
                <c:pt idx="58">
                  <c:v>2019M11</c:v>
                </c:pt>
                <c:pt idx="59">
                  <c:v>2019M12</c:v>
                </c:pt>
                <c:pt idx="60">
                  <c:v>2020M01</c:v>
                </c:pt>
                <c:pt idx="61">
                  <c:v>2020M02</c:v>
                </c:pt>
                <c:pt idx="62">
                  <c:v>2020M03</c:v>
                </c:pt>
                <c:pt idx="63">
                  <c:v>2020M04</c:v>
                </c:pt>
                <c:pt idx="64">
                  <c:v>2020M05</c:v>
                </c:pt>
                <c:pt idx="65">
                  <c:v>2020M06</c:v>
                </c:pt>
                <c:pt idx="66">
                  <c:v>2020M07</c:v>
                </c:pt>
                <c:pt idx="67">
                  <c:v>2020M08</c:v>
                </c:pt>
              </c:strCache>
            </c:strRef>
          </c:cat>
          <c:val>
            <c:numRef>
              <c:f>[prc_hicp_manr.xls]Data!$B$12:$BQ$12</c:f>
              <c:numCache>
                <c:formatCode>#\ ##0.0</c:formatCode>
                <c:ptCount val="68"/>
                <c:pt idx="0">
                  <c:v>1</c:v>
                </c:pt>
                <c:pt idx="1">
                  <c:v>1.5</c:v>
                </c:pt>
                <c:pt idx="2">
                  <c:v>1.5</c:v>
                </c:pt>
                <c:pt idx="3">
                  <c:v>1.7</c:v>
                </c:pt>
                <c:pt idx="4">
                  <c:v>2.1</c:v>
                </c:pt>
                <c:pt idx="5">
                  <c:v>2</c:v>
                </c:pt>
                <c:pt idx="6">
                  <c:v>1.1000000000000001</c:v>
                </c:pt>
                <c:pt idx="7">
                  <c:v>1.6</c:v>
                </c:pt>
                <c:pt idx="8">
                  <c:v>1.3</c:v>
                </c:pt>
                <c:pt idx="9">
                  <c:v>1.4</c:v>
                </c:pt>
                <c:pt idx="10">
                  <c:v>1.1000000000000001</c:v>
                </c:pt>
                <c:pt idx="11">
                  <c:v>1.2</c:v>
                </c:pt>
                <c:pt idx="12">
                  <c:v>1</c:v>
                </c:pt>
                <c:pt idx="13">
                  <c:v>0.7</c:v>
                </c:pt>
                <c:pt idx="14">
                  <c:v>1</c:v>
                </c:pt>
                <c:pt idx="15">
                  <c:v>0.8</c:v>
                </c:pt>
                <c:pt idx="16">
                  <c:v>0.7</c:v>
                </c:pt>
                <c:pt idx="17">
                  <c:v>0.7</c:v>
                </c:pt>
                <c:pt idx="18">
                  <c:v>1.7</c:v>
                </c:pt>
                <c:pt idx="19">
                  <c:v>1.3</c:v>
                </c:pt>
                <c:pt idx="20">
                  <c:v>1.3</c:v>
                </c:pt>
                <c:pt idx="21">
                  <c:v>1.6</c:v>
                </c:pt>
                <c:pt idx="22">
                  <c:v>1.5</c:v>
                </c:pt>
                <c:pt idx="23">
                  <c:v>1.8</c:v>
                </c:pt>
                <c:pt idx="24">
                  <c:v>1.4</c:v>
                </c:pt>
                <c:pt idx="25">
                  <c:v>1.5</c:v>
                </c:pt>
                <c:pt idx="26">
                  <c:v>1.7</c:v>
                </c:pt>
                <c:pt idx="27">
                  <c:v>2.2999999999999998</c:v>
                </c:pt>
                <c:pt idx="28">
                  <c:v>1.6</c:v>
                </c:pt>
                <c:pt idx="29">
                  <c:v>2.1</c:v>
                </c:pt>
                <c:pt idx="30">
                  <c:v>1</c:v>
                </c:pt>
                <c:pt idx="31">
                  <c:v>2</c:v>
                </c:pt>
                <c:pt idx="32">
                  <c:v>1.7</c:v>
                </c:pt>
                <c:pt idx="33">
                  <c:v>1.5</c:v>
                </c:pt>
                <c:pt idx="34">
                  <c:v>1.8</c:v>
                </c:pt>
                <c:pt idx="35">
                  <c:v>1.4</c:v>
                </c:pt>
                <c:pt idx="36">
                  <c:v>1.7</c:v>
                </c:pt>
                <c:pt idx="37">
                  <c:v>1.9</c:v>
                </c:pt>
                <c:pt idx="38">
                  <c:v>1.9</c:v>
                </c:pt>
                <c:pt idx="39">
                  <c:v>1.8</c:v>
                </c:pt>
                <c:pt idx="40">
                  <c:v>1.9</c:v>
                </c:pt>
                <c:pt idx="41">
                  <c:v>1.7</c:v>
                </c:pt>
                <c:pt idx="42">
                  <c:v>2</c:v>
                </c:pt>
                <c:pt idx="43">
                  <c:v>1.7</c:v>
                </c:pt>
                <c:pt idx="44">
                  <c:v>2.2000000000000002</c:v>
                </c:pt>
                <c:pt idx="45">
                  <c:v>2</c:v>
                </c:pt>
                <c:pt idx="46">
                  <c:v>2</c:v>
                </c:pt>
                <c:pt idx="47">
                  <c:v>2.1</c:v>
                </c:pt>
                <c:pt idx="48">
                  <c:v>2.2999999999999998</c:v>
                </c:pt>
                <c:pt idx="49">
                  <c:v>2.2999999999999998</c:v>
                </c:pt>
                <c:pt idx="50">
                  <c:v>1.8</c:v>
                </c:pt>
                <c:pt idx="51">
                  <c:v>2.2999999999999998</c:v>
                </c:pt>
                <c:pt idx="52">
                  <c:v>2.5</c:v>
                </c:pt>
                <c:pt idx="53">
                  <c:v>2.4</c:v>
                </c:pt>
                <c:pt idx="54">
                  <c:v>2.7</c:v>
                </c:pt>
                <c:pt idx="55">
                  <c:v>2.4</c:v>
                </c:pt>
                <c:pt idx="56">
                  <c:v>2</c:v>
                </c:pt>
                <c:pt idx="57">
                  <c:v>2.2000000000000002</c:v>
                </c:pt>
                <c:pt idx="58">
                  <c:v>2</c:v>
                </c:pt>
                <c:pt idx="59">
                  <c:v>1.7</c:v>
                </c:pt>
                <c:pt idx="60">
                  <c:v>1.8</c:v>
                </c:pt>
                <c:pt idx="61">
                  <c:v>2</c:v>
                </c:pt>
                <c:pt idx="62">
                  <c:v>2</c:v>
                </c:pt>
                <c:pt idx="63">
                  <c:v>1</c:v>
                </c:pt>
                <c:pt idx="64">
                  <c:v>0.1</c:v>
                </c:pt>
                <c:pt idx="65">
                  <c:v>-0.1</c:v>
                </c:pt>
                <c:pt idx="66">
                  <c:v>0.7</c:v>
                </c:pt>
                <c:pt idx="67">
                  <c:v>0.7</c:v>
                </c:pt>
              </c:numCache>
            </c:numRef>
          </c:val>
          <c:smooth val="0"/>
          <c:extLst>
            <c:ext xmlns:c16="http://schemas.microsoft.com/office/drawing/2014/chart" uri="{C3380CC4-5D6E-409C-BE32-E72D297353CC}">
              <c16:uniqueId val="{00000001-8E74-4406-8AB4-2CDD661966C1}"/>
            </c:ext>
          </c:extLst>
        </c:ser>
        <c:dLbls>
          <c:showLegendKey val="0"/>
          <c:showVal val="0"/>
          <c:showCatName val="0"/>
          <c:showSerName val="0"/>
          <c:showPercent val="0"/>
          <c:showBubbleSize val="0"/>
        </c:dLbls>
        <c:smooth val="0"/>
        <c:axId val="1149439599"/>
        <c:axId val="1149438351"/>
      </c:lineChart>
      <c:catAx>
        <c:axId val="11494395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lv-LV"/>
          </a:p>
        </c:txPr>
        <c:crossAx val="1149438351"/>
        <c:crosses val="autoZero"/>
        <c:auto val="1"/>
        <c:lblAlgn val="ctr"/>
        <c:lblOffset val="100"/>
        <c:noMultiLvlLbl val="0"/>
      </c:catAx>
      <c:valAx>
        <c:axId val="1149438351"/>
        <c:scaling>
          <c:orientation val="minMax"/>
        </c:scaling>
        <c:delete val="0"/>
        <c:axPos val="l"/>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11494395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lv-LV"/>
    </a:p>
  </c:txPr>
  <c:externalData r:id="rId3">
    <c:autoUpdate val="0"/>
  </c:externalData>
</c:chartSpace>
</file>

<file path=word/charts/chart2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[prc_hicp_manr.xls]Data!$A$11</c:f>
              <c:strCache>
                <c:ptCount val="1"/>
                <c:pt idx="0">
                  <c:v>Eirozona</c:v>
                </c:pt>
              </c:strCache>
            </c:strRef>
          </c:tx>
          <c:spPr>
            <a:ln w="28575" cap="rnd">
              <a:solidFill>
                <a:schemeClr val="accent1"/>
              </a:solidFill>
              <a:round/>
            </a:ln>
            <a:effectLst/>
          </c:spPr>
          <c:marker>
            <c:symbol val="none"/>
          </c:marker>
          <c:cat>
            <c:strRef>
              <c:f>[prc_hicp_manr.xls]Data!$B$10:$BQ$10</c:f>
              <c:strCache>
                <c:ptCount val="68"/>
                <c:pt idx="0">
                  <c:v>2015M01</c:v>
                </c:pt>
                <c:pt idx="1">
                  <c:v>2015M02</c:v>
                </c:pt>
                <c:pt idx="2">
                  <c:v>2015M03</c:v>
                </c:pt>
                <c:pt idx="3">
                  <c:v>2015M04</c:v>
                </c:pt>
                <c:pt idx="4">
                  <c:v>2015M05</c:v>
                </c:pt>
                <c:pt idx="5">
                  <c:v>2015M06</c:v>
                </c:pt>
                <c:pt idx="6">
                  <c:v>2015M07</c:v>
                </c:pt>
                <c:pt idx="7">
                  <c:v>2015M08</c:v>
                </c:pt>
                <c:pt idx="8">
                  <c:v>2015M09</c:v>
                </c:pt>
                <c:pt idx="9">
                  <c:v>2015M10</c:v>
                </c:pt>
                <c:pt idx="10">
                  <c:v>2015M11</c:v>
                </c:pt>
                <c:pt idx="11">
                  <c:v>2015M12</c:v>
                </c:pt>
                <c:pt idx="12">
                  <c:v>2016M01</c:v>
                </c:pt>
                <c:pt idx="13">
                  <c:v>2016M02</c:v>
                </c:pt>
                <c:pt idx="14">
                  <c:v>2016M03</c:v>
                </c:pt>
                <c:pt idx="15">
                  <c:v>2016M04</c:v>
                </c:pt>
                <c:pt idx="16">
                  <c:v>2016M05</c:v>
                </c:pt>
                <c:pt idx="17">
                  <c:v>2016M06</c:v>
                </c:pt>
                <c:pt idx="18">
                  <c:v>2016M07</c:v>
                </c:pt>
                <c:pt idx="19">
                  <c:v>2016M08</c:v>
                </c:pt>
                <c:pt idx="20">
                  <c:v>2016M09</c:v>
                </c:pt>
                <c:pt idx="21">
                  <c:v>2016M10</c:v>
                </c:pt>
                <c:pt idx="22">
                  <c:v>2016M11</c:v>
                </c:pt>
                <c:pt idx="23">
                  <c:v>2016M12</c:v>
                </c:pt>
                <c:pt idx="24">
                  <c:v>2017M01</c:v>
                </c:pt>
                <c:pt idx="25">
                  <c:v>2017M02</c:v>
                </c:pt>
                <c:pt idx="26">
                  <c:v>2017M03</c:v>
                </c:pt>
                <c:pt idx="27">
                  <c:v>2017M04</c:v>
                </c:pt>
                <c:pt idx="28">
                  <c:v>2017M05</c:v>
                </c:pt>
                <c:pt idx="29">
                  <c:v>2017M06</c:v>
                </c:pt>
                <c:pt idx="30">
                  <c:v>2017M07</c:v>
                </c:pt>
                <c:pt idx="31">
                  <c:v>2017M08</c:v>
                </c:pt>
                <c:pt idx="32">
                  <c:v>2017M09</c:v>
                </c:pt>
                <c:pt idx="33">
                  <c:v>2017M10</c:v>
                </c:pt>
                <c:pt idx="34">
                  <c:v>2017M11</c:v>
                </c:pt>
                <c:pt idx="35">
                  <c:v>2017M12</c:v>
                </c:pt>
                <c:pt idx="36">
                  <c:v>2018M01</c:v>
                </c:pt>
                <c:pt idx="37">
                  <c:v>2018M02</c:v>
                </c:pt>
                <c:pt idx="38">
                  <c:v>2018M03</c:v>
                </c:pt>
                <c:pt idx="39">
                  <c:v>2018M04</c:v>
                </c:pt>
                <c:pt idx="40">
                  <c:v>2018M05</c:v>
                </c:pt>
                <c:pt idx="41">
                  <c:v>2018M06</c:v>
                </c:pt>
                <c:pt idx="42">
                  <c:v>2018M07</c:v>
                </c:pt>
                <c:pt idx="43">
                  <c:v>2018M08</c:v>
                </c:pt>
                <c:pt idx="44">
                  <c:v>2018M09</c:v>
                </c:pt>
                <c:pt idx="45">
                  <c:v>2018M10</c:v>
                </c:pt>
                <c:pt idx="46">
                  <c:v>2018M11</c:v>
                </c:pt>
                <c:pt idx="47">
                  <c:v>2018M12</c:v>
                </c:pt>
                <c:pt idx="48">
                  <c:v>2019M01</c:v>
                </c:pt>
                <c:pt idx="49">
                  <c:v>2019M02</c:v>
                </c:pt>
                <c:pt idx="50">
                  <c:v>2019M03</c:v>
                </c:pt>
                <c:pt idx="51">
                  <c:v>2019M04</c:v>
                </c:pt>
                <c:pt idx="52">
                  <c:v>2019M05</c:v>
                </c:pt>
                <c:pt idx="53">
                  <c:v>2019M06</c:v>
                </c:pt>
                <c:pt idx="54">
                  <c:v>2019M07</c:v>
                </c:pt>
                <c:pt idx="55">
                  <c:v>2019M08</c:v>
                </c:pt>
                <c:pt idx="56">
                  <c:v>2019M09</c:v>
                </c:pt>
                <c:pt idx="57">
                  <c:v>2019M10</c:v>
                </c:pt>
                <c:pt idx="58">
                  <c:v>2019M11</c:v>
                </c:pt>
                <c:pt idx="59">
                  <c:v>2019M12</c:v>
                </c:pt>
                <c:pt idx="60">
                  <c:v>2020M01</c:v>
                </c:pt>
                <c:pt idx="61">
                  <c:v>2020M02</c:v>
                </c:pt>
                <c:pt idx="62">
                  <c:v>2020M03</c:v>
                </c:pt>
                <c:pt idx="63">
                  <c:v>2020M04</c:v>
                </c:pt>
                <c:pt idx="64">
                  <c:v>2020M05</c:v>
                </c:pt>
                <c:pt idx="65">
                  <c:v>2020M06</c:v>
                </c:pt>
                <c:pt idx="66">
                  <c:v>2020M07</c:v>
                </c:pt>
                <c:pt idx="67">
                  <c:v>2020M08</c:v>
                </c:pt>
              </c:strCache>
            </c:strRef>
          </c:cat>
          <c:val>
            <c:numRef>
              <c:f>[prc_hicp_manr.xls]Data!$B$11:$BQ$11</c:f>
              <c:numCache>
                <c:formatCode>#\ ##0.0</c:formatCode>
                <c:ptCount val="68"/>
                <c:pt idx="0">
                  <c:v>0.6</c:v>
                </c:pt>
                <c:pt idx="1">
                  <c:v>0.7</c:v>
                </c:pt>
                <c:pt idx="2">
                  <c:v>0.6</c:v>
                </c:pt>
                <c:pt idx="3">
                  <c:v>0.9</c:v>
                </c:pt>
                <c:pt idx="4">
                  <c:v>1.3</c:v>
                </c:pt>
                <c:pt idx="5">
                  <c:v>1.2</c:v>
                </c:pt>
                <c:pt idx="6">
                  <c:v>1.4</c:v>
                </c:pt>
                <c:pt idx="7">
                  <c:v>1.4</c:v>
                </c:pt>
                <c:pt idx="8">
                  <c:v>1.3</c:v>
                </c:pt>
                <c:pt idx="9">
                  <c:v>1.5</c:v>
                </c:pt>
                <c:pt idx="10">
                  <c:v>0.9</c:v>
                </c:pt>
                <c:pt idx="11">
                  <c:v>0.9</c:v>
                </c:pt>
                <c:pt idx="12">
                  <c:v>1</c:v>
                </c:pt>
                <c:pt idx="13">
                  <c:v>0.9</c:v>
                </c:pt>
                <c:pt idx="14">
                  <c:v>1</c:v>
                </c:pt>
                <c:pt idx="15">
                  <c:v>0.7</c:v>
                </c:pt>
                <c:pt idx="16">
                  <c:v>0.8</c:v>
                </c:pt>
                <c:pt idx="17">
                  <c:v>0.8</c:v>
                </c:pt>
                <c:pt idx="18">
                  <c:v>0.9</c:v>
                </c:pt>
                <c:pt idx="19">
                  <c:v>0.8</c:v>
                </c:pt>
                <c:pt idx="20">
                  <c:v>0.8</c:v>
                </c:pt>
                <c:pt idx="21">
                  <c:v>0.7</c:v>
                </c:pt>
                <c:pt idx="22">
                  <c:v>0.8</c:v>
                </c:pt>
                <c:pt idx="23">
                  <c:v>0.9</c:v>
                </c:pt>
                <c:pt idx="24">
                  <c:v>0.9</c:v>
                </c:pt>
                <c:pt idx="25">
                  <c:v>0.8</c:v>
                </c:pt>
                <c:pt idx="26">
                  <c:v>0.7</c:v>
                </c:pt>
                <c:pt idx="27">
                  <c:v>1.3</c:v>
                </c:pt>
                <c:pt idx="28">
                  <c:v>0.9</c:v>
                </c:pt>
                <c:pt idx="29">
                  <c:v>1.2</c:v>
                </c:pt>
                <c:pt idx="30">
                  <c:v>1.2</c:v>
                </c:pt>
                <c:pt idx="31">
                  <c:v>1.2</c:v>
                </c:pt>
                <c:pt idx="32">
                  <c:v>1.2</c:v>
                </c:pt>
                <c:pt idx="33">
                  <c:v>0.9</c:v>
                </c:pt>
                <c:pt idx="34">
                  <c:v>0.9</c:v>
                </c:pt>
                <c:pt idx="35">
                  <c:v>0.9</c:v>
                </c:pt>
                <c:pt idx="36">
                  <c:v>1</c:v>
                </c:pt>
                <c:pt idx="37">
                  <c:v>1</c:v>
                </c:pt>
                <c:pt idx="38">
                  <c:v>1.1000000000000001</c:v>
                </c:pt>
                <c:pt idx="39">
                  <c:v>0.7</c:v>
                </c:pt>
                <c:pt idx="40">
                  <c:v>1.2</c:v>
                </c:pt>
                <c:pt idx="41">
                  <c:v>1</c:v>
                </c:pt>
                <c:pt idx="42">
                  <c:v>1.1000000000000001</c:v>
                </c:pt>
                <c:pt idx="43">
                  <c:v>1</c:v>
                </c:pt>
                <c:pt idx="44">
                  <c:v>1</c:v>
                </c:pt>
                <c:pt idx="45">
                  <c:v>1.2</c:v>
                </c:pt>
                <c:pt idx="46">
                  <c:v>0.9</c:v>
                </c:pt>
                <c:pt idx="47">
                  <c:v>0.9</c:v>
                </c:pt>
                <c:pt idx="48">
                  <c:v>1.1000000000000001</c:v>
                </c:pt>
                <c:pt idx="49">
                  <c:v>1</c:v>
                </c:pt>
                <c:pt idx="50">
                  <c:v>0.8</c:v>
                </c:pt>
                <c:pt idx="51">
                  <c:v>1.3</c:v>
                </c:pt>
                <c:pt idx="52">
                  <c:v>0.8</c:v>
                </c:pt>
                <c:pt idx="53">
                  <c:v>1.1000000000000001</c:v>
                </c:pt>
                <c:pt idx="54">
                  <c:v>0.9</c:v>
                </c:pt>
                <c:pt idx="55">
                  <c:v>0.9</c:v>
                </c:pt>
                <c:pt idx="56">
                  <c:v>1</c:v>
                </c:pt>
                <c:pt idx="57">
                  <c:v>1.1000000000000001</c:v>
                </c:pt>
                <c:pt idx="58">
                  <c:v>1.3</c:v>
                </c:pt>
                <c:pt idx="59">
                  <c:v>1.3</c:v>
                </c:pt>
                <c:pt idx="60">
                  <c:v>1.1000000000000001</c:v>
                </c:pt>
                <c:pt idx="61">
                  <c:v>1.2</c:v>
                </c:pt>
                <c:pt idx="62">
                  <c:v>1</c:v>
                </c:pt>
                <c:pt idx="63">
                  <c:v>0.9</c:v>
                </c:pt>
                <c:pt idx="64">
                  <c:v>0.9</c:v>
                </c:pt>
                <c:pt idx="65">
                  <c:v>0.8</c:v>
                </c:pt>
                <c:pt idx="66">
                  <c:v>1.2</c:v>
                </c:pt>
                <c:pt idx="67">
                  <c:v>0.4</c:v>
                </c:pt>
              </c:numCache>
            </c:numRef>
          </c:val>
          <c:smooth val="0"/>
          <c:extLst>
            <c:ext xmlns:c16="http://schemas.microsoft.com/office/drawing/2014/chart" uri="{C3380CC4-5D6E-409C-BE32-E72D297353CC}">
              <c16:uniqueId val="{00000000-8E74-4406-8AB4-2CDD661966C1}"/>
            </c:ext>
          </c:extLst>
        </c:ser>
        <c:ser>
          <c:idx val="1"/>
          <c:order val="1"/>
          <c:tx>
            <c:strRef>
              <c:f>[prc_hicp_manr.xls]Data!$A$12</c:f>
              <c:strCache>
                <c:ptCount val="1"/>
                <c:pt idx="0">
                  <c:v>Latvia</c:v>
                </c:pt>
              </c:strCache>
            </c:strRef>
          </c:tx>
          <c:spPr>
            <a:ln w="28575" cap="rnd">
              <a:solidFill>
                <a:schemeClr val="accent2"/>
              </a:solidFill>
              <a:round/>
            </a:ln>
            <a:effectLst/>
          </c:spPr>
          <c:marker>
            <c:symbol val="none"/>
          </c:marker>
          <c:cat>
            <c:strRef>
              <c:f>[prc_hicp_manr.xls]Data!$B$10:$BQ$10</c:f>
              <c:strCache>
                <c:ptCount val="68"/>
                <c:pt idx="0">
                  <c:v>2015M01</c:v>
                </c:pt>
                <c:pt idx="1">
                  <c:v>2015M02</c:v>
                </c:pt>
                <c:pt idx="2">
                  <c:v>2015M03</c:v>
                </c:pt>
                <c:pt idx="3">
                  <c:v>2015M04</c:v>
                </c:pt>
                <c:pt idx="4">
                  <c:v>2015M05</c:v>
                </c:pt>
                <c:pt idx="5">
                  <c:v>2015M06</c:v>
                </c:pt>
                <c:pt idx="6">
                  <c:v>2015M07</c:v>
                </c:pt>
                <c:pt idx="7">
                  <c:v>2015M08</c:v>
                </c:pt>
                <c:pt idx="8">
                  <c:v>2015M09</c:v>
                </c:pt>
                <c:pt idx="9">
                  <c:v>2015M10</c:v>
                </c:pt>
                <c:pt idx="10">
                  <c:v>2015M11</c:v>
                </c:pt>
                <c:pt idx="11">
                  <c:v>2015M12</c:v>
                </c:pt>
                <c:pt idx="12">
                  <c:v>2016M01</c:v>
                </c:pt>
                <c:pt idx="13">
                  <c:v>2016M02</c:v>
                </c:pt>
                <c:pt idx="14">
                  <c:v>2016M03</c:v>
                </c:pt>
                <c:pt idx="15">
                  <c:v>2016M04</c:v>
                </c:pt>
                <c:pt idx="16">
                  <c:v>2016M05</c:v>
                </c:pt>
                <c:pt idx="17">
                  <c:v>2016M06</c:v>
                </c:pt>
                <c:pt idx="18">
                  <c:v>2016M07</c:v>
                </c:pt>
                <c:pt idx="19">
                  <c:v>2016M08</c:v>
                </c:pt>
                <c:pt idx="20">
                  <c:v>2016M09</c:v>
                </c:pt>
                <c:pt idx="21">
                  <c:v>2016M10</c:v>
                </c:pt>
                <c:pt idx="22">
                  <c:v>2016M11</c:v>
                </c:pt>
                <c:pt idx="23">
                  <c:v>2016M12</c:v>
                </c:pt>
                <c:pt idx="24">
                  <c:v>2017M01</c:v>
                </c:pt>
                <c:pt idx="25">
                  <c:v>2017M02</c:v>
                </c:pt>
                <c:pt idx="26">
                  <c:v>2017M03</c:v>
                </c:pt>
                <c:pt idx="27">
                  <c:v>2017M04</c:v>
                </c:pt>
                <c:pt idx="28">
                  <c:v>2017M05</c:v>
                </c:pt>
                <c:pt idx="29">
                  <c:v>2017M06</c:v>
                </c:pt>
                <c:pt idx="30">
                  <c:v>2017M07</c:v>
                </c:pt>
                <c:pt idx="31">
                  <c:v>2017M08</c:v>
                </c:pt>
                <c:pt idx="32">
                  <c:v>2017M09</c:v>
                </c:pt>
                <c:pt idx="33">
                  <c:v>2017M10</c:v>
                </c:pt>
                <c:pt idx="34">
                  <c:v>2017M11</c:v>
                </c:pt>
                <c:pt idx="35">
                  <c:v>2017M12</c:v>
                </c:pt>
                <c:pt idx="36">
                  <c:v>2018M01</c:v>
                </c:pt>
                <c:pt idx="37">
                  <c:v>2018M02</c:v>
                </c:pt>
                <c:pt idx="38">
                  <c:v>2018M03</c:v>
                </c:pt>
                <c:pt idx="39">
                  <c:v>2018M04</c:v>
                </c:pt>
                <c:pt idx="40">
                  <c:v>2018M05</c:v>
                </c:pt>
                <c:pt idx="41">
                  <c:v>2018M06</c:v>
                </c:pt>
                <c:pt idx="42">
                  <c:v>2018M07</c:v>
                </c:pt>
                <c:pt idx="43">
                  <c:v>2018M08</c:v>
                </c:pt>
                <c:pt idx="44">
                  <c:v>2018M09</c:v>
                </c:pt>
                <c:pt idx="45">
                  <c:v>2018M10</c:v>
                </c:pt>
                <c:pt idx="46">
                  <c:v>2018M11</c:v>
                </c:pt>
                <c:pt idx="47">
                  <c:v>2018M12</c:v>
                </c:pt>
                <c:pt idx="48">
                  <c:v>2019M01</c:v>
                </c:pt>
                <c:pt idx="49">
                  <c:v>2019M02</c:v>
                </c:pt>
                <c:pt idx="50">
                  <c:v>2019M03</c:v>
                </c:pt>
                <c:pt idx="51">
                  <c:v>2019M04</c:v>
                </c:pt>
                <c:pt idx="52">
                  <c:v>2019M05</c:v>
                </c:pt>
                <c:pt idx="53">
                  <c:v>2019M06</c:v>
                </c:pt>
                <c:pt idx="54">
                  <c:v>2019M07</c:v>
                </c:pt>
                <c:pt idx="55">
                  <c:v>2019M08</c:v>
                </c:pt>
                <c:pt idx="56">
                  <c:v>2019M09</c:v>
                </c:pt>
                <c:pt idx="57">
                  <c:v>2019M10</c:v>
                </c:pt>
                <c:pt idx="58">
                  <c:v>2019M11</c:v>
                </c:pt>
                <c:pt idx="59">
                  <c:v>2019M12</c:v>
                </c:pt>
                <c:pt idx="60">
                  <c:v>2020M01</c:v>
                </c:pt>
                <c:pt idx="61">
                  <c:v>2020M02</c:v>
                </c:pt>
                <c:pt idx="62">
                  <c:v>2020M03</c:v>
                </c:pt>
                <c:pt idx="63">
                  <c:v>2020M04</c:v>
                </c:pt>
                <c:pt idx="64">
                  <c:v>2020M05</c:v>
                </c:pt>
                <c:pt idx="65">
                  <c:v>2020M06</c:v>
                </c:pt>
                <c:pt idx="66">
                  <c:v>2020M07</c:v>
                </c:pt>
                <c:pt idx="67">
                  <c:v>2020M08</c:v>
                </c:pt>
              </c:strCache>
            </c:strRef>
          </c:cat>
          <c:val>
            <c:numRef>
              <c:f>[prc_hicp_manr.xls]Data!$B$12:$BQ$12</c:f>
              <c:numCache>
                <c:formatCode>#\ ##0.0</c:formatCode>
                <c:ptCount val="68"/>
                <c:pt idx="0">
                  <c:v>1</c:v>
                </c:pt>
                <c:pt idx="1">
                  <c:v>1.5</c:v>
                </c:pt>
                <c:pt idx="2">
                  <c:v>1.5</c:v>
                </c:pt>
                <c:pt idx="3">
                  <c:v>1.7</c:v>
                </c:pt>
                <c:pt idx="4">
                  <c:v>2.1</c:v>
                </c:pt>
                <c:pt idx="5">
                  <c:v>2</c:v>
                </c:pt>
                <c:pt idx="6">
                  <c:v>1.1000000000000001</c:v>
                </c:pt>
                <c:pt idx="7">
                  <c:v>1.6</c:v>
                </c:pt>
                <c:pt idx="8">
                  <c:v>1.3</c:v>
                </c:pt>
                <c:pt idx="9">
                  <c:v>1.4</c:v>
                </c:pt>
                <c:pt idx="10">
                  <c:v>1.1000000000000001</c:v>
                </c:pt>
                <c:pt idx="11">
                  <c:v>1.2</c:v>
                </c:pt>
                <c:pt idx="12">
                  <c:v>1</c:v>
                </c:pt>
                <c:pt idx="13">
                  <c:v>0.7</c:v>
                </c:pt>
                <c:pt idx="14">
                  <c:v>1</c:v>
                </c:pt>
                <c:pt idx="15">
                  <c:v>0.8</c:v>
                </c:pt>
                <c:pt idx="16">
                  <c:v>0.7</c:v>
                </c:pt>
                <c:pt idx="17">
                  <c:v>0.7</c:v>
                </c:pt>
                <c:pt idx="18">
                  <c:v>1.7</c:v>
                </c:pt>
                <c:pt idx="19">
                  <c:v>1.3</c:v>
                </c:pt>
                <c:pt idx="20">
                  <c:v>1.3</c:v>
                </c:pt>
                <c:pt idx="21">
                  <c:v>1.6</c:v>
                </c:pt>
                <c:pt idx="22">
                  <c:v>1.5</c:v>
                </c:pt>
                <c:pt idx="23">
                  <c:v>1.8</c:v>
                </c:pt>
                <c:pt idx="24">
                  <c:v>1.4</c:v>
                </c:pt>
                <c:pt idx="25">
                  <c:v>1.5</c:v>
                </c:pt>
                <c:pt idx="26">
                  <c:v>1.7</c:v>
                </c:pt>
                <c:pt idx="27">
                  <c:v>2.2999999999999998</c:v>
                </c:pt>
                <c:pt idx="28">
                  <c:v>1.6</c:v>
                </c:pt>
                <c:pt idx="29">
                  <c:v>2.1</c:v>
                </c:pt>
                <c:pt idx="30">
                  <c:v>1</c:v>
                </c:pt>
                <c:pt idx="31">
                  <c:v>2</c:v>
                </c:pt>
                <c:pt idx="32">
                  <c:v>1.7</c:v>
                </c:pt>
                <c:pt idx="33">
                  <c:v>1.5</c:v>
                </c:pt>
                <c:pt idx="34">
                  <c:v>1.8</c:v>
                </c:pt>
                <c:pt idx="35">
                  <c:v>1.4</c:v>
                </c:pt>
                <c:pt idx="36">
                  <c:v>1.7</c:v>
                </c:pt>
                <c:pt idx="37">
                  <c:v>1.9</c:v>
                </c:pt>
                <c:pt idx="38">
                  <c:v>1.9</c:v>
                </c:pt>
                <c:pt idx="39">
                  <c:v>1.8</c:v>
                </c:pt>
                <c:pt idx="40">
                  <c:v>1.9</c:v>
                </c:pt>
                <c:pt idx="41">
                  <c:v>1.7</c:v>
                </c:pt>
                <c:pt idx="42">
                  <c:v>2</c:v>
                </c:pt>
                <c:pt idx="43">
                  <c:v>1.7</c:v>
                </c:pt>
                <c:pt idx="44">
                  <c:v>2.2000000000000002</c:v>
                </c:pt>
                <c:pt idx="45">
                  <c:v>2</c:v>
                </c:pt>
                <c:pt idx="46">
                  <c:v>2</c:v>
                </c:pt>
                <c:pt idx="47">
                  <c:v>2.1</c:v>
                </c:pt>
                <c:pt idx="48">
                  <c:v>2.2999999999999998</c:v>
                </c:pt>
                <c:pt idx="49">
                  <c:v>2.2999999999999998</c:v>
                </c:pt>
                <c:pt idx="50">
                  <c:v>1.8</c:v>
                </c:pt>
                <c:pt idx="51">
                  <c:v>2.2999999999999998</c:v>
                </c:pt>
                <c:pt idx="52">
                  <c:v>2.5</c:v>
                </c:pt>
                <c:pt idx="53">
                  <c:v>2.4</c:v>
                </c:pt>
                <c:pt idx="54">
                  <c:v>2.7</c:v>
                </c:pt>
                <c:pt idx="55">
                  <c:v>2.4</c:v>
                </c:pt>
                <c:pt idx="56">
                  <c:v>2</c:v>
                </c:pt>
                <c:pt idx="57">
                  <c:v>2.2000000000000002</c:v>
                </c:pt>
                <c:pt idx="58">
                  <c:v>2</c:v>
                </c:pt>
                <c:pt idx="59">
                  <c:v>1.7</c:v>
                </c:pt>
                <c:pt idx="60">
                  <c:v>1.8</c:v>
                </c:pt>
                <c:pt idx="61">
                  <c:v>2</c:v>
                </c:pt>
                <c:pt idx="62">
                  <c:v>2</c:v>
                </c:pt>
                <c:pt idx="63">
                  <c:v>1</c:v>
                </c:pt>
                <c:pt idx="64">
                  <c:v>0.1</c:v>
                </c:pt>
                <c:pt idx="65">
                  <c:v>-0.1</c:v>
                </c:pt>
                <c:pt idx="66">
                  <c:v>0.7</c:v>
                </c:pt>
                <c:pt idx="67">
                  <c:v>0.7</c:v>
                </c:pt>
              </c:numCache>
            </c:numRef>
          </c:val>
          <c:smooth val="0"/>
          <c:extLst>
            <c:ext xmlns:c16="http://schemas.microsoft.com/office/drawing/2014/chart" uri="{C3380CC4-5D6E-409C-BE32-E72D297353CC}">
              <c16:uniqueId val="{00000001-8E74-4406-8AB4-2CDD661966C1}"/>
            </c:ext>
          </c:extLst>
        </c:ser>
        <c:dLbls>
          <c:showLegendKey val="0"/>
          <c:showVal val="0"/>
          <c:showCatName val="0"/>
          <c:showSerName val="0"/>
          <c:showPercent val="0"/>
          <c:showBubbleSize val="0"/>
        </c:dLbls>
        <c:smooth val="0"/>
        <c:axId val="1149439599"/>
        <c:axId val="1149438351"/>
      </c:lineChart>
      <c:catAx>
        <c:axId val="11494395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lv-LV"/>
          </a:p>
        </c:txPr>
        <c:crossAx val="1149438351"/>
        <c:crosses val="autoZero"/>
        <c:auto val="1"/>
        <c:lblAlgn val="ctr"/>
        <c:lblOffset val="100"/>
        <c:noMultiLvlLbl val="0"/>
      </c:catAx>
      <c:valAx>
        <c:axId val="1149438351"/>
        <c:scaling>
          <c:orientation val="minMax"/>
        </c:scaling>
        <c:delete val="0"/>
        <c:axPos val="l"/>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11494395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lv-LV"/>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596033756105886E-2"/>
          <c:y val="3.7710437710437708E-2"/>
          <c:w val="0.93704768756220869"/>
          <c:h val="0.74680007423314509"/>
        </c:manualLayout>
      </c:layout>
      <c:areaChart>
        <c:grouping val="standard"/>
        <c:varyColors val="0"/>
        <c:ser>
          <c:idx val="0"/>
          <c:order val="0"/>
          <c:tx>
            <c:strRef>
              <c:f>Sheet3!$A$46</c:f>
              <c:strCache>
                <c:ptCount val="1"/>
                <c:pt idx="0">
                  <c:v>Max</c:v>
                </c:pt>
              </c:strCache>
            </c:strRef>
          </c:tx>
          <c:spPr>
            <a:solidFill>
              <a:schemeClr val="bg2">
                <a:lumMod val="90000"/>
              </a:schemeClr>
            </a:solidFill>
            <a:ln>
              <a:noFill/>
            </a:ln>
            <a:effectLst/>
          </c:spPr>
          <c:cat>
            <c:strRef>
              <c:f>Sheet3!$B$45:$I$45</c:f>
              <c:strCache>
                <c:ptCount val="8"/>
                <c:pt idx="0">
                  <c:v>2020M01</c:v>
                </c:pt>
                <c:pt idx="1">
                  <c:v>2020M02</c:v>
                </c:pt>
                <c:pt idx="2">
                  <c:v>2020M03</c:v>
                </c:pt>
                <c:pt idx="3">
                  <c:v>2020M04</c:v>
                </c:pt>
                <c:pt idx="4">
                  <c:v>2020M05</c:v>
                </c:pt>
                <c:pt idx="5">
                  <c:v>2020M06</c:v>
                </c:pt>
                <c:pt idx="6">
                  <c:v>2020M07</c:v>
                </c:pt>
                <c:pt idx="7">
                  <c:v>2020M08</c:v>
                </c:pt>
              </c:strCache>
            </c:strRef>
          </c:cat>
          <c:val>
            <c:numRef>
              <c:f>Sheet3!$B$46:$I$46</c:f>
              <c:numCache>
                <c:formatCode>General</c:formatCode>
                <c:ptCount val="8"/>
                <c:pt idx="0">
                  <c:v>6.4</c:v>
                </c:pt>
                <c:pt idx="1">
                  <c:v>7</c:v>
                </c:pt>
                <c:pt idx="2">
                  <c:v>7.3</c:v>
                </c:pt>
                <c:pt idx="3">
                  <c:v>7</c:v>
                </c:pt>
                <c:pt idx="4">
                  <c:v>6.9</c:v>
                </c:pt>
                <c:pt idx="5">
                  <c:v>7</c:v>
                </c:pt>
                <c:pt idx="6">
                  <c:v>8.1</c:v>
                </c:pt>
                <c:pt idx="7">
                  <c:v>8.9</c:v>
                </c:pt>
              </c:numCache>
            </c:numRef>
          </c:val>
          <c:extLst>
            <c:ext xmlns:c16="http://schemas.microsoft.com/office/drawing/2014/chart" uri="{C3380CC4-5D6E-409C-BE32-E72D297353CC}">
              <c16:uniqueId val="{00000000-766C-44C1-A651-F13733033758}"/>
            </c:ext>
          </c:extLst>
        </c:ser>
        <c:ser>
          <c:idx val="1"/>
          <c:order val="1"/>
          <c:tx>
            <c:strRef>
              <c:f>Sheet3!$A$47</c:f>
              <c:strCache>
                <c:ptCount val="1"/>
                <c:pt idx="0">
                  <c:v>Min</c:v>
                </c:pt>
              </c:strCache>
            </c:strRef>
          </c:tx>
          <c:spPr>
            <a:solidFill>
              <a:schemeClr val="bg2">
                <a:lumMod val="90000"/>
              </a:schemeClr>
            </a:solidFill>
            <a:ln>
              <a:noFill/>
            </a:ln>
            <a:effectLst/>
          </c:spPr>
          <c:cat>
            <c:strRef>
              <c:f>Sheet3!$B$45:$I$45</c:f>
              <c:strCache>
                <c:ptCount val="8"/>
                <c:pt idx="0">
                  <c:v>2020M01</c:v>
                </c:pt>
                <c:pt idx="1">
                  <c:v>2020M02</c:v>
                </c:pt>
                <c:pt idx="2">
                  <c:v>2020M03</c:v>
                </c:pt>
                <c:pt idx="3">
                  <c:v>2020M04</c:v>
                </c:pt>
                <c:pt idx="4">
                  <c:v>2020M05</c:v>
                </c:pt>
                <c:pt idx="5">
                  <c:v>2020M06</c:v>
                </c:pt>
                <c:pt idx="6">
                  <c:v>2020M07</c:v>
                </c:pt>
                <c:pt idx="7">
                  <c:v>2020M08</c:v>
                </c:pt>
              </c:strCache>
            </c:strRef>
          </c:cat>
          <c:val>
            <c:numRef>
              <c:f>Sheet3!$B$47:$I$47</c:f>
              <c:numCache>
                <c:formatCode>General</c:formatCode>
                <c:ptCount val="8"/>
                <c:pt idx="0">
                  <c:v>-2.5</c:v>
                </c:pt>
                <c:pt idx="1">
                  <c:v>2.5</c:v>
                </c:pt>
                <c:pt idx="2">
                  <c:v>-5.0999999999999996</c:v>
                </c:pt>
                <c:pt idx="3">
                  <c:v>-4</c:v>
                </c:pt>
                <c:pt idx="4">
                  <c:v>-4.0999999999999996</c:v>
                </c:pt>
                <c:pt idx="5">
                  <c:v>-5</c:v>
                </c:pt>
                <c:pt idx="6">
                  <c:v>-3.8</c:v>
                </c:pt>
                <c:pt idx="7">
                  <c:v>-7.7</c:v>
                </c:pt>
              </c:numCache>
            </c:numRef>
          </c:val>
          <c:extLst>
            <c:ext xmlns:c16="http://schemas.microsoft.com/office/drawing/2014/chart" uri="{C3380CC4-5D6E-409C-BE32-E72D297353CC}">
              <c16:uniqueId val="{00000001-766C-44C1-A651-F13733033758}"/>
            </c:ext>
          </c:extLst>
        </c:ser>
        <c:dLbls>
          <c:showLegendKey val="0"/>
          <c:showVal val="0"/>
          <c:showCatName val="0"/>
          <c:showSerName val="0"/>
          <c:showPercent val="0"/>
          <c:showBubbleSize val="0"/>
        </c:dLbls>
        <c:axId val="1882005008"/>
        <c:axId val="1881998352"/>
      </c:areaChart>
      <c:lineChart>
        <c:grouping val="standard"/>
        <c:varyColors val="0"/>
        <c:ser>
          <c:idx val="4"/>
          <c:order val="2"/>
          <c:tx>
            <c:strRef>
              <c:f>Sheet3!$A$50</c:f>
              <c:strCache>
                <c:ptCount val="1"/>
                <c:pt idx="0">
                  <c:v>Mājokļa īres maksa</c:v>
                </c:pt>
              </c:strCache>
            </c:strRef>
          </c:tx>
          <c:spPr>
            <a:ln w="28575" cap="rnd">
              <a:solidFill>
                <a:schemeClr val="accent5"/>
              </a:solidFill>
              <a:round/>
            </a:ln>
            <a:effectLst/>
          </c:spPr>
          <c:marker>
            <c:symbol val="none"/>
          </c:marker>
          <c:cat>
            <c:strRef>
              <c:f>Sheet3!$B$45:$I$45</c:f>
              <c:strCache>
                <c:ptCount val="8"/>
                <c:pt idx="0">
                  <c:v>2020M01</c:v>
                </c:pt>
                <c:pt idx="1">
                  <c:v>2020M02</c:v>
                </c:pt>
                <c:pt idx="2">
                  <c:v>2020M03</c:v>
                </c:pt>
                <c:pt idx="3">
                  <c:v>2020M04</c:v>
                </c:pt>
                <c:pt idx="4">
                  <c:v>2020M05</c:v>
                </c:pt>
                <c:pt idx="5">
                  <c:v>2020M06</c:v>
                </c:pt>
                <c:pt idx="6">
                  <c:v>2020M07</c:v>
                </c:pt>
                <c:pt idx="7">
                  <c:v>2020M08</c:v>
                </c:pt>
              </c:strCache>
            </c:strRef>
          </c:cat>
          <c:val>
            <c:numRef>
              <c:f>Sheet3!$B$50:$I$50</c:f>
              <c:numCache>
                <c:formatCode>0.0</c:formatCode>
                <c:ptCount val="8"/>
                <c:pt idx="0">
                  <c:v>3.3</c:v>
                </c:pt>
                <c:pt idx="1">
                  <c:v>5</c:v>
                </c:pt>
                <c:pt idx="2">
                  <c:v>4.2</c:v>
                </c:pt>
                <c:pt idx="3">
                  <c:v>-4</c:v>
                </c:pt>
                <c:pt idx="4">
                  <c:v>-5.3</c:v>
                </c:pt>
                <c:pt idx="5">
                  <c:v>-5.6</c:v>
                </c:pt>
                <c:pt idx="6">
                  <c:v>-4.5999999999999996</c:v>
                </c:pt>
                <c:pt idx="7">
                  <c:v>-5.3</c:v>
                </c:pt>
              </c:numCache>
            </c:numRef>
          </c:val>
          <c:smooth val="0"/>
          <c:extLst>
            <c:ext xmlns:c16="http://schemas.microsoft.com/office/drawing/2014/chart" uri="{C3380CC4-5D6E-409C-BE32-E72D297353CC}">
              <c16:uniqueId val="{00000002-766C-44C1-A651-F13733033758}"/>
            </c:ext>
          </c:extLst>
        </c:ser>
        <c:ser>
          <c:idx val="7"/>
          <c:order val="3"/>
          <c:tx>
            <c:strRef>
              <c:f>Sheet3!$A$53</c:f>
              <c:strCache>
                <c:ptCount val="1"/>
                <c:pt idx="0">
                  <c:v>Izmitināšanas pakalpojumi</c:v>
                </c:pt>
              </c:strCache>
            </c:strRef>
          </c:tx>
          <c:spPr>
            <a:ln w="28575" cap="rnd">
              <a:solidFill>
                <a:schemeClr val="accent2">
                  <a:lumMod val="60000"/>
                </a:schemeClr>
              </a:solidFill>
              <a:round/>
            </a:ln>
            <a:effectLst/>
          </c:spPr>
          <c:marker>
            <c:symbol val="none"/>
          </c:marker>
          <c:cat>
            <c:strRef>
              <c:f>Sheet3!$B$45:$I$45</c:f>
              <c:strCache>
                <c:ptCount val="8"/>
                <c:pt idx="0">
                  <c:v>2020M01</c:v>
                </c:pt>
                <c:pt idx="1">
                  <c:v>2020M02</c:v>
                </c:pt>
                <c:pt idx="2">
                  <c:v>2020M03</c:v>
                </c:pt>
                <c:pt idx="3">
                  <c:v>2020M04</c:v>
                </c:pt>
                <c:pt idx="4">
                  <c:v>2020M05</c:v>
                </c:pt>
                <c:pt idx="5">
                  <c:v>2020M06</c:v>
                </c:pt>
                <c:pt idx="6">
                  <c:v>2020M07</c:v>
                </c:pt>
                <c:pt idx="7">
                  <c:v>2020M08</c:v>
                </c:pt>
              </c:strCache>
            </c:strRef>
          </c:cat>
          <c:val>
            <c:numRef>
              <c:f>Sheet3!$B$53:$I$53</c:f>
              <c:numCache>
                <c:formatCode>0.0</c:formatCode>
                <c:ptCount val="8"/>
                <c:pt idx="0">
                  <c:v>-2.1</c:v>
                </c:pt>
                <c:pt idx="1">
                  <c:v>-1.4</c:v>
                </c:pt>
                <c:pt idx="2">
                  <c:v>-3</c:v>
                </c:pt>
                <c:pt idx="3">
                  <c:v>-8.4</c:v>
                </c:pt>
                <c:pt idx="4">
                  <c:v>-12.3</c:v>
                </c:pt>
                <c:pt idx="5">
                  <c:v>-13.2</c:v>
                </c:pt>
                <c:pt idx="6">
                  <c:v>-11</c:v>
                </c:pt>
                <c:pt idx="7">
                  <c:v>-7.3</c:v>
                </c:pt>
              </c:numCache>
            </c:numRef>
          </c:val>
          <c:smooth val="0"/>
          <c:extLst>
            <c:ext xmlns:c16="http://schemas.microsoft.com/office/drawing/2014/chart" uri="{C3380CC4-5D6E-409C-BE32-E72D297353CC}">
              <c16:uniqueId val="{00000003-766C-44C1-A651-F13733033758}"/>
            </c:ext>
          </c:extLst>
        </c:ser>
        <c:ser>
          <c:idx val="8"/>
          <c:order val="4"/>
          <c:tx>
            <c:strRef>
              <c:f>Sheet3!$A$54</c:f>
              <c:strCache>
                <c:ptCount val="1"/>
                <c:pt idx="0">
                  <c:v>Apdrošināšana</c:v>
                </c:pt>
              </c:strCache>
            </c:strRef>
          </c:tx>
          <c:spPr>
            <a:ln w="28575" cap="rnd">
              <a:solidFill>
                <a:schemeClr val="accent3">
                  <a:lumMod val="60000"/>
                </a:schemeClr>
              </a:solidFill>
              <a:round/>
            </a:ln>
            <a:effectLst/>
          </c:spPr>
          <c:marker>
            <c:symbol val="none"/>
          </c:marker>
          <c:cat>
            <c:strRef>
              <c:f>Sheet3!$B$45:$I$45</c:f>
              <c:strCache>
                <c:ptCount val="8"/>
                <c:pt idx="0">
                  <c:v>2020M01</c:v>
                </c:pt>
                <c:pt idx="1">
                  <c:v>2020M02</c:v>
                </c:pt>
                <c:pt idx="2">
                  <c:v>2020M03</c:v>
                </c:pt>
                <c:pt idx="3">
                  <c:v>2020M04</c:v>
                </c:pt>
                <c:pt idx="4">
                  <c:v>2020M05</c:v>
                </c:pt>
                <c:pt idx="5">
                  <c:v>2020M06</c:v>
                </c:pt>
                <c:pt idx="6">
                  <c:v>2020M07</c:v>
                </c:pt>
                <c:pt idx="7">
                  <c:v>2020M08</c:v>
                </c:pt>
              </c:strCache>
            </c:strRef>
          </c:cat>
          <c:val>
            <c:numRef>
              <c:f>Sheet3!$B$54:$I$54</c:f>
              <c:numCache>
                <c:formatCode>0.0</c:formatCode>
                <c:ptCount val="8"/>
                <c:pt idx="0">
                  <c:v>-8.6999999999999993</c:v>
                </c:pt>
                <c:pt idx="1">
                  <c:v>-7.7</c:v>
                </c:pt>
                <c:pt idx="2">
                  <c:v>-9.5</c:v>
                </c:pt>
                <c:pt idx="3">
                  <c:v>-9.3000000000000007</c:v>
                </c:pt>
                <c:pt idx="4">
                  <c:v>-12.5</c:v>
                </c:pt>
                <c:pt idx="5">
                  <c:v>-14.8</c:v>
                </c:pt>
                <c:pt idx="6">
                  <c:v>-15.1</c:v>
                </c:pt>
                <c:pt idx="7">
                  <c:v>-14.3</c:v>
                </c:pt>
              </c:numCache>
            </c:numRef>
          </c:val>
          <c:smooth val="0"/>
          <c:extLst>
            <c:ext xmlns:c16="http://schemas.microsoft.com/office/drawing/2014/chart" uri="{C3380CC4-5D6E-409C-BE32-E72D297353CC}">
              <c16:uniqueId val="{00000004-766C-44C1-A651-F13733033758}"/>
            </c:ext>
          </c:extLst>
        </c:ser>
        <c:ser>
          <c:idx val="10"/>
          <c:order val="5"/>
          <c:tx>
            <c:strRef>
              <c:f>Sheet3!$A$56</c:f>
              <c:strCache>
                <c:ptCount val="1"/>
                <c:pt idx="0">
                  <c:v>Personisko transportlīdzekļu ekspluatācija</c:v>
                </c:pt>
              </c:strCache>
            </c:strRef>
          </c:tx>
          <c:spPr>
            <a:ln w="28575" cap="rnd">
              <a:solidFill>
                <a:schemeClr val="accent5">
                  <a:lumMod val="60000"/>
                </a:schemeClr>
              </a:solidFill>
              <a:round/>
            </a:ln>
            <a:effectLst/>
          </c:spPr>
          <c:marker>
            <c:symbol val="none"/>
          </c:marker>
          <c:cat>
            <c:strRef>
              <c:f>Sheet3!$B$45:$I$45</c:f>
              <c:strCache>
                <c:ptCount val="8"/>
                <c:pt idx="0">
                  <c:v>2020M01</c:v>
                </c:pt>
                <c:pt idx="1">
                  <c:v>2020M02</c:v>
                </c:pt>
                <c:pt idx="2">
                  <c:v>2020M03</c:v>
                </c:pt>
                <c:pt idx="3">
                  <c:v>2020M04</c:v>
                </c:pt>
                <c:pt idx="4">
                  <c:v>2020M05</c:v>
                </c:pt>
                <c:pt idx="5">
                  <c:v>2020M06</c:v>
                </c:pt>
                <c:pt idx="6">
                  <c:v>2020M07</c:v>
                </c:pt>
                <c:pt idx="7">
                  <c:v>2020M08</c:v>
                </c:pt>
              </c:strCache>
            </c:strRef>
          </c:cat>
          <c:val>
            <c:numRef>
              <c:f>Sheet3!$B$56:$I$56</c:f>
              <c:numCache>
                <c:formatCode>0.0</c:formatCode>
                <c:ptCount val="8"/>
                <c:pt idx="0">
                  <c:v>6.1</c:v>
                </c:pt>
                <c:pt idx="1">
                  <c:v>3.7</c:v>
                </c:pt>
                <c:pt idx="2">
                  <c:v>-2.4</c:v>
                </c:pt>
                <c:pt idx="3">
                  <c:v>-12.3</c:v>
                </c:pt>
                <c:pt idx="4">
                  <c:v>-15.2</c:v>
                </c:pt>
                <c:pt idx="5">
                  <c:v>-9.8000000000000007</c:v>
                </c:pt>
                <c:pt idx="6">
                  <c:v>-6.6</c:v>
                </c:pt>
                <c:pt idx="7">
                  <c:v>-6.8</c:v>
                </c:pt>
              </c:numCache>
            </c:numRef>
          </c:val>
          <c:smooth val="0"/>
          <c:extLst>
            <c:ext xmlns:c16="http://schemas.microsoft.com/office/drawing/2014/chart" uri="{C3380CC4-5D6E-409C-BE32-E72D297353CC}">
              <c16:uniqueId val="{00000005-766C-44C1-A651-F13733033758}"/>
            </c:ext>
          </c:extLst>
        </c:ser>
        <c:ser>
          <c:idx val="6"/>
          <c:order val="6"/>
          <c:tx>
            <c:strRef>
              <c:f>Sheet3!$A$57</c:f>
              <c:strCache>
                <c:ptCount val="1"/>
                <c:pt idx="0">
                  <c:v>Elektroenerģija, gāze un cits kurināmais</c:v>
                </c:pt>
              </c:strCache>
            </c:strRef>
          </c:tx>
          <c:spPr>
            <a:ln w="28575" cap="rnd">
              <a:solidFill>
                <a:schemeClr val="accent1">
                  <a:lumMod val="60000"/>
                </a:schemeClr>
              </a:solidFill>
              <a:round/>
            </a:ln>
            <a:effectLst/>
          </c:spPr>
          <c:marker>
            <c:symbol val="none"/>
          </c:marker>
          <c:val>
            <c:numRef>
              <c:f>Sheet3!$B$57:$I$57</c:f>
              <c:numCache>
                <c:formatCode>0.0</c:formatCode>
                <c:ptCount val="8"/>
                <c:pt idx="0">
                  <c:v>-2.5</c:v>
                </c:pt>
                <c:pt idx="1">
                  <c:v>-2.5</c:v>
                </c:pt>
                <c:pt idx="2">
                  <c:v>-2.6</c:v>
                </c:pt>
                <c:pt idx="3">
                  <c:v>-4</c:v>
                </c:pt>
                <c:pt idx="4">
                  <c:v>-3.5</c:v>
                </c:pt>
                <c:pt idx="5">
                  <c:v>-4.3</c:v>
                </c:pt>
                <c:pt idx="6">
                  <c:v>-3.8</c:v>
                </c:pt>
                <c:pt idx="7">
                  <c:v>-7.7</c:v>
                </c:pt>
              </c:numCache>
            </c:numRef>
          </c:val>
          <c:smooth val="0"/>
          <c:extLst>
            <c:ext xmlns:c16="http://schemas.microsoft.com/office/drawing/2014/chart" uri="{C3380CC4-5D6E-409C-BE32-E72D297353CC}">
              <c16:uniqueId val="{00000006-766C-44C1-A651-F13733033758}"/>
            </c:ext>
          </c:extLst>
        </c:ser>
        <c:dLbls>
          <c:showLegendKey val="0"/>
          <c:showVal val="0"/>
          <c:showCatName val="0"/>
          <c:showSerName val="0"/>
          <c:showPercent val="0"/>
          <c:showBubbleSize val="0"/>
        </c:dLbls>
        <c:marker val="1"/>
        <c:smooth val="0"/>
        <c:axId val="1882005008"/>
        <c:axId val="1881998352"/>
      </c:lineChart>
      <c:catAx>
        <c:axId val="1882005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881998352"/>
        <c:crosses val="autoZero"/>
        <c:auto val="1"/>
        <c:lblAlgn val="ctr"/>
        <c:lblOffset val="100"/>
        <c:noMultiLvlLbl val="0"/>
      </c:catAx>
      <c:valAx>
        <c:axId val="18819983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882005008"/>
        <c:crosses val="autoZero"/>
        <c:crossBetween val="between"/>
      </c:valAx>
      <c:spPr>
        <a:noFill/>
        <a:ln>
          <a:noFill/>
        </a:ln>
        <a:effectLst/>
      </c:spPr>
    </c:plotArea>
    <c:legend>
      <c:legendPos val="b"/>
      <c:layout>
        <c:manualLayout>
          <c:xMode val="edge"/>
          <c:yMode val="edge"/>
          <c:x val="4.8684609042142571E-2"/>
          <c:y val="0.80942570057530683"/>
          <c:w val="0.92098692919955705"/>
          <c:h val="0.1663318751822688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nod_progn!$B$9</c:f>
              <c:strCache>
                <c:ptCount val="1"/>
                <c:pt idx="0">
                  <c:v>Budžeta plāns</c:v>
                </c:pt>
              </c:strCache>
            </c:strRef>
          </c:tx>
          <c:spPr>
            <a:solidFill>
              <a:schemeClr val="accent1"/>
            </a:solidFill>
            <a:ln>
              <a:noFill/>
            </a:ln>
            <a:effectLst/>
          </c:spPr>
          <c:invertIfNegative val="0"/>
          <c:cat>
            <c:numRef>
              <c:f>nod_progn!$C$8:$G$8</c:f>
              <c:numCache>
                <c:formatCode>General</c:formatCode>
                <c:ptCount val="5"/>
                <c:pt idx="0">
                  <c:v>2015</c:v>
                </c:pt>
                <c:pt idx="1">
                  <c:v>2016</c:v>
                </c:pt>
                <c:pt idx="2">
                  <c:v>2017</c:v>
                </c:pt>
                <c:pt idx="3">
                  <c:v>2018</c:v>
                </c:pt>
                <c:pt idx="4">
                  <c:v>2019</c:v>
                </c:pt>
              </c:numCache>
            </c:numRef>
          </c:cat>
          <c:val>
            <c:numRef>
              <c:f>nod_progn!$C$9:$G$9</c:f>
              <c:numCache>
                <c:formatCode>General</c:formatCode>
                <c:ptCount val="5"/>
                <c:pt idx="0">
                  <c:v>6984.6439780000001</c:v>
                </c:pt>
                <c:pt idx="1">
                  <c:v>7363.0584800000006</c:v>
                </c:pt>
                <c:pt idx="2">
                  <c:v>7888.5780549999999</c:v>
                </c:pt>
                <c:pt idx="3">
                  <c:v>8581.0371099999993</c:v>
                </c:pt>
                <c:pt idx="4">
                  <c:v>9043.6692629999998</c:v>
                </c:pt>
              </c:numCache>
            </c:numRef>
          </c:val>
          <c:extLst>
            <c:ext xmlns:c16="http://schemas.microsoft.com/office/drawing/2014/chart" uri="{C3380CC4-5D6E-409C-BE32-E72D297353CC}">
              <c16:uniqueId val="{00000000-CA2A-4949-8499-32A6F1F7EEC4}"/>
            </c:ext>
          </c:extLst>
        </c:ser>
        <c:ser>
          <c:idx val="1"/>
          <c:order val="1"/>
          <c:tx>
            <c:strRef>
              <c:f>nod_progn!$B$10</c:f>
              <c:strCache>
                <c:ptCount val="1"/>
                <c:pt idx="0">
                  <c:v>Budžeta ieņēmumi</c:v>
                </c:pt>
              </c:strCache>
            </c:strRef>
          </c:tx>
          <c:spPr>
            <a:solidFill>
              <a:schemeClr val="accent2"/>
            </a:solidFill>
            <a:ln>
              <a:noFill/>
            </a:ln>
            <a:effectLst/>
          </c:spPr>
          <c:invertIfNegative val="0"/>
          <c:cat>
            <c:numRef>
              <c:f>nod_progn!$C$8:$G$8</c:f>
              <c:numCache>
                <c:formatCode>General</c:formatCode>
                <c:ptCount val="5"/>
                <c:pt idx="0">
                  <c:v>2015</c:v>
                </c:pt>
                <c:pt idx="1">
                  <c:v>2016</c:v>
                </c:pt>
                <c:pt idx="2">
                  <c:v>2017</c:v>
                </c:pt>
                <c:pt idx="3">
                  <c:v>2018</c:v>
                </c:pt>
                <c:pt idx="4">
                  <c:v>2019</c:v>
                </c:pt>
              </c:numCache>
            </c:numRef>
          </c:cat>
          <c:val>
            <c:numRef>
              <c:f>nod_progn!$C$10:$G$10</c:f>
              <c:numCache>
                <c:formatCode>General</c:formatCode>
                <c:ptCount val="5"/>
                <c:pt idx="0">
                  <c:v>7002.6140873200002</c:v>
                </c:pt>
                <c:pt idx="1">
                  <c:v>7419.5774879999999</c:v>
                </c:pt>
                <c:pt idx="2">
                  <c:v>8015.2805869999993</c:v>
                </c:pt>
                <c:pt idx="3">
                  <c:v>8657.7384529999999</c:v>
                </c:pt>
                <c:pt idx="4">
                  <c:v>9057.3352315600023</c:v>
                </c:pt>
              </c:numCache>
            </c:numRef>
          </c:val>
          <c:extLst>
            <c:ext xmlns:c16="http://schemas.microsoft.com/office/drawing/2014/chart" uri="{C3380CC4-5D6E-409C-BE32-E72D297353CC}">
              <c16:uniqueId val="{00000001-CA2A-4949-8499-32A6F1F7EEC4}"/>
            </c:ext>
          </c:extLst>
        </c:ser>
        <c:dLbls>
          <c:showLegendKey val="0"/>
          <c:showVal val="0"/>
          <c:showCatName val="0"/>
          <c:showSerName val="0"/>
          <c:showPercent val="0"/>
          <c:showBubbleSize val="0"/>
        </c:dLbls>
        <c:gapWidth val="219"/>
        <c:overlap val="-27"/>
        <c:axId val="2137538736"/>
        <c:axId val="2137533744"/>
      </c:barChart>
      <c:lineChart>
        <c:grouping val="standard"/>
        <c:varyColors val="0"/>
        <c:ser>
          <c:idx val="2"/>
          <c:order val="2"/>
          <c:tx>
            <c:strRef>
              <c:f>nod_progn!$B$11</c:f>
              <c:strCache>
                <c:ptCount val="1"/>
                <c:pt idx="0">
                  <c:v>Pārpilde</c:v>
                </c:pt>
              </c:strCache>
            </c:strRef>
          </c:tx>
          <c:spPr>
            <a:ln w="28575" cap="rnd">
              <a:solidFill>
                <a:schemeClr val="accent3"/>
              </a:solidFill>
              <a:round/>
            </a:ln>
            <a:effectLst/>
          </c:spPr>
          <c:marker>
            <c:symbol val="none"/>
          </c:marker>
          <c:cat>
            <c:numRef>
              <c:f>nod_progn!$C$8:$G$8</c:f>
              <c:numCache>
                <c:formatCode>General</c:formatCode>
                <c:ptCount val="5"/>
                <c:pt idx="0">
                  <c:v>2015</c:v>
                </c:pt>
                <c:pt idx="1">
                  <c:v>2016</c:v>
                </c:pt>
                <c:pt idx="2">
                  <c:v>2017</c:v>
                </c:pt>
                <c:pt idx="3">
                  <c:v>2018</c:v>
                </c:pt>
                <c:pt idx="4">
                  <c:v>2019</c:v>
                </c:pt>
              </c:numCache>
            </c:numRef>
          </c:cat>
          <c:val>
            <c:numRef>
              <c:f>nod_progn!$C$11:$G$11</c:f>
              <c:numCache>
                <c:formatCode>0.0%</c:formatCode>
                <c:ptCount val="5"/>
                <c:pt idx="0">
                  <c:v>2.5728024759175128E-3</c:v>
                </c:pt>
                <c:pt idx="1">
                  <c:v>7.6760232386472449E-3</c:v>
                </c:pt>
                <c:pt idx="2">
                  <c:v>1.6061517185558039E-2</c:v>
                </c:pt>
                <c:pt idx="3">
                  <c:v>8.938470026031764E-3</c:v>
                </c:pt>
                <c:pt idx="4">
                  <c:v>1.51110883896588E-3</c:v>
                </c:pt>
              </c:numCache>
            </c:numRef>
          </c:val>
          <c:smooth val="0"/>
          <c:extLst>
            <c:ext xmlns:c16="http://schemas.microsoft.com/office/drawing/2014/chart" uri="{C3380CC4-5D6E-409C-BE32-E72D297353CC}">
              <c16:uniqueId val="{00000002-CA2A-4949-8499-32A6F1F7EEC4}"/>
            </c:ext>
          </c:extLst>
        </c:ser>
        <c:dLbls>
          <c:showLegendKey val="0"/>
          <c:showVal val="0"/>
          <c:showCatName val="0"/>
          <c:showSerName val="0"/>
          <c:showPercent val="0"/>
          <c:showBubbleSize val="0"/>
        </c:dLbls>
        <c:marker val="1"/>
        <c:smooth val="0"/>
        <c:axId val="220298480"/>
        <c:axId val="220295152"/>
      </c:lineChart>
      <c:catAx>
        <c:axId val="2137538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137533744"/>
        <c:crosses val="autoZero"/>
        <c:auto val="1"/>
        <c:lblAlgn val="ctr"/>
        <c:lblOffset val="100"/>
        <c:noMultiLvlLbl val="0"/>
      </c:catAx>
      <c:valAx>
        <c:axId val="2137533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137538736"/>
        <c:crosses val="autoZero"/>
        <c:crossBetween val="between"/>
      </c:valAx>
      <c:valAx>
        <c:axId val="220295152"/>
        <c:scaling>
          <c:orientation val="minMax"/>
        </c:scaling>
        <c:delete val="0"/>
        <c:axPos val="r"/>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20298480"/>
        <c:crosses val="max"/>
        <c:crossBetween val="between"/>
      </c:valAx>
      <c:catAx>
        <c:axId val="220298480"/>
        <c:scaling>
          <c:orientation val="minMax"/>
        </c:scaling>
        <c:delete val="1"/>
        <c:axPos val="b"/>
        <c:numFmt formatCode="General" sourceLinked="1"/>
        <c:majorTickMark val="none"/>
        <c:minorTickMark val="none"/>
        <c:tickLblPos val="nextTo"/>
        <c:crossAx val="22029515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912601492363372E-2"/>
          <c:y val="5.0925925925925923E-2"/>
          <c:w val="0.88976963053773994"/>
          <c:h val="0.62928769320501599"/>
        </c:manualLayout>
      </c:layout>
      <c:barChart>
        <c:barDir val="col"/>
        <c:grouping val="clustered"/>
        <c:varyColors val="0"/>
        <c:ser>
          <c:idx val="0"/>
          <c:order val="0"/>
          <c:tx>
            <c:strRef>
              <c:f>Dati!$N$3</c:f>
              <c:strCache>
                <c:ptCount val="1"/>
                <c:pt idx="0">
                  <c:v>ES (28 valstis)</c:v>
                </c:pt>
              </c:strCache>
            </c:strRef>
          </c:tx>
          <c:spPr>
            <a:solidFill>
              <a:schemeClr val="accent2"/>
            </a:solidFill>
            <a:ln>
              <a:noFill/>
            </a:ln>
            <a:effectLst/>
          </c:spPr>
          <c:invertIfNegative val="0"/>
          <c:cat>
            <c:numRef>
              <c:f>Dati!$O$2:$S$2</c:f>
              <c:numCache>
                <c:formatCode>General</c:formatCode>
                <c:ptCount val="5"/>
                <c:pt idx="0">
                  <c:v>2015</c:v>
                </c:pt>
                <c:pt idx="1">
                  <c:v>2016</c:v>
                </c:pt>
                <c:pt idx="2">
                  <c:v>2017</c:v>
                </c:pt>
                <c:pt idx="3">
                  <c:v>2018</c:v>
                </c:pt>
                <c:pt idx="4">
                  <c:v>2019</c:v>
                </c:pt>
              </c:numCache>
            </c:numRef>
          </c:cat>
          <c:val>
            <c:numRef>
              <c:f>Dati!$O$3:$S$3</c:f>
              <c:numCache>
                <c:formatCode>General</c:formatCode>
                <c:ptCount val="5"/>
                <c:pt idx="0">
                  <c:v>-2.4</c:v>
                </c:pt>
                <c:pt idx="1">
                  <c:v>-1.7</c:v>
                </c:pt>
                <c:pt idx="2">
                  <c:v>-1.1000000000000001</c:v>
                </c:pt>
                <c:pt idx="3">
                  <c:v>-0.7</c:v>
                </c:pt>
                <c:pt idx="4">
                  <c:v>-0.8</c:v>
                </c:pt>
              </c:numCache>
            </c:numRef>
          </c:val>
          <c:extLst>
            <c:ext xmlns:c16="http://schemas.microsoft.com/office/drawing/2014/chart" uri="{C3380CC4-5D6E-409C-BE32-E72D297353CC}">
              <c16:uniqueId val="{00000000-CFE5-438E-B847-FE2F6249E1FD}"/>
            </c:ext>
          </c:extLst>
        </c:ser>
        <c:ser>
          <c:idx val="1"/>
          <c:order val="1"/>
          <c:tx>
            <c:strRef>
              <c:f>Dati!$N$4</c:f>
              <c:strCache>
                <c:ptCount val="1"/>
                <c:pt idx="0">
                  <c:v>Eurozona (19 valstis)</c:v>
                </c:pt>
              </c:strCache>
            </c:strRef>
          </c:tx>
          <c:spPr>
            <a:solidFill>
              <a:schemeClr val="bg1">
                <a:lumMod val="65000"/>
              </a:schemeClr>
            </a:solidFill>
            <a:ln>
              <a:noFill/>
            </a:ln>
            <a:effectLst/>
          </c:spPr>
          <c:invertIfNegative val="0"/>
          <c:cat>
            <c:numRef>
              <c:f>Dati!$O$2:$S$2</c:f>
              <c:numCache>
                <c:formatCode>General</c:formatCode>
                <c:ptCount val="5"/>
                <c:pt idx="0">
                  <c:v>2015</c:v>
                </c:pt>
                <c:pt idx="1">
                  <c:v>2016</c:v>
                </c:pt>
                <c:pt idx="2">
                  <c:v>2017</c:v>
                </c:pt>
                <c:pt idx="3">
                  <c:v>2018</c:v>
                </c:pt>
                <c:pt idx="4">
                  <c:v>2019</c:v>
                </c:pt>
              </c:numCache>
            </c:numRef>
          </c:cat>
          <c:val>
            <c:numRef>
              <c:f>Dati!$O$4:$S$4</c:f>
              <c:numCache>
                <c:formatCode>General</c:formatCode>
                <c:ptCount val="5"/>
                <c:pt idx="0">
                  <c:v>-2</c:v>
                </c:pt>
                <c:pt idx="1">
                  <c:v>-1.5</c:v>
                </c:pt>
                <c:pt idx="2">
                  <c:v>-1</c:v>
                </c:pt>
                <c:pt idx="3">
                  <c:v>-0.5</c:v>
                </c:pt>
                <c:pt idx="4">
                  <c:v>-0.6</c:v>
                </c:pt>
              </c:numCache>
            </c:numRef>
          </c:val>
          <c:extLst>
            <c:ext xmlns:c16="http://schemas.microsoft.com/office/drawing/2014/chart" uri="{C3380CC4-5D6E-409C-BE32-E72D297353CC}">
              <c16:uniqueId val="{00000001-CFE5-438E-B847-FE2F6249E1FD}"/>
            </c:ext>
          </c:extLst>
        </c:ser>
        <c:ser>
          <c:idx val="2"/>
          <c:order val="2"/>
          <c:tx>
            <c:strRef>
              <c:f>Dati!$N$5</c:f>
              <c:strCache>
                <c:ptCount val="1"/>
                <c:pt idx="0">
                  <c:v>Igaunija</c:v>
                </c:pt>
              </c:strCache>
            </c:strRef>
          </c:tx>
          <c:spPr>
            <a:solidFill>
              <a:srgbClr val="E2D30C"/>
            </a:solidFill>
            <a:ln>
              <a:noFill/>
            </a:ln>
            <a:effectLst/>
          </c:spPr>
          <c:invertIfNegative val="0"/>
          <c:cat>
            <c:numRef>
              <c:f>Dati!$O$2:$S$2</c:f>
              <c:numCache>
                <c:formatCode>General</c:formatCode>
                <c:ptCount val="5"/>
                <c:pt idx="0">
                  <c:v>2015</c:v>
                </c:pt>
                <c:pt idx="1">
                  <c:v>2016</c:v>
                </c:pt>
                <c:pt idx="2">
                  <c:v>2017</c:v>
                </c:pt>
                <c:pt idx="3">
                  <c:v>2018</c:v>
                </c:pt>
                <c:pt idx="4">
                  <c:v>2019</c:v>
                </c:pt>
              </c:numCache>
            </c:numRef>
          </c:cat>
          <c:val>
            <c:numRef>
              <c:f>Dati!$O$5:$S$5</c:f>
              <c:numCache>
                <c:formatCode>General</c:formatCode>
                <c:ptCount val="5"/>
                <c:pt idx="0">
                  <c:v>0.1</c:v>
                </c:pt>
                <c:pt idx="1">
                  <c:v>-0.5</c:v>
                </c:pt>
                <c:pt idx="2">
                  <c:v>-0.8</c:v>
                </c:pt>
                <c:pt idx="3">
                  <c:v>-0.6</c:v>
                </c:pt>
                <c:pt idx="4">
                  <c:v>-0.3</c:v>
                </c:pt>
              </c:numCache>
            </c:numRef>
          </c:val>
          <c:extLst>
            <c:ext xmlns:c16="http://schemas.microsoft.com/office/drawing/2014/chart" uri="{C3380CC4-5D6E-409C-BE32-E72D297353CC}">
              <c16:uniqueId val="{00000002-CFE5-438E-B847-FE2F6249E1FD}"/>
            </c:ext>
          </c:extLst>
        </c:ser>
        <c:ser>
          <c:idx val="3"/>
          <c:order val="3"/>
          <c:tx>
            <c:strRef>
              <c:f>Dati!$N$6</c:f>
              <c:strCache>
                <c:ptCount val="1"/>
                <c:pt idx="0">
                  <c:v>Latvija</c:v>
                </c:pt>
              </c:strCache>
            </c:strRef>
          </c:tx>
          <c:spPr>
            <a:solidFill>
              <a:srgbClr val="0070C0"/>
            </a:solidFill>
            <a:ln>
              <a:noFill/>
            </a:ln>
            <a:effectLst/>
          </c:spPr>
          <c:invertIfNegative val="0"/>
          <c:cat>
            <c:numRef>
              <c:f>Dati!$O$2:$S$2</c:f>
              <c:numCache>
                <c:formatCode>General</c:formatCode>
                <c:ptCount val="5"/>
                <c:pt idx="0">
                  <c:v>2015</c:v>
                </c:pt>
                <c:pt idx="1">
                  <c:v>2016</c:v>
                </c:pt>
                <c:pt idx="2">
                  <c:v>2017</c:v>
                </c:pt>
                <c:pt idx="3">
                  <c:v>2018</c:v>
                </c:pt>
                <c:pt idx="4">
                  <c:v>2019</c:v>
                </c:pt>
              </c:numCache>
            </c:numRef>
          </c:cat>
          <c:val>
            <c:numRef>
              <c:f>Dati!$O$6:$S$6</c:f>
              <c:numCache>
                <c:formatCode>General</c:formatCode>
                <c:ptCount val="5"/>
                <c:pt idx="0">
                  <c:v>-1.4</c:v>
                </c:pt>
                <c:pt idx="1">
                  <c:v>0.2</c:v>
                </c:pt>
                <c:pt idx="2">
                  <c:v>-0.8</c:v>
                </c:pt>
                <c:pt idx="3">
                  <c:v>-0.8</c:v>
                </c:pt>
                <c:pt idx="4">
                  <c:v>-0.2</c:v>
                </c:pt>
              </c:numCache>
            </c:numRef>
          </c:val>
          <c:extLst>
            <c:ext xmlns:c16="http://schemas.microsoft.com/office/drawing/2014/chart" uri="{C3380CC4-5D6E-409C-BE32-E72D297353CC}">
              <c16:uniqueId val="{00000003-CFE5-438E-B847-FE2F6249E1FD}"/>
            </c:ext>
          </c:extLst>
        </c:ser>
        <c:ser>
          <c:idx val="4"/>
          <c:order val="4"/>
          <c:tx>
            <c:strRef>
              <c:f>Dati!$N$7</c:f>
              <c:strCache>
                <c:ptCount val="1"/>
                <c:pt idx="0">
                  <c:v>Lietuva</c:v>
                </c:pt>
              </c:strCache>
            </c:strRef>
          </c:tx>
          <c:spPr>
            <a:solidFill>
              <a:srgbClr val="00B050"/>
            </a:solidFill>
            <a:ln>
              <a:noFill/>
            </a:ln>
            <a:effectLst/>
          </c:spPr>
          <c:invertIfNegative val="0"/>
          <c:cat>
            <c:numRef>
              <c:f>Dati!$O$2:$S$2</c:f>
              <c:numCache>
                <c:formatCode>General</c:formatCode>
                <c:ptCount val="5"/>
                <c:pt idx="0">
                  <c:v>2015</c:v>
                </c:pt>
                <c:pt idx="1">
                  <c:v>2016</c:v>
                </c:pt>
                <c:pt idx="2">
                  <c:v>2017</c:v>
                </c:pt>
                <c:pt idx="3">
                  <c:v>2018</c:v>
                </c:pt>
                <c:pt idx="4">
                  <c:v>2019</c:v>
                </c:pt>
              </c:numCache>
            </c:numRef>
          </c:cat>
          <c:val>
            <c:numRef>
              <c:f>Dati!$O$7:$S$7</c:f>
              <c:numCache>
                <c:formatCode>General</c:formatCode>
                <c:ptCount val="5"/>
                <c:pt idx="0">
                  <c:v>-0.3</c:v>
                </c:pt>
                <c:pt idx="1">
                  <c:v>0.2</c:v>
                </c:pt>
                <c:pt idx="2">
                  <c:v>0.5</c:v>
                </c:pt>
                <c:pt idx="3">
                  <c:v>0.6</c:v>
                </c:pt>
                <c:pt idx="4">
                  <c:v>0.3</c:v>
                </c:pt>
              </c:numCache>
            </c:numRef>
          </c:val>
          <c:extLst>
            <c:ext xmlns:c16="http://schemas.microsoft.com/office/drawing/2014/chart" uri="{C3380CC4-5D6E-409C-BE32-E72D297353CC}">
              <c16:uniqueId val="{00000004-CFE5-438E-B847-FE2F6249E1FD}"/>
            </c:ext>
          </c:extLst>
        </c:ser>
        <c:dLbls>
          <c:showLegendKey val="0"/>
          <c:showVal val="0"/>
          <c:showCatName val="0"/>
          <c:showSerName val="0"/>
          <c:showPercent val="0"/>
          <c:showBubbleSize val="0"/>
        </c:dLbls>
        <c:gapWidth val="219"/>
        <c:overlap val="-27"/>
        <c:axId val="1416439760"/>
        <c:axId val="1416440176"/>
      </c:barChart>
      <c:catAx>
        <c:axId val="141643976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16440176"/>
        <c:crosses val="autoZero"/>
        <c:auto val="1"/>
        <c:lblAlgn val="ctr"/>
        <c:lblOffset val="100"/>
        <c:noMultiLvlLbl val="0"/>
      </c:catAx>
      <c:valAx>
        <c:axId val="1416440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16439760"/>
        <c:crosses val="autoZero"/>
        <c:crossBetween val="between"/>
      </c:valAx>
      <c:spPr>
        <a:noFill/>
        <a:ln>
          <a:noFill/>
        </a:ln>
        <a:effectLst/>
      </c:spPr>
    </c:plotArea>
    <c:legend>
      <c:legendPos val="b"/>
      <c:layout>
        <c:manualLayout>
          <c:xMode val="edge"/>
          <c:yMode val="edge"/>
          <c:x val="2.7016292951917167E-3"/>
          <c:y val="0.80135698229666497"/>
          <c:w val="0.99729837070480831"/>
          <c:h val="0.1986430177033350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278958880139984"/>
          <c:y val="0.12404227911381066"/>
          <c:w val="0.75665485564304458"/>
          <c:h val="0.55406556845616395"/>
        </c:manualLayout>
      </c:layout>
      <c:barChart>
        <c:barDir val="col"/>
        <c:grouping val="clustered"/>
        <c:varyColors val="0"/>
        <c:ser>
          <c:idx val="0"/>
          <c:order val="0"/>
          <c:tx>
            <c:strRef>
              <c:f>'[7_monit_parada_dinamika.xlsx]parada_dinamika'!$B$4</c:f>
              <c:strCache>
                <c:ptCount val="1"/>
                <c:pt idx="0">
                  <c:v>Valsts parāds kopā nominālvērtībā (pārskata perioda beigās)</c:v>
                </c:pt>
              </c:strCache>
            </c:strRef>
          </c:tx>
          <c:spPr>
            <a:solidFill>
              <a:schemeClr val="accent1"/>
            </a:solidFill>
            <a:ln>
              <a:noFill/>
            </a:ln>
            <a:effectLst/>
          </c:spPr>
          <c:invertIfNegative val="0"/>
          <c:dPt>
            <c:idx val="3"/>
            <c:invertIfNegative val="0"/>
            <c:bubble3D val="0"/>
            <c:spPr>
              <a:solidFill>
                <a:srgbClr val="FF0000"/>
              </a:solidFill>
              <a:ln>
                <a:noFill/>
              </a:ln>
              <a:effectLst/>
            </c:spPr>
            <c:extLst>
              <c:ext xmlns:c16="http://schemas.microsoft.com/office/drawing/2014/chart" uri="{C3380CC4-5D6E-409C-BE32-E72D297353CC}">
                <c16:uniqueId val="{00000001-4FDB-4293-BD03-D82A6EAF5AC1}"/>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FDB-4293-BD03-D82A6EAF5AC1}"/>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FDB-4293-BD03-D82A6EAF5AC1}"/>
                </c:ext>
              </c:extLst>
            </c:dLbl>
            <c:dLbl>
              <c:idx val="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FDB-4293-BD03-D82A6EAF5AC1}"/>
                </c:ext>
              </c:extLst>
            </c:dLbl>
            <c:spPr>
              <a:solidFill>
                <a:schemeClr val="accent1">
                  <a:lumMod val="20000"/>
                  <a:lumOff val="80000"/>
                </a:schemeClr>
              </a:solid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1"/>
            <c:dispEq val="1"/>
            <c:trendlineLbl>
              <c:layout>
                <c:manualLayout>
                  <c:x val="0.10126859142607174"/>
                  <c:y val="0.68013888888888885"/>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trendlineLbl>
          </c:trendline>
          <c:cat>
            <c:strRef>
              <c:f>'[7_monit_parada_dinamika.xlsx]parada_dinamika'!$C$3:$J$3</c:f>
              <c:strCache>
                <c:ptCount val="8"/>
                <c:pt idx="0">
                  <c:v>2020/1</c:v>
                </c:pt>
                <c:pt idx="1">
                  <c:v>2020/2</c:v>
                </c:pt>
                <c:pt idx="2">
                  <c:v>2020/3</c:v>
                </c:pt>
                <c:pt idx="3">
                  <c:v>2020/4</c:v>
                </c:pt>
                <c:pt idx="4">
                  <c:v>2020/5</c:v>
                </c:pt>
                <c:pt idx="5">
                  <c:v>2020/6</c:v>
                </c:pt>
                <c:pt idx="6">
                  <c:v>2020/7</c:v>
                </c:pt>
                <c:pt idx="7">
                  <c:v>2020/8</c:v>
                </c:pt>
              </c:strCache>
            </c:strRef>
          </c:cat>
          <c:val>
            <c:numRef>
              <c:f>'[7_monit_parada_dinamika.xlsx]parada_dinamika'!$C$4:$J$4</c:f>
              <c:numCache>
                <c:formatCode>#,##0</c:formatCode>
                <c:ptCount val="8"/>
                <c:pt idx="0">
                  <c:v>10249972.681887779</c:v>
                </c:pt>
                <c:pt idx="1">
                  <c:v>10281490.169848347</c:v>
                </c:pt>
                <c:pt idx="2">
                  <c:v>10361932.380887635</c:v>
                </c:pt>
                <c:pt idx="3">
                  <c:v>12311019.478791418</c:v>
                </c:pt>
                <c:pt idx="4">
                  <c:v>12379732.855252415</c:v>
                </c:pt>
                <c:pt idx="5">
                  <c:v>12385770.873121776</c:v>
                </c:pt>
                <c:pt idx="6">
                  <c:v>12610094.7201095</c:v>
                </c:pt>
                <c:pt idx="7">
                  <c:v>12636140.665130958</c:v>
                </c:pt>
              </c:numCache>
            </c:numRef>
          </c:val>
          <c:extLst>
            <c:ext xmlns:c16="http://schemas.microsoft.com/office/drawing/2014/chart" uri="{C3380CC4-5D6E-409C-BE32-E72D297353CC}">
              <c16:uniqueId val="{00000004-4FDB-4293-BD03-D82A6EAF5AC1}"/>
            </c:ext>
          </c:extLst>
        </c:ser>
        <c:dLbls>
          <c:showLegendKey val="0"/>
          <c:showVal val="0"/>
          <c:showCatName val="0"/>
          <c:showSerName val="0"/>
          <c:showPercent val="0"/>
          <c:showBubbleSize val="0"/>
        </c:dLbls>
        <c:gapWidth val="219"/>
        <c:axId val="531093624"/>
        <c:axId val="531097464"/>
      </c:barChart>
      <c:lineChart>
        <c:grouping val="standard"/>
        <c:varyColors val="0"/>
        <c:ser>
          <c:idx val="1"/>
          <c:order val="1"/>
          <c:tx>
            <c:strRef>
              <c:f>'[7_monit_parada_dinamika.xlsx]parada_dinamika'!$B$5</c:f>
              <c:strCache>
                <c:ptCount val="1"/>
                <c:pt idx="0">
                  <c:v>Valsts  parāda vērtspapīru nominālvērtībā kopā (pārskata perioda beigās)</c:v>
                </c:pt>
              </c:strCache>
            </c:strRef>
          </c:tx>
          <c:spPr>
            <a:ln w="28575" cap="rnd">
              <a:solidFill>
                <a:schemeClr val="accent2"/>
              </a:solidFill>
              <a:round/>
            </a:ln>
            <a:effectLst/>
          </c:spPr>
          <c:marker>
            <c:symbol val="none"/>
          </c:marker>
          <c:cat>
            <c:strRef>
              <c:f>'[7_monit_parada_dinamika.xlsx]parada_dinamika'!$C$3:$J$3</c:f>
              <c:strCache>
                <c:ptCount val="8"/>
                <c:pt idx="0">
                  <c:v>2020/1</c:v>
                </c:pt>
                <c:pt idx="1">
                  <c:v>2020/2</c:v>
                </c:pt>
                <c:pt idx="2">
                  <c:v>2020/3</c:v>
                </c:pt>
                <c:pt idx="3">
                  <c:v>2020/4</c:v>
                </c:pt>
                <c:pt idx="4">
                  <c:v>2020/5</c:v>
                </c:pt>
                <c:pt idx="5">
                  <c:v>2020/6</c:v>
                </c:pt>
                <c:pt idx="6">
                  <c:v>2020/7</c:v>
                </c:pt>
                <c:pt idx="7">
                  <c:v>2020/8</c:v>
                </c:pt>
              </c:strCache>
            </c:strRef>
          </c:cat>
          <c:val>
            <c:numRef>
              <c:f>'[7_monit_parada_dinamika.xlsx]parada_dinamika'!$C$5:$J$5</c:f>
              <c:numCache>
                <c:formatCode>#,##0</c:formatCode>
                <c:ptCount val="8"/>
                <c:pt idx="0">
                  <c:v>8896775.1420977786</c:v>
                </c:pt>
                <c:pt idx="1">
                  <c:v>8918499.6225483473</c:v>
                </c:pt>
                <c:pt idx="2">
                  <c:v>8995610.1832476351</c:v>
                </c:pt>
                <c:pt idx="3">
                  <c:v>10826553.857521418</c:v>
                </c:pt>
                <c:pt idx="4">
                  <c:v>10917527.356772415</c:v>
                </c:pt>
                <c:pt idx="5">
                  <c:v>10844852.630791776</c:v>
                </c:pt>
                <c:pt idx="6">
                  <c:v>10910945.2521195</c:v>
                </c:pt>
                <c:pt idx="7">
                  <c:v>10906009.764440957</c:v>
                </c:pt>
              </c:numCache>
            </c:numRef>
          </c:val>
          <c:smooth val="0"/>
          <c:extLst>
            <c:ext xmlns:c16="http://schemas.microsoft.com/office/drawing/2014/chart" uri="{C3380CC4-5D6E-409C-BE32-E72D297353CC}">
              <c16:uniqueId val="{00000005-4FDB-4293-BD03-D82A6EAF5AC1}"/>
            </c:ext>
          </c:extLst>
        </c:ser>
        <c:dLbls>
          <c:showLegendKey val="0"/>
          <c:showVal val="0"/>
          <c:showCatName val="0"/>
          <c:showSerName val="0"/>
          <c:showPercent val="0"/>
          <c:showBubbleSize val="0"/>
        </c:dLbls>
        <c:marker val="1"/>
        <c:smooth val="0"/>
        <c:axId val="531093624"/>
        <c:axId val="531097464"/>
      </c:lineChart>
      <c:catAx>
        <c:axId val="531093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lv-LV"/>
          </a:p>
        </c:txPr>
        <c:crossAx val="531097464"/>
        <c:crosses val="autoZero"/>
        <c:auto val="1"/>
        <c:lblAlgn val="ctr"/>
        <c:lblOffset val="100"/>
        <c:noMultiLvlLbl val="0"/>
      </c:catAx>
      <c:valAx>
        <c:axId val="531097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lv-LV" baseline="0">
                    <a:solidFill>
                      <a:sysClr val="windowText" lastClr="000000"/>
                    </a:solidFill>
                  </a:rPr>
                  <a:t>Tūkst. EUR</a:t>
                </a:r>
                <a:endParaRPr lang="ru-RU">
                  <a:solidFill>
                    <a:sysClr val="windowText" lastClr="000000"/>
                  </a:solidFill>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lv-LV"/>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531093624"/>
        <c:crosses val="autoZero"/>
        <c:crossBetween val="between"/>
      </c:valAx>
      <c:spPr>
        <a:noFill/>
        <a:ln>
          <a:noFill/>
        </a:ln>
        <a:effectLst/>
      </c:spPr>
    </c:plotArea>
    <c:legend>
      <c:legendPos val="b"/>
      <c:layout>
        <c:manualLayout>
          <c:xMode val="edge"/>
          <c:yMode val="edge"/>
          <c:x val="2.1731604444300036E-2"/>
          <c:y val="0.80713221328677698"/>
          <c:w val="0.72564930041419684"/>
          <c:h val="0.179866843853743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290358359671698E-2"/>
          <c:y val="1.7254901960784313E-2"/>
          <c:w val="0.91095517707529516"/>
          <c:h val="0.61607483889416548"/>
        </c:manualLayout>
      </c:layout>
      <c:lineChart>
        <c:grouping val="standard"/>
        <c:varyColors val="0"/>
        <c:ser>
          <c:idx val="0"/>
          <c:order val="0"/>
          <c:tx>
            <c:strRef>
              <c:f>VV_parada_prognoze!$A$4</c:f>
              <c:strCache>
                <c:ptCount val="1"/>
                <c:pt idx="0">
                  <c:v>VTBI 2014/16</c:v>
                </c:pt>
              </c:strCache>
            </c:strRef>
          </c:tx>
          <c:spPr>
            <a:ln w="28575" cap="rnd">
              <a:solidFill>
                <a:schemeClr val="bg2">
                  <a:lumMod val="75000"/>
                </a:schemeClr>
              </a:solidFill>
              <a:round/>
            </a:ln>
            <a:effectLst/>
          </c:spPr>
          <c:marker>
            <c:symbol val="none"/>
          </c:marker>
          <c:cat>
            <c:numRef>
              <c:f>VV_parada_prognoze!$B$3:$L$3</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VV_parada_prognoze!$B$4:$L$4</c:f>
              <c:numCache>
                <c:formatCode>0.0</c:formatCode>
                <c:ptCount val="11"/>
                <c:pt idx="0">
                  <c:v>44</c:v>
                </c:pt>
                <c:pt idx="1">
                  <c:v>40</c:v>
                </c:pt>
                <c:pt idx="2">
                  <c:v>33</c:v>
                </c:pt>
                <c:pt idx="3">
                  <c:v>33</c:v>
                </c:pt>
              </c:numCache>
            </c:numRef>
          </c:val>
          <c:smooth val="0"/>
          <c:extLst>
            <c:ext xmlns:c16="http://schemas.microsoft.com/office/drawing/2014/chart" uri="{C3380CC4-5D6E-409C-BE32-E72D297353CC}">
              <c16:uniqueId val="{00000000-6F5E-488B-BFF0-4A9199F9158D}"/>
            </c:ext>
          </c:extLst>
        </c:ser>
        <c:ser>
          <c:idx val="1"/>
          <c:order val="1"/>
          <c:tx>
            <c:strRef>
              <c:f>VV_parada_prognoze!$A$5</c:f>
              <c:strCache>
                <c:ptCount val="1"/>
                <c:pt idx="0">
                  <c:v>VTBI 2015/17</c:v>
                </c:pt>
              </c:strCache>
            </c:strRef>
          </c:tx>
          <c:spPr>
            <a:ln w="28575" cap="rnd">
              <a:solidFill>
                <a:schemeClr val="bg2">
                  <a:lumMod val="75000"/>
                </a:schemeClr>
              </a:solidFill>
              <a:round/>
            </a:ln>
            <a:effectLst/>
          </c:spPr>
          <c:marker>
            <c:symbol val="none"/>
          </c:marker>
          <c:cat>
            <c:numRef>
              <c:f>VV_parada_prognoze!$B$3:$L$3</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VV_parada_prognoze!$B$5:$L$5</c:f>
              <c:numCache>
                <c:formatCode>0.0</c:formatCode>
                <c:ptCount val="11"/>
                <c:pt idx="1">
                  <c:v>40</c:v>
                </c:pt>
                <c:pt idx="2">
                  <c:v>35</c:v>
                </c:pt>
                <c:pt idx="3">
                  <c:v>37</c:v>
                </c:pt>
                <c:pt idx="4">
                  <c:v>34</c:v>
                </c:pt>
              </c:numCache>
            </c:numRef>
          </c:val>
          <c:smooth val="0"/>
          <c:extLst>
            <c:ext xmlns:c16="http://schemas.microsoft.com/office/drawing/2014/chart" uri="{C3380CC4-5D6E-409C-BE32-E72D297353CC}">
              <c16:uniqueId val="{00000001-6F5E-488B-BFF0-4A9199F9158D}"/>
            </c:ext>
          </c:extLst>
        </c:ser>
        <c:ser>
          <c:idx val="2"/>
          <c:order val="2"/>
          <c:tx>
            <c:strRef>
              <c:f>VV_parada_prognoze!$A$6</c:f>
              <c:strCache>
                <c:ptCount val="1"/>
                <c:pt idx="0">
                  <c:v>VTBI 2016/18</c:v>
                </c:pt>
              </c:strCache>
            </c:strRef>
          </c:tx>
          <c:spPr>
            <a:ln w="28575" cap="rnd">
              <a:solidFill>
                <a:schemeClr val="accent3"/>
              </a:solidFill>
              <a:round/>
            </a:ln>
            <a:effectLst/>
          </c:spPr>
          <c:marker>
            <c:symbol val="none"/>
          </c:marker>
          <c:cat>
            <c:numRef>
              <c:f>VV_parada_prognoze!$B$3:$L$3</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VV_parada_prognoze!$B$6:$L$6</c:f>
              <c:numCache>
                <c:formatCode>General</c:formatCode>
                <c:ptCount val="11"/>
                <c:pt idx="2" formatCode="0.0">
                  <c:v>36</c:v>
                </c:pt>
                <c:pt idx="3" formatCode="0.0">
                  <c:v>40</c:v>
                </c:pt>
                <c:pt idx="4" formatCode="0.0">
                  <c:v>38</c:v>
                </c:pt>
                <c:pt idx="5" formatCode="0.0">
                  <c:v>36</c:v>
                </c:pt>
              </c:numCache>
            </c:numRef>
          </c:val>
          <c:smooth val="0"/>
          <c:extLst>
            <c:ext xmlns:c16="http://schemas.microsoft.com/office/drawing/2014/chart" uri="{C3380CC4-5D6E-409C-BE32-E72D297353CC}">
              <c16:uniqueId val="{00000002-6F5E-488B-BFF0-4A9199F9158D}"/>
            </c:ext>
          </c:extLst>
        </c:ser>
        <c:ser>
          <c:idx val="3"/>
          <c:order val="3"/>
          <c:tx>
            <c:strRef>
              <c:f>VV_parada_prognoze!$A$7</c:f>
              <c:strCache>
                <c:ptCount val="1"/>
                <c:pt idx="0">
                  <c:v>VTBI 2017/19</c:v>
                </c:pt>
              </c:strCache>
            </c:strRef>
          </c:tx>
          <c:spPr>
            <a:ln w="28575" cap="rnd">
              <a:solidFill>
                <a:schemeClr val="bg2">
                  <a:lumMod val="75000"/>
                </a:schemeClr>
              </a:solidFill>
              <a:round/>
            </a:ln>
            <a:effectLst/>
          </c:spPr>
          <c:marker>
            <c:symbol val="none"/>
          </c:marker>
          <c:cat>
            <c:numRef>
              <c:f>VV_parada_prognoze!$B$3:$L$3</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VV_parada_prognoze!$B$7:$L$7</c:f>
              <c:numCache>
                <c:formatCode>General</c:formatCode>
                <c:ptCount val="11"/>
                <c:pt idx="3" formatCode="0.0">
                  <c:v>40</c:v>
                </c:pt>
                <c:pt idx="4" formatCode="0.0">
                  <c:v>39</c:v>
                </c:pt>
                <c:pt idx="5" formatCode="0.0">
                  <c:v>38</c:v>
                </c:pt>
                <c:pt idx="6" formatCode="0.0">
                  <c:v>39</c:v>
                </c:pt>
              </c:numCache>
            </c:numRef>
          </c:val>
          <c:smooth val="0"/>
          <c:extLst>
            <c:ext xmlns:c16="http://schemas.microsoft.com/office/drawing/2014/chart" uri="{C3380CC4-5D6E-409C-BE32-E72D297353CC}">
              <c16:uniqueId val="{00000003-6F5E-488B-BFF0-4A9199F9158D}"/>
            </c:ext>
          </c:extLst>
        </c:ser>
        <c:ser>
          <c:idx val="4"/>
          <c:order val="4"/>
          <c:tx>
            <c:strRef>
              <c:f>VV_parada_prognoze!$A$8</c:f>
              <c:strCache>
                <c:ptCount val="1"/>
                <c:pt idx="0">
                  <c:v>VTBI 2018/20</c:v>
                </c:pt>
              </c:strCache>
            </c:strRef>
          </c:tx>
          <c:spPr>
            <a:ln w="28575" cap="rnd">
              <a:solidFill>
                <a:schemeClr val="bg2">
                  <a:lumMod val="75000"/>
                </a:schemeClr>
              </a:solidFill>
              <a:round/>
            </a:ln>
            <a:effectLst/>
          </c:spPr>
          <c:marker>
            <c:symbol val="none"/>
          </c:marker>
          <c:cat>
            <c:numRef>
              <c:f>VV_parada_prognoze!$B$3:$L$3</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VV_parada_prognoze!$B$8:$L$8</c:f>
              <c:numCache>
                <c:formatCode>General</c:formatCode>
                <c:ptCount val="11"/>
                <c:pt idx="4" formatCode="0.0">
                  <c:v>39</c:v>
                </c:pt>
                <c:pt idx="5" formatCode="0.0">
                  <c:v>37</c:v>
                </c:pt>
                <c:pt idx="6" formatCode="0.0">
                  <c:v>39</c:v>
                </c:pt>
                <c:pt idx="7" formatCode="0.0">
                  <c:v>39</c:v>
                </c:pt>
              </c:numCache>
            </c:numRef>
          </c:val>
          <c:smooth val="0"/>
          <c:extLst>
            <c:ext xmlns:c16="http://schemas.microsoft.com/office/drawing/2014/chart" uri="{C3380CC4-5D6E-409C-BE32-E72D297353CC}">
              <c16:uniqueId val="{00000004-6F5E-488B-BFF0-4A9199F9158D}"/>
            </c:ext>
          </c:extLst>
        </c:ser>
        <c:ser>
          <c:idx val="5"/>
          <c:order val="5"/>
          <c:tx>
            <c:strRef>
              <c:f>VV_parada_prognoze!$A$9</c:f>
              <c:strCache>
                <c:ptCount val="1"/>
                <c:pt idx="0">
                  <c:v>BL 2019</c:v>
                </c:pt>
              </c:strCache>
            </c:strRef>
          </c:tx>
          <c:spPr>
            <a:ln w="28575" cap="rnd">
              <a:solidFill>
                <a:schemeClr val="bg2">
                  <a:lumMod val="75000"/>
                </a:schemeClr>
              </a:solidFill>
              <a:round/>
            </a:ln>
            <a:effectLst/>
          </c:spPr>
          <c:marker>
            <c:symbol val="none"/>
          </c:marker>
          <c:cat>
            <c:numRef>
              <c:f>VV_parada_prognoze!$B$3:$L$3</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VV_parada_prognoze!$B$9:$L$9</c:f>
              <c:numCache>
                <c:formatCode>General</c:formatCode>
                <c:ptCount val="11"/>
                <c:pt idx="5" formatCode="0.0">
                  <c:v>37</c:v>
                </c:pt>
                <c:pt idx="6" formatCode="0.0">
                  <c:v>38</c:v>
                </c:pt>
                <c:pt idx="7" formatCode="0.0">
                  <c:v>37</c:v>
                </c:pt>
                <c:pt idx="8" formatCode="0.0">
                  <c:v>35</c:v>
                </c:pt>
              </c:numCache>
            </c:numRef>
          </c:val>
          <c:smooth val="0"/>
          <c:extLst>
            <c:ext xmlns:c16="http://schemas.microsoft.com/office/drawing/2014/chart" uri="{C3380CC4-5D6E-409C-BE32-E72D297353CC}">
              <c16:uniqueId val="{00000005-6F5E-488B-BFF0-4A9199F9158D}"/>
            </c:ext>
          </c:extLst>
        </c:ser>
        <c:ser>
          <c:idx val="6"/>
          <c:order val="6"/>
          <c:tx>
            <c:strRef>
              <c:f>VV_parada_prognoze!$A$10</c:f>
              <c:strCache>
                <c:ptCount val="1"/>
                <c:pt idx="0">
                  <c:v>VTBI 2020/22</c:v>
                </c:pt>
              </c:strCache>
            </c:strRef>
          </c:tx>
          <c:spPr>
            <a:ln w="28575" cap="rnd">
              <a:solidFill>
                <a:schemeClr val="accent1">
                  <a:lumMod val="60000"/>
                </a:schemeClr>
              </a:solidFill>
              <a:round/>
            </a:ln>
            <a:effectLst/>
          </c:spPr>
          <c:marker>
            <c:symbol val="none"/>
          </c:marker>
          <c:dLbls>
            <c:dLbl>
              <c:idx val="6"/>
              <c:delete val="1"/>
              <c:extLst>
                <c:ext xmlns:c15="http://schemas.microsoft.com/office/drawing/2012/chart" uri="{CE6537A1-D6FC-4f65-9D91-7224C49458BB}"/>
                <c:ext xmlns:c16="http://schemas.microsoft.com/office/drawing/2014/chart" uri="{C3380CC4-5D6E-409C-BE32-E72D297353CC}">
                  <c16:uniqueId val="{00000006-6F5E-488B-BFF0-4A9199F9158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VV_parada_prognoze!$B$3:$L$3</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VV_parada_prognoze!$B$10:$L$10</c:f>
              <c:numCache>
                <c:formatCode>General</c:formatCode>
                <c:ptCount val="11"/>
                <c:pt idx="6" formatCode="0.0">
                  <c:v>36.6</c:v>
                </c:pt>
                <c:pt idx="7" formatCode="0.0">
                  <c:v>37</c:v>
                </c:pt>
                <c:pt idx="8" formatCode="0.0">
                  <c:v>34.1</c:v>
                </c:pt>
                <c:pt idx="9" formatCode="0.0">
                  <c:v>33.6</c:v>
                </c:pt>
              </c:numCache>
            </c:numRef>
          </c:val>
          <c:smooth val="0"/>
          <c:extLst>
            <c:ext xmlns:c16="http://schemas.microsoft.com/office/drawing/2014/chart" uri="{C3380CC4-5D6E-409C-BE32-E72D297353CC}">
              <c16:uniqueId val="{00000007-6F5E-488B-BFF0-4A9199F9158D}"/>
            </c:ext>
          </c:extLst>
        </c:ser>
        <c:ser>
          <c:idx val="7"/>
          <c:order val="7"/>
          <c:tx>
            <c:strRef>
              <c:f>VV_parada_prognoze!$A$11</c:f>
              <c:strCache>
                <c:ptCount val="1"/>
                <c:pt idx="0">
                  <c:v>Faktiskais parāds, CSB Latvia</c:v>
                </c:pt>
              </c:strCache>
            </c:strRef>
          </c:tx>
          <c:spPr>
            <a:ln w="28575" cap="rnd">
              <a:solidFill>
                <a:schemeClr val="bg2">
                  <a:lumMod val="75000"/>
                </a:schemeClr>
              </a:solidFill>
              <a:round/>
            </a:ln>
            <a:effectLst/>
          </c:spPr>
          <c:marker>
            <c:symbol val="none"/>
          </c:marker>
          <c:cat>
            <c:numRef>
              <c:f>VV_parada_prognoze!$B$3:$L$3</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VV_parada_prognoze!$B$11:$L$11</c:f>
              <c:numCache>
                <c:formatCode>0.0</c:formatCode>
                <c:ptCount val="11"/>
                <c:pt idx="0">
                  <c:v>40.254662837757451</c:v>
                </c:pt>
                <c:pt idx="1">
                  <c:v>41.554828016341823</c:v>
                </c:pt>
                <c:pt idx="2">
                  <c:v>37.276597298660704</c:v>
                </c:pt>
                <c:pt idx="3">
                  <c:v>40.861425944147797</c:v>
                </c:pt>
                <c:pt idx="4">
                  <c:v>39.25197608329001</c:v>
                </c:pt>
                <c:pt idx="5">
                  <c:v>37.224130602748822</c:v>
                </c:pt>
                <c:pt idx="6">
                  <c:v>36.896167149017515</c:v>
                </c:pt>
              </c:numCache>
            </c:numRef>
          </c:val>
          <c:smooth val="0"/>
          <c:extLst>
            <c:ext xmlns:c16="http://schemas.microsoft.com/office/drawing/2014/chart" uri="{C3380CC4-5D6E-409C-BE32-E72D297353CC}">
              <c16:uniqueId val="{00000008-6F5E-488B-BFF0-4A9199F9158D}"/>
            </c:ext>
          </c:extLst>
        </c:ser>
        <c:ser>
          <c:idx val="8"/>
          <c:order val="8"/>
          <c:tx>
            <c:strRef>
              <c:f>VV_parada_prognoze!$A$12</c:f>
              <c:strCache>
                <c:ptCount val="1"/>
                <c:pt idx="0">
                  <c:v>SP 2020/23 CoV scenārijs</c:v>
                </c:pt>
              </c:strCache>
            </c:strRef>
          </c:tx>
          <c:spPr>
            <a:ln w="28575" cap="rnd">
              <a:solidFill>
                <a:schemeClr val="accent3">
                  <a:lumMod val="60000"/>
                </a:schemeClr>
              </a:solidFill>
              <a:round/>
            </a:ln>
            <a:effectLst/>
          </c:spPr>
          <c:marker>
            <c:symbol val="none"/>
          </c:marker>
          <c:dLbls>
            <c:dLbl>
              <c:idx val="6"/>
              <c:delete val="1"/>
              <c:extLst>
                <c:ext xmlns:c15="http://schemas.microsoft.com/office/drawing/2012/chart" uri="{CE6537A1-D6FC-4f65-9D91-7224C49458BB}"/>
                <c:ext xmlns:c16="http://schemas.microsoft.com/office/drawing/2014/chart" uri="{C3380CC4-5D6E-409C-BE32-E72D297353CC}">
                  <c16:uniqueId val="{00000009-6F5E-488B-BFF0-4A9199F9158D}"/>
                </c:ext>
              </c:extLst>
            </c:dLbl>
            <c:dLbl>
              <c:idx val="7"/>
              <c:layout>
                <c:manualLayout>
                  <c:x val="-3.7545195485286315E-2"/>
                  <c:y val="-4.27259822094222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F5E-488B-BFF0-4A9199F9158D}"/>
                </c:ext>
              </c:extLst>
            </c:dLbl>
            <c:dLbl>
              <c:idx val="8"/>
              <c:layout>
                <c:manualLayout>
                  <c:x val="-3.7545195485286315E-2"/>
                  <c:y val="-4.70493717468195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F5E-488B-BFF0-4A9199F9158D}"/>
                </c:ext>
              </c:extLst>
            </c:dLbl>
            <c:dLbl>
              <c:idx val="9"/>
              <c:layout>
                <c:manualLayout>
                  <c:x val="-3.2729399675028581E-2"/>
                  <c:y val="-3.40792031346276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F5E-488B-BFF0-4A9199F9158D}"/>
                </c:ext>
              </c:extLst>
            </c:dLbl>
            <c:dLbl>
              <c:idx val="10"/>
              <c:layout>
                <c:manualLayout>
                  <c:x val="-3.4675815414717752E-2"/>
                  <c:y val="-3.8402592672024963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mn-lt"/>
                      <a:ea typeface="+mn-ea"/>
                      <a:cs typeface="+mn-cs"/>
                    </a:defRPr>
                  </a:pPr>
                  <a:endParaRPr lang="lv-LV"/>
                </a:p>
              </c:txPr>
              <c:dLblPos val="r"/>
              <c:showLegendKey val="0"/>
              <c:showVal val="1"/>
              <c:showCatName val="0"/>
              <c:showSerName val="0"/>
              <c:showPercent val="0"/>
              <c:showBubbleSize val="0"/>
              <c:extLst>
                <c:ext xmlns:c15="http://schemas.microsoft.com/office/drawing/2012/chart" uri="{CE6537A1-D6FC-4f65-9D91-7224C49458BB}">
                  <c15:layout>
                    <c:manualLayout>
                      <c:w val="5.3419120226152805E-2"/>
                      <c:h val="6.383501673185793E-2"/>
                    </c:manualLayout>
                  </c15:layout>
                </c:ext>
                <c:ext xmlns:c16="http://schemas.microsoft.com/office/drawing/2014/chart" uri="{C3380CC4-5D6E-409C-BE32-E72D297353CC}">
                  <c16:uniqueId val="{0000000D-6F5E-488B-BFF0-4A9199F9158D}"/>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VV_parada_prognoze!$B$3:$L$3</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VV_parada_prognoze!$B$12:$L$12</c:f>
              <c:numCache>
                <c:formatCode>General</c:formatCode>
                <c:ptCount val="11"/>
                <c:pt idx="6">
                  <c:v>36.9</c:v>
                </c:pt>
                <c:pt idx="7">
                  <c:v>51.7</c:v>
                </c:pt>
                <c:pt idx="8">
                  <c:v>52.2</c:v>
                </c:pt>
                <c:pt idx="9">
                  <c:v>53.3</c:v>
                </c:pt>
                <c:pt idx="10">
                  <c:v>53.1</c:v>
                </c:pt>
              </c:numCache>
            </c:numRef>
          </c:val>
          <c:smooth val="0"/>
          <c:extLst>
            <c:ext xmlns:c16="http://schemas.microsoft.com/office/drawing/2014/chart" uri="{C3380CC4-5D6E-409C-BE32-E72D297353CC}">
              <c16:uniqueId val="{0000000E-6F5E-488B-BFF0-4A9199F9158D}"/>
            </c:ext>
          </c:extLst>
        </c:ser>
        <c:ser>
          <c:idx val="9"/>
          <c:order val="9"/>
          <c:tx>
            <c:strRef>
              <c:f>VV_parada_prognoze!$A$13</c:f>
              <c:strCache>
                <c:ptCount val="1"/>
                <c:pt idx="0">
                  <c:v>VTBI 2021/2023</c:v>
                </c:pt>
              </c:strCache>
            </c:strRef>
          </c:tx>
          <c:spPr>
            <a:ln w="28575" cap="rnd">
              <a:solidFill>
                <a:schemeClr val="accent4">
                  <a:lumMod val="60000"/>
                </a:schemeClr>
              </a:solidFill>
              <a:round/>
            </a:ln>
            <a:effectLst/>
          </c:spPr>
          <c:marker>
            <c:symbol val="none"/>
          </c:marker>
          <c:dLbls>
            <c:dLbl>
              <c:idx val="6"/>
              <c:layout>
                <c:manualLayout>
                  <c:x val="-3.5096913150724926E-2"/>
                  <c:y val="-5.77839735013668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F5E-488B-BFF0-4A9199F9158D}"/>
                </c:ext>
              </c:extLst>
            </c:dLbl>
            <c:dLbl>
              <c:idx val="7"/>
              <c:layout>
                <c:manualLayout>
                  <c:x val="-1.2031496062992236E-2"/>
                  <c:y val="-2.15740170581838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F5E-488B-BFF0-4A9199F9158D}"/>
                </c:ext>
              </c:extLst>
            </c:dLbl>
            <c:dLbl>
              <c:idx val="8"/>
              <c:layout>
                <c:manualLayout>
                  <c:x val="-2.9954249939802554E-2"/>
                  <c:y val="-2.63835697580603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F5E-488B-BFF0-4A9199F9158D}"/>
                </c:ext>
              </c:extLst>
            </c:dLbl>
            <c:dLbl>
              <c:idx val="9"/>
              <c:layout>
                <c:manualLayout>
                  <c:x val="-4.1993739465446663E-2"/>
                  <c:y val="-3.93537383702523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6F5E-488B-BFF0-4A9199F9158D}"/>
                </c:ext>
              </c:extLst>
            </c:dLbl>
            <c:dLbl>
              <c:idx val="10"/>
              <c:layout>
                <c:manualLayout>
                  <c:x val="-2.3003388120910778E-2"/>
                  <c:y val="-3.50303488328550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F5E-488B-BFF0-4A9199F9158D}"/>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FF0000"/>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VV_parada_prognoze!$B$3:$L$3</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VV_parada_prognoze!$B$13:$L$13</c:f>
              <c:numCache>
                <c:formatCode>General</c:formatCode>
                <c:ptCount val="11"/>
                <c:pt idx="6">
                  <c:v>36.9</c:v>
                </c:pt>
                <c:pt idx="7">
                  <c:v>47.3</c:v>
                </c:pt>
                <c:pt idx="8" formatCode="0.0">
                  <c:v>46</c:v>
                </c:pt>
                <c:pt idx="9" formatCode="0.0">
                  <c:v>46</c:v>
                </c:pt>
                <c:pt idx="10">
                  <c:v>44.8</c:v>
                </c:pt>
              </c:numCache>
            </c:numRef>
          </c:val>
          <c:smooth val="0"/>
          <c:extLst>
            <c:ext xmlns:c16="http://schemas.microsoft.com/office/drawing/2014/chart" uri="{C3380CC4-5D6E-409C-BE32-E72D297353CC}">
              <c16:uniqueId val="{00000014-6F5E-488B-BFF0-4A9199F9158D}"/>
            </c:ext>
          </c:extLst>
        </c:ser>
        <c:ser>
          <c:idx val="10"/>
          <c:order val="10"/>
          <c:tx>
            <c:strRef>
              <c:f>VV_parada_prognoze!$A$14</c:f>
              <c:strCache>
                <c:ptCount val="1"/>
                <c:pt idx="0">
                  <c:v>FDL Parāda nosacījums 60% IKP</c:v>
                </c:pt>
              </c:strCache>
            </c:strRef>
          </c:tx>
          <c:spPr>
            <a:ln w="28575" cap="rnd">
              <a:solidFill>
                <a:srgbClr val="FF0000"/>
              </a:solidFill>
              <a:round/>
            </a:ln>
            <a:effectLst/>
          </c:spPr>
          <c:marker>
            <c:symbol val="none"/>
          </c:marker>
          <c:cat>
            <c:numRef>
              <c:f>VV_parada_prognoze!$B$3:$L$3</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VV_parada_prognoze!$B$14:$L$14</c:f>
              <c:numCache>
                <c:formatCode>General</c:formatCode>
                <c:ptCount val="11"/>
                <c:pt idx="0">
                  <c:v>60</c:v>
                </c:pt>
                <c:pt idx="1">
                  <c:v>60</c:v>
                </c:pt>
                <c:pt idx="2">
                  <c:v>60</c:v>
                </c:pt>
                <c:pt idx="3">
                  <c:v>60</c:v>
                </c:pt>
                <c:pt idx="4">
                  <c:v>60</c:v>
                </c:pt>
                <c:pt idx="5">
                  <c:v>60</c:v>
                </c:pt>
                <c:pt idx="6">
                  <c:v>60</c:v>
                </c:pt>
                <c:pt idx="7">
                  <c:v>60</c:v>
                </c:pt>
                <c:pt idx="8">
                  <c:v>60</c:v>
                </c:pt>
                <c:pt idx="9">
                  <c:v>60</c:v>
                </c:pt>
                <c:pt idx="10">
                  <c:v>60</c:v>
                </c:pt>
              </c:numCache>
            </c:numRef>
          </c:val>
          <c:smooth val="0"/>
          <c:extLst>
            <c:ext xmlns:c16="http://schemas.microsoft.com/office/drawing/2014/chart" uri="{C3380CC4-5D6E-409C-BE32-E72D297353CC}">
              <c16:uniqueId val="{00000015-6F5E-488B-BFF0-4A9199F9158D}"/>
            </c:ext>
          </c:extLst>
        </c:ser>
        <c:dLbls>
          <c:showLegendKey val="0"/>
          <c:showVal val="0"/>
          <c:showCatName val="0"/>
          <c:showSerName val="0"/>
          <c:showPercent val="0"/>
          <c:showBubbleSize val="0"/>
        </c:dLbls>
        <c:smooth val="0"/>
        <c:axId val="1298870367"/>
        <c:axId val="1300743615"/>
      </c:lineChart>
      <c:catAx>
        <c:axId val="12988703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lv-LV"/>
          </a:p>
        </c:txPr>
        <c:crossAx val="1300743615"/>
        <c:crosses val="autoZero"/>
        <c:auto val="1"/>
        <c:lblAlgn val="ctr"/>
        <c:lblOffset val="100"/>
        <c:noMultiLvlLbl val="0"/>
      </c:catAx>
      <c:valAx>
        <c:axId val="130074361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en-US" sz="800">
                    <a:solidFill>
                      <a:sysClr val="windowText" lastClr="000000"/>
                    </a:solidFill>
                  </a:rPr>
                  <a:t>% no IKP</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lv-LV"/>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lv-LV"/>
          </a:p>
        </c:txPr>
        <c:crossAx val="1298870367"/>
        <c:crosses val="autoZero"/>
        <c:crossBetween val="between"/>
      </c:valAx>
      <c:spPr>
        <a:noFill/>
        <a:ln>
          <a:noFill/>
        </a:ln>
        <a:effectLst/>
      </c:spPr>
    </c:plotArea>
    <c:legend>
      <c:legendPos val="b"/>
      <c:layout>
        <c:manualLayout>
          <c:xMode val="edge"/>
          <c:yMode val="edge"/>
          <c:x val="1.4390697550959272E-2"/>
          <c:y val="0.70839418419001132"/>
          <c:w val="0.96768127015666505"/>
          <c:h val="0.2861876214889481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03052429864953"/>
          <c:y val="5.8108821975699949E-2"/>
          <c:w val="0.81821976405198482"/>
          <c:h val="0.53005062164376837"/>
        </c:manualLayout>
      </c:layout>
      <c:lineChart>
        <c:grouping val="standard"/>
        <c:varyColors val="0"/>
        <c:ser>
          <c:idx val="2"/>
          <c:order val="0"/>
          <c:tx>
            <c:strRef>
              <c:f>LV_ENG_MACRO!$A$2</c:f>
              <c:strCache>
                <c:ptCount val="1"/>
                <c:pt idx="0">
                  <c:v>Reālais IKP, %: VTBI 2021./23.</c:v>
                </c:pt>
              </c:strCache>
            </c:strRef>
          </c:tx>
          <c:spPr>
            <a:ln w="19050" cap="rnd">
              <a:solidFill>
                <a:srgbClr val="FF0000"/>
              </a:solidFill>
              <a:prstDash val="solid"/>
              <a:round/>
            </a:ln>
            <a:effectLst/>
          </c:spPr>
          <c:marker>
            <c:symbol val="none"/>
          </c:marker>
          <c:dLbls>
            <c:dLbl>
              <c:idx val="2"/>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99E-4E3A-BA7C-4DB90010ABC3}"/>
                </c:ext>
              </c:extLst>
            </c:dLbl>
            <c:spPr>
              <a:solidFill>
                <a:srgbClr val="FF0000"/>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LV_ENG_MACRO!$B$1:$F$1</c:f>
              <c:numCache>
                <c:formatCode>General</c:formatCode>
                <c:ptCount val="5"/>
                <c:pt idx="0">
                  <c:v>2019</c:v>
                </c:pt>
                <c:pt idx="1">
                  <c:v>2020</c:v>
                </c:pt>
                <c:pt idx="2">
                  <c:v>2021</c:v>
                </c:pt>
                <c:pt idx="3">
                  <c:v>2022</c:v>
                </c:pt>
                <c:pt idx="4">
                  <c:v>2023</c:v>
                </c:pt>
              </c:numCache>
            </c:numRef>
          </c:cat>
          <c:val>
            <c:numRef>
              <c:f>LV_ENG_MACRO!$B$2:$F$2</c:f>
              <c:numCache>
                <c:formatCode>#,##0.0</c:formatCode>
                <c:ptCount val="5"/>
                <c:pt idx="0">
                  <c:v>2.1974417683450724</c:v>
                </c:pt>
                <c:pt idx="1">
                  <c:v>-7.000000000000199</c:v>
                </c:pt>
                <c:pt idx="2">
                  <c:v>5.1010712304562844</c:v>
                </c:pt>
                <c:pt idx="3">
                  <c:v>3.1496587155842093</c:v>
                </c:pt>
                <c:pt idx="4" formatCode="0.0">
                  <c:v>3.1246980642416702</c:v>
                </c:pt>
              </c:numCache>
            </c:numRef>
          </c:val>
          <c:smooth val="0"/>
          <c:extLst>
            <c:ext xmlns:c16="http://schemas.microsoft.com/office/drawing/2014/chart" uri="{C3380CC4-5D6E-409C-BE32-E72D297353CC}">
              <c16:uniqueId val="{00000001-D99E-4E3A-BA7C-4DB90010ABC3}"/>
            </c:ext>
          </c:extLst>
        </c:ser>
        <c:ser>
          <c:idx val="0"/>
          <c:order val="1"/>
          <c:tx>
            <c:strRef>
              <c:f>LV_ENG_MACRO!$A$3</c:f>
              <c:strCache>
                <c:ptCount val="1"/>
                <c:pt idx="0">
                  <c:v>Reālais IKP, %: VTBI 2020./22.</c:v>
                </c:pt>
              </c:strCache>
            </c:strRef>
          </c:tx>
          <c:spPr>
            <a:ln w="19050" cap="rnd">
              <a:solidFill>
                <a:schemeClr val="accent3">
                  <a:lumMod val="75000"/>
                </a:schemeClr>
              </a:solidFill>
              <a:prstDash val="dash"/>
              <a:round/>
            </a:ln>
            <a:effectLst/>
          </c:spPr>
          <c:marker>
            <c:symbol val="none"/>
          </c:marker>
          <c:cat>
            <c:numRef>
              <c:f>LV_ENG_MACRO!$B$1:$F$1</c:f>
              <c:numCache>
                <c:formatCode>General</c:formatCode>
                <c:ptCount val="5"/>
                <c:pt idx="0">
                  <c:v>2019</c:v>
                </c:pt>
                <c:pt idx="1">
                  <c:v>2020</c:v>
                </c:pt>
                <c:pt idx="2">
                  <c:v>2021</c:v>
                </c:pt>
                <c:pt idx="3">
                  <c:v>2022</c:v>
                </c:pt>
                <c:pt idx="4">
                  <c:v>2023</c:v>
                </c:pt>
              </c:numCache>
            </c:numRef>
          </c:cat>
          <c:val>
            <c:numRef>
              <c:f>LV_ENG_MACRO!$B$3:$F$3</c:f>
              <c:numCache>
                <c:formatCode>#,##0.0</c:formatCode>
                <c:ptCount val="5"/>
                <c:pt idx="0">
                  <c:v>3.1651759586520889</c:v>
                </c:pt>
                <c:pt idx="1">
                  <c:v>2.8019437387727164</c:v>
                </c:pt>
                <c:pt idx="2">
                  <c:v>2.7963225380752244</c:v>
                </c:pt>
                <c:pt idx="3">
                  <c:v>2.7948470188598362</c:v>
                </c:pt>
                <c:pt idx="4">
                  <c:v>2.7724235094299181</c:v>
                </c:pt>
              </c:numCache>
            </c:numRef>
          </c:val>
          <c:smooth val="0"/>
          <c:extLst>
            <c:ext xmlns:c16="http://schemas.microsoft.com/office/drawing/2014/chart" uri="{C3380CC4-5D6E-409C-BE32-E72D297353CC}">
              <c16:uniqueId val="{00000002-D99E-4E3A-BA7C-4DB90010ABC3}"/>
            </c:ext>
          </c:extLst>
        </c:ser>
        <c:ser>
          <c:idx val="1"/>
          <c:order val="2"/>
          <c:tx>
            <c:strRef>
              <c:f>LV_ENG_MACRO!$A$4</c:f>
              <c:strCache>
                <c:ptCount val="1"/>
                <c:pt idx="0">
                  <c:v>Reālais IKP, %: 2.viļņa scenārijs 2020./23.</c:v>
                </c:pt>
              </c:strCache>
            </c:strRef>
          </c:tx>
          <c:spPr>
            <a:ln w="19050" cap="rnd">
              <a:solidFill>
                <a:schemeClr val="tx1"/>
              </a:solidFill>
              <a:prstDash val="solid"/>
              <a:round/>
            </a:ln>
            <a:effectLst/>
          </c:spPr>
          <c:marker>
            <c:symbol val="none"/>
          </c:marker>
          <c:dLbls>
            <c:spPr>
              <a:solidFill>
                <a:schemeClr val="tx1">
                  <a:lumMod val="50000"/>
                  <a:lumOff val="5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LV_ENG_MACRO!$B$1:$F$1</c:f>
              <c:numCache>
                <c:formatCode>General</c:formatCode>
                <c:ptCount val="5"/>
                <c:pt idx="0">
                  <c:v>2019</c:v>
                </c:pt>
                <c:pt idx="1">
                  <c:v>2020</c:v>
                </c:pt>
                <c:pt idx="2">
                  <c:v>2021</c:v>
                </c:pt>
                <c:pt idx="3">
                  <c:v>2022</c:v>
                </c:pt>
                <c:pt idx="4">
                  <c:v>2023</c:v>
                </c:pt>
              </c:numCache>
            </c:numRef>
          </c:cat>
          <c:val>
            <c:numRef>
              <c:f>LV_ENG_MACRO!$B$4:$F$4</c:f>
              <c:numCache>
                <c:formatCode>0.0</c:formatCode>
                <c:ptCount val="5"/>
                <c:pt idx="0" formatCode="0">
                  <c:v>2.2000000000000002</c:v>
                </c:pt>
                <c:pt idx="1">
                  <c:v>-9</c:v>
                </c:pt>
                <c:pt idx="2">
                  <c:v>2</c:v>
                </c:pt>
                <c:pt idx="3">
                  <c:v>4.5999999999999996</c:v>
                </c:pt>
                <c:pt idx="4">
                  <c:v>3.2</c:v>
                </c:pt>
              </c:numCache>
            </c:numRef>
          </c:val>
          <c:smooth val="0"/>
          <c:extLst>
            <c:ext xmlns:c16="http://schemas.microsoft.com/office/drawing/2014/chart" uri="{C3380CC4-5D6E-409C-BE32-E72D297353CC}">
              <c16:uniqueId val="{00000003-D99E-4E3A-BA7C-4DB90010ABC3}"/>
            </c:ext>
          </c:extLst>
        </c:ser>
        <c:ser>
          <c:idx val="3"/>
          <c:order val="3"/>
          <c:tx>
            <c:strRef>
              <c:f>LV_ENG_MACRO!$A$5</c:f>
              <c:strCache>
                <c:ptCount val="1"/>
                <c:pt idx="0">
                  <c:v>Reālais IKP, %: CoV SP 2020./23.</c:v>
                </c:pt>
              </c:strCache>
            </c:strRef>
          </c:tx>
          <c:spPr>
            <a:ln w="28575" cap="rnd">
              <a:solidFill>
                <a:schemeClr val="accent5">
                  <a:lumMod val="60000"/>
                  <a:lumOff val="40000"/>
                </a:schemeClr>
              </a:solidFill>
              <a:prstDash val="dash"/>
              <a:round/>
            </a:ln>
            <a:effectLst/>
          </c:spPr>
          <c:marker>
            <c:symbol val="none"/>
          </c:marker>
          <c:cat>
            <c:numRef>
              <c:f>LV_ENG_MACRO!$B$1:$F$1</c:f>
              <c:numCache>
                <c:formatCode>General</c:formatCode>
                <c:ptCount val="5"/>
                <c:pt idx="0">
                  <c:v>2019</c:v>
                </c:pt>
                <c:pt idx="1">
                  <c:v>2020</c:v>
                </c:pt>
                <c:pt idx="2">
                  <c:v>2021</c:v>
                </c:pt>
                <c:pt idx="3">
                  <c:v>2022</c:v>
                </c:pt>
                <c:pt idx="4">
                  <c:v>2023</c:v>
                </c:pt>
              </c:numCache>
            </c:numRef>
          </c:cat>
          <c:val>
            <c:numRef>
              <c:f>LV_ENG_MACRO!$B$5:$F$5</c:f>
              <c:numCache>
                <c:formatCode>0.00</c:formatCode>
                <c:ptCount val="5"/>
                <c:pt idx="0">
                  <c:v>2.1974417683450724</c:v>
                </c:pt>
                <c:pt idx="1">
                  <c:v>-6.9982719514300555</c:v>
                </c:pt>
                <c:pt idx="2">
                  <c:v>1.0228991683767248</c:v>
                </c:pt>
                <c:pt idx="3">
                  <c:v>3.531396731647547</c:v>
                </c:pt>
                <c:pt idx="4">
                  <c:v>2.3987425484928764</c:v>
                </c:pt>
              </c:numCache>
            </c:numRef>
          </c:val>
          <c:smooth val="0"/>
          <c:extLst>
            <c:ext xmlns:c16="http://schemas.microsoft.com/office/drawing/2014/chart" uri="{C3380CC4-5D6E-409C-BE32-E72D297353CC}">
              <c16:uniqueId val="{00000004-D99E-4E3A-BA7C-4DB90010ABC3}"/>
            </c:ext>
          </c:extLst>
        </c:ser>
        <c:dLbls>
          <c:showLegendKey val="0"/>
          <c:showVal val="0"/>
          <c:showCatName val="0"/>
          <c:showSerName val="0"/>
          <c:showPercent val="0"/>
          <c:showBubbleSize val="0"/>
        </c:dLbls>
        <c:smooth val="0"/>
        <c:axId val="717569104"/>
        <c:axId val="717571456"/>
      </c:lineChart>
      <c:catAx>
        <c:axId val="717569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717571456"/>
        <c:crosses val="autoZero"/>
        <c:auto val="1"/>
        <c:lblAlgn val="ctr"/>
        <c:lblOffset val="100"/>
        <c:noMultiLvlLbl val="0"/>
      </c:catAx>
      <c:valAx>
        <c:axId val="717571456"/>
        <c:scaling>
          <c:orientation val="minMax"/>
          <c:min val="-9"/>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717569104"/>
        <c:crosses val="autoZero"/>
        <c:crossBetween val="between"/>
      </c:valAx>
      <c:spPr>
        <a:noFill/>
        <a:ln>
          <a:noFill/>
        </a:ln>
        <a:effectLst/>
      </c:spPr>
    </c:plotArea>
    <c:legend>
      <c:legendPos val="b"/>
      <c:layout>
        <c:manualLayout>
          <c:xMode val="edge"/>
          <c:yMode val="edge"/>
          <c:x val="2.8926245810969125E-2"/>
          <c:y val="0.59344206379907727"/>
          <c:w val="0.9710737878885326"/>
          <c:h val="0.3748622151232680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6350" cap="flat" cmpd="sng" algn="ctr">
      <a:noFill/>
      <a:round/>
    </a:ln>
    <a:effectLst/>
  </c:spPr>
  <c:txPr>
    <a:bodyPr/>
    <a:lstStyle/>
    <a:p>
      <a:pPr>
        <a:defRPr sz="900">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402371520899622E-2"/>
          <c:y val="4.2831304354864437E-2"/>
          <c:w val="0.90233143319608022"/>
          <c:h val="0.56490080785356378"/>
        </c:manualLayout>
      </c:layout>
      <c:lineChart>
        <c:grouping val="standard"/>
        <c:varyColors val="0"/>
        <c:ser>
          <c:idx val="2"/>
          <c:order val="0"/>
          <c:tx>
            <c:strRef>
              <c:f>LV_ENG_MACRO!$A$9</c:f>
              <c:strCache>
                <c:ptCount val="1"/>
                <c:pt idx="0">
                  <c:v>Nominālais IKP, %: VTBI 2021./23.</c:v>
                </c:pt>
              </c:strCache>
            </c:strRef>
          </c:tx>
          <c:spPr>
            <a:ln w="19050" cap="rnd">
              <a:solidFill>
                <a:srgbClr val="FF0000"/>
              </a:solidFill>
              <a:prstDash val="solid"/>
              <a:round/>
            </a:ln>
            <a:effectLst/>
          </c:spPr>
          <c:marker>
            <c:symbol val="none"/>
          </c:marker>
          <c:cat>
            <c:numRef>
              <c:f>LV_ENG_MACRO!$B$1:$F$1</c:f>
              <c:numCache>
                <c:formatCode>General</c:formatCode>
                <c:ptCount val="5"/>
                <c:pt idx="0">
                  <c:v>2019</c:v>
                </c:pt>
                <c:pt idx="1">
                  <c:v>2020</c:v>
                </c:pt>
                <c:pt idx="2">
                  <c:v>2021</c:v>
                </c:pt>
                <c:pt idx="3">
                  <c:v>2022</c:v>
                </c:pt>
                <c:pt idx="4">
                  <c:v>2023</c:v>
                </c:pt>
              </c:numCache>
            </c:numRef>
          </c:cat>
          <c:val>
            <c:numRef>
              <c:f>LV_ENG_MACRO!$B$9:$F$9</c:f>
              <c:numCache>
                <c:formatCode>#,##0.0</c:formatCode>
                <c:ptCount val="5"/>
                <c:pt idx="0">
                  <c:v>4.8872334677287625</c:v>
                </c:pt>
                <c:pt idx="1">
                  <c:v>-7.4499870979360594</c:v>
                </c:pt>
                <c:pt idx="2">
                  <c:v>6.4856623554542949</c:v>
                </c:pt>
                <c:pt idx="3">
                  <c:v>5.2588660383302113</c:v>
                </c:pt>
                <c:pt idx="4" formatCode="0.0">
                  <c:v>5.2106377126559904</c:v>
                </c:pt>
              </c:numCache>
            </c:numRef>
          </c:val>
          <c:smooth val="0"/>
          <c:extLst>
            <c:ext xmlns:c16="http://schemas.microsoft.com/office/drawing/2014/chart" uri="{C3380CC4-5D6E-409C-BE32-E72D297353CC}">
              <c16:uniqueId val="{00000000-3459-4E8F-B4B7-1DE7DEF3A81D}"/>
            </c:ext>
          </c:extLst>
        </c:ser>
        <c:ser>
          <c:idx val="0"/>
          <c:order val="1"/>
          <c:tx>
            <c:strRef>
              <c:f>LV_ENG_MACRO!$A$10</c:f>
              <c:strCache>
                <c:ptCount val="1"/>
                <c:pt idx="0">
                  <c:v>Nominālais IKP, %: VTBI 2020./22.</c:v>
                </c:pt>
              </c:strCache>
            </c:strRef>
          </c:tx>
          <c:spPr>
            <a:ln w="19050" cap="rnd">
              <a:solidFill>
                <a:schemeClr val="accent3">
                  <a:lumMod val="75000"/>
                </a:schemeClr>
              </a:solidFill>
              <a:prstDash val="dash"/>
              <a:round/>
            </a:ln>
            <a:effectLst/>
          </c:spPr>
          <c:marker>
            <c:symbol val="none"/>
          </c:marker>
          <c:cat>
            <c:numRef>
              <c:f>LV_ENG_MACRO!$B$1:$F$1</c:f>
              <c:numCache>
                <c:formatCode>General</c:formatCode>
                <c:ptCount val="5"/>
                <c:pt idx="0">
                  <c:v>2019</c:v>
                </c:pt>
                <c:pt idx="1">
                  <c:v>2020</c:v>
                </c:pt>
                <c:pt idx="2">
                  <c:v>2021</c:v>
                </c:pt>
                <c:pt idx="3">
                  <c:v>2022</c:v>
                </c:pt>
                <c:pt idx="4">
                  <c:v>2023</c:v>
                </c:pt>
              </c:numCache>
            </c:numRef>
          </c:cat>
          <c:val>
            <c:numRef>
              <c:f>LV_ENG_MACRO!$B$10:$E$10</c:f>
              <c:numCache>
                <c:formatCode>0.0</c:formatCode>
                <c:ptCount val="4"/>
                <c:pt idx="0">
                  <c:v>6.3619473041338859</c:v>
                </c:pt>
                <c:pt idx="1">
                  <c:v>5.5808427249407044</c:v>
                </c:pt>
                <c:pt idx="2">
                  <c:v>5.2631286310288239</c:v>
                </c:pt>
                <c:pt idx="3">
                  <c:v>5.2616150193949052</c:v>
                </c:pt>
              </c:numCache>
            </c:numRef>
          </c:val>
          <c:smooth val="0"/>
          <c:extLst>
            <c:ext xmlns:c16="http://schemas.microsoft.com/office/drawing/2014/chart" uri="{C3380CC4-5D6E-409C-BE32-E72D297353CC}">
              <c16:uniqueId val="{00000001-3459-4E8F-B4B7-1DE7DEF3A81D}"/>
            </c:ext>
          </c:extLst>
        </c:ser>
        <c:ser>
          <c:idx val="1"/>
          <c:order val="2"/>
          <c:tx>
            <c:strRef>
              <c:f>LV_ENG_MACRO!$A$11</c:f>
              <c:strCache>
                <c:ptCount val="1"/>
                <c:pt idx="0">
                  <c:v>Nominālais IKP, %: 2.viļņa scenārijs 2020./23.</c:v>
                </c:pt>
              </c:strCache>
            </c:strRef>
          </c:tx>
          <c:spPr>
            <a:ln w="19050" cap="rnd">
              <a:solidFill>
                <a:schemeClr val="tx1"/>
              </a:solidFill>
              <a:prstDash val="solid"/>
              <a:round/>
            </a:ln>
            <a:effectLst/>
          </c:spPr>
          <c:marker>
            <c:symbol val="none"/>
          </c:marker>
          <c:cat>
            <c:numRef>
              <c:f>LV_ENG_MACRO!$B$1:$F$1</c:f>
              <c:numCache>
                <c:formatCode>General</c:formatCode>
                <c:ptCount val="5"/>
                <c:pt idx="0">
                  <c:v>2019</c:v>
                </c:pt>
                <c:pt idx="1">
                  <c:v>2020</c:v>
                </c:pt>
                <c:pt idx="2">
                  <c:v>2021</c:v>
                </c:pt>
                <c:pt idx="3">
                  <c:v>2022</c:v>
                </c:pt>
                <c:pt idx="4">
                  <c:v>2023</c:v>
                </c:pt>
              </c:numCache>
            </c:numRef>
          </c:cat>
          <c:val>
            <c:numRef>
              <c:f>LV_ENG_MACRO!$B$11:$F$11</c:f>
              <c:numCache>
                <c:formatCode>0.0</c:formatCode>
                <c:ptCount val="5"/>
                <c:pt idx="0">
                  <c:v>4.9000000000000004</c:v>
                </c:pt>
                <c:pt idx="1">
                  <c:v>-9.4</c:v>
                </c:pt>
                <c:pt idx="2">
                  <c:v>2.9</c:v>
                </c:pt>
                <c:pt idx="3">
                  <c:v>6.2</c:v>
                </c:pt>
                <c:pt idx="4">
                  <c:v>5.2</c:v>
                </c:pt>
              </c:numCache>
            </c:numRef>
          </c:val>
          <c:smooth val="0"/>
          <c:extLst>
            <c:ext xmlns:c16="http://schemas.microsoft.com/office/drawing/2014/chart" uri="{C3380CC4-5D6E-409C-BE32-E72D297353CC}">
              <c16:uniqueId val="{00000002-3459-4E8F-B4B7-1DE7DEF3A81D}"/>
            </c:ext>
          </c:extLst>
        </c:ser>
        <c:ser>
          <c:idx val="3"/>
          <c:order val="3"/>
          <c:tx>
            <c:strRef>
              <c:f>LV_ENG_MACRO!$A$12</c:f>
              <c:strCache>
                <c:ptCount val="1"/>
                <c:pt idx="0">
                  <c:v>Nominālais IKP, %: CoV SP 2020./23.</c:v>
                </c:pt>
              </c:strCache>
            </c:strRef>
          </c:tx>
          <c:spPr>
            <a:ln w="28575" cap="rnd">
              <a:solidFill>
                <a:schemeClr val="accent1">
                  <a:lumMod val="60000"/>
                  <a:lumOff val="40000"/>
                </a:schemeClr>
              </a:solidFill>
              <a:prstDash val="dash"/>
              <a:round/>
            </a:ln>
            <a:effectLst/>
          </c:spPr>
          <c:marker>
            <c:symbol val="none"/>
          </c:marker>
          <c:val>
            <c:numRef>
              <c:f>LV_ENG_MACRO!$B$12:$F$12</c:f>
              <c:numCache>
                <c:formatCode>0.0</c:formatCode>
                <c:ptCount val="5"/>
                <c:pt idx="0">
                  <c:v>4.8872334677287625</c:v>
                </c:pt>
                <c:pt idx="1">
                  <c:v>-7.9147824239671536</c:v>
                </c:pt>
                <c:pt idx="2">
                  <c:v>2.3537648576844816</c:v>
                </c:pt>
                <c:pt idx="3">
                  <c:v>5.6242532879384015</c:v>
                </c:pt>
                <c:pt idx="4">
                  <c:v>4.3725021243306701</c:v>
                </c:pt>
              </c:numCache>
            </c:numRef>
          </c:val>
          <c:smooth val="0"/>
          <c:extLst>
            <c:ext xmlns:c16="http://schemas.microsoft.com/office/drawing/2014/chart" uri="{C3380CC4-5D6E-409C-BE32-E72D297353CC}">
              <c16:uniqueId val="{00000003-3459-4E8F-B4B7-1DE7DEF3A81D}"/>
            </c:ext>
          </c:extLst>
        </c:ser>
        <c:dLbls>
          <c:showLegendKey val="0"/>
          <c:showVal val="0"/>
          <c:showCatName val="0"/>
          <c:showSerName val="0"/>
          <c:showPercent val="0"/>
          <c:showBubbleSize val="0"/>
        </c:dLbls>
        <c:smooth val="0"/>
        <c:axId val="717571848"/>
        <c:axId val="717569496"/>
      </c:lineChart>
      <c:catAx>
        <c:axId val="717571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717569496"/>
        <c:crosses val="autoZero"/>
        <c:auto val="1"/>
        <c:lblAlgn val="ctr"/>
        <c:lblOffset val="100"/>
        <c:noMultiLvlLbl val="0"/>
      </c:catAx>
      <c:valAx>
        <c:axId val="717569496"/>
        <c:scaling>
          <c:orientation val="minMax"/>
          <c:max val="6.5"/>
          <c:min val="-9.4"/>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717571848"/>
        <c:crosses val="autoZero"/>
        <c:crossBetween val="between"/>
      </c:valAx>
      <c:spPr>
        <a:noFill/>
        <a:ln>
          <a:noFill/>
        </a:ln>
        <a:effectLst/>
      </c:spPr>
    </c:plotArea>
    <c:legend>
      <c:legendPos val="b"/>
      <c:layout>
        <c:manualLayout>
          <c:xMode val="edge"/>
          <c:yMode val="edge"/>
          <c:x val="5.7729446636722356E-3"/>
          <c:y val="0.65222415379895693"/>
          <c:w val="0.96997836009528837"/>
          <c:h val="0.308814807240004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6350" cap="flat" cmpd="sng" algn="ctr">
      <a:noFill/>
      <a:round/>
    </a:ln>
    <a:effectLst/>
  </c:spPr>
  <c:txPr>
    <a:bodyPr/>
    <a:lstStyle/>
    <a:p>
      <a:pPr>
        <a:defRPr sz="900">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01296472903565"/>
          <c:y val="7.1431724241120709E-2"/>
          <c:w val="0.89798703527096413"/>
          <c:h val="0.88911665139244767"/>
        </c:manualLayout>
      </c:layout>
      <c:barChart>
        <c:barDir val="col"/>
        <c:grouping val="clustered"/>
        <c:varyColors val="0"/>
        <c:ser>
          <c:idx val="0"/>
          <c:order val="0"/>
          <c:tx>
            <c:strRef>
              <c:f>starptautiska!$J$12</c:f>
              <c:strCache>
                <c:ptCount val="1"/>
                <c:pt idx="0">
                  <c:v>Apvienotā karaliste</c:v>
                </c:pt>
              </c:strCache>
            </c:strRef>
          </c:tx>
          <c:spPr>
            <a:solidFill>
              <a:srgbClr val="5B9BD5"/>
            </a:solidFill>
            <a:ln w="25400">
              <a:noFill/>
            </a:ln>
          </c:spPr>
          <c:invertIfNegative val="0"/>
          <c:dLbls>
            <c:spPr>
              <a:noFill/>
              <a:ln w="25400">
                <a:noFill/>
              </a:ln>
            </c:spPr>
            <c:txPr>
              <a:bodyPr rot="-5400000" vert="horz" wrap="square" lIns="38100" tIns="19050" rIns="38100" bIns="19050" anchor="ctr">
                <a:spAutoFit/>
              </a:bodyPr>
              <a:lstStyle/>
              <a:p>
                <a:pPr algn="ctr">
                  <a:defRPr sz="700" b="0" i="0" u="none" strike="noStrike" baseline="0">
                    <a:solidFill>
                      <a:sysClr val="windowText" lastClr="000000"/>
                    </a:solidFill>
                    <a:latin typeface="Calibri"/>
                    <a:ea typeface="Calibri"/>
                    <a:cs typeface="Calibri"/>
                  </a:defRPr>
                </a:pPr>
                <a:endParaRPr lang="lv-LV"/>
              </a:p>
            </c:txPr>
            <c:dLblPos val="inBase"/>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starptautiska!$M$11</c:f>
              <c:strCache>
                <c:ptCount val="1"/>
                <c:pt idx="0">
                  <c:v>2020Q2</c:v>
                </c:pt>
              </c:strCache>
            </c:strRef>
          </c:cat>
          <c:val>
            <c:numRef>
              <c:f>starptautiska!$M$12</c:f>
              <c:numCache>
                <c:formatCode>#\ ##0.0</c:formatCode>
                <c:ptCount val="1"/>
                <c:pt idx="0">
                  <c:v>-21.7</c:v>
                </c:pt>
              </c:numCache>
            </c:numRef>
          </c:val>
          <c:extLst>
            <c:ext xmlns:c16="http://schemas.microsoft.com/office/drawing/2014/chart" uri="{C3380CC4-5D6E-409C-BE32-E72D297353CC}">
              <c16:uniqueId val="{00000000-8E2B-44FB-8423-01355AA34E50}"/>
            </c:ext>
          </c:extLst>
        </c:ser>
        <c:ser>
          <c:idx val="2"/>
          <c:order val="2"/>
          <c:tx>
            <c:strRef>
              <c:f>starptautiska!$J$14</c:f>
              <c:strCache>
                <c:ptCount val="1"/>
                <c:pt idx="0">
                  <c:v>Vācija</c:v>
                </c:pt>
              </c:strCache>
            </c:strRef>
          </c:tx>
          <c:spPr>
            <a:solidFill>
              <a:srgbClr val="A5A5A5"/>
            </a:solidFill>
            <a:ln w="25400">
              <a:noFill/>
            </a:ln>
          </c:spPr>
          <c:invertIfNegative val="0"/>
          <c:dLbls>
            <c:spPr>
              <a:noFill/>
              <a:ln w="25400">
                <a:noFill/>
              </a:ln>
            </c:spPr>
            <c:txPr>
              <a:bodyPr rot="-5400000" vert="horz" wrap="square" lIns="38100" tIns="19050" rIns="38100" bIns="19050" anchor="ctr">
                <a:spAutoFit/>
              </a:bodyPr>
              <a:lstStyle/>
              <a:p>
                <a:pPr algn="ctr">
                  <a:defRPr sz="700" b="0" i="0" u="none" strike="noStrike" baseline="0">
                    <a:solidFill>
                      <a:sysClr val="windowText" lastClr="000000"/>
                    </a:solidFill>
                    <a:latin typeface="Calibri"/>
                    <a:ea typeface="Calibri"/>
                    <a:cs typeface="Calibri"/>
                  </a:defRPr>
                </a:pPr>
                <a:endParaRPr lang="lv-LV"/>
              </a:p>
            </c:txPr>
            <c:dLblPos val="inBase"/>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starptautiska!$M$11</c:f>
              <c:strCache>
                <c:ptCount val="1"/>
                <c:pt idx="0">
                  <c:v>2020Q2</c:v>
                </c:pt>
              </c:strCache>
            </c:strRef>
          </c:cat>
          <c:val>
            <c:numRef>
              <c:f>starptautiska!$M$14</c:f>
              <c:numCache>
                <c:formatCode>#\ ##0.0</c:formatCode>
                <c:ptCount val="1"/>
                <c:pt idx="0">
                  <c:v>-11.3</c:v>
                </c:pt>
              </c:numCache>
            </c:numRef>
          </c:val>
          <c:extLst>
            <c:ext xmlns:c16="http://schemas.microsoft.com/office/drawing/2014/chart" uri="{C3380CC4-5D6E-409C-BE32-E72D297353CC}">
              <c16:uniqueId val="{00000001-8E2B-44FB-8423-01355AA34E50}"/>
            </c:ext>
          </c:extLst>
        </c:ser>
        <c:ser>
          <c:idx val="3"/>
          <c:order val="3"/>
          <c:tx>
            <c:strRef>
              <c:f>starptautiska!$J$15</c:f>
              <c:strCache>
                <c:ptCount val="1"/>
                <c:pt idx="0">
                  <c:v>Nīderlande</c:v>
                </c:pt>
              </c:strCache>
            </c:strRef>
          </c:tx>
          <c:spPr>
            <a:solidFill>
              <a:srgbClr val="FFC000"/>
            </a:solidFill>
            <a:ln w="25400">
              <a:noFill/>
            </a:ln>
          </c:spPr>
          <c:invertIfNegative val="0"/>
          <c:dLbls>
            <c:spPr>
              <a:noFill/>
              <a:ln w="25400">
                <a:noFill/>
              </a:ln>
            </c:spPr>
            <c:txPr>
              <a:bodyPr rot="-5400000" vert="horz" wrap="square" lIns="38100" tIns="19050" rIns="38100" bIns="19050" anchor="ctr">
                <a:spAutoFit/>
              </a:bodyPr>
              <a:lstStyle/>
              <a:p>
                <a:pPr algn="ctr">
                  <a:defRPr sz="700" b="0" i="0" u="none" strike="noStrike" baseline="0">
                    <a:solidFill>
                      <a:sysClr val="windowText" lastClr="000000"/>
                    </a:solidFill>
                    <a:latin typeface="Calibri"/>
                    <a:ea typeface="Calibri"/>
                    <a:cs typeface="Calibri"/>
                  </a:defRPr>
                </a:pPr>
                <a:endParaRPr lang="lv-LV"/>
              </a:p>
            </c:txPr>
            <c:dLblPos val="inBase"/>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starptautiska!$M$11</c:f>
              <c:strCache>
                <c:ptCount val="1"/>
                <c:pt idx="0">
                  <c:v>2020Q2</c:v>
                </c:pt>
              </c:strCache>
            </c:strRef>
          </c:cat>
          <c:val>
            <c:numRef>
              <c:f>starptautiska!$M$15</c:f>
              <c:numCache>
                <c:formatCode>#\ ##0.0</c:formatCode>
                <c:ptCount val="1"/>
                <c:pt idx="0">
                  <c:v>-9.1999999999999993</c:v>
                </c:pt>
              </c:numCache>
            </c:numRef>
          </c:val>
          <c:extLst>
            <c:ext xmlns:c16="http://schemas.microsoft.com/office/drawing/2014/chart" uri="{C3380CC4-5D6E-409C-BE32-E72D297353CC}">
              <c16:uniqueId val="{00000002-8E2B-44FB-8423-01355AA34E50}"/>
            </c:ext>
          </c:extLst>
        </c:ser>
        <c:ser>
          <c:idx val="4"/>
          <c:order val="4"/>
          <c:tx>
            <c:strRef>
              <c:f>starptautiska!$J$16</c:f>
              <c:strCache>
                <c:ptCount val="1"/>
                <c:pt idx="0">
                  <c:v>Latvija</c:v>
                </c:pt>
              </c:strCache>
            </c:strRef>
          </c:tx>
          <c:spPr>
            <a:solidFill>
              <a:srgbClr val="4472C4"/>
            </a:solidFill>
            <a:ln w="25400">
              <a:noFill/>
            </a:ln>
          </c:spPr>
          <c:invertIfNegative val="0"/>
          <c:dLbls>
            <c:spPr>
              <a:noFill/>
              <a:ln w="25400">
                <a:noFill/>
              </a:ln>
            </c:spPr>
            <c:txPr>
              <a:bodyPr rot="-5400000" vert="horz" wrap="square" lIns="38100" tIns="19050" rIns="38100" bIns="19050" anchor="ctr">
                <a:spAutoFit/>
              </a:bodyPr>
              <a:lstStyle/>
              <a:p>
                <a:pPr algn="ctr">
                  <a:defRPr sz="700" b="0" i="0" u="none" strike="noStrike" baseline="0">
                    <a:solidFill>
                      <a:schemeClr val="bg1"/>
                    </a:solidFill>
                    <a:latin typeface="Calibri"/>
                    <a:ea typeface="Calibri"/>
                    <a:cs typeface="Calibri"/>
                  </a:defRPr>
                </a:pPr>
                <a:endParaRPr lang="lv-LV"/>
              </a:p>
            </c:txPr>
            <c:dLblPos val="inBase"/>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starptautiska!$M$11</c:f>
              <c:strCache>
                <c:ptCount val="1"/>
                <c:pt idx="0">
                  <c:v>2020Q2</c:v>
                </c:pt>
              </c:strCache>
            </c:strRef>
          </c:cat>
          <c:val>
            <c:numRef>
              <c:f>starptautiska!$M$16</c:f>
              <c:numCache>
                <c:formatCode>#\ ##0.0</c:formatCode>
                <c:ptCount val="1"/>
                <c:pt idx="0">
                  <c:v>-8.6</c:v>
                </c:pt>
              </c:numCache>
            </c:numRef>
          </c:val>
          <c:extLst>
            <c:ext xmlns:c16="http://schemas.microsoft.com/office/drawing/2014/chart" uri="{C3380CC4-5D6E-409C-BE32-E72D297353CC}">
              <c16:uniqueId val="{00000003-8E2B-44FB-8423-01355AA34E50}"/>
            </c:ext>
          </c:extLst>
        </c:ser>
        <c:ser>
          <c:idx val="5"/>
          <c:order val="5"/>
          <c:tx>
            <c:strRef>
              <c:f>starptautiska!$J$17</c:f>
              <c:strCache>
                <c:ptCount val="1"/>
                <c:pt idx="0">
                  <c:v>Dānija</c:v>
                </c:pt>
              </c:strCache>
            </c:strRef>
          </c:tx>
          <c:spPr>
            <a:solidFill>
              <a:srgbClr val="70AD47"/>
            </a:solidFill>
            <a:ln w="25400">
              <a:noFill/>
            </a:ln>
          </c:spPr>
          <c:invertIfNegative val="0"/>
          <c:dLbls>
            <c:spPr>
              <a:noFill/>
              <a:ln w="25400">
                <a:noFill/>
              </a:ln>
            </c:spPr>
            <c:txPr>
              <a:bodyPr rot="-5400000" vert="horz" wrap="square" lIns="38100" tIns="19050" rIns="38100" bIns="19050" anchor="ctr">
                <a:spAutoFit/>
              </a:bodyPr>
              <a:lstStyle/>
              <a:p>
                <a:pPr algn="ctr">
                  <a:defRPr sz="700" b="0" i="0" u="none" strike="noStrike" baseline="0">
                    <a:solidFill>
                      <a:sysClr val="windowText" lastClr="000000"/>
                    </a:solidFill>
                    <a:latin typeface="Calibri"/>
                    <a:ea typeface="Calibri"/>
                    <a:cs typeface="Calibri"/>
                  </a:defRPr>
                </a:pPr>
                <a:endParaRPr lang="lv-LV"/>
              </a:p>
            </c:txPr>
            <c:dLblPos val="inBase"/>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starptautiska!$M$11</c:f>
              <c:strCache>
                <c:ptCount val="1"/>
                <c:pt idx="0">
                  <c:v>2020Q2</c:v>
                </c:pt>
              </c:strCache>
            </c:strRef>
          </c:cat>
          <c:val>
            <c:numRef>
              <c:f>starptautiska!$M$17</c:f>
              <c:numCache>
                <c:formatCode>#\ ##0.0</c:formatCode>
                <c:ptCount val="1"/>
                <c:pt idx="0">
                  <c:v>-8.1999999999999993</c:v>
                </c:pt>
              </c:numCache>
            </c:numRef>
          </c:val>
          <c:extLst>
            <c:ext xmlns:c16="http://schemas.microsoft.com/office/drawing/2014/chart" uri="{C3380CC4-5D6E-409C-BE32-E72D297353CC}">
              <c16:uniqueId val="{00000004-8E2B-44FB-8423-01355AA34E50}"/>
            </c:ext>
          </c:extLst>
        </c:ser>
        <c:ser>
          <c:idx val="6"/>
          <c:order val="6"/>
          <c:tx>
            <c:strRef>
              <c:f>starptautiska!$J$18</c:f>
              <c:strCache>
                <c:ptCount val="1"/>
                <c:pt idx="0">
                  <c:v>Polija</c:v>
                </c:pt>
              </c:strCache>
            </c:strRef>
          </c:tx>
          <c:spPr>
            <a:solidFill>
              <a:schemeClr val="accent1">
                <a:lumMod val="60000"/>
              </a:schemeClr>
            </a:solidFill>
            <a:ln>
              <a:noFill/>
            </a:ln>
            <a:effectLst/>
          </c:spPr>
          <c:invertIfNegative val="0"/>
          <c:dLbls>
            <c:spPr>
              <a:noFill/>
              <a:ln w="25400">
                <a:noFill/>
              </a:ln>
            </c:spPr>
            <c:txPr>
              <a:bodyPr rot="-5400000" vert="horz" wrap="square" lIns="38100" tIns="19050" rIns="38100" bIns="19050" anchor="ctr">
                <a:spAutoFit/>
              </a:bodyPr>
              <a:lstStyle/>
              <a:p>
                <a:pPr algn="ctr">
                  <a:defRPr sz="700" b="0" i="0" u="none" strike="noStrike" baseline="0">
                    <a:solidFill>
                      <a:schemeClr val="bg1"/>
                    </a:solidFill>
                    <a:latin typeface="Calibri"/>
                    <a:ea typeface="Calibri"/>
                    <a:cs typeface="Calibri"/>
                  </a:defRPr>
                </a:pPr>
                <a:endParaRPr lang="lv-LV"/>
              </a:p>
            </c:txPr>
            <c:dLblPos val="inBase"/>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starptautiska!$M$11</c:f>
              <c:strCache>
                <c:ptCount val="1"/>
                <c:pt idx="0">
                  <c:v>2020Q2</c:v>
                </c:pt>
              </c:strCache>
            </c:strRef>
          </c:cat>
          <c:val>
            <c:numRef>
              <c:f>starptautiska!$M$18</c:f>
              <c:numCache>
                <c:formatCode>#\ ##0.0</c:formatCode>
                <c:ptCount val="1"/>
                <c:pt idx="0">
                  <c:v>-7.9</c:v>
                </c:pt>
              </c:numCache>
            </c:numRef>
          </c:val>
          <c:extLst>
            <c:ext xmlns:c16="http://schemas.microsoft.com/office/drawing/2014/chart" uri="{C3380CC4-5D6E-409C-BE32-E72D297353CC}">
              <c16:uniqueId val="{00000005-8E2B-44FB-8423-01355AA34E50}"/>
            </c:ext>
          </c:extLst>
        </c:ser>
        <c:ser>
          <c:idx val="7"/>
          <c:order val="7"/>
          <c:tx>
            <c:strRef>
              <c:f>starptautiska!$J$19</c:f>
              <c:strCache>
                <c:ptCount val="1"/>
                <c:pt idx="0">
                  <c:v>Zviedrija</c:v>
                </c:pt>
              </c:strCache>
            </c:strRef>
          </c:tx>
          <c:spPr>
            <a:solidFill>
              <a:schemeClr val="accent2">
                <a:lumMod val="60000"/>
              </a:schemeClr>
            </a:solidFill>
            <a:ln>
              <a:noFill/>
            </a:ln>
            <a:effectLst/>
          </c:spPr>
          <c:invertIfNegative val="0"/>
          <c:dLbls>
            <c:spPr>
              <a:noFill/>
              <a:ln w="25400">
                <a:noFill/>
              </a:ln>
            </c:spPr>
            <c:txPr>
              <a:bodyPr rot="-5400000" vert="horz" wrap="square" lIns="38100" tIns="19050" rIns="38100" bIns="19050" anchor="ctr">
                <a:spAutoFit/>
              </a:bodyPr>
              <a:lstStyle/>
              <a:p>
                <a:pPr algn="ctr">
                  <a:defRPr sz="700" b="0" i="0" u="none" strike="noStrike" baseline="0">
                    <a:solidFill>
                      <a:schemeClr val="bg1"/>
                    </a:solidFill>
                    <a:latin typeface="Calibri"/>
                    <a:ea typeface="Calibri"/>
                    <a:cs typeface="Calibri"/>
                  </a:defRPr>
                </a:pPr>
                <a:endParaRPr lang="lv-LV"/>
              </a:p>
            </c:txPr>
            <c:dLblPos val="inBase"/>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starptautiska!$M$11</c:f>
              <c:strCache>
                <c:ptCount val="1"/>
                <c:pt idx="0">
                  <c:v>2020Q2</c:v>
                </c:pt>
              </c:strCache>
            </c:strRef>
          </c:cat>
          <c:val>
            <c:numRef>
              <c:f>starptautiska!$M$19</c:f>
              <c:numCache>
                <c:formatCode>#\ ##0.0</c:formatCode>
                <c:ptCount val="1"/>
                <c:pt idx="0">
                  <c:v>-7.7</c:v>
                </c:pt>
              </c:numCache>
            </c:numRef>
          </c:val>
          <c:extLst>
            <c:ext xmlns:c16="http://schemas.microsoft.com/office/drawing/2014/chart" uri="{C3380CC4-5D6E-409C-BE32-E72D297353CC}">
              <c16:uniqueId val="{00000006-8E2B-44FB-8423-01355AA34E50}"/>
            </c:ext>
          </c:extLst>
        </c:ser>
        <c:ser>
          <c:idx val="8"/>
          <c:order val="8"/>
          <c:tx>
            <c:strRef>
              <c:f>starptautiska!$J$20</c:f>
              <c:strCache>
                <c:ptCount val="1"/>
                <c:pt idx="0">
                  <c:v>Igaunija</c:v>
                </c:pt>
              </c:strCache>
            </c:strRef>
          </c:tx>
          <c:spPr>
            <a:solidFill>
              <a:schemeClr val="accent3">
                <a:lumMod val="60000"/>
              </a:schemeClr>
            </a:solidFill>
            <a:ln>
              <a:noFill/>
            </a:ln>
            <a:effectLst/>
          </c:spPr>
          <c:invertIfNegative val="0"/>
          <c:dLbls>
            <c:dLbl>
              <c:idx val="0"/>
              <c:layout>
                <c:manualLayout>
                  <c:x val="-2.4078979051288226E-3"/>
                  <c:y val="0.21720388276881067"/>
                </c:manualLayout>
              </c:layout>
              <c:spPr>
                <a:noFill/>
                <a:ln w="25400">
                  <a:noFill/>
                </a:ln>
              </c:spPr>
              <c:txPr>
                <a:bodyPr rot="-5400000" vert="horz" wrap="square" lIns="38100" tIns="19050" rIns="38100" bIns="19050" anchor="ctr">
                  <a:spAutoFit/>
                </a:bodyPr>
                <a:lstStyle/>
                <a:p>
                  <a:pPr algn="ctr">
                    <a:defRPr sz="700" b="0" i="0" u="none" strike="noStrike" baseline="0">
                      <a:solidFill>
                        <a:schemeClr val="bg1"/>
                      </a:solidFill>
                      <a:latin typeface="Calibri"/>
                      <a:ea typeface="Calibri"/>
                      <a:cs typeface="Calibri"/>
                    </a:defRPr>
                  </a:pPr>
                  <a:endParaRPr lang="lv-LV"/>
                </a:p>
              </c:txPr>
              <c:dLblPos val="outEnd"/>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7-8E2B-44FB-8423-01355AA34E50}"/>
                </c:ext>
              </c:extLst>
            </c:dLbl>
            <c:spPr>
              <a:noFill/>
              <a:ln w="25400">
                <a:noFill/>
              </a:ln>
            </c:spPr>
            <c:txPr>
              <a:bodyPr rot="-5400000" vert="horz" wrap="square" lIns="38100" tIns="19050" rIns="38100" bIns="19050" anchor="ctr">
                <a:spAutoFit/>
              </a:bodyPr>
              <a:lstStyle/>
              <a:p>
                <a:pPr algn="ctr">
                  <a:defRPr sz="700" b="0" i="0" u="none" strike="noStrike" baseline="0">
                    <a:solidFill>
                      <a:sysClr val="windowText" lastClr="000000"/>
                    </a:solidFill>
                    <a:latin typeface="Calibri"/>
                    <a:ea typeface="Calibri"/>
                    <a:cs typeface="Calibri"/>
                  </a:defRPr>
                </a:pPr>
                <a:endParaRPr lang="lv-LV"/>
              </a:p>
            </c:txPr>
            <c:dLblPos val="inBase"/>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starptautiska!$M$11</c:f>
              <c:strCache>
                <c:ptCount val="1"/>
                <c:pt idx="0">
                  <c:v>2020Q2</c:v>
                </c:pt>
              </c:strCache>
            </c:strRef>
          </c:cat>
          <c:val>
            <c:numRef>
              <c:f>starptautiska!$M$20</c:f>
              <c:numCache>
                <c:formatCode>#\ ##0.0</c:formatCode>
                <c:ptCount val="1"/>
                <c:pt idx="0">
                  <c:v>-6.5</c:v>
                </c:pt>
              </c:numCache>
            </c:numRef>
          </c:val>
          <c:extLst>
            <c:ext xmlns:c16="http://schemas.microsoft.com/office/drawing/2014/chart" uri="{C3380CC4-5D6E-409C-BE32-E72D297353CC}">
              <c16:uniqueId val="{00000008-8E2B-44FB-8423-01355AA34E50}"/>
            </c:ext>
          </c:extLst>
        </c:ser>
        <c:ser>
          <c:idx val="9"/>
          <c:order val="9"/>
          <c:tx>
            <c:strRef>
              <c:f>starptautiska!$J$21</c:f>
              <c:strCache>
                <c:ptCount val="1"/>
                <c:pt idx="0">
                  <c:v>Somija</c:v>
                </c:pt>
              </c:strCache>
            </c:strRef>
          </c:tx>
          <c:spPr>
            <a:solidFill>
              <a:schemeClr val="accent4">
                <a:lumMod val="60000"/>
              </a:schemeClr>
            </a:solidFill>
            <a:ln>
              <a:noFill/>
            </a:ln>
            <a:effectLst/>
          </c:spPr>
          <c:invertIfNegative val="0"/>
          <c:dLbls>
            <c:spPr>
              <a:noFill/>
              <a:ln w="25400">
                <a:noFill/>
              </a:ln>
            </c:spPr>
            <c:txPr>
              <a:bodyPr rot="-5400000" vert="horz" wrap="square" lIns="38100" tIns="19050" rIns="38100" bIns="19050" anchor="ctr">
                <a:spAutoFit/>
              </a:bodyPr>
              <a:lstStyle/>
              <a:p>
                <a:pPr algn="ctr">
                  <a:defRPr sz="700" b="0" i="0" u="none" strike="noStrike" baseline="0">
                    <a:solidFill>
                      <a:schemeClr val="bg1"/>
                    </a:solidFill>
                    <a:latin typeface="Calibri"/>
                    <a:ea typeface="Calibri"/>
                    <a:cs typeface="Calibri"/>
                  </a:defRPr>
                </a:pPr>
                <a:endParaRPr lang="lv-LV"/>
              </a:p>
            </c:txPr>
            <c:dLblPos val="inBase"/>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starptautiska!$M$11</c:f>
              <c:strCache>
                <c:ptCount val="1"/>
                <c:pt idx="0">
                  <c:v>2020Q2</c:v>
                </c:pt>
              </c:strCache>
            </c:strRef>
          </c:cat>
          <c:val>
            <c:numRef>
              <c:f>starptautiska!$M$21</c:f>
              <c:numCache>
                <c:formatCode>#\ ##0.0</c:formatCode>
                <c:ptCount val="1"/>
                <c:pt idx="0">
                  <c:v>-6.3</c:v>
                </c:pt>
              </c:numCache>
            </c:numRef>
          </c:val>
          <c:extLst>
            <c:ext xmlns:c16="http://schemas.microsoft.com/office/drawing/2014/chart" uri="{C3380CC4-5D6E-409C-BE32-E72D297353CC}">
              <c16:uniqueId val="{00000009-8E2B-44FB-8423-01355AA34E50}"/>
            </c:ext>
          </c:extLst>
        </c:ser>
        <c:ser>
          <c:idx val="10"/>
          <c:order val="10"/>
          <c:tx>
            <c:strRef>
              <c:f>starptautiska!$J$22</c:f>
              <c:strCache>
                <c:ptCount val="1"/>
                <c:pt idx="0">
                  <c:v>Lietuva</c:v>
                </c:pt>
              </c:strCache>
            </c:strRef>
          </c:tx>
          <c:spPr>
            <a:solidFill>
              <a:schemeClr val="accent5">
                <a:lumMod val="60000"/>
              </a:schemeClr>
            </a:solidFill>
            <a:ln>
              <a:noFill/>
            </a:ln>
            <a:effectLst/>
          </c:spPr>
          <c:invertIfNegative val="0"/>
          <c:dLbls>
            <c:dLbl>
              <c:idx val="0"/>
              <c:layout>
                <c:manualLayout>
                  <c:x val="-1.5737603591749441E-3"/>
                  <c:y val="0.14349393083584266"/>
                </c:manualLayout>
              </c:layout>
              <c:spPr>
                <a:noFill/>
                <a:ln w="25400">
                  <a:noFill/>
                </a:ln>
              </c:spPr>
              <c:txPr>
                <a:bodyPr rot="-5400000" vert="horz"/>
                <a:lstStyle/>
                <a:p>
                  <a:pPr algn="ctr">
                    <a:defRPr sz="500" b="0" i="0" u="none" strike="noStrike" baseline="0">
                      <a:solidFill>
                        <a:srgbClr val="FFFFFF"/>
                      </a:solidFill>
                      <a:latin typeface="Calibri"/>
                      <a:ea typeface="Calibri"/>
                      <a:cs typeface="Calibri"/>
                    </a:defRPr>
                  </a:pPr>
                  <a:endParaRPr lang="lv-LV"/>
                </a:p>
              </c:txPr>
              <c:dLblPos val="outEnd"/>
              <c:showLegendKey val="0"/>
              <c:showVal val="1"/>
              <c:showCatName val="0"/>
              <c:showSerName val="1"/>
              <c:showPercent val="0"/>
              <c:showBubbleSize val="0"/>
              <c:extLst>
                <c:ext xmlns:c15="http://schemas.microsoft.com/office/drawing/2012/chart" uri="{CE6537A1-D6FC-4f65-9D91-7224C49458BB}">
                  <c15:layout>
                    <c:manualLayout>
                      <c:w val="0.14129387474191329"/>
                      <c:h val="0.12710933954832407"/>
                    </c:manualLayout>
                  </c15:layout>
                </c:ext>
                <c:ext xmlns:c16="http://schemas.microsoft.com/office/drawing/2014/chart" uri="{C3380CC4-5D6E-409C-BE32-E72D297353CC}">
                  <c16:uniqueId val="{0000000A-8E2B-44FB-8423-01355AA34E50}"/>
                </c:ext>
              </c:extLst>
            </c:dLbl>
            <c:spPr>
              <a:noFill/>
              <a:ln w="25400">
                <a:noFill/>
              </a:ln>
            </c:spPr>
            <c:txPr>
              <a:bodyPr rot="-5400000" vert="horz" wrap="square" lIns="38100" tIns="19050" rIns="38100" bIns="19050" anchor="ctr">
                <a:spAutoFit/>
              </a:bodyPr>
              <a:lstStyle/>
              <a:p>
                <a:pPr algn="ctr">
                  <a:defRPr sz="500" b="0" i="0" u="none" strike="noStrike" baseline="0">
                    <a:solidFill>
                      <a:srgbClr val="000000"/>
                    </a:solidFill>
                    <a:latin typeface="Calibri"/>
                    <a:ea typeface="Calibri"/>
                    <a:cs typeface="Calibri"/>
                  </a:defRPr>
                </a:pPr>
                <a:endParaRPr lang="lv-LV"/>
              </a:p>
            </c:txPr>
            <c:dLblPos val="inBase"/>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starptautiska!$M$11</c:f>
              <c:strCache>
                <c:ptCount val="1"/>
                <c:pt idx="0">
                  <c:v>2020Q2</c:v>
                </c:pt>
              </c:strCache>
            </c:strRef>
          </c:cat>
          <c:val>
            <c:numRef>
              <c:f>starptautiska!$M$22</c:f>
              <c:numCache>
                <c:formatCode>#\ ##0.0</c:formatCode>
                <c:ptCount val="1"/>
                <c:pt idx="0">
                  <c:v>-4</c:v>
                </c:pt>
              </c:numCache>
            </c:numRef>
          </c:val>
          <c:extLst>
            <c:ext xmlns:c16="http://schemas.microsoft.com/office/drawing/2014/chart" uri="{C3380CC4-5D6E-409C-BE32-E72D297353CC}">
              <c16:uniqueId val="{0000000B-8E2B-44FB-8423-01355AA34E50}"/>
            </c:ext>
          </c:extLst>
        </c:ser>
        <c:dLbls>
          <c:showLegendKey val="0"/>
          <c:showVal val="0"/>
          <c:showCatName val="0"/>
          <c:showSerName val="0"/>
          <c:showPercent val="0"/>
          <c:showBubbleSize val="0"/>
        </c:dLbls>
        <c:gapWidth val="150"/>
        <c:axId val="798346688"/>
        <c:axId val="1"/>
      </c:barChart>
      <c:scatterChart>
        <c:scatterStyle val="lineMarker"/>
        <c:varyColors val="0"/>
        <c:ser>
          <c:idx val="1"/>
          <c:order val="1"/>
          <c:tx>
            <c:strRef>
              <c:f>starptautiska!$J$13</c:f>
              <c:strCache>
                <c:ptCount val="1"/>
                <c:pt idx="0">
                  <c:v>ES 27</c:v>
                </c:pt>
              </c:strCache>
            </c:strRef>
          </c:tx>
          <c:spPr>
            <a:ln w="19050">
              <a:noFill/>
            </a:ln>
          </c:spPr>
          <c:marker>
            <c:symbol val="circle"/>
            <c:size val="5"/>
            <c:spPr>
              <a:solidFill>
                <a:schemeClr val="accent2"/>
              </a:solidFill>
              <a:ln w="9525">
                <a:solidFill>
                  <a:schemeClr val="accent2"/>
                </a:solidFill>
              </a:ln>
              <a:effectLst/>
            </c:spPr>
          </c:marker>
          <c:dPt>
            <c:idx val="0"/>
            <c:marker>
              <c:spPr>
                <a:solidFill>
                  <a:schemeClr val="accent2"/>
                </a:solidFill>
                <a:ln w="76200">
                  <a:solidFill>
                    <a:schemeClr val="accent2"/>
                  </a:solidFill>
                </a:ln>
                <a:effectLst/>
              </c:spPr>
            </c:marker>
            <c:bubble3D val="0"/>
            <c:extLst>
              <c:ext xmlns:c16="http://schemas.microsoft.com/office/drawing/2014/chart" uri="{C3380CC4-5D6E-409C-BE32-E72D297353CC}">
                <c16:uniqueId val="{0000000C-8E2B-44FB-8423-01355AA34E50}"/>
              </c:ext>
            </c:extLst>
          </c:dPt>
          <c:dLbls>
            <c:dLbl>
              <c:idx val="0"/>
              <c:layout>
                <c:manualLayout>
                  <c:x val="3.3021877082983243E-2"/>
                  <c:y val="2.0880674311684194E-3"/>
                </c:manualLayout>
              </c:layout>
              <c:spPr>
                <a:noFill/>
                <a:ln w="25400">
                  <a:noFill/>
                </a:ln>
              </c:spPr>
              <c:txPr>
                <a:bodyPr/>
                <a:lstStyle/>
                <a:p>
                  <a:pPr>
                    <a:defRPr sz="1050" b="0" i="0" u="none" strike="noStrike" baseline="0">
                      <a:solidFill>
                        <a:srgbClr val="000000"/>
                      </a:solidFill>
                      <a:latin typeface="Calibri"/>
                      <a:ea typeface="Calibri"/>
                      <a:cs typeface="Calibri"/>
                    </a:defRPr>
                  </a:pPr>
                  <a:endParaRPr lang="lv-LV"/>
                </a:p>
              </c:txPr>
              <c:dLblPos val="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C-8E2B-44FB-8423-01355AA34E50}"/>
                </c:ext>
              </c:extLst>
            </c:dLbl>
            <c:spPr>
              <a:noFill/>
              <a:ln w="25400">
                <a:noFill/>
              </a:ln>
            </c:spPr>
            <c:txPr>
              <a:bodyPr wrap="square" lIns="38100" tIns="19050" rIns="38100" bIns="19050" anchor="ctr">
                <a:spAutoFit/>
              </a:bodyPr>
              <a:lstStyle/>
              <a:p>
                <a:pPr>
                  <a:defRPr sz="1050" b="0" i="0" u="none" strike="noStrike" baseline="0">
                    <a:solidFill>
                      <a:srgbClr val="000000"/>
                    </a:solidFill>
                    <a:latin typeface="Calibri"/>
                    <a:ea typeface="Calibri"/>
                    <a:cs typeface="Calibri"/>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strRef>
              <c:f>starptautiska!$M$11</c:f>
              <c:strCache>
                <c:ptCount val="1"/>
                <c:pt idx="0">
                  <c:v>2020Q2</c:v>
                </c:pt>
              </c:strCache>
            </c:strRef>
          </c:xVal>
          <c:yVal>
            <c:numRef>
              <c:f>starptautiska!$M$13</c:f>
              <c:numCache>
                <c:formatCode>#\ ##0.0</c:formatCode>
                <c:ptCount val="1"/>
                <c:pt idx="0">
                  <c:v>-13.9</c:v>
                </c:pt>
              </c:numCache>
            </c:numRef>
          </c:yVal>
          <c:smooth val="0"/>
          <c:extLst>
            <c:ext xmlns:c16="http://schemas.microsoft.com/office/drawing/2014/chart" uri="{C3380CC4-5D6E-409C-BE32-E72D297353CC}">
              <c16:uniqueId val="{0000000D-8E2B-44FB-8423-01355AA34E50}"/>
            </c:ext>
          </c:extLst>
        </c:ser>
        <c:ser>
          <c:idx val="11"/>
          <c:order val="11"/>
          <c:tx>
            <c:strRef>
              <c:f>starptautiska!$J$23</c:f>
              <c:strCache>
                <c:ptCount val="1"/>
                <c:pt idx="0">
                  <c:v>Eiro zona 19</c:v>
                </c:pt>
              </c:strCache>
            </c:strRef>
          </c:tx>
          <c:spPr>
            <a:ln w="19050">
              <a:noFill/>
            </a:ln>
          </c:spPr>
          <c:marker>
            <c:symbol val="circle"/>
            <c:size val="5"/>
            <c:spPr>
              <a:solidFill>
                <a:schemeClr val="accent6">
                  <a:lumMod val="60000"/>
                </a:schemeClr>
              </a:solidFill>
              <a:ln w="50800">
                <a:solidFill>
                  <a:schemeClr val="accent6">
                    <a:lumMod val="60000"/>
                  </a:schemeClr>
                </a:solidFill>
              </a:ln>
              <a:effectLst/>
            </c:spPr>
          </c:marker>
          <c:dLbls>
            <c:dLbl>
              <c:idx val="0"/>
              <c:layout>
                <c:manualLayout>
                  <c:x val="-5.1020891832296543E-3"/>
                  <c:y val="6.3640750369386642E-2"/>
                </c:manualLayout>
              </c:layout>
              <c:spPr>
                <a:noFill/>
                <a:ln w="25400">
                  <a:noFill/>
                </a:ln>
              </c:spPr>
              <c:txPr>
                <a:bodyPr/>
                <a:lstStyle/>
                <a:p>
                  <a:pPr>
                    <a:defRPr sz="1000" b="0" i="0" u="none" strike="noStrike" baseline="0">
                      <a:solidFill>
                        <a:srgbClr val="000000"/>
                      </a:solidFill>
                      <a:latin typeface="Calibri"/>
                      <a:ea typeface="Calibri"/>
                      <a:cs typeface="Calibri"/>
                    </a:defRPr>
                  </a:pPr>
                  <a:endParaRPr lang="lv-LV"/>
                </a:p>
              </c:txPr>
              <c:dLblPos val="r"/>
              <c:showLegendKey val="0"/>
              <c:showVal val="1"/>
              <c:showCatName val="0"/>
              <c:showSerName val="1"/>
              <c:showPercent val="0"/>
              <c:showBubbleSize val="0"/>
              <c:extLst>
                <c:ext xmlns:c15="http://schemas.microsoft.com/office/drawing/2012/chart" uri="{CE6537A1-D6FC-4f65-9D91-7224C49458BB}">
                  <c15:layout>
                    <c:manualLayout>
                      <c:w val="0.29309672734442987"/>
                      <c:h val="7.8775319355864362E-2"/>
                    </c:manualLayout>
                  </c15:layout>
                </c:ext>
                <c:ext xmlns:c16="http://schemas.microsoft.com/office/drawing/2014/chart" uri="{C3380CC4-5D6E-409C-BE32-E72D297353CC}">
                  <c16:uniqueId val="{0000000E-8E2B-44FB-8423-01355AA34E50}"/>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lv-LV"/>
              </a:p>
            </c:tx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xVal>
            <c:strRef>
              <c:f>starptautiska!$M$11</c:f>
              <c:strCache>
                <c:ptCount val="1"/>
                <c:pt idx="0">
                  <c:v>2020Q2</c:v>
                </c:pt>
              </c:strCache>
            </c:strRef>
          </c:xVal>
          <c:yVal>
            <c:numRef>
              <c:f>starptautiska!$M$23</c:f>
              <c:numCache>
                <c:formatCode>#\ ##0.0</c:formatCode>
                <c:ptCount val="1"/>
                <c:pt idx="0">
                  <c:v>-14.7</c:v>
                </c:pt>
              </c:numCache>
            </c:numRef>
          </c:yVal>
          <c:smooth val="0"/>
          <c:extLst>
            <c:ext xmlns:c16="http://schemas.microsoft.com/office/drawing/2014/chart" uri="{C3380CC4-5D6E-409C-BE32-E72D297353CC}">
              <c16:uniqueId val="{0000000F-8E2B-44FB-8423-01355AA34E50}"/>
            </c:ext>
          </c:extLst>
        </c:ser>
        <c:dLbls>
          <c:showLegendKey val="0"/>
          <c:showVal val="0"/>
          <c:showCatName val="0"/>
          <c:showSerName val="0"/>
          <c:showPercent val="0"/>
          <c:showBubbleSize val="0"/>
        </c:dLbls>
        <c:axId val="798346688"/>
        <c:axId val="1"/>
      </c:scatterChart>
      <c:catAx>
        <c:axId val="798346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100" b="0" i="0" u="none" strike="noStrike" baseline="0">
                <a:solidFill>
                  <a:srgbClr val="000000"/>
                </a:solidFill>
                <a:latin typeface="Calibri"/>
                <a:ea typeface="Calibri"/>
                <a:cs typeface="Calibri"/>
              </a:defRPr>
            </a:pPr>
            <a:endParaRPr lang="lv-LV"/>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lv-LV">
                    <a:solidFill>
                      <a:sysClr val="windowText" lastClr="000000"/>
                    </a:solidFill>
                  </a:rPr>
                  <a:t>% IKP</a:t>
                </a:r>
              </a:p>
            </c:rich>
          </c:tx>
          <c:overlay val="0"/>
        </c:title>
        <c:numFmt formatCode="#\ ##0.0" sourceLinked="1"/>
        <c:majorTickMark val="none"/>
        <c:minorTickMark val="none"/>
        <c:tickLblPos val="nextTo"/>
        <c:spPr>
          <a:ln w="6350">
            <a:noFill/>
          </a:ln>
        </c:spPr>
        <c:txPr>
          <a:bodyPr rot="0" vert="horz"/>
          <a:lstStyle/>
          <a:p>
            <a:pPr>
              <a:defRPr sz="800" b="0" i="0" u="none" strike="noStrike" baseline="0">
                <a:solidFill>
                  <a:srgbClr val="000000"/>
                </a:solidFill>
                <a:latin typeface="Calibri"/>
                <a:ea typeface="Calibri"/>
                <a:cs typeface="Calibri"/>
              </a:defRPr>
            </a:pPr>
            <a:endParaRPr lang="lv-LV"/>
          </a:p>
        </c:txPr>
        <c:crossAx val="798346688"/>
        <c:crosses val="autoZero"/>
        <c:crossBetween val="between"/>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sz="1000" b="0" i="0" u="none" strike="noStrike" baseline="0">
          <a:solidFill>
            <a:srgbClr val="000000"/>
          </a:solidFill>
          <a:latin typeface="Calibri"/>
          <a:ea typeface="Calibri"/>
          <a:cs typeface="Calibri"/>
        </a:defRPr>
      </a:pPr>
      <a:endParaRPr lang="lv-LV"/>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0.34875</cdr:y>
    </cdr:from>
    <cdr:to>
      <cdr:x>0.1012</cdr:x>
      <cdr:y>0.43211</cdr:y>
    </cdr:to>
    <cdr:sp macro="" textlink="">
      <cdr:nvSpPr>
        <cdr:cNvPr id="2" name="TextBox 1"/>
        <cdr:cNvSpPr txBox="1"/>
      </cdr:nvSpPr>
      <cdr:spPr>
        <a:xfrm xmlns:a="http://schemas.openxmlformats.org/drawingml/2006/main">
          <a:off x="-3916392" y="878288"/>
          <a:ext cx="246252" cy="2099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defRPr sz="1000"/>
          </a:pPr>
          <a:r>
            <a:rPr lang="lv-LV" sz="700" b="0" i="0" u="none" strike="noStrike" baseline="0">
              <a:solidFill>
                <a:srgbClr val="333333"/>
              </a:solidFill>
              <a:latin typeface="Arial"/>
              <a:cs typeface="Arial"/>
            </a:rPr>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334BA3005092044E8D497CF5C2A74793" ma:contentTypeVersion="11" ma:contentTypeDescription="Izveidot jaunu dokumentu." ma:contentTypeScope="" ma:versionID="814ef1f3021ed731e805bac4c3850f4c">
  <xsd:schema xmlns:xsd="http://www.w3.org/2001/XMLSchema" xmlns:xs="http://www.w3.org/2001/XMLSchema" xmlns:p="http://schemas.microsoft.com/office/2006/metadata/properties" xmlns:ns2="9c70c90a-7b91-4514-9304-0bf9c3ca33df" xmlns:ns3="18cde31a-aed2-49ce-b570-e812b29b6342" targetNamespace="http://schemas.microsoft.com/office/2006/metadata/properties" ma:root="true" ma:fieldsID="8c9eba8827ab1ac9bafee20292cd0407" ns2:_="" ns3:_="">
    <xsd:import namespace="9c70c90a-7b91-4514-9304-0bf9c3ca33df"/>
    <xsd:import namespace="18cde31a-aed2-49ce-b570-e812b29b634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0c90a-7b91-4514-9304-0bf9c3ca3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cde31a-aed2-49ce-b570-e812b29b6342" elementFormDefault="qualified">
    <xsd:import namespace="http://schemas.microsoft.com/office/2006/documentManagement/types"/>
    <xsd:import namespace="http://schemas.microsoft.com/office/infopath/2007/PartnerControls"/>
    <xsd:element name="SharedWithUsers" ma:index="11"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6C89E-0BEA-4A10-BB39-BE85A2FAF9D7}">
  <ds:schemaRefs>
    <ds:schemaRef ds:uri="http://schemas.microsoft.com/sharepoint/v3/contenttype/forms"/>
  </ds:schemaRefs>
</ds:datastoreItem>
</file>

<file path=customXml/itemProps2.xml><?xml version="1.0" encoding="utf-8"?>
<ds:datastoreItem xmlns:ds="http://schemas.openxmlformats.org/officeDocument/2006/customXml" ds:itemID="{DDD42931-AF0D-46EF-822B-1EB00A6402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4C53BB-BBD7-4F59-9033-2FF0EA286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0c90a-7b91-4514-9304-0bf9c3ca33df"/>
    <ds:schemaRef ds:uri="18cde31a-aed2-49ce-b570-e812b29b6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DE4DCB-0340-4DAD-BD7B-641E75273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58727</Words>
  <Characters>33475</Characters>
  <Application>Microsoft Office Word</Application>
  <DocSecurity>0</DocSecurity>
  <Lines>278</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Viktorija Zaremba</dc:creator>
  <cp:lastModifiedBy>Normunds Malnačs</cp:lastModifiedBy>
  <cp:revision>2</cp:revision>
  <cp:lastPrinted>2020-10-09T12:24:00Z</cp:lastPrinted>
  <dcterms:created xsi:type="dcterms:W3CDTF">2020-10-12T08:34:00Z</dcterms:created>
  <dcterms:modified xsi:type="dcterms:W3CDTF">2020-10-12T08:34:00Z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0x010100334BA3005092044E8D497CF5C2A74793</vt:lpwstr>
  </property>
</Properties>
</file>