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D756" w14:textId="77777777" w:rsidR="00543AA6" w:rsidRPr="005851C0"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bookmarkStart w:id="0" w:name="_GoBack"/>
      <w:bookmarkEnd w:id="0"/>
      <w:r w:rsidRPr="005851C0">
        <w:rPr>
          <w:rFonts w:ascii="Times New Roman" w:eastAsia="Times New Roman" w:hAnsi="Times New Roman" w:cs="Times New Roman"/>
          <w:b/>
          <w:bCs/>
          <w:sz w:val="24"/>
          <w:szCs w:val="24"/>
          <w:lang w:eastAsia="lv-LV"/>
        </w:rPr>
        <w:t xml:space="preserve"> </w:t>
      </w:r>
      <w:r w:rsidR="00E41115" w:rsidRPr="005851C0">
        <w:rPr>
          <w:rFonts w:ascii="Times New Roman" w:eastAsia="Times New Roman" w:hAnsi="Times New Roman" w:cs="Times New Roman"/>
          <w:b/>
          <w:bCs/>
          <w:sz w:val="26"/>
          <w:szCs w:val="26"/>
          <w:lang w:eastAsia="lv-LV"/>
        </w:rPr>
        <w:t xml:space="preserve">Likumprojekta </w:t>
      </w:r>
      <w:r w:rsidR="00D6069A">
        <w:rPr>
          <w:rFonts w:ascii="Times New Roman" w:eastAsia="Times New Roman" w:hAnsi="Times New Roman" w:cs="Times New Roman"/>
          <w:b/>
          <w:bCs/>
          <w:sz w:val="26"/>
          <w:szCs w:val="26"/>
          <w:lang w:eastAsia="lv-LV"/>
        </w:rPr>
        <w:t>“</w:t>
      </w:r>
      <w:r w:rsidR="00E41115" w:rsidRPr="005851C0">
        <w:rPr>
          <w:rFonts w:ascii="Times New Roman" w:eastAsia="Times New Roman" w:hAnsi="Times New Roman" w:cs="Times New Roman"/>
          <w:b/>
          <w:bCs/>
          <w:sz w:val="26"/>
          <w:szCs w:val="26"/>
          <w:lang w:eastAsia="lv-LV"/>
        </w:rPr>
        <w:t xml:space="preserve">Grozījumi likumā </w:t>
      </w:r>
      <w:r w:rsidR="00D6069A">
        <w:rPr>
          <w:rFonts w:ascii="Times New Roman" w:eastAsia="Times New Roman" w:hAnsi="Times New Roman" w:cs="Times New Roman"/>
          <w:b/>
          <w:bCs/>
          <w:sz w:val="26"/>
          <w:szCs w:val="26"/>
          <w:lang w:eastAsia="lv-LV"/>
        </w:rPr>
        <w:t>“</w:t>
      </w:r>
      <w:r w:rsidR="00E41115" w:rsidRPr="005851C0">
        <w:rPr>
          <w:rFonts w:ascii="Times New Roman" w:eastAsia="Times New Roman" w:hAnsi="Times New Roman" w:cs="Times New Roman"/>
          <w:b/>
          <w:bCs/>
          <w:sz w:val="26"/>
          <w:szCs w:val="26"/>
          <w:lang w:eastAsia="lv-LV"/>
        </w:rPr>
        <w:t>Par akcīzes nodokli””</w:t>
      </w:r>
      <w:r w:rsidR="00543AA6" w:rsidRPr="005851C0">
        <w:rPr>
          <w:rFonts w:ascii="Times New Roman" w:eastAsia="Times New Roman" w:hAnsi="Times New Roman" w:cs="Times New Roman"/>
          <w:b/>
          <w:bCs/>
          <w:sz w:val="26"/>
          <w:szCs w:val="26"/>
          <w:lang w:eastAsia="lv-LV"/>
        </w:rPr>
        <w:t xml:space="preserve"> sākotnējās ietekmes novērtējuma ziņojums</w:t>
      </w:r>
      <w:r w:rsidR="00543AA6" w:rsidRPr="005851C0">
        <w:rPr>
          <w:rFonts w:ascii="Times New Roman" w:eastAsia="Times New Roman" w:hAnsi="Times New Roman" w:cs="Times New Roman"/>
          <w:b/>
          <w:bCs/>
          <w:sz w:val="26"/>
          <w:szCs w:val="26"/>
          <w:lang w:eastAsia="lv-LV"/>
        </w:rPr>
        <w:br/>
        <w:t>(anotācija)</w:t>
      </w:r>
    </w:p>
    <w:p w14:paraId="3D87C75F"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8"/>
        <w:gridCol w:w="5953"/>
      </w:tblGrid>
      <w:tr w:rsidR="00543AA6" w:rsidRPr="005851C0" w14:paraId="015978C0" w14:textId="77777777" w:rsidTr="00C6173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CF86C2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A524EC3" w14:textId="77777777" w:rsidTr="00C6173F">
        <w:tc>
          <w:tcPr>
            <w:tcW w:w="1864" w:type="pct"/>
            <w:tcBorders>
              <w:top w:val="outset" w:sz="6" w:space="0" w:color="414142"/>
              <w:left w:val="outset" w:sz="6" w:space="0" w:color="414142"/>
              <w:bottom w:val="outset" w:sz="6" w:space="0" w:color="414142"/>
              <w:right w:val="outset" w:sz="6" w:space="0" w:color="414142"/>
            </w:tcBorders>
            <w:hideMark/>
          </w:tcPr>
          <w:p w14:paraId="6079FECB"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36" w:type="pct"/>
            <w:tcBorders>
              <w:top w:val="outset" w:sz="6" w:space="0" w:color="414142"/>
              <w:left w:val="outset" w:sz="6" w:space="0" w:color="414142"/>
              <w:bottom w:val="outset" w:sz="6" w:space="0" w:color="414142"/>
              <w:right w:val="outset" w:sz="6" w:space="0" w:color="414142"/>
            </w:tcBorders>
            <w:hideMark/>
          </w:tcPr>
          <w:p w14:paraId="43308F8F" w14:textId="77777777" w:rsidR="00302376" w:rsidRPr="005851C0" w:rsidRDefault="00302376" w:rsidP="00302376">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Likumprojekts </w:t>
            </w:r>
            <w:r w:rsidRPr="005851C0">
              <w:rPr>
                <w:rFonts w:ascii="Times New Roman" w:eastAsia="Times New Roman" w:hAnsi="Times New Roman" w:cs="Times New Roman"/>
                <w:bCs/>
                <w:sz w:val="24"/>
                <w:szCs w:val="24"/>
                <w:lang w:eastAsia="lv-LV"/>
              </w:rPr>
              <w:t xml:space="preserve">“Grozījumi likumā </w:t>
            </w:r>
            <w:r w:rsidR="00D6069A">
              <w:rPr>
                <w:rFonts w:ascii="Times New Roman" w:eastAsia="Times New Roman" w:hAnsi="Times New Roman" w:cs="Times New Roman"/>
                <w:bCs/>
                <w:sz w:val="24"/>
                <w:szCs w:val="24"/>
                <w:lang w:eastAsia="lv-LV"/>
              </w:rPr>
              <w:t>“</w:t>
            </w:r>
            <w:r w:rsidRPr="005851C0">
              <w:rPr>
                <w:rFonts w:ascii="Times New Roman" w:eastAsia="Times New Roman" w:hAnsi="Times New Roman" w:cs="Times New Roman"/>
                <w:bCs/>
                <w:sz w:val="24"/>
                <w:szCs w:val="24"/>
                <w:lang w:eastAsia="lv-LV"/>
              </w:rPr>
              <w:t>Par akcīzes nodokli”” (turpmāk – likumprojekts) paredz</w:t>
            </w:r>
            <w:r w:rsidRPr="005851C0">
              <w:rPr>
                <w:rFonts w:ascii="Times New Roman" w:eastAsia="Times New Roman" w:hAnsi="Times New Roman" w:cs="Times New Roman"/>
                <w:sz w:val="24"/>
                <w:szCs w:val="24"/>
                <w:lang w:eastAsia="lv-LV"/>
              </w:rPr>
              <w:t xml:space="preserve"> veikt grozījumus likumā “Par akcīzes nodokli” (turpmāk – likums)</w:t>
            </w:r>
            <w:r w:rsidR="00EF4764" w:rsidRPr="005851C0">
              <w:rPr>
                <w:rFonts w:ascii="Times New Roman" w:eastAsia="Times New Roman" w:hAnsi="Times New Roman" w:cs="Times New Roman"/>
                <w:sz w:val="24"/>
                <w:szCs w:val="24"/>
                <w:lang w:eastAsia="lv-LV"/>
              </w:rPr>
              <w:t xml:space="preserve"> ar mērķi</w:t>
            </w:r>
            <w:r w:rsidRPr="005851C0">
              <w:rPr>
                <w:rFonts w:ascii="Times New Roman" w:eastAsia="Times New Roman" w:hAnsi="Times New Roman" w:cs="Times New Roman"/>
                <w:sz w:val="24"/>
                <w:szCs w:val="24"/>
                <w:lang w:eastAsia="lv-LV"/>
              </w:rPr>
              <w:t>:</w:t>
            </w:r>
          </w:p>
          <w:p w14:paraId="3B710777" w14:textId="77777777" w:rsidR="00D273FC" w:rsidRDefault="00DE3FBE" w:rsidP="00342915">
            <w:pPr>
              <w:spacing w:after="0" w:line="240" w:lineRule="auto"/>
              <w:ind w:firstLine="40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D273FC">
              <w:rPr>
                <w:rFonts w:ascii="Times New Roman" w:eastAsia="Times New Roman" w:hAnsi="Times New Roman" w:cs="Times New Roman"/>
                <w:sz w:val="24"/>
                <w:szCs w:val="24"/>
                <w:lang w:eastAsia="lv-LV"/>
              </w:rPr>
              <w:t xml:space="preserve">precizēt </w:t>
            </w:r>
            <w:r w:rsidRPr="00DE3FBE">
              <w:rPr>
                <w:rFonts w:ascii="Times New Roman" w:eastAsia="Calibri" w:hAnsi="Times New Roman" w:cs="Times New Roman"/>
                <w:sz w:val="24"/>
                <w:szCs w:val="24"/>
              </w:rPr>
              <w:t>elektroniskajās cigaretēs izmantojamo šķidrumu</w:t>
            </w:r>
            <w:r w:rsidR="00D273FC">
              <w:rPr>
                <w:rFonts w:ascii="Times New Roman" w:eastAsia="Calibri" w:hAnsi="Times New Roman" w:cs="Times New Roman"/>
                <w:sz w:val="24"/>
                <w:szCs w:val="24"/>
              </w:rPr>
              <w:t xml:space="preserve"> definīciju, ņemot vērā, ka akcīzes nodoklis tiks piemērots arī</w:t>
            </w:r>
            <w:proofErr w:type="gramStart"/>
            <w:r w:rsidR="00D273FC">
              <w:rPr>
                <w:rFonts w:ascii="Times New Roman" w:eastAsia="Calibri" w:hAnsi="Times New Roman" w:cs="Times New Roman"/>
                <w:sz w:val="24"/>
                <w:szCs w:val="24"/>
              </w:rPr>
              <w:t xml:space="preserve"> </w:t>
            </w:r>
            <w:r w:rsidRPr="00DE3FBE">
              <w:rPr>
                <w:rFonts w:ascii="Times New Roman" w:eastAsia="Calibri" w:hAnsi="Times New Roman" w:cs="Times New Roman"/>
                <w:sz w:val="24"/>
                <w:szCs w:val="24"/>
              </w:rPr>
              <w:t xml:space="preserve"> </w:t>
            </w:r>
            <w:proofErr w:type="gramEnd"/>
            <w:r w:rsidR="00D273FC" w:rsidRPr="00DE3FBE">
              <w:rPr>
                <w:rFonts w:ascii="Times New Roman" w:eastAsia="Calibri" w:hAnsi="Times New Roman" w:cs="Times New Roman"/>
                <w:sz w:val="24"/>
                <w:szCs w:val="24"/>
              </w:rPr>
              <w:t xml:space="preserve">elektroniskajās cigaretēs izmantojamo šķidrumu </w:t>
            </w:r>
            <w:r w:rsidR="00D273FC">
              <w:rPr>
                <w:rFonts w:ascii="Times New Roman" w:eastAsia="Calibri" w:hAnsi="Times New Roman" w:cs="Times New Roman"/>
                <w:sz w:val="24"/>
                <w:szCs w:val="24"/>
              </w:rPr>
              <w:t>sagatavošanas sastāvdaļām;</w:t>
            </w:r>
          </w:p>
          <w:p w14:paraId="39002FC6" w14:textId="59570FB1" w:rsidR="00302376" w:rsidRPr="005851C0" w:rsidRDefault="00D273FC" w:rsidP="00342915">
            <w:pPr>
              <w:spacing w:after="0" w:line="240" w:lineRule="auto"/>
              <w:ind w:firstLine="40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paredzēt definīciju tabakas aizstājējproduktiem</w:t>
            </w:r>
            <w:r w:rsidR="00DE3FBE" w:rsidRPr="00DE3FBE">
              <w:rPr>
                <w:rFonts w:ascii="Times New Roman" w:eastAsia="Calibri" w:hAnsi="Times New Roman" w:cs="Times New Roman"/>
                <w:sz w:val="24"/>
                <w:szCs w:val="24"/>
              </w:rPr>
              <w:t xml:space="preserve">, kas, </w:t>
            </w:r>
            <w:r w:rsidR="00DE3FBE" w:rsidRPr="00DE3FBE">
              <w:rPr>
                <w:rFonts w:ascii="Times New Roman" w:hAnsi="Times New Roman" w:cs="Times New Roman"/>
                <w:sz w:val="24"/>
                <w:szCs w:val="24"/>
              </w:rPr>
              <w:t xml:space="preserve">satur vai nesatur nikotīnu </w:t>
            </w:r>
            <w:proofErr w:type="gramStart"/>
            <w:r w:rsidR="00DE3FBE" w:rsidRPr="00DE3FBE">
              <w:rPr>
                <w:rFonts w:ascii="Times New Roman" w:hAnsi="Times New Roman" w:cs="Times New Roman"/>
                <w:sz w:val="24"/>
                <w:szCs w:val="24"/>
              </w:rPr>
              <w:t>un</w:t>
            </w:r>
            <w:proofErr w:type="gramEnd"/>
            <w:r w:rsidR="00DE3FBE" w:rsidRPr="00DE3FBE">
              <w:rPr>
                <w:rFonts w:ascii="Times New Roman" w:hAnsi="Times New Roman" w:cs="Times New Roman"/>
                <w:sz w:val="24"/>
                <w:szCs w:val="24"/>
              </w:rPr>
              <w:t xml:space="preserve"> kuri nav iepriekš definēti, kā zināmi tabakas izstrādājumi</w:t>
            </w:r>
            <w:r w:rsidR="00302376" w:rsidRPr="00DE3FBE">
              <w:rPr>
                <w:rFonts w:ascii="Times New Roman" w:eastAsia="Times New Roman" w:hAnsi="Times New Roman" w:cs="Times New Roman"/>
                <w:sz w:val="24"/>
                <w:szCs w:val="24"/>
                <w:lang w:eastAsia="lv-LV"/>
              </w:rPr>
              <w:t>;</w:t>
            </w:r>
          </w:p>
          <w:p w14:paraId="57359C11" w14:textId="64CC60FC" w:rsidR="00302376" w:rsidRPr="005851C0" w:rsidRDefault="00302376" w:rsidP="00302376">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 </w:t>
            </w:r>
            <w:r w:rsidR="00DE3FBE">
              <w:rPr>
                <w:rFonts w:ascii="Times New Roman" w:eastAsia="Times New Roman" w:hAnsi="Times New Roman" w:cs="Times New Roman"/>
                <w:sz w:val="24"/>
                <w:szCs w:val="24"/>
                <w:lang w:eastAsia="lv-LV"/>
              </w:rPr>
              <w:t>noteikt pakāpenisku akcīzes nodokļa likmju paaugstināšanu tabakas izstrādājumiem, kā arī</w:t>
            </w:r>
            <w:proofErr w:type="gramStart"/>
            <w:r w:rsidR="00DE3FBE">
              <w:rPr>
                <w:rFonts w:ascii="Times New Roman" w:eastAsia="Times New Roman" w:hAnsi="Times New Roman" w:cs="Times New Roman"/>
                <w:sz w:val="24"/>
                <w:szCs w:val="24"/>
                <w:lang w:eastAsia="lv-LV"/>
              </w:rPr>
              <w:t xml:space="preserve">  </w:t>
            </w:r>
            <w:proofErr w:type="gramEnd"/>
            <w:r w:rsidR="00DE3FBE">
              <w:rPr>
                <w:rFonts w:ascii="Times New Roman" w:eastAsia="Times New Roman" w:hAnsi="Times New Roman" w:cs="Times New Roman"/>
                <w:sz w:val="24"/>
                <w:szCs w:val="24"/>
                <w:lang w:eastAsia="lv-LV"/>
              </w:rPr>
              <w:t xml:space="preserve">akcīzes nodokļa likmes ieviešanu un pakāpenisku paaugstināšanu </w:t>
            </w:r>
            <w:r w:rsidR="00DE3FBE" w:rsidRPr="00DE3FBE">
              <w:rPr>
                <w:rFonts w:ascii="Times New Roman" w:eastAsia="Calibri" w:hAnsi="Times New Roman" w:cs="Times New Roman"/>
                <w:sz w:val="24"/>
                <w:szCs w:val="24"/>
              </w:rPr>
              <w:t>elekt</w:t>
            </w:r>
            <w:r w:rsidR="00DE3FBE">
              <w:rPr>
                <w:rFonts w:ascii="Times New Roman" w:eastAsia="Calibri" w:hAnsi="Times New Roman" w:cs="Times New Roman"/>
                <w:sz w:val="24"/>
                <w:szCs w:val="24"/>
              </w:rPr>
              <w:t>roniskajās cigaretēs izmantojamo</w:t>
            </w:r>
            <w:r w:rsidR="00DE3FBE" w:rsidRPr="00DE3FBE">
              <w:rPr>
                <w:rFonts w:ascii="Times New Roman" w:eastAsia="Calibri" w:hAnsi="Times New Roman" w:cs="Times New Roman"/>
                <w:sz w:val="24"/>
                <w:szCs w:val="24"/>
              </w:rPr>
              <w:t xml:space="preserve"> šķidrumu </w:t>
            </w:r>
            <w:r w:rsidR="00DE3FBE">
              <w:rPr>
                <w:rFonts w:ascii="Times New Roman" w:eastAsia="Calibri" w:hAnsi="Times New Roman" w:cs="Times New Roman"/>
                <w:sz w:val="24"/>
                <w:szCs w:val="24"/>
              </w:rPr>
              <w:t>sagatavošanas</w:t>
            </w:r>
            <w:r w:rsidR="00DE3FBE" w:rsidRPr="00DE3FBE">
              <w:rPr>
                <w:rFonts w:ascii="Times New Roman" w:eastAsia="Calibri" w:hAnsi="Times New Roman" w:cs="Times New Roman"/>
                <w:sz w:val="24"/>
                <w:szCs w:val="24"/>
              </w:rPr>
              <w:t xml:space="preserve"> sastāvdaļām</w:t>
            </w:r>
            <w:r w:rsidR="00D273FC">
              <w:rPr>
                <w:rFonts w:ascii="Times New Roman" w:eastAsia="Calibri" w:hAnsi="Times New Roman" w:cs="Times New Roman"/>
                <w:sz w:val="24"/>
                <w:szCs w:val="24"/>
              </w:rPr>
              <w:t xml:space="preserve"> un tabakas aizstājējproduktiem</w:t>
            </w:r>
            <w:r w:rsidR="00DE3FBE">
              <w:rPr>
                <w:rFonts w:ascii="Times New Roman" w:eastAsia="Calibri" w:hAnsi="Times New Roman" w:cs="Times New Roman"/>
                <w:sz w:val="24"/>
                <w:szCs w:val="24"/>
              </w:rPr>
              <w:t>;</w:t>
            </w:r>
          </w:p>
          <w:p w14:paraId="3EB1098C" w14:textId="5889B09F" w:rsidR="00302376" w:rsidRPr="005851C0" w:rsidRDefault="008A209D" w:rsidP="00302376">
            <w:pPr>
              <w:spacing w:after="0" w:line="240" w:lineRule="auto"/>
              <w:ind w:firstLine="4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 </w:t>
            </w:r>
            <w:r w:rsidR="00DE3FBE">
              <w:rPr>
                <w:rFonts w:ascii="Times New Roman" w:eastAsia="Times New Roman" w:hAnsi="Times New Roman" w:cs="Times New Roman"/>
                <w:sz w:val="24"/>
                <w:szCs w:val="24"/>
                <w:lang w:eastAsia="lv-LV"/>
              </w:rPr>
              <w:t xml:space="preserve">noteikt nosacījumus, ka karsējamā tabaka, </w:t>
            </w:r>
            <w:r w:rsidR="00DE3FBE" w:rsidRPr="00DE3FBE">
              <w:rPr>
                <w:rFonts w:ascii="Times New Roman" w:eastAsia="Calibri" w:hAnsi="Times New Roman" w:cs="Times New Roman"/>
                <w:sz w:val="24"/>
                <w:szCs w:val="24"/>
              </w:rPr>
              <w:t>elekt</w:t>
            </w:r>
            <w:r w:rsidR="00DE3FBE">
              <w:rPr>
                <w:rFonts w:ascii="Times New Roman" w:eastAsia="Calibri" w:hAnsi="Times New Roman" w:cs="Times New Roman"/>
                <w:sz w:val="24"/>
                <w:szCs w:val="24"/>
              </w:rPr>
              <w:t>roniskajās ci</w:t>
            </w:r>
            <w:r w:rsidR="00802DD9">
              <w:rPr>
                <w:rFonts w:ascii="Times New Roman" w:eastAsia="Calibri" w:hAnsi="Times New Roman" w:cs="Times New Roman"/>
                <w:sz w:val="24"/>
                <w:szCs w:val="24"/>
              </w:rPr>
              <w:t>garetēs izmantojamie šķidrumi,</w:t>
            </w:r>
            <w:r w:rsidR="00DE3FBE">
              <w:rPr>
                <w:rFonts w:ascii="Times New Roman" w:eastAsia="Calibri" w:hAnsi="Times New Roman" w:cs="Times New Roman"/>
                <w:sz w:val="24"/>
                <w:szCs w:val="24"/>
              </w:rPr>
              <w:t xml:space="preserve"> </w:t>
            </w:r>
            <w:r w:rsidR="00802DD9" w:rsidRPr="00DE3FBE">
              <w:rPr>
                <w:rFonts w:ascii="Times New Roman" w:eastAsia="Calibri" w:hAnsi="Times New Roman" w:cs="Times New Roman"/>
                <w:sz w:val="24"/>
                <w:szCs w:val="24"/>
              </w:rPr>
              <w:t>elekt</w:t>
            </w:r>
            <w:r w:rsidR="00802DD9">
              <w:rPr>
                <w:rFonts w:ascii="Times New Roman" w:eastAsia="Calibri" w:hAnsi="Times New Roman" w:cs="Times New Roman"/>
                <w:sz w:val="24"/>
                <w:szCs w:val="24"/>
              </w:rPr>
              <w:t xml:space="preserve">roniskajās cigaretēs izmantojamo šķidrumu </w:t>
            </w:r>
            <w:r w:rsidR="00DE3FBE" w:rsidRPr="00DE3FBE">
              <w:rPr>
                <w:rFonts w:ascii="Times New Roman" w:eastAsia="Calibri" w:hAnsi="Times New Roman" w:cs="Times New Roman"/>
                <w:sz w:val="24"/>
                <w:szCs w:val="24"/>
              </w:rPr>
              <w:t>sagatavošanas sastāvdaļ</w:t>
            </w:r>
            <w:r w:rsidR="00802DD9">
              <w:rPr>
                <w:rFonts w:ascii="Times New Roman" w:eastAsia="Calibri" w:hAnsi="Times New Roman" w:cs="Times New Roman"/>
                <w:sz w:val="24"/>
                <w:szCs w:val="24"/>
              </w:rPr>
              <w:t xml:space="preserve">as un </w:t>
            </w:r>
            <w:r w:rsidR="00D273FC">
              <w:rPr>
                <w:rFonts w:ascii="Times New Roman" w:eastAsia="Calibri" w:hAnsi="Times New Roman" w:cs="Times New Roman"/>
                <w:sz w:val="24"/>
                <w:szCs w:val="24"/>
              </w:rPr>
              <w:t>tabakas aizstājējprodukti</w:t>
            </w:r>
            <w:r w:rsidR="00DE3FBE">
              <w:rPr>
                <w:rFonts w:ascii="Times New Roman" w:eastAsia="Calibri" w:hAnsi="Times New Roman" w:cs="Times New Roman"/>
                <w:sz w:val="24"/>
                <w:szCs w:val="24"/>
              </w:rPr>
              <w:t xml:space="preserve"> tiek marķēti ar akcīzes nodokļa markām</w:t>
            </w:r>
            <w:r w:rsidR="00962A69">
              <w:rPr>
                <w:rFonts w:ascii="Times New Roman" w:eastAsia="Calibri" w:hAnsi="Times New Roman" w:cs="Times New Roman"/>
                <w:sz w:val="24"/>
                <w:szCs w:val="24"/>
              </w:rPr>
              <w:t xml:space="preserve">. </w:t>
            </w:r>
            <w:r w:rsidR="00962A69" w:rsidRPr="00802DD9">
              <w:rPr>
                <w:rFonts w:ascii="Times New Roman" w:eastAsia="Calibri" w:hAnsi="Times New Roman" w:cs="Times New Roman"/>
                <w:sz w:val="24"/>
                <w:szCs w:val="24"/>
              </w:rPr>
              <w:t>Minētajam nosacījumam pa</w:t>
            </w:r>
            <w:r w:rsidR="002F4D59" w:rsidRPr="00802DD9">
              <w:rPr>
                <w:rFonts w:ascii="Times New Roman" w:eastAsia="Calibri" w:hAnsi="Times New Roman" w:cs="Times New Roman"/>
                <w:sz w:val="24"/>
                <w:szCs w:val="24"/>
              </w:rPr>
              <w:t xml:space="preserve">redzot pārejas periodu līdz </w:t>
            </w:r>
            <w:proofErr w:type="gramStart"/>
            <w:r w:rsidR="002F4D59" w:rsidRPr="00802DD9">
              <w:rPr>
                <w:rFonts w:ascii="Times New Roman" w:eastAsia="Calibri" w:hAnsi="Times New Roman" w:cs="Times New Roman"/>
                <w:sz w:val="24"/>
                <w:szCs w:val="24"/>
              </w:rPr>
              <w:t>2021</w:t>
            </w:r>
            <w:r w:rsidR="00962A69" w:rsidRPr="00802DD9">
              <w:rPr>
                <w:rFonts w:ascii="Times New Roman" w:eastAsia="Calibri" w:hAnsi="Times New Roman" w:cs="Times New Roman"/>
                <w:sz w:val="24"/>
                <w:szCs w:val="24"/>
              </w:rPr>
              <w:t>.gada</w:t>
            </w:r>
            <w:proofErr w:type="gramEnd"/>
            <w:r w:rsidR="002F4D59" w:rsidRPr="00802DD9">
              <w:rPr>
                <w:rFonts w:ascii="Times New Roman" w:eastAsia="Calibri" w:hAnsi="Times New Roman" w:cs="Times New Roman"/>
                <w:sz w:val="24"/>
                <w:szCs w:val="24"/>
              </w:rPr>
              <w:t xml:space="preserve"> 1.jūlijam</w:t>
            </w:r>
            <w:r w:rsidR="00962A69" w:rsidRPr="00802DD9">
              <w:rPr>
                <w:rFonts w:ascii="Times New Roman" w:eastAsia="Calibri" w:hAnsi="Times New Roman" w:cs="Times New Roman"/>
                <w:sz w:val="24"/>
                <w:szCs w:val="24"/>
              </w:rPr>
              <w:t>.</w:t>
            </w:r>
          </w:p>
          <w:p w14:paraId="7CE3A6CE" w14:textId="77777777" w:rsidR="00BD7663" w:rsidRDefault="00A5015E" w:rsidP="00E33C38">
            <w:pPr>
              <w:spacing w:after="0" w:line="240" w:lineRule="auto"/>
              <w:ind w:firstLine="400"/>
              <w:jc w:val="both"/>
              <w:rPr>
                <w:rFonts w:ascii="Times New Roman" w:hAnsi="Times New Roman" w:cs="Times New Roman"/>
                <w:sz w:val="24"/>
                <w:szCs w:val="24"/>
              </w:rPr>
            </w:pPr>
            <w:r w:rsidRPr="005851C0">
              <w:rPr>
                <w:rFonts w:ascii="Times New Roman" w:hAnsi="Times New Roman" w:cs="Times New Roman"/>
                <w:sz w:val="24"/>
                <w:szCs w:val="24"/>
              </w:rPr>
              <w:t xml:space="preserve">Likums stājas spēkā </w:t>
            </w:r>
            <w:proofErr w:type="gramStart"/>
            <w:r w:rsidRPr="005851C0">
              <w:rPr>
                <w:rFonts w:ascii="Times New Roman" w:hAnsi="Times New Roman" w:cs="Times New Roman"/>
                <w:sz w:val="24"/>
                <w:szCs w:val="24"/>
              </w:rPr>
              <w:t>2021.gada</w:t>
            </w:r>
            <w:proofErr w:type="gramEnd"/>
            <w:r w:rsidRPr="005851C0">
              <w:rPr>
                <w:rFonts w:ascii="Times New Roman" w:hAnsi="Times New Roman" w:cs="Times New Roman"/>
                <w:sz w:val="24"/>
                <w:szCs w:val="24"/>
              </w:rPr>
              <w:t xml:space="preserve"> 1.janvārī.</w:t>
            </w:r>
          </w:p>
          <w:p w14:paraId="210FE85F" w14:textId="00A96065" w:rsidR="00BB079D" w:rsidRPr="005851C0" w:rsidRDefault="00E33C38" w:rsidP="00E33C38">
            <w:pPr>
              <w:spacing w:after="0" w:line="240" w:lineRule="auto"/>
              <w:ind w:firstLine="400"/>
              <w:jc w:val="both"/>
              <w:rPr>
                <w:rFonts w:ascii="Times New Roman" w:eastAsia="Times New Roman" w:hAnsi="Times New Roman" w:cs="Times New Roman"/>
                <w:bCs/>
                <w:sz w:val="24"/>
                <w:szCs w:val="24"/>
                <w:lang w:eastAsia="lv-LV"/>
              </w:rPr>
            </w:pPr>
            <w:r w:rsidRPr="005851C0">
              <w:rPr>
                <w:rFonts w:ascii="Times New Roman" w:eastAsia="Times New Roman" w:hAnsi="Times New Roman" w:cs="Times New Roman"/>
                <w:bCs/>
                <w:sz w:val="24"/>
                <w:szCs w:val="24"/>
                <w:lang w:eastAsia="lv-LV"/>
              </w:rPr>
              <w:t xml:space="preserve"> </w:t>
            </w:r>
          </w:p>
        </w:tc>
      </w:tr>
    </w:tbl>
    <w:p w14:paraId="42A48F44" w14:textId="77777777" w:rsidR="0058711A" w:rsidRPr="005851C0" w:rsidRDefault="0058711A"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4"/>
        <w:gridCol w:w="2914"/>
        <w:gridCol w:w="6093"/>
      </w:tblGrid>
      <w:tr w:rsidR="00543AA6" w:rsidRPr="005851C0" w14:paraId="61B1F8EC"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190A6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5D097535"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03A7633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795AA31"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53AEEDA5" w14:textId="77777777" w:rsidR="00174314" w:rsidRPr="005851C0" w:rsidRDefault="00174314" w:rsidP="00174314">
            <w:pPr>
              <w:rPr>
                <w:rFonts w:ascii="Times New Roman" w:eastAsia="Times New Roman" w:hAnsi="Times New Roman" w:cs="Times New Roman"/>
                <w:sz w:val="24"/>
                <w:szCs w:val="24"/>
                <w:lang w:eastAsia="lv-LV"/>
              </w:rPr>
            </w:pPr>
          </w:p>
          <w:p w14:paraId="78DFB698" w14:textId="77777777" w:rsidR="00174314" w:rsidRPr="005851C0" w:rsidRDefault="00174314" w:rsidP="00174314">
            <w:pPr>
              <w:rPr>
                <w:rFonts w:ascii="Times New Roman" w:eastAsia="Times New Roman" w:hAnsi="Times New Roman" w:cs="Times New Roman"/>
                <w:sz w:val="24"/>
                <w:szCs w:val="24"/>
                <w:lang w:eastAsia="lv-LV"/>
              </w:rPr>
            </w:pPr>
          </w:p>
          <w:p w14:paraId="396CD563"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2208E051" w14:textId="38BDF1AC" w:rsidR="00A50548" w:rsidRDefault="002F4D59" w:rsidP="0016539F">
            <w:pPr>
              <w:spacing w:after="0" w:line="240" w:lineRule="auto"/>
              <w:ind w:firstLine="390"/>
              <w:jc w:val="both"/>
              <w:rPr>
                <w:rFonts w:ascii="Times New Roman" w:hAnsi="Times New Roman" w:cs="Times New Roman"/>
                <w:sz w:val="24"/>
                <w:szCs w:val="24"/>
              </w:rPr>
            </w:pPr>
            <w:r w:rsidRPr="00C257F9">
              <w:rPr>
                <w:rFonts w:ascii="Times New Roman" w:hAnsi="Times New Roman" w:cs="Times New Roman"/>
                <w:sz w:val="24"/>
                <w:szCs w:val="24"/>
              </w:rPr>
              <w:t xml:space="preserve">Ministru kabineta </w:t>
            </w:r>
            <w:proofErr w:type="gramStart"/>
            <w:r w:rsidRPr="00C257F9">
              <w:rPr>
                <w:rFonts w:ascii="Times New Roman" w:hAnsi="Times New Roman" w:cs="Times New Roman"/>
                <w:sz w:val="24"/>
                <w:szCs w:val="24"/>
              </w:rPr>
              <w:t>2020.gada</w:t>
            </w:r>
            <w:proofErr w:type="gramEnd"/>
            <w:r w:rsidRPr="00C257F9">
              <w:rPr>
                <w:rFonts w:ascii="Times New Roman" w:hAnsi="Times New Roman" w:cs="Times New Roman"/>
                <w:sz w:val="24"/>
                <w:szCs w:val="24"/>
              </w:rPr>
              <w:t xml:space="preserve"> 2.septembra sēdes protokola Nr.</w:t>
            </w:r>
            <w:r w:rsidR="00C257F9" w:rsidRPr="00C257F9">
              <w:rPr>
                <w:rFonts w:ascii="Times New Roman" w:hAnsi="Times New Roman" w:cs="Times New Roman"/>
                <w:sz w:val="24"/>
                <w:szCs w:val="24"/>
              </w:rPr>
              <w:t xml:space="preserve">51 </w:t>
            </w:r>
            <w:bookmarkStart w:id="1" w:name="45"/>
            <w:r w:rsidR="00C257F9" w:rsidRPr="00C257F9">
              <w:rPr>
                <w:rFonts w:ascii="Times New Roman" w:hAnsi="Times New Roman" w:cs="Times New Roman"/>
                <w:sz w:val="24"/>
                <w:szCs w:val="24"/>
              </w:rPr>
              <w:t>45.§</w:t>
            </w:r>
            <w:bookmarkEnd w:id="1"/>
            <w:r w:rsidR="00C257F9" w:rsidRPr="00C257F9">
              <w:rPr>
                <w:rFonts w:ascii="Times New Roman" w:hAnsi="Times New Roman" w:cs="Times New Roman"/>
                <w:sz w:val="24"/>
                <w:szCs w:val="24"/>
              </w:rPr>
              <w:t xml:space="preserve"> </w:t>
            </w:r>
            <w:r w:rsidRPr="00C257F9">
              <w:rPr>
                <w:rFonts w:ascii="Times New Roman" w:hAnsi="Times New Roman" w:cs="Times New Roman"/>
                <w:sz w:val="24"/>
                <w:szCs w:val="24"/>
              </w:rPr>
              <w:t>par Informatīvo ziņojumu “Par nodokļu politikas attīstības virzieniem, valsts sociālās un veselības apdrošināšanas ilgtspējas veicināšanai”</w:t>
            </w:r>
            <w:r w:rsidR="00906E42" w:rsidRPr="00C257F9">
              <w:rPr>
                <w:rFonts w:ascii="Times New Roman" w:hAnsi="Times New Roman" w:cs="Times New Roman"/>
                <w:sz w:val="24"/>
                <w:szCs w:val="24"/>
              </w:rPr>
              <w:t xml:space="preserve"> </w:t>
            </w:r>
            <w:r w:rsidR="00C257F9" w:rsidRPr="00C257F9">
              <w:rPr>
                <w:rFonts w:ascii="Times New Roman" w:hAnsi="Times New Roman" w:cs="Times New Roman"/>
                <w:sz w:val="24"/>
                <w:szCs w:val="24"/>
              </w:rPr>
              <w:t>2.2.7</w:t>
            </w:r>
            <w:r w:rsidR="00906E42" w:rsidRPr="00C257F9">
              <w:rPr>
                <w:rFonts w:ascii="Times New Roman" w:hAnsi="Times New Roman" w:cs="Times New Roman"/>
                <w:sz w:val="24"/>
                <w:szCs w:val="24"/>
              </w:rPr>
              <w:t>.punkts</w:t>
            </w:r>
            <w:r w:rsidR="00C257F9" w:rsidRPr="00C257F9">
              <w:rPr>
                <w:rFonts w:ascii="Times New Roman" w:hAnsi="Times New Roman" w:cs="Times New Roman"/>
                <w:sz w:val="24"/>
                <w:szCs w:val="24"/>
              </w:rPr>
              <w:t>, kas paredz Finanšu ministrijai veikt grozījumus likumā “Par akcīzes nodokli”, lai no 2021.gada pakāpeniski paaugstinātu akcīzes nodokļa likmes cigaretēm, tabakas izstrādājumiem un karsējamai tabakai, kā arī vienkāršotu un paaugstinātu akcīzes nodokļa likmes elektroniskajās cigaretēs izmantojamiem šķidrumiem un ieviestu akcīzes nodokli elektroniskajās cigaretēs izmantojamo šķidrumu sagatavošanas sastāvdaļā</w:t>
            </w:r>
            <w:r w:rsidR="00226888">
              <w:rPr>
                <w:rFonts w:ascii="Times New Roman" w:hAnsi="Times New Roman" w:cs="Times New Roman"/>
                <w:sz w:val="24"/>
                <w:szCs w:val="24"/>
              </w:rPr>
              <w:t>m, kā arī tabakas aizstājējproduktiem</w:t>
            </w:r>
            <w:r w:rsidR="00C257F9" w:rsidRPr="00C257F9">
              <w:rPr>
                <w:rFonts w:ascii="Times New Roman" w:hAnsi="Times New Roman" w:cs="Times New Roman"/>
                <w:sz w:val="24"/>
                <w:szCs w:val="24"/>
              </w:rPr>
              <w:t>.</w:t>
            </w:r>
          </w:p>
          <w:p w14:paraId="6A6FC5F0" w14:textId="5899DEE5" w:rsidR="00BD7663" w:rsidRPr="005851C0" w:rsidRDefault="00BD7663" w:rsidP="0016539F">
            <w:pPr>
              <w:spacing w:after="0" w:line="240" w:lineRule="auto"/>
              <w:ind w:firstLine="390"/>
              <w:jc w:val="both"/>
              <w:rPr>
                <w:rFonts w:ascii="Times New Roman" w:hAnsi="Times New Roman" w:cs="Times New Roman"/>
                <w:sz w:val="24"/>
                <w:szCs w:val="24"/>
              </w:rPr>
            </w:pPr>
          </w:p>
        </w:tc>
      </w:tr>
      <w:tr w:rsidR="0038587F" w:rsidRPr="005851C0" w14:paraId="4AD0AF51"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4EE2571B"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5C349361" w14:textId="77777777" w:rsidR="009F2884" w:rsidRPr="005851C0" w:rsidRDefault="009F2884" w:rsidP="009F2884">
            <w:pPr>
              <w:rPr>
                <w:rFonts w:ascii="Times New Roman" w:eastAsia="Times New Roman" w:hAnsi="Times New Roman" w:cs="Times New Roman"/>
                <w:sz w:val="24"/>
                <w:szCs w:val="24"/>
                <w:lang w:eastAsia="lv-LV"/>
              </w:rPr>
            </w:pPr>
          </w:p>
          <w:p w14:paraId="6806D1A5" w14:textId="77777777" w:rsidR="009F2884" w:rsidRPr="005851C0" w:rsidRDefault="009F2884" w:rsidP="009F2884">
            <w:pPr>
              <w:rPr>
                <w:rFonts w:ascii="Times New Roman" w:eastAsia="Times New Roman" w:hAnsi="Times New Roman" w:cs="Times New Roman"/>
                <w:sz w:val="24"/>
                <w:szCs w:val="24"/>
                <w:lang w:eastAsia="lv-LV"/>
              </w:rPr>
            </w:pPr>
          </w:p>
          <w:p w14:paraId="68A585E0" w14:textId="77777777" w:rsidR="009F2884" w:rsidRPr="005851C0" w:rsidRDefault="009F2884" w:rsidP="009F2884">
            <w:pPr>
              <w:rPr>
                <w:rFonts w:ascii="Times New Roman" w:eastAsia="Times New Roman" w:hAnsi="Times New Roman" w:cs="Times New Roman"/>
                <w:sz w:val="24"/>
                <w:szCs w:val="24"/>
                <w:lang w:eastAsia="lv-LV"/>
              </w:rPr>
            </w:pPr>
          </w:p>
          <w:p w14:paraId="310DC189" w14:textId="77777777" w:rsidR="009F2884" w:rsidRPr="005851C0" w:rsidRDefault="009F2884" w:rsidP="009F2884">
            <w:pPr>
              <w:rPr>
                <w:rFonts w:ascii="Times New Roman" w:eastAsia="Times New Roman" w:hAnsi="Times New Roman" w:cs="Times New Roman"/>
                <w:sz w:val="24"/>
                <w:szCs w:val="24"/>
                <w:lang w:eastAsia="lv-LV"/>
              </w:rPr>
            </w:pPr>
          </w:p>
          <w:p w14:paraId="77C67278" w14:textId="77777777" w:rsidR="009F2884" w:rsidRPr="005851C0" w:rsidRDefault="009F2884" w:rsidP="009F2884">
            <w:pPr>
              <w:rPr>
                <w:rFonts w:ascii="Times New Roman" w:eastAsia="Times New Roman" w:hAnsi="Times New Roman" w:cs="Times New Roman"/>
                <w:sz w:val="24"/>
                <w:szCs w:val="24"/>
                <w:lang w:eastAsia="lv-LV"/>
              </w:rPr>
            </w:pPr>
          </w:p>
          <w:p w14:paraId="13224D4C" w14:textId="77777777" w:rsidR="009F2884" w:rsidRPr="005851C0" w:rsidRDefault="009F2884" w:rsidP="009F2884">
            <w:pPr>
              <w:rPr>
                <w:rFonts w:ascii="Times New Roman" w:eastAsia="Times New Roman" w:hAnsi="Times New Roman" w:cs="Times New Roman"/>
                <w:sz w:val="24"/>
                <w:szCs w:val="24"/>
                <w:lang w:eastAsia="lv-LV"/>
              </w:rPr>
            </w:pPr>
          </w:p>
          <w:p w14:paraId="25FC1F13" w14:textId="77777777" w:rsidR="009F2884" w:rsidRPr="005851C0" w:rsidRDefault="009F2884" w:rsidP="009F2884">
            <w:pPr>
              <w:rPr>
                <w:rFonts w:ascii="Times New Roman" w:eastAsia="Times New Roman" w:hAnsi="Times New Roman" w:cs="Times New Roman"/>
                <w:sz w:val="24"/>
                <w:szCs w:val="24"/>
                <w:lang w:eastAsia="lv-LV"/>
              </w:rPr>
            </w:pPr>
          </w:p>
          <w:p w14:paraId="5440D3CC"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560A2647"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5E6B6495" w14:textId="77777777" w:rsidR="002F71AE" w:rsidRPr="005851C0" w:rsidRDefault="002F71AE" w:rsidP="002F71AE">
            <w:pPr>
              <w:rPr>
                <w:rFonts w:ascii="Times New Roman" w:eastAsia="Times New Roman" w:hAnsi="Times New Roman" w:cs="Times New Roman"/>
                <w:sz w:val="24"/>
                <w:szCs w:val="24"/>
                <w:lang w:eastAsia="lv-LV"/>
              </w:rPr>
            </w:pPr>
          </w:p>
          <w:p w14:paraId="58FE8C75" w14:textId="77777777" w:rsidR="002F71AE" w:rsidRPr="005851C0" w:rsidRDefault="002F71AE" w:rsidP="002F71AE">
            <w:pPr>
              <w:rPr>
                <w:rFonts w:ascii="Times New Roman" w:eastAsia="Times New Roman" w:hAnsi="Times New Roman" w:cs="Times New Roman"/>
                <w:sz w:val="24"/>
                <w:szCs w:val="24"/>
                <w:lang w:eastAsia="lv-LV"/>
              </w:rPr>
            </w:pPr>
          </w:p>
          <w:p w14:paraId="385F46A9" w14:textId="77777777" w:rsidR="002F71AE" w:rsidRPr="005851C0" w:rsidRDefault="002F71AE" w:rsidP="002F71AE">
            <w:pPr>
              <w:rPr>
                <w:rFonts w:ascii="Times New Roman" w:eastAsia="Times New Roman" w:hAnsi="Times New Roman" w:cs="Times New Roman"/>
                <w:sz w:val="24"/>
                <w:szCs w:val="24"/>
                <w:lang w:eastAsia="lv-LV"/>
              </w:rPr>
            </w:pPr>
          </w:p>
          <w:p w14:paraId="3A269949"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75D361D4" w14:textId="77777777" w:rsidR="002F71AE" w:rsidRPr="005851C0" w:rsidRDefault="002F71AE" w:rsidP="002F71AE">
            <w:pPr>
              <w:rPr>
                <w:rFonts w:ascii="Times New Roman" w:eastAsia="Times New Roman" w:hAnsi="Times New Roman" w:cs="Times New Roman"/>
                <w:sz w:val="24"/>
                <w:szCs w:val="24"/>
                <w:lang w:eastAsia="lv-LV"/>
              </w:rPr>
            </w:pPr>
          </w:p>
          <w:p w14:paraId="495CF9D3" w14:textId="77777777" w:rsidR="002F71AE" w:rsidRPr="005851C0" w:rsidRDefault="002F71AE" w:rsidP="002F71AE">
            <w:pPr>
              <w:rPr>
                <w:rFonts w:ascii="Times New Roman" w:eastAsia="Times New Roman" w:hAnsi="Times New Roman" w:cs="Times New Roman"/>
                <w:sz w:val="24"/>
                <w:szCs w:val="24"/>
                <w:lang w:eastAsia="lv-LV"/>
              </w:rPr>
            </w:pPr>
          </w:p>
          <w:p w14:paraId="0EE8FE94"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B7B2EF6" w14:textId="77777777" w:rsidR="002A4683" w:rsidRPr="005851C0" w:rsidRDefault="002A4683" w:rsidP="002A4683">
            <w:pPr>
              <w:rPr>
                <w:rFonts w:ascii="Times New Roman" w:eastAsia="Times New Roman" w:hAnsi="Times New Roman" w:cs="Times New Roman"/>
                <w:sz w:val="24"/>
                <w:szCs w:val="24"/>
                <w:lang w:eastAsia="lv-LV"/>
              </w:rPr>
            </w:pPr>
          </w:p>
          <w:p w14:paraId="5FC559E0" w14:textId="77777777" w:rsidR="002A4683" w:rsidRPr="005851C0" w:rsidRDefault="002A4683" w:rsidP="002A4683">
            <w:pPr>
              <w:rPr>
                <w:rFonts w:ascii="Times New Roman" w:eastAsia="Times New Roman" w:hAnsi="Times New Roman" w:cs="Times New Roman"/>
                <w:sz w:val="24"/>
                <w:szCs w:val="24"/>
                <w:lang w:eastAsia="lv-LV"/>
              </w:rPr>
            </w:pPr>
          </w:p>
          <w:p w14:paraId="3115BD4B" w14:textId="77777777" w:rsidR="002A4683" w:rsidRPr="005851C0" w:rsidRDefault="002A4683" w:rsidP="002A4683">
            <w:pPr>
              <w:rPr>
                <w:rFonts w:ascii="Times New Roman" w:eastAsia="Times New Roman" w:hAnsi="Times New Roman" w:cs="Times New Roman"/>
                <w:sz w:val="24"/>
                <w:szCs w:val="24"/>
                <w:lang w:eastAsia="lv-LV"/>
              </w:rPr>
            </w:pPr>
          </w:p>
          <w:p w14:paraId="2A0BB4B3" w14:textId="77777777" w:rsidR="002A4683" w:rsidRPr="005851C0" w:rsidRDefault="002A4683" w:rsidP="002A4683">
            <w:pPr>
              <w:rPr>
                <w:rFonts w:ascii="Times New Roman" w:eastAsia="Times New Roman" w:hAnsi="Times New Roman" w:cs="Times New Roman"/>
                <w:sz w:val="24"/>
                <w:szCs w:val="24"/>
                <w:lang w:eastAsia="lv-LV"/>
              </w:rPr>
            </w:pPr>
          </w:p>
          <w:p w14:paraId="1E1FF153" w14:textId="77777777" w:rsidR="002A4683" w:rsidRPr="005851C0" w:rsidRDefault="002A4683" w:rsidP="002A4683">
            <w:pPr>
              <w:rPr>
                <w:rFonts w:ascii="Times New Roman" w:eastAsia="Times New Roman" w:hAnsi="Times New Roman" w:cs="Times New Roman"/>
                <w:sz w:val="24"/>
                <w:szCs w:val="24"/>
                <w:lang w:eastAsia="lv-LV"/>
              </w:rPr>
            </w:pPr>
          </w:p>
          <w:p w14:paraId="4A79BCC4"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3D5B4637" w14:textId="48626ABA" w:rsidR="002F4D59" w:rsidRPr="006D3DFA" w:rsidRDefault="00226888" w:rsidP="006D3DFA">
            <w:pPr>
              <w:pStyle w:val="ListParagraph"/>
              <w:numPr>
                <w:ilvl w:val="0"/>
                <w:numId w:val="21"/>
              </w:numPr>
              <w:tabs>
                <w:tab w:val="left" w:pos="250"/>
              </w:tabs>
              <w:ind w:left="0" w:firstLine="391"/>
              <w:jc w:val="both"/>
              <w:rPr>
                <w:rFonts w:eastAsia="Calibri"/>
              </w:rPr>
            </w:pPr>
            <w:r w:rsidRPr="006D3DFA">
              <w:rPr>
                <w:rFonts w:eastAsia="Calibri"/>
                <w:szCs w:val="28"/>
              </w:rPr>
              <w:lastRenderedPageBreak/>
              <w:t>Pašl</w:t>
            </w:r>
            <w:r>
              <w:rPr>
                <w:rFonts w:eastAsia="Calibri"/>
                <w:szCs w:val="28"/>
              </w:rPr>
              <w:t>aik likums</w:t>
            </w:r>
            <w:r w:rsidRPr="006D3DFA">
              <w:rPr>
                <w:rFonts w:eastAsia="Calibri"/>
                <w:szCs w:val="28"/>
              </w:rPr>
              <w:t xml:space="preserve"> neparedz </w:t>
            </w:r>
            <w:r>
              <w:rPr>
                <w:rFonts w:eastAsia="Calibri"/>
                <w:szCs w:val="28"/>
              </w:rPr>
              <w:t xml:space="preserve">elektroniskajās cigaretēs izmantojamo šķidrumu sagatavošanas sastāvdaļas un tabakas aizstājējproduktus definēt, kā ar akcīzes nodokli apliekamus objektus. </w:t>
            </w:r>
            <w:r w:rsidR="006D3DFA">
              <w:rPr>
                <w:rFonts w:eastAsia="Calibri"/>
                <w:szCs w:val="28"/>
              </w:rPr>
              <w:t>Ņemot vērā, ka</w:t>
            </w:r>
            <w:r w:rsidR="00154F11">
              <w:rPr>
                <w:rFonts w:eastAsia="Calibri"/>
                <w:szCs w:val="28"/>
              </w:rPr>
              <w:t xml:space="preserve"> tiek noteikts, ka</w:t>
            </w:r>
            <w:r w:rsidR="006D3DFA">
              <w:rPr>
                <w:rFonts w:eastAsia="Calibri"/>
                <w:szCs w:val="28"/>
              </w:rPr>
              <w:t xml:space="preserve"> </w:t>
            </w:r>
            <w:r w:rsidR="006955C7">
              <w:rPr>
                <w:rFonts w:eastAsia="Calibri"/>
                <w:szCs w:val="28"/>
              </w:rPr>
              <w:t xml:space="preserve">elektroniskajās </w:t>
            </w:r>
            <w:r w:rsidR="00154F11">
              <w:rPr>
                <w:rFonts w:eastAsia="Calibri"/>
                <w:szCs w:val="28"/>
              </w:rPr>
              <w:t>cigaretēs izmantojamo</w:t>
            </w:r>
            <w:r w:rsidR="006955C7">
              <w:rPr>
                <w:rFonts w:eastAsia="Calibri"/>
                <w:szCs w:val="28"/>
              </w:rPr>
              <w:t xml:space="preserve"> š</w:t>
            </w:r>
            <w:r w:rsidR="006D3DFA">
              <w:rPr>
                <w:rFonts w:eastAsia="Calibri"/>
                <w:szCs w:val="28"/>
              </w:rPr>
              <w:t>ķidrumu sagatavošanas sastā</w:t>
            </w:r>
            <w:r>
              <w:rPr>
                <w:rFonts w:eastAsia="Calibri"/>
                <w:szCs w:val="28"/>
              </w:rPr>
              <w:t xml:space="preserve">vdaļas un </w:t>
            </w:r>
            <w:r>
              <w:rPr>
                <w:rFonts w:eastAsia="Calibri"/>
                <w:szCs w:val="28"/>
              </w:rPr>
              <w:lastRenderedPageBreak/>
              <w:t>tabakas aizstājējprodukti</w:t>
            </w:r>
            <w:r w:rsidR="00154F11">
              <w:rPr>
                <w:rFonts w:eastAsia="Calibri"/>
                <w:szCs w:val="28"/>
              </w:rPr>
              <w:t xml:space="preserve"> kļūs par</w:t>
            </w:r>
            <w:r w:rsidR="006D3DFA">
              <w:rPr>
                <w:rFonts w:eastAsia="Calibri"/>
                <w:szCs w:val="28"/>
              </w:rPr>
              <w:t xml:space="preserve"> </w:t>
            </w:r>
            <w:r w:rsidR="00154F11">
              <w:rPr>
                <w:rFonts w:eastAsia="Calibri"/>
                <w:szCs w:val="28"/>
              </w:rPr>
              <w:t>akcīzes nodokli apliekamo objektu,</w:t>
            </w:r>
            <w:r w:rsidR="006D3DFA">
              <w:rPr>
                <w:rFonts w:eastAsia="Calibri"/>
                <w:szCs w:val="28"/>
              </w:rPr>
              <w:t xml:space="preserve"> paredzēts likuma </w:t>
            </w:r>
            <w:proofErr w:type="gramStart"/>
            <w:r w:rsidR="0049379B">
              <w:rPr>
                <w:rFonts w:eastAsia="Calibri"/>
                <w:szCs w:val="28"/>
              </w:rPr>
              <w:t xml:space="preserve">pirmā </w:t>
            </w:r>
            <w:r w:rsidR="006D3DFA">
              <w:rPr>
                <w:rFonts w:eastAsia="Calibri"/>
                <w:szCs w:val="28"/>
              </w:rPr>
              <w:t>pantā</w:t>
            </w:r>
            <w:proofErr w:type="gramEnd"/>
            <w:r w:rsidR="006D3DFA">
              <w:rPr>
                <w:rFonts w:eastAsia="Calibri"/>
                <w:szCs w:val="28"/>
              </w:rPr>
              <w:t xml:space="preserve"> ietvert minēto produktu definīcijas</w:t>
            </w:r>
            <w:r w:rsidR="006955C7">
              <w:rPr>
                <w:rFonts w:eastAsia="Calibri"/>
                <w:szCs w:val="28"/>
              </w:rPr>
              <w:t>.</w:t>
            </w:r>
            <w:r w:rsidR="006D3DFA">
              <w:rPr>
                <w:rFonts w:eastAsia="Calibri"/>
              </w:rPr>
              <w:t xml:space="preserve"> </w:t>
            </w:r>
          </w:p>
          <w:p w14:paraId="23D7B0EE" w14:textId="06152835" w:rsidR="00A374DC" w:rsidRPr="00084073" w:rsidRDefault="00614F69" w:rsidP="00C201BF">
            <w:pPr>
              <w:pStyle w:val="ListParagraph"/>
              <w:numPr>
                <w:ilvl w:val="0"/>
                <w:numId w:val="21"/>
              </w:numPr>
              <w:tabs>
                <w:tab w:val="left" w:pos="250"/>
              </w:tabs>
              <w:ind w:left="0" w:firstLine="391"/>
              <w:jc w:val="both"/>
              <w:rPr>
                <w:rFonts w:eastAsia="Calibri"/>
              </w:rPr>
            </w:pPr>
            <w:r w:rsidRPr="00614F69">
              <w:rPr>
                <w:rFonts w:eastAsia="Calibri"/>
              </w:rPr>
              <w:t xml:space="preserve">No </w:t>
            </w:r>
            <w:proofErr w:type="gramStart"/>
            <w:r w:rsidRPr="00614F69">
              <w:rPr>
                <w:rFonts w:eastAsia="Calibri"/>
              </w:rPr>
              <w:t>2021.gada</w:t>
            </w:r>
            <w:proofErr w:type="gramEnd"/>
            <w:r w:rsidRPr="00614F69">
              <w:rPr>
                <w:rFonts w:eastAsia="Calibri"/>
              </w:rPr>
              <w:t xml:space="preserve"> 1.janvāra noteikt pakāpenisku akcīzes nodokļa</w:t>
            </w:r>
            <w:r w:rsidR="002F4D59">
              <w:rPr>
                <w:rFonts w:eastAsia="Calibri"/>
              </w:rPr>
              <w:t xml:space="preserve"> likmju paaugstināšanu</w:t>
            </w:r>
            <w:r w:rsidRPr="00614F69">
              <w:rPr>
                <w:rFonts w:eastAsia="Calibri"/>
              </w:rPr>
              <w:t xml:space="preserve"> cigāriem un cigarillām, smēķējamai tabakai (smalki sagrieztā tabaka, cita smēķējamā tabaka), tabakas lapām, kā arī karsējamai tabakai.</w:t>
            </w:r>
            <w:r w:rsidR="006D3DFA">
              <w:rPr>
                <w:rFonts w:eastAsia="Calibri"/>
              </w:rPr>
              <w:t xml:space="preserve"> Paredzēts, ka </w:t>
            </w:r>
            <w:r w:rsidR="00084073">
              <w:rPr>
                <w:rFonts w:eastAsia="Calibri"/>
              </w:rPr>
              <w:t xml:space="preserve">akcīzes nodokļa likmes </w:t>
            </w:r>
            <w:r w:rsidR="00084073" w:rsidRPr="003759AF">
              <w:t xml:space="preserve">pārējiem tabakas izstrādājumiem (cigāriem, </w:t>
            </w:r>
            <w:r w:rsidR="00084073">
              <w:t>c</w:t>
            </w:r>
            <w:r w:rsidR="00084073" w:rsidRPr="003759AF">
              <w:t xml:space="preserve">igarellām, smēķējamai </w:t>
            </w:r>
            <w:r w:rsidR="00084073">
              <w:t>tabakai un tabakas lapām) p</w:t>
            </w:r>
            <w:r w:rsidR="006D3DFA" w:rsidRPr="003759AF">
              <w:t xml:space="preserve">akāpeniski </w:t>
            </w:r>
            <w:r w:rsidR="00084073">
              <w:t xml:space="preserve">tiks paaugstinātas </w:t>
            </w:r>
            <w:r w:rsidR="006D3DFA">
              <w:t xml:space="preserve">2021., 2022. </w:t>
            </w:r>
            <w:r w:rsidR="006D3DFA" w:rsidRPr="003759AF">
              <w:t xml:space="preserve">un </w:t>
            </w:r>
            <w:proofErr w:type="gramStart"/>
            <w:r w:rsidR="006D3DFA" w:rsidRPr="003759AF">
              <w:t>2023.gadā</w:t>
            </w:r>
            <w:proofErr w:type="gramEnd"/>
            <w:r w:rsidR="006D3DFA" w:rsidRPr="003759AF">
              <w:t xml:space="preserve"> par </w:t>
            </w:r>
            <w:r w:rsidR="006D3DFA">
              <w:t>7</w:t>
            </w:r>
            <w:r w:rsidR="006D3DFA" w:rsidRPr="003759AF">
              <w:t>%.</w:t>
            </w:r>
          </w:p>
          <w:p w14:paraId="312442A4" w14:textId="1ECCB05E" w:rsidR="00A9147C" w:rsidRPr="00A9147C" w:rsidRDefault="00154F11" w:rsidP="009F1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073" w:rsidRPr="00EA0FFE">
              <w:rPr>
                <w:rFonts w:ascii="Times New Roman" w:hAnsi="Times New Roman" w:cs="Times New Roman"/>
                <w:sz w:val="24"/>
                <w:szCs w:val="24"/>
              </w:rPr>
              <w:t xml:space="preserve">Savukārt </w:t>
            </w:r>
            <w:r w:rsidR="00EA0FFE">
              <w:rPr>
                <w:rFonts w:ascii="Times New Roman" w:hAnsi="Times New Roman" w:cs="Times New Roman"/>
                <w:sz w:val="24"/>
                <w:szCs w:val="24"/>
              </w:rPr>
              <w:t>attiecībā uz pakāpenisku akcīzes nodokļa likmes paaugstināšanu kars</w:t>
            </w:r>
            <w:r>
              <w:rPr>
                <w:rFonts w:ascii="Times New Roman" w:hAnsi="Times New Roman" w:cs="Times New Roman"/>
                <w:sz w:val="24"/>
                <w:szCs w:val="24"/>
              </w:rPr>
              <w:t>ējamai tabakai paredzēts, ka tā</w:t>
            </w:r>
            <w:r w:rsidR="00EA0FFE">
              <w:rPr>
                <w:rFonts w:ascii="Times New Roman" w:hAnsi="Times New Roman" w:cs="Times New Roman"/>
                <w:sz w:val="24"/>
                <w:szCs w:val="24"/>
              </w:rPr>
              <w:t xml:space="preserve"> veidos</w:t>
            </w:r>
            <w:r w:rsidR="00EA0FFE" w:rsidRPr="00EA0FFE">
              <w:rPr>
                <w:rFonts w:ascii="Times New Roman" w:hAnsi="Times New Roman" w:cs="Times New Roman"/>
                <w:sz w:val="24"/>
                <w:szCs w:val="24"/>
              </w:rPr>
              <w:t xml:space="preserve"> 25% (0,60</w:t>
            </w:r>
            <w:r w:rsidR="00EA0FFE" w:rsidRPr="00EA0FFE">
              <w:rPr>
                <w:rFonts w:ascii="Times New Roman" w:hAnsi="Times New Roman" w:cs="Times New Roman"/>
                <w:i/>
                <w:sz w:val="24"/>
                <w:szCs w:val="24"/>
              </w:rPr>
              <w:t xml:space="preserve"> </w:t>
            </w:r>
            <w:proofErr w:type="spellStart"/>
            <w:r w:rsidR="00EA0FFE" w:rsidRPr="00EA0FFE">
              <w:rPr>
                <w:rFonts w:ascii="Times New Roman" w:hAnsi="Times New Roman" w:cs="Times New Roman"/>
                <w:i/>
                <w:sz w:val="24"/>
                <w:szCs w:val="24"/>
              </w:rPr>
              <w:t>euro</w:t>
            </w:r>
            <w:proofErr w:type="spellEnd"/>
            <w:r w:rsidR="00EA0FFE">
              <w:rPr>
                <w:rFonts w:ascii="Times New Roman" w:hAnsi="Times New Roman" w:cs="Times New Roman"/>
                <w:sz w:val="24"/>
                <w:szCs w:val="24"/>
              </w:rPr>
              <w:t>) no akcīzes nodokļa</w:t>
            </w:r>
            <w:r w:rsidR="00EA0FFE" w:rsidRPr="00EA0FFE">
              <w:rPr>
                <w:rFonts w:ascii="Times New Roman" w:hAnsi="Times New Roman" w:cs="Times New Roman"/>
                <w:sz w:val="24"/>
                <w:szCs w:val="24"/>
              </w:rPr>
              <w:t xml:space="preserve"> minimālā līmeņa cigaretēm </w:t>
            </w:r>
            <w:proofErr w:type="gramStart"/>
            <w:r w:rsidR="00EA0FFE" w:rsidRPr="00EA0FFE">
              <w:rPr>
                <w:rFonts w:ascii="Times New Roman" w:hAnsi="Times New Roman" w:cs="Times New Roman"/>
                <w:sz w:val="24"/>
                <w:szCs w:val="24"/>
              </w:rPr>
              <w:t>2021.gadā</w:t>
            </w:r>
            <w:proofErr w:type="gramEnd"/>
            <w:r w:rsidR="00EA0FFE" w:rsidRPr="00EA0FFE">
              <w:rPr>
                <w:rFonts w:ascii="Times New Roman" w:hAnsi="Times New Roman" w:cs="Times New Roman"/>
                <w:sz w:val="24"/>
                <w:szCs w:val="24"/>
              </w:rPr>
              <w:t xml:space="preserve">, 30% (0,76 </w:t>
            </w:r>
            <w:proofErr w:type="spellStart"/>
            <w:r w:rsidR="00EA0FFE" w:rsidRPr="00EA0FFE">
              <w:rPr>
                <w:rFonts w:ascii="Times New Roman" w:hAnsi="Times New Roman" w:cs="Times New Roman"/>
                <w:i/>
                <w:sz w:val="24"/>
                <w:szCs w:val="24"/>
              </w:rPr>
              <w:t>euro</w:t>
            </w:r>
            <w:proofErr w:type="spellEnd"/>
            <w:r w:rsidR="00EA0FFE" w:rsidRPr="00EA0FFE">
              <w:rPr>
                <w:rFonts w:ascii="Times New Roman" w:hAnsi="Times New Roman" w:cs="Times New Roman"/>
                <w:sz w:val="24"/>
                <w:szCs w:val="24"/>
              </w:rPr>
              <w:t xml:space="preserve">) 2022.gadā un 32% (0,85 </w:t>
            </w:r>
            <w:proofErr w:type="spellStart"/>
            <w:r w:rsidR="00EA0FFE" w:rsidRPr="00EA0FFE">
              <w:rPr>
                <w:rFonts w:ascii="Times New Roman" w:hAnsi="Times New Roman" w:cs="Times New Roman"/>
                <w:i/>
                <w:sz w:val="24"/>
                <w:szCs w:val="24"/>
              </w:rPr>
              <w:t>euro</w:t>
            </w:r>
            <w:proofErr w:type="spellEnd"/>
            <w:r w:rsidR="00EA0FFE" w:rsidRPr="00EA0FFE">
              <w:rPr>
                <w:rFonts w:ascii="Times New Roman" w:hAnsi="Times New Roman" w:cs="Times New Roman"/>
                <w:sz w:val="24"/>
                <w:szCs w:val="24"/>
              </w:rPr>
              <w:t xml:space="preserve">) 2023.gadā, saglabājot līdzīgu karsējamās </w:t>
            </w:r>
            <w:r w:rsidR="00EA0FFE">
              <w:rPr>
                <w:rFonts w:ascii="Times New Roman" w:hAnsi="Times New Roman" w:cs="Times New Roman"/>
                <w:sz w:val="24"/>
                <w:szCs w:val="24"/>
              </w:rPr>
              <w:t>tabakas (paciņai) un minimālā akcīzes nodokļa</w:t>
            </w:r>
            <w:r w:rsidR="00EA0FFE" w:rsidRPr="00EA0FFE">
              <w:rPr>
                <w:rFonts w:ascii="Times New Roman" w:hAnsi="Times New Roman" w:cs="Times New Roman"/>
                <w:sz w:val="24"/>
                <w:szCs w:val="24"/>
              </w:rPr>
              <w:t xml:space="preserve"> līmeņa cigaretēm (pac</w:t>
            </w:r>
            <w:r w:rsidR="00EA0FFE">
              <w:rPr>
                <w:rFonts w:ascii="Times New Roman" w:hAnsi="Times New Roman" w:cs="Times New Roman"/>
                <w:sz w:val="24"/>
                <w:szCs w:val="24"/>
              </w:rPr>
              <w:t>iņai) proporciju kā Lietuvā.</w:t>
            </w:r>
            <w:r w:rsidR="00A9147C">
              <w:rPr>
                <w:rFonts w:ascii="Times New Roman" w:hAnsi="Times New Roman" w:cs="Times New Roman"/>
                <w:sz w:val="24"/>
                <w:szCs w:val="24"/>
              </w:rPr>
              <w:t xml:space="preserve"> </w:t>
            </w:r>
            <w:r w:rsidR="00A9147C" w:rsidRPr="00A9147C">
              <w:rPr>
                <w:rFonts w:ascii="Times New Roman" w:hAnsi="Times New Roman" w:cs="Times New Roman"/>
                <w:color w:val="000000"/>
                <w:sz w:val="24"/>
                <w:szCs w:val="24"/>
                <w:lang w:eastAsia="lv-LV"/>
              </w:rPr>
              <w:t xml:space="preserve">Akcīzes nodokļa likmes paaugstināšanas rezultātā vienas paciņas (20 gab.) </w:t>
            </w:r>
            <w:r w:rsidR="00A9147C">
              <w:rPr>
                <w:rFonts w:ascii="Times New Roman" w:hAnsi="Times New Roman" w:cs="Times New Roman"/>
                <w:color w:val="000000"/>
                <w:sz w:val="24"/>
                <w:szCs w:val="24"/>
                <w:lang w:eastAsia="lv-LV"/>
              </w:rPr>
              <w:t xml:space="preserve">karsējamās tabakas </w:t>
            </w:r>
            <w:r w:rsidR="00A9147C" w:rsidRPr="00A9147C">
              <w:rPr>
                <w:rFonts w:ascii="Times New Roman" w:hAnsi="Times New Roman" w:cs="Times New Roman"/>
                <w:color w:val="000000"/>
                <w:sz w:val="24"/>
                <w:szCs w:val="24"/>
                <w:lang w:eastAsia="lv-LV"/>
              </w:rPr>
              <w:t>mazumtirdzniecības cenas nodokļu daļas pieaugums 2021.gadā būs +0,18 </w:t>
            </w:r>
            <w:proofErr w:type="spellStart"/>
            <w:r w:rsidR="00A9147C" w:rsidRPr="00A9147C">
              <w:rPr>
                <w:rFonts w:ascii="Times New Roman" w:hAnsi="Times New Roman" w:cs="Times New Roman"/>
                <w:i/>
                <w:iCs/>
                <w:color w:val="000000"/>
                <w:sz w:val="24"/>
                <w:szCs w:val="24"/>
                <w:lang w:eastAsia="lv-LV"/>
              </w:rPr>
              <w:t>euro</w:t>
            </w:r>
            <w:proofErr w:type="spellEnd"/>
            <w:r w:rsidR="00A9147C" w:rsidRPr="00A9147C">
              <w:rPr>
                <w:rFonts w:ascii="Times New Roman" w:hAnsi="Times New Roman" w:cs="Times New Roman"/>
                <w:color w:val="000000"/>
                <w:sz w:val="24"/>
                <w:szCs w:val="24"/>
                <w:lang w:eastAsia="lv-LV"/>
              </w:rPr>
              <w:t xml:space="preserve"> jeb +32,0%, 2022.gadā +0,19 </w:t>
            </w:r>
            <w:proofErr w:type="spellStart"/>
            <w:r w:rsidR="00A9147C" w:rsidRPr="00A9147C">
              <w:rPr>
                <w:rFonts w:ascii="Times New Roman" w:hAnsi="Times New Roman" w:cs="Times New Roman"/>
                <w:i/>
                <w:iCs/>
                <w:color w:val="000000"/>
                <w:sz w:val="24"/>
                <w:szCs w:val="24"/>
                <w:lang w:eastAsia="lv-LV"/>
              </w:rPr>
              <w:t>euro</w:t>
            </w:r>
            <w:proofErr w:type="spellEnd"/>
            <w:r w:rsidR="00A9147C" w:rsidRPr="00A9147C">
              <w:rPr>
                <w:rFonts w:ascii="Times New Roman" w:hAnsi="Times New Roman" w:cs="Times New Roman"/>
                <w:color w:val="000000"/>
                <w:sz w:val="24"/>
                <w:szCs w:val="24"/>
                <w:lang w:eastAsia="lv-LV"/>
              </w:rPr>
              <w:t xml:space="preserve"> jeb +26,3% un 2023.gadā +0,11 </w:t>
            </w:r>
            <w:proofErr w:type="spellStart"/>
            <w:r w:rsidR="00A9147C" w:rsidRPr="00A9147C">
              <w:rPr>
                <w:rFonts w:ascii="Times New Roman" w:hAnsi="Times New Roman" w:cs="Times New Roman"/>
                <w:i/>
                <w:iCs/>
                <w:color w:val="000000"/>
                <w:sz w:val="24"/>
                <w:szCs w:val="24"/>
                <w:lang w:eastAsia="lv-LV"/>
              </w:rPr>
              <w:t>euro</w:t>
            </w:r>
            <w:proofErr w:type="spellEnd"/>
            <w:r w:rsidR="00A9147C" w:rsidRPr="00A9147C">
              <w:rPr>
                <w:rFonts w:ascii="Times New Roman" w:hAnsi="Times New Roman" w:cs="Times New Roman"/>
                <w:color w:val="000000"/>
                <w:sz w:val="24"/>
                <w:szCs w:val="24"/>
                <w:lang w:eastAsia="lv-LV"/>
              </w:rPr>
              <w:t xml:space="preserve"> jeb +12,0%.</w:t>
            </w:r>
          </w:p>
          <w:p w14:paraId="7FA1A38F" w14:textId="2A98EF9D" w:rsidR="002F4D59" w:rsidRPr="00154F11" w:rsidRDefault="00154F11" w:rsidP="00154F11">
            <w:pPr>
              <w:tabs>
                <w:tab w:val="left" w:pos="250"/>
              </w:tabs>
              <w:ind w:firstLine="24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Paredzēts n</w:t>
            </w:r>
            <w:r w:rsidR="002F4D59" w:rsidRPr="00154F11">
              <w:rPr>
                <w:rFonts w:ascii="Times New Roman" w:eastAsia="Calibri" w:hAnsi="Times New Roman" w:cs="Times New Roman"/>
                <w:sz w:val="24"/>
                <w:szCs w:val="24"/>
              </w:rPr>
              <w:t xml:space="preserve">o </w:t>
            </w:r>
            <w:proofErr w:type="gramStart"/>
            <w:r w:rsidR="002F4D59" w:rsidRPr="00154F11">
              <w:rPr>
                <w:rFonts w:ascii="Times New Roman" w:eastAsia="Calibri" w:hAnsi="Times New Roman" w:cs="Times New Roman"/>
                <w:sz w:val="24"/>
                <w:szCs w:val="24"/>
              </w:rPr>
              <w:t>2021.gada</w:t>
            </w:r>
            <w:proofErr w:type="gramEnd"/>
            <w:r w:rsidR="002F4D59" w:rsidRPr="00154F11">
              <w:rPr>
                <w:rFonts w:ascii="Times New Roman" w:eastAsia="Calibri" w:hAnsi="Times New Roman" w:cs="Times New Roman"/>
                <w:sz w:val="24"/>
                <w:szCs w:val="24"/>
              </w:rPr>
              <w:t xml:space="preserve"> 1.marta noteikt pakāpenisku akcīzes nodokļa likmju paaugstināšanu</w:t>
            </w:r>
            <w:r>
              <w:rPr>
                <w:rFonts w:ascii="Times New Roman" w:eastAsia="Calibri" w:hAnsi="Times New Roman" w:cs="Times New Roman"/>
                <w:sz w:val="24"/>
                <w:szCs w:val="24"/>
              </w:rPr>
              <w:t xml:space="preserve"> cigaretēm </w:t>
            </w:r>
            <w:r w:rsidR="005B341D" w:rsidRPr="00154F11">
              <w:rPr>
                <w:rFonts w:ascii="Times New Roman" w:hAnsi="Times New Roman" w:cs="Times New Roman"/>
                <w:sz w:val="24"/>
                <w:szCs w:val="24"/>
              </w:rPr>
              <w:t>(specifisko nodokli un minimālo nodokļa līmeni) par 5%</w:t>
            </w:r>
            <w:r>
              <w:rPr>
                <w:rFonts w:ascii="Times New Roman" w:hAnsi="Times New Roman" w:cs="Times New Roman"/>
                <w:sz w:val="24"/>
                <w:szCs w:val="24"/>
              </w:rPr>
              <w:t xml:space="preserve"> . Savukārt akcīzes nodokļa likmju paaugstināšana</w:t>
            </w:r>
            <w:r w:rsidR="000C1F86">
              <w:rPr>
                <w:rFonts w:ascii="Times New Roman" w:hAnsi="Times New Roman" w:cs="Times New Roman"/>
                <w:sz w:val="24"/>
                <w:szCs w:val="24"/>
              </w:rPr>
              <w:t xml:space="preserve"> cigaretēm</w:t>
            </w:r>
            <w:r w:rsidR="005B341D" w:rsidRPr="00154F11">
              <w:rPr>
                <w:rFonts w:ascii="Times New Roman" w:hAnsi="Times New Roman" w:cs="Times New Roman"/>
                <w:sz w:val="24"/>
                <w:szCs w:val="24"/>
              </w:rPr>
              <w:t xml:space="preserve"> </w:t>
            </w:r>
            <w:proofErr w:type="gramStart"/>
            <w:r w:rsidR="005B341D" w:rsidRPr="00154F11">
              <w:rPr>
                <w:rFonts w:ascii="Times New Roman" w:hAnsi="Times New Roman" w:cs="Times New Roman"/>
                <w:sz w:val="24"/>
                <w:szCs w:val="24"/>
              </w:rPr>
              <w:t>2022.</w:t>
            </w:r>
            <w:r w:rsidR="000C1F86">
              <w:rPr>
                <w:rFonts w:ascii="Times New Roman" w:hAnsi="Times New Roman" w:cs="Times New Roman"/>
                <w:sz w:val="24"/>
                <w:szCs w:val="24"/>
              </w:rPr>
              <w:t>gadā</w:t>
            </w:r>
            <w:proofErr w:type="gramEnd"/>
            <w:r w:rsidR="005B341D" w:rsidRPr="00154F11">
              <w:rPr>
                <w:rFonts w:ascii="Times New Roman" w:hAnsi="Times New Roman" w:cs="Times New Roman"/>
                <w:sz w:val="24"/>
                <w:szCs w:val="24"/>
              </w:rPr>
              <w:t xml:space="preserve"> un 2023.gad</w:t>
            </w:r>
            <w:r w:rsidR="009F19ED">
              <w:rPr>
                <w:rFonts w:ascii="Times New Roman" w:hAnsi="Times New Roman" w:cs="Times New Roman"/>
                <w:sz w:val="24"/>
                <w:szCs w:val="24"/>
              </w:rPr>
              <w:t>ā</w:t>
            </w:r>
            <w:r w:rsidR="000C1F86">
              <w:rPr>
                <w:rFonts w:ascii="Times New Roman" w:hAnsi="Times New Roman" w:cs="Times New Roman"/>
                <w:sz w:val="24"/>
                <w:szCs w:val="24"/>
              </w:rPr>
              <w:t xml:space="preserve"> notiks ar 1.janvāri</w:t>
            </w:r>
            <w:r w:rsidR="005B341D" w:rsidRPr="00154F11">
              <w:rPr>
                <w:rFonts w:ascii="Times New Roman" w:hAnsi="Times New Roman" w:cs="Times New Roman"/>
                <w:sz w:val="24"/>
                <w:szCs w:val="24"/>
              </w:rPr>
              <w:t>.</w:t>
            </w:r>
          </w:p>
          <w:p w14:paraId="3B1C2A42" w14:textId="77777777" w:rsidR="00906E42" w:rsidRPr="00F2067C" w:rsidRDefault="00906E42" w:rsidP="00906E42">
            <w:pPr>
              <w:tabs>
                <w:tab w:val="left" w:pos="250"/>
              </w:tabs>
              <w:spacing w:after="0" w:line="240" w:lineRule="auto"/>
              <w:ind w:firstLine="403"/>
              <w:jc w:val="both"/>
              <w:rPr>
                <w:rFonts w:ascii="Times New Roman" w:hAnsi="Times New Roman" w:cs="Times New Roman"/>
                <w:sz w:val="24"/>
                <w:szCs w:val="24"/>
              </w:rPr>
            </w:pPr>
            <w:r w:rsidRPr="00F2067C">
              <w:rPr>
                <w:rFonts w:ascii="Times New Roman" w:hAnsi="Times New Roman" w:cs="Times New Roman"/>
                <w:sz w:val="24"/>
                <w:szCs w:val="24"/>
              </w:rPr>
              <w:t>Pašlaik piemērojamās akcīzes nodokļa likmes tabakas izstrādājumiem:</w:t>
            </w:r>
          </w:p>
          <w:tbl>
            <w:tblPr>
              <w:tblW w:w="52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66"/>
              <w:gridCol w:w="1134"/>
            </w:tblGrid>
            <w:tr w:rsidR="00906E42" w:rsidRPr="007B044D" w14:paraId="5D18B3CD" w14:textId="77777777" w:rsidTr="00A9147C">
              <w:trPr>
                <w:trHeight w:hRule="exact" w:val="307"/>
              </w:trPr>
              <w:tc>
                <w:tcPr>
                  <w:tcW w:w="4066" w:type="dxa"/>
                  <w:tcBorders>
                    <w:top w:val="single" w:sz="4" w:space="0" w:color="auto"/>
                    <w:left w:val="single" w:sz="4" w:space="0" w:color="auto"/>
                    <w:bottom w:val="single" w:sz="4" w:space="0" w:color="auto"/>
                    <w:right w:val="single" w:sz="4" w:space="0" w:color="auto"/>
                  </w:tcBorders>
                  <w:shd w:val="clear" w:color="auto" w:fill="FFFFFF"/>
                </w:tcPr>
                <w:p w14:paraId="428E01FD" w14:textId="77777777" w:rsidR="00906E42" w:rsidRPr="00E045E3" w:rsidRDefault="00906E42" w:rsidP="00906E42">
                  <w:pPr>
                    <w:shd w:val="clear" w:color="auto" w:fill="FFFFFF"/>
                    <w:jc w:val="center"/>
                    <w:rPr>
                      <w:rFonts w:ascii="Times New Roman" w:hAnsi="Times New Roman" w:cs="Times New Roman"/>
                      <w:sz w:val="20"/>
                      <w:szCs w:val="20"/>
                    </w:rPr>
                  </w:pPr>
                  <w:r w:rsidRPr="00E045E3">
                    <w:rPr>
                      <w:rFonts w:ascii="Times New Roman" w:hAnsi="Times New Roman" w:cs="Times New Roman"/>
                      <w:b/>
                      <w:bCs/>
                      <w:color w:val="000000"/>
                      <w:sz w:val="20"/>
                      <w:szCs w:val="20"/>
                    </w:rPr>
                    <w:t>Pre</w:t>
                  </w:r>
                  <w:r w:rsidRPr="00E045E3">
                    <w:rPr>
                      <w:rFonts w:ascii="Times New Roman" w:eastAsia="Times New Roman" w:hAnsi="Times New Roman" w:cs="Times New Roman"/>
                      <w:b/>
                      <w:bCs/>
                      <w:color w:val="000000"/>
                      <w:sz w:val="20"/>
                      <w:szCs w:val="20"/>
                    </w:rPr>
                    <w:t>ču nosaukums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EF22D9" w14:textId="77777777" w:rsidR="00906E42" w:rsidRPr="00E045E3" w:rsidRDefault="00906E42" w:rsidP="00906E42">
                  <w:pPr>
                    <w:shd w:val="clear" w:color="auto" w:fill="FFFFFF"/>
                    <w:tabs>
                      <w:tab w:val="center" w:pos="1164"/>
                      <w:tab w:val="right" w:pos="2329"/>
                    </w:tabs>
                    <w:jc w:val="center"/>
                    <w:rPr>
                      <w:rFonts w:ascii="Times New Roman" w:hAnsi="Times New Roman" w:cs="Times New Roman"/>
                      <w:b/>
                      <w:sz w:val="20"/>
                      <w:szCs w:val="20"/>
                    </w:rPr>
                  </w:pPr>
                  <w:r w:rsidRPr="00E045E3">
                    <w:rPr>
                      <w:rFonts w:ascii="Times New Roman" w:hAnsi="Times New Roman" w:cs="Times New Roman"/>
                      <w:b/>
                      <w:sz w:val="20"/>
                      <w:szCs w:val="20"/>
                    </w:rPr>
                    <w:t>01.07.2020.</w:t>
                  </w:r>
                </w:p>
              </w:tc>
            </w:tr>
            <w:tr w:rsidR="00906E42" w:rsidRPr="007B044D" w14:paraId="70799822" w14:textId="77777777" w:rsidTr="00A9147C">
              <w:trPr>
                <w:trHeight w:hRule="exact" w:val="249"/>
              </w:trPr>
              <w:tc>
                <w:tcPr>
                  <w:tcW w:w="4066" w:type="dxa"/>
                  <w:tcBorders>
                    <w:top w:val="single" w:sz="4" w:space="0" w:color="auto"/>
                    <w:left w:val="single" w:sz="4" w:space="0" w:color="auto"/>
                    <w:bottom w:val="single" w:sz="4" w:space="0" w:color="auto"/>
                    <w:right w:val="single" w:sz="4" w:space="0" w:color="auto"/>
                  </w:tcBorders>
                  <w:shd w:val="clear" w:color="auto" w:fill="FFFFFF"/>
                </w:tcPr>
                <w:p w14:paraId="17B69891" w14:textId="77777777" w:rsidR="00906E42" w:rsidRPr="00E045E3" w:rsidRDefault="00906E42" w:rsidP="00906E42">
                  <w:pPr>
                    <w:shd w:val="clear" w:color="auto" w:fill="FFFFFF"/>
                    <w:rPr>
                      <w:rFonts w:ascii="Times New Roman" w:hAnsi="Times New Roman" w:cs="Times New Roman"/>
                      <w:color w:val="000000"/>
                      <w:spacing w:val="-1"/>
                      <w:sz w:val="20"/>
                      <w:szCs w:val="20"/>
                    </w:rPr>
                  </w:pPr>
                  <w:r w:rsidRPr="00E045E3">
                    <w:rPr>
                      <w:rFonts w:ascii="Times New Roman" w:hAnsi="Times New Roman" w:cs="Times New Roman"/>
                      <w:color w:val="000000"/>
                      <w:spacing w:val="-1"/>
                      <w:sz w:val="20"/>
                      <w:szCs w:val="20"/>
                    </w:rPr>
                    <w:t xml:space="preserve"> Cigaretēm: </w:t>
                  </w:r>
                </w:p>
                <w:p w14:paraId="5307A507" w14:textId="77777777" w:rsidR="00906E42" w:rsidRPr="00E045E3" w:rsidRDefault="00906E42" w:rsidP="00906E42">
                  <w:pPr>
                    <w:shd w:val="clear" w:color="auto" w:fill="FFFFFF"/>
                    <w:rPr>
                      <w:rFonts w:ascii="Times New Roman" w:hAnsi="Times New Roman" w:cs="Times New Roman"/>
                      <w:sz w:val="20"/>
                      <w:szCs w:val="20"/>
                    </w:rPr>
                  </w:pPr>
                  <w:r w:rsidRPr="00E045E3">
                    <w:rPr>
                      <w:rFonts w:ascii="Times New Roman" w:hAnsi="Times New Roman" w:cs="Times New Roman"/>
                      <w:color w:val="000000"/>
                      <w:spacing w:val="-1"/>
                      <w:sz w:val="20"/>
                      <w:szCs w:val="20"/>
                    </w:rPr>
                    <w:t>minim</w:t>
                  </w:r>
                  <w:r w:rsidRPr="00E045E3">
                    <w:rPr>
                      <w:rFonts w:ascii="Times New Roman" w:eastAsia="Times New Roman" w:hAnsi="Times New Roman" w:cs="Times New Roman"/>
                      <w:color w:val="000000"/>
                      <w:spacing w:val="-1"/>
                      <w:sz w:val="20"/>
                      <w:szCs w:val="20"/>
                    </w:rPr>
                    <w:t xml:space="preserve">ālais akcīzes nodokļa līmenis par 1000 </w:t>
                  </w:r>
                  <w:r w:rsidRPr="00E045E3">
                    <w:rPr>
                      <w:rFonts w:ascii="Times New Roman" w:eastAsia="Times New Roman" w:hAnsi="Times New Roman" w:cs="Times New Roman"/>
                      <w:color w:val="000000"/>
                      <w:spacing w:val="-1"/>
                      <w:sz w:val="20"/>
                      <w:szCs w:val="20"/>
                      <w:lang w:val="en-US"/>
                    </w:rPr>
                    <w:t>gab.</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52D9C7" w14:textId="77777777" w:rsidR="00906E42" w:rsidRPr="00E045E3" w:rsidRDefault="00906E42" w:rsidP="00906E42">
                  <w:pPr>
                    <w:shd w:val="clear" w:color="auto" w:fill="FFFFFF"/>
                    <w:jc w:val="center"/>
                    <w:rPr>
                      <w:rFonts w:ascii="Times New Roman" w:hAnsi="Times New Roman" w:cs="Times New Roman"/>
                      <w:sz w:val="20"/>
                      <w:szCs w:val="20"/>
                    </w:rPr>
                  </w:pPr>
                  <w:r w:rsidRPr="00E045E3">
                    <w:rPr>
                      <w:rFonts w:ascii="Times New Roman" w:hAnsi="Times New Roman" w:cs="Times New Roman"/>
                      <w:sz w:val="20"/>
                      <w:szCs w:val="20"/>
                    </w:rPr>
                    <w:t>114,70</w:t>
                  </w:r>
                </w:p>
              </w:tc>
            </w:tr>
            <w:tr w:rsidR="00906E42" w:rsidRPr="007B044D" w14:paraId="70FC5F62" w14:textId="77777777" w:rsidTr="00A9147C">
              <w:trPr>
                <w:trHeight w:hRule="exact" w:val="298"/>
              </w:trPr>
              <w:tc>
                <w:tcPr>
                  <w:tcW w:w="4066" w:type="dxa"/>
                  <w:tcBorders>
                    <w:top w:val="single" w:sz="4" w:space="0" w:color="auto"/>
                    <w:left w:val="single" w:sz="4" w:space="0" w:color="auto"/>
                    <w:bottom w:val="single" w:sz="4" w:space="0" w:color="auto"/>
                    <w:right w:val="single" w:sz="4" w:space="0" w:color="auto"/>
                  </w:tcBorders>
                  <w:shd w:val="clear" w:color="auto" w:fill="FFFFFF"/>
                </w:tcPr>
                <w:p w14:paraId="03CE3F53" w14:textId="77777777" w:rsidR="00906E42" w:rsidRPr="00E045E3" w:rsidRDefault="00906E42" w:rsidP="00906E42">
                  <w:pPr>
                    <w:shd w:val="clear" w:color="auto" w:fill="FFFFFF"/>
                    <w:rPr>
                      <w:rFonts w:ascii="Times New Roman" w:hAnsi="Times New Roman" w:cs="Times New Roman"/>
                      <w:sz w:val="20"/>
                      <w:szCs w:val="20"/>
                    </w:rPr>
                  </w:pPr>
                  <w:r w:rsidRPr="00E045E3">
                    <w:rPr>
                      <w:rFonts w:ascii="Times New Roman" w:hAnsi="Times New Roman" w:cs="Times New Roman"/>
                      <w:color w:val="000000"/>
                      <w:spacing w:val="-3"/>
                      <w:sz w:val="20"/>
                      <w:szCs w:val="20"/>
                    </w:rPr>
                    <w:t xml:space="preserve">  specifiskais (fiks</w:t>
                  </w:r>
                  <w:r w:rsidRPr="00E045E3">
                    <w:rPr>
                      <w:rFonts w:ascii="Times New Roman" w:eastAsia="Times New Roman" w:hAnsi="Times New Roman" w:cs="Times New Roman"/>
                      <w:color w:val="000000"/>
                      <w:spacing w:val="-3"/>
                      <w:sz w:val="20"/>
                      <w:szCs w:val="20"/>
                    </w:rPr>
                    <w:t xml:space="preserve">ētais) nodoklis par 1000 </w:t>
                  </w:r>
                  <w:r w:rsidRPr="00E045E3">
                    <w:rPr>
                      <w:rFonts w:ascii="Times New Roman" w:eastAsia="Times New Roman" w:hAnsi="Times New Roman" w:cs="Times New Roman"/>
                      <w:color w:val="000000"/>
                      <w:spacing w:val="-3"/>
                      <w:sz w:val="20"/>
                      <w:szCs w:val="20"/>
                      <w:lang w:val="en-US"/>
                    </w:rPr>
                    <w:t>gab.</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600715" w14:textId="77777777" w:rsidR="00906E42" w:rsidRPr="00E045E3" w:rsidRDefault="00906E42" w:rsidP="00906E42">
                  <w:pPr>
                    <w:shd w:val="clear" w:color="auto" w:fill="FFFFFF"/>
                    <w:jc w:val="center"/>
                    <w:rPr>
                      <w:rFonts w:ascii="Times New Roman" w:hAnsi="Times New Roman" w:cs="Times New Roman"/>
                      <w:sz w:val="20"/>
                      <w:szCs w:val="20"/>
                    </w:rPr>
                  </w:pPr>
                  <w:r w:rsidRPr="00E045E3">
                    <w:rPr>
                      <w:rFonts w:ascii="Times New Roman" w:hAnsi="Times New Roman" w:cs="Times New Roman"/>
                      <w:sz w:val="20"/>
                      <w:szCs w:val="20"/>
                    </w:rPr>
                    <w:t>78,70</w:t>
                  </w:r>
                </w:p>
              </w:tc>
            </w:tr>
            <w:tr w:rsidR="00906E42" w:rsidRPr="007B044D" w14:paraId="2FCC6B3A" w14:textId="77777777" w:rsidTr="00A9147C">
              <w:trPr>
                <w:trHeight w:hRule="exact" w:val="307"/>
              </w:trPr>
              <w:tc>
                <w:tcPr>
                  <w:tcW w:w="4066" w:type="dxa"/>
                  <w:tcBorders>
                    <w:top w:val="single" w:sz="4" w:space="0" w:color="auto"/>
                    <w:left w:val="single" w:sz="4" w:space="0" w:color="auto"/>
                    <w:bottom w:val="single" w:sz="4" w:space="0" w:color="auto"/>
                    <w:right w:val="single" w:sz="4" w:space="0" w:color="auto"/>
                  </w:tcBorders>
                  <w:shd w:val="clear" w:color="auto" w:fill="FFFFFF"/>
                </w:tcPr>
                <w:p w14:paraId="1CE419A1" w14:textId="77777777" w:rsidR="00906E42" w:rsidRPr="00E045E3" w:rsidRDefault="00906E42" w:rsidP="00906E42">
                  <w:pPr>
                    <w:shd w:val="clear" w:color="auto" w:fill="FFFFFF"/>
                    <w:rPr>
                      <w:rFonts w:ascii="Times New Roman" w:hAnsi="Times New Roman" w:cs="Times New Roman"/>
                      <w:sz w:val="20"/>
                      <w:szCs w:val="20"/>
                    </w:rPr>
                  </w:pPr>
                  <w:r w:rsidRPr="00E045E3">
                    <w:rPr>
                      <w:rFonts w:ascii="Times New Roman" w:hAnsi="Times New Roman" w:cs="Times New Roman"/>
                      <w:color w:val="000000"/>
                      <w:sz w:val="20"/>
                      <w:szCs w:val="20"/>
                    </w:rPr>
                    <w:t xml:space="preserve">  procentu</w:t>
                  </w:r>
                  <w:r w:rsidRPr="00E045E3">
                    <w:rPr>
                      <w:rFonts w:ascii="Times New Roman" w:eastAsia="Times New Roman" w:hAnsi="Times New Roman" w:cs="Times New Roman"/>
                      <w:color w:val="000000"/>
                      <w:sz w:val="20"/>
                      <w:szCs w:val="20"/>
                    </w:rPr>
                    <w:t>ālais nodoklis,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B80609" w14:textId="77777777" w:rsidR="00906E42" w:rsidRPr="00E045E3" w:rsidRDefault="00906E42" w:rsidP="00906E42">
                  <w:pPr>
                    <w:shd w:val="clear" w:color="auto" w:fill="FFFFFF"/>
                    <w:jc w:val="center"/>
                    <w:rPr>
                      <w:rFonts w:ascii="Times New Roman" w:hAnsi="Times New Roman" w:cs="Times New Roman"/>
                      <w:sz w:val="20"/>
                      <w:szCs w:val="20"/>
                    </w:rPr>
                  </w:pPr>
                  <w:r w:rsidRPr="00E045E3">
                    <w:rPr>
                      <w:rFonts w:ascii="Times New Roman" w:hAnsi="Times New Roman" w:cs="Times New Roman"/>
                      <w:color w:val="000000"/>
                      <w:sz w:val="20"/>
                      <w:szCs w:val="20"/>
                    </w:rPr>
                    <w:t>20,0</w:t>
                  </w:r>
                </w:p>
              </w:tc>
            </w:tr>
            <w:tr w:rsidR="00906E42" w:rsidRPr="007B044D" w14:paraId="64E8204D" w14:textId="77777777" w:rsidTr="00A9147C">
              <w:trPr>
                <w:trHeight w:hRule="exact" w:val="307"/>
              </w:trPr>
              <w:tc>
                <w:tcPr>
                  <w:tcW w:w="4066" w:type="dxa"/>
                  <w:tcBorders>
                    <w:top w:val="single" w:sz="4" w:space="0" w:color="auto"/>
                    <w:left w:val="single" w:sz="4" w:space="0" w:color="auto"/>
                    <w:bottom w:val="single" w:sz="4" w:space="0" w:color="auto"/>
                    <w:right w:val="single" w:sz="4" w:space="0" w:color="auto"/>
                  </w:tcBorders>
                  <w:shd w:val="clear" w:color="auto" w:fill="FFFFFF"/>
                </w:tcPr>
                <w:p w14:paraId="503A4F89" w14:textId="77777777" w:rsidR="00906E42" w:rsidRPr="00E045E3" w:rsidRDefault="00906E42" w:rsidP="00906E42">
                  <w:pPr>
                    <w:shd w:val="clear" w:color="auto" w:fill="FFFFFF"/>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0A0ED6" w14:textId="77777777" w:rsidR="00906E42" w:rsidRPr="00E045E3" w:rsidRDefault="00906E42" w:rsidP="00906E42">
                  <w:pPr>
                    <w:shd w:val="clear" w:color="auto" w:fill="FFFFFF"/>
                    <w:jc w:val="center"/>
                    <w:rPr>
                      <w:rFonts w:ascii="Times New Roman" w:hAnsi="Times New Roman" w:cs="Times New Roman"/>
                      <w:b/>
                      <w:color w:val="000000"/>
                      <w:sz w:val="20"/>
                      <w:szCs w:val="20"/>
                    </w:rPr>
                  </w:pPr>
                  <w:r w:rsidRPr="00E045E3">
                    <w:rPr>
                      <w:rFonts w:ascii="Times New Roman" w:hAnsi="Times New Roman" w:cs="Times New Roman"/>
                      <w:b/>
                      <w:color w:val="000000"/>
                      <w:sz w:val="20"/>
                      <w:szCs w:val="20"/>
                    </w:rPr>
                    <w:t>01.01.2020.</w:t>
                  </w:r>
                </w:p>
              </w:tc>
            </w:tr>
            <w:tr w:rsidR="00906E42" w:rsidRPr="007B044D" w14:paraId="21F91EA6" w14:textId="77777777" w:rsidTr="00A9147C">
              <w:trPr>
                <w:trHeight w:hRule="exact" w:val="278"/>
              </w:trPr>
              <w:tc>
                <w:tcPr>
                  <w:tcW w:w="4066" w:type="dxa"/>
                  <w:tcBorders>
                    <w:bottom w:val="single" w:sz="4" w:space="0" w:color="auto"/>
                  </w:tcBorders>
                  <w:shd w:val="clear" w:color="auto" w:fill="FFFFFF"/>
                </w:tcPr>
                <w:p w14:paraId="382C0DC7" w14:textId="77777777" w:rsidR="00906E42" w:rsidRPr="00E045E3" w:rsidRDefault="00906E42" w:rsidP="00906E42">
                  <w:pPr>
                    <w:shd w:val="clear" w:color="auto" w:fill="FFFFFF"/>
                    <w:rPr>
                      <w:rFonts w:ascii="Times New Roman" w:hAnsi="Times New Roman" w:cs="Times New Roman"/>
                      <w:sz w:val="20"/>
                      <w:szCs w:val="20"/>
                    </w:rPr>
                  </w:pPr>
                  <w:r w:rsidRPr="00E045E3">
                    <w:rPr>
                      <w:rFonts w:ascii="Times New Roman" w:hAnsi="Times New Roman" w:cs="Times New Roman"/>
                      <w:color w:val="000000"/>
                      <w:spacing w:val="-2"/>
                      <w:sz w:val="20"/>
                      <w:szCs w:val="20"/>
                    </w:rPr>
                    <w:t>Cig</w:t>
                  </w:r>
                  <w:r w:rsidRPr="00E045E3">
                    <w:rPr>
                      <w:rFonts w:ascii="Times New Roman" w:eastAsia="Times New Roman" w:hAnsi="Times New Roman" w:cs="Times New Roman"/>
                      <w:color w:val="000000"/>
                      <w:spacing w:val="-2"/>
                      <w:sz w:val="20"/>
                      <w:szCs w:val="20"/>
                    </w:rPr>
                    <w:t xml:space="preserve">āri un cigarillas, par 1000 </w:t>
                  </w:r>
                  <w:r w:rsidRPr="00E045E3">
                    <w:rPr>
                      <w:rFonts w:ascii="Times New Roman" w:eastAsia="Times New Roman" w:hAnsi="Times New Roman" w:cs="Times New Roman"/>
                      <w:color w:val="000000"/>
                      <w:spacing w:val="-2"/>
                      <w:sz w:val="20"/>
                      <w:szCs w:val="20"/>
                      <w:lang w:val="en-US"/>
                    </w:rPr>
                    <w:t>gab.</w:t>
                  </w:r>
                </w:p>
              </w:tc>
              <w:tc>
                <w:tcPr>
                  <w:tcW w:w="1134" w:type="dxa"/>
                  <w:tcBorders>
                    <w:bottom w:val="single" w:sz="4" w:space="0" w:color="auto"/>
                  </w:tcBorders>
                </w:tcPr>
                <w:p w14:paraId="0D19630A" w14:textId="77777777" w:rsidR="00906E42" w:rsidRPr="00E045E3" w:rsidRDefault="00906E42" w:rsidP="00906E42">
                  <w:pPr>
                    <w:shd w:val="clear" w:color="auto" w:fill="FFFFFF"/>
                    <w:jc w:val="center"/>
                    <w:rPr>
                      <w:rFonts w:ascii="Times New Roman" w:hAnsi="Times New Roman" w:cs="Times New Roman"/>
                      <w:color w:val="000000"/>
                      <w:sz w:val="20"/>
                      <w:szCs w:val="20"/>
                    </w:rPr>
                  </w:pPr>
                  <w:r w:rsidRPr="00E045E3">
                    <w:rPr>
                      <w:rFonts w:ascii="Times New Roman" w:hAnsi="Times New Roman" w:cs="Times New Roman"/>
                      <w:color w:val="000000"/>
                      <w:sz w:val="20"/>
                      <w:szCs w:val="20"/>
                    </w:rPr>
                    <w:t>95,20</w:t>
                  </w:r>
                </w:p>
              </w:tc>
            </w:tr>
            <w:tr w:rsidR="00906E42" w:rsidRPr="007B044D" w14:paraId="18103C1B" w14:textId="77777777" w:rsidTr="00A9147C">
              <w:trPr>
                <w:trHeight w:hRule="exact" w:val="232"/>
              </w:trPr>
              <w:tc>
                <w:tcPr>
                  <w:tcW w:w="4066" w:type="dxa"/>
                  <w:tcBorders>
                    <w:top w:val="single" w:sz="4" w:space="0" w:color="auto"/>
                  </w:tcBorders>
                  <w:shd w:val="clear" w:color="auto" w:fill="FFFFFF"/>
                </w:tcPr>
                <w:p w14:paraId="6D1979A1" w14:textId="77777777" w:rsidR="00906E42" w:rsidRPr="00E045E3" w:rsidRDefault="00906E42" w:rsidP="00906E42">
                  <w:pPr>
                    <w:shd w:val="clear" w:color="auto" w:fill="FFFFFF"/>
                    <w:rPr>
                      <w:rFonts w:ascii="Times New Roman" w:eastAsia="Times New Roman" w:hAnsi="Times New Roman" w:cs="Times New Roman"/>
                      <w:color w:val="000000"/>
                      <w:spacing w:val="-2"/>
                      <w:sz w:val="20"/>
                      <w:szCs w:val="20"/>
                    </w:rPr>
                  </w:pPr>
                  <w:r w:rsidRPr="00E045E3">
                    <w:rPr>
                      <w:rFonts w:ascii="Times New Roman" w:hAnsi="Times New Roman" w:cs="Times New Roman"/>
                      <w:color w:val="000000"/>
                      <w:spacing w:val="-2"/>
                      <w:sz w:val="20"/>
                      <w:szCs w:val="20"/>
                    </w:rPr>
                    <w:t>Smalki sagriezta tabaka cigare</w:t>
                  </w:r>
                  <w:r w:rsidRPr="00E045E3">
                    <w:rPr>
                      <w:rFonts w:ascii="Times New Roman" w:eastAsia="Times New Roman" w:hAnsi="Times New Roman" w:cs="Times New Roman"/>
                      <w:color w:val="000000"/>
                      <w:spacing w:val="-2"/>
                      <w:sz w:val="20"/>
                      <w:szCs w:val="20"/>
                    </w:rPr>
                    <w:t xml:space="preserve">šu uztīšanai </w:t>
                  </w:r>
                </w:p>
                <w:p w14:paraId="055BFF97" w14:textId="77777777" w:rsidR="00906E42" w:rsidRPr="00E045E3" w:rsidRDefault="00906E42" w:rsidP="00906E42">
                  <w:pPr>
                    <w:shd w:val="clear" w:color="auto" w:fill="FFFFFF"/>
                    <w:rPr>
                      <w:rFonts w:ascii="Times New Roman" w:hAnsi="Times New Roman" w:cs="Times New Roman"/>
                      <w:sz w:val="20"/>
                      <w:szCs w:val="20"/>
                    </w:rPr>
                  </w:pPr>
                </w:p>
              </w:tc>
              <w:tc>
                <w:tcPr>
                  <w:tcW w:w="1134" w:type="dxa"/>
                  <w:tcBorders>
                    <w:top w:val="single" w:sz="4" w:space="0" w:color="auto"/>
                  </w:tcBorders>
                </w:tcPr>
                <w:p w14:paraId="3568FF20" w14:textId="77777777" w:rsidR="00906E42" w:rsidRPr="00E045E3" w:rsidRDefault="00906E42" w:rsidP="00906E42">
                  <w:pPr>
                    <w:shd w:val="clear" w:color="auto" w:fill="FFFFFF"/>
                    <w:jc w:val="center"/>
                    <w:rPr>
                      <w:rFonts w:ascii="Times New Roman" w:hAnsi="Times New Roman" w:cs="Times New Roman"/>
                      <w:sz w:val="20"/>
                      <w:szCs w:val="20"/>
                    </w:rPr>
                  </w:pPr>
                  <w:r w:rsidRPr="00E045E3">
                    <w:rPr>
                      <w:rFonts w:ascii="Times New Roman" w:hAnsi="Times New Roman" w:cs="Times New Roman"/>
                      <w:sz w:val="20"/>
                      <w:szCs w:val="20"/>
                    </w:rPr>
                    <w:t>75</w:t>
                  </w:r>
                </w:p>
              </w:tc>
            </w:tr>
            <w:tr w:rsidR="00906E42" w:rsidRPr="007B044D" w14:paraId="3500EC78" w14:textId="77777777" w:rsidTr="00A9147C">
              <w:trPr>
                <w:trHeight w:hRule="exact" w:val="307"/>
              </w:trPr>
              <w:tc>
                <w:tcPr>
                  <w:tcW w:w="4066" w:type="dxa"/>
                  <w:shd w:val="clear" w:color="auto" w:fill="FFFFFF"/>
                </w:tcPr>
                <w:p w14:paraId="41DE843E" w14:textId="77777777" w:rsidR="00906E42" w:rsidRPr="00E045E3" w:rsidRDefault="00906E42" w:rsidP="00906E42">
                  <w:pPr>
                    <w:shd w:val="clear" w:color="auto" w:fill="FFFFFF"/>
                    <w:rPr>
                      <w:rFonts w:ascii="Times New Roman" w:hAnsi="Times New Roman" w:cs="Times New Roman"/>
                      <w:sz w:val="20"/>
                      <w:szCs w:val="20"/>
                    </w:rPr>
                  </w:pPr>
                  <w:r w:rsidRPr="00E045E3">
                    <w:rPr>
                      <w:rFonts w:ascii="Times New Roman" w:hAnsi="Times New Roman" w:cs="Times New Roman"/>
                      <w:color w:val="000000"/>
                      <w:sz w:val="20"/>
                      <w:szCs w:val="20"/>
                    </w:rPr>
                    <w:t>Cita sm</w:t>
                  </w:r>
                  <w:r w:rsidRPr="00E045E3">
                    <w:rPr>
                      <w:rFonts w:ascii="Times New Roman" w:eastAsia="Times New Roman" w:hAnsi="Times New Roman" w:cs="Times New Roman"/>
                      <w:color w:val="000000"/>
                      <w:sz w:val="20"/>
                      <w:szCs w:val="20"/>
                    </w:rPr>
                    <w:t>ēķējamā tabaka</w:t>
                  </w:r>
                </w:p>
              </w:tc>
              <w:tc>
                <w:tcPr>
                  <w:tcW w:w="1134" w:type="dxa"/>
                </w:tcPr>
                <w:p w14:paraId="10840D5A" w14:textId="77777777" w:rsidR="00906E42" w:rsidRPr="00E045E3" w:rsidRDefault="00906E42" w:rsidP="00906E42">
                  <w:pPr>
                    <w:shd w:val="clear" w:color="auto" w:fill="FFFFFF"/>
                    <w:jc w:val="center"/>
                    <w:rPr>
                      <w:rFonts w:ascii="Times New Roman" w:hAnsi="Times New Roman" w:cs="Times New Roman"/>
                      <w:color w:val="000000"/>
                      <w:sz w:val="20"/>
                      <w:szCs w:val="20"/>
                    </w:rPr>
                  </w:pPr>
                  <w:r w:rsidRPr="00E045E3">
                    <w:rPr>
                      <w:rFonts w:ascii="Times New Roman" w:hAnsi="Times New Roman" w:cs="Times New Roman"/>
                      <w:color w:val="000000"/>
                      <w:sz w:val="20"/>
                      <w:szCs w:val="20"/>
                    </w:rPr>
                    <w:t>75</w:t>
                  </w:r>
                </w:p>
              </w:tc>
            </w:tr>
            <w:tr w:rsidR="00906E42" w:rsidRPr="007B044D" w14:paraId="430B43BA" w14:textId="77777777" w:rsidTr="00A9147C">
              <w:trPr>
                <w:trHeight w:hRule="exact" w:val="254"/>
              </w:trPr>
              <w:tc>
                <w:tcPr>
                  <w:tcW w:w="4066" w:type="dxa"/>
                  <w:shd w:val="clear" w:color="auto" w:fill="FFFFFF"/>
                </w:tcPr>
                <w:p w14:paraId="7F7C88F6" w14:textId="77777777" w:rsidR="00906E42" w:rsidRPr="00906E42" w:rsidRDefault="00906E42" w:rsidP="00906E42">
                  <w:pPr>
                    <w:shd w:val="clear" w:color="auto" w:fill="FFFFFF"/>
                    <w:rPr>
                      <w:rFonts w:ascii="Times New Roman" w:eastAsia="Times New Roman" w:hAnsi="Times New Roman" w:cs="Times New Roman"/>
                      <w:color w:val="000000"/>
                      <w:spacing w:val="-2"/>
                      <w:sz w:val="20"/>
                      <w:szCs w:val="20"/>
                    </w:rPr>
                  </w:pPr>
                  <w:r w:rsidRPr="00E045E3">
                    <w:rPr>
                      <w:rFonts w:ascii="Times New Roman" w:hAnsi="Times New Roman" w:cs="Times New Roman"/>
                      <w:color w:val="000000"/>
                      <w:spacing w:val="-2"/>
                      <w:sz w:val="20"/>
                      <w:szCs w:val="20"/>
                    </w:rPr>
                    <w:t>Tabakas lapas</w:t>
                  </w:r>
                  <w:r w:rsidRPr="00E045E3">
                    <w:rPr>
                      <w:rFonts w:ascii="Times New Roman" w:eastAsia="Times New Roman" w:hAnsi="Times New Roman" w:cs="Times New Roman"/>
                      <w:color w:val="000000"/>
                      <w:spacing w:val="-2"/>
                      <w:sz w:val="20"/>
                      <w:szCs w:val="20"/>
                    </w:rPr>
                    <w:t xml:space="preserve">, par 1000 </w:t>
                  </w:r>
                  <w:r w:rsidRPr="00906E42">
                    <w:rPr>
                      <w:rFonts w:ascii="Times New Roman" w:eastAsia="Times New Roman" w:hAnsi="Times New Roman" w:cs="Times New Roman"/>
                      <w:color w:val="000000"/>
                      <w:spacing w:val="-2"/>
                      <w:sz w:val="20"/>
                      <w:szCs w:val="20"/>
                    </w:rPr>
                    <w:t>g</w:t>
                  </w:r>
                </w:p>
                <w:p w14:paraId="679F4F9C" w14:textId="77777777" w:rsidR="00906E42" w:rsidRPr="00E045E3" w:rsidRDefault="00906E42" w:rsidP="00906E42">
                  <w:pPr>
                    <w:shd w:val="clear" w:color="auto" w:fill="FFFFFF"/>
                    <w:rPr>
                      <w:rFonts w:ascii="Times New Roman" w:hAnsi="Times New Roman" w:cs="Times New Roman"/>
                      <w:color w:val="000000"/>
                      <w:sz w:val="20"/>
                      <w:szCs w:val="20"/>
                    </w:rPr>
                  </w:pPr>
                </w:p>
              </w:tc>
              <w:tc>
                <w:tcPr>
                  <w:tcW w:w="1134" w:type="dxa"/>
                </w:tcPr>
                <w:p w14:paraId="65BDF274" w14:textId="77777777" w:rsidR="00906E42" w:rsidRPr="00E045E3" w:rsidRDefault="00906E42" w:rsidP="00906E42">
                  <w:pPr>
                    <w:shd w:val="clear" w:color="auto" w:fill="FFFFFF"/>
                    <w:jc w:val="center"/>
                    <w:rPr>
                      <w:rFonts w:ascii="Times New Roman" w:hAnsi="Times New Roman" w:cs="Times New Roman"/>
                      <w:color w:val="000000"/>
                      <w:sz w:val="20"/>
                      <w:szCs w:val="20"/>
                    </w:rPr>
                  </w:pPr>
                  <w:r w:rsidRPr="00E045E3">
                    <w:rPr>
                      <w:rFonts w:ascii="Times New Roman" w:hAnsi="Times New Roman" w:cs="Times New Roman"/>
                      <w:color w:val="000000"/>
                      <w:sz w:val="20"/>
                      <w:szCs w:val="20"/>
                    </w:rPr>
                    <w:t>75</w:t>
                  </w:r>
                </w:p>
              </w:tc>
            </w:tr>
            <w:tr w:rsidR="00906E42" w:rsidRPr="007B044D" w14:paraId="65044B2E" w14:textId="77777777" w:rsidTr="00A9147C">
              <w:trPr>
                <w:trHeight w:hRule="exact" w:val="289"/>
              </w:trPr>
              <w:tc>
                <w:tcPr>
                  <w:tcW w:w="4066" w:type="dxa"/>
                  <w:shd w:val="clear" w:color="auto" w:fill="FFFFFF"/>
                </w:tcPr>
                <w:p w14:paraId="22320C84" w14:textId="7CF0B5CA" w:rsidR="00906E42" w:rsidRPr="00906E42" w:rsidRDefault="00906E42" w:rsidP="00906E42">
                  <w:pPr>
                    <w:shd w:val="clear" w:color="auto" w:fill="FFFFFF"/>
                    <w:rPr>
                      <w:rFonts w:ascii="Times New Roman" w:eastAsia="Times New Roman" w:hAnsi="Times New Roman" w:cs="Times New Roman"/>
                      <w:color w:val="000000"/>
                      <w:spacing w:val="-2"/>
                      <w:sz w:val="20"/>
                      <w:szCs w:val="20"/>
                    </w:rPr>
                  </w:pPr>
                  <w:r w:rsidRPr="00E045E3">
                    <w:rPr>
                      <w:rFonts w:ascii="Times New Roman" w:hAnsi="Times New Roman" w:cs="Times New Roman"/>
                      <w:color w:val="000000"/>
                      <w:spacing w:val="-2"/>
                      <w:sz w:val="20"/>
                      <w:szCs w:val="20"/>
                    </w:rPr>
                    <w:t>Karsējamā tabaka</w:t>
                  </w:r>
                  <w:r w:rsidRPr="00E045E3">
                    <w:rPr>
                      <w:rFonts w:ascii="Times New Roman" w:eastAsia="Times New Roman" w:hAnsi="Times New Roman" w:cs="Times New Roman"/>
                      <w:color w:val="000000"/>
                      <w:spacing w:val="-2"/>
                      <w:sz w:val="20"/>
                      <w:szCs w:val="20"/>
                    </w:rPr>
                    <w:t xml:space="preserve">, par 1000 </w:t>
                  </w:r>
                  <w:r w:rsidR="000C1F86">
                    <w:rPr>
                      <w:rFonts w:ascii="Times New Roman" w:eastAsia="Times New Roman" w:hAnsi="Times New Roman" w:cs="Times New Roman"/>
                      <w:color w:val="000000"/>
                      <w:spacing w:val="-2"/>
                      <w:sz w:val="20"/>
                      <w:szCs w:val="20"/>
                    </w:rPr>
                    <w:t>g</w:t>
                  </w:r>
                </w:p>
                <w:p w14:paraId="7516E48A" w14:textId="77777777" w:rsidR="00906E42" w:rsidRPr="00E045E3" w:rsidRDefault="00906E42" w:rsidP="00906E42">
                  <w:pPr>
                    <w:shd w:val="clear" w:color="auto" w:fill="FFFFFF"/>
                    <w:rPr>
                      <w:rFonts w:ascii="Times New Roman" w:hAnsi="Times New Roman" w:cs="Times New Roman"/>
                      <w:color w:val="000000"/>
                      <w:spacing w:val="-2"/>
                      <w:sz w:val="20"/>
                      <w:szCs w:val="20"/>
                    </w:rPr>
                  </w:pPr>
                </w:p>
              </w:tc>
              <w:tc>
                <w:tcPr>
                  <w:tcW w:w="1134" w:type="dxa"/>
                </w:tcPr>
                <w:p w14:paraId="0A4A7201" w14:textId="77777777" w:rsidR="00906E42" w:rsidRPr="00E045E3" w:rsidRDefault="00906E42" w:rsidP="00906E42">
                  <w:pPr>
                    <w:shd w:val="clear" w:color="auto" w:fill="FFFFFF"/>
                    <w:jc w:val="center"/>
                    <w:rPr>
                      <w:rFonts w:ascii="Times New Roman" w:hAnsi="Times New Roman" w:cs="Times New Roman"/>
                      <w:color w:val="000000"/>
                      <w:sz w:val="20"/>
                      <w:szCs w:val="20"/>
                    </w:rPr>
                  </w:pPr>
                  <w:r w:rsidRPr="00E045E3">
                    <w:rPr>
                      <w:rFonts w:ascii="Times New Roman" w:hAnsi="Times New Roman" w:cs="Times New Roman"/>
                      <w:color w:val="000000"/>
                      <w:sz w:val="20"/>
                      <w:szCs w:val="20"/>
                    </w:rPr>
                    <w:t>75</w:t>
                  </w:r>
                </w:p>
              </w:tc>
            </w:tr>
          </w:tbl>
          <w:p w14:paraId="1E9EADAA" w14:textId="77777777" w:rsidR="00906E42" w:rsidRPr="00906E42" w:rsidRDefault="00906E42" w:rsidP="008221CF">
            <w:pPr>
              <w:tabs>
                <w:tab w:val="left" w:pos="250"/>
              </w:tabs>
              <w:spacing w:after="0"/>
              <w:jc w:val="both"/>
              <w:rPr>
                <w:rFonts w:eastAsia="Calibri"/>
              </w:rPr>
            </w:pPr>
          </w:p>
          <w:p w14:paraId="67273F58" w14:textId="0143738E" w:rsidR="00906E42" w:rsidRDefault="00906E42" w:rsidP="00C201BF">
            <w:pPr>
              <w:pStyle w:val="ListParagraph"/>
              <w:numPr>
                <w:ilvl w:val="0"/>
                <w:numId w:val="21"/>
              </w:numPr>
              <w:tabs>
                <w:tab w:val="left" w:pos="250"/>
              </w:tabs>
              <w:ind w:left="0" w:firstLine="391"/>
              <w:jc w:val="both"/>
              <w:rPr>
                <w:rFonts w:eastAsia="Calibri"/>
              </w:rPr>
            </w:pPr>
            <w:r>
              <w:rPr>
                <w:rFonts w:eastAsia="Calibri"/>
              </w:rPr>
              <w:t>Lai noteiktu vienādus</w:t>
            </w:r>
            <w:r w:rsidR="00BD7663">
              <w:rPr>
                <w:rFonts w:eastAsia="Calibri"/>
              </w:rPr>
              <w:t xml:space="preserve"> preču aprites</w:t>
            </w:r>
            <w:r>
              <w:rPr>
                <w:rFonts w:eastAsia="Calibri"/>
              </w:rPr>
              <w:t xml:space="preserve"> nosacījumus attiecīb</w:t>
            </w:r>
            <w:r w:rsidR="002748F5">
              <w:rPr>
                <w:rFonts w:eastAsia="Calibri"/>
              </w:rPr>
              <w:t xml:space="preserve">ā uz </w:t>
            </w:r>
            <w:r w:rsidR="00BD7663">
              <w:rPr>
                <w:rFonts w:eastAsia="Calibri"/>
              </w:rPr>
              <w:t>savstarpēji aizvietojamiem tabakas izstrādājumiem</w:t>
            </w:r>
            <w:r w:rsidR="002748F5">
              <w:rPr>
                <w:rFonts w:eastAsia="Calibri"/>
              </w:rPr>
              <w:t>, paredzēts</w:t>
            </w:r>
            <w:r w:rsidR="00A9147C">
              <w:rPr>
                <w:rFonts w:eastAsia="Calibri"/>
              </w:rPr>
              <w:t xml:space="preserve"> atcelt šobrīd likuma</w:t>
            </w:r>
            <w:r>
              <w:rPr>
                <w:rFonts w:eastAsia="Calibri"/>
              </w:rPr>
              <w:t xml:space="preserve"> </w:t>
            </w:r>
            <w:proofErr w:type="gramStart"/>
            <w:r>
              <w:rPr>
                <w:rFonts w:eastAsia="Calibri"/>
              </w:rPr>
              <w:t>27.pantā</w:t>
            </w:r>
            <w:proofErr w:type="gramEnd"/>
            <w:r>
              <w:rPr>
                <w:rFonts w:eastAsia="Calibri"/>
              </w:rPr>
              <w:t xml:space="preserve"> noteikto iespēju nemarķēt ar akcīzes </w:t>
            </w:r>
            <w:r w:rsidR="002748F5">
              <w:rPr>
                <w:rFonts w:eastAsia="Calibri"/>
              </w:rPr>
              <w:t>nodokļa markām karsējamo tabaku</w:t>
            </w:r>
            <w:r>
              <w:rPr>
                <w:rFonts w:eastAsia="Calibri"/>
              </w:rPr>
              <w:t xml:space="preserve">. Paredzēts, ka minētā norma stāsies spēkā </w:t>
            </w:r>
            <w:proofErr w:type="gramStart"/>
            <w:r>
              <w:rPr>
                <w:rFonts w:eastAsia="Calibri"/>
              </w:rPr>
              <w:t>2021.gada</w:t>
            </w:r>
            <w:proofErr w:type="gramEnd"/>
            <w:r>
              <w:rPr>
                <w:rFonts w:eastAsia="Calibri"/>
              </w:rPr>
              <w:t xml:space="preserve"> 1.jūlijā.</w:t>
            </w:r>
          </w:p>
          <w:p w14:paraId="3B4B8D36" w14:textId="482D1C92" w:rsidR="00A3203B" w:rsidRDefault="006B1A18" w:rsidP="00A8516A">
            <w:pPr>
              <w:pStyle w:val="ListParagraph"/>
              <w:numPr>
                <w:ilvl w:val="0"/>
                <w:numId w:val="21"/>
              </w:numPr>
              <w:tabs>
                <w:tab w:val="left" w:pos="250"/>
              </w:tabs>
              <w:ind w:left="0" w:firstLine="392"/>
              <w:jc w:val="both"/>
              <w:rPr>
                <w:rFonts w:eastAsia="Calibri"/>
              </w:rPr>
            </w:pPr>
            <w:r w:rsidRPr="00A8516A">
              <w:rPr>
                <w:rFonts w:eastAsia="Calibri"/>
              </w:rPr>
              <w:t>Lai vienkāršotu akcīzes nodokļa piemē</w:t>
            </w:r>
            <w:r w:rsidR="00E1476B">
              <w:rPr>
                <w:rFonts w:eastAsia="Calibri"/>
              </w:rPr>
              <w:t>rošanas nosacījumus elektroniskajās cigaretēs izmantojamiem šķidrumiem</w:t>
            </w:r>
            <w:r w:rsidR="000C1F86">
              <w:rPr>
                <w:rFonts w:eastAsia="Calibri"/>
              </w:rPr>
              <w:t>,</w:t>
            </w:r>
            <w:r w:rsidRPr="00A8516A">
              <w:rPr>
                <w:rFonts w:eastAsia="Calibri"/>
              </w:rPr>
              <w:t xml:space="preserve"> n</w:t>
            </w:r>
            <w:r w:rsidR="00A3203B" w:rsidRPr="00A8516A">
              <w:rPr>
                <w:rFonts w:eastAsia="Calibri"/>
              </w:rPr>
              <w:t xml:space="preserve">o </w:t>
            </w:r>
            <w:proofErr w:type="gramStart"/>
            <w:r w:rsidR="00A3203B" w:rsidRPr="00A8516A">
              <w:rPr>
                <w:rFonts w:eastAsia="Calibri"/>
              </w:rPr>
              <w:t>2021.gada</w:t>
            </w:r>
            <w:proofErr w:type="gramEnd"/>
            <w:r w:rsidR="00A3203B" w:rsidRPr="00A8516A">
              <w:rPr>
                <w:rFonts w:eastAsia="Calibri"/>
              </w:rPr>
              <w:t xml:space="preserve"> 1.janvāra </w:t>
            </w:r>
            <w:r w:rsidRPr="00A8516A">
              <w:rPr>
                <w:rFonts w:eastAsia="Calibri"/>
              </w:rPr>
              <w:t xml:space="preserve">atteikties no pašreiz </w:t>
            </w:r>
            <w:r w:rsidRPr="00A8516A">
              <w:rPr>
                <w:rFonts w:eastAsia="Calibri"/>
              </w:rPr>
              <w:lastRenderedPageBreak/>
              <w:t>piemērojamās akc</w:t>
            </w:r>
            <w:r w:rsidR="00E1476B">
              <w:rPr>
                <w:rFonts w:eastAsia="Calibri"/>
              </w:rPr>
              <w:t xml:space="preserve">īzes nodokļa likmes </w:t>
            </w:r>
            <w:r w:rsidR="009F19ED">
              <w:rPr>
                <w:rFonts w:eastAsia="Calibri"/>
              </w:rPr>
              <w:t xml:space="preserve">par </w:t>
            </w:r>
            <w:r w:rsidR="00E1476B">
              <w:rPr>
                <w:rFonts w:eastAsia="Calibri"/>
              </w:rPr>
              <w:t>elektroniskajās cigaretēs izmantojamiem šķidrumiem</w:t>
            </w:r>
            <w:r w:rsidRPr="00A8516A">
              <w:rPr>
                <w:rFonts w:eastAsia="Calibri"/>
              </w:rPr>
              <w:t xml:space="preserve"> struktūras, nosakot likmi par vienu mililitru e-šķidruma neatkarīgi no nikotīna daudzuma, līdzīgi, k</w:t>
            </w:r>
            <w:r w:rsidR="009F19ED">
              <w:rPr>
                <w:rFonts w:eastAsia="Calibri"/>
              </w:rPr>
              <w:t>ā</w:t>
            </w:r>
            <w:r w:rsidRPr="00A8516A">
              <w:rPr>
                <w:rFonts w:eastAsia="Calibri"/>
              </w:rPr>
              <w:t xml:space="preserve"> tas šobrīd ir noteikts Igaunijā un Lietuvā. </w:t>
            </w:r>
            <w:r w:rsidR="000C1F86">
              <w:rPr>
                <w:rFonts w:eastAsia="Calibri"/>
              </w:rPr>
              <w:t xml:space="preserve">No </w:t>
            </w:r>
            <w:proofErr w:type="gramStart"/>
            <w:r w:rsidR="000C1F86">
              <w:rPr>
                <w:rFonts w:eastAsia="Calibri"/>
              </w:rPr>
              <w:t>2021.gada</w:t>
            </w:r>
            <w:proofErr w:type="gramEnd"/>
            <w:r w:rsidR="000C1F86">
              <w:rPr>
                <w:rFonts w:eastAsia="Calibri"/>
              </w:rPr>
              <w:t xml:space="preserve"> 1.janvāra p</w:t>
            </w:r>
            <w:r w:rsidRPr="00A8516A">
              <w:rPr>
                <w:rFonts w:eastAsia="Calibri"/>
              </w:rPr>
              <w:t>aredzēt pakāpenisku akcīzes no</w:t>
            </w:r>
            <w:r w:rsidR="00E1476B">
              <w:rPr>
                <w:rFonts w:eastAsia="Calibri"/>
              </w:rPr>
              <w:t>dokļa paaugstināšanu elektroniskajās cigaretēs izmantojamiem šķidrumiem</w:t>
            </w:r>
            <w:r w:rsidRPr="00A8516A">
              <w:rPr>
                <w:rFonts w:eastAsia="Calibri"/>
              </w:rPr>
              <w:t>.</w:t>
            </w:r>
            <w:r w:rsidR="00A8516A" w:rsidRPr="00A8516A">
              <w:rPr>
                <w:rFonts w:eastAsia="Calibri"/>
              </w:rPr>
              <w:t xml:space="preserve"> Papildus tam paredzēt </w:t>
            </w:r>
            <w:proofErr w:type="gramStart"/>
            <w:r w:rsidR="00A8516A" w:rsidRPr="00A8516A">
              <w:rPr>
                <w:rFonts w:eastAsia="Calibri"/>
              </w:rPr>
              <w:t>līdzīgi,</w:t>
            </w:r>
            <w:proofErr w:type="gramEnd"/>
            <w:r w:rsidR="00A8516A" w:rsidRPr="00A8516A">
              <w:rPr>
                <w:rFonts w:eastAsia="Calibri"/>
              </w:rPr>
              <w:t xml:space="preserve"> kā pašlaik ir noteikts Igaunijā, ar akcīzes nodokli aplikt arī elektroniskajās cigaretēs izmantojamo šķidrumu sagatavošanas sastāvdaļas (</w:t>
            </w:r>
            <w:proofErr w:type="spellStart"/>
            <w:r w:rsidR="00A8516A" w:rsidRPr="00A8516A">
              <w:rPr>
                <w:rFonts w:eastAsia="Calibri"/>
              </w:rPr>
              <w:t>propilenglikols</w:t>
            </w:r>
            <w:proofErr w:type="spellEnd"/>
            <w:r w:rsidR="00A8516A" w:rsidRPr="00A8516A">
              <w:rPr>
                <w:rFonts w:eastAsia="Calibri"/>
              </w:rPr>
              <w:t xml:space="preserve">, aromatizatori, augu izcelsmes glicerīns un nikotīna ekstrakti), kuras plaši tiek piedāvātas Latvijas tirgū un kuras patērētāji </w:t>
            </w:r>
            <w:r w:rsidR="009F19ED">
              <w:rPr>
                <w:rFonts w:eastAsia="Calibri"/>
              </w:rPr>
              <w:t xml:space="preserve">paši </w:t>
            </w:r>
            <w:r w:rsidR="00A8516A" w:rsidRPr="00A8516A">
              <w:rPr>
                <w:rFonts w:eastAsia="Calibri"/>
              </w:rPr>
              <w:t>iegādājas, lai sagatavotu elektroniskajās cigaretēs izmantojamo šķidrumu, tādējādi izvairoties no akcīzes nodokļa nomaksas.</w:t>
            </w:r>
            <w:r w:rsidR="00A9147C">
              <w:rPr>
                <w:color w:val="000000"/>
              </w:rPr>
              <w:t xml:space="preserve"> Veicot akcīzes nodokļa likmes elektroniskajās cigaretēs izmantojamo šķidrumu</w:t>
            </w:r>
            <w:r w:rsidR="00D332CB">
              <w:rPr>
                <w:color w:val="000000"/>
              </w:rPr>
              <w:t xml:space="preserve"> vienkāršošanu, pārejot uz vienotu</w:t>
            </w:r>
            <w:r w:rsidR="00A9147C">
              <w:rPr>
                <w:color w:val="000000"/>
              </w:rPr>
              <w:t xml:space="preserve"> likmi, ko piemēro par mililitru šķidruma paredzēts, ka nodokļu daļa par 10 ml šķidruma 2021.gadā  pieaugs par 0,12 līdz 1,33 </w:t>
            </w:r>
            <w:proofErr w:type="spellStart"/>
            <w:r w:rsidR="00A9147C">
              <w:rPr>
                <w:i/>
                <w:iCs/>
                <w:color w:val="000000"/>
              </w:rPr>
              <w:t>euro</w:t>
            </w:r>
            <w:proofErr w:type="spellEnd"/>
            <w:r w:rsidR="00A9147C">
              <w:rPr>
                <w:color w:val="000000"/>
              </w:rPr>
              <w:t xml:space="preserve"> (atkarībā no nikotīna satura, kas nosaka nodokļu līmeni 2020.gadā) un būs 1,45 </w:t>
            </w:r>
            <w:proofErr w:type="spellStart"/>
            <w:r w:rsidR="00A9147C">
              <w:rPr>
                <w:i/>
                <w:iCs/>
                <w:color w:val="000000"/>
              </w:rPr>
              <w:t>euro</w:t>
            </w:r>
            <w:proofErr w:type="spellEnd"/>
            <w:r w:rsidR="00A9147C">
              <w:rPr>
                <w:color w:val="000000"/>
              </w:rPr>
              <w:t xml:space="preserve"> par 10 ml šķidruma. 2022.gadā nodokļu daļa pieaugs par 0,48 </w:t>
            </w:r>
            <w:proofErr w:type="spellStart"/>
            <w:r w:rsidR="00A9147C">
              <w:rPr>
                <w:i/>
                <w:iCs/>
                <w:color w:val="000000"/>
              </w:rPr>
              <w:t>euro</w:t>
            </w:r>
            <w:proofErr w:type="spellEnd"/>
            <w:r w:rsidR="00A9147C">
              <w:rPr>
                <w:color w:val="000000"/>
              </w:rPr>
              <w:t xml:space="preserve"> jeb 33,3% un 2023.gadā vēl par 0,48 </w:t>
            </w:r>
            <w:proofErr w:type="spellStart"/>
            <w:r w:rsidR="00A9147C">
              <w:rPr>
                <w:i/>
                <w:iCs/>
                <w:color w:val="000000"/>
              </w:rPr>
              <w:t>euro</w:t>
            </w:r>
            <w:proofErr w:type="spellEnd"/>
            <w:r w:rsidR="00A9147C">
              <w:rPr>
                <w:color w:val="000000"/>
              </w:rPr>
              <w:t xml:space="preserve"> jeb 25,0%.</w:t>
            </w:r>
          </w:p>
          <w:p w14:paraId="4E4D42AE" w14:textId="49DB1D3D" w:rsidR="00A8516A" w:rsidRDefault="00A8516A" w:rsidP="000C1F86">
            <w:pPr>
              <w:tabs>
                <w:tab w:val="left" w:pos="250"/>
              </w:tabs>
              <w:spacing w:after="0" w:line="240" w:lineRule="auto"/>
              <w:ind w:firstLine="403"/>
              <w:jc w:val="both"/>
              <w:rPr>
                <w:rFonts w:ascii="Times New Roman" w:hAnsi="Times New Roman" w:cs="Times New Roman"/>
                <w:sz w:val="24"/>
                <w:szCs w:val="24"/>
              </w:rPr>
            </w:pPr>
            <w:r w:rsidRPr="00A8516A">
              <w:rPr>
                <w:rFonts w:ascii="Times New Roman" w:hAnsi="Times New Roman" w:cs="Times New Roman"/>
                <w:sz w:val="24"/>
                <w:szCs w:val="24"/>
              </w:rPr>
              <w:t>Turklāt</w:t>
            </w:r>
            <w:r>
              <w:rPr>
                <w:rFonts w:ascii="Times New Roman" w:hAnsi="Times New Roman" w:cs="Times New Roman"/>
                <w:sz w:val="24"/>
                <w:szCs w:val="24"/>
              </w:rPr>
              <w:t xml:space="preserve">, lai </w:t>
            </w:r>
            <w:r w:rsidR="00C201BF">
              <w:rPr>
                <w:rFonts w:ascii="Times New Roman" w:hAnsi="Times New Roman" w:cs="Times New Roman"/>
                <w:sz w:val="24"/>
                <w:szCs w:val="24"/>
              </w:rPr>
              <w:t>patēr</w:t>
            </w:r>
            <w:r w:rsidR="00E1476B">
              <w:rPr>
                <w:rFonts w:ascii="Times New Roman" w:hAnsi="Times New Roman" w:cs="Times New Roman"/>
                <w:sz w:val="24"/>
                <w:szCs w:val="24"/>
              </w:rPr>
              <w:t>ētāji varētu pārliecināties par elektroniskajās cigaretēs izmantojamo šķidrumu</w:t>
            </w:r>
            <w:r>
              <w:rPr>
                <w:rFonts w:ascii="Times New Roman" w:hAnsi="Times New Roman" w:cs="Times New Roman"/>
                <w:sz w:val="24"/>
                <w:szCs w:val="24"/>
              </w:rPr>
              <w:t xml:space="preserve"> un to </w:t>
            </w:r>
            <w:r w:rsidR="00E1476B">
              <w:rPr>
                <w:rFonts w:ascii="Times New Roman" w:hAnsi="Times New Roman" w:cs="Times New Roman"/>
                <w:sz w:val="24"/>
                <w:szCs w:val="24"/>
              </w:rPr>
              <w:t xml:space="preserve">sagatavošanas </w:t>
            </w:r>
            <w:r>
              <w:rPr>
                <w:rFonts w:ascii="Times New Roman" w:hAnsi="Times New Roman" w:cs="Times New Roman"/>
                <w:sz w:val="24"/>
                <w:szCs w:val="24"/>
              </w:rPr>
              <w:t>sastāvdaļu</w:t>
            </w:r>
            <w:r w:rsidR="00C201BF">
              <w:rPr>
                <w:rFonts w:ascii="Times New Roman" w:hAnsi="Times New Roman" w:cs="Times New Roman"/>
                <w:sz w:val="24"/>
                <w:szCs w:val="24"/>
              </w:rPr>
              <w:t xml:space="preserve"> legālo izcelsmi, kā arī par to, ka akcīzes nodoklis par minētiem produktiem ir nomaksāts pilnā apmērā, paredzēt to</w:t>
            </w:r>
            <w:r>
              <w:rPr>
                <w:rFonts w:ascii="Times New Roman" w:hAnsi="Times New Roman" w:cs="Times New Roman"/>
                <w:sz w:val="24"/>
                <w:szCs w:val="24"/>
              </w:rPr>
              <w:t xml:space="preserve"> marķē</w:t>
            </w:r>
            <w:r w:rsidR="00C201BF">
              <w:rPr>
                <w:rFonts w:ascii="Times New Roman" w:hAnsi="Times New Roman" w:cs="Times New Roman"/>
                <w:sz w:val="24"/>
                <w:szCs w:val="24"/>
              </w:rPr>
              <w:t>šanu</w:t>
            </w:r>
            <w:r>
              <w:rPr>
                <w:rFonts w:ascii="Times New Roman" w:hAnsi="Times New Roman" w:cs="Times New Roman"/>
                <w:sz w:val="24"/>
                <w:szCs w:val="24"/>
              </w:rPr>
              <w:t xml:space="preserve"> ar akcīzes nodokļa markām</w:t>
            </w:r>
            <w:r w:rsidR="00C201BF">
              <w:rPr>
                <w:rFonts w:ascii="Times New Roman" w:hAnsi="Times New Roman" w:cs="Times New Roman"/>
                <w:sz w:val="24"/>
                <w:szCs w:val="24"/>
              </w:rPr>
              <w:t>.</w:t>
            </w:r>
            <w:r w:rsidR="002748F5">
              <w:rPr>
                <w:rFonts w:ascii="Times New Roman" w:hAnsi="Times New Roman" w:cs="Times New Roman"/>
                <w:sz w:val="24"/>
                <w:szCs w:val="24"/>
              </w:rPr>
              <w:t xml:space="preserve"> Paredzē</w:t>
            </w:r>
            <w:r w:rsidR="00E1476B">
              <w:rPr>
                <w:rFonts w:ascii="Times New Roman" w:hAnsi="Times New Roman" w:cs="Times New Roman"/>
                <w:sz w:val="24"/>
                <w:szCs w:val="24"/>
              </w:rPr>
              <w:t>ts, ka regulējums par elektroniskajās cigaretēs izmantojamo šķidrumu</w:t>
            </w:r>
            <w:r w:rsidR="002748F5">
              <w:rPr>
                <w:rFonts w:ascii="Times New Roman" w:hAnsi="Times New Roman" w:cs="Times New Roman"/>
                <w:sz w:val="24"/>
                <w:szCs w:val="24"/>
              </w:rPr>
              <w:t xml:space="preserve"> un to sagatavošanas sastāvdaļu marķēšanu ar akcīzes nodokļa markām stāsies spēkā </w:t>
            </w:r>
            <w:proofErr w:type="gramStart"/>
            <w:r w:rsidR="002748F5">
              <w:rPr>
                <w:rFonts w:ascii="Times New Roman" w:hAnsi="Times New Roman" w:cs="Times New Roman"/>
                <w:sz w:val="24"/>
                <w:szCs w:val="24"/>
              </w:rPr>
              <w:t>2021.gada</w:t>
            </w:r>
            <w:proofErr w:type="gramEnd"/>
            <w:r w:rsidR="002748F5">
              <w:rPr>
                <w:rFonts w:ascii="Times New Roman" w:hAnsi="Times New Roman" w:cs="Times New Roman"/>
                <w:sz w:val="24"/>
                <w:szCs w:val="24"/>
              </w:rPr>
              <w:t xml:space="preserve"> 1.jūlijā.</w:t>
            </w:r>
          </w:p>
          <w:p w14:paraId="3B03CF95" w14:textId="126FBA49" w:rsidR="00C201BF" w:rsidRPr="0086319A" w:rsidRDefault="00C201BF" w:rsidP="0086319A">
            <w:pPr>
              <w:tabs>
                <w:tab w:val="left" w:pos="250"/>
              </w:tabs>
              <w:spacing w:after="0" w:line="240" w:lineRule="auto"/>
              <w:ind w:firstLine="403"/>
              <w:jc w:val="both"/>
              <w:rPr>
                <w:rFonts w:ascii="Times New Roman" w:hAnsi="Times New Roman" w:cs="Times New Roman"/>
                <w:sz w:val="24"/>
                <w:szCs w:val="24"/>
              </w:rPr>
            </w:pPr>
            <w:r w:rsidRPr="0086319A">
              <w:rPr>
                <w:rFonts w:ascii="Times New Roman" w:hAnsi="Times New Roman" w:cs="Times New Roman"/>
                <w:sz w:val="24"/>
                <w:szCs w:val="24"/>
              </w:rPr>
              <w:t>Paš</w:t>
            </w:r>
            <w:r w:rsidR="0086319A" w:rsidRPr="0086319A">
              <w:rPr>
                <w:rFonts w:ascii="Times New Roman" w:hAnsi="Times New Roman" w:cs="Times New Roman"/>
                <w:sz w:val="24"/>
                <w:szCs w:val="24"/>
              </w:rPr>
              <w:t>laik piemērojamais akcīzes nodoklis</w:t>
            </w:r>
            <w:r w:rsidRPr="0086319A">
              <w:rPr>
                <w:rFonts w:ascii="Times New Roman" w:hAnsi="Times New Roman" w:cs="Times New Roman"/>
                <w:sz w:val="24"/>
                <w:szCs w:val="24"/>
              </w:rPr>
              <w:t xml:space="preserve"> elektroniskajās cigaretēs izmantojamam šķidrumam</w:t>
            </w:r>
            <w:r w:rsidR="0086319A" w:rsidRPr="0086319A">
              <w:rPr>
                <w:rFonts w:ascii="Times New Roman" w:hAnsi="Times New Roman" w:cs="Times New Roman"/>
                <w:sz w:val="24"/>
                <w:szCs w:val="24"/>
              </w:rPr>
              <w:t xml:space="preserve"> veido likmi par 1 mililitru šķidruma – 0,01 </w:t>
            </w:r>
            <w:proofErr w:type="spellStart"/>
            <w:r w:rsidR="0086319A" w:rsidRPr="0086319A">
              <w:rPr>
                <w:rFonts w:ascii="Times New Roman" w:hAnsi="Times New Roman" w:cs="Times New Roman"/>
                <w:i/>
                <w:sz w:val="24"/>
                <w:szCs w:val="24"/>
              </w:rPr>
              <w:t>euro</w:t>
            </w:r>
            <w:proofErr w:type="spellEnd"/>
            <w:r w:rsidR="0086319A" w:rsidRPr="0086319A">
              <w:rPr>
                <w:rFonts w:ascii="Times New Roman" w:hAnsi="Times New Roman" w:cs="Times New Roman"/>
                <w:sz w:val="24"/>
                <w:szCs w:val="24"/>
              </w:rPr>
              <w:t xml:space="preserve"> un likmi par 1 miligramu nikotīna – 0,005 </w:t>
            </w:r>
            <w:proofErr w:type="spellStart"/>
            <w:r w:rsidR="0086319A" w:rsidRPr="0086319A">
              <w:rPr>
                <w:rFonts w:ascii="Times New Roman" w:hAnsi="Times New Roman" w:cs="Times New Roman"/>
                <w:i/>
                <w:sz w:val="24"/>
                <w:szCs w:val="24"/>
              </w:rPr>
              <w:t>euro</w:t>
            </w:r>
            <w:proofErr w:type="spellEnd"/>
            <w:r w:rsidR="0086319A" w:rsidRPr="0086319A">
              <w:rPr>
                <w:rFonts w:ascii="Times New Roman" w:hAnsi="Times New Roman" w:cs="Times New Roman"/>
                <w:sz w:val="24"/>
                <w:szCs w:val="24"/>
              </w:rPr>
              <w:t>.</w:t>
            </w:r>
          </w:p>
          <w:p w14:paraId="173E0A8B" w14:textId="0D3A2A89" w:rsidR="008F187F" w:rsidRDefault="0086319A" w:rsidP="009F19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A374DC">
              <w:rPr>
                <w:rFonts w:ascii="Times New Roman" w:hAnsi="Times New Roman" w:cs="Times New Roman"/>
                <w:sz w:val="24"/>
                <w:szCs w:val="24"/>
              </w:rPr>
              <w:t xml:space="preserve">) </w:t>
            </w:r>
            <w:r w:rsidR="00874B67">
              <w:rPr>
                <w:rFonts w:ascii="Times New Roman" w:hAnsi="Times New Roman" w:cs="Times New Roman"/>
                <w:sz w:val="24"/>
                <w:szCs w:val="24"/>
              </w:rPr>
              <w:t xml:space="preserve">No </w:t>
            </w:r>
            <w:proofErr w:type="gramStart"/>
            <w:r w:rsidR="00874B67">
              <w:rPr>
                <w:rFonts w:ascii="Times New Roman" w:hAnsi="Times New Roman" w:cs="Times New Roman"/>
                <w:sz w:val="24"/>
                <w:szCs w:val="24"/>
              </w:rPr>
              <w:t>2021.g</w:t>
            </w:r>
            <w:r w:rsidR="0074652A">
              <w:rPr>
                <w:rFonts w:ascii="Times New Roman" w:hAnsi="Times New Roman" w:cs="Times New Roman"/>
                <w:sz w:val="24"/>
                <w:szCs w:val="24"/>
              </w:rPr>
              <w:t>ada</w:t>
            </w:r>
            <w:proofErr w:type="gramEnd"/>
            <w:r w:rsidR="0074652A">
              <w:rPr>
                <w:rFonts w:ascii="Times New Roman" w:hAnsi="Times New Roman" w:cs="Times New Roman"/>
                <w:sz w:val="24"/>
                <w:szCs w:val="24"/>
              </w:rPr>
              <w:t xml:space="preserve"> 1.janvāra</w:t>
            </w:r>
            <w:r w:rsidR="00FD7FCC">
              <w:rPr>
                <w:rFonts w:ascii="Times New Roman" w:hAnsi="Times New Roman" w:cs="Times New Roman"/>
                <w:sz w:val="24"/>
                <w:szCs w:val="24"/>
              </w:rPr>
              <w:t xml:space="preserve"> ieviest, kā arī turpmāk pakāpeniski paaugstināt akcīzes n</w:t>
            </w:r>
            <w:r w:rsidR="00DC2BDA">
              <w:rPr>
                <w:rFonts w:ascii="Times New Roman" w:hAnsi="Times New Roman" w:cs="Times New Roman"/>
                <w:sz w:val="24"/>
                <w:szCs w:val="24"/>
              </w:rPr>
              <w:t>odokli tabakas aizstājējproduktiem. Tabakas aizstājējprodukti</w:t>
            </w:r>
            <w:r w:rsidR="00FD7FCC">
              <w:rPr>
                <w:rFonts w:ascii="Times New Roman" w:hAnsi="Times New Roman" w:cs="Times New Roman"/>
                <w:sz w:val="24"/>
                <w:szCs w:val="24"/>
              </w:rPr>
              <w:t xml:space="preserve"> ir produkti, kas satur vai nesatur nikotīnu un kuri nav iepriekš definēti, kā zināmi tabakas izstrādājumi, </w:t>
            </w:r>
            <w:proofErr w:type="gramStart"/>
            <w:r w:rsidR="00FD7FCC">
              <w:rPr>
                <w:rFonts w:ascii="Times New Roman" w:hAnsi="Times New Roman" w:cs="Times New Roman"/>
                <w:sz w:val="24"/>
                <w:szCs w:val="24"/>
              </w:rPr>
              <w:t>piemēram</w:t>
            </w:r>
            <w:proofErr w:type="gramEnd"/>
            <w:r>
              <w:rPr>
                <w:rFonts w:ascii="Times New Roman" w:hAnsi="Times New Roman" w:cs="Times New Roman"/>
                <w:sz w:val="24"/>
                <w:szCs w:val="24"/>
              </w:rPr>
              <w:t xml:space="preserve"> nikotīnu saturošie spilventiņi</w:t>
            </w:r>
            <w:r w:rsidR="00FD7FCC">
              <w:rPr>
                <w:rFonts w:ascii="Times New Roman" w:hAnsi="Times New Roman" w:cs="Times New Roman"/>
                <w:sz w:val="24"/>
                <w:szCs w:val="24"/>
              </w:rPr>
              <w:t xml:space="preserve"> “</w:t>
            </w:r>
            <w:proofErr w:type="spellStart"/>
            <w:r w:rsidR="00FD7FCC">
              <w:rPr>
                <w:rFonts w:ascii="Times New Roman" w:hAnsi="Times New Roman" w:cs="Times New Roman"/>
                <w:sz w:val="24"/>
                <w:szCs w:val="24"/>
              </w:rPr>
              <w:t>S</w:t>
            </w:r>
            <w:r w:rsidR="00DC2BDA">
              <w:rPr>
                <w:rFonts w:ascii="Times New Roman" w:hAnsi="Times New Roman" w:cs="Times New Roman"/>
                <w:sz w:val="24"/>
                <w:szCs w:val="24"/>
              </w:rPr>
              <w:t>kruf</w:t>
            </w:r>
            <w:proofErr w:type="spellEnd"/>
            <w:r w:rsidR="00DC2BDA">
              <w:rPr>
                <w:rFonts w:ascii="Times New Roman" w:hAnsi="Times New Roman" w:cs="Times New Roman"/>
                <w:sz w:val="24"/>
                <w:szCs w:val="24"/>
              </w:rPr>
              <w:t>”. Tabakas aizstājējproduktiem</w:t>
            </w:r>
            <w:r w:rsidR="0074652A">
              <w:rPr>
                <w:rFonts w:ascii="Times New Roman" w:hAnsi="Times New Roman" w:cs="Times New Roman"/>
                <w:sz w:val="24"/>
                <w:szCs w:val="24"/>
              </w:rPr>
              <w:t xml:space="preserve"> ar </w:t>
            </w:r>
            <w:proofErr w:type="gramStart"/>
            <w:r w:rsidR="0074652A">
              <w:rPr>
                <w:rFonts w:ascii="Times New Roman" w:hAnsi="Times New Roman" w:cs="Times New Roman"/>
                <w:sz w:val="24"/>
                <w:szCs w:val="24"/>
              </w:rPr>
              <w:t>2021.gada</w:t>
            </w:r>
            <w:proofErr w:type="gramEnd"/>
            <w:r w:rsidR="0074652A">
              <w:rPr>
                <w:rFonts w:ascii="Times New Roman" w:hAnsi="Times New Roman" w:cs="Times New Roman"/>
                <w:sz w:val="24"/>
                <w:szCs w:val="24"/>
              </w:rPr>
              <w:t xml:space="preserve"> 1.janvāri</w:t>
            </w:r>
            <w:r w:rsidR="00FD7FCC">
              <w:rPr>
                <w:rFonts w:ascii="Times New Roman" w:hAnsi="Times New Roman" w:cs="Times New Roman"/>
                <w:sz w:val="24"/>
                <w:szCs w:val="24"/>
              </w:rPr>
              <w:t xml:space="preserve"> n</w:t>
            </w:r>
            <w:r w:rsidR="002748F5">
              <w:rPr>
                <w:rFonts w:ascii="Times New Roman" w:hAnsi="Times New Roman" w:cs="Times New Roman"/>
                <w:sz w:val="24"/>
                <w:szCs w:val="24"/>
              </w:rPr>
              <w:t>oteikt akcīzes nodokļa likmi 80</w:t>
            </w:r>
            <w:r w:rsidR="00FD7FCC">
              <w:rPr>
                <w:rFonts w:ascii="Times New Roman" w:hAnsi="Times New Roman" w:cs="Times New Roman"/>
                <w:sz w:val="24"/>
                <w:szCs w:val="24"/>
              </w:rPr>
              <w:t xml:space="preserve"> </w:t>
            </w:r>
            <w:proofErr w:type="spellStart"/>
            <w:r w:rsidR="00FD7FCC">
              <w:rPr>
                <w:rFonts w:ascii="Times New Roman" w:hAnsi="Times New Roman" w:cs="Times New Roman"/>
                <w:sz w:val="24"/>
                <w:szCs w:val="24"/>
              </w:rPr>
              <w:t>euro</w:t>
            </w:r>
            <w:proofErr w:type="spellEnd"/>
            <w:r w:rsidR="00FD7FCC">
              <w:rPr>
                <w:rFonts w:ascii="Times New Roman" w:hAnsi="Times New Roman" w:cs="Times New Roman"/>
                <w:sz w:val="24"/>
                <w:szCs w:val="24"/>
              </w:rPr>
              <w:t xml:space="preserve"> par 1000 gramiem produkta</w:t>
            </w:r>
            <w:r w:rsidR="002748F5">
              <w:rPr>
                <w:rFonts w:ascii="Times New Roman" w:hAnsi="Times New Roman" w:cs="Times New Roman"/>
                <w:sz w:val="24"/>
                <w:szCs w:val="24"/>
              </w:rPr>
              <w:t xml:space="preserve">, no 2022.gada 1.janvāra – 100 </w:t>
            </w:r>
            <w:proofErr w:type="spellStart"/>
            <w:r w:rsidR="002748F5">
              <w:rPr>
                <w:rFonts w:ascii="Times New Roman" w:hAnsi="Times New Roman" w:cs="Times New Roman"/>
                <w:sz w:val="24"/>
                <w:szCs w:val="24"/>
              </w:rPr>
              <w:t>euro</w:t>
            </w:r>
            <w:proofErr w:type="spellEnd"/>
            <w:r w:rsidR="002748F5">
              <w:rPr>
                <w:rFonts w:ascii="Times New Roman" w:hAnsi="Times New Roman" w:cs="Times New Roman"/>
                <w:sz w:val="24"/>
                <w:szCs w:val="24"/>
              </w:rPr>
              <w:t xml:space="preserve"> par 1000 gramiem produkta un no 2023.gada 1.janvāra -</w:t>
            </w:r>
            <w:r w:rsidR="00FD7FCC">
              <w:rPr>
                <w:rFonts w:ascii="Times New Roman" w:hAnsi="Times New Roman" w:cs="Times New Roman"/>
                <w:sz w:val="24"/>
                <w:szCs w:val="24"/>
              </w:rPr>
              <w:t xml:space="preserve"> 120 </w:t>
            </w:r>
            <w:proofErr w:type="spellStart"/>
            <w:r w:rsidR="00FD7FCC">
              <w:rPr>
                <w:rFonts w:ascii="Times New Roman" w:hAnsi="Times New Roman" w:cs="Times New Roman"/>
                <w:sz w:val="24"/>
                <w:szCs w:val="24"/>
              </w:rPr>
              <w:t>euro</w:t>
            </w:r>
            <w:proofErr w:type="spellEnd"/>
            <w:r w:rsidR="00FD7FCC">
              <w:rPr>
                <w:rFonts w:ascii="Times New Roman" w:hAnsi="Times New Roman" w:cs="Times New Roman"/>
                <w:sz w:val="24"/>
                <w:szCs w:val="24"/>
              </w:rPr>
              <w:t xml:space="preserve"> par 1000 gramiem produkta.</w:t>
            </w:r>
            <w:r>
              <w:rPr>
                <w:rFonts w:ascii="Times New Roman" w:hAnsi="Times New Roman" w:cs="Times New Roman"/>
                <w:sz w:val="24"/>
                <w:szCs w:val="24"/>
              </w:rPr>
              <w:t xml:space="preserve"> </w:t>
            </w:r>
            <w:r w:rsidRPr="0086319A">
              <w:rPr>
                <w:rFonts w:ascii="Times New Roman" w:eastAsia="Calibri" w:hAnsi="Times New Roman" w:cs="Times New Roman"/>
                <w:sz w:val="24"/>
                <w:szCs w:val="24"/>
              </w:rPr>
              <w:t xml:space="preserve">Praksē parasti viena iepakojuma vienība satur apmēram 17 gramus produkta, </w:t>
            </w:r>
            <w:proofErr w:type="spellStart"/>
            <w:r w:rsidRPr="0086319A">
              <w:rPr>
                <w:rFonts w:ascii="Times New Roman" w:eastAsia="Calibri" w:hAnsi="Times New Roman" w:cs="Times New Roman"/>
                <w:sz w:val="24"/>
                <w:szCs w:val="24"/>
              </w:rPr>
              <w:t>t.n</w:t>
            </w:r>
            <w:proofErr w:type="spellEnd"/>
            <w:r w:rsidRPr="0086319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2021.gadā</w:t>
            </w:r>
            <w:proofErr w:type="gramEnd"/>
            <w:r>
              <w:rPr>
                <w:rFonts w:ascii="Times New Roman" w:eastAsia="Calibri" w:hAnsi="Times New Roman" w:cs="Times New Roman"/>
                <w:sz w:val="24"/>
                <w:szCs w:val="24"/>
              </w:rPr>
              <w:t xml:space="preserve"> akcīzes nodokļa</w:t>
            </w:r>
            <w:r w:rsidRPr="0086319A">
              <w:rPr>
                <w:rFonts w:ascii="Times New Roman" w:eastAsia="Calibri" w:hAnsi="Times New Roman" w:cs="Times New Roman"/>
                <w:sz w:val="24"/>
                <w:szCs w:val="24"/>
              </w:rPr>
              <w:t xml:space="preserve"> likme iepakojuma vienībai</w:t>
            </w:r>
            <w:r>
              <w:rPr>
                <w:rFonts w:ascii="Times New Roman" w:eastAsia="Calibri" w:hAnsi="Times New Roman" w:cs="Times New Roman"/>
                <w:sz w:val="24"/>
                <w:szCs w:val="24"/>
              </w:rPr>
              <w:t xml:space="preserve"> ar 17 gramiem produkta veidos </w:t>
            </w:r>
            <w:r w:rsidRPr="0086319A">
              <w:rPr>
                <w:rFonts w:ascii="Times New Roman" w:eastAsia="Calibri" w:hAnsi="Times New Roman" w:cs="Times New Roman"/>
                <w:sz w:val="24"/>
                <w:szCs w:val="24"/>
              </w:rPr>
              <w:t xml:space="preserve">1,36 </w:t>
            </w:r>
            <w:proofErr w:type="spellStart"/>
            <w:r w:rsidRPr="0086319A">
              <w:rPr>
                <w:rFonts w:ascii="Times New Roman" w:eastAsia="Calibri" w:hAnsi="Times New Roman" w:cs="Times New Roman"/>
                <w:i/>
                <w:sz w:val="24"/>
                <w:szCs w:val="24"/>
              </w:rPr>
              <w:t>euro</w:t>
            </w:r>
            <w:proofErr w:type="spellEnd"/>
            <w:r w:rsidRPr="0086319A">
              <w:rPr>
                <w:rFonts w:ascii="Times New Roman" w:eastAsia="Calibri" w:hAnsi="Times New Roman" w:cs="Times New Roman"/>
                <w:i/>
                <w:sz w:val="24"/>
                <w:szCs w:val="24"/>
              </w:rPr>
              <w:t>.</w:t>
            </w:r>
          </w:p>
          <w:p w14:paraId="77AA3D61" w14:textId="05ADF245" w:rsidR="00BD7663" w:rsidRDefault="00BD7663" w:rsidP="009F19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871466">
              <w:rPr>
                <w:rFonts w:ascii="Times New Roman" w:hAnsi="Times New Roman" w:cs="Times New Roman"/>
                <w:sz w:val="24"/>
                <w:szCs w:val="24"/>
              </w:rPr>
              <w:t xml:space="preserve"> Likumprojekts paredz precizēt likuma “Par akcīzes nodokli” </w:t>
            </w:r>
            <w:r w:rsidR="00E57A7A">
              <w:rPr>
                <w:rFonts w:ascii="Times New Roman" w:hAnsi="Times New Roman" w:cs="Times New Roman"/>
                <w:sz w:val="24"/>
                <w:szCs w:val="24"/>
              </w:rPr>
              <w:t xml:space="preserve">citas </w:t>
            </w:r>
            <w:r w:rsidR="00871466">
              <w:rPr>
                <w:rFonts w:ascii="Times New Roman" w:hAnsi="Times New Roman" w:cs="Times New Roman"/>
                <w:sz w:val="24"/>
                <w:szCs w:val="24"/>
              </w:rPr>
              <w:t xml:space="preserve">normas, lai noteiktu vienādus akcīzes nodokļa </w:t>
            </w:r>
            <w:r w:rsidR="00871466">
              <w:rPr>
                <w:rFonts w:ascii="Times New Roman" w:hAnsi="Times New Roman" w:cs="Times New Roman"/>
                <w:sz w:val="24"/>
                <w:szCs w:val="24"/>
              </w:rPr>
              <w:lastRenderedPageBreak/>
              <w:t>piemērošanas un aprites nosacījumus elektroniskajās cigaretēs izmantojamo šķidrumu sagata</w:t>
            </w:r>
            <w:r w:rsidR="00DC2BDA">
              <w:rPr>
                <w:rFonts w:ascii="Times New Roman" w:hAnsi="Times New Roman" w:cs="Times New Roman"/>
                <w:sz w:val="24"/>
                <w:szCs w:val="24"/>
              </w:rPr>
              <w:t>vošanas sastāvdaļām un tabakas aizstājējproduktiem</w:t>
            </w:r>
            <w:r w:rsidR="009F19ED">
              <w:rPr>
                <w:rFonts w:ascii="Times New Roman" w:hAnsi="Times New Roman" w:cs="Times New Roman"/>
                <w:sz w:val="24"/>
                <w:szCs w:val="24"/>
              </w:rPr>
              <w:t>, kādi jau šobrīd ir noteikti pārējiem produktiem</w:t>
            </w:r>
          </w:p>
          <w:p w14:paraId="4989E987" w14:textId="7D3403C0" w:rsidR="008C3095" w:rsidRPr="00FB4E9E" w:rsidRDefault="00DA0904" w:rsidP="009F19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likuma 15.</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panta ceturtajā daļā ir dots deleģējums Ministru kabinetam noteikt šā panta pirmās daļas 3.punktā minētā nodokļa administrēšanas kārtību. Minēto kārtību nosaka Ministru kabineta </w:t>
            </w: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4.aprīļa noteikumi Nr.199 “Noteikumi par dabasgāzes apriti un akcīzes nodokļa piemērošanas kārtību”. Ņemot vērā, ka samazinātas akcīzes nodokļa likmes piemērošana likuma 15.</w:t>
            </w:r>
            <w:r>
              <w:rPr>
                <w:rFonts w:ascii="Times New Roman" w:hAnsi="Times New Roman" w:cs="Times New Roman"/>
                <w:sz w:val="24"/>
                <w:szCs w:val="24"/>
                <w:vertAlign w:val="superscript"/>
              </w:rPr>
              <w:t>1 </w:t>
            </w:r>
            <w:r>
              <w:rPr>
                <w:rFonts w:ascii="Times New Roman" w:hAnsi="Times New Roman" w:cs="Times New Roman"/>
                <w:sz w:val="24"/>
                <w:szCs w:val="24"/>
              </w:rPr>
              <w:t xml:space="preserve">panta pirmās daļas 3.punktā ir uzskatāma par valsts atbalstu, ir nepieciešams minētajos Ministru kabineta noteikumos Nr.199 atrunāt arī jautājumus par atbilstību valsts atbalsta kritērijiem. Ministru kabineta deleģējumā noteiktā administrēšanas kārtība sevī ietver </w:t>
            </w:r>
            <w:r w:rsidR="009F19ED">
              <w:rPr>
                <w:rFonts w:ascii="Times New Roman" w:hAnsi="Times New Roman" w:cs="Times New Roman"/>
                <w:sz w:val="24"/>
                <w:szCs w:val="24"/>
              </w:rPr>
              <w:t xml:space="preserve">arī </w:t>
            </w:r>
            <w:r>
              <w:rPr>
                <w:rFonts w:ascii="Times New Roman" w:hAnsi="Times New Roman" w:cs="Times New Roman"/>
                <w:sz w:val="24"/>
                <w:szCs w:val="24"/>
              </w:rPr>
              <w:t>kārtību, kādā personas var pieteikties likuma 15.</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panta pirmās daļas 3.punktā minētās akcīzes nodokļa samazinātās likmes piemērošanai, kārtību kādā tiks izvērtēta to atbilstība akcīzes nodokļa samazinātās likmes piemērošanas piešķiršanai, uzraudzības un kontroles kārtību, administrēšanā iesaistīto institūciju pienākumus, kā arī informācijas apmaiņas kārtību starp administrēšanā iesaistītajām institūcijām, kā arī kārtību kādā tiks aprēķināts un atgūts nelikumīgs komercdarbības atbalsts kopā ar procentiem, ja minētā nodokļa likme piemērota nepamatoti.</w:t>
            </w:r>
            <w:r w:rsidRPr="00FB4E9E">
              <w:rPr>
                <w:rFonts w:ascii="Times New Roman" w:hAnsi="Times New Roman" w:cs="Times New Roman"/>
                <w:sz w:val="24"/>
                <w:szCs w:val="24"/>
              </w:rPr>
              <w:t xml:space="preserve"> </w:t>
            </w:r>
          </w:p>
        </w:tc>
      </w:tr>
      <w:tr w:rsidR="0038587F" w:rsidRPr="005851C0" w14:paraId="662F5F2D"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42E29702"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09C806B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59B7406C" w14:textId="77777777" w:rsidR="0038587F" w:rsidRPr="005851C0" w:rsidRDefault="005C5F58" w:rsidP="0095326C">
            <w:pPr>
              <w:pStyle w:val="CommentText"/>
              <w:jc w:val="both"/>
              <w:rPr>
                <w:sz w:val="24"/>
                <w:szCs w:val="24"/>
              </w:rPr>
            </w:pPr>
            <w:r w:rsidRPr="005851C0">
              <w:rPr>
                <w:sz w:val="24"/>
                <w:szCs w:val="24"/>
              </w:rPr>
              <w:t>Finanšu ministrija</w:t>
            </w:r>
            <w:r w:rsidR="0095326C" w:rsidRPr="005851C0">
              <w:rPr>
                <w:sz w:val="24"/>
                <w:szCs w:val="24"/>
              </w:rPr>
              <w:t xml:space="preserve"> </w:t>
            </w:r>
            <w:r w:rsidR="00314D44" w:rsidRPr="005851C0">
              <w:rPr>
                <w:sz w:val="24"/>
                <w:szCs w:val="24"/>
              </w:rPr>
              <w:t xml:space="preserve">un </w:t>
            </w:r>
            <w:r w:rsidR="00DB24C6" w:rsidRPr="005851C0">
              <w:rPr>
                <w:sz w:val="24"/>
                <w:szCs w:val="24"/>
              </w:rPr>
              <w:t>Valsts ieņēmumu dienests</w:t>
            </w:r>
            <w:r w:rsidR="0066605C" w:rsidRPr="005851C0">
              <w:rPr>
                <w:sz w:val="24"/>
                <w:szCs w:val="24"/>
              </w:rPr>
              <w:t>.</w:t>
            </w:r>
          </w:p>
        </w:tc>
      </w:tr>
      <w:tr w:rsidR="00341B12" w:rsidRPr="005851C0" w14:paraId="2A8DCA24"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4263296C"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7138F989"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159DF9A8" w14:textId="1BB524E5" w:rsidR="00BD7663" w:rsidRPr="008F187F" w:rsidRDefault="009F19ED" w:rsidP="00BC5516">
            <w:pPr>
              <w:tabs>
                <w:tab w:val="left" w:pos="96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BD7663">
              <w:rPr>
                <w:rFonts w:ascii="Times New Roman" w:eastAsia="Times New Roman" w:hAnsi="Times New Roman" w:cs="Times New Roman"/>
                <w:sz w:val="24"/>
                <w:szCs w:val="24"/>
                <w:lang w:eastAsia="lv-LV"/>
              </w:rPr>
              <w:t>ēršam vērību, ka pašlaik s</w:t>
            </w:r>
            <w:r w:rsidR="00BD7663" w:rsidRPr="008F187F">
              <w:rPr>
                <w:rFonts w:ascii="Times New Roman" w:eastAsia="Times New Roman" w:hAnsi="Times New Roman" w:cs="Times New Roman"/>
                <w:sz w:val="24"/>
                <w:szCs w:val="24"/>
                <w:lang w:eastAsia="lv-LV"/>
              </w:rPr>
              <w:t xml:space="preserve">askaņā ar likumā „Par akcīzes nodokli” noteikto, personām, kas veic </w:t>
            </w:r>
            <w:proofErr w:type="gramStart"/>
            <w:r w:rsidR="00BD7663" w:rsidRPr="008F187F">
              <w:rPr>
                <w:rFonts w:ascii="Times New Roman" w:eastAsia="Times New Roman" w:hAnsi="Times New Roman" w:cs="Times New Roman"/>
                <w:sz w:val="24"/>
                <w:szCs w:val="24"/>
                <w:lang w:eastAsia="lv-LV"/>
              </w:rPr>
              <w:t>komercdarbību</w:t>
            </w:r>
            <w:proofErr w:type="gramEnd"/>
            <w:r w:rsidR="00BD7663" w:rsidRPr="008F187F">
              <w:rPr>
                <w:rFonts w:ascii="Times New Roman" w:eastAsia="Times New Roman" w:hAnsi="Times New Roman" w:cs="Times New Roman"/>
                <w:sz w:val="24"/>
                <w:szCs w:val="24"/>
                <w:lang w:eastAsia="lv-LV"/>
              </w:rPr>
              <w:t xml:space="preserve"> ar tabakas izstrādājumiem ir jāveic inventarizācija par uzskaitē esošajiem minētajiem produktiem, kas ir laisti brīvam apgrozījumam vai nodoti patēriņam pēc stāvokļa noteiktajā datumā, kad notiek akcīzes nodokļa likmju maiņa.</w:t>
            </w:r>
          </w:p>
          <w:p w14:paraId="7AD0BB37" w14:textId="77777777" w:rsidR="0038587F" w:rsidRDefault="00BD7663" w:rsidP="00BD7663">
            <w:pPr>
              <w:pStyle w:val="CommentText"/>
              <w:ind w:firstLine="13"/>
              <w:jc w:val="both"/>
              <w:rPr>
                <w:sz w:val="24"/>
                <w:szCs w:val="24"/>
              </w:rPr>
            </w:pPr>
            <w:r w:rsidRPr="008F187F">
              <w:rPr>
                <w:sz w:val="24"/>
                <w:szCs w:val="24"/>
              </w:rPr>
              <w:t>Tādējādi saskaņā ar likumprojektu, paaugstinot akcīzes nodokli tabakas izstrādājumiem, būs jāveic inventarizācija par uzskaitē esošajiem minētajiem produktiem un jāaprēķina budžetā maksājamā akcīzes nodokļa starpības summa un valsts budžetā tā jāsamaksā 45 dienu laikā (ieskaitot dienu, kad notiek nodokļa likmju maiņa), kā tas ir bijis līdz šim. Saskaņā ar likumā „Par akcīzes nodokli” noteikto, akcīzes nodokļa likmju maiņas gadījumā kom</w:t>
            </w:r>
            <w:r>
              <w:rPr>
                <w:sz w:val="24"/>
                <w:szCs w:val="24"/>
              </w:rPr>
              <w:t>ersantiem ir</w:t>
            </w:r>
            <w:r w:rsidRPr="008F187F">
              <w:rPr>
                <w:sz w:val="24"/>
                <w:szCs w:val="24"/>
              </w:rPr>
              <w:t xml:space="preserve"> jāiesniedz Valsts ieņēmumu dienestam akcīz</w:t>
            </w:r>
            <w:r>
              <w:rPr>
                <w:sz w:val="24"/>
                <w:szCs w:val="24"/>
              </w:rPr>
              <w:t>es nodokļa aprēķins.</w:t>
            </w:r>
          </w:p>
          <w:p w14:paraId="31C9ECCA" w14:textId="2635D8F3" w:rsidR="008C3095" w:rsidRPr="005851C0" w:rsidRDefault="008C3095" w:rsidP="00BD7663">
            <w:pPr>
              <w:pStyle w:val="CommentText"/>
              <w:ind w:firstLine="13"/>
              <w:jc w:val="both"/>
              <w:rPr>
                <w:sz w:val="24"/>
                <w:szCs w:val="24"/>
              </w:rPr>
            </w:pPr>
          </w:p>
        </w:tc>
      </w:tr>
    </w:tbl>
    <w:p w14:paraId="1C9088DE"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2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7"/>
        <w:gridCol w:w="3056"/>
        <w:gridCol w:w="5808"/>
      </w:tblGrid>
      <w:tr w:rsidR="00543AA6" w:rsidRPr="005851C0" w14:paraId="6A3A9D7B" w14:textId="77777777" w:rsidTr="00874B6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DF728E"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4D50F13D" w14:textId="77777777" w:rsidTr="00874B67">
        <w:tc>
          <w:tcPr>
            <w:tcW w:w="330" w:type="pct"/>
            <w:tcBorders>
              <w:top w:val="outset" w:sz="6" w:space="0" w:color="414142"/>
              <w:left w:val="outset" w:sz="6" w:space="0" w:color="414142"/>
              <w:bottom w:val="outset" w:sz="6" w:space="0" w:color="414142"/>
              <w:right w:val="single" w:sz="4" w:space="0" w:color="auto"/>
            </w:tcBorders>
            <w:hideMark/>
          </w:tcPr>
          <w:p w14:paraId="65B8671A"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610" w:type="pct"/>
            <w:tcBorders>
              <w:top w:val="single" w:sz="4" w:space="0" w:color="auto"/>
              <w:left w:val="single" w:sz="4" w:space="0" w:color="auto"/>
              <w:bottom w:val="single" w:sz="4" w:space="0" w:color="auto"/>
              <w:right w:val="single" w:sz="4" w:space="0" w:color="auto"/>
            </w:tcBorders>
            <w:hideMark/>
          </w:tcPr>
          <w:p w14:paraId="6E582E1A"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mērķgrupas, kuras tiesiskais regulējums ietekmē</w:t>
            </w:r>
            <w:proofErr w:type="gramStart"/>
            <w:r w:rsidRPr="005851C0">
              <w:rPr>
                <w:rFonts w:ascii="Times New Roman" w:eastAsia="Times New Roman" w:hAnsi="Times New Roman" w:cs="Times New Roman"/>
                <w:sz w:val="24"/>
                <w:szCs w:val="24"/>
                <w:lang w:eastAsia="lv-LV"/>
              </w:rPr>
              <w:t xml:space="preserve"> vai varētu ietekmēt</w:t>
            </w:r>
            <w:proofErr w:type="gramEnd"/>
          </w:p>
        </w:tc>
        <w:tc>
          <w:tcPr>
            <w:tcW w:w="3061" w:type="pct"/>
            <w:tcBorders>
              <w:top w:val="outset" w:sz="6" w:space="0" w:color="414142"/>
              <w:left w:val="single" w:sz="4" w:space="0" w:color="auto"/>
              <w:bottom w:val="outset" w:sz="6" w:space="0" w:color="414142"/>
              <w:right w:val="outset" w:sz="6" w:space="0" w:color="414142"/>
            </w:tcBorders>
            <w:hideMark/>
          </w:tcPr>
          <w:p w14:paraId="47ED9D98" w14:textId="1DB09201" w:rsidR="00A63699" w:rsidRPr="005851C0" w:rsidRDefault="0034258F" w:rsidP="00BC5516">
            <w:pPr>
              <w:spacing w:after="0" w:line="240" w:lineRule="auto"/>
              <w:ind w:right="113"/>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Likumprojekta pieņem</w:t>
            </w:r>
            <w:r w:rsidR="0095326C" w:rsidRPr="005851C0">
              <w:rPr>
                <w:rFonts w:ascii="Times New Roman" w:eastAsia="Times New Roman" w:hAnsi="Times New Roman" w:cs="Times New Roman"/>
                <w:sz w:val="24"/>
                <w:szCs w:val="24"/>
                <w:lang w:eastAsia="lv-LV"/>
              </w:rPr>
              <w:t xml:space="preserve">šana attiecas uz personām, </w:t>
            </w:r>
            <w:r w:rsidR="00693C24" w:rsidRPr="005851C0">
              <w:rPr>
                <w:rFonts w:ascii="Times New Roman" w:eastAsia="Times New Roman" w:hAnsi="Times New Roman" w:cs="Times New Roman"/>
                <w:sz w:val="24"/>
                <w:szCs w:val="24"/>
                <w:lang w:eastAsia="lv-LV"/>
              </w:rPr>
              <w:t>kas veic darbības</w:t>
            </w:r>
            <w:r w:rsidR="007F39B5" w:rsidRPr="005851C0">
              <w:rPr>
                <w:rFonts w:ascii="Times New Roman" w:eastAsia="Times New Roman" w:hAnsi="Times New Roman" w:cs="Times New Roman"/>
                <w:sz w:val="24"/>
                <w:szCs w:val="24"/>
                <w:lang w:eastAsia="lv-LV"/>
              </w:rPr>
              <w:t xml:space="preserve"> ar</w:t>
            </w:r>
            <w:r w:rsidR="0007030B">
              <w:rPr>
                <w:rFonts w:ascii="Times New Roman" w:eastAsia="Times New Roman" w:hAnsi="Times New Roman" w:cs="Times New Roman"/>
                <w:sz w:val="24"/>
                <w:szCs w:val="24"/>
                <w:lang w:eastAsia="lv-LV"/>
              </w:rPr>
              <w:t xml:space="preserve"> tabakas izstrādājumiem,</w:t>
            </w:r>
            <w:r w:rsidR="007F39B5" w:rsidRPr="005851C0">
              <w:rPr>
                <w:rFonts w:ascii="Times New Roman" w:eastAsia="Times New Roman" w:hAnsi="Times New Roman" w:cs="Times New Roman"/>
                <w:sz w:val="24"/>
                <w:szCs w:val="24"/>
                <w:lang w:eastAsia="lv-LV"/>
              </w:rPr>
              <w:t xml:space="preserve"> elektroniskajās cigar</w:t>
            </w:r>
            <w:r w:rsidR="0007030B">
              <w:rPr>
                <w:rFonts w:ascii="Times New Roman" w:eastAsia="Times New Roman" w:hAnsi="Times New Roman" w:cs="Times New Roman"/>
                <w:sz w:val="24"/>
                <w:szCs w:val="24"/>
                <w:lang w:eastAsia="lv-LV"/>
              </w:rPr>
              <w:t>etēs izmantojamajiem šķidrumiem</w:t>
            </w:r>
            <w:r w:rsidR="00874B67">
              <w:rPr>
                <w:rFonts w:ascii="Times New Roman" w:eastAsia="Times New Roman" w:hAnsi="Times New Roman" w:cs="Times New Roman"/>
                <w:sz w:val="24"/>
                <w:szCs w:val="24"/>
                <w:lang w:eastAsia="lv-LV"/>
              </w:rPr>
              <w:t>,</w:t>
            </w:r>
            <w:r w:rsidR="00874B67" w:rsidRPr="005851C0">
              <w:rPr>
                <w:rFonts w:ascii="Times New Roman" w:eastAsia="Times New Roman" w:hAnsi="Times New Roman" w:cs="Times New Roman"/>
                <w:sz w:val="24"/>
                <w:szCs w:val="24"/>
                <w:lang w:eastAsia="lv-LV"/>
              </w:rPr>
              <w:t xml:space="preserve"> elektroniskajās </w:t>
            </w:r>
            <w:r w:rsidR="00874B67" w:rsidRPr="005851C0">
              <w:rPr>
                <w:rFonts w:ascii="Times New Roman" w:eastAsia="Times New Roman" w:hAnsi="Times New Roman" w:cs="Times New Roman"/>
                <w:sz w:val="24"/>
                <w:szCs w:val="24"/>
                <w:lang w:eastAsia="lv-LV"/>
              </w:rPr>
              <w:lastRenderedPageBreak/>
              <w:t>cigar</w:t>
            </w:r>
            <w:r w:rsidR="00874B67">
              <w:rPr>
                <w:rFonts w:ascii="Times New Roman" w:eastAsia="Times New Roman" w:hAnsi="Times New Roman" w:cs="Times New Roman"/>
                <w:sz w:val="24"/>
                <w:szCs w:val="24"/>
                <w:lang w:eastAsia="lv-LV"/>
              </w:rPr>
              <w:t xml:space="preserve">etēs izmantojamo šķidrumu sagatavošanas sastāvdaļām </w:t>
            </w:r>
            <w:r w:rsidR="00DC2BDA">
              <w:rPr>
                <w:rFonts w:ascii="Times New Roman" w:eastAsia="Times New Roman" w:hAnsi="Times New Roman" w:cs="Times New Roman"/>
                <w:sz w:val="24"/>
                <w:szCs w:val="24"/>
                <w:lang w:eastAsia="lv-LV"/>
              </w:rPr>
              <w:t>un tabakas aizstājējproduktiem</w:t>
            </w:r>
            <w:r w:rsidR="0007030B">
              <w:rPr>
                <w:rFonts w:ascii="Times New Roman" w:eastAsia="Times New Roman" w:hAnsi="Times New Roman" w:cs="Times New Roman"/>
                <w:sz w:val="24"/>
                <w:szCs w:val="24"/>
                <w:lang w:eastAsia="lv-LV"/>
              </w:rPr>
              <w:t>.</w:t>
            </w:r>
          </w:p>
          <w:p w14:paraId="01C3BDB1" w14:textId="77777777" w:rsidR="00117DB1" w:rsidRPr="005851C0" w:rsidRDefault="00A63699" w:rsidP="00A63699">
            <w:pPr>
              <w:spacing w:after="0" w:line="240" w:lineRule="auto"/>
              <w:ind w:right="113" w:firstLine="396"/>
              <w:jc w:val="both"/>
              <w:rPr>
                <w:rFonts w:ascii="Times New Roman" w:hAnsi="Times New Roman" w:cs="Times New Roman"/>
                <w:sz w:val="24"/>
                <w:szCs w:val="24"/>
              </w:rPr>
            </w:pPr>
            <w:r w:rsidRPr="005851C0">
              <w:rPr>
                <w:rFonts w:ascii="Times New Roman" w:hAnsi="Times New Roman" w:cs="Times New Roman"/>
                <w:sz w:val="24"/>
                <w:szCs w:val="24"/>
              </w:rPr>
              <w:t xml:space="preserve"> </w:t>
            </w:r>
          </w:p>
        </w:tc>
      </w:tr>
      <w:tr w:rsidR="00543AA6" w:rsidRPr="005851C0" w14:paraId="139A9051" w14:textId="77777777" w:rsidTr="00874B67">
        <w:tc>
          <w:tcPr>
            <w:tcW w:w="330" w:type="pct"/>
            <w:tcBorders>
              <w:top w:val="outset" w:sz="6" w:space="0" w:color="414142"/>
              <w:left w:val="outset" w:sz="6" w:space="0" w:color="414142"/>
              <w:bottom w:val="outset" w:sz="6" w:space="0" w:color="414142"/>
              <w:right w:val="outset" w:sz="6" w:space="0" w:color="414142"/>
            </w:tcBorders>
            <w:hideMark/>
          </w:tcPr>
          <w:p w14:paraId="3543850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2.</w:t>
            </w:r>
          </w:p>
        </w:tc>
        <w:tc>
          <w:tcPr>
            <w:tcW w:w="1610" w:type="pct"/>
            <w:tcBorders>
              <w:top w:val="outset" w:sz="6" w:space="0" w:color="414142"/>
              <w:left w:val="outset" w:sz="6" w:space="0" w:color="414142"/>
              <w:bottom w:val="outset" w:sz="6" w:space="0" w:color="414142"/>
              <w:right w:val="outset" w:sz="6" w:space="0" w:color="414142"/>
            </w:tcBorders>
            <w:hideMark/>
          </w:tcPr>
          <w:p w14:paraId="7A527205"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47ED10EB" w14:textId="77777777" w:rsidR="009B0004" w:rsidRPr="005851C0" w:rsidRDefault="009B0004" w:rsidP="009B0004">
            <w:pPr>
              <w:rPr>
                <w:rFonts w:ascii="Times New Roman" w:eastAsia="Times New Roman" w:hAnsi="Times New Roman" w:cs="Times New Roman"/>
                <w:sz w:val="24"/>
                <w:szCs w:val="24"/>
                <w:lang w:eastAsia="lv-LV"/>
              </w:rPr>
            </w:pPr>
          </w:p>
          <w:p w14:paraId="6CAEDECF"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3061" w:type="pct"/>
            <w:tcBorders>
              <w:top w:val="outset" w:sz="6" w:space="0" w:color="414142"/>
              <w:left w:val="outset" w:sz="6" w:space="0" w:color="414142"/>
              <w:bottom w:val="outset" w:sz="6" w:space="0" w:color="414142"/>
              <w:right w:val="outset" w:sz="6" w:space="0" w:color="414142"/>
            </w:tcBorders>
            <w:hideMark/>
          </w:tcPr>
          <w:p w14:paraId="7A1FF103" w14:textId="1C9FED38" w:rsidR="008C3095" w:rsidRPr="00E444A2" w:rsidRDefault="00D10CB0" w:rsidP="00DF1B6A">
            <w:pPr>
              <w:spacing w:after="0" w:line="240" w:lineRule="auto"/>
              <w:jc w:val="both"/>
              <w:rPr>
                <w:rFonts w:ascii="Times New Roman" w:hAnsi="Times New Roman" w:cs="Times New Roman"/>
                <w:sz w:val="24"/>
                <w:szCs w:val="24"/>
              </w:rPr>
            </w:pPr>
            <w:r w:rsidRPr="00E444A2">
              <w:rPr>
                <w:rFonts w:ascii="Times New Roman" w:hAnsi="Times New Roman" w:cs="Times New Roman"/>
                <w:sz w:val="24"/>
                <w:szCs w:val="24"/>
              </w:rPr>
              <w:t xml:space="preserve">Likumprojekts paredz </w:t>
            </w:r>
            <w:r w:rsidR="002C4A6E" w:rsidRPr="00E444A2">
              <w:rPr>
                <w:rFonts w:ascii="Times New Roman" w:hAnsi="Times New Roman" w:cs="Times New Roman"/>
                <w:sz w:val="24"/>
                <w:szCs w:val="24"/>
              </w:rPr>
              <w:t>ieviest nosacījumu marķēt ar akcīzes nodokļa markām karsējamo tabaku, elektr</w:t>
            </w:r>
            <w:r w:rsidR="00874B67" w:rsidRPr="00E444A2">
              <w:rPr>
                <w:rFonts w:ascii="Times New Roman" w:hAnsi="Times New Roman" w:cs="Times New Roman"/>
                <w:sz w:val="24"/>
                <w:szCs w:val="24"/>
              </w:rPr>
              <w:t xml:space="preserve">oniskajās cigaretēs izmantojamo šķidrumu, </w:t>
            </w:r>
            <w:r w:rsidR="00874B67" w:rsidRPr="00E444A2">
              <w:rPr>
                <w:rFonts w:ascii="Times New Roman" w:eastAsia="Times New Roman" w:hAnsi="Times New Roman" w:cs="Times New Roman"/>
                <w:sz w:val="24"/>
                <w:szCs w:val="24"/>
                <w:lang w:eastAsia="lv-LV"/>
              </w:rPr>
              <w:t>elektroniskajās cigaretēs izmantojamo šķidrumu</w:t>
            </w:r>
            <w:r w:rsidR="00874B67" w:rsidRPr="00E444A2">
              <w:rPr>
                <w:rFonts w:ascii="Times New Roman" w:hAnsi="Times New Roman" w:cs="Times New Roman"/>
                <w:sz w:val="24"/>
                <w:szCs w:val="24"/>
              </w:rPr>
              <w:t xml:space="preserve"> </w:t>
            </w:r>
            <w:r w:rsidR="00DC2BDA" w:rsidRPr="00E444A2">
              <w:rPr>
                <w:rFonts w:ascii="Times New Roman" w:hAnsi="Times New Roman" w:cs="Times New Roman"/>
                <w:sz w:val="24"/>
                <w:szCs w:val="24"/>
              </w:rPr>
              <w:t>sagatavošanas sastāvdaļas un tabakas aizstājējproduktus</w:t>
            </w:r>
            <w:r w:rsidR="002C4A6E" w:rsidRPr="00E444A2">
              <w:rPr>
                <w:rFonts w:ascii="Times New Roman" w:hAnsi="Times New Roman" w:cs="Times New Roman"/>
                <w:sz w:val="24"/>
                <w:szCs w:val="24"/>
              </w:rPr>
              <w:t xml:space="preserve">, </w:t>
            </w:r>
            <w:proofErr w:type="gramStart"/>
            <w:r w:rsidRPr="00E444A2">
              <w:rPr>
                <w:rFonts w:ascii="Times New Roman" w:hAnsi="Times New Roman" w:cs="Times New Roman"/>
                <w:sz w:val="24"/>
                <w:szCs w:val="24"/>
              </w:rPr>
              <w:t xml:space="preserve">līdzīgi kā </w:t>
            </w:r>
            <w:r w:rsidR="002C4A6E" w:rsidRPr="00E444A2">
              <w:rPr>
                <w:rFonts w:ascii="Times New Roman" w:hAnsi="Times New Roman" w:cs="Times New Roman"/>
                <w:sz w:val="24"/>
                <w:szCs w:val="24"/>
              </w:rPr>
              <w:t>šobrīd ar akcīzes nodokļa markām tiek marķēti tabakas izstrādājumi</w:t>
            </w:r>
            <w:proofErr w:type="gramEnd"/>
            <w:r w:rsidR="002C4A6E" w:rsidRPr="00E444A2">
              <w:rPr>
                <w:rFonts w:ascii="Times New Roman" w:hAnsi="Times New Roman" w:cs="Times New Roman"/>
                <w:sz w:val="24"/>
                <w:szCs w:val="24"/>
              </w:rPr>
              <w:t xml:space="preserve">. </w:t>
            </w:r>
            <w:r w:rsidRPr="00E444A2">
              <w:rPr>
                <w:rFonts w:ascii="Times New Roman" w:hAnsi="Times New Roman" w:cs="Times New Roman"/>
                <w:sz w:val="24"/>
                <w:szCs w:val="24"/>
              </w:rPr>
              <w:t xml:space="preserve">Līdz ar to tiks nodrošināta vienāda pieeja </w:t>
            </w:r>
            <w:r w:rsidR="002C4A6E" w:rsidRPr="00E444A2">
              <w:rPr>
                <w:rFonts w:ascii="Times New Roman" w:hAnsi="Times New Roman" w:cs="Times New Roman"/>
                <w:sz w:val="24"/>
                <w:szCs w:val="24"/>
              </w:rPr>
              <w:t xml:space="preserve">ar akcīzes nodokļa markām marķēšanai </w:t>
            </w:r>
            <w:r w:rsidR="00874B67" w:rsidRPr="00E444A2">
              <w:rPr>
                <w:rFonts w:ascii="Times New Roman" w:hAnsi="Times New Roman" w:cs="Times New Roman"/>
                <w:sz w:val="24"/>
                <w:szCs w:val="24"/>
              </w:rPr>
              <w:t>savstarpēji aizvietojamiem produktiem</w:t>
            </w:r>
            <w:r w:rsidRPr="00E444A2">
              <w:rPr>
                <w:rFonts w:ascii="Times New Roman" w:hAnsi="Times New Roman" w:cs="Times New Roman"/>
                <w:sz w:val="24"/>
                <w:szCs w:val="24"/>
              </w:rPr>
              <w:t>.</w:t>
            </w:r>
          </w:p>
          <w:p w14:paraId="6AE40157" w14:textId="4446CD34" w:rsidR="00A36731" w:rsidRPr="00E444A2" w:rsidRDefault="00A36731" w:rsidP="00A36731">
            <w:pPr>
              <w:widowControl w:val="0"/>
              <w:spacing w:after="0" w:line="240" w:lineRule="auto"/>
              <w:jc w:val="both"/>
              <w:rPr>
                <w:rFonts w:ascii="Times New Roman" w:hAnsi="Times New Roman" w:cs="Times New Roman"/>
                <w:sz w:val="24"/>
                <w:szCs w:val="24"/>
              </w:rPr>
            </w:pPr>
            <w:r w:rsidRPr="00E444A2">
              <w:rPr>
                <w:rFonts w:ascii="Times New Roman" w:hAnsi="Times New Roman" w:cs="Times New Roman"/>
                <w:sz w:val="24"/>
                <w:szCs w:val="24"/>
              </w:rPr>
              <w:t xml:space="preserve">Lai saņemtu speciālo atļauju (licenci) apstiprināta noliktavas turētāja darbībai veikt </w:t>
            </w:r>
            <w:r w:rsidRPr="00E444A2">
              <w:rPr>
                <w:rFonts w:ascii="Times New Roman" w:hAnsi="Times New Roman" w:cs="Times New Roman"/>
                <w:bCs/>
                <w:iCs/>
                <w:sz w:val="24"/>
                <w:szCs w:val="24"/>
              </w:rPr>
              <w:t xml:space="preserve">akcīzes preču marķēšanu, </w:t>
            </w:r>
            <w:r w:rsidRPr="00E444A2">
              <w:rPr>
                <w:rFonts w:ascii="Times New Roman" w:hAnsi="Times New Roman" w:cs="Times New Roman"/>
                <w:sz w:val="24"/>
                <w:szCs w:val="24"/>
              </w:rPr>
              <w:t xml:space="preserve">elektroniski jāiesniedz Valsts ieņēmumu dienestam iesniegums saskaņā ar Ministru kabineta </w:t>
            </w:r>
            <w:proofErr w:type="gramStart"/>
            <w:r w:rsidRPr="00E444A2">
              <w:rPr>
                <w:rFonts w:ascii="Times New Roman" w:hAnsi="Times New Roman" w:cs="Times New Roman"/>
                <w:sz w:val="24"/>
                <w:szCs w:val="24"/>
              </w:rPr>
              <w:t>2005.gada</w:t>
            </w:r>
            <w:proofErr w:type="gramEnd"/>
            <w:r w:rsidRPr="00E444A2">
              <w:rPr>
                <w:rFonts w:ascii="Times New Roman" w:hAnsi="Times New Roman" w:cs="Times New Roman"/>
                <w:sz w:val="24"/>
                <w:szCs w:val="24"/>
              </w:rPr>
              <w:t xml:space="preserve"> 30.augusta noteikumiem Nr.662 “Akcīzes preču aprites kārtība”.</w:t>
            </w:r>
          </w:p>
          <w:p w14:paraId="6013FDCF" w14:textId="628AFF9A" w:rsidR="00DF1B6A" w:rsidRPr="00E444A2" w:rsidRDefault="00DF1B6A" w:rsidP="00DF1B6A">
            <w:pPr>
              <w:widowControl w:val="0"/>
              <w:spacing w:after="0" w:line="240" w:lineRule="auto"/>
              <w:jc w:val="both"/>
              <w:rPr>
                <w:rFonts w:ascii="Times New Roman" w:hAnsi="Times New Roman" w:cs="Times New Roman"/>
                <w:sz w:val="24"/>
                <w:szCs w:val="24"/>
              </w:rPr>
            </w:pPr>
            <w:r w:rsidRPr="00E444A2">
              <w:rPr>
                <w:rFonts w:ascii="Times New Roman" w:hAnsi="Times New Roman" w:cs="Times New Roman"/>
                <w:sz w:val="24"/>
                <w:szCs w:val="24"/>
              </w:rPr>
              <w:t>Komersantiem, lai saņemtu akcīzes nodokļa markas, elektroniski jāiesniedz Valsts ieņēmumu dienestam iesniegumu akcīzes nodokļa marku saņemšanai.</w:t>
            </w:r>
          </w:p>
          <w:p w14:paraId="191DAEEE" w14:textId="77777777" w:rsidR="00D332CB" w:rsidRDefault="00DF1B6A" w:rsidP="00D332CB">
            <w:pPr>
              <w:widowControl w:val="0"/>
              <w:spacing w:after="0" w:line="240" w:lineRule="auto"/>
              <w:jc w:val="both"/>
              <w:rPr>
                <w:rFonts w:ascii="Times New Roman" w:hAnsi="Times New Roman" w:cs="Times New Roman"/>
                <w:sz w:val="24"/>
                <w:szCs w:val="24"/>
              </w:rPr>
            </w:pPr>
            <w:r w:rsidRPr="00E444A2">
              <w:rPr>
                <w:rFonts w:ascii="Times New Roman" w:hAnsi="Times New Roman" w:cs="Times New Roman"/>
                <w:sz w:val="24"/>
                <w:szCs w:val="24"/>
              </w:rPr>
              <w:t>Pasūtītās akcīzes nodokļa markas tiek izsniegtas, ja cigarešu skaits paciņā un vienas iepakojuma vienības svars (smēķējamai tabakai) atbilst normatīvajos aktos noteiktajām prasībām.</w:t>
            </w:r>
          </w:p>
          <w:p w14:paraId="6A514EE9" w14:textId="0F55135A" w:rsidR="00D332CB" w:rsidRPr="00D332CB" w:rsidRDefault="00D332CB" w:rsidP="00D332CB">
            <w:pPr>
              <w:widowControl w:val="0"/>
              <w:spacing w:after="0" w:line="240" w:lineRule="auto"/>
              <w:jc w:val="both"/>
              <w:rPr>
                <w:rFonts w:ascii="Times New Roman" w:hAnsi="Times New Roman" w:cs="Times New Roman"/>
                <w:sz w:val="24"/>
                <w:szCs w:val="24"/>
              </w:rPr>
            </w:pPr>
            <w:r w:rsidRPr="00D332CB">
              <w:rPr>
                <w:rFonts w:ascii="Times New Roman" w:hAnsi="Times New Roman" w:cs="Times New Roman"/>
                <w:sz w:val="24"/>
                <w:szCs w:val="24"/>
                <w:shd w:val="clear" w:color="auto" w:fill="FFFFFF"/>
              </w:rPr>
              <w:t xml:space="preserve">Persona, kas </w:t>
            </w:r>
            <w:proofErr w:type="gramStart"/>
            <w:r w:rsidRPr="00D332CB">
              <w:rPr>
                <w:rFonts w:ascii="Times New Roman" w:hAnsi="Times New Roman" w:cs="Times New Roman"/>
                <w:sz w:val="24"/>
                <w:szCs w:val="24"/>
                <w:shd w:val="clear" w:color="auto" w:fill="FFFFFF"/>
              </w:rPr>
              <w:t>2021.gada</w:t>
            </w:r>
            <w:proofErr w:type="gramEnd"/>
            <w:r w:rsidRPr="00D332CB">
              <w:rPr>
                <w:rFonts w:ascii="Times New Roman" w:hAnsi="Times New Roman" w:cs="Times New Roman"/>
                <w:sz w:val="24"/>
                <w:szCs w:val="24"/>
                <w:shd w:val="clear" w:color="auto" w:fill="FFFFFF"/>
              </w:rPr>
              <w:t xml:space="preserve"> 1.jūlijā vei</w:t>
            </w:r>
            <w:r w:rsidR="00A01DA1">
              <w:rPr>
                <w:rFonts w:ascii="Times New Roman" w:hAnsi="Times New Roman" w:cs="Times New Roman"/>
                <w:sz w:val="24"/>
                <w:szCs w:val="24"/>
                <w:shd w:val="clear" w:color="auto" w:fill="FFFFFF"/>
              </w:rPr>
              <w:t>ks</w:t>
            </w:r>
            <w:r w:rsidRPr="00D332CB">
              <w:rPr>
                <w:rFonts w:ascii="Times New Roman" w:hAnsi="Times New Roman" w:cs="Times New Roman"/>
                <w:sz w:val="24"/>
                <w:szCs w:val="24"/>
                <w:shd w:val="clear" w:color="auto" w:fill="FFFFFF"/>
              </w:rPr>
              <w:t xml:space="preserve"> darbības ar elektroniskajās cigaretēs izmantojamo šķidrumu, elektroniskajās cigaretēs izmantojamo šķidrumu sagatavošanas sastāvdaļām, tabakas aizstājējproduktiem un karsējamo tabaku inventarizē pēc stāvokļa 2021.gada 1.julijā tai piederošos elektroniskajās cigaretēs izmantojamo šķidrumu, elektroniskajās cigaretēs izmantojamo šķidrumu sagatavošanas sastāvdaļas, tabakas aizstājējproduktus un karsējamo tabaku un minētos produktus, kas nav marķētas ar akcīzes nodokļa markām realizē līdz 2021.gada 31.decembrim.</w:t>
            </w:r>
            <w:r>
              <w:rPr>
                <w:rFonts w:ascii="Times New Roman" w:hAnsi="Times New Roman" w:cs="Times New Roman"/>
                <w:sz w:val="24"/>
                <w:szCs w:val="24"/>
                <w:shd w:val="clear" w:color="auto" w:fill="FFFFFF"/>
              </w:rPr>
              <w:t xml:space="preserve"> </w:t>
            </w:r>
          </w:p>
          <w:p w14:paraId="4049FF66" w14:textId="418364E9" w:rsidR="00D332CB" w:rsidRPr="00E444A2" w:rsidRDefault="00D332CB" w:rsidP="00DF1B6A">
            <w:pPr>
              <w:widowControl w:val="0"/>
              <w:spacing w:after="0" w:line="240" w:lineRule="auto"/>
              <w:jc w:val="both"/>
              <w:rPr>
                <w:rFonts w:ascii="Times New Roman" w:hAnsi="Times New Roman" w:cs="Times New Roman"/>
                <w:sz w:val="24"/>
                <w:szCs w:val="24"/>
              </w:rPr>
            </w:pPr>
          </w:p>
          <w:p w14:paraId="6580AE26" w14:textId="2C6CE2F2" w:rsidR="00E444A2" w:rsidRDefault="00E444A2" w:rsidP="00E444A2">
            <w:pPr>
              <w:shd w:val="clear" w:color="auto" w:fill="FFFFFF"/>
              <w:spacing w:after="0" w:line="240" w:lineRule="auto"/>
              <w:ind w:right="111"/>
              <w:jc w:val="both"/>
              <w:rPr>
                <w:rFonts w:ascii="Times New Roman" w:eastAsia="Times New Roman" w:hAnsi="Times New Roman" w:cs="Times New Roman"/>
                <w:color w:val="000000"/>
                <w:sz w:val="24"/>
                <w:szCs w:val="24"/>
              </w:rPr>
            </w:pPr>
            <w:r w:rsidRPr="00E444A2">
              <w:rPr>
                <w:rFonts w:ascii="Times New Roman" w:eastAsia="Times New Roman" w:hAnsi="Times New Roman" w:cs="Times New Roman"/>
                <w:color w:val="000000"/>
                <w:sz w:val="24"/>
                <w:szCs w:val="24"/>
              </w:rPr>
              <w:t xml:space="preserve">Personām, kas </w:t>
            </w:r>
            <w:r w:rsidR="00A01DA1">
              <w:rPr>
                <w:rFonts w:ascii="Times New Roman" w:eastAsia="Times New Roman" w:hAnsi="Times New Roman" w:cs="Times New Roman"/>
                <w:color w:val="000000"/>
                <w:sz w:val="24"/>
                <w:szCs w:val="24"/>
              </w:rPr>
              <w:t xml:space="preserve">sākot ar </w:t>
            </w:r>
            <w:proofErr w:type="gramStart"/>
            <w:r w:rsidR="00A01DA1">
              <w:rPr>
                <w:rFonts w:ascii="Times New Roman" w:eastAsia="Times New Roman" w:hAnsi="Times New Roman" w:cs="Times New Roman"/>
                <w:color w:val="000000"/>
                <w:sz w:val="24"/>
                <w:szCs w:val="24"/>
              </w:rPr>
              <w:t>2021.gada</w:t>
            </w:r>
            <w:proofErr w:type="gramEnd"/>
            <w:r w:rsidR="00A01DA1">
              <w:rPr>
                <w:rFonts w:ascii="Times New Roman" w:eastAsia="Times New Roman" w:hAnsi="Times New Roman" w:cs="Times New Roman"/>
                <w:color w:val="000000"/>
                <w:sz w:val="24"/>
                <w:szCs w:val="24"/>
              </w:rPr>
              <w:t xml:space="preserve"> 1.janvāri </w:t>
            </w:r>
            <w:r w:rsidRPr="00E444A2">
              <w:rPr>
                <w:rFonts w:ascii="Times New Roman" w:eastAsia="Times New Roman" w:hAnsi="Times New Roman" w:cs="Times New Roman"/>
                <w:color w:val="000000"/>
                <w:sz w:val="24"/>
                <w:szCs w:val="24"/>
              </w:rPr>
              <w:t>ievedīs elektroniskajās cigaretēs izmantojamos šķidrumus</w:t>
            </w:r>
            <w:r>
              <w:rPr>
                <w:rFonts w:ascii="Times New Roman" w:eastAsia="Times New Roman" w:hAnsi="Times New Roman" w:cs="Times New Roman"/>
                <w:color w:val="000000"/>
                <w:sz w:val="24"/>
                <w:szCs w:val="24"/>
              </w:rPr>
              <w:t xml:space="preserve"> sagatavošanas sastāvdaļas un/vai tabakas aizstājējproduktus</w:t>
            </w:r>
            <w:r w:rsidRPr="00E444A2">
              <w:rPr>
                <w:rFonts w:ascii="Times New Roman" w:eastAsia="Times New Roman" w:hAnsi="Times New Roman" w:cs="Times New Roman"/>
                <w:color w:val="000000"/>
                <w:sz w:val="24"/>
                <w:szCs w:val="24"/>
              </w:rPr>
              <w:t xml:space="preserve"> Latvijas Republikā, no Eiropas Savienības dalībvalstīm vai valstīm, kas nav Eiropas Savienības dalībvalstis, būs jāievēro normatīvajos aktos par akcīzes preču apriti noteiktās prasības, kā arī jāmaksā akcīzes nodoklis valsts budžetā.</w:t>
            </w:r>
          </w:p>
          <w:p w14:paraId="5FD0645E" w14:textId="77777777" w:rsidR="00A464AC" w:rsidRPr="00E444A2" w:rsidRDefault="00A464AC" w:rsidP="00E444A2">
            <w:pPr>
              <w:shd w:val="clear" w:color="auto" w:fill="FFFFFF"/>
              <w:spacing w:after="0" w:line="240" w:lineRule="auto"/>
              <w:ind w:right="111"/>
              <w:jc w:val="both"/>
              <w:rPr>
                <w:rFonts w:ascii="Times New Roman" w:eastAsia="Times New Roman" w:hAnsi="Times New Roman" w:cs="Times New Roman"/>
                <w:color w:val="000000"/>
                <w:sz w:val="24"/>
                <w:szCs w:val="24"/>
              </w:rPr>
            </w:pPr>
          </w:p>
          <w:p w14:paraId="14A5D79A" w14:textId="61729B6C" w:rsidR="00E444A2" w:rsidRDefault="009C0CED" w:rsidP="00ED3784">
            <w:pPr>
              <w:shd w:val="clear" w:color="auto" w:fill="FFFFFF"/>
              <w:spacing w:after="0" w:line="240" w:lineRule="auto"/>
              <w:ind w:righ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Personai, kas, sākot ar </w:t>
            </w:r>
            <w:proofErr w:type="gramStart"/>
            <w:r>
              <w:rPr>
                <w:rFonts w:ascii="Times New Roman" w:eastAsia="Times New Roman" w:hAnsi="Times New Roman" w:cs="Times New Roman"/>
                <w:color w:val="000000"/>
                <w:sz w:val="24"/>
                <w:szCs w:val="24"/>
              </w:rPr>
              <w:t>2021</w:t>
            </w:r>
            <w:r w:rsidR="00ED3784">
              <w:rPr>
                <w:rFonts w:ascii="Times New Roman" w:eastAsia="Times New Roman" w:hAnsi="Times New Roman" w:cs="Times New Roman"/>
                <w:color w:val="000000"/>
                <w:sz w:val="24"/>
                <w:szCs w:val="24"/>
              </w:rPr>
              <w:t>.gada</w:t>
            </w:r>
            <w:proofErr w:type="gramEnd"/>
            <w:r w:rsidR="00ED3784">
              <w:rPr>
                <w:rFonts w:ascii="Times New Roman" w:eastAsia="Times New Roman" w:hAnsi="Times New Roman" w:cs="Times New Roman"/>
                <w:color w:val="000000"/>
                <w:sz w:val="24"/>
                <w:szCs w:val="24"/>
              </w:rPr>
              <w:t xml:space="preserve"> 1.janvāri</w:t>
            </w:r>
            <w:r w:rsidR="00E444A2" w:rsidRPr="00E444A2">
              <w:rPr>
                <w:rFonts w:ascii="Times New Roman" w:eastAsia="Times New Roman" w:hAnsi="Times New Roman" w:cs="Times New Roman"/>
                <w:color w:val="000000"/>
                <w:sz w:val="24"/>
                <w:szCs w:val="24"/>
              </w:rPr>
              <w:t xml:space="preserve">, veiks darbības ar </w:t>
            </w:r>
            <w:r w:rsidR="0074652A">
              <w:rPr>
                <w:rFonts w:ascii="Times New Roman" w:eastAsia="Times New Roman" w:hAnsi="Times New Roman" w:cs="Times New Roman"/>
                <w:color w:val="000000"/>
                <w:sz w:val="24"/>
                <w:szCs w:val="24"/>
              </w:rPr>
              <w:t xml:space="preserve">elektroniskajās cigaretēs izmantojamo šķidrumu, </w:t>
            </w:r>
            <w:r w:rsidR="00E444A2" w:rsidRPr="00E444A2">
              <w:rPr>
                <w:rFonts w:ascii="Times New Roman" w:eastAsia="Times New Roman" w:hAnsi="Times New Roman" w:cs="Times New Roman"/>
                <w:color w:val="000000"/>
                <w:sz w:val="24"/>
                <w:szCs w:val="24"/>
              </w:rPr>
              <w:t>elektro</w:t>
            </w:r>
            <w:r w:rsidR="00ED3784">
              <w:rPr>
                <w:rFonts w:ascii="Times New Roman" w:eastAsia="Times New Roman" w:hAnsi="Times New Roman" w:cs="Times New Roman"/>
                <w:color w:val="000000"/>
                <w:sz w:val="24"/>
                <w:szCs w:val="24"/>
              </w:rPr>
              <w:t>niskajās cigaretēs izmantojamo šķidrumu sagatavošanas sastāvdaļām</w:t>
            </w:r>
            <w:r w:rsidR="0074652A">
              <w:rPr>
                <w:rFonts w:ascii="Times New Roman" w:eastAsia="Times New Roman" w:hAnsi="Times New Roman" w:cs="Times New Roman"/>
                <w:color w:val="000000"/>
                <w:sz w:val="24"/>
                <w:szCs w:val="24"/>
              </w:rPr>
              <w:t xml:space="preserve"> un tabakas aizstājējproduktiem </w:t>
            </w:r>
            <w:r w:rsidR="00E444A2" w:rsidRPr="00E444A2">
              <w:rPr>
                <w:rFonts w:ascii="Times New Roman" w:eastAsia="Times New Roman" w:hAnsi="Times New Roman" w:cs="Times New Roman"/>
                <w:color w:val="000000"/>
                <w:sz w:val="24"/>
                <w:szCs w:val="24"/>
              </w:rPr>
              <w:t>piemērojot atlikto nodo</w:t>
            </w:r>
            <w:r w:rsidR="00ED3784">
              <w:rPr>
                <w:rFonts w:ascii="Times New Roman" w:eastAsia="Times New Roman" w:hAnsi="Times New Roman" w:cs="Times New Roman"/>
                <w:color w:val="000000"/>
                <w:sz w:val="24"/>
                <w:szCs w:val="24"/>
              </w:rPr>
              <w:t xml:space="preserve">kļa maksāšanas režīmu, līdz </w:t>
            </w:r>
            <w:r w:rsidR="00ED3784">
              <w:rPr>
                <w:rFonts w:ascii="Times New Roman" w:eastAsia="Times New Roman" w:hAnsi="Times New Roman" w:cs="Times New Roman"/>
                <w:color w:val="000000"/>
                <w:sz w:val="24"/>
                <w:szCs w:val="24"/>
              </w:rPr>
              <w:lastRenderedPageBreak/>
              <w:t>2020</w:t>
            </w:r>
            <w:r w:rsidR="00E444A2" w:rsidRPr="00E444A2">
              <w:rPr>
                <w:rFonts w:ascii="Times New Roman" w:eastAsia="Times New Roman" w:hAnsi="Times New Roman" w:cs="Times New Roman"/>
                <w:color w:val="000000"/>
                <w:sz w:val="24"/>
                <w:szCs w:val="24"/>
              </w:rPr>
              <w:t>.gada</w:t>
            </w:r>
            <w:r w:rsidR="0074652A">
              <w:rPr>
                <w:rFonts w:ascii="Times New Roman" w:eastAsia="Times New Roman" w:hAnsi="Times New Roman" w:cs="Times New Roman"/>
                <w:color w:val="000000"/>
                <w:sz w:val="24"/>
                <w:szCs w:val="24"/>
              </w:rPr>
              <w:t xml:space="preserve"> 31.decembrim </w:t>
            </w:r>
            <w:r w:rsidR="00ED3784">
              <w:rPr>
                <w:rFonts w:ascii="Times New Roman" w:eastAsia="Times New Roman" w:hAnsi="Times New Roman" w:cs="Times New Roman"/>
                <w:color w:val="000000"/>
                <w:sz w:val="24"/>
                <w:szCs w:val="24"/>
              </w:rPr>
              <w:t xml:space="preserve">par darbībām ar </w:t>
            </w:r>
            <w:r w:rsidR="00ED3784" w:rsidRPr="00E444A2">
              <w:rPr>
                <w:rFonts w:ascii="Times New Roman" w:eastAsia="Times New Roman" w:hAnsi="Times New Roman" w:cs="Times New Roman"/>
                <w:color w:val="000000"/>
                <w:sz w:val="24"/>
                <w:szCs w:val="24"/>
              </w:rPr>
              <w:t>elektro</w:t>
            </w:r>
            <w:r w:rsidR="00ED3784">
              <w:rPr>
                <w:rFonts w:ascii="Times New Roman" w:eastAsia="Times New Roman" w:hAnsi="Times New Roman" w:cs="Times New Roman"/>
                <w:color w:val="000000"/>
                <w:sz w:val="24"/>
                <w:szCs w:val="24"/>
              </w:rPr>
              <w:t>niskajās cigaretēs izmantojamo šķidrumu</w:t>
            </w:r>
            <w:r w:rsidR="0074652A">
              <w:rPr>
                <w:rFonts w:ascii="Times New Roman" w:eastAsia="Times New Roman" w:hAnsi="Times New Roman" w:cs="Times New Roman"/>
                <w:color w:val="000000"/>
                <w:sz w:val="24"/>
                <w:szCs w:val="24"/>
              </w:rPr>
              <w:t xml:space="preserve">, </w:t>
            </w:r>
            <w:r w:rsidR="0074652A" w:rsidRPr="00E444A2">
              <w:rPr>
                <w:rFonts w:ascii="Times New Roman" w:eastAsia="Times New Roman" w:hAnsi="Times New Roman" w:cs="Times New Roman"/>
                <w:color w:val="000000"/>
                <w:sz w:val="24"/>
                <w:szCs w:val="24"/>
              </w:rPr>
              <w:t>elektro</w:t>
            </w:r>
            <w:r w:rsidR="0074652A">
              <w:rPr>
                <w:rFonts w:ascii="Times New Roman" w:eastAsia="Times New Roman" w:hAnsi="Times New Roman" w:cs="Times New Roman"/>
                <w:color w:val="000000"/>
                <w:sz w:val="24"/>
                <w:szCs w:val="24"/>
              </w:rPr>
              <w:t>niskajās cigaretēs izmantojamo šķidrumu sagatavošanas sastāvdaļām</w:t>
            </w:r>
            <w:r w:rsidR="00ED3784">
              <w:rPr>
                <w:rFonts w:ascii="Times New Roman" w:eastAsia="Times New Roman" w:hAnsi="Times New Roman" w:cs="Times New Roman"/>
                <w:color w:val="000000"/>
                <w:sz w:val="24"/>
                <w:szCs w:val="24"/>
              </w:rPr>
              <w:t xml:space="preserve"> un</w:t>
            </w:r>
            <w:r w:rsidR="0074652A">
              <w:rPr>
                <w:rFonts w:ascii="Times New Roman" w:eastAsia="Times New Roman" w:hAnsi="Times New Roman" w:cs="Times New Roman"/>
                <w:color w:val="000000"/>
                <w:sz w:val="24"/>
                <w:szCs w:val="24"/>
              </w:rPr>
              <w:t xml:space="preserve"> tabakas aizstājējproduktiem</w:t>
            </w:r>
            <w:r w:rsidR="00ED3784">
              <w:rPr>
                <w:rFonts w:ascii="Times New Roman" w:eastAsia="Times New Roman" w:hAnsi="Times New Roman" w:cs="Times New Roman"/>
                <w:color w:val="000000"/>
                <w:sz w:val="24"/>
                <w:szCs w:val="24"/>
              </w:rPr>
              <w:t xml:space="preserve"> </w:t>
            </w:r>
            <w:r w:rsidR="00E444A2" w:rsidRPr="00E444A2">
              <w:rPr>
                <w:rFonts w:ascii="Times New Roman" w:eastAsia="Times New Roman" w:hAnsi="Times New Roman" w:cs="Times New Roman"/>
                <w:color w:val="000000"/>
                <w:sz w:val="24"/>
                <w:szCs w:val="24"/>
              </w:rPr>
              <w:t>vajadzēs saņemt speciālo atļauju (licenci) apstiprināta noliktavas turētāja darbībai.</w:t>
            </w:r>
          </w:p>
          <w:p w14:paraId="75E358E6" w14:textId="77777777" w:rsidR="00A464AC" w:rsidRPr="00E444A2" w:rsidRDefault="00A464AC" w:rsidP="00ED3784">
            <w:pPr>
              <w:shd w:val="clear" w:color="auto" w:fill="FFFFFF"/>
              <w:spacing w:after="0" w:line="240" w:lineRule="auto"/>
              <w:ind w:right="111"/>
              <w:jc w:val="both"/>
              <w:rPr>
                <w:rFonts w:ascii="Times New Roman" w:eastAsia="Times New Roman" w:hAnsi="Times New Roman" w:cs="Times New Roman"/>
                <w:color w:val="000000"/>
                <w:sz w:val="24"/>
                <w:szCs w:val="24"/>
              </w:rPr>
            </w:pPr>
          </w:p>
          <w:p w14:paraId="394CE2B9" w14:textId="6CDE6996" w:rsidR="00E444A2" w:rsidRDefault="00ED3784" w:rsidP="00ED3784">
            <w:pPr>
              <w:shd w:val="clear" w:color="auto" w:fill="FFFFFF"/>
              <w:spacing w:after="0" w:line="240" w:lineRule="auto"/>
              <w:ind w:right="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 kas </w:t>
            </w:r>
            <w:proofErr w:type="gramStart"/>
            <w:r>
              <w:rPr>
                <w:rFonts w:ascii="Times New Roman" w:eastAsia="Times New Roman" w:hAnsi="Times New Roman" w:cs="Times New Roman"/>
                <w:color w:val="000000"/>
                <w:sz w:val="24"/>
                <w:szCs w:val="24"/>
              </w:rPr>
              <w:t>2021.gada</w:t>
            </w:r>
            <w:proofErr w:type="gramEnd"/>
            <w:r>
              <w:rPr>
                <w:rFonts w:ascii="Times New Roman" w:eastAsia="Times New Roman" w:hAnsi="Times New Roman" w:cs="Times New Roman"/>
                <w:color w:val="000000"/>
                <w:sz w:val="24"/>
                <w:szCs w:val="24"/>
              </w:rPr>
              <w:t xml:space="preserve"> 1.janvārī</w:t>
            </w:r>
            <w:r w:rsidR="00E444A2" w:rsidRPr="00E444A2">
              <w:rPr>
                <w:rFonts w:ascii="Times New Roman" w:eastAsia="Times New Roman" w:hAnsi="Times New Roman" w:cs="Times New Roman"/>
                <w:color w:val="000000"/>
                <w:sz w:val="24"/>
                <w:szCs w:val="24"/>
              </w:rPr>
              <w:t xml:space="preserve"> vei</w:t>
            </w:r>
            <w:r w:rsidR="00A01DA1">
              <w:rPr>
                <w:rFonts w:ascii="Times New Roman" w:eastAsia="Times New Roman" w:hAnsi="Times New Roman" w:cs="Times New Roman"/>
                <w:color w:val="000000"/>
                <w:sz w:val="24"/>
                <w:szCs w:val="24"/>
              </w:rPr>
              <w:t>ks</w:t>
            </w:r>
            <w:r w:rsidR="00E444A2" w:rsidRPr="00E444A2">
              <w:rPr>
                <w:rFonts w:ascii="Times New Roman" w:eastAsia="Times New Roman" w:hAnsi="Times New Roman" w:cs="Times New Roman"/>
                <w:color w:val="000000"/>
                <w:sz w:val="24"/>
                <w:szCs w:val="24"/>
              </w:rPr>
              <w:t xml:space="preserve"> darbības ar </w:t>
            </w:r>
            <w:r w:rsidRPr="00E444A2">
              <w:rPr>
                <w:rFonts w:ascii="Times New Roman" w:eastAsia="Times New Roman" w:hAnsi="Times New Roman" w:cs="Times New Roman"/>
                <w:color w:val="000000"/>
                <w:sz w:val="24"/>
                <w:szCs w:val="24"/>
              </w:rPr>
              <w:t>elektro</w:t>
            </w:r>
            <w:r>
              <w:rPr>
                <w:rFonts w:ascii="Times New Roman" w:eastAsia="Times New Roman" w:hAnsi="Times New Roman" w:cs="Times New Roman"/>
                <w:color w:val="000000"/>
                <w:sz w:val="24"/>
                <w:szCs w:val="24"/>
              </w:rPr>
              <w:t>niskajās c</w:t>
            </w:r>
            <w:r w:rsidR="0074652A">
              <w:rPr>
                <w:rFonts w:ascii="Times New Roman" w:eastAsia="Times New Roman" w:hAnsi="Times New Roman" w:cs="Times New Roman"/>
                <w:color w:val="000000"/>
                <w:sz w:val="24"/>
                <w:szCs w:val="24"/>
              </w:rPr>
              <w:t>igaretēs izmantojamo šķidrumu,</w:t>
            </w:r>
            <w:r w:rsidRPr="00E444A2">
              <w:rPr>
                <w:rFonts w:ascii="Times New Roman" w:eastAsia="Times New Roman" w:hAnsi="Times New Roman" w:cs="Times New Roman"/>
                <w:color w:val="000000"/>
                <w:sz w:val="24"/>
                <w:szCs w:val="24"/>
              </w:rPr>
              <w:t xml:space="preserve"> </w:t>
            </w:r>
            <w:r w:rsidR="00E444A2" w:rsidRPr="00E444A2">
              <w:rPr>
                <w:rFonts w:ascii="Times New Roman" w:eastAsia="Times New Roman" w:hAnsi="Times New Roman" w:cs="Times New Roman"/>
                <w:color w:val="000000"/>
                <w:sz w:val="24"/>
                <w:szCs w:val="24"/>
              </w:rPr>
              <w:t>elektro</w:t>
            </w:r>
            <w:r>
              <w:rPr>
                <w:rFonts w:ascii="Times New Roman" w:eastAsia="Times New Roman" w:hAnsi="Times New Roman" w:cs="Times New Roman"/>
                <w:color w:val="000000"/>
                <w:sz w:val="24"/>
                <w:szCs w:val="24"/>
              </w:rPr>
              <w:t xml:space="preserve">niskajās cigaretēs izmantojamo šķidrumu sagatavošanas </w:t>
            </w:r>
            <w:r w:rsidRPr="001F5F1A">
              <w:rPr>
                <w:rFonts w:ascii="Times New Roman" w:eastAsia="Times New Roman" w:hAnsi="Times New Roman" w:cs="Times New Roman"/>
                <w:color w:val="000000"/>
                <w:sz w:val="24"/>
                <w:szCs w:val="24"/>
              </w:rPr>
              <w:t>sastāvdaļām</w:t>
            </w:r>
            <w:r w:rsidR="0074652A">
              <w:rPr>
                <w:rFonts w:ascii="Times New Roman" w:eastAsia="Times New Roman" w:hAnsi="Times New Roman" w:cs="Times New Roman"/>
                <w:color w:val="000000"/>
                <w:sz w:val="24"/>
                <w:szCs w:val="24"/>
              </w:rPr>
              <w:t xml:space="preserve"> un tabakas aizstājējproduktiem</w:t>
            </w:r>
            <w:r w:rsidR="001F5F1A" w:rsidRPr="001F5F1A">
              <w:rPr>
                <w:rFonts w:ascii="Times New Roman" w:eastAsia="Times New Roman" w:hAnsi="Times New Roman" w:cs="Times New Roman"/>
                <w:color w:val="000000"/>
                <w:sz w:val="24"/>
                <w:szCs w:val="24"/>
              </w:rPr>
              <w:t xml:space="preserve"> </w:t>
            </w:r>
            <w:r w:rsidR="001F5F1A" w:rsidRPr="001F5F1A">
              <w:rPr>
                <w:rFonts w:ascii="Times New Roman" w:hAnsi="Times New Roman" w:cs="Times New Roman"/>
                <w:sz w:val="24"/>
                <w:szCs w:val="24"/>
                <w:shd w:val="clear" w:color="auto" w:fill="FFFFFF"/>
              </w:rPr>
              <w:t xml:space="preserve">inventarizē pēc stāvokļa 2021.gada 1.janvārī tai </w:t>
            </w:r>
            <w:r w:rsidR="00E444A2" w:rsidRPr="001F5F1A">
              <w:rPr>
                <w:rFonts w:ascii="Times New Roman" w:eastAsia="Times New Roman" w:hAnsi="Times New Roman" w:cs="Times New Roman"/>
                <w:color w:val="000000"/>
                <w:sz w:val="24"/>
                <w:szCs w:val="24"/>
              </w:rPr>
              <w:t>piederošos</w:t>
            </w:r>
            <w:r w:rsidRPr="001F5F1A">
              <w:rPr>
                <w:rFonts w:ascii="Times New Roman" w:eastAsia="Times New Roman" w:hAnsi="Times New Roman" w:cs="Times New Roman"/>
                <w:color w:val="000000"/>
                <w:sz w:val="24"/>
                <w:szCs w:val="24"/>
              </w:rPr>
              <w:t xml:space="preserve"> elektroniskajās cigaretēs</w:t>
            </w:r>
            <w:r>
              <w:rPr>
                <w:rFonts w:ascii="Times New Roman" w:eastAsia="Times New Roman" w:hAnsi="Times New Roman" w:cs="Times New Roman"/>
                <w:color w:val="000000"/>
                <w:sz w:val="24"/>
                <w:szCs w:val="24"/>
              </w:rPr>
              <w:t xml:space="preserve"> izmantojamo šķidrumu</w:t>
            </w:r>
            <w:r w:rsidR="0074652A">
              <w:rPr>
                <w:rFonts w:ascii="Times New Roman" w:eastAsia="Times New Roman" w:hAnsi="Times New Roman" w:cs="Times New Roman"/>
                <w:color w:val="000000"/>
                <w:sz w:val="24"/>
                <w:szCs w:val="24"/>
              </w:rPr>
              <w:t>,</w:t>
            </w:r>
            <w:r w:rsidR="00E444A2" w:rsidRPr="00E444A2">
              <w:rPr>
                <w:rFonts w:ascii="Times New Roman" w:eastAsia="Times New Roman" w:hAnsi="Times New Roman" w:cs="Times New Roman"/>
                <w:color w:val="000000"/>
                <w:sz w:val="24"/>
                <w:szCs w:val="24"/>
              </w:rPr>
              <w:t xml:space="preserve"> elektroniskajās cigaretēs izmantojamo šķidrumu </w:t>
            </w:r>
            <w:r>
              <w:rPr>
                <w:rFonts w:ascii="Times New Roman" w:eastAsia="Times New Roman" w:hAnsi="Times New Roman" w:cs="Times New Roman"/>
                <w:color w:val="000000"/>
                <w:sz w:val="24"/>
                <w:szCs w:val="24"/>
              </w:rPr>
              <w:t>sagatavošanas sastāvdaļu</w:t>
            </w:r>
            <w:r w:rsidR="0074652A">
              <w:rPr>
                <w:rFonts w:ascii="Times New Roman" w:eastAsia="Times New Roman" w:hAnsi="Times New Roman" w:cs="Times New Roman"/>
                <w:color w:val="000000"/>
                <w:sz w:val="24"/>
                <w:szCs w:val="24"/>
              </w:rPr>
              <w:t xml:space="preserve"> un tabakas aizstājējproduktu</w:t>
            </w:r>
            <w:r>
              <w:rPr>
                <w:rFonts w:ascii="Times New Roman" w:eastAsia="Times New Roman" w:hAnsi="Times New Roman" w:cs="Times New Roman"/>
                <w:color w:val="000000"/>
                <w:sz w:val="24"/>
                <w:szCs w:val="24"/>
              </w:rPr>
              <w:t xml:space="preserve"> </w:t>
            </w:r>
            <w:r w:rsidR="00E444A2" w:rsidRPr="00E444A2">
              <w:rPr>
                <w:rFonts w:ascii="Times New Roman" w:eastAsia="Times New Roman" w:hAnsi="Times New Roman" w:cs="Times New Roman"/>
                <w:color w:val="000000"/>
                <w:sz w:val="24"/>
                <w:szCs w:val="24"/>
              </w:rPr>
              <w:t xml:space="preserve">krājumus un 15 dienu laikā pēc inventarizācijas (ieskaitot inventarizācijas dienu) iesniegt Valsts ieņēmumu dienestam inventarizācijas sarakstu un nodokļa aprēķinu. Persona par inventarizācijā konstatēto </w:t>
            </w:r>
            <w:r w:rsidR="007F12BE" w:rsidRPr="00E444A2">
              <w:rPr>
                <w:rFonts w:ascii="Times New Roman" w:eastAsia="Times New Roman" w:hAnsi="Times New Roman" w:cs="Times New Roman"/>
                <w:color w:val="000000"/>
                <w:sz w:val="24"/>
                <w:szCs w:val="24"/>
              </w:rPr>
              <w:t>elektro</w:t>
            </w:r>
            <w:r w:rsidR="007F12BE">
              <w:rPr>
                <w:rFonts w:ascii="Times New Roman" w:eastAsia="Times New Roman" w:hAnsi="Times New Roman" w:cs="Times New Roman"/>
                <w:color w:val="000000"/>
                <w:sz w:val="24"/>
                <w:szCs w:val="24"/>
              </w:rPr>
              <w:t>niskajās c</w:t>
            </w:r>
            <w:r w:rsidR="0074652A">
              <w:rPr>
                <w:rFonts w:ascii="Times New Roman" w:eastAsia="Times New Roman" w:hAnsi="Times New Roman" w:cs="Times New Roman"/>
                <w:color w:val="000000"/>
                <w:sz w:val="24"/>
                <w:szCs w:val="24"/>
              </w:rPr>
              <w:t xml:space="preserve">igaretēs izmantojamo šķidrumu, </w:t>
            </w:r>
            <w:r w:rsidR="00E444A2" w:rsidRPr="00E444A2">
              <w:rPr>
                <w:rFonts w:ascii="Times New Roman" w:eastAsia="Times New Roman" w:hAnsi="Times New Roman" w:cs="Times New Roman"/>
                <w:color w:val="000000"/>
                <w:sz w:val="24"/>
                <w:szCs w:val="24"/>
              </w:rPr>
              <w:t>elektroniskajās cigaretēs izmantojamo šķidrumu</w:t>
            </w:r>
            <w:r>
              <w:rPr>
                <w:rFonts w:ascii="Times New Roman" w:eastAsia="Times New Roman" w:hAnsi="Times New Roman" w:cs="Times New Roman"/>
                <w:color w:val="000000"/>
                <w:sz w:val="24"/>
                <w:szCs w:val="24"/>
              </w:rPr>
              <w:t xml:space="preserve"> sagatavošanas sastāvdaļu</w:t>
            </w:r>
            <w:r w:rsidR="0074652A">
              <w:rPr>
                <w:rFonts w:ascii="Times New Roman" w:eastAsia="Times New Roman" w:hAnsi="Times New Roman" w:cs="Times New Roman"/>
                <w:color w:val="000000"/>
                <w:sz w:val="24"/>
                <w:szCs w:val="24"/>
              </w:rPr>
              <w:t xml:space="preserve"> un tabakas aizstājējproduktu</w:t>
            </w:r>
            <w:r w:rsidR="00E444A2" w:rsidRPr="00E444A2">
              <w:rPr>
                <w:rFonts w:ascii="Times New Roman" w:eastAsia="Times New Roman" w:hAnsi="Times New Roman" w:cs="Times New Roman"/>
                <w:color w:val="000000"/>
                <w:sz w:val="24"/>
                <w:szCs w:val="24"/>
              </w:rPr>
              <w:t xml:space="preserve"> krājumiem aprēķināto akcīzes nodokli vajadzēs i</w:t>
            </w:r>
            <w:r>
              <w:rPr>
                <w:rFonts w:ascii="Times New Roman" w:eastAsia="Times New Roman" w:hAnsi="Times New Roman" w:cs="Times New Roman"/>
                <w:color w:val="000000"/>
                <w:sz w:val="24"/>
                <w:szCs w:val="24"/>
              </w:rPr>
              <w:t>emaksāt valsts budžetā līdz 2021.gada 15.februārim</w:t>
            </w:r>
            <w:r w:rsidR="00E444A2" w:rsidRPr="00E444A2">
              <w:rPr>
                <w:rFonts w:ascii="Times New Roman" w:eastAsia="Times New Roman" w:hAnsi="Times New Roman" w:cs="Times New Roman"/>
                <w:color w:val="000000"/>
                <w:sz w:val="24"/>
                <w:szCs w:val="24"/>
              </w:rPr>
              <w:t>, izņemot personu, kas ir saņēmusi speciālo atļauju (licenci) apstiprināta noliktavas turētāja darbībai.</w:t>
            </w:r>
          </w:p>
          <w:p w14:paraId="2B2A5F66" w14:textId="55B0C91B" w:rsidR="000B00F2" w:rsidRPr="00E444A2" w:rsidRDefault="0037670E" w:rsidP="00DF1B6A">
            <w:pPr>
              <w:spacing w:after="0" w:line="240" w:lineRule="auto"/>
              <w:jc w:val="both"/>
              <w:rPr>
                <w:rFonts w:ascii="Times New Roman" w:hAnsi="Times New Roman" w:cs="Times New Roman"/>
                <w:sz w:val="24"/>
                <w:szCs w:val="24"/>
              </w:rPr>
            </w:pPr>
            <w:r w:rsidRPr="00A464AC">
              <w:rPr>
                <w:rFonts w:ascii="Times New Roman" w:hAnsi="Times New Roman" w:cs="Times New Roman"/>
                <w:sz w:val="24"/>
                <w:szCs w:val="24"/>
              </w:rPr>
              <w:t xml:space="preserve"> </w:t>
            </w:r>
          </w:p>
        </w:tc>
      </w:tr>
      <w:tr w:rsidR="00543AA6" w:rsidRPr="005851C0" w14:paraId="0C829763" w14:textId="77777777" w:rsidTr="00874B67">
        <w:tc>
          <w:tcPr>
            <w:tcW w:w="330" w:type="pct"/>
            <w:tcBorders>
              <w:top w:val="outset" w:sz="6" w:space="0" w:color="414142"/>
              <w:left w:val="outset" w:sz="6" w:space="0" w:color="414142"/>
              <w:bottom w:val="outset" w:sz="6" w:space="0" w:color="414142"/>
              <w:right w:val="outset" w:sz="6" w:space="0" w:color="414142"/>
            </w:tcBorders>
            <w:hideMark/>
          </w:tcPr>
          <w:p w14:paraId="2B9F391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610" w:type="pct"/>
            <w:tcBorders>
              <w:top w:val="outset" w:sz="6" w:space="0" w:color="414142"/>
              <w:left w:val="outset" w:sz="6" w:space="0" w:color="414142"/>
              <w:bottom w:val="outset" w:sz="6" w:space="0" w:color="414142"/>
              <w:right w:val="outset" w:sz="6" w:space="0" w:color="414142"/>
            </w:tcBorders>
            <w:hideMark/>
          </w:tcPr>
          <w:p w14:paraId="165EBE2B"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61" w:type="pct"/>
            <w:tcBorders>
              <w:top w:val="outset" w:sz="6" w:space="0" w:color="414142"/>
              <w:left w:val="outset" w:sz="6" w:space="0" w:color="414142"/>
              <w:bottom w:val="outset" w:sz="6" w:space="0" w:color="414142"/>
              <w:right w:val="outset" w:sz="6" w:space="0" w:color="414142"/>
            </w:tcBorders>
            <w:hideMark/>
          </w:tcPr>
          <w:p w14:paraId="4BB226A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3D60CBAB" w14:textId="77777777" w:rsidTr="00874B67">
        <w:tc>
          <w:tcPr>
            <w:tcW w:w="330" w:type="pct"/>
            <w:tcBorders>
              <w:top w:val="outset" w:sz="6" w:space="0" w:color="414142"/>
              <w:left w:val="outset" w:sz="6" w:space="0" w:color="414142"/>
              <w:bottom w:val="outset" w:sz="6" w:space="0" w:color="414142"/>
              <w:right w:val="outset" w:sz="6" w:space="0" w:color="414142"/>
            </w:tcBorders>
            <w:hideMark/>
          </w:tcPr>
          <w:p w14:paraId="08F670F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610" w:type="pct"/>
            <w:tcBorders>
              <w:top w:val="outset" w:sz="6" w:space="0" w:color="414142"/>
              <w:left w:val="outset" w:sz="6" w:space="0" w:color="414142"/>
              <w:bottom w:val="outset" w:sz="6" w:space="0" w:color="414142"/>
              <w:right w:val="outset" w:sz="6" w:space="0" w:color="414142"/>
            </w:tcBorders>
            <w:hideMark/>
          </w:tcPr>
          <w:p w14:paraId="71581F1F"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61" w:type="pct"/>
            <w:tcBorders>
              <w:top w:val="outset" w:sz="6" w:space="0" w:color="414142"/>
              <w:left w:val="outset" w:sz="6" w:space="0" w:color="414142"/>
              <w:bottom w:val="outset" w:sz="6" w:space="0" w:color="414142"/>
              <w:right w:val="outset" w:sz="6" w:space="0" w:color="414142"/>
            </w:tcBorders>
            <w:hideMark/>
          </w:tcPr>
          <w:p w14:paraId="5CAEEA56"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01412FFE" w14:textId="77777777" w:rsidTr="00874B67">
        <w:tc>
          <w:tcPr>
            <w:tcW w:w="330" w:type="pct"/>
            <w:tcBorders>
              <w:top w:val="outset" w:sz="6" w:space="0" w:color="414142"/>
              <w:left w:val="outset" w:sz="6" w:space="0" w:color="414142"/>
              <w:bottom w:val="outset" w:sz="6" w:space="0" w:color="414142"/>
              <w:right w:val="outset" w:sz="6" w:space="0" w:color="414142"/>
            </w:tcBorders>
            <w:hideMark/>
          </w:tcPr>
          <w:p w14:paraId="45724493"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610" w:type="pct"/>
            <w:tcBorders>
              <w:top w:val="outset" w:sz="6" w:space="0" w:color="414142"/>
              <w:left w:val="outset" w:sz="6" w:space="0" w:color="414142"/>
              <w:bottom w:val="outset" w:sz="6" w:space="0" w:color="414142"/>
              <w:right w:val="outset" w:sz="6" w:space="0" w:color="414142"/>
            </w:tcBorders>
            <w:hideMark/>
          </w:tcPr>
          <w:p w14:paraId="4BBD92FE"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61" w:type="pct"/>
            <w:tcBorders>
              <w:top w:val="outset" w:sz="6" w:space="0" w:color="414142"/>
              <w:left w:val="outset" w:sz="6" w:space="0" w:color="414142"/>
              <w:bottom w:val="outset" w:sz="6" w:space="0" w:color="414142"/>
              <w:right w:val="outset" w:sz="6" w:space="0" w:color="414142"/>
            </w:tcBorders>
            <w:hideMark/>
          </w:tcPr>
          <w:p w14:paraId="42BD0113" w14:textId="7851C28F" w:rsidR="0037670E" w:rsidRPr="005851C0" w:rsidRDefault="00E76F24" w:rsidP="00E76F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C4728" w:rsidRPr="005851C0">
              <w:rPr>
                <w:rFonts w:ascii="Times New Roman" w:eastAsia="Times New Roman" w:hAnsi="Times New Roman" w:cs="Times New Roman"/>
                <w:sz w:val="24"/>
                <w:szCs w:val="24"/>
                <w:lang w:eastAsia="lv-LV"/>
              </w:rPr>
              <w:t xml:space="preserve"> </w:t>
            </w:r>
          </w:p>
          <w:p w14:paraId="3355E50F" w14:textId="77777777" w:rsidR="0054716F" w:rsidRPr="005851C0" w:rsidRDefault="0054716F" w:rsidP="0037670E">
            <w:pPr>
              <w:spacing w:after="0" w:line="240" w:lineRule="auto"/>
              <w:ind w:firstLine="392"/>
              <w:jc w:val="both"/>
              <w:rPr>
                <w:rFonts w:ascii="Times New Roman" w:eastAsia="Times New Roman" w:hAnsi="Times New Roman" w:cs="Times New Roman"/>
                <w:sz w:val="24"/>
                <w:szCs w:val="24"/>
                <w:lang w:eastAsia="lv-LV"/>
              </w:rPr>
            </w:pPr>
          </w:p>
        </w:tc>
      </w:tr>
    </w:tbl>
    <w:p w14:paraId="3CDAD7F3"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p w14:paraId="3527C459" w14:textId="28F70335" w:rsidR="00604513" w:rsidRDefault="00604513" w:rsidP="00543AA6">
      <w:pPr>
        <w:spacing w:after="0" w:line="240" w:lineRule="auto"/>
        <w:rPr>
          <w:rFonts w:ascii="Times New Roman" w:eastAsia="Times New Roman" w:hAnsi="Times New Roman" w:cs="Times New Roman"/>
          <w:sz w:val="24"/>
          <w:szCs w:val="24"/>
          <w:lang w:eastAsia="lv-LV"/>
        </w:rPr>
      </w:pPr>
    </w:p>
    <w:tbl>
      <w:tblPr>
        <w:tblStyle w:val="TableGrid"/>
        <w:tblW w:w="5143" w:type="pct"/>
        <w:tblLayout w:type="fixed"/>
        <w:tblCellMar>
          <w:left w:w="28" w:type="dxa"/>
          <w:right w:w="28" w:type="dxa"/>
        </w:tblCellMar>
        <w:tblLook w:val="04A0" w:firstRow="1" w:lastRow="0" w:firstColumn="1" w:lastColumn="0" w:noHBand="0" w:noVBand="1"/>
      </w:tblPr>
      <w:tblGrid>
        <w:gridCol w:w="1699"/>
        <w:gridCol w:w="1273"/>
        <w:gridCol w:w="851"/>
        <w:gridCol w:w="1275"/>
        <w:gridCol w:w="993"/>
        <w:gridCol w:w="1275"/>
        <w:gridCol w:w="993"/>
        <w:gridCol w:w="1008"/>
      </w:tblGrid>
      <w:tr w:rsidR="00604513" w:rsidRPr="005851C0" w14:paraId="7F10CD38" w14:textId="77777777" w:rsidTr="00A9147C">
        <w:trPr>
          <w:trHeight w:val="267"/>
        </w:trPr>
        <w:tc>
          <w:tcPr>
            <w:tcW w:w="9367" w:type="dxa"/>
            <w:gridSpan w:val="8"/>
            <w:hideMark/>
          </w:tcPr>
          <w:p w14:paraId="6F1E78E5" w14:textId="77777777" w:rsidR="00604513" w:rsidRPr="005851C0" w:rsidRDefault="00604513" w:rsidP="00A9147C">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III. Tiesību akta projekta ietekme uz valsts budžetu un pašvaldību budžetiem</w:t>
            </w:r>
          </w:p>
        </w:tc>
      </w:tr>
      <w:tr w:rsidR="00604513" w:rsidRPr="005851C0" w14:paraId="3780E482" w14:textId="77777777" w:rsidTr="00A9147C">
        <w:trPr>
          <w:trHeight w:val="252"/>
        </w:trPr>
        <w:tc>
          <w:tcPr>
            <w:tcW w:w="1699" w:type="dxa"/>
            <w:vMerge w:val="restart"/>
          </w:tcPr>
          <w:p w14:paraId="429DCA11" w14:textId="77777777" w:rsidR="00604513" w:rsidRPr="005851C0" w:rsidRDefault="00604513" w:rsidP="00A9147C">
            <w:pPr>
              <w:rPr>
                <w:rFonts w:eastAsia="Times New Roman" w:cs="Times New Roman"/>
                <w:bCs/>
                <w:iCs/>
                <w:sz w:val="24"/>
                <w:szCs w:val="24"/>
                <w:lang w:eastAsia="lv-LV"/>
              </w:rPr>
            </w:pPr>
            <w:r w:rsidRPr="005851C0">
              <w:rPr>
                <w:rFonts w:eastAsia="Times New Roman" w:cs="Times New Roman"/>
                <w:bCs/>
                <w:iCs/>
                <w:sz w:val="24"/>
                <w:szCs w:val="24"/>
                <w:lang w:eastAsia="lv-LV"/>
              </w:rPr>
              <w:t>Rādītāji</w:t>
            </w:r>
          </w:p>
        </w:tc>
        <w:tc>
          <w:tcPr>
            <w:tcW w:w="2124" w:type="dxa"/>
            <w:gridSpan w:val="2"/>
            <w:vMerge w:val="restart"/>
            <w:hideMark/>
          </w:tcPr>
          <w:p w14:paraId="3A5DB73B" w14:textId="77777777" w:rsidR="00604513" w:rsidRPr="005851C0" w:rsidRDefault="00604513" w:rsidP="00A9147C">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2020</w:t>
            </w:r>
          </w:p>
        </w:tc>
        <w:tc>
          <w:tcPr>
            <w:tcW w:w="5544" w:type="dxa"/>
            <w:gridSpan w:val="5"/>
            <w:hideMark/>
          </w:tcPr>
          <w:p w14:paraId="384B3018"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Turpmākie trīs gadi (</w:t>
            </w:r>
            <w:proofErr w:type="spellStart"/>
            <w:r w:rsidRPr="005851C0">
              <w:rPr>
                <w:rFonts w:eastAsia="Times New Roman" w:cs="Times New Roman"/>
                <w:i/>
                <w:iCs/>
                <w:sz w:val="24"/>
                <w:szCs w:val="24"/>
                <w:lang w:eastAsia="lv-LV"/>
              </w:rPr>
              <w:t>euro</w:t>
            </w:r>
            <w:proofErr w:type="spellEnd"/>
            <w:r w:rsidRPr="005851C0">
              <w:rPr>
                <w:rFonts w:eastAsia="Times New Roman" w:cs="Times New Roman"/>
                <w:iCs/>
                <w:sz w:val="24"/>
                <w:szCs w:val="24"/>
                <w:lang w:eastAsia="lv-LV"/>
              </w:rPr>
              <w:t>)</w:t>
            </w:r>
          </w:p>
        </w:tc>
      </w:tr>
      <w:tr w:rsidR="00604513" w:rsidRPr="005851C0" w14:paraId="77E3DC39" w14:textId="77777777" w:rsidTr="00A9147C">
        <w:trPr>
          <w:trHeight w:val="282"/>
        </w:trPr>
        <w:tc>
          <w:tcPr>
            <w:tcW w:w="1699" w:type="dxa"/>
            <w:vMerge/>
            <w:hideMark/>
          </w:tcPr>
          <w:p w14:paraId="66CB1642" w14:textId="77777777" w:rsidR="00604513" w:rsidRPr="005851C0" w:rsidRDefault="00604513" w:rsidP="00A9147C">
            <w:pPr>
              <w:rPr>
                <w:rFonts w:eastAsia="Times New Roman" w:cs="Times New Roman"/>
                <w:bCs/>
                <w:iCs/>
                <w:sz w:val="24"/>
                <w:szCs w:val="24"/>
                <w:lang w:eastAsia="lv-LV"/>
              </w:rPr>
            </w:pPr>
          </w:p>
        </w:tc>
        <w:tc>
          <w:tcPr>
            <w:tcW w:w="2124" w:type="dxa"/>
            <w:gridSpan w:val="2"/>
            <w:vMerge/>
            <w:hideMark/>
          </w:tcPr>
          <w:p w14:paraId="1821C350" w14:textId="77777777" w:rsidR="00604513" w:rsidRPr="005851C0" w:rsidRDefault="00604513" w:rsidP="00A9147C">
            <w:pPr>
              <w:rPr>
                <w:rFonts w:eastAsia="Times New Roman" w:cs="Times New Roman"/>
                <w:bCs/>
                <w:iCs/>
                <w:sz w:val="24"/>
                <w:szCs w:val="24"/>
                <w:lang w:eastAsia="lv-LV"/>
              </w:rPr>
            </w:pPr>
          </w:p>
        </w:tc>
        <w:tc>
          <w:tcPr>
            <w:tcW w:w="2268" w:type="dxa"/>
            <w:gridSpan w:val="2"/>
            <w:hideMark/>
          </w:tcPr>
          <w:p w14:paraId="624E85AA" w14:textId="77777777" w:rsidR="00604513" w:rsidRPr="005851C0" w:rsidRDefault="00604513" w:rsidP="00A9147C">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2021</w:t>
            </w:r>
          </w:p>
        </w:tc>
        <w:tc>
          <w:tcPr>
            <w:tcW w:w="2268" w:type="dxa"/>
            <w:gridSpan w:val="2"/>
            <w:hideMark/>
          </w:tcPr>
          <w:p w14:paraId="796AAE09" w14:textId="77777777" w:rsidR="00604513" w:rsidRPr="005851C0" w:rsidRDefault="00604513" w:rsidP="00A9147C">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2022</w:t>
            </w:r>
          </w:p>
        </w:tc>
        <w:tc>
          <w:tcPr>
            <w:tcW w:w="1008" w:type="dxa"/>
            <w:hideMark/>
          </w:tcPr>
          <w:p w14:paraId="0CA382F6" w14:textId="77777777" w:rsidR="00604513" w:rsidRPr="005851C0" w:rsidRDefault="00604513" w:rsidP="00A9147C">
            <w:pPr>
              <w:jc w:val="center"/>
              <w:rPr>
                <w:rFonts w:eastAsia="Times New Roman" w:cs="Times New Roman"/>
                <w:b/>
                <w:bCs/>
                <w:iCs/>
                <w:sz w:val="24"/>
                <w:szCs w:val="24"/>
                <w:lang w:eastAsia="lv-LV"/>
              </w:rPr>
            </w:pPr>
            <w:r w:rsidRPr="005851C0">
              <w:rPr>
                <w:rFonts w:eastAsia="Times New Roman" w:cs="Times New Roman"/>
                <w:b/>
                <w:bCs/>
                <w:iCs/>
                <w:sz w:val="24"/>
                <w:szCs w:val="24"/>
                <w:lang w:eastAsia="lv-LV"/>
              </w:rPr>
              <w:t>2023</w:t>
            </w:r>
          </w:p>
        </w:tc>
      </w:tr>
      <w:tr w:rsidR="00604513" w:rsidRPr="005851C0" w14:paraId="34998D56" w14:textId="77777777" w:rsidTr="00A9147C">
        <w:trPr>
          <w:trHeight w:val="2363"/>
        </w:trPr>
        <w:tc>
          <w:tcPr>
            <w:tcW w:w="1699" w:type="dxa"/>
            <w:vMerge/>
            <w:hideMark/>
          </w:tcPr>
          <w:p w14:paraId="7B847422" w14:textId="77777777" w:rsidR="00604513" w:rsidRPr="005851C0" w:rsidRDefault="00604513" w:rsidP="00A9147C">
            <w:pPr>
              <w:rPr>
                <w:rFonts w:eastAsia="Times New Roman" w:cs="Times New Roman"/>
                <w:b/>
                <w:bCs/>
                <w:iCs/>
                <w:sz w:val="24"/>
                <w:szCs w:val="24"/>
                <w:lang w:eastAsia="lv-LV"/>
              </w:rPr>
            </w:pPr>
          </w:p>
        </w:tc>
        <w:tc>
          <w:tcPr>
            <w:tcW w:w="1273" w:type="dxa"/>
            <w:hideMark/>
          </w:tcPr>
          <w:p w14:paraId="23683F41" w14:textId="77777777" w:rsidR="00604513" w:rsidRPr="005851C0" w:rsidRDefault="00604513" w:rsidP="00A9147C">
            <w:pPr>
              <w:rPr>
                <w:rFonts w:eastAsia="Times New Roman" w:cs="Times New Roman"/>
                <w:iCs/>
                <w:sz w:val="20"/>
                <w:szCs w:val="24"/>
                <w:lang w:eastAsia="lv-LV"/>
              </w:rPr>
            </w:pPr>
            <w:r w:rsidRPr="005851C0">
              <w:rPr>
                <w:rFonts w:eastAsia="Times New Roman" w:cs="Times New Roman"/>
                <w:iCs/>
                <w:sz w:val="20"/>
                <w:szCs w:val="24"/>
                <w:lang w:eastAsia="lv-LV"/>
              </w:rPr>
              <w:t>saskaņā ar valsts budžetu kārtējam gadam</w:t>
            </w:r>
          </w:p>
        </w:tc>
        <w:tc>
          <w:tcPr>
            <w:tcW w:w="851" w:type="dxa"/>
            <w:hideMark/>
          </w:tcPr>
          <w:p w14:paraId="714F60AD" w14:textId="77777777" w:rsidR="00604513" w:rsidRPr="005851C0" w:rsidRDefault="00604513" w:rsidP="00A9147C">
            <w:pPr>
              <w:rPr>
                <w:rFonts w:eastAsia="Times New Roman" w:cs="Times New Roman"/>
                <w:iCs/>
                <w:sz w:val="20"/>
                <w:szCs w:val="24"/>
                <w:lang w:eastAsia="lv-LV"/>
              </w:rPr>
            </w:pPr>
            <w:r w:rsidRPr="005851C0">
              <w:rPr>
                <w:rFonts w:eastAsia="Times New Roman" w:cs="Times New Roman"/>
                <w:iCs/>
                <w:sz w:val="20"/>
                <w:szCs w:val="24"/>
                <w:lang w:eastAsia="lv-LV"/>
              </w:rPr>
              <w:t>Izmaiņas kārtējā gadā, salīdzinot ar valsts budžetu kārtējam gadam</w:t>
            </w:r>
          </w:p>
        </w:tc>
        <w:tc>
          <w:tcPr>
            <w:tcW w:w="1275" w:type="dxa"/>
            <w:hideMark/>
          </w:tcPr>
          <w:p w14:paraId="0D3CB24E" w14:textId="77777777" w:rsidR="00604513" w:rsidRPr="005851C0" w:rsidRDefault="00604513" w:rsidP="00A9147C">
            <w:pPr>
              <w:rPr>
                <w:rFonts w:eastAsia="Times New Roman" w:cs="Times New Roman"/>
                <w:iCs/>
                <w:sz w:val="20"/>
                <w:szCs w:val="24"/>
                <w:lang w:eastAsia="lv-LV"/>
              </w:rPr>
            </w:pPr>
            <w:r w:rsidRPr="005851C0">
              <w:rPr>
                <w:rFonts w:eastAsia="Times New Roman" w:cs="Times New Roman"/>
                <w:iCs/>
                <w:sz w:val="20"/>
                <w:szCs w:val="24"/>
                <w:lang w:eastAsia="lv-LV"/>
              </w:rPr>
              <w:t>saskaņā ar vidēja termiņa budžeta ietvaru</w:t>
            </w:r>
          </w:p>
        </w:tc>
        <w:tc>
          <w:tcPr>
            <w:tcW w:w="993" w:type="dxa"/>
            <w:hideMark/>
          </w:tcPr>
          <w:p w14:paraId="6C910BB6" w14:textId="77777777" w:rsidR="00604513" w:rsidRPr="005851C0" w:rsidRDefault="00604513" w:rsidP="00A9147C">
            <w:pPr>
              <w:rPr>
                <w:rFonts w:eastAsia="Times New Roman" w:cs="Times New Roman"/>
                <w:iCs/>
                <w:sz w:val="20"/>
                <w:szCs w:val="24"/>
                <w:lang w:eastAsia="lv-LV"/>
              </w:rPr>
            </w:pPr>
            <w:r w:rsidRPr="005851C0">
              <w:rPr>
                <w:rFonts w:eastAsia="Times New Roman" w:cs="Times New Roman"/>
                <w:iCs/>
                <w:sz w:val="20"/>
                <w:szCs w:val="24"/>
                <w:lang w:eastAsia="lv-LV"/>
              </w:rPr>
              <w:t xml:space="preserve">izmaiņas, salīdzinot ar vidēja termiņa budžeta ietvaru </w:t>
            </w:r>
            <w:proofErr w:type="gramStart"/>
            <w:r w:rsidRPr="005851C0">
              <w:rPr>
                <w:rFonts w:eastAsia="Times New Roman" w:cs="Times New Roman"/>
                <w:iCs/>
                <w:sz w:val="20"/>
                <w:szCs w:val="24"/>
                <w:lang w:eastAsia="lv-LV"/>
              </w:rPr>
              <w:t>20</w:t>
            </w:r>
            <w:r>
              <w:rPr>
                <w:rFonts w:eastAsia="Times New Roman" w:cs="Times New Roman"/>
                <w:iCs/>
                <w:sz w:val="20"/>
                <w:szCs w:val="24"/>
                <w:lang w:eastAsia="lv-LV"/>
              </w:rPr>
              <w:t>21</w:t>
            </w:r>
            <w:r w:rsidRPr="005851C0">
              <w:rPr>
                <w:rFonts w:eastAsia="Times New Roman" w:cs="Times New Roman"/>
                <w:iCs/>
                <w:sz w:val="20"/>
                <w:szCs w:val="24"/>
                <w:lang w:eastAsia="lv-LV"/>
              </w:rPr>
              <w:t>.g.</w:t>
            </w:r>
            <w:proofErr w:type="gramEnd"/>
          </w:p>
        </w:tc>
        <w:tc>
          <w:tcPr>
            <w:tcW w:w="1275" w:type="dxa"/>
            <w:hideMark/>
          </w:tcPr>
          <w:p w14:paraId="137B39DC" w14:textId="77777777" w:rsidR="00604513" w:rsidRPr="005851C0" w:rsidRDefault="00604513" w:rsidP="00A9147C">
            <w:pPr>
              <w:rPr>
                <w:rFonts w:eastAsia="Times New Roman" w:cs="Times New Roman"/>
                <w:iCs/>
                <w:sz w:val="20"/>
                <w:szCs w:val="24"/>
                <w:lang w:eastAsia="lv-LV"/>
              </w:rPr>
            </w:pPr>
            <w:r w:rsidRPr="005851C0">
              <w:rPr>
                <w:rFonts w:eastAsia="Times New Roman" w:cs="Times New Roman"/>
                <w:iCs/>
                <w:sz w:val="20"/>
                <w:szCs w:val="24"/>
                <w:lang w:eastAsia="lv-LV"/>
              </w:rPr>
              <w:t>saskaņā ar vidēja termiņa budžeta ietvaru</w:t>
            </w:r>
          </w:p>
        </w:tc>
        <w:tc>
          <w:tcPr>
            <w:tcW w:w="993" w:type="dxa"/>
            <w:hideMark/>
          </w:tcPr>
          <w:p w14:paraId="79676065" w14:textId="77777777" w:rsidR="00604513" w:rsidRPr="005851C0" w:rsidRDefault="00604513" w:rsidP="00A9147C">
            <w:pPr>
              <w:rPr>
                <w:rFonts w:eastAsia="Times New Roman" w:cs="Times New Roman"/>
                <w:iCs/>
                <w:sz w:val="20"/>
                <w:szCs w:val="24"/>
                <w:lang w:eastAsia="lv-LV"/>
              </w:rPr>
            </w:pPr>
            <w:r w:rsidRPr="005851C0">
              <w:rPr>
                <w:rFonts w:eastAsia="Times New Roman" w:cs="Times New Roman"/>
                <w:iCs/>
                <w:sz w:val="20"/>
                <w:szCs w:val="24"/>
                <w:lang w:eastAsia="lv-LV"/>
              </w:rPr>
              <w:t xml:space="preserve">izmaiņas, salīdzinot ar vidēja termiņa budžeta ietvaru </w:t>
            </w:r>
          </w:p>
          <w:p w14:paraId="0DE9FABB" w14:textId="77777777" w:rsidR="00604513" w:rsidRPr="005851C0" w:rsidRDefault="00604513" w:rsidP="00A9147C">
            <w:pPr>
              <w:rPr>
                <w:rFonts w:eastAsia="Times New Roman" w:cs="Times New Roman"/>
                <w:iCs/>
                <w:sz w:val="20"/>
                <w:szCs w:val="24"/>
                <w:lang w:eastAsia="lv-LV"/>
              </w:rPr>
            </w:pPr>
            <w:proofErr w:type="gramStart"/>
            <w:r w:rsidRPr="005851C0">
              <w:rPr>
                <w:rFonts w:eastAsia="Times New Roman" w:cs="Times New Roman"/>
                <w:iCs/>
                <w:sz w:val="20"/>
                <w:szCs w:val="24"/>
                <w:lang w:eastAsia="lv-LV"/>
              </w:rPr>
              <w:t>202</w:t>
            </w:r>
            <w:r>
              <w:rPr>
                <w:rFonts w:eastAsia="Times New Roman" w:cs="Times New Roman"/>
                <w:iCs/>
                <w:sz w:val="20"/>
                <w:szCs w:val="24"/>
                <w:lang w:eastAsia="lv-LV"/>
              </w:rPr>
              <w:t>2</w:t>
            </w:r>
            <w:r w:rsidRPr="005851C0">
              <w:rPr>
                <w:rFonts w:eastAsia="Times New Roman" w:cs="Times New Roman"/>
                <w:iCs/>
                <w:sz w:val="20"/>
                <w:szCs w:val="24"/>
                <w:lang w:eastAsia="lv-LV"/>
              </w:rPr>
              <w:t>.g.</w:t>
            </w:r>
            <w:proofErr w:type="gramEnd"/>
          </w:p>
        </w:tc>
        <w:tc>
          <w:tcPr>
            <w:tcW w:w="1008" w:type="dxa"/>
            <w:hideMark/>
          </w:tcPr>
          <w:p w14:paraId="64448B1C" w14:textId="77777777" w:rsidR="00604513" w:rsidRPr="005851C0" w:rsidRDefault="00604513" w:rsidP="00A9147C">
            <w:pPr>
              <w:rPr>
                <w:rFonts w:eastAsia="Times New Roman" w:cs="Times New Roman"/>
                <w:iCs/>
                <w:sz w:val="20"/>
                <w:szCs w:val="24"/>
                <w:lang w:eastAsia="lv-LV"/>
              </w:rPr>
            </w:pPr>
            <w:r w:rsidRPr="005851C0">
              <w:rPr>
                <w:rFonts w:eastAsia="Times New Roman" w:cs="Times New Roman"/>
                <w:iCs/>
                <w:sz w:val="20"/>
                <w:szCs w:val="24"/>
                <w:lang w:eastAsia="lv-LV"/>
              </w:rPr>
              <w:t xml:space="preserve">izmaiņas, salīdzinot ar vidēja termiņa budžeta ietvaru </w:t>
            </w:r>
            <w:r w:rsidRPr="005851C0">
              <w:rPr>
                <w:rFonts w:eastAsia="Times New Roman" w:cs="Times New Roman"/>
                <w:iCs/>
                <w:sz w:val="20"/>
                <w:szCs w:val="24"/>
                <w:lang w:eastAsia="lv-LV"/>
              </w:rPr>
              <w:br/>
              <w:t>202</w:t>
            </w:r>
            <w:r>
              <w:rPr>
                <w:rFonts w:eastAsia="Times New Roman" w:cs="Times New Roman"/>
                <w:iCs/>
                <w:sz w:val="20"/>
                <w:szCs w:val="24"/>
                <w:lang w:eastAsia="lv-LV"/>
              </w:rPr>
              <w:t>2</w:t>
            </w:r>
            <w:r w:rsidRPr="005851C0">
              <w:rPr>
                <w:rFonts w:eastAsia="Times New Roman" w:cs="Times New Roman"/>
                <w:iCs/>
                <w:sz w:val="20"/>
                <w:szCs w:val="24"/>
                <w:lang w:eastAsia="lv-LV"/>
              </w:rPr>
              <w:t>.g.</w:t>
            </w:r>
          </w:p>
        </w:tc>
      </w:tr>
      <w:tr w:rsidR="00604513" w:rsidRPr="005851C0" w14:paraId="1EE2D388" w14:textId="77777777" w:rsidTr="00A9147C">
        <w:trPr>
          <w:trHeight w:val="252"/>
        </w:trPr>
        <w:tc>
          <w:tcPr>
            <w:tcW w:w="1699" w:type="dxa"/>
            <w:hideMark/>
          </w:tcPr>
          <w:p w14:paraId="01CFDFC2"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1</w:t>
            </w:r>
          </w:p>
        </w:tc>
        <w:tc>
          <w:tcPr>
            <w:tcW w:w="1273" w:type="dxa"/>
            <w:hideMark/>
          </w:tcPr>
          <w:p w14:paraId="1EC7BBD8"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2</w:t>
            </w:r>
          </w:p>
        </w:tc>
        <w:tc>
          <w:tcPr>
            <w:tcW w:w="851" w:type="dxa"/>
            <w:hideMark/>
          </w:tcPr>
          <w:p w14:paraId="6F7E00F2"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3</w:t>
            </w:r>
          </w:p>
        </w:tc>
        <w:tc>
          <w:tcPr>
            <w:tcW w:w="1275" w:type="dxa"/>
            <w:hideMark/>
          </w:tcPr>
          <w:p w14:paraId="4FF72C97"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4</w:t>
            </w:r>
          </w:p>
        </w:tc>
        <w:tc>
          <w:tcPr>
            <w:tcW w:w="993" w:type="dxa"/>
            <w:hideMark/>
          </w:tcPr>
          <w:p w14:paraId="58766D41"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5</w:t>
            </w:r>
          </w:p>
        </w:tc>
        <w:tc>
          <w:tcPr>
            <w:tcW w:w="1275" w:type="dxa"/>
            <w:hideMark/>
          </w:tcPr>
          <w:p w14:paraId="524A2CA1"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6</w:t>
            </w:r>
          </w:p>
        </w:tc>
        <w:tc>
          <w:tcPr>
            <w:tcW w:w="993" w:type="dxa"/>
            <w:hideMark/>
          </w:tcPr>
          <w:p w14:paraId="029F0A6A"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7</w:t>
            </w:r>
          </w:p>
        </w:tc>
        <w:tc>
          <w:tcPr>
            <w:tcW w:w="1008" w:type="dxa"/>
            <w:hideMark/>
          </w:tcPr>
          <w:p w14:paraId="2A5F2388" w14:textId="77777777" w:rsidR="00604513" w:rsidRPr="005851C0" w:rsidRDefault="00604513" w:rsidP="00A9147C">
            <w:pPr>
              <w:jc w:val="center"/>
              <w:rPr>
                <w:rFonts w:eastAsia="Times New Roman" w:cs="Times New Roman"/>
                <w:iCs/>
                <w:sz w:val="20"/>
                <w:szCs w:val="24"/>
                <w:lang w:eastAsia="lv-LV"/>
              </w:rPr>
            </w:pPr>
            <w:r w:rsidRPr="005851C0">
              <w:rPr>
                <w:rFonts w:eastAsia="Times New Roman" w:cs="Times New Roman"/>
                <w:iCs/>
                <w:sz w:val="20"/>
                <w:szCs w:val="24"/>
                <w:lang w:eastAsia="lv-LV"/>
              </w:rPr>
              <w:t>8</w:t>
            </w:r>
          </w:p>
        </w:tc>
      </w:tr>
      <w:tr w:rsidR="00604513" w:rsidRPr="005851C0" w14:paraId="5765564B" w14:textId="77777777" w:rsidTr="00A9147C">
        <w:trPr>
          <w:trHeight w:val="520"/>
        </w:trPr>
        <w:tc>
          <w:tcPr>
            <w:tcW w:w="1699" w:type="dxa"/>
            <w:hideMark/>
          </w:tcPr>
          <w:p w14:paraId="7ED9B895"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1. Budžeta ieņēmumi</w:t>
            </w:r>
          </w:p>
        </w:tc>
        <w:tc>
          <w:tcPr>
            <w:tcW w:w="1273" w:type="dxa"/>
          </w:tcPr>
          <w:p w14:paraId="018B2478" w14:textId="77777777" w:rsidR="00604513" w:rsidRPr="00A32BDC" w:rsidRDefault="00604513" w:rsidP="00A9147C">
            <w:pPr>
              <w:jc w:val="center"/>
              <w:rPr>
                <w:rFonts w:eastAsia="Times New Roman" w:cs="Times New Roman"/>
                <w:iCs/>
                <w:sz w:val="18"/>
                <w:szCs w:val="18"/>
                <w:highlight w:val="cyan"/>
                <w:lang w:eastAsia="lv-LV"/>
              </w:rPr>
            </w:pPr>
            <w:r w:rsidRPr="00A32BDC">
              <w:rPr>
                <w:rFonts w:eastAsia="Times New Roman" w:cs="Times New Roman"/>
                <w:iCs/>
                <w:sz w:val="18"/>
                <w:szCs w:val="18"/>
                <w:lang w:eastAsia="lv-LV"/>
              </w:rPr>
              <w:t>4 088 331 000</w:t>
            </w:r>
          </w:p>
        </w:tc>
        <w:tc>
          <w:tcPr>
            <w:tcW w:w="851" w:type="dxa"/>
          </w:tcPr>
          <w:p w14:paraId="5202B84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4D646DD6"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4 301 867 000</w:t>
            </w:r>
          </w:p>
        </w:tc>
        <w:tc>
          <w:tcPr>
            <w:tcW w:w="993" w:type="dxa"/>
          </w:tcPr>
          <w:p w14:paraId="20D67B38"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+4 983 000</w:t>
            </w:r>
          </w:p>
        </w:tc>
        <w:tc>
          <w:tcPr>
            <w:tcW w:w="1275" w:type="dxa"/>
          </w:tcPr>
          <w:p w14:paraId="5F41C9F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4 532 451 000</w:t>
            </w:r>
          </w:p>
        </w:tc>
        <w:tc>
          <w:tcPr>
            <w:tcW w:w="993" w:type="dxa"/>
          </w:tcPr>
          <w:p w14:paraId="79EDF287" w14:textId="77777777" w:rsidR="00604513" w:rsidRPr="00A32BDC"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10</w:t>
            </w:r>
            <w:r>
              <w:rPr>
                <w:rFonts w:eastAsia="Times New Roman" w:cs="Times New Roman"/>
                <w:iCs/>
                <w:sz w:val="18"/>
                <w:szCs w:val="18"/>
                <w:lang w:eastAsia="lv-LV"/>
              </w:rPr>
              <w:t> </w:t>
            </w:r>
            <w:r w:rsidRPr="00321B7F">
              <w:rPr>
                <w:rFonts w:eastAsia="Times New Roman" w:cs="Times New Roman"/>
                <w:iCs/>
                <w:sz w:val="18"/>
                <w:szCs w:val="18"/>
                <w:lang w:eastAsia="lv-LV"/>
              </w:rPr>
              <w:t>687</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c>
          <w:tcPr>
            <w:tcW w:w="1008" w:type="dxa"/>
          </w:tcPr>
          <w:p w14:paraId="387E112A" w14:textId="77777777" w:rsidR="00604513" w:rsidRPr="00A32BDC"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14</w:t>
            </w:r>
            <w:r>
              <w:rPr>
                <w:rFonts w:eastAsia="Times New Roman" w:cs="Times New Roman"/>
                <w:iCs/>
                <w:sz w:val="18"/>
                <w:szCs w:val="18"/>
                <w:lang w:eastAsia="lv-LV"/>
              </w:rPr>
              <w:t> </w:t>
            </w:r>
            <w:r w:rsidRPr="00321B7F">
              <w:rPr>
                <w:rFonts w:eastAsia="Times New Roman" w:cs="Times New Roman"/>
                <w:iCs/>
                <w:sz w:val="18"/>
                <w:szCs w:val="18"/>
                <w:lang w:eastAsia="lv-LV"/>
              </w:rPr>
              <w:t>304</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r>
      <w:tr w:rsidR="00604513" w:rsidRPr="005851C0" w14:paraId="063DFD82" w14:textId="77777777" w:rsidTr="00A9147C">
        <w:trPr>
          <w:trHeight w:val="1828"/>
        </w:trPr>
        <w:tc>
          <w:tcPr>
            <w:tcW w:w="1699" w:type="dxa"/>
            <w:hideMark/>
          </w:tcPr>
          <w:p w14:paraId="65AC5382"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lastRenderedPageBreak/>
              <w:t>1.1. valsts pamatbudžets, tai skaitā ieņēmumi no maksas pakalpojumiem un citi pašu ieņēmumi, t.sk.,</w:t>
            </w:r>
          </w:p>
        </w:tc>
        <w:tc>
          <w:tcPr>
            <w:tcW w:w="1273" w:type="dxa"/>
          </w:tcPr>
          <w:p w14:paraId="1F0CA162" w14:textId="77777777" w:rsidR="00604513" w:rsidRPr="00A32BDC" w:rsidRDefault="00604513" w:rsidP="00A9147C">
            <w:pPr>
              <w:jc w:val="center"/>
              <w:rPr>
                <w:rFonts w:eastAsia="Times New Roman" w:cs="Times New Roman"/>
                <w:iCs/>
                <w:sz w:val="18"/>
                <w:szCs w:val="18"/>
                <w:highlight w:val="cyan"/>
                <w:lang w:eastAsia="lv-LV"/>
              </w:rPr>
            </w:pPr>
            <w:r w:rsidRPr="00A32BDC">
              <w:rPr>
                <w:rFonts w:eastAsia="Times New Roman" w:cs="Times New Roman"/>
                <w:iCs/>
                <w:sz w:val="18"/>
                <w:szCs w:val="18"/>
                <w:lang w:eastAsia="lv-LV"/>
              </w:rPr>
              <w:t>4 088 331 000</w:t>
            </w:r>
          </w:p>
        </w:tc>
        <w:tc>
          <w:tcPr>
            <w:tcW w:w="851" w:type="dxa"/>
          </w:tcPr>
          <w:p w14:paraId="4297E972"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58E380C5"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4 301 867 000</w:t>
            </w:r>
          </w:p>
        </w:tc>
        <w:tc>
          <w:tcPr>
            <w:tcW w:w="993" w:type="dxa"/>
          </w:tcPr>
          <w:p w14:paraId="2ACFF4E9"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+4 983 000</w:t>
            </w:r>
          </w:p>
        </w:tc>
        <w:tc>
          <w:tcPr>
            <w:tcW w:w="1275" w:type="dxa"/>
          </w:tcPr>
          <w:p w14:paraId="06F3655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4 532 451 000</w:t>
            </w:r>
          </w:p>
        </w:tc>
        <w:tc>
          <w:tcPr>
            <w:tcW w:w="993" w:type="dxa"/>
          </w:tcPr>
          <w:p w14:paraId="42837427" w14:textId="77777777" w:rsidR="00604513" w:rsidRPr="00A32BDC" w:rsidRDefault="00604513" w:rsidP="00A9147C">
            <w:pPr>
              <w:jc w:val="center"/>
              <w:rPr>
                <w:rFonts w:eastAsia="Times New Roman" w:cs="Times New Roman"/>
                <w:iCs/>
                <w:sz w:val="18"/>
                <w:szCs w:val="18"/>
                <w:highlight w:val="yellow"/>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10</w:t>
            </w:r>
            <w:r>
              <w:rPr>
                <w:rFonts w:eastAsia="Times New Roman" w:cs="Times New Roman"/>
                <w:iCs/>
                <w:sz w:val="18"/>
                <w:szCs w:val="18"/>
                <w:lang w:eastAsia="lv-LV"/>
              </w:rPr>
              <w:t> </w:t>
            </w:r>
            <w:r w:rsidRPr="00321B7F">
              <w:rPr>
                <w:rFonts w:eastAsia="Times New Roman" w:cs="Times New Roman"/>
                <w:iCs/>
                <w:sz w:val="18"/>
                <w:szCs w:val="18"/>
                <w:lang w:eastAsia="lv-LV"/>
              </w:rPr>
              <w:t>687</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c>
          <w:tcPr>
            <w:tcW w:w="1008" w:type="dxa"/>
          </w:tcPr>
          <w:p w14:paraId="480BC2D3" w14:textId="77777777" w:rsidR="00604513" w:rsidRPr="00A32BDC" w:rsidRDefault="00604513" w:rsidP="00A9147C">
            <w:pPr>
              <w:jc w:val="center"/>
              <w:rPr>
                <w:rFonts w:eastAsia="Times New Roman" w:cs="Times New Roman"/>
                <w:iCs/>
                <w:sz w:val="18"/>
                <w:szCs w:val="18"/>
                <w:highlight w:val="yellow"/>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14</w:t>
            </w:r>
            <w:r>
              <w:rPr>
                <w:rFonts w:eastAsia="Times New Roman" w:cs="Times New Roman"/>
                <w:iCs/>
                <w:sz w:val="18"/>
                <w:szCs w:val="18"/>
                <w:lang w:eastAsia="lv-LV"/>
              </w:rPr>
              <w:t> </w:t>
            </w:r>
            <w:r w:rsidRPr="00321B7F">
              <w:rPr>
                <w:rFonts w:eastAsia="Times New Roman" w:cs="Times New Roman"/>
                <w:iCs/>
                <w:sz w:val="18"/>
                <w:szCs w:val="18"/>
                <w:lang w:eastAsia="lv-LV"/>
              </w:rPr>
              <w:t>304</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r>
      <w:tr w:rsidR="00604513" w:rsidRPr="005851C0" w14:paraId="7178F616" w14:textId="77777777" w:rsidTr="00A9147C">
        <w:trPr>
          <w:trHeight w:val="663"/>
        </w:trPr>
        <w:tc>
          <w:tcPr>
            <w:tcW w:w="1699" w:type="dxa"/>
          </w:tcPr>
          <w:p w14:paraId="13332A70"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no akcīzes nodokļa</w:t>
            </w:r>
          </w:p>
        </w:tc>
        <w:tc>
          <w:tcPr>
            <w:tcW w:w="1273" w:type="dxa"/>
          </w:tcPr>
          <w:p w14:paraId="2CEFC5BC" w14:textId="77777777" w:rsidR="00604513" w:rsidRPr="00A32BDC" w:rsidRDefault="00604513" w:rsidP="00A9147C">
            <w:pPr>
              <w:jc w:val="center"/>
              <w:rPr>
                <w:rFonts w:eastAsia="Times New Roman" w:cs="Times New Roman"/>
                <w:iCs/>
                <w:sz w:val="18"/>
                <w:szCs w:val="18"/>
                <w:highlight w:val="cyan"/>
                <w:lang w:eastAsia="lv-LV"/>
              </w:rPr>
            </w:pPr>
            <w:r w:rsidRPr="00A32BDC">
              <w:rPr>
                <w:rFonts w:eastAsia="Times New Roman" w:cs="Times New Roman"/>
                <w:iCs/>
                <w:sz w:val="18"/>
                <w:szCs w:val="18"/>
                <w:lang w:eastAsia="lv-LV"/>
              </w:rPr>
              <w:t>1 203 400 000</w:t>
            </w:r>
          </w:p>
        </w:tc>
        <w:tc>
          <w:tcPr>
            <w:tcW w:w="851" w:type="dxa"/>
          </w:tcPr>
          <w:p w14:paraId="058175DF"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5293A4CE" w14:textId="77777777" w:rsidR="00604513" w:rsidRPr="00A32BDC" w:rsidRDefault="00604513" w:rsidP="00A9147C">
            <w:pPr>
              <w:jc w:val="center"/>
              <w:rPr>
                <w:rFonts w:cs="Times New Roman"/>
                <w:sz w:val="18"/>
                <w:szCs w:val="18"/>
              </w:rPr>
            </w:pPr>
            <w:r>
              <w:rPr>
                <w:rFonts w:eastAsia="Times New Roman" w:cs="Times New Roman"/>
                <w:iCs/>
                <w:sz w:val="18"/>
                <w:szCs w:val="18"/>
                <w:lang w:eastAsia="lv-LV"/>
              </w:rPr>
              <w:t>1 22</w:t>
            </w:r>
            <w:r w:rsidRPr="00A32BDC">
              <w:rPr>
                <w:rFonts w:eastAsia="Times New Roman" w:cs="Times New Roman"/>
                <w:iCs/>
                <w:sz w:val="18"/>
                <w:szCs w:val="18"/>
                <w:lang w:eastAsia="lv-LV"/>
              </w:rPr>
              <w:t>4</w:t>
            </w:r>
            <w:r>
              <w:rPr>
                <w:rFonts w:eastAsia="Times New Roman" w:cs="Times New Roman"/>
                <w:iCs/>
                <w:sz w:val="18"/>
                <w:szCs w:val="18"/>
                <w:lang w:eastAsia="lv-LV"/>
              </w:rPr>
              <w:t> </w:t>
            </w:r>
            <w:r w:rsidRPr="00A32BDC">
              <w:rPr>
                <w:rFonts w:eastAsia="Times New Roman" w:cs="Times New Roman"/>
                <w:iCs/>
                <w:sz w:val="18"/>
                <w:szCs w:val="18"/>
                <w:lang w:eastAsia="lv-LV"/>
              </w:rPr>
              <w:t>410 000</w:t>
            </w:r>
          </w:p>
        </w:tc>
        <w:tc>
          <w:tcPr>
            <w:tcW w:w="993" w:type="dxa"/>
          </w:tcPr>
          <w:p w14:paraId="052666E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+4 119 000</w:t>
            </w:r>
          </w:p>
        </w:tc>
        <w:tc>
          <w:tcPr>
            <w:tcW w:w="1275" w:type="dxa"/>
          </w:tcPr>
          <w:p w14:paraId="2D466D42" w14:textId="77777777" w:rsidR="00604513" w:rsidRPr="00A32BDC" w:rsidRDefault="00604513" w:rsidP="00A9147C">
            <w:pPr>
              <w:jc w:val="center"/>
              <w:rPr>
                <w:rFonts w:cs="Times New Roman"/>
                <w:sz w:val="18"/>
                <w:szCs w:val="18"/>
              </w:rPr>
            </w:pPr>
            <w:r w:rsidRPr="00A32BDC">
              <w:rPr>
                <w:rFonts w:eastAsia="Times New Roman" w:cs="Times New Roman"/>
                <w:iCs/>
                <w:sz w:val="18"/>
                <w:szCs w:val="18"/>
                <w:lang w:eastAsia="lv-LV"/>
              </w:rPr>
              <w:t>1 255 630 000</w:t>
            </w:r>
          </w:p>
        </w:tc>
        <w:tc>
          <w:tcPr>
            <w:tcW w:w="993" w:type="dxa"/>
          </w:tcPr>
          <w:p w14:paraId="01DA3F71" w14:textId="77777777" w:rsidR="00604513" w:rsidRPr="00A32BDC"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8</w:t>
            </w:r>
            <w:r>
              <w:rPr>
                <w:rFonts w:eastAsia="Times New Roman" w:cs="Times New Roman"/>
                <w:iCs/>
                <w:sz w:val="18"/>
                <w:szCs w:val="18"/>
                <w:lang w:eastAsia="lv-LV"/>
              </w:rPr>
              <w:t> </w:t>
            </w:r>
            <w:r w:rsidRPr="00321B7F">
              <w:rPr>
                <w:rFonts w:eastAsia="Times New Roman" w:cs="Times New Roman"/>
                <w:iCs/>
                <w:sz w:val="18"/>
                <w:szCs w:val="18"/>
                <w:lang w:eastAsia="lv-LV"/>
              </w:rPr>
              <w:t>830</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c>
          <w:tcPr>
            <w:tcW w:w="1008" w:type="dxa"/>
          </w:tcPr>
          <w:p w14:paraId="2CC089F3" w14:textId="77777777" w:rsidR="00604513" w:rsidRPr="00A32BDC"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11</w:t>
            </w:r>
            <w:r>
              <w:rPr>
                <w:rFonts w:eastAsia="Times New Roman" w:cs="Times New Roman"/>
                <w:iCs/>
                <w:sz w:val="18"/>
                <w:szCs w:val="18"/>
                <w:lang w:eastAsia="lv-LV"/>
              </w:rPr>
              <w:t> </w:t>
            </w:r>
            <w:r w:rsidRPr="00321B7F">
              <w:rPr>
                <w:rFonts w:eastAsia="Times New Roman" w:cs="Times New Roman"/>
                <w:iCs/>
                <w:sz w:val="18"/>
                <w:szCs w:val="18"/>
                <w:lang w:eastAsia="lv-LV"/>
              </w:rPr>
              <w:t>820</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r>
      <w:tr w:rsidR="00604513" w:rsidRPr="005851C0" w14:paraId="436CC752" w14:textId="77777777" w:rsidTr="00A9147C">
        <w:trPr>
          <w:trHeight w:val="573"/>
        </w:trPr>
        <w:tc>
          <w:tcPr>
            <w:tcW w:w="1699" w:type="dxa"/>
          </w:tcPr>
          <w:p w14:paraId="48858D6C"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no pievienotās vērtības nodokļa</w:t>
            </w:r>
          </w:p>
        </w:tc>
        <w:tc>
          <w:tcPr>
            <w:tcW w:w="1273" w:type="dxa"/>
          </w:tcPr>
          <w:p w14:paraId="468F4392" w14:textId="77777777" w:rsidR="00604513" w:rsidRPr="00A32BDC" w:rsidRDefault="00604513" w:rsidP="00A9147C">
            <w:pPr>
              <w:jc w:val="center"/>
              <w:rPr>
                <w:rFonts w:eastAsia="Times New Roman" w:cs="Times New Roman"/>
                <w:iCs/>
                <w:sz w:val="18"/>
                <w:szCs w:val="18"/>
                <w:highlight w:val="cyan"/>
                <w:lang w:eastAsia="lv-LV"/>
              </w:rPr>
            </w:pPr>
            <w:r w:rsidRPr="00A32BDC">
              <w:rPr>
                <w:rFonts w:eastAsia="Times New Roman" w:cs="Times New Roman"/>
                <w:iCs/>
                <w:sz w:val="18"/>
                <w:szCs w:val="18"/>
                <w:lang w:eastAsia="lv-LV"/>
              </w:rPr>
              <w:t>2 884 931 000</w:t>
            </w:r>
          </w:p>
        </w:tc>
        <w:tc>
          <w:tcPr>
            <w:tcW w:w="851" w:type="dxa"/>
          </w:tcPr>
          <w:p w14:paraId="012021FE"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48C4BA9B" w14:textId="77777777" w:rsidR="00604513" w:rsidRPr="00A32BDC" w:rsidRDefault="00604513" w:rsidP="00A9147C">
            <w:pPr>
              <w:jc w:val="center"/>
              <w:rPr>
                <w:rFonts w:cs="Times New Roman"/>
                <w:sz w:val="18"/>
                <w:szCs w:val="18"/>
              </w:rPr>
            </w:pPr>
            <w:r w:rsidRPr="00A32BDC">
              <w:rPr>
                <w:rFonts w:eastAsia="Times New Roman" w:cs="Times New Roman"/>
                <w:iCs/>
                <w:sz w:val="18"/>
                <w:szCs w:val="18"/>
                <w:lang w:eastAsia="lv-LV"/>
              </w:rPr>
              <w:t>3 077 457 000</w:t>
            </w:r>
          </w:p>
        </w:tc>
        <w:tc>
          <w:tcPr>
            <w:tcW w:w="993" w:type="dxa"/>
          </w:tcPr>
          <w:p w14:paraId="3E37A20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+864 000</w:t>
            </w:r>
          </w:p>
        </w:tc>
        <w:tc>
          <w:tcPr>
            <w:tcW w:w="1275" w:type="dxa"/>
          </w:tcPr>
          <w:p w14:paraId="774FC40D" w14:textId="77777777" w:rsidR="00604513" w:rsidRPr="00A32BDC" w:rsidRDefault="00604513" w:rsidP="00A9147C">
            <w:pPr>
              <w:jc w:val="center"/>
              <w:rPr>
                <w:rFonts w:cs="Times New Roman"/>
                <w:sz w:val="18"/>
                <w:szCs w:val="18"/>
              </w:rPr>
            </w:pPr>
            <w:r w:rsidRPr="00A32BDC">
              <w:rPr>
                <w:rFonts w:eastAsia="Times New Roman" w:cs="Times New Roman"/>
                <w:iCs/>
                <w:sz w:val="18"/>
                <w:szCs w:val="18"/>
                <w:lang w:eastAsia="lv-LV"/>
              </w:rPr>
              <w:t>3 276 821 000</w:t>
            </w:r>
          </w:p>
        </w:tc>
        <w:tc>
          <w:tcPr>
            <w:tcW w:w="993" w:type="dxa"/>
          </w:tcPr>
          <w:p w14:paraId="4A211AF0" w14:textId="77777777" w:rsidR="00604513" w:rsidRPr="00A32BDC"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w:t>
            </w:r>
            <w:r>
              <w:rPr>
                <w:rFonts w:eastAsia="Times New Roman" w:cs="Times New Roman"/>
                <w:iCs/>
                <w:sz w:val="18"/>
                <w:szCs w:val="18"/>
                <w:lang w:eastAsia="lv-LV"/>
              </w:rPr>
              <w:t> </w:t>
            </w:r>
            <w:r w:rsidRPr="00321B7F">
              <w:rPr>
                <w:rFonts w:eastAsia="Times New Roman" w:cs="Times New Roman"/>
                <w:iCs/>
                <w:sz w:val="18"/>
                <w:szCs w:val="18"/>
                <w:lang w:eastAsia="lv-LV"/>
              </w:rPr>
              <w:t>857</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c>
          <w:tcPr>
            <w:tcW w:w="1008" w:type="dxa"/>
          </w:tcPr>
          <w:p w14:paraId="73133889" w14:textId="77777777" w:rsidR="00604513" w:rsidRPr="00A32BDC"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2</w:t>
            </w:r>
            <w:r>
              <w:rPr>
                <w:rFonts w:eastAsia="Times New Roman" w:cs="Times New Roman"/>
                <w:iCs/>
                <w:sz w:val="18"/>
                <w:szCs w:val="18"/>
                <w:lang w:eastAsia="lv-LV"/>
              </w:rPr>
              <w:t> </w:t>
            </w:r>
            <w:r w:rsidRPr="00321B7F">
              <w:rPr>
                <w:rFonts w:eastAsia="Times New Roman" w:cs="Times New Roman"/>
                <w:iCs/>
                <w:sz w:val="18"/>
                <w:szCs w:val="18"/>
                <w:lang w:eastAsia="lv-LV"/>
              </w:rPr>
              <w:t>484</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r>
      <w:tr w:rsidR="00604513" w:rsidRPr="005851C0" w14:paraId="65F68C71" w14:textId="77777777" w:rsidTr="00A9147C">
        <w:trPr>
          <w:trHeight w:val="520"/>
        </w:trPr>
        <w:tc>
          <w:tcPr>
            <w:tcW w:w="1699" w:type="dxa"/>
            <w:hideMark/>
          </w:tcPr>
          <w:p w14:paraId="3F276FD4"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1.2. valsts speciālais budžets</w:t>
            </w:r>
          </w:p>
        </w:tc>
        <w:tc>
          <w:tcPr>
            <w:tcW w:w="1273" w:type="dxa"/>
          </w:tcPr>
          <w:p w14:paraId="66F9E61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851" w:type="dxa"/>
          </w:tcPr>
          <w:p w14:paraId="1BFCE48A"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4FD82FFD"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993" w:type="dxa"/>
          </w:tcPr>
          <w:p w14:paraId="33B5DD0B"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62EDCA8F"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993" w:type="dxa"/>
          </w:tcPr>
          <w:p w14:paraId="5780A870"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7DCABE61"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0AB3C38C" w14:textId="77777777" w:rsidTr="00A9147C">
        <w:trPr>
          <w:trHeight w:val="520"/>
        </w:trPr>
        <w:tc>
          <w:tcPr>
            <w:tcW w:w="1699" w:type="dxa"/>
            <w:hideMark/>
          </w:tcPr>
          <w:p w14:paraId="3E76B8F9"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1.3. pašvaldību budžets, t.sk.,</w:t>
            </w:r>
          </w:p>
        </w:tc>
        <w:tc>
          <w:tcPr>
            <w:tcW w:w="1273" w:type="dxa"/>
          </w:tcPr>
          <w:p w14:paraId="6BA2EDD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851" w:type="dxa"/>
          </w:tcPr>
          <w:p w14:paraId="648B3296"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4B208A78"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993" w:type="dxa"/>
          </w:tcPr>
          <w:p w14:paraId="3A6CFF9A"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029680E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993" w:type="dxa"/>
          </w:tcPr>
          <w:p w14:paraId="62DBDC1B"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2797EEE0"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018F122A" w14:textId="77777777" w:rsidTr="00A9147C">
        <w:trPr>
          <w:trHeight w:val="520"/>
        </w:trPr>
        <w:tc>
          <w:tcPr>
            <w:tcW w:w="1699" w:type="dxa"/>
            <w:hideMark/>
          </w:tcPr>
          <w:p w14:paraId="2D617FDE"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2. Budžeta izdevumi</w:t>
            </w:r>
          </w:p>
        </w:tc>
        <w:tc>
          <w:tcPr>
            <w:tcW w:w="1273" w:type="dxa"/>
          </w:tcPr>
          <w:p w14:paraId="10732F5C"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851" w:type="dxa"/>
          </w:tcPr>
          <w:p w14:paraId="2DEC8961"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665F277A"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993" w:type="dxa"/>
          </w:tcPr>
          <w:p w14:paraId="6B7A59F8"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4FDA7973"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993" w:type="dxa"/>
          </w:tcPr>
          <w:p w14:paraId="0B722272"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34A037F2"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3D9390B6" w14:textId="77777777" w:rsidTr="00A9147C">
        <w:trPr>
          <w:trHeight w:val="520"/>
        </w:trPr>
        <w:tc>
          <w:tcPr>
            <w:tcW w:w="1699" w:type="dxa"/>
            <w:hideMark/>
          </w:tcPr>
          <w:p w14:paraId="68B8812A" w14:textId="77777777" w:rsidR="00604513" w:rsidRPr="006507C6" w:rsidRDefault="00604513" w:rsidP="00A9147C">
            <w:pPr>
              <w:rPr>
                <w:rFonts w:eastAsia="Times New Roman" w:cs="Times New Roman"/>
                <w:iCs/>
                <w:sz w:val="24"/>
                <w:szCs w:val="24"/>
                <w:lang w:eastAsia="lv-LV"/>
              </w:rPr>
            </w:pPr>
            <w:r w:rsidRPr="006507C6">
              <w:rPr>
                <w:rFonts w:eastAsia="Times New Roman" w:cs="Times New Roman"/>
                <w:iCs/>
                <w:sz w:val="24"/>
                <w:szCs w:val="24"/>
                <w:lang w:eastAsia="lv-LV"/>
              </w:rPr>
              <w:t>2.1. valsts pamatbudžets</w:t>
            </w:r>
          </w:p>
        </w:tc>
        <w:tc>
          <w:tcPr>
            <w:tcW w:w="1273" w:type="dxa"/>
          </w:tcPr>
          <w:p w14:paraId="09401309"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851" w:type="dxa"/>
          </w:tcPr>
          <w:p w14:paraId="7A26F8FD"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442AEF01"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3E1FE52F"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68A82486"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158E0A77"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008" w:type="dxa"/>
          </w:tcPr>
          <w:p w14:paraId="05342C49"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r>
      <w:tr w:rsidR="00604513" w:rsidRPr="005851C0" w14:paraId="7940EB47" w14:textId="77777777" w:rsidTr="00A9147C">
        <w:trPr>
          <w:trHeight w:val="520"/>
        </w:trPr>
        <w:tc>
          <w:tcPr>
            <w:tcW w:w="1699" w:type="dxa"/>
            <w:hideMark/>
          </w:tcPr>
          <w:p w14:paraId="612365B0" w14:textId="77777777" w:rsidR="00604513" w:rsidRPr="006507C6" w:rsidRDefault="00604513" w:rsidP="00A9147C">
            <w:pPr>
              <w:rPr>
                <w:rFonts w:eastAsia="Times New Roman" w:cs="Times New Roman"/>
                <w:iCs/>
                <w:sz w:val="24"/>
                <w:szCs w:val="24"/>
                <w:lang w:eastAsia="lv-LV"/>
              </w:rPr>
            </w:pPr>
            <w:r w:rsidRPr="006507C6">
              <w:rPr>
                <w:rFonts w:eastAsia="Times New Roman" w:cs="Times New Roman"/>
                <w:iCs/>
                <w:sz w:val="24"/>
                <w:szCs w:val="24"/>
                <w:lang w:eastAsia="lv-LV"/>
              </w:rPr>
              <w:t>2.2. valsts speciālais budžets</w:t>
            </w:r>
          </w:p>
        </w:tc>
        <w:tc>
          <w:tcPr>
            <w:tcW w:w="1273" w:type="dxa"/>
          </w:tcPr>
          <w:p w14:paraId="26010D65"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851" w:type="dxa"/>
          </w:tcPr>
          <w:p w14:paraId="116BAA38"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6A6DE79B"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155B072B"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602EB8A3"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7B6E3202"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008" w:type="dxa"/>
          </w:tcPr>
          <w:p w14:paraId="4D816D0A"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r>
      <w:tr w:rsidR="00604513" w:rsidRPr="005851C0" w14:paraId="4D723DF7" w14:textId="77777777" w:rsidTr="00A9147C">
        <w:trPr>
          <w:trHeight w:val="520"/>
        </w:trPr>
        <w:tc>
          <w:tcPr>
            <w:tcW w:w="1699" w:type="dxa"/>
            <w:hideMark/>
          </w:tcPr>
          <w:p w14:paraId="4A8EEA0B" w14:textId="77777777" w:rsidR="00604513" w:rsidRPr="006507C6" w:rsidRDefault="00604513" w:rsidP="00A9147C">
            <w:pPr>
              <w:rPr>
                <w:rFonts w:eastAsia="Times New Roman" w:cs="Times New Roman"/>
                <w:iCs/>
                <w:sz w:val="24"/>
                <w:szCs w:val="24"/>
                <w:lang w:eastAsia="lv-LV"/>
              </w:rPr>
            </w:pPr>
            <w:r w:rsidRPr="006507C6">
              <w:rPr>
                <w:rFonts w:eastAsia="Times New Roman" w:cs="Times New Roman"/>
                <w:iCs/>
                <w:sz w:val="24"/>
                <w:szCs w:val="24"/>
                <w:lang w:eastAsia="lv-LV"/>
              </w:rPr>
              <w:t>2.3. pašvaldību budžets</w:t>
            </w:r>
          </w:p>
        </w:tc>
        <w:tc>
          <w:tcPr>
            <w:tcW w:w="1273" w:type="dxa"/>
          </w:tcPr>
          <w:p w14:paraId="67B58D86"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851" w:type="dxa"/>
          </w:tcPr>
          <w:p w14:paraId="3B032C3D"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03C502D8"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380AD46A"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1283A5FA"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5F831586"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008" w:type="dxa"/>
          </w:tcPr>
          <w:p w14:paraId="42DDAE3D"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r>
      <w:tr w:rsidR="00604513" w:rsidRPr="002C0C45" w14:paraId="2AF5D3DA" w14:textId="77777777" w:rsidTr="00A9147C">
        <w:trPr>
          <w:trHeight w:val="520"/>
        </w:trPr>
        <w:tc>
          <w:tcPr>
            <w:tcW w:w="1699" w:type="dxa"/>
            <w:hideMark/>
          </w:tcPr>
          <w:p w14:paraId="32C00479" w14:textId="77777777" w:rsidR="00604513" w:rsidRPr="006507C6" w:rsidRDefault="00604513" w:rsidP="00A9147C">
            <w:pPr>
              <w:rPr>
                <w:rFonts w:eastAsia="Times New Roman" w:cs="Times New Roman"/>
                <w:iCs/>
                <w:sz w:val="24"/>
                <w:szCs w:val="24"/>
                <w:lang w:eastAsia="lv-LV"/>
              </w:rPr>
            </w:pPr>
            <w:r w:rsidRPr="006507C6">
              <w:rPr>
                <w:rFonts w:eastAsia="Times New Roman" w:cs="Times New Roman"/>
                <w:iCs/>
                <w:sz w:val="24"/>
                <w:szCs w:val="24"/>
                <w:lang w:eastAsia="lv-LV"/>
              </w:rPr>
              <w:t>3. Finansiālā ietekme</w:t>
            </w:r>
          </w:p>
        </w:tc>
        <w:tc>
          <w:tcPr>
            <w:tcW w:w="1273" w:type="dxa"/>
          </w:tcPr>
          <w:p w14:paraId="0B786456"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851" w:type="dxa"/>
          </w:tcPr>
          <w:p w14:paraId="24ADEA92"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3F0CA6C6"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6366DB8F"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+4 983 000</w:t>
            </w:r>
          </w:p>
        </w:tc>
        <w:tc>
          <w:tcPr>
            <w:tcW w:w="1275" w:type="dxa"/>
          </w:tcPr>
          <w:p w14:paraId="7C01F0C9"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717F482D" w14:textId="77777777" w:rsidR="00604513" w:rsidRPr="006507C6"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10</w:t>
            </w:r>
            <w:r>
              <w:rPr>
                <w:rFonts w:eastAsia="Times New Roman" w:cs="Times New Roman"/>
                <w:iCs/>
                <w:sz w:val="18"/>
                <w:szCs w:val="18"/>
                <w:lang w:eastAsia="lv-LV"/>
              </w:rPr>
              <w:t> </w:t>
            </w:r>
            <w:r w:rsidRPr="00321B7F">
              <w:rPr>
                <w:rFonts w:eastAsia="Times New Roman" w:cs="Times New Roman"/>
                <w:iCs/>
                <w:sz w:val="18"/>
                <w:szCs w:val="18"/>
                <w:lang w:eastAsia="lv-LV"/>
              </w:rPr>
              <w:t>687</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c>
          <w:tcPr>
            <w:tcW w:w="1008" w:type="dxa"/>
          </w:tcPr>
          <w:p w14:paraId="3B00DB9C" w14:textId="77777777" w:rsidR="00604513" w:rsidRPr="006507C6"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14</w:t>
            </w:r>
            <w:r>
              <w:rPr>
                <w:rFonts w:eastAsia="Times New Roman" w:cs="Times New Roman"/>
                <w:iCs/>
                <w:sz w:val="18"/>
                <w:szCs w:val="18"/>
                <w:lang w:eastAsia="lv-LV"/>
              </w:rPr>
              <w:t> </w:t>
            </w:r>
            <w:r w:rsidRPr="00321B7F">
              <w:rPr>
                <w:rFonts w:eastAsia="Times New Roman" w:cs="Times New Roman"/>
                <w:iCs/>
                <w:sz w:val="18"/>
                <w:szCs w:val="18"/>
                <w:lang w:eastAsia="lv-LV"/>
              </w:rPr>
              <w:t>304</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r>
      <w:tr w:rsidR="00604513" w:rsidRPr="002C0C45" w14:paraId="622A7B10" w14:textId="77777777" w:rsidTr="00A9147C">
        <w:trPr>
          <w:trHeight w:val="520"/>
        </w:trPr>
        <w:tc>
          <w:tcPr>
            <w:tcW w:w="1699" w:type="dxa"/>
            <w:hideMark/>
          </w:tcPr>
          <w:p w14:paraId="33CD266A" w14:textId="77777777" w:rsidR="00604513" w:rsidRPr="006507C6" w:rsidRDefault="00604513" w:rsidP="00A9147C">
            <w:pPr>
              <w:rPr>
                <w:rFonts w:eastAsia="Times New Roman" w:cs="Times New Roman"/>
                <w:iCs/>
                <w:sz w:val="24"/>
                <w:szCs w:val="24"/>
                <w:lang w:eastAsia="lv-LV"/>
              </w:rPr>
            </w:pPr>
            <w:r w:rsidRPr="006507C6">
              <w:rPr>
                <w:rFonts w:eastAsia="Times New Roman" w:cs="Times New Roman"/>
                <w:iCs/>
                <w:sz w:val="24"/>
                <w:szCs w:val="24"/>
                <w:lang w:eastAsia="lv-LV"/>
              </w:rPr>
              <w:t>3.1. valsts pamatbudžets</w:t>
            </w:r>
          </w:p>
        </w:tc>
        <w:tc>
          <w:tcPr>
            <w:tcW w:w="1273" w:type="dxa"/>
          </w:tcPr>
          <w:p w14:paraId="604790A4"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851" w:type="dxa"/>
          </w:tcPr>
          <w:p w14:paraId="3484BF24"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63A5A091" w14:textId="77777777" w:rsidR="00604513" w:rsidRPr="006507C6" w:rsidRDefault="00604513" w:rsidP="00A9147C">
            <w:pPr>
              <w:jc w:val="center"/>
              <w:rPr>
                <w:rFonts w:eastAsia="Times New Roman" w:cs="Times New Roman"/>
                <w:iCs/>
                <w:sz w:val="18"/>
                <w:szCs w:val="18"/>
                <w:lang w:eastAsia="lv-LV"/>
              </w:rPr>
            </w:pPr>
          </w:p>
        </w:tc>
        <w:tc>
          <w:tcPr>
            <w:tcW w:w="993" w:type="dxa"/>
          </w:tcPr>
          <w:p w14:paraId="640DC85E"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+4 983 000</w:t>
            </w:r>
          </w:p>
        </w:tc>
        <w:tc>
          <w:tcPr>
            <w:tcW w:w="1275" w:type="dxa"/>
          </w:tcPr>
          <w:p w14:paraId="7FCCBB5A"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6C3C598A" w14:textId="77777777" w:rsidR="00604513" w:rsidRPr="006507C6"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10</w:t>
            </w:r>
            <w:r>
              <w:rPr>
                <w:rFonts w:eastAsia="Times New Roman" w:cs="Times New Roman"/>
                <w:iCs/>
                <w:sz w:val="18"/>
                <w:szCs w:val="18"/>
                <w:lang w:eastAsia="lv-LV"/>
              </w:rPr>
              <w:t> </w:t>
            </w:r>
            <w:r w:rsidRPr="00321B7F">
              <w:rPr>
                <w:rFonts w:eastAsia="Times New Roman" w:cs="Times New Roman"/>
                <w:iCs/>
                <w:sz w:val="18"/>
                <w:szCs w:val="18"/>
                <w:lang w:eastAsia="lv-LV"/>
              </w:rPr>
              <w:t>687</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c>
          <w:tcPr>
            <w:tcW w:w="1008" w:type="dxa"/>
          </w:tcPr>
          <w:p w14:paraId="6243E80F" w14:textId="77777777" w:rsidR="00604513" w:rsidRPr="006507C6" w:rsidRDefault="00604513" w:rsidP="00A9147C">
            <w:pPr>
              <w:jc w:val="center"/>
              <w:rPr>
                <w:rFonts w:eastAsia="Times New Roman" w:cs="Times New Roman"/>
                <w:iCs/>
                <w:sz w:val="18"/>
                <w:szCs w:val="18"/>
                <w:lang w:eastAsia="lv-LV"/>
              </w:rPr>
            </w:pPr>
            <w:r>
              <w:rPr>
                <w:rFonts w:eastAsia="Times New Roman" w:cs="Times New Roman"/>
                <w:iCs/>
                <w:sz w:val="18"/>
                <w:szCs w:val="18"/>
                <w:lang w:eastAsia="lv-LV"/>
              </w:rPr>
              <w:t>+</w:t>
            </w:r>
            <w:r w:rsidRPr="00321B7F">
              <w:rPr>
                <w:rFonts w:eastAsia="Times New Roman" w:cs="Times New Roman"/>
                <w:iCs/>
                <w:sz w:val="18"/>
                <w:szCs w:val="18"/>
                <w:lang w:eastAsia="lv-LV"/>
              </w:rPr>
              <w:t>14</w:t>
            </w:r>
            <w:r>
              <w:rPr>
                <w:rFonts w:eastAsia="Times New Roman" w:cs="Times New Roman"/>
                <w:iCs/>
                <w:sz w:val="18"/>
                <w:szCs w:val="18"/>
                <w:lang w:eastAsia="lv-LV"/>
              </w:rPr>
              <w:t> </w:t>
            </w:r>
            <w:r w:rsidRPr="00321B7F">
              <w:rPr>
                <w:rFonts w:eastAsia="Times New Roman" w:cs="Times New Roman"/>
                <w:iCs/>
                <w:sz w:val="18"/>
                <w:szCs w:val="18"/>
                <w:lang w:eastAsia="lv-LV"/>
              </w:rPr>
              <w:t>304</w:t>
            </w:r>
            <w:r>
              <w:rPr>
                <w:rFonts w:eastAsia="Times New Roman" w:cs="Times New Roman"/>
                <w:iCs/>
                <w:sz w:val="18"/>
                <w:szCs w:val="18"/>
                <w:lang w:eastAsia="lv-LV"/>
              </w:rPr>
              <w:t> </w:t>
            </w:r>
            <w:r w:rsidRPr="00321B7F">
              <w:rPr>
                <w:rFonts w:eastAsia="Times New Roman" w:cs="Times New Roman"/>
                <w:iCs/>
                <w:sz w:val="18"/>
                <w:szCs w:val="18"/>
                <w:lang w:eastAsia="lv-LV"/>
              </w:rPr>
              <w:t>000</w:t>
            </w:r>
          </w:p>
        </w:tc>
      </w:tr>
      <w:tr w:rsidR="00604513" w:rsidRPr="005851C0" w14:paraId="1F89B0ED" w14:textId="77777777" w:rsidTr="00A9147C">
        <w:trPr>
          <w:trHeight w:val="505"/>
        </w:trPr>
        <w:tc>
          <w:tcPr>
            <w:tcW w:w="1699" w:type="dxa"/>
            <w:hideMark/>
          </w:tcPr>
          <w:p w14:paraId="12BFF912" w14:textId="77777777" w:rsidR="00604513" w:rsidRPr="006507C6" w:rsidRDefault="00604513" w:rsidP="00A9147C">
            <w:pPr>
              <w:rPr>
                <w:rFonts w:eastAsia="Times New Roman" w:cs="Times New Roman"/>
                <w:iCs/>
                <w:sz w:val="24"/>
                <w:szCs w:val="24"/>
                <w:lang w:eastAsia="lv-LV"/>
              </w:rPr>
            </w:pPr>
            <w:r w:rsidRPr="006507C6">
              <w:rPr>
                <w:rFonts w:eastAsia="Times New Roman" w:cs="Times New Roman"/>
                <w:iCs/>
                <w:sz w:val="24"/>
                <w:szCs w:val="24"/>
                <w:lang w:eastAsia="lv-LV"/>
              </w:rPr>
              <w:t>3.2. speciālais budžets</w:t>
            </w:r>
          </w:p>
        </w:tc>
        <w:tc>
          <w:tcPr>
            <w:tcW w:w="1273" w:type="dxa"/>
          </w:tcPr>
          <w:p w14:paraId="69C2DC5C"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851" w:type="dxa"/>
          </w:tcPr>
          <w:p w14:paraId="738CB7CB"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7873E90B"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11C04668"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1859BD8E"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45C9A5C9"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008" w:type="dxa"/>
          </w:tcPr>
          <w:p w14:paraId="63E9E882"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r>
      <w:tr w:rsidR="00604513" w:rsidRPr="005851C0" w14:paraId="0A45F600" w14:textId="77777777" w:rsidTr="00A9147C">
        <w:trPr>
          <w:trHeight w:val="520"/>
        </w:trPr>
        <w:tc>
          <w:tcPr>
            <w:tcW w:w="1699" w:type="dxa"/>
            <w:hideMark/>
          </w:tcPr>
          <w:p w14:paraId="00552495" w14:textId="77777777" w:rsidR="00604513" w:rsidRPr="006507C6" w:rsidRDefault="00604513" w:rsidP="00A9147C">
            <w:pPr>
              <w:rPr>
                <w:rFonts w:eastAsia="Times New Roman" w:cs="Times New Roman"/>
                <w:iCs/>
                <w:sz w:val="24"/>
                <w:szCs w:val="24"/>
                <w:lang w:eastAsia="lv-LV"/>
              </w:rPr>
            </w:pPr>
            <w:r w:rsidRPr="006507C6">
              <w:rPr>
                <w:rFonts w:eastAsia="Times New Roman" w:cs="Times New Roman"/>
                <w:iCs/>
                <w:sz w:val="24"/>
                <w:szCs w:val="24"/>
                <w:lang w:eastAsia="lv-LV"/>
              </w:rPr>
              <w:t>3.3. pašvaldību budžets</w:t>
            </w:r>
          </w:p>
        </w:tc>
        <w:tc>
          <w:tcPr>
            <w:tcW w:w="1273" w:type="dxa"/>
          </w:tcPr>
          <w:p w14:paraId="5D69093F"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851" w:type="dxa"/>
          </w:tcPr>
          <w:p w14:paraId="21949AAB"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5CFE5FBF"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25AC031F"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275" w:type="dxa"/>
          </w:tcPr>
          <w:p w14:paraId="530082D8"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993" w:type="dxa"/>
          </w:tcPr>
          <w:p w14:paraId="55A8765A"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c>
          <w:tcPr>
            <w:tcW w:w="1008" w:type="dxa"/>
          </w:tcPr>
          <w:p w14:paraId="3AD14B63" w14:textId="77777777" w:rsidR="00604513" w:rsidRPr="006507C6" w:rsidRDefault="00604513" w:rsidP="00A9147C">
            <w:pPr>
              <w:jc w:val="center"/>
              <w:rPr>
                <w:rFonts w:eastAsia="Times New Roman" w:cs="Times New Roman"/>
                <w:iCs/>
                <w:sz w:val="18"/>
                <w:szCs w:val="18"/>
                <w:lang w:eastAsia="lv-LV"/>
              </w:rPr>
            </w:pPr>
            <w:r w:rsidRPr="006507C6">
              <w:rPr>
                <w:rFonts w:eastAsia="Times New Roman" w:cs="Times New Roman"/>
                <w:iCs/>
                <w:sz w:val="18"/>
                <w:szCs w:val="18"/>
                <w:lang w:eastAsia="lv-LV"/>
              </w:rPr>
              <w:t>0</w:t>
            </w:r>
          </w:p>
        </w:tc>
      </w:tr>
      <w:tr w:rsidR="00604513" w:rsidRPr="005851C0" w14:paraId="541B56CA" w14:textId="77777777" w:rsidTr="00A9147C">
        <w:trPr>
          <w:trHeight w:val="520"/>
        </w:trPr>
        <w:tc>
          <w:tcPr>
            <w:tcW w:w="1699" w:type="dxa"/>
            <w:hideMark/>
          </w:tcPr>
          <w:p w14:paraId="38FB1A18"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4. Finanšu līdzekļi papildu izdevumu finansēšanai (kompensējošu izdevumu samazinājumu norāda ar "+" zīmi)</w:t>
            </w:r>
          </w:p>
        </w:tc>
        <w:tc>
          <w:tcPr>
            <w:tcW w:w="1273" w:type="dxa"/>
          </w:tcPr>
          <w:p w14:paraId="1424D81F"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X</w:t>
            </w:r>
          </w:p>
        </w:tc>
        <w:tc>
          <w:tcPr>
            <w:tcW w:w="851" w:type="dxa"/>
          </w:tcPr>
          <w:p w14:paraId="6483E916"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3391EA4D"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X</w:t>
            </w:r>
          </w:p>
        </w:tc>
        <w:tc>
          <w:tcPr>
            <w:tcW w:w="993" w:type="dxa"/>
          </w:tcPr>
          <w:p w14:paraId="7FD668BB"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tcPr>
          <w:p w14:paraId="5F7CC930"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X</w:t>
            </w:r>
          </w:p>
        </w:tc>
        <w:tc>
          <w:tcPr>
            <w:tcW w:w="993" w:type="dxa"/>
          </w:tcPr>
          <w:p w14:paraId="513F2EFF"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7FFAD070"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695EA47D" w14:textId="77777777" w:rsidTr="00A9147C">
        <w:trPr>
          <w:trHeight w:val="520"/>
        </w:trPr>
        <w:tc>
          <w:tcPr>
            <w:tcW w:w="1699" w:type="dxa"/>
            <w:hideMark/>
          </w:tcPr>
          <w:p w14:paraId="37DD7832"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5. Precizēta finansiālā ietekme</w:t>
            </w:r>
          </w:p>
        </w:tc>
        <w:tc>
          <w:tcPr>
            <w:tcW w:w="1273" w:type="dxa"/>
            <w:vMerge w:val="restart"/>
          </w:tcPr>
          <w:p w14:paraId="4658F6D2"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X</w:t>
            </w:r>
          </w:p>
        </w:tc>
        <w:tc>
          <w:tcPr>
            <w:tcW w:w="851" w:type="dxa"/>
          </w:tcPr>
          <w:p w14:paraId="5E01BC44"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val="restart"/>
          </w:tcPr>
          <w:p w14:paraId="03A05EB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X</w:t>
            </w:r>
          </w:p>
        </w:tc>
        <w:tc>
          <w:tcPr>
            <w:tcW w:w="993" w:type="dxa"/>
          </w:tcPr>
          <w:p w14:paraId="3A5E3612"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val="restart"/>
          </w:tcPr>
          <w:p w14:paraId="4B4D3518"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X</w:t>
            </w:r>
          </w:p>
        </w:tc>
        <w:tc>
          <w:tcPr>
            <w:tcW w:w="993" w:type="dxa"/>
          </w:tcPr>
          <w:p w14:paraId="6BFAAA6A"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0A689667"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1B095AAD" w14:textId="77777777" w:rsidTr="00A9147C">
        <w:trPr>
          <w:trHeight w:val="520"/>
        </w:trPr>
        <w:tc>
          <w:tcPr>
            <w:tcW w:w="1699" w:type="dxa"/>
            <w:hideMark/>
          </w:tcPr>
          <w:p w14:paraId="6ED93CA7"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5.1. valsts pamatbudžets</w:t>
            </w:r>
          </w:p>
        </w:tc>
        <w:tc>
          <w:tcPr>
            <w:tcW w:w="1273" w:type="dxa"/>
            <w:vMerge/>
          </w:tcPr>
          <w:p w14:paraId="1EF8CC6E" w14:textId="77777777" w:rsidR="00604513" w:rsidRPr="00A32BDC" w:rsidRDefault="00604513" w:rsidP="00A9147C">
            <w:pPr>
              <w:jc w:val="center"/>
              <w:rPr>
                <w:rFonts w:eastAsia="Times New Roman" w:cs="Times New Roman"/>
                <w:iCs/>
                <w:sz w:val="18"/>
                <w:szCs w:val="18"/>
                <w:lang w:eastAsia="lv-LV"/>
              </w:rPr>
            </w:pPr>
          </w:p>
        </w:tc>
        <w:tc>
          <w:tcPr>
            <w:tcW w:w="851" w:type="dxa"/>
          </w:tcPr>
          <w:p w14:paraId="49C751E1"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tcPr>
          <w:p w14:paraId="7E9D0E3C" w14:textId="77777777" w:rsidR="00604513" w:rsidRPr="00A32BDC" w:rsidRDefault="00604513" w:rsidP="00A9147C">
            <w:pPr>
              <w:jc w:val="center"/>
              <w:rPr>
                <w:rFonts w:eastAsia="Times New Roman" w:cs="Times New Roman"/>
                <w:iCs/>
                <w:sz w:val="18"/>
                <w:szCs w:val="18"/>
                <w:lang w:eastAsia="lv-LV"/>
              </w:rPr>
            </w:pPr>
          </w:p>
        </w:tc>
        <w:tc>
          <w:tcPr>
            <w:tcW w:w="993" w:type="dxa"/>
          </w:tcPr>
          <w:p w14:paraId="6A380A68"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tcPr>
          <w:p w14:paraId="02F4264E" w14:textId="77777777" w:rsidR="00604513" w:rsidRPr="00A32BDC" w:rsidRDefault="00604513" w:rsidP="00A9147C">
            <w:pPr>
              <w:jc w:val="center"/>
              <w:rPr>
                <w:rFonts w:eastAsia="Times New Roman" w:cs="Times New Roman"/>
                <w:iCs/>
                <w:sz w:val="18"/>
                <w:szCs w:val="18"/>
                <w:lang w:eastAsia="lv-LV"/>
              </w:rPr>
            </w:pPr>
          </w:p>
        </w:tc>
        <w:tc>
          <w:tcPr>
            <w:tcW w:w="993" w:type="dxa"/>
          </w:tcPr>
          <w:p w14:paraId="6B6E2EBD"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7D03EF89"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557A8F0F" w14:textId="77777777" w:rsidTr="00A9147C">
        <w:trPr>
          <w:trHeight w:val="520"/>
        </w:trPr>
        <w:tc>
          <w:tcPr>
            <w:tcW w:w="1699" w:type="dxa"/>
            <w:hideMark/>
          </w:tcPr>
          <w:p w14:paraId="50E854B8"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lastRenderedPageBreak/>
              <w:t>5.2. speciālais budžets</w:t>
            </w:r>
          </w:p>
        </w:tc>
        <w:tc>
          <w:tcPr>
            <w:tcW w:w="1273" w:type="dxa"/>
            <w:vMerge/>
          </w:tcPr>
          <w:p w14:paraId="7C0707AF" w14:textId="77777777" w:rsidR="00604513" w:rsidRPr="00A32BDC" w:rsidRDefault="00604513" w:rsidP="00A9147C">
            <w:pPr>
              <w:jc w:val="center"/>
              <w:rPr>
                <w:rFonts w:eastAsia="Times New Roman" w:cs="Times New Roman"/>
                <w:iCs/>
                <w:sz w:val="18"/>
                <w:szCs w:val="18"/>
                <w:lang w:eastAsia="lv-LV"/>
              </w:rPr>
            </w:pPr>
          </w:p>
        </w:tc>
        <w:tc>
          <w:tcPr>
            <w:tcW w:w="851" w:type="dxa"/>
          </w:tcPr>
          <w:p w14:paraId="34BEB38B"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tcPr>
          <w:p w14:paraId="12FAB5CA" w14:textId="77777777" w:rsidR="00604513" w:rsidRPr="00A32BDC" w:rsidRDefault="00604513" w:rsidP="00A9147C">
            <w:pPr>
              <w:jc w:val="center"/>
              <w:rPr>
                <w:rFonts w:eastAsia="Times New Roman" w:cs="Times New Roman"/>
                <w:iCs/>
                <w:sz w:val="18"/>
                <w:szCs w:val="18"/>
                <w:lang w:eastAsia="lv-LV"/>
              </w:rPr>
            </w:pPr>
          </w:p>
        </w:tc>
        <w:tc>
          <w:tcPr>
            <w:tcW w:w="993" w:type="dxa"/>
          </w:tcPr>
          <w:p w14:paraId="371CB524"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tcPr>
          <w:p w14:paraId="635DE6BD" w14:textId="77777777" w:rsidR="00604513" w:rsidRPr="00A32BDC" w:rsidRDefault="00604513" w:rsidP="00A9147C">
            <w:pPr>
              <w:jc w:val="center"/>
              <w:rPr>
                <w:rFonts w:eastAsia="Times New Roman" w:cs="Times New Roman"/>
                <w:iCs/>
                <w:sz w:val="18"/>
                <w:szCs w:val="18"/>
                <w:lang w:eastAsia="lv-LV"/>
              </w:rPr>
            </w:pPr>
          </w:p>
        </w:tc>
        <w:tc>
          <w:tcPr>
            <w:tcW w:w="993" w:type="dxa"/>
          </w:tcPr>
          <w:p w14:paraId="2469D780"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0B7D0020"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5EEC0FE8" w14:textId="77777777" w:rsidTr="00A9147C">
        <w:trPr>
          <w:trHeight w:val="520"/>
        </w:trPr>
        <w:tc>
          <w:tcPr>
            <w:tcW w:w="1699" w:type="dxa"/>
            <w:hideMark/>
          </w:tcPr>
          <w:p w14:paraId="59CF1E92"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5.3. pašvaldību budžets</w:t>
            </w:r>
          </w:p>
        </w:tc>
        <w:tc>
          <w:tcPr>
            <w:tcW w:w="1273" w:type="dxa"/>
            <w:vMerge/>
          </w:tcPr>
          <w:p w14:paraId="79D4A4FF" w14:textId="77777777" w:rsidR="00604513" w:rsidRPr="00A32BDC" w:rsidRDefault="00604513" w:rsidP="00A9147C">
            <w:pPr>
              <w:jc w:val="center"/>
              <w:rPr>
                <w:rFonts w:eastAsia="Times New Roman" w:cs="Times New Roman"/>
                <w:iCs/>
                <w:sz w:val="18"/>
                <w:szCs w:val="18"/>
                <w:lang w:eastAsia="lv-LV"/>
              </w:rPr>
            </w:pPr>
          </w:p>
        </w:tc>
        <w:tc>
          <w:tcPr>
            <w:tcW w:w="851" w:type="dxa"/>
          </w:tcPr>
          <w:p w14:paraId="6DCAC24B"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tcPr>
          <w:p w14:paraId="168CBA99" w14:textId="77777777" w:rsidR="00604513" w:rsidRPr="00A32BDC" w:rsidRDefault="00604513" w:rsidP="00A9147C">
            <w:pPr>
              <w:jc w:val="center"/>
              <w:rPr>
                <w:rFonts w:eastAsia="Times New Roman" w:cs="Times New Roman"/>
                <w:iCs/>
                <w:sz w:val="18"/>
                <w:szCs w:val="18"/>
                <w:lang w:eastAsia="lv-LV"/>
              </w:rPr>
            </w:pPr>
          </w:p>
        </w:tc>
        <w:tc>
          <w:tcPr>
            <w:tcW w:w="993" w:type="dxa"/>
          </w:tcPr>
          <w:p w14:paraId="2FDF4318"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275" w:type="dxa"/>
            <w:vMerge/>
          </w:tcPr>
          <w:p w14:paraId="231DBC73" w14:textId="77777777" w:rsidR="00604513" w:rsidRPr="00A32BDC" w:rsidRDefault="00604513" w:rsidP="00A9147C">
            <w:pPr>
              <w:jc w:val="center"/>
              <w:rPr>
                <w:rFonts w:eastAsia="Times New Roman" w:cs="Times New Roman"/>
                <w:iCs/>
                <w:sz w:val="18"/>
                <w:szCs w:val="18"/>
                <w:lang w:eastAsia="lv-LV"/>
              </w:rPr>
            </w:pPr>
          </w:p>
        </w:tc>
        <w:tc>
          <w:tcPr>
            <w:tcW w:w="993" w:type="dxa"/>
          </w:tcPr>
          <w:p w14:paraId="46D33B41"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c>
          <w:tcPr>
            <w:tcW w:w="1008" w:type="dxa"/>
          </w:tcPr>
          <w:p w14:paraId="3094FE49" w14:textId="77777777" w:rsidR="00604513" w:rsidRPr="00A32BDC" w:rsidRDefault="00604513" w:rsidP="00A9147C">
            <w:pPr>
              <w:jc w:val="center"/>
              <w:rPr>
                <w:rFonts w:eastAsia="Times New Roman" w:cs="Times New Roman"/>
                <w:iCs/>
                <w:sz w:val="18"/>
                <w:szCs w:val="18"/>
                <w:lang w:eastAsia="lv-LV"/>
              </w:rPr>
            </w:pPr>
            <w:r w:rsidRPr="00A32BDC">
              <w:rPr>
                <w:rFonts w:eastAsia="Times New Roman" w:cs="Times New Roman"/>
                <w:iCs/>
                <w:sz w:val="18"/>
                <w:szCs w:val="18"/>
                <w:lang w:eastAsia="lv-LV"/>
              </w:rPr>
              <w:t>0</w:t>
            </w:r>
          </w:p>
        </w:tc>
      </w:tr>
      <w:tr w:rsidR="00604513" w:rsidRPr="005851C0" w14:paraId="03E65374" w14:textId="77777777" w:rsidTr="00A9147C">
        <w:trPr>
          <w:trHeight w:val="2720"/>
        </w:trPr>
        <w:tc>
          <w:tcPr>
            <w:tcW w:w="1699" w:type="dxa"/>
            <w:hideMark/>
          </w:tcPr>
          <w:p w14:paraId="212B2BDF"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7668" w:type="dxa"/>
            <w:gridSpan w:val="7"/>
            <w:vMerge w:val="restart"/>
          </w:tcPr>
          <w:p w14:paraId="103ED5C4" w14:textId="77777777" w:rsidR="00604513" w:rsidRPr="00770D12" w:rsidRDefault="00604513" w:rsidP="004B105E">
            <w:pPr>
              <w:shd w:val="clear" w:color="auto" w:fill="FFFFFF"/>
              <w:jc w:val="both"/>
              <w:rPr>
                <w:rFonts w:eastAsia="Times New Roman" w:cs="Times New Roman"/>
                <w:color w:val="000000"/>
                <w:sz w:val="24"/>
                <w:szCs w:val="24"/>
                <w:u w:val="single"/>
                <w:lang w:eastAsia="lv-LV"/>
              </w:rPr>
            </w:pPr>
            <w:r w:rsidRPr="00770D12">
              <w:rPr>
                <w:rFonts w:eastAsia="Times New Roman" w:cs="Times New Roman"/>
                <w:color w:val="000000"/>
                <w:sz w:val="24"/>
                <w:szCs w:val="24"/>
                <w:u w:val="single"/>
                <w:lang w:eastAsia="lv-LV"/>
              </w:rPr>
              <w:t xml:space="preserve">1. Akcīzes nodokļa paaugstināšana </w:t>
            </w:r>
            <w:r w:rsidRPr="00770D12">
              <w:rPr>
                <w:rFonts w:eastAsia="Times New Roman" w:cs="Times New Roman"/>
                <w:b/>
                <w:color w:val="000000"/>
                <w:sz w:val="24"/>
                <w:szCs w:val="24"/>
                <w:u w:val="single"/>
                <w:lang w:eastAsia="lv-LV"/>
              </w:rPr>
              <w:t>cigaretēm</w:t>
            </w:r>
            <w:r w:rsidRPr="00770D12">
              <w:rPr>
                <w:rFonts w:eastAsia="Times New Roman" w:cs="Times New Roman"/>
                <w:color w:val="000000"/>
                <w:sz w:val="24"/>
                <w:szCs w:val="24"/>
                <w:u w:val="single"/>
                <w:lang w:eastAsia="lv-LV"/>
              </w:rPr>
              <w:t xml:space="preserve"> par 5% ar </w:t>
            </w:r>
            <w:proofErr w:type="gramStart"/>
            <w:r w:rsidRPr="00770D12">
              <w:rPr>
                <w:rFonts w:eastAsia="Times New Roman" w:cs="Times New Roman"/>
                <w:color w:val="000000"/>
                <w:sz w:val="24"/>
                <w:szCs w:val="24"/>
                <w:u w:val="single"/>
                <w:lang w:eastAsia="lv-LV"/>
              </w:rPr>
              <w:t>2021.gada</w:t>
            </w:r>
            <w:proofErr w:type="gramEnd"/>
            <w:r w:rsidRPr="00770D12">
              <w:rPr>
                <w:rFonts w:eastAsia="Times New Roman" w:cs="Times New Roman"/>
                <w:color w:val="000000"/>
                <w:sz w:val="24"/>
                <w:szCs w:val="24"/>
                <w:u w:val="single"/>
                <w:lang w:eastAsia="lv-LV"/>
              </w:rPr>
              <w:t xml:space="preserve"> 1.martu, 2022.gada 1.janvāri un 2023.gada 1.janvāri.</w:t>
            </w:r>
          </w:p>
          <w:p w14:paraId="559B8C2E"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Saskaņā ar Valsts ieņēmumu dienesta sniegto informāciju </w:t>
            </w:r>
            <w:proofErr w:type="gramStart"/>
            <w:r w:rsidRPr="00770D12">
              <w:rPr>
                <w:rFonts w:eastAsia="Times New Roman" w:cs="Times New Roman"/>
                <w:color w:val="000000"/>
                <w:sz w:val="24"/>
                <w:szCs w:val="24"/>
                <w:lang w:eastAsia="lv-LV"/>
              </w:rPr>
              <w:t>2019.gada</w:t>
            </w:r>
            <w:proofErr w:type="gramEnd"/>
            <w:r w:rsidRPr="00770D12">
              <w:rPr>
                <w:rFonts w:eastAsia="Times New Roman" w:cs="Times New Roman"/>
                <w:color w:val="000000"/>
                <w:sz w:val="24"/>
                <w:szCs w:val="24"/>
                <w:lang w:eastAsia="lv-LV"/>
              </w:rPr>
              <w:t xml:space="preserve"> pārskata periodā</w:t>
            </w:r>
            <w:r>
              <w:rPr>
                <w:rFonts w:eastAsia="Times New Roman" w:cs="Times New Roman"/>
                <w:color w:val="000000"/>
                <w:sz w:val="24"/>
                <w:szCs w:val="24"/>
                <w:lang w:eastAsia="lv-LV"/>
              </w:rPr>
              <w:t xml:space="preserve"> (šeit un turpmāk –  2019.gada 11 mēnešos un 2018.gada decembrī) </w:t>
            </w:r>
            <w:r w:rsidRPr="00770D12">
              <w:rPr>
                <w:rFonts w:eastAsia="Times New Roman" w:cs="Times New Roman"/>
                <w:color w:val="000000"/>
                <w:sz w:val="24"/>
                <w:szCs w:val="24"/>
                <w:lang w:eastAsia="lv-LV"/>
              </w:rPr>
              <w:t xml:space="preserve">salīdzinājumā ar 2018.gada </w:t>
            </w:r>
            <w:r>
              <w:rPr>
                <w:rFonts w:eastAsia="Times New Roman" w:cs="Times New Roman"/>
                <w:color w:val="000000"/>
                <w:sz w:val="24"/>
                <w:szCs w:val="24"/>
                <w:lang w:eastAsia="lv-LV"/>
              </w:rPr>
              <w:t xml:space="preserve">atbilstošo </w:t>
            </w:r>
            <w:r w:rsidRPr="00770D12">
              <w:rPr>
                <w:rFonts w:eastAsia="Times New Roman" w:cs="Times New Roman"/>
                <w:color w:val="000000"/>
                <w:sz w:val="24"/>
                <w:szCs w:val="24"/>
                <w:lang w:eastAsia="lv-LV"/>
              </w:rPr>
              <w:t>pārskata periodu cigarešu patēr</w:t>
            </w:r>
            <w:r>
              <w:rPr>
                <w:rFonts w:eastAsia="Times New Roman" w:cs="Times New Roman"/>
                <w:color w:val="000000"/>
                <w:sz w:val="24"/>
                <w:szCs w:val="24"/>
                <w:lang w:eastAsia="lv-LV"/>
              </w:rPr>
              <w:t>iņš Latvijā samazinājās par 0,5%</w:t>
            </w:r>
            <w:r w:rsidRPr="00770D12">
              <w:rPr>
                <w:rFonts w:eastAsia="Times New Roman" w:cs="Times New Roman"/>
                <w:color w:val="000000"/>
                <w:sz w:val="24"/>
                <w:szCs w:val="24"/>
                <w:lang w:eastAsia="lv-LV"/>
              </w:rPr>
              <w:t xml:space="preserve">. Savukārt </w:t>
            </w:r>
            <w:proofErr w:type="gramStart"/>
            <w:r w:rsidRPr="00770D12">
              <w:rPr>
                <w:rFonts w:eastAsia="Times New Roman" w:cs="Times New Roman"/>
                <w:color w:val="000000"/>
                <w:sz w:val="24"/>
                <w:szCs w:val="24"/>
                <w:lang w:eastAsia="lv-LV"/>
              </w:rPr>
              <w:t>2020.gada</w:t>
            </w:r>
            <w:proofErr w:type="gramEnd"/>
            <w:r w:rsidRPr="00770D12">
              <w:rPr>
                <w:rFonts w:eastAsia="Times New Roman" w:cs="Times New Roman"/>
                <w:color w:val="000000"/>
                <w:sz w:val="24"/>
                <w:szCs w:val="24"/>
                <w:lang w:eastAsia="lv-LV"/>
              </w:rPr>
              <w:t xml:space="preserve"> septiņos mēnešos (2019.gada decembrī un 2020.gada sešos mēnešos) salīdzinājumā ar iepriekšējā gada </w:t>
            </w:r>
            <w:r>
              <w:rPr>
                <w:rFonts w:eastAsia="Times New Roman" w:cs="Times New Roman"/>
                <w:color w:val="000000"/>
                <w:sz w:val="24"/>
                <w:szCs w:val="24"/>
                <w:lang w:eastAsia="lv-LV"/>
              </w:rPr>
              <w:t>atbilstošo</w:t>
            </w:r>
            <w:r w:rsidRPr="00770D12">
              <w:rPr>
                <w:rFonts w:eastAsia="Times New Roman" w:cs="Times New Roman"/>
                <w:color w:val="000000"/>
                <w:sz w:val="24"/>
                <w:szCs w:val="24"/>
                <w:lang w:eastAsia="lv-LV"/>
              </w:rPr>
              <w:t xml:space="preserve"> pārskata periodu cigarešu patēriņš samazinājās par 8,6%. Straujo patēriņa samazinājumu ietekmēja valstī noteiktie </w:t>
            </w:r>
            <w:proofErr w:type="spellStart"/>
            <w:r w:rsidRPr="00770D12">
              <w:rPr>
                <w:rFonts w:eastAsia="Times New Roman" w:cs="Times New Roman"/>
                <w:color w:val="000000"/>
                <w:sz w:val="24"/>
                <w:szCs w:val="24"/>
                <w:lang w:eastAsia="lv-LV"/>
              </w:rPr>
              <w:t>Covid-19</w:t>
            </w:r>
            <w:proofErr w:type="spellEnd"/>
            <w:r w:rsidRPr="00770D12">
              <w:rPr>
                <w:rFonts w:eastAsia="Times New Roman" w:cs="Times New Roman"/>
                <w:color w:val="000000"/>
                <w:sz w:val="24"/>
                <w:szCs w:val="24"/>
                <w:lang w:eastAsia="lv-LV"/>
              </w:rPr>
              <w:t xml:space="preserve"> izplatības ierobežošanas pasākumi, tajā skaitā pilnīga tirdzniecības pārtraukšana Latvijas-Igaunijas pierobežā. </w:t>
            </w:r>
            <w:r w:rsidRPr="00B26E7F">
              <w:rPr>
                <w:rFonts w:eastAsia="Times New Roman" w:cs="Times New Roman"/>
                <w:color w:val="000000"/>
                <w:sz w:val="24"/>
                <w:szCs w:val="24"/>
                <w:lang w:eastAsia="lv-LV"/>
              </w:rPr>
              <w:t>Patēriņa samazinājumu ietekmē arī smēķētāju skaita samazinājums un smēķētāju izvēle par labu citiem tabakas izstrādājumiem</w:t>
            </w:r>
            <w:r>
              <w:rPr>
                <w:rFonts w:eastAsia="Times New Roman" w:cs="Times New Roman"/>
                <w:color w:val="000000"/>
                <w:sz w:val="24"/>
                <w:szCs w:val="24"/>
                <w:lang w:eastAsia="lv-LV"/>
              </w:rPr>
              <w:t>, kam ir zemāka akcīzes nodokļa likme</w:t>
            </w:r>
            <w:r w:rsidRPr="00B26E7F">
              <w:rPr>
                <w:rFonts w:eastAsia="Times New Roman" w:cs="Times New Roman"/>
                <w:color w:val="000000"/>
                <w:sz w:val="24"/>
                <w:szCs w:val="24"/>
                <w:lang w:eastAsia="lv-LV"/>
              </w:rPr>
              <w:t>.</w:t>
            </w:r>
            <w:r>
              <w:rPr>
                <w:rFonts w:eastAsia="Times New Roman" w:cs="Times New Roman"/>
                <w:color w:val="000000"/>
                <w:sz w:val="24"/>
                <w:szCs w:val="24"/>
                <w:lang w:eastAsia="lv-LV"/>
              </w:rPr>
              <w:t xml:space="preserve"> </w:t>
            </w:r>
            <w:r w:rsidRPr="00770D12">
              <w:rPr>
                <w:rFonts w:eastAsia="Times New Roman" w:cs="Times New Roman"/>
                <w:color w:val="000000"/>
                <w:sz w:val="24"/>
                <w:szCs w:val="24"/>
                <w:lang w:eastAsia="lv-LV"/>
              </w:rPr>
              <w:t xml:space="preserve">Prognozēts, ka </w:t>
            </w:r>
            <w:proofErr w:type="gramStart"/>
            <w:r w:rsidRPr="00770D12">
              <w:rPr>
                <w:rFonts w:eastAsia="Times New Roman" w:cs="Times New Roman"/>
                <w:color w:val="000000"/>
                <w:sz w:val="24"/>
                <w:szCs w:val="24"/>
                <w:lang w:eastAsia="lv-LV"/>
              </w:rPr>
              <w:t>2020.gada</w:t>
            </w:r>
            <w:proofErr w:type="gramEnd"/>
            <w:r w:rsidRPr="00770D12">
              <w:rPr>
                <w:rFonts w:eastAsia="Times New Roman" w:cs="Times New Roman"/>
                <w:color w:val="000000"/>
                <w:sz w:val="24"/>
                <w:szCs w:val="24"/>
                <w:lang w:eastAsia="lv-LV"/>
              </w:rPr>
              <w:t xml:space="preserve"> otrajā pusē patēriņa dinamika uzlabosies un turpmākajos gados </w:t>
            </w:r>
            <w:r>
              <w:rPr>
                <w:rFonts w:eastAsia="Times New Roman" w:cs="Times New Roman"/>
                <w:color w:val="000000"/>
                <w:sz w:val="24"/>
                <w:szCs w:val="24"/>
                <w:lang w:eastAsia="lv-LV"/>
              </w:rPr>
              <w:t xml:space="preserve">būs </w:t>
            </w:r>
            <w:r w:rsidRPr="00770D12">
              <w:rPr>
                <w:rFonts w:eastAsia="Times New Roman" w:cs="Times New Roman"/>
                <w:color w:val="000000"/>
                <w:sz w:val="24"/>
                <w:szCs w:val="24"/>
                <w:lang w:eastAsia="lv-LV"/>
              </w:rPr>
              <w:t xml:space="preserve">neliels patēriņa pieaugums. </w:t>
            </w:r>
          </w:p>
          <w:p w14:paraId="4B5DA198"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Akcīzes nodokļa likmes paaugstināšanas rezultātā vienas paciņas mazumtirdzniecības cenas nodokļu daļas (šeit un turpmāk – akcīzes nodoklis un tam piemērojamā pievienotās vērtības nodokļa daļa) pieaugums atkarīgs no paciņas mazumtirdzniecības cenas un atspoguļots tabulā:</w:t>
            </w:r>
          </w:p>
          <w:tbl>
            <w:tblPr>
              <w:tblStyle w:val="TableGrid"/>
              <w:tblW w:w="7576" w:type="dxa"/>
              <w:tblLayout w:type="fixed"/>
              <w:tblLook w:val="04A0" w:firstRow="1" w:lastRow="0" w:firstColumn="1" w:lastColumn="0" w:noHBand="0" w:noVBand="1"/>
            </w:tblPr>
            <w:tblGrid>
              <w:gridCol w:w="1891"/>
              <w:gridCol w:w="1895"/>
              <w:gridCol w:w="1895"/>
              <w:gridCol w:w="1895"/>
            </w:tblGrid>
            <w:tr w:rsidR="00604513" w:rsidRPr="00770D12" w14:paraId="4EE626BF" w14:textId="77777777" w:rsidTr="00A9147C">
              <w:tc>
                <w:tcPr>
                  <w:tcW w:w="1891" w:type="dxa"/>
                </w:tcPr>
                <w:p w14:paraId="620D18BC" w14:textId="77777777" w:rsidR="00604513" w:rsidRPr="00770D12" w:rsidRDefault="00604513" w:rsidP="00A9147C">
                  <w:pPr>
                    <w:spacing w:line="276" w:lineRule="auto"/>
                    <w:jc w:val="both"/>
                    <w:rPr>
                      <w:rFonts w:eastAsia="Times New Roman" w:cs="Times New Roman"/>
                      <w:color w:val="000000"/>
                      <w:sz w:val="22"/>
                      <w:szCs w:val="24"/>
                      <w:lang w:eastAsia="lv-LV"/>
                    </w:rPr>
                  </w:pPr>
                  <w:r w:rsidRPr="00770D12">
                    <w:rPr>
                      <w:rFonts w:eastAsia="Times New Roman" w:cs="Times New Roman"/>
                      <w:color w:val="000000"/>
                      <w:sz w:val="22"/>
                      <w:szCs w:val="24"/>
                      <w:lang w:eastAsia="lv-LV"/>
                    </w:rPr>
                    <w:t xml:space="preserve"> </w:t>
                  </w:r>
                </w:p>
              </w:tc>
              <w:tc>
                <w:tcPr>
                  <w:tcW w:w="1895" w:type="dxa"/>
                </w:tcPr>
                <w:p w14:paraId="2B7AE04E"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01.03.2021.</w:t>
                  </w:r>
                </w:p>
              </w:tc>
              <w:tc>
                <w:tcPr>
                  <w:tcW w:w="1895" w:type="dxa"/>
                </w:tcPr>
                <w:p w14:paraId="23FBDB6B"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01.01.2022.</w:t>
                  </w:r>
                </w:p>
              </w:tc>
              <w:tc>
                <w:tcPr>
                  <w:tcW w:w="1895" w:type="dxa"/>
                </w:tcPr>
                <w:p w14:paraId="101D4B80"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01.01.2023.</w:t>
                  </w:r>
                </w:p>
              </w:tc>
            </w:tr>
            <w:tr w:rsidR="00604513" w:rsidRPr="00770D12" w14:paraId="6FDB0806" w14:textId="77777777" w:rsidTr="00A9147C">
              <w:trPr>
                <w:trHeight w:val="277"/>
              </w:trPr>
              <w:tc>
                <w:tcPr>
                  <w:tcW w:w="1891" w:type="dxa"/>
                </w:tcPr>
                <w:p w14:paraId="6E693E88" w14:textId="77777777" w:rsidR="00604513" w:rsidRPr="00770D12" w:rsidRDefault="00604513" w:rsidP="00A9147C">
                  <w:pPr>
                    <w:spacing w:line="276" w:lineRule="auto"/>
                    <w:jc w:val="both"/>
                    <w:rPr>
                      <w:rFonts w:eastAsia="Times New Roman" w:cs="Times New Roman"/>
                      <w:color w:val="000000"/>
                      <w:sz w:val="22"/>
                      <w:szCs w:val="24"/>
                      <w:lang w:eastAsia="lv-LV"/>
                    </w:rPr>
                  </w:pPr>
                  <w:r w:rsidRPr="00770D12">
                    <w:rPr>
                      <w:rFonts w:eastAsia="Times New Roman" w:cs="Times New Roman"/>
                      <w:color w:val="000000"/>
                      <w:sz w:val="22"/>
                      <w:szCs w:val="24"/>
                      <w:lang w:eastAsia="lv-LV"/>
                    </w:rPr>
                    <w:t xml:space="preserve">Pieaugums, </w:t>
                  </w:r>
                  <w:proofErr w:type="spellStart"/>
                  <w:r w:rsidRPr="00770D12">
                    <w:rPr>
                      <w:rFonts w:eastAsia="Times New Roman" w:cs="Times New Roman"/>
                      <w:i/>
                      <w:color w:val="000000"/>
                      <w:sz w:val="22"/>
                      <w:szCs w:val="24"/>
                      <w:lang w:eastAsia="lv-LV"/>
                    </w:rPr>
                    <w:t>euro</w:t>
                  </w:r>
                  <w:proofErr w:type="spellEnd"/>
                </w:p>
              </w:tc>
              <w:tc>
                <w:tcPr>
                  <w:tcW w:w="1895" w:type="dxa"/>
                </w:tcPr>
                <w:p w14:paraId="5690DCBE"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~0,12 –</w:t>
                  </w:r>
                  <w:proofErr w:type="gramStart"/>
                  <w:r w:rsidRPr="00770D12">
                    <w:rPr>
                      <w:rFonts w:eastAsia="Times New Roman" w:cs="Times New Roman"/>
                      <w:color w:val="000000"/>
                      <w:sz w:val="22"/>
                      <w:szCs w:val="24"/>
                      <w:lang w:eastAsia="lv-LV"/>
                    </w:rPr>
                    <w:t xml:space="preserve">  </w:t>
                  </w:r>
                  <w:proofErr w:type="gramEnd"/>
                  <w:r w:rsidRPr="00770D12">
                    <w:rPr>
                      <w:rFonts w:eastAsia="Times New Roman" w:cs="Times New Roman"/>
                      <w:color w:val="000000"/>
                      <w:sz w:val="22"/>
                      <w:szCs w:val="24"/>
                      <w:lang w:eastAsia="lv-LV"/>
                    </w:rPr>
                    <w:t>0,14</w:t>
                  </w:r>
                </w:p>
              </w:tc>
              <w:tc>
                <w:tcPr>
                  <w:tcW w:w="1895" w:type="dxa"/>
                </w:tcPr>
                <w:p w14:paraId="0E715040"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~0,13 – 0,15</w:t>
                  </w:r>
                </w:p>
              </w:tc>
              <w:tc>
                <w:tcPr>
                  <w:tcW w:w="1895" w:type="dxa"/>
                </w:tcPr>
                <w:p w14:paraId="2C2057F4"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~0,14 – 0,15</w:t>
                  </w:r>
                </w:p>
              </w:tc>
            </w:tr>
            <w:tr w:rsidR="00604513" w:rsidRPr="00770D12" w14:paraId="555AFE6F" w14:textId="77777777" w:rsidTr="00A9147C">
              <w:tc>
                <w:tcPr>
                  <w:tcW w:w="1891" w:type="dxa"/>
                </w:tcPr>
                <w:p w14:paraId="40CFCCF5" w14:textId="77777777" w:rsidR="00604513" w:rsidRPr="00770D12" w:rsidRDefault="00604513" w:rsidP="00A9147C">
                  <w:pPr>
                    <w:spacing w:line="276" w:lineRule="auto"/>
                    <w:jc w:val="both"/>
                    <w:rPr>
                      <w:rFonts w:eastAsia="Times New Roman" w:cs="Times New Roman"/>
                      <w:color w:val="000000"/>
                      <w:sz w:val="22"/>
                      <w:szCs w:val="24"/>
                      <w:lang w:eastAsia="lv-LV"/>
                    </w:rPr>
                  </w:pPr>
                  <w:r w:rsidRPr="00770D12">
                    <w:rPr>
                      <w:rFonts w:eastAsia="Times New Roman" w:cs="Times New Roman"/>
                      <w:color w:val="000000"/>
                      <w:sz w:val="22"/>
                      <w:szCs w:val="24"/>
                      <w:lang w:eastAsia="lv-LV"/>
                    </w:rPr>
                    <w:t>Pieaugums, %</w:t>
                  </w:r>
                </w:p>
              </w:tc>
              <w:tc>
                <w:tcPr>
                  <w:tcW w:w="1895" w:type="dxa"/>
                </w:tcPr>
                <w:p w14:paraId="7EF6B9BA"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~4,0% – 5,0%</w:t>
                  </w:r>
                </w:p>
              </w:tc>
              <w:tc>
                <w:tcPr>
                  <w:tcW w:w="1895" w:type="dxa"/>
                </w:tcPr>
                <w:p w14:paraId="5A4015E5"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~4,0% – 5,0%</w:t>
                  </w:r>
                </w:p>
              </w:tc>
              <w:tc>
                <w:tcPr>
                  <w:tcW w:w="1895" w:type="dxa"/>
                </w:tcPr>
                <w:p w14:paraId="6794DFCF" w14:textId="77777777" w:rsidR="00604513" w:rsidRPr="00770D12" w:rsidRDefault="00604513" w:rsidP="00A9147C">
                  <w:pPr>
                    <w:spacing w:line="276" w:lineRule="auto"/>
                    <w:jc w:val="center"/>
                    <w:rPr>
                      <w:rFonts w:eastAsia="Times New Roman" w:cs="Times New Roman"/>
                      <w:color w:val="000000"/>
                      <w:sz w:val="22"/>
                      <w:szCs w:val="24"/>
                      <w:lang w:eastAsia="lv-LV"/>
                    </w:rPr>
                  </w:pPr>
                  <w:r w:rsidRPr="00770D12">
                    <w:rPr>
                      <w:rFonts w:eastAsia="Times New Roman" w:cs="Times New Roman"/>
                      <w:color w:val="000000"/>
                      <w:sz w:val="22"/>
                      <w:szCs w:val="24"/>
                      <w:lang w:eastAsia="lv-LV"/>
                    </w:rPr>
                    <w:t>~4,1% – 5,0%</w:t>
                  </w:r>
                </w:p>
              </w:tc>
            </w:tr>
          </w:tbl>
          <w:p w14:paraId="1EDFDA4B" w14:textId="77777777" w:rsidR="00604513" w:rsidRPr="00770D12" w:rsidRDefault="00604513" w:rsidP="00A9147C">
            <w:pPr>
              <w:shd w:val="clear" w:color="auto" w:fill="FFFFFF"/>
              <w:spacing w:line="276" w:lineRule="auto"/>
              <w:ind w:left="720"/>
              <w:jc w:val="both"/>
              <w:rPr>
                <w:rFonts w:eastAsia="Times New Roman" w:cs="Times New Roman"/>
                <w:color w:val="000000"/>
                <w:sz w:val="24"/>
                <w:szCs w:val="24"/>
                <w:lang w:eastAsia="lv-LV"/>
              </w:rPr>
            </w:pPr>
          </w:p>
          <w:p w14:paraId="0CC62D4A"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Piemēram, cigarešu paciņai, kuras mazumtirdzniecības cena </w:t>
            </w:r>
            <w:proofErr w:type="gramStart"/>
            <w:r w:rsidRPr="00770D12">
              <w:rPr>
                <w:rFonts w:eastAsia="Times New Roman" w:cs="Times New Roman"/>
                <w:color w:val="000000"/>
                <w:sz w:val="24"/>
                <w:szCs w:val="24"/>
                <w:lang w:eastAsia="lv-LV"/>
              </w:rPr>
              <w:t>2020.gadā</w:t>
            </w:r>
            <w:proofErr w:type="gramEnd"/>
            <w:r w:rsidRPr="00770D12">
              <w:rPr>
                <w:rFonts w:eastAsia="Times New Roman" w:cs="Times New Roman"/>
                <w:color w:val="000000"/>
                <w:sz w:val="24"/>
                <w:szCs w:val="24"/>
                <w:lang w:eastAsia="lv-LV"/>
              </w:rPr>
              <w:t xml:space="preserve"> ir 3,65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ar 2021.gada 1.martu nodokļu daļa pieaugs par 0,13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xml:space="preserve"> jeb 4,</w:t>
            </w:r>
            <w:r>
              <w:rPr>
                <w:rFonts w:eastAsia="Times New Roman" w:cs="Times New Roman"/>
                <w:color w:val="000000"/>
                <w:sz w:val="24"/>
                <w:szCs w:val="24"/>
                <w:lang w:eastAsia="lv-LV"/>
              </w:rPr>
              <w:t>5</w:t>
            </w:r>
            <w:r w:rsidRPr="00770D12">
              <w:rPr>
                <w:rFonts w:eastAsia="Times New Roman" w:cs="Times New Roman"/>
                <w:color w:val="000000"/>
                <w:sz w:val="24"/>
                <w:szCs w:val="24"/>
                <w:lang w:eastAsia="lv-LV"/>
              </w:rPr>
              <w:t>% un ar 202</w:t>
            </w:r>
            <w:r>
              <w:rPr>
                <w:rFonts w:eastAsia="Times New Roman" w:cs="Times New Roman"/>
                <w:color w:val="000000"/>
                <w:sz w:val="24"/>
                <w:szCs w:val="24"/>
                <w:lang w:eastAsia="lv-LV"/>
              </w:rPr>
              <w:t>2</w:t>
            </w:r>
            <w:r w:rsidRPr="00770D12">
              <w:rPr>
                <w:rFonts w:eastAsia="Times New Roman" w:cs="Times New Roman"/>
                <w:color w:val="000000"/>
                <w:sz w:val="24"/>
                <w:szCs w:val="24"/>
                <w:lang w:eastAsia="lv-LV"/>
              </w:rPr>
              <w:t>.</w:t>
            </w:r>
            <w:r>
              <w:rPr>
                <w:rFonts w:eastAsia="Times New Roman" w:cs="Times New Roman"/>
                <w:color w:val="000000"/>
                <w:sz w:val="24"/>
                <w:szCs w:val="24"/>
                <w:lang w:eastAsia="lv-LV"/>
              </w:rPr>
              <w:t xml:space="preserve"> un 2023.gada gada 1.janvāri vēl par 0,15 </w:t>
            </w:r>
            <w:proofErr w:type="spellStart"/>
            <w:r w:rsidRPr="00F07FFD">
              <w:rPr>
                <w:rFonts w:eastAsia="Times New Roman" w:cs="Times New Roman"/>
                <w:bCs/>
                <w:i/>
                <w:color w:val="000000"/>
                <w:sz w:val="24"/>
                <w:szCs w:val="24"/>
                <w:lang w:eastAsia="lv-LV"/>
              </w:rPr>
              <w:t>euro</w:t>
            </w:r>
            <w:proofErr w:type="spellEnd"/>
            <w:r>
              <w:rPr>
                <w:rFonts w:eastAsia="Times New Roman" w:cs="Times New Roman"/>
                <w:color w:val="000000"/>
                <w:sz w:val="24"/>
                <w:szCs w:val="24"/>
                <w:lang w:eastAsia="lv-LV"/>
              </w:rPr>
              <w:t xml:space="preserve"> jeb 5,0% katru gadu</w:t>
            </w:r>
            <w:r w:rsidRPr="00770D12">
              <w:rPr>
                <w:rFonts w:eastAsia="Times New Roman" w:cs="Times New Roman"/>
                <w:color w:val="000000"/>
                <w:sz w:val="24"/>
                <w:szCs w:val="24"/>
                <w:lang w:eastAsia="lv-LV"/>
              </w:rPr>
              <w:t>.</w:t>
            </w:r>
          </w:p>
          <w:p w14:paraId="29C432A5"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Prognozēts, ka katras likmju paaugstināšanas rezultātā samazināsies iepriekš prognozētais patēriņa apjoms.</w:t>
            </w:r>
          </w:p>
          <w:p w14:paraId="66D7B7B6" w14:textId="77777777" w:rsidR="00604513" w:rsidRPr="00770D12" w:rsidRDefault="00604513" w:rsidP="00A9147C">
            <w:pPr>
              <w:shd w:val="clear" w:color="auto" w:fill="FFFFFF"/>
              <w:spacing w:line="276" w:lineRule="auto"/>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Fiskālā ietekme, ņemot vērā akcīzes nodokļa maksāšanas kārtību:</w:t>
            </w:r>
          </w:p>
          <w:tbl>
            <w:tblPr>
              <w:tblW w:w="6071" w:type="dxa"/>
              <w:tblInd w:w="1129" w:type="dxa"/>
              <w:tblLayout w:type="fixed"/>
              <w:tblLook w:val="04A0" w:firstRow="1" w:lastRow="0" w:firstColumn="1" w:lastColumn="0" w:noHBand="0" w:noVBand="1"/>
            </w:tblPr>
            <w:tblGrid>
              <w:gridCol w:w="3217"/>
              <w:gridCol w:w="965"/>
              <w:gridCol w:w="964"/>
              <w:gridCol w:w="925"/>
            </w:tblGrid>
            <w:tr w:rsidR="00604513" w:rsidRPr="00A32BDC" w14:paraId="600D3B9C" w14:textId="77777777" w:rsidTr="00A9147C">
              <w:trPr>
                <w:trHeight w:val="265"/>
              </w:trPr>
              <w:tc>
                <w:tcPr>
                  <w:tcW w:w="3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F9DCD" w14:textId="77777777" w:rsidR="00604513" w:rsidRPr="00A32BDC" w:rsidRDefault="00604513" w:rsidP="00A9147C">
                  <w:pPr>
                    <w:spacing w:after="0" w:line="240" w:lineRule="auto"/>
                    <w:contextualSpacing/>
                    <w:rPr>
                      <w:rFonts w:ascii="Times New Roman" w:eastAsia="Times New Roman" w:hAnsi="Times New Roman" w:cs="Times New Roman"/>
                      <w:i/>
                      <w:iCs/>
                      <w:color w:val="000000"/>
                      <w:szCs w:val="24"/>
                      <w:lang w:eastAsia="lv-LV"/>
                    </w:rPr>
                  </w:pPr>
                  <w:r w:rsidRPr="00A32BDC">
                    <w:rPr>
                      <w:rFonts w:ascii="Times New Roman" w:eastAsia="Times New Roman" w:hAnsi="Times New Roman" w:cs="Times New Roman"/>
                      <w:i/>
                      <w:iCs/>
                      <w:color w:val="000000"/>
                      <w:szCs w:val="24"/>
                      <w:lang w:eastAsia="lv-LV"/>
                    </w:rPr>
                    <w:t xml:space="preserve">milj. </w:t>
                  </w:r>
                  <w:proofErr w:type="spellStart"/>
                  <w:r w:rsidRPr="00A32BDC">
                    <w:rPr>
                      <w:rFonts w:ascii="Times New Roman" w:eastAsia="Times New Roman" w:hAnsi="Times New Roman" w:cs="Times New Roman"/>
                      <w:i/>
                      <w:iCs/>
                      <w:color w:val="000000"/>
                      <w:szCs w:val="24"/>
                      <w:lang w:eastAsia="lv-LV"/>
                    </w:rPr>
                    <w:t>euro</w:t>
                  </w:r>
                  <w:proofErr w:type="spellEnd"/>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7845B5C2"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255AD016"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2022</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27ED922B"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2023</w:t>
                  </w:r>
                </w:p>
              </w:tc>
            </w:tr>
            <w:tr w:rsidR="00604513" w:rsidRPr="00A32BDC" w14:paraId="0EDA9087" w14:textId="77777777" w:rsidTr="00A9147C">
              <w:trPr>
                <w:trHeight w:val="265"/>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76B4AE27"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Akcīzes nodoklis</w:t>
                  </w:r>
                </w:p>
              </w:tc>
              <w:tc>
                <w:tcPr>
                  <w:tcW w:w="965" w:type="dxa"/>
                  <w:tcBorders>
                    <w:top w:val="nil"/>
                    <w:left w:val="nil"/>
                    <w:bottom w:val="single" w:sz="4" w:space="0" w:color="auto"/>
                    <w:right w:val="single" w:sz="4" w:space="0" w:color="auto"/>
                  </w:tcBorders>
                  <w:shd w:val="clear" w:color="auto" w:fill="auto"/>
                  <w:noWrap/>
                  <w:vAlign w:val="bottom"/>
                  <w:hideMark/>
                </w:tcPr>
                <w:p w14:paraId="0C8A103F" w14:textId="77777777" w:rsidR="00604513" w:rsidRPr="00A32BDC" w:rsidRDefault="00604513" w:rsidP="00A9147C">
                  <w:pPr>
                    <w:spacing w:after="0"/>
                    <w:contextualSpacing/>
                    <w:rPr>
                      <w:rFonts w:ascii="Times New Roman" w:hAnsi="Times New Roman" w:cs="Times New Roman"/>
                      <w:color w:val="000000"/>
                      <w:szCs w:val="24"/>
                    </w:rPr>
                  </w:pPr>
                  <w:r w:rsidRPr="00A32BDC">
                    <w:rPr>
                      <w:rFonts w:ascii="Times New Roman" w:hAnsi="Times New Roman" w:cs="Times New Roman"/>
                      <w:color w:val="000000"/>
                      <w:szCs w:val="24"/>
                    </w:rPr>
                    <w:t>+2</w:t>
                  </w:r>
                  <w:r>
                    <w:rPr>
                      <w:rFonts w:ascii="Times New Roman" w:hAnsi="Times New Roman" w:cs="Times New Roman"/>
                      <w:color w:val="000000"/>
                      <w:szCs w:val="24"/>
                    </w:rPr>
                    <w:t>,</w:t>
                  </w:r>
                  <w:r w:rsidRPr="00A32BDC">
                    <w:rPr>
                      <w:rFonts w:ascii="Times New Roman" w:hAnsi="Times New Roman" w:cs="Times New Roman"/>
                      <w:color w:val="000000"/>
                      <w:szCs w:val="24"/>
                    </w:rPr>
                    <w:t>180</w:t>
                  </w:r>
                </w:p>
              </w:tc>
              <w:tc>
                <w:tcPr>
                  <w:tcW w:w="964" w:type="dxa"/>
                  <w:tcBorders>
                    <w:top w:val="nil"/>
                    <w:left w:val="nil"/>
                    <w:bottom w:val="single" w:sz="4" w:space="0" w:color="auto"/>
                    <w:right w:val="single" w:sz="4" w:space="0" w:color="auto"/>
                  </w:tcBorders>
                  <w:shd w:val="clear" w:color="auto" w:fill="auto"/>
                  <w:noWrap/>
                  <w:vAlign w:val="bottom"/>
                  <w:hideMark/>
                </w:tcPr>
                <w:p w14:paraId="279E00F4" w14:textId="77777777" w:rsidR="00604513" w:rsidRPr="00A32BDC" w:rsidRDefault="00604513" w:rsidP="00A9147C">
                  <w:pPr>
                    <w:spacing w:after="0"/>
                    <w:contextualSpacing/>
                    <w:rPr>
                      <w:rFonts w:ascii="Times New Roman" w:hAnsi="Times New Roman" w:cs="Times New Roman"/>
                      <w:color w:val="000000"/>
                      <w:szCs w:val="24"/>
                    </w:rPr>
                  </w:pPr>
                  <w:r w:rsidRPr="00A32BDC">
                    <w:rPr>
                      <w:rFonts w:ascii="Times New Roman" w:hAnsi="Times New Roman" w:cs="Times New Roman"/>
                      <w:color w:val="000000"/>
                      <w:szCs w:val="24"/>
                    </w:rPr>
                    <w:t>+4</w:t>
                  </w:r>
                  <w:r>
                    <w:rPr>
                      <w:rFonts w:ascii="Times New Roman" w:hAnsi="Times New Roman" w:cs="Times New Roman"/>
                      <w:color w:val="000000"/>
                      <w:szCs w:val="24"/>
                    </w:rPr>
                    <w:t>,</w:t>
                  </w:r>
                  <w:r w:rsidRPr="00A32BDC">
                    <w:rPr>
                      <w:rFonts w:ascii="Times New Roman" w:hAnsi="Times New Roman" w:cs="Times New Roman"/>
                      <w:color w:val="000000"/>
                      <w:szCs w:val="24"/>
                    </w:rPr>
                    <w:t>900</w:t>
                  </w:r>
                </w:p>
              </w:tc>
              <w:tc>
                <w:tcPr>
                  <w:tcW w:w="925" w:type="dxa"/>
                  <w:tcBorders>
                    <w:top w:val="nil"/>
                    <w:left w:val="nil"/>
                    <w:bottom w:val="single" w:sz="4" w:space="0" w:color="auto"/>
                    <w:right w:val="single" w:sz="4" w:space="0" w:color="auto"/>
                  </w:tcBorders>
                  <w:shd w:val="clear" w:color="auto" w:fill="auto"/>
                  <w:noWrap/>
                  <w:vAlign w:val="bottom"/>
                  <w:hideMark/>
                </w:tcPr>
                <w:p w14:paraId="73974FBA" w14:textId="77777777" w:rsidR="00604513" w:rsidRPr="00A32BDC" w:rsidRDefault="00604513" w:rsidP="00A9147C">
                  <w:pPr>
                    <w:spacing w:after="0"/>
                    <w:contextualSpacing/>
                    <w:rPr>
                      <w:rFonts w:ascii="Times New Roman" w:hAnsi="Times New Roman" w:cs="Times New Roman"/>
                      <w:color w:val="000000"/>
                      <w:szCs w:val="24"/>
                    </w:rPr>
                  </w:pPr>
                  <w:r w:rsidRPr="00A32BDC">
                    <w:rPr>
                      <w:rFonts w:ascii="Times New Roman" w:hAnsi="Times New Roman" w:cs="Times New Roman"/>
                      <w:color w:val="000000"/>
                      <w:szCs w:val="24"/>
                    </w:rPr>
                    <w:t>+6</w:t>
                  </w:r>
                  <w:r>
                    <w:rPr>
                      <w:rFonts w:ascii="Times New Roman" w:hAnsi="Times New Roman" w:cs="Times New Roman"/>
                      <w:color w:val="000000"/>
                      <w:szCs w:val="24"/>
                    </w:rPr>
                    <w:t>,</w:t>
                  </w:r>
                  <w:r w:rsidRPr="00A32BDC">
                    <w:rPr>
                      <w:rFonts w:ascii="Times New Roman" w:hAnsi="Times New Roman" w:cs="Times New Roman"/>
                      <w:color w:val="000000"/>
                      <w:szCs w:val="24"/>
                    </w:rPr>
                    <w:t>570</w:t>
                  </w:r>
                </w:p>
              </w:tc>
            </w:tr>
            <w:tr w:rsidR="00604513" w:rsidRPr="00A32BDC" w14:paraId="34B83E7C" w14:textId="77777777" w:rsidTr="00A9147C">
              <w:trPr>
                <w:trHeight w:val="265"/>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71E74B8E"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Pievienotās vērtības nodoklis</w:t>
                  </w:r>
                </w:p>
              </w:tc>
              <w:tc>
                <w:tcPr>
                  <w:tcW w:w="965" w:type="dxa"/>
                  <w:tcBorders>
                    <w:top w:val="nil"/>
                    <w:left w:val="nil"/>
                    <w:bottom w:val="single" w:sz="4" w:space="0" w:color="auto"/>
                    <w:right w:val="single" w:sz="4" w:space="0" w:color="auto"/>
                  </w:tcBorders>
                  <w:shd w:val="clear" w:color="auto" w:fill="auto"/>
                  <w:noWrap/>
                  <w:vAlign w:val="bottom"/>
                  <w:hideMark/>
                </w:tcPr>
                <w:p w14:paraId="514A6F7C" w14:textId="77777777" w:rsidR="00604513" w:rsidRPr="00A32BDC" w:rsidRDefault="00604513" w:rsidP="00A9147C">
                  <w:pPr>
                    <w:spacing w:after="0"/>
                    <w:contextualSpacing/>
                    <w:rPr>
                      <w:rFonts w:ascii="Times New Roman" w:hAnsi="Times New Roman" w:cs="Times New Roman"/>
                      <w:color w:val="000000"/>
                      <w:szCs w:val="24"/>
                    </w:rPr>
                  </w:pPr>
                  <w:r w:rsidRPr="00A32BDC">
                    <w:rPr>
                      <w:rFonts w:ascii="Times New Roman" w:hAnsi="Times New Roman" w:cs="Times New Roman"/>
                      <w:color w:val="000000"/>
                      <w:szCs w:val="24"/>
                    </w:rPr>
                    <w:t>+0</w:t>
                  </w:r>
                  <w:r>
                    <w:rPr>
                      <w:rFonts w:ascii="Times New Roman" w:hAnsi="Times New Roman" w:cs="Times New Roman"/>
                      <w:color w:val="000000"/>
                      <w:szCs w:val="24"/>
                    </w:rPr>
                    <w:t>,</w:t>
                  </w:r>
                  <w:r w:rsidRPr="00A32BDC">
                    <w:rPr>
                      <w:rFonts w:ascii="Times New Roman" w:hAnsi="Times New Roman" w:cs="Times New Roman"/>
                      <w:color w:val="000000"/>
                      <w:szCs w:val="24"/>
                    </w:rPr>
                    <w:t>460</w:t>
                  </w:r>
                </w:p>
              </w:tc>
              <w:tc>
                <w:tcPr>
                  <w:tcW w:w="964" w:type="dxa"/>
                  <w:tcBorders>
                    <w:top w:val="nil"/>
                    <w:left w:val="nil"/>
                    <w:bottom w:val="single" w:sz="4" w:space="0" w:color="auto"/>
                    <w:right w:val="single" w:sz="4" w:space="0" w:color="auto"/>
                  </w:tcBorders>
                  <w:shd w:val="clear" w:color="auto" w:fill="auto"/>
                  <w:noWrap/>
                  <w:vAlign w:val="bottom"/>
                  <w:hideMark/>
                </w:tcPr>
                <w:p w14:paraId="2FA3CD47" w14:textId="77777777" w:rsidR="00604513" w:rsidRPr="00A32BDC" w:rsidRDefault="00604513" w:rsidP="00A9147C">
                  <w:pPr>
                    <w:spacing w:after="0"/>
                    <w:contextualSpacing/>
                    <w:rPr>
                      <w:rFonts w:ascii="Times New Roman" w:hAnsi="Times New Roman" w:cs="Times New Roman"/>
                      <w:color w:val="000000"/>
                      <w:szCs w:val="24"/>
                    </w:rPr>
                  </w:pPr>
                  <w:r w:rsidRPr="00A32BDC">
                    <w:rPr>
                      <w:rFonts w:ascii="Times New Roman" w:hAnsi="Times New Roman" w:cs="Times New Roman"/>
                      <w:color w:val="000000"/>
                      <w:szCs w:val="24"/>
                    </w:rPr>
                    <w:t>+1</w:t>
                  </w:r>
                  <w:r>
                    <w:rPr>
                      <w:rFonts w:ascii="Times New Roman" w:hAnsi="Times New Roman" w:cs="Times New Roman"/>
                      <w:color w:val="000000"/>
                      <w:szCs w:val="24"/>
                    </w:rPr>
                    <w:t>,</w:t>
                  </w:r>
                  <w:r w:rsidRPr="00A32BDC">
                    <w:rPr>
                      <w:rFonts w:ascii="Times New Roman" w:hAnsi="Times New Roman" w:cs="Times New Roman"/>
                      <w:color w:val="000000"/>
                      <w:szCs w:val="24"/>
                    </w:rPr>
                    <w:t>030</w:t>
                  </w:r>
                </w:p>
              </w:tc>
              <w:tc>
                <w:tcPr>
                  <w:tcW w:w="925" w:type="dxa"/>
                  <w:tcBorders>
                    <w:top w:val="nil"/>
                    <w:left w:val="nil"/>
                    <w:bottom w:val="single" w:sz="4" w:space="0" w:color="auto"/>
                    <w:right w:val="single" w:sz="4" w:space="0" w:color="auto"/>
                  </w:tcBorders>
                  <w:shd w:val="clear" w:color="auto" w:fill="auto"/>
                  <w:noWrap/>
                  <w:vAlign w:val="bottom"/>
                  <w:hideMark/>
                </w:tcPr>
                <w:p w14:paraId="3A06DF7B" w14:textId="77777777" w:rsidR="00604513" w:rsidRPr="00A32BDC" w:rsidRDefault="00604513" w:rsidP="00A9147C">
                  <w:pPr>
                    <w:spacing w:after="0"/>
                    <w:contextualSpacing/>
                    <w:rPr>
                      <w:rFonts w:ascii="Times New Roman" w:hAnsi="Times New Roman" w:cs="Times New Roman"/>
                      <w:color w:val="000000"/>
                      <w:szCs w:val="24"/>
                    </w:rPr>
                  </w:pPr>
                  <w:r w:rsidRPr="00A32BDC">
                    <w:rPr>
                      <w:rFonts w:ascii="Times New Roman" w:hAnsi="Times New Roman" w:cs="Times New Roman"/>
                      <w:color w:val="000000"/>
                      <w:szCs w:val="24"/>
                    </w:rPr>
                    <w:t>+1</w:t>
                  </w:r>
                  <w:r>
                    <w:rPr>
                      <w:rFonts w:ascii="Times New Roman" w:hAnsi="Times New Roman" w:cs="Times New Roman"/>
                      <w:color w:val="000000"/>
                      <w:szCs w:val="24"/>
                    </w:rPr>
                    <w:t>,</w:t>
                  </w:r>
                  <w:r w:rsidRPr="00A32BDC">
                    <w:rPr>
                      <w:rFonts w:ascii="Times New Roman" w:hAnsi="Times New Roman" w:cs="Times New Roman"/>
                      <w:color w:val="000000"/>
                      <w:szCs w:val="24"/>
                    </w:rPr>
                    <w:t>380</w:t>
                  </w:r>
                </w:p>
              </w:tc>
            </w:tr>
            <w:tr w:rsidR="00604513" w:rsidRPr="00A32BDC" w14:paraId="2902CE57" w14:textId="77777777" w:rsidTr="00A9147C">
              <w:trPr>
                <w:trHeight w:val="265"/>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14:paraId="1B41FBDB" w14:textId="77777777" w:rsidR="00604513" w:rsidRPr="00A32BDC" w:rsidRDefault="00604513" w:rsidP="00A9147C">
                  <w:pPr>
                    <w:spacing w:after="0" w:line="240" w:lineRule="auto"/>
                    <w:contextualSpacing/>
                    <w:rPr>
                      <w:rFonts w:ascii="Times New Roman" w:eastAsia="Times New Roman" w:hAnsi="Times New Roman" w:cs="Times New Roman"/>
                      <w:b/>
                      <w:bCs/>
                      <w:color w:val="000000"/>
                      <w:szCs w:val="24"/>
                      <w:lang w:eastAsia="lv-LV"/>
                    </w:rPr>
                  </w:pPr>
                  <w:r w:rsidRPr="00A32BDC">
                    <w:rPr>
                      <w:rFonts w:ascii="Times New Roman" w:eastAsia="Times New Roman" w:hAnsi="Times New Roman" w:cs="Times New Roman"/>
                      <w:b/>
                      <w:bCs/>
                      <w:color w:val="000000"/>
                      <w:szCs w:val="24"/>
                      <w:lang w:eastAsia="lv-LV"/>
                    </w:rPr>
                    <w:t>KOPĀ</w:t>
                  </w:r>
                </w:p>
              </w:tc>
              <w:tc>
                <w:tcPr>
                  <w:tcW w:w="965" w:type="dxa"/>
                  <w:tcBorders>
                    <w:top w:val="nil"/>
                    <w:left w:val="nil"/>
                    <w:bottom w:val="single" w:sz="4" w:space="0" w:color="auto"/>
                    <w:right w:val="single" w:sz="4" w:space="0" w:color="auto"/>
                  </w:tcBorders>
                  <w:shd w:val="clear" w:color="auto" w:fill="auto"/>
                  <w:noWrap/>
                  <w:vAlign w:val="bottom"/>
                  <w:hideMark/>
                </w:tcPr>
                <w:p w14:paraId="4D67CE1C" w14:textId="77777777" w:rsidR="00604513" w:rsidRPr="00A32BDC" w:rsidRDefault="00604513" w:rsidP="00A9147C">
                  <w:pPr>
                    <w:spacing w:after="0"/>
                    <w:contextualSpacing/>
                    <w:rPr>
                      <w:rFonts w:ascii="Times New Roman" w:hAnsi="Times New Roman" w:cs="Times New Roman"/>
                      <w:b/>
                      <w:bCs/>
                      <w:color w:val="000000"/>
                      <w:szCs w:val="24"/>
                    </w:rPr>
                  </w:pPr>
                  <w:r w:rsidRPr="00A32BDC">
                    <w:rPr>
                      <w:rFonts w:ascii="Times New Roman" w:hAnsi="Times New Roman" w:cs="Times New Roman"/>
                      <w:b/>
                      <w:bCs/>
                      <w:color w:val="000000"/>
                      <w:szCs w:val="24"/>
                    </w:rPr>
                    <w:t>+2</w:t>
                  </w:r>
                  <w:r>
                    <w:rPr>
                      <w:rFonts w:ascii="Times New Roman" w:hAnsi="Times New Roman" w:cs="Times New Roman"/>
                      <w:b/>
                      <w:bCs/>
                      <w:color w:val="000000"/>
                      <w:szCs w:val="24"/>
                    </w:rPr>
                    <w:t>,</w:t>
                  </w:r>
                  <w:r w:rsidRPr="00A32BDC">
                    <w:rPr>
                      <w:rFonts w:ascii="Times New Roman" w:hAnsi="Times New Roman" w:cs="Times New Roman"/>
                      <w:b/>
                      <w:bCs/>
                      <w:color w:val="000000"/>
                      <w:szCs w:val="24"/>
                    </w:rPr>
                    <w:t>640</w:t>
                  </w:r>
                </w:p>
              </w:tc>
              <w:tc>
                <w:tcPr>
                  <w:tcW w:w="964" w:type="dxa"/>
                  <w:tcBorders>
                    <w:top w:val="nil"/>
                    <w:left w:val="nil"/>
                    <w:bottom w:val="single" w:sz="4" w:space="0" w:color="auto"/>
                    <w:right w:val="single" w:sz="4" w:space="0" w:color="auto"/>
                  </w:tcBorders>
                  <w:shd w:val="clear" w:color="auto" w:fill="auto"/>
                  <w:noWrap/>
                  <w:vAlign w:val="bottom"/>
                  <w:hideMark/>
                </w:tcPr>
                <w:p w14:paraId="225AE1F0" w14:textId="77777777" w:rsidR="00604513" w:rsidRPr="00A32BDC" w:rsidRDefault="00604513" w:rsidP="00A9147C">
                  <w:pPr>
                    <w:spacing w:after="0"/>
                    <w:contextualSpacing/>
                    <w:rPr>
                      <w:rFonts w:ascii="Times New Roman" w:hAnsi="Times New Roman" w:cs="Times New Roman"/>
                      <w:b/>
                      <w:bCs/>
                      <w:color w:val="000000"/>
                      <w:szCs w:val="24"/>
                    </w:rPr>
                  </w:pPr>
                  <w:r w:rsidRPr="00A32BDC">
                    <w:rPr>
                      <w:rFonts w:ascii="Times New Roman" w:hAnsi="Times New Roman" w:cs="Times New Roman"/>
                      <w:b/>
                      <w:bCs/>
                      <w:color w:val="000000"/>
                      <w:szCs w:val="24"/>
                    </w:rPr>
                    <w:t>+5</w:t>
                  </w:r>
                  <w:r>
                    <w:rPr>
                      <w:rFonts w:ascii="Times New Roman" w:hAnsi="Times New Roman" w:cs="Times New Roman"/>
                      <w:b/>
                      <w:bCs/>
                      <w:color w:val="000000"/>
                      <w:szCs w:val="24"/>
                    </w:rPr>
                    <w:t>,</w:t>
                  </w:r>
                  <w:r w:rsidRPr="00A32BDC">
                    <w:rPr>
                      <w:rFonts w:ascii="Times New Roman" w:hAnsi="Times New Roman" w:cs="Times New Roman"/>
                      <w:b/>
                      <w:bCs/>
                      <w:color w:val="000000"/>
                      <w:szCs w:val="24"/>
                    </w:rPr>
                    <w:t>930</w:t>
                  </w:r>
                </w:p>
              </w:tc>
              <w:tc>
                <w:tcPr>
                  <w:tcW w:w="925" w:type="dxa"/>
                  <w:tcBorders>
                    <w:top w:val="nil"/>
                    <w:left w:val="nil"/>
                    <w:bottom w:val="single" w:sz="4" w:space="0" w:color="auto"/>
                    <w:right w:val="single" w:sz="4" w:space="0" w:color="auto"/>
                  </w:tcBorders>
                  <w:shd w:val="clear" w:color="auto" w:fill="auto"/>
                  <w:noWrap/>
                  <w:vAlign w:val="bottom"/>
                  <w:hideMark/>
                </w:tcPr>
                <w:p w14:paraId="139A7EE5" w14:textId="77777777" w:rsidR="00604513" w:rsidRPr="00A32BDC" w:rsidRDefault="00604513" w:rsidP="00A9147C">
                  <w:pPr>
                    <w:spacing w:after="0"/>
                    <w:contextualSpacing/>
                    <w:rPr>
                      <w:rFonts w:ascii="Times New Roman" w:hAnsi="Times New Roman" w:cs="Times New Roman"/>
                      <w:b/>
                      <w:bCs/>
                      <w:color w:val="000000"/>
                      <w:szCs w:val="24"/>
                    </w:rPr>
                  </w:pPr>
                  <w:r w:rsidRPr="00A32BDC">
                    <w:rPr>
                      <w:rFonts w:ascii="Times New Roman" w:hAnsi="Times New Roman" w:cs="Times New Roman"/>
                      <w:b/>
                      <w:bCs/>
                      <w:color w:val="000000"/>
                      <w:szCs w:val="24"/>
                    </w:rPr>
                    <w:t>+7</w:t>
                  </w:r>
                  <w:r>
                    <w:rPr>
                      <w:rFonts w:ascii="Times New Roman" w:hAnsi="Times New Roman" w:cs="Times New Roman"/>
                      <w:b/>
                      <w:bCs/>
                      <w:color w:val="000000"/>
                      <w:szCs w:val="24"/>
                    </w:rPr>
                    <w:t>,</w:t>
                  </w:r>
                  <w:r w:rsidRPr="00A32BDC">
                    <w:rPr>
                      <w:rFonts w:ascii="Times New Roman" w:hAnsi="Times New Roman" w:cs="Times New Roman"/>
                      <w:b/>
                      <w:bCs/>
                      <w:color w:val="000000"/>
                      <w:szCs w:val="24"/>
                    </w:rPr>
                    <w:t>950</w:t>
                  </w:r>
                </w:p>
              </w:tc>
            </w:tr>
          </w:tbl>
          <w:p w14:paraId="6BB2AD74" w14:textId="77777777" w:rsidR="00604513" w:rsidRPr="00770D12" w:rsidRDefault="00604513" w:rsidP="00A9147C">
            <w:pPr>
              <w:shd w:val="clear" w:color="auto" w:fill="FFFFFF"/>
              <w:jc w:val="both"/>
              <w:rPr>
                <w:rFonts w:eastAsia="Times New Roman" w:cs="Times New Roman"/>
                <w:color w:val="000000"/>
                <w:sz w:val="24"/>
                <w:szCs w:val="24"/>
                <w:u w:val="single"/>
                <w:lang w:eastAsia="lv-LV"/>
              </w:rPr>
            </w:pPr>
          </w:p>
          <w:p w14:paraId="40B530C7" w14:textId="77777777" w:rsidR="00604513" w:rsidRPr="00770D12" w:rsidRDefault="00604513" w:rsidP="004B105E">
            <w:pPr>
              <w:rPr>
                <w:rFonts w:cs="Times New Roman"/>
                <w:sz w:val="24"/>
                <w:szCs w:val="24"/>
                <w:u w:val="single"/>
              </w:rPr>
            </w:pPr>
            <w:r w:rsidRPr="00770D12">
              <w:rPr>
                <w:rFonts w:cs="Times New Roman"/>
                <w:sz w:val="24"/>
                <w:szCs w:val="24"/>
                <w:u w:val="single"/>
              </w:rPr>
              <w:t>2</w:t>
            </w:r>
            <w:r>
              <w:rPr>
                <w:rFonts w:cs="Times New Roman"/>
                <w:sz w:val="24"/>
                <w:szCs w:val="24"/>
                <w:u w:val="single"/>
              </w:rPr>
              <w:t>.</w:t>
            </w:r>
            <w:r w:rsidRPr="00770D12">
              <w:rPr>
                <w:rFonts w:cs="Times New Roman"/>
                <w:sz w:val="24"/>
                <w:szCs w:val="24"/>
                <w:u w:val="single"/>
              </w:rPr>
              <w:t xml:space="preserve">  Akcīzes nodokļa </w:t>
            </w:r>
            <w:r w:rsidRPr="00770D12">
              <w:rPr>
                <w:rFonts w:cs="Times New Roman"/>
                <w:b/>
                <w:sz w:val="24"/>
                <w:szCs w:val="24"/>
                <w:u w:val="single"/>
              </w:rPr>
              <w:t>elektroniskajās cigaretēs</w:t>
            </w:r>
            <w:r w:rsidRPr="00770D12">
              <w:rPr>
                <w:rFonts w:cs="Times New Roman"/>
                <w:sz w:val="24"/>
                <w:szCs w:val="24"/>
                <w:u w:val="single"/>
              </w:rPr>
              <w:t xml:space="preserve"> izmantojamiem šķidrumiem vienkāršošana un paaugstināšana</w:t>
            </w:r>
          </w:p>
          <w:p w14:paraId="021D2308"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Saskaņā ar Valsts ieņēmumu dienesta sniegto informāciju </w:t>
            </w:r>
            <w:proofErr w:type="gramStart"/>
            <w:r w:rsidRPr="00770D12">
              <w:rPr>
                <w:rFonts w:eastAsia="Times New Roman" w:cs="Times New Roman"/>
                <w:color w:val="000000"/>
                <w:sz w:val="24"/>
                <w:szCs w:val="24"/>
                <w:lang w:eastAsia="lv-LV"/>
              </w:rPr>
              <w:t>2019</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gada</w:t>
            </w:r>
            <w:proofErr w:type="gramEnd"/>
            <w:r w:rsidRPr="00770D12">
              <w:rPr>
                <w:rFonts w:eastAsia="Times New Roman" w:cs="Times New Roman"/>
                <w:color w:val="000000"/>
                <w:sz w:val="24"/>
                <w:szCs w:val="24"/>
                <w:lang w:eastAsia="lv-LV"/>
              </w:rPr>
              <w:t xml:space="preserve"> pārskata periodā salīdzinājumā ar 2018</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gada pārskata periodu elektroniskajās cigaretēs izmantojamo šķidrumu patēriņš Latvijā pieauga par 46,8%</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Savukārt </w:t>
            </w:r>
            <w:proofErr w:type="gramStart"/>
            <w:r w:rsidRPr="00770D12">
              <w:rPr>
                <w:rFonts w:eastAsia="Times New Roman" w:cs="Times New Roman"/>
                <w:color w:val="000000"/>
                <w:sz w:val="24"/>
                <w:szCs w:val="24"/>
                <w:lang w:eastAsia="lv-LV"/>
              </w:rPr>
              <w:t>2020</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gada</w:t>
            </w:r>
            <w:proofErr w:type="gramEnd"/>
            <w:r w:rsidRPr="00770D12">
              <w:rPr>
                <w:rFonts w:eastAsia="Times New Roman" w:cs="Times New Roman"/>
                <w:color w:val="000000"/>
                <w:sz w:val="24"/>
                <w:szCs w:val="24"/>
                <w:lang w:eastAsia="lv-LV"/>
              </w:rPr>
              <w:t xml:space="preserve"> septiņos mēnešos salīdzinājumā ar iepriekšējā gada </w:t>
            </w:r>
            <w:r>
              <w:rPr>
                <w:rFonts w:eastAsia="Times New Roman" w:cs="Times New Roman"/>
                <w:color w:val="000000"/>
                <w:sz w:val="24"/>
                <w:szCs w:val="24"/>
                <w:lang w:eastAsia="lv-LV"/>
              </w:rPr>
              <w:t>atbilstošo</w:t>
            </w:r>
            <w:r w:rsidRPr="00770D12">
              <w:rPr>
                <w:rFonts w:eastAsia="Times New Roman" w:cs="Times New Roman"/>
                <w:color w:val="000000"/>
                <w:sz w:val="24"/>
                <w:szCs w:val="24"/>
                <w:lang w:eastAsia="lv-LV"/>
              </w:rPr>
              <w:t xml:space="preserve"> pārskata periodu elektroniskajās cigaretēs izmantojamo šķidrumu patēriņš samazinājās par 47,4% un bija zem 2018</w:t>
            </w:r>
            <w:r>
              <w:rPr>
                <w:rFonts w:eastAsia="Times New Roman" w:cs="Times New Roman"/>
                <w:color w:val="000000"/>
                <w:sz w:val="24"/>
                <w:szCs w:val="24"/>
                <w:lang w:eastAsia="lv-LV"/>
              </w:rPr>
              <w:t>.gada</w:t>
            </w:r>
            <w:r w:rsidRPr="00770D12">
              <w:rPr>
                <w:rFonts w:eastAsia="Times New Roman" w:cs="Times New Roman"/>
                <w:color w:val="000000"/>
                <w:sz w:val="24"/>
                <w:szCs w:val="24"/>
                <w:lang w:eastAsia="lv-LV"/>
              </w:rPr>
              <w:t xml:space="preserve"> līmeņa</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Neskatoties uz patēriņa samazinājumu, nodokļa ieņēmumi septiņu mēnešu pārskata periodā pieauguši par 12,4%, kas saistīts ar to, ka likme tiek piemērota gan pēc šķidrumu patēriņa apjoma, gan pēc nikotīna satura tajos</w:t>
            </w:r>
            <w:r>
              <w:rPr>
                <w:rFonts w:eastAsia="Times New Roman" w:cs="Times New Roman"/>
                <w:color w:val="000000"/>
                <w:sz w:val="24"/>
                <w:szCs w:val="24"/>
                <w:lang w:eastAsia="lv-LV"/>
              </w:rPr>
              <w:t xml:space="preserve"> – attiecīgi patēriņam nodoti </w:t>
            </w:r>
            <w:r w:rsidRPr="00770D12">
              <w:rPr>
                <w:rFonts w:eastAsia="Times New Roman" w:cs="Times New Roman"/>
                <w:color w:val="000000"/>
                <w:sz w:val="24"/>
                <w:szCs w:val="24"/>
                <w:lang w:eastAsia="lv-LV"/>
              </w:rPr>
              <w:t>elektroniskajās cigaretēs izmantojamie</w:t>
            </w:r>
            <w:r>
              <w:rPr>
                <w:rFonts w:eastAsia="Times New Roman" w:cs="Times New Roman"/>
                <w:color w:val="000000"/>
                <w:sz w:val="24"/>
                <w:szCs w:val="24"/>
                <w:lang w:eastAsia="lv-LV"/>
              </w:rPr>
              <w:t xml:space="preserve"> šķidrumi ar lielāku nikotīna saturu.</w:t>
            </w:r>
          </w:p>
          <w:p w14:paraId="32D58A20"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lastRenderedPageBreak/>
              <w:t xml:space="preserve">Prognozēts, ka </w:t>
            </w:r>
            <w:r>
              <w:rPr>
                <w:rFonts w:eastAsia="Times New Roman" w:cs="Times New Roman"/>
                <w:color w:val="000000"/>
                <w:sz w:val="24"/>
                <w:szCs w:val="24"/>
                <w:lang w:eastAsia="lv-LV"/>
              </w:rPr>
              <w:t>2020.</w:t>
            </w:r>
            <w:r w:rsidRPr="00770D12">
              <w:rPr>
                <w:rFonts w:eastAsia="Times New Roman" w:cs="Times New Roman"/>
                <w:color w:val="000000"/>
                <w:sz w:val="24"/>
                <w:szCs w:val="24"/>
                <w:lang w:eastAsia="lv-LV"/>
              </w:rPr>
              <w:t>–</w:t>
            </w:r>
            <w:proofErr w:type="gramStart"/>
            <w:r>
              <w:rPr>
                <w:rFonts w:eastAsia="Times New Roman" w:cs="Times New Roman"/>
                <w:color w:val="000000"/>
                <w:sz w:val="24"/>
                <w:szCs w:val="24"/>
                <w:lang w:eastAsia="lv-LV"/>
              </w:rPr>
              <w:t>2023.</w:t>
            </w:r>
            <w:r w:rsidRPr="00770D12">
              <w:rPr>
                <w:rFonts w:eastAsia="Times New Roman" w:cs="Times New Roman"/>
                <w:color w:val="000000"/>
                <w:sz w:val="24"/>
                <w:szCs w:val="24"/>
                <w:lang w:eastAsia="lv-LV"/>
              </w:rPr>
              <w:t>gadā</w:t>
            </w:r>
            <w:proofErr w:type="gramEnd"/>
            <w:r w:rsidRPr="00770D12">
              <w:rPr>
                <w:rFonts w:eastAsia="Times New Roman" w:cs="Times New Roman"/>
                <w:color w:val="000000"/>
                <w:sz w:val="24"/>
                <w:szCs w:val="24"/>
                <w:lang w:eastAsia="lv-LV"/>
              </w:rPr>
              <w:t xml:space="preserve"> akcīzes nodokļa ieņēmumi no elektroniskajās cigaretēs izmantojamajiem šķidrumiem būs mazliet virs 2019</w:t>
            </w:r>
            <w:r>
              <w:rPr>
                <w:rFonts w:eastAsia="Times New Roman" w:cs="Times New Roman"/>
                <w:color w:val="000000"/>
                <w:sz w:val="24"/>
                <w:szCs w:val="24"/>
                <w:lang w:eastAsia="lv-LV"/>
              </w:rPr>
              <w:t>.gada</w:t>
            </w:r>
            <w:r w:rsidRPr="00770D12">
              <w:rPr>
                <w:rFonts w:eastAsia="Times New Roman" w:cs="Times New Roman"/>
                <w:color w:val="000000"/>
                <w:sz w:val="24"/>
                <w:szCs w:val="24"/>
                <w:lang w:eastAsia="lv-LV"/>
              </w:rPr>
              <w:t xml:space="preserve"> līmeņa un veidos 330 000 </w:t>
            </w:r>
            <w:proofErr w:type="spellStart"/>
            <w:r w:rsidRPr="001A36A6">
              <w:rPr>
                <w:rFonts w:eastAsia="Times New Roman" w:cs="Times New Roman"/>
                <w:bCs/>
                <w:i/>
                <w:color w:val="000000"/>
                <w:sz w:val="24"/>
                <w:szCs w:val="24"/>
                <w:lang w:eastAsia="lv-LV"/>
              </w:rPr>
              <w:t>euro</w:t>
            </w:r>
            <w:proofErr w:type="spellEnd"/>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w:t>
            </w:r>
          </w:p>
          <w:p w14:paraId="4520CB83" w14:textId="77777777" w:rsidR="00604513" w:rsidRPr="006507C6"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Pēc akcīzes nodokļa vienkāršošanas – pārejot uz vienu likmi, ko piemēro par mililitru šķidruma, – nodokļu </w:t>
            </w:r>
            <w:r>
              <w:rPr>
                <w:rFonts w:eastAsia="Times New Roman" w:cs="Times New Roman"/>
                <w:color w:val="000000"/>
                <w:sz w:val="24"/>
                <w:szCs w:val="24"/>
                <w:lang w:eastAsia="lv-LV"/>
              </w:rPr>
              <w:t xml:space="preserve">daļa </w:t>
            </w:r>
            <w:r w:rsidRPr="00770D12">
              <w:rPr>
                <w:rFonts w:eastAsia="Times New Roman" w:cs="Times New Roman"/>
                <w:color w:val="000000"/>
                <w:sz w:val="24"/>
                <w:szCs w:val="24"/>
                <w:lang w:eastAsia="lv-LV"/>
              </w:rPr>
              <w:t xml:space="preserve">10 ml šķidruma </w:t>
            </w:r>
            <w:proofErr w:type="gramStart"/>
            <w:r>
              <w:rPr>
                <w:rFonts w:eastAsia="Times New Roman" w:cs="Times New Roman"/>
                <w:color w:val="000000"/>
                <w:sz w:val="24"/>
                <w:szCs w:val="24"/>
                <w:lang w:eastAsia="lv-LV"/>
              </w:rPr>
              <w:t>2021.</w:t>
            </w:r>
            <w:r w:rsidRPr="00770D12">
              <w:rPr>
                <w:rFonts w:eastAsia="Times New Roman" w:cs="Times New Roman"/>
                <w:color w:val="000000"/>
                <w:sz w:val="24"/>
                <w:szCs w:val="24"/>
                <w:lang w:eastAsia="lv-LV"/>
              </w:rPr>
              <w:t>gadā</w:t>
            </w:r>
            <w:proofErr w:type="gramEnd"/>
            <w:r w:rsidRPr="00770D12">
              <w:rPr>
                <w:rFonts w:eastAsia="Times New Roman" w:cs="Times New Roman"/>
                <w:color w:val="000000"/>
                <w:sz w:val="24"/>
                <w:szCs w:val="24"/>
                <w:lang w:eastAsia="lv-LV"/>
              </w:rPr>
              <w:t xml:space="preserve">  pieaugs par 0,12</w:t>
            </w:r>
            <w:r>
              <w:rPr>
                <w:rFonts w:eastAsia="Times New Roman" w:cs="Times New Roman"/>
                <w:color w:val="000000"/>
                <w:sz w:val="24"/>
                <w:szCs w:val="24"/>
                <w:lang w:eastAsia="lv-LV"/>
              </w:rPr>
              <w:t> līdz </w:t>
            </w:r>
            <w:r w:rsidRPr="00770D12">
              <w:rPr>
                <w:rFonts w:eastAsia="Times New Roman" w:cs="Times New Roman"/>
                <w:color w:val="000000"/>
                <w:sz w:val="24"/>
                <w:szCs w:val="24"/>
                <w:lang w:eastAsia="lv-LV"/>
              </w:rPr>
              <w:t>1,</w:t>
            </w:r>
            <w:r w:rsidRPr="006507C6">
              <w:rPr>
                <w:rFonts w:eastAsia="Times New Roman" w:cs="Times New Roman"/>
                <w:color w:val="000000"/>
                <w:sz w:val="24"/>
                <w:szCs w:val="24"/>
                <w:lang w:eastAsia="lv-LV"/>
              </w:rPr>
              <w:t>33 </w:t>
            </w:r>
            <w:proofErr w:type="spellStart"/>
            <w:r w:rsidRPr="006507C6">
              <w:rPr>
                <w:rFonts w:eastAsia="Times New Roman" w:cs="Times New Roman"/>
                <w:bCs/>
                <w:i/>
                <w:color w:val="000000"/>
                <w:sz w:val="24"/>
                <w:szCs w:val="24"/>
                <w:lang w:eastAsia="lv-LV"/>
              </w:rPr>
              <w:t>euro</w:t>
            </w:r>
            <w:proofErr w:type="spellEnd"/>
            <w:r w:rsidRPr="006507C6">
              <w:rPr>
                <w:rFonts w:eastAsia="Times New Roman" w:cs="Times New Roman"/>
                <w:color w:val="000000"/>
                <w:sz w:val="24"/>
                <w:szCs w:val="24"/>
                <w:lang w:eastAsia="lv-LV"/>
              </w:rPr>
              <w:t xml:space="preserve"> (atkarībā no nikotīna satura, kas nosaka nodokļu </w:t>
            </w:r>
            <w:r>
              <w:rPr>
                <w:rFonts w:eastAsia="Times New Roman" w:cs="Times New Roman"/>
                <w:color w:val="000000"/>
                <w:sz w:val="24"/>
                <w:szCs w:val="24"/>
                <w:lang w:eastAsia="lv-LV"/>
              </w:rPr>
              <w:t>līmeni</w:t>
            </w:r>
            <w:r w:rsidRPr="006507C6">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2020.</w:t>
            </w:r>
            <w:r w:rsidRPr="006507C6">
              <w:rPr>
                <w:rFonts w:eastAsia="Times New Roman" w:cs="Times New Roman"/>
                <w:color w:val="000000"/>
                <w:sz w:val="24"/>
                <w:szCs w:val="24"/>
                <w:lang w:eastAsia="lv-LV"/>
              </w:rPr>
              <w:t>gadā) un būs 1,45 </w:t>
            </w:r>
            <w:proofErr w:type="spellStart"/>
            <w:r w:rsidRPr="006507C6">
              <w:rPr>
                <w:rFonts w:eastAsia="Times New Roman" w:cs="Times New Roman"/>
                <w:bCs/>
                <w:i/>
                <w:color w:val="000000"/>
                <w:sz w:val="24"/>
                <w:szCs w:val="24"/>
                <w:lang w:eastAsia="lv-LV"/>
              </w:rPr>
              <w:t>euro</w:t>
            </w:r>
            <w:proofErr w:type="spellEnd"/>
            <w:r w:rsidRPr="006507C6">
              <w:rPr>
                <w:rFonts w:eastAsia="Times New Roman" w:cs="Times New Roman"/>
                <w:color w:val="000000"/>
                <w:sz w:val="24"/>
                <w:szCs w:val="24"/>
                <w:lang w:eastAsia="lv-LV"/>
              </w:rPr>
              <w:t xml:space="preserve"> par 10 ml šķidruma</w:t>
            </w:r>
            <w:r>
              <w:rPr>
                <w:rFonts w:eastAsia="Times New Roman" w:cs="Times New Roman"/>
                <w:color w:val="000000"/>
                <w:sz w:val="24"/>
                <w:szCs w:val="24"/>
                <w:lang w:eastAsia="lv-LV"/>
              </w:rPr>
              <w:t>.</w:t>
            </w:r>
            <w:r w:rsidRPr="006507C6">
              <w:rPr>
                <w:rFonts w:eastAsia="Times New Roman" w:cs="Times New Roman"/>
                <w:color w:val="000000"/>
                <w:sz w:val="24"/>
                <w:szCs w:val="24"/>
                <w:lang w:eastAsia="lv-LV"/>
              </w:rPr>
              <w:t xml:space="preserve"> </w:t>
            </w:r>
            <w:r>
              <w:rPr>
                <w:rFonts w:eastAsia="Times New Roman" w:cs="Times New Roman"/>
                <w:color w:val="000000"/>
                <w:sz w:val="24"/>
                <w:szCs w:val="24"/>
                <w:lang w:eastAsia="lv-LV"/>
              </w:rPr>
              <w:t>2022.</w:t>
            </w:r>
            <w:r w:rsidRPr="006507C6">
              <w:rPr>
                <w:rFonts w:eastAsia="Times New Roman" w:cs="Times New Roman"/>
                <w:color w:val="000000"/>
                <w:sz w:val="24"/>
                <w:szCs w:val="24"/>
                <w:lang w:eastAsia="lv-LV"/>
              </w:rPr>
              <w:t xml:space="preserve">gadā nodokļu </w:t>
            </w:r>
            <w:r>
              <w:rPr>
                <w:rFonts w:eastAsia="Times New Roman" w:cs="Times New Roman"/>
                <w:color w:val="000000"/>
                <w:sz w:val="24"/>
                <w:szCs w:val="24"/>
                <w:lang w:eastAsia="lv-LV"/>
              </w:rPr>
              <w:t>daļa</w:t>
            </w:r>
            <w:r w:rsidRPr="006507C6">
              <w:rPr>
                <w:rFonts w:eastAsia="Times New Roman" w:cs="Times New Roman"/>
                <w:color w:val="000000"/>
                <w:sz w:val="24"/>
                <w:szCs w:val="24"/>
                <w:lang w:eastAsia="lv-LV"/>
              </w:rPr>
              <w:t xml:space="preserve"> pieaugs par 0,48 </w:t>
            </w:r>
            <w:proofErr w:type="spellStart"/>
            <w:r w:rsidRPr="006507C6">
              <w:rPr>
                <w:rFonts w:eastAsia="Times New Roman" w:cs="Times New Roman"/>
                <w:bCs/>
                <w:i/>
                <w:color w:val="000000"/>
                <w:sz w:val="24"/>
                <w:szCs w:val="24"/>
                <w:lang w:eastAsia="lv-LV"/>
              </w:rPr>
              <w:t>euro</w:t>
            </w:r>
            <w:proofErr w:type="spellEnd"/>
            <w:r w:rsidRPr="006507C6">
              <w:rPr>
                <w:rFonts w:eastAsia="Times New Roman" w:cs="Times New Roman"/>
                <w:color w:val="000000"/>
                <w:sz w:val="24"/>
                <w:szCs w:val="24"/>
                <w:lang w:eastAsia="lv-LV"/>
              </w:rPr>
              <w:t xml:space="preserve"> jeb 33,3% un </w:t>
            </w:r>
            <w:r>
              <w:rPr>
                <w:rFonts w:eastAsia="Times New Roman" w:cs="Times New Roman"/>
                <w:color w:val="000000"/>
                <w:sz w:val="24"/>
                <w:szCs w:val="24"/>
                <w:lang w:eastAsia="lv-LV"/>
              </w:rPr>
              <w:t>2023.</w:t>
            </w:r>
            <w:r w:rsidRPr="006507C6">
              <w:rPr>
                <w:rFonts w:eastAsia="Times New Roman" w:cs="Times New Roman"/>
                <w:color w:val="000000"/>
                <w:sz w:val="24"/>
                <w:szCs w:val="24"/>
                <w:lang w:eastAsia="lv-LV"/>
              </w:rPr>
              <w:t>gadā vēl par 0,48 </w:t>
            </w:r>
            <w:proofErr w:type="spellStart"/>
            <w:r w:rsidRPr="006507C6">
              <w:rPr>
                <w:rFonts w:eastAsia="Times New Roman" w:cs="Times New Roman"/>
                <w:bCs/>
                <w:i/>
                <w:color w:val="000000"/>
                <w:sz w:val="24"/>
                <w:szCs w:val="24"/>
                <w:lang w:eastAsia="lv-LV"/>
              </w:rPr>
              <w:t>euro</w:t>
            </w:r>
            <w:proofErr w:type="spellEnd"/>
            <w:r w:rsidRPr="006507C6">
              <w:rPr>
                <w:rFonts w:eastAsia="Times New Roman" w:cs="Times New Roman"/>
                <w:color w:val="000000"/>
                <w:sz w:val="24"/>
                <w:szCs w:val="24"/>
                <w:lang w:eastAsia="lv-LV"/>
              </w:rPr>
              <w:t xml:space="preserve"> jeb 25,0%</w:t>
            </w:r>
            <w:r>
              <w:rPr>
                <w:rFonts w:eastAsia="Times New Roman" w:cs="Times New Roman"/>
                <w:color w:val="000000"/>
                <w:sz w:val="24"/>
                <w:szCs w:val="24"/>
                <w:lang w:eastAsia="lv-LV"/>
              </w:rPr>
              <w:t>.</w:t>
            </w:r>
            <w:r w:rsidRPr="006507C6">
              <w:rPr>
                <w:rFonts w:eastAsia="Times New Roman" w:cs="Times New Roman"/>
                <w:color w:val="000000"/>
                <w:sz w:val="24"/>
                <w:szCs w:val="24"/>
                <w:lang w:eastAsia="lv-LV"/>
              </w:rPr>
              <w:t xml:space="preserve"> </w:t>
            </w:r>
          </w:p>
          <w:p w14:paraId="162C41ED"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6507C6">
              <w:rPr>
                <w:rFonts w:eastAsia="Times New Roman" w:cs="Times New Roman"/>
                <w:color w:val="000000"/>
                <w:sz w:val="24"/>
                <w:szCs w:val="24"/>
                <w:lang w:eastAsia="lv-LV"/>
              </w:rPr>
              <w:t>Prognozēts, ka, paaugstinot likmi, legālais elektroniskajās cigaretēs izmantojamo šķidrumu patēriņš samazināsies.</w:t>
            </w:r>
          </w:p>
          <w:p w14:paraId="3AE9D2B3" w14:textId="77777777" w:rsidR="00604513" w:rsidRDefault="00604513" w:rsidP="00A9147C">
            <w:pPr>
              <w:shd w:val="clear" w:color="auto" w:fill="FFFFFF"/>
              <w:spacing w:line="276" w:lineRule="auto"/>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Fiskālā ietekme, ņemot vērā akcīzes nodokļa maksāšanas kārtību:</w:t>
            </w:r>
          </w:p>
          <w:tbl>
            <w:tblPr>
              <w:tblW w:w="5947" w:type="dxa"/>
              <w:tblInd w:w="1129" w:type="dxa"/>
              <w:tblLayout w:type="fixed"/>
              <w:tblLook w:val="04A0" w:firstRow="1" w:lastRow="0" w:firstColumn="1" w:lastColumn="0" w:noHBand="0" w:noVBand="1"/>
            </w:tblPr>
            <w:tblGrid>
              <w:gridCol w:w="3153"/>
              <w:gridCol w:w="945"/>
              <w:gridCol w:w="944"/>
              <w:gridCol w:w="905"/>
            </w:tblGrid>
            <w:tr w:rsidR="00604513" w:rsidRPr="00A32BDC" w14:paraId="5CE20C61" w14:textId="77777777" w:rsidTr="00A9147C">
              <w:trPr>
                <w:trHeight w:val="257"/>
              </w:trPr>
              <w:tc>
                <w:tcPr>
                  <w:tcW w:w="3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5004F" w14:textId="77777777" w:rsidR="00604513" w:rsidRPr="00A32BDC" w:rsidRDefault="00604513" w:rsidP="00A9147C">
                  <w:pPr>
                    <w:spacing w:after="0" w:line="240" w:lineRule="auto"/>
                    <w:contextualSpacing/>
                    <w:rPr>
                      <w:rFonts w:ascii="Times New Roman" w:eastAsia="Times New Roman" w:hAnsi="Times New Roman" w:cs="Times New Roman"/>
                      <w:i/>
                      <w:iCs/>
                      <w:color w:val="000000"/>
                      <w:szCs w:val="24"/>
                      <w:lang w:eastAsia="lv-LV"/>
                    </w:rPr>
                  </w:pPr>
                  <w:r w:rsidRPr="00A32BDC">
                    <w:rPr>
                      <w:rFonts w:ascii="Times New Roman" w:eastAsia="Times New Roman" w:hAnsi="Times New Roman" w:cs="Times New Roman"/>
                      <w:i/>
                      <w:iCs/>
                      <w:color w:val="000000"/>
                      <w:szCs w:val="24"/>
                      <w:lang w:eastAsia="lv-LV"/>
                    </w:rPr>
                    <w:t>milj</w:t>
                  </w:r>
                  <w:r>
                    <w:rPr>
                      <w:rFonts w:ascii="Times New Roman" w:eastAsia="Times New Roman" w:hAnsi="Times New Roman" w:cs="Times New Roman"/>
                      <w:i/>
                      <w:iCs/>
                      <w:color w:val="000000"/>
                      <w:szCs w:val="24"/>
                      <w:lang w:eastAsia="lv-LV"/>
                    </w:rPr>
                    <w:t>.</w:t>
                  </w:r>
                  <w:r w:rsidRPr="00A32BDC">
                    <w:rPr>
                      <w:rFonts w:ascii="Times New Roman" w:eastAsia="Times New Roman" w:hAnsi="Times New Roman" w:cs="Times New Roman"/>
                      <w:i/>
                      <w:iCs/>
                      <w:color w:val="000000"/>
                      <w:szCs w:val="24"/>
                      <w:lang w:eastAsia="lv-LV"/>
                    </w:rPr>
                    <w:t xml:space="preserve"> </w:t>
                  </w:r>
                  <w:proofErr w:type="spellStart"/>
                  <w:r w:rsidRPr="00A32BDC">
                    <w:rPr>
                      <w:rFonts w:ascii="Times New Roman" w:eastAsia="Times New Roman" w:hAnsi="Times New Roman" w:cs="Times New Roman"/>
                      <w:i/>
                      <w:iCs/>
                      <w:color w:val="000000"/>
                      <w:szCs w:val="24"/>
                      <w:lang w:eastAsia="lv-LV"/>
                    </w:rPr>
                    <w:t>euro</w:t>
                  </w:r>
                  <w:proofErr w:type="spellEnd"/>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6D29A406"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2021</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71866566"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2022</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BECF78F"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2023</w:t>
                  </w:r>
                </w:p>
              </w:tc>
            </w:tr>
            <w:tr w:rsidR="00604513" w:rsidRPr="00A32BDC" w14:paraId="3712560A" w14:textId="77777777" w:rsidTr="00A9147C">
              <w:trPr>
                <w:trHeight w:val="257"/>
              </w:trPr>
              <w:tc>
                <w:tcPr>
                  <w:tcW w:w="3153" w:type="dxa"/>
                  <w:tcBorders>
                    <w:top w:val="nil"/>
                    <w:left w:val="single" w:sz="4" w:space="0" w:color="auto"/>
                    <w:bottom w:val="single" w:sz="4" w:space="0" w:color="auto"/>
                    <w:right w:val="single" w:sz="4" w:space="0" w:color="auto"/>
                  </w:tcBorders>
                  <w:shd w:val="clear" w:color="auto" w:fill="auto"/>
                  <w:noWrap/>
                  <w:vAlign w:val="bottom"/>
                  <w:hideMark/>
                </w:tcPr>
                <w:p w14:paraId="6701C080"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Akcīzes nodoklis</w:t>
                  </w:r>
                </w:p>
              </w:tc>
              <w:tc>
                <w:tcPr>
                  <w:tcW w:w="945" w:type="dxa"/>
                  <w:tcBorders>
                    <w:top w:val="nil"/>
                    <w:left w:val="nil"/>
                    <w:bottom w:val="single" w:sz="4" w:space="0" w:color="auto"/>
                    <w:right w:val="single" w:sz="4" w:space="0" w:color="auto"/>
                  </w:tcBorders>
                  <w:shd w:val="clear" w:color="auto" w:fill="auto"/>
                  <w:noWrap/>
                  <w:vAlign w:val="bottom"/>
                </w:tcPr>
                <w:p w14:paraId="4942D17B" w14:textId="77777777" w:rsidR="00604513" w:rsidRPr="00A32BDC" w:rsidRDefault="00604513" w:rsidP="00A9147C">
                  <w:pPr>
                    <w:spacing w:after="0" w:line="240" w:lineRule="auto"/>
                    <w:contextualSpacing/>
                    <w:rPr>
                      <w:rFonts w:ascii="Times New Roman" w:hAnsi="Times New Roman" w:cs="Times New Roman"/>
                      <w:color w:val="000000"/>
                      <w:szCs w:val="24"/>
                    </w:rPr>
                  </w:pPr>
                  <w:r w:rsidRPr="00A32BDC">
                    <w:rPr>
                      <w:rFonts w:ascii="Times New Roman" w:hAnsi="Times New Roman" w:cs="Times New Roman"/>
                      <w:color w:val="000000"/>
                      <w:szCs w:val="24"/>
                    </w:rPr>
                    <w:t>+0,420</w:t>
                  </w:r>
                </w:p>
              </w:tc>
              <w:tc>
                <w:tcPr>
                  <w:tcW w:w="944" w:type="dxa"/>
                  <w:tcBorders>
                    <w:top w:val="nil"/>
                    <w:left w:val="nil"/>
                    <w:bottom w:val="single" w:sz="4" w:space="0" w:color="auto"/>
                    <w:right w:val="single" w:sz="4" w:space="0" w:color="auto"/>
                  </w:tcBorders>
                  <w:shd w:val="clear" w:color="auto" w:fill="auto"/>
                  <w:noWrap/>
                  <w:vAlign w:val="bottom"/>
                </w:tcPr>
                <w:p w14:paraId="236B3380" w14:textId="77777777" w:rsidR="00604513" w:rsidRPr="00A32BDC" w:rsidRDefault="00604513" w:rsidP="00A9147C">
                  <w:pPr>
                    <w:spacing w:after="0" w:line="240" w:lineRule="auto"/>
                    <w:contextualSpacing/>
                    <w:rPr>
                      <w:rFonts w:ascii="Times New Roman" w:hAnsi="Times New Roman" w:cs="Times New Roman"/>
                      <w:color w:val="000000"/>
                      <w:szCs w:val="24"/>
                    </w:rPr>
                  </w:pPr>
                  <w:r w:rsidRPr="00A32BDC">
                    <w:rPr>
                      <w:rFonts w:ascii="Times New Roman" w:hAnsi="Times New Roman" w:cs="Times New Roman"/>
                      <w:color w:val="000000"/>
                      <w:szCs w:val="24"/>
                    </w:rPr>
                    <w:t>+0,510</w:t>
                  </w:r>
                </w:p>
              </w:tc>
              <w:tc>
                <w:tcPr>
                  <w:tcW w:w="905" w:type="dxa"/>
                  <w:tcBorders>
                    <w:top w:val="nil"/>
                    <w:left w:val="nil"/>
                    <w:bottom w:val="single" w:sz="4" w:space="0" w:color="auto"/>
                    <w:right w:val="single" w:sz="4" w:space="0" w:color="auto"/>
                  </w:tcBorders>
                  <w:shd w:val="clear" w:color="auto" w:fill="auto"/>
                  <w:noWrap/>
                  <w:vAlign w:val="bottom"/>
                </w:tcPr>
                <w:p w14:paraId="62A38AD7" w14:textId="77777777" w:rsidR="00604513" w:rsidRPr="00A32BDC" w:rsidRDefault="00604513" w:rsidP="00A9147C">
                  <w:pPr>
                    <w:spacing w:after="0" w:line="240" w:lineRule="auto"/>
                    <w:contextualSpacing/>
                    <w:rPr>
                      <w:rFonts w:ascii="Times New Roman" w:hAnsi="Times New Roman" w:cs="Times New Roman"/>
                      <w:color w:val="000000"/>
                      <w:szCs w:val="24"/>
                    </w:rPr>
                  </w:pPr>
                  <w:r w:rsidRPr="00A32BDC">
                    <w:rPr>
                      <w:rFonts w:ascii="Times New Roman" w:hAnsi="Times New Roman" w:cs="Times New Roman"/>
                      <w:color w:val="000000"/>
                      <w:szCs w:val="24"/>
                    </w:rPr>
                    <w:t>+0,550</w:t>
                  </w:r>
                </w:p>
              </w:tc>
            </w:tr>
            <w:tr w:rsidR="00604513" w:rsidRPr="00A32BDC" w14:paraId="259B8E59" w14:textId="77777777" w:rsidTr="00A9147C">
              <w:trPr>
                <w:trHeight w:val="257"/>
              </w:trPr>
              <w:tc>
                <w:tcPr>
                  <w:tcW w:w="3153" w:type="dxa"/>
                  <w:tcBorders>
                    <w:top w:val="nil"/>
                    <w:left w:val="single" w:sz="4" w:space="0" w:color="auto"/>
                    <w:bottom w:val="single" w:sz="4" w:space="0" w:color="auto"/>
                    <w:right w:val="single" w:sz="4" w:space="0" w:color="auto"/>
                  </w:tcBorders>
                  <w:shd w:val="clear" w:color="auto" w:fill="auto"/>
                  <w:noWrap/>
                  <w:vAlign w:val="bottom"/>
                  <w:hideMark/>
                </w:tcPr>
                <w:p w14:paraId="557B81BE"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Pievienotās vērtības nodoklis</w:t>
                  </w:r>
                </w:p>
              </w:tc>
              <w:tc>
                <w:tcPr>
                  <w:tcW w:w="945" w:type="dxa"/>
                  <w:tcBorders>
                    <w:top w:val="nil"/>
                    <w:left w:val="nil"/>
                    <w:bottom w:val="single" w:sz="4" w:space="0" w:color="auto"/>
                    <w:right w:val="single" w:sz="4" w:space="0" w:color="auto"/>
                  </w:tcBorders>
                  <w:shd w:val="clear" w:color="auto" w:fill="auto"/>
                  <w:noWrap/>
                  <w:vAlign w:val="bottom"/>
                </w:tcPr>
                <w:p w14:paraId="7E2D3421" w14:textId="77777777" w:rsidR="00604513" w:rsidRPr="00A32BDC" w:rsidRDefault="00604513" w:rsidP="00A9147C">
                  <w:pPr>
                    <w:spacing w:after="0" w:line="240" w:lineRule="auto"/>
                    <w:contextualSpacing/>
                    <w:rPr>
                      <w:rFonts w:ascii="Times New Roman" w:hAnsi="Times New Roman" w:cs="Times New Roman"/>
                      <w:color w:val="000000"/>
                      <w:szCs w:val="24"/>
                    </w:rPr>
                  </w:pPr>
                  <w:r w:rsidRPr="00A32BDC">
                    <w:rPr>
                      <w:rFonts w:ascii="Times New Roman" w:hAnsi="Times New Roman" w:cs="Times New Roman"/>
                      <w:color w:val="000000"/>
                      <w:szCs w:val="24"/>
                    </w:rPr>
                    <w:t>+0,090</w:t>
                  </w:r>
                </w:p>
              </w:tc>
              <w:tc>
                <w:tcPr>
                  <w:tcW w:w="944" w:type="dxa"/>
                  <w:tcBorders>
                    <w:top w:val="nil"/>
                    <w:left w:val="nil"/>
                    <w:bottom w:val="single" w:sz="4" w:space="0" w:color="auto"/>
                    <w:right w:val="single" w:sz="4" w:space="0" w:color="auto"/>
                  </w:tcBorders>
                  <w:shd w:val="clear" w:color="auto" w:fill="auto"/>
                  <w:noWrap/>
                  <w:vAlign w:val="bottom"/>
                </w:tcPr>
                <w:p w14:paraId="2735DB96" w14:textId="77777777" w:rsidR="00604513" w:rsidRPr="00A32BDC" w:rsidRDefault="00604513" w:rsidP="00A9147C">
                  <w:pPr>
                    <w:spacing w:after="0" w:line="240" w:lineRule="auto"/>
                    <w:contextualSpacing/>
                    <w:rPr>
                      <w:rFonts w:ascii="Times New Roman" w:hAnsi="Times New Roman" w:cs="Times New Roman"/>
                      <w:color w:val="000000"/>
                      <w:szCs w:val="24"/>
                    </w:rPr>
                  </w:pPr>
                  <w:r w:rsidRPr="00A32BDC">
                    <w:rPr>
                      <w:rFonts w:ascii="Times New Roman" w:hAnsi="Times New Roman" w:cs="Times New Roman"/>
                      <w:color w:val="000000"/>
                      <w:szCs w:val="24"/>
                    </w:rPr>
                    <w:t>+0,110</w:t>
                  </w:r>
                </w:p>
              </w:tc>
              <w:tc>
                <w:tcPr>
                  <w:tcW w:w="905" w:type="dxa"/>
                  <w:tcBorders>
                    <w:top w:val="nil"/>
                    <w:left w:val="nil"/>
                    <w:bottom w:val="single" w:sz="4" w:space="0" w:color="auto"/>
                    <w:right w:val="single" w:sz="4" w:space="0" w:color="auto"/>
                  </w:tcBorders>
                  <w:shd w:val="clear" w:color="auto" w:fill="auto"/>
                  <w:noWrap/>
                  <w:vAlign w:val="bottom"/>
                </w:tcPr>
                <w:p w14:paraId="5835DE3C" w14:textId="77777777" w:rsidR="00604513" w:rsidRPr="00A32BDC" w:rsidRDefault="00604513" w:rsidP="00A9147C">
                  <w:pPr>
                    <w:spacing w:after="0" w:line="240" w:lineRule="auto"/>
                    <w:contextualSpacing/>
                    <w:rPr>
                      <w:rFonts w:ascii="Times New Roman" w:hAnsi="Times New Roman" w:cs="Times New Roman"/>
                      <w:color w:val="000000"/>
                      <w:szCs w:val="24"/>
                    </w:rPr>
                  </w:pPr>
                  <w:r w:rsidRPr="00A32BDC">
                    <w:rPr>
                      <w:rFonts w:ascii="Times New Roman" w:hAnsi="Times New Roman" w:cs="Times New Roman"/>
                      <w:color w:val="000000"/>
                      <w:szCs w:val="24"/>
                    </w:rPr>
                    <w:t xml:space="preserve">+0,120 </w:t>
                  </w:r>
                </w:p>
              </w:tc>
            </w:tr>
            <w:tr w:rsidR="00604513" w:rsidRPr="00922602" w14:paraId="3771410B" w14:textId="77777777" w:rsidTr="00A9147C">
              <w:trPr>
                <w:trHeight w:val="257"/>
              </w:trPr>
              <w:tc>
                <w:tcPr>
                  <w:tcW w:w="3153" w:type="dxa"/>
                  <w:tcBorders>
                    <w:top w:val="nil"/>
                    <w:left w:val="single" w:sz="4" w:space="0" w:color="auto"/>
                    <w:bottom w:val="single" w:sz="4" w:space="0" w:color="auto"/>
                    <w:right w:val="single" w:sz="4" w:space="0" w:color="auto"/>
                  </w:tcBorders>
                  <w:shd w:val="clear" w:color="auto" w:fill="auto"/>
                  <w:noWrap/>
                  <w:vAlign w:val="bottom"/>
                  <w:hideMark/>
                </w:tcPr>
                <w:p w14:paraId="5BB0AB0C" w14:textId="77777777" w:rsidR="00604513" w:rsidRPr="00922602" w:rsidRDefault="00604513" w:rsidP="00A9147C">
                  <w:pPr>
                    <w:spacing w:after="0" w:line="240" w:lineRule="auto"/>
                    <w:contextualSpacing/>
                    <w:rPr>
                      <w:rFonts w:ascii="Times New Roman" w:eastAsia="Times New Roman" w:hAnsi="Times New Roman" w:cs="Times New Roman"/>
                      <w:b/>
                      <w:bCs/>
                      <w:color w:val="000000"/>
                      <w:szCs w:val="24"/>
                      <w:lang w:eastAsia="lv-LV"/>
                    </w:rPr>
                  </w:pPr>
                  <w:r w:rsidRPr="00922602">
                    <w:rPr>
                      <w:rFonts w:ascii="Times New Roman" w:eastAsia="Times New Roman" w:hAnsi="Times New Roman" w:cs="Times New Roman"/>
                      <w:b/>
                      <w:bCs/>
                      <w:color w:val="000000"/>
                      <w:szCs w:val="24"/>
                      <w:lang w:eastAsia="lv-LV"/>
                    </w:rPr>
                    <w:t>KOPĀ</w:t>
                  </w:r>
                </w:p>
              </w:tc>
              <w:tc>
                <w:tcPr>
                  <w:tcW w:w="945" w:type="dxa"/>
                  <w:tcBorders>
                    <w:top w:val="nil"/>
                    <w:left w:val="nil"/>
                    <w:bottom w:val="single" w:sz="4" w:space="0" w:color="auto"/>
                    <w:right w:val="single" w:sz="4" w:space="0" w:color="auto"/>
                  </w:tcBorders>
                  <w:shd w:val="clear" w:color="auto" w:fill="auto"/>
                  <w:noWrap/>
                  <w:vAlign w:val="bottom"/>
                </w:tcPr>
                <w:p w14:paraId="239EC679" w14:textId="77777777" w:rsidR="00604513" w:rsidRPr="00922602" w:rsidRDefault="00604513" w:rsidP="00A9147C">
                  <w:pPr>
                    <w:spacing w:after="0" w:line="240" w:lineRule="auto"/>
                    <w:contextualSpacing/>
                    <w:rPr>
                      <w:rFonts w:ascii="Times New Roman" w:hAnsi="Times New Roman" w:cs="Times New Roman"/>
                      <w:b/>
                      <w:color w:val="000000"/>
                      <w:szCs w:val="24"/>
                    </w:rPr>
                  </w:pPr>
                  <w:r w:rsidRPr="00922602">
                    <w:rPr>
                      <w:rFonts w:ascii="Times New Roman" w:hAnsi="Times New Roman" w:cs="Times New Roman"/>
                      <w:b/>
                      <w:color w:val="000000"/>
                      <w:szCs w:val="24"/>
                    </w:rPr>
                    <w:t>+0,510</w:t>
                  </w:r>
                </w:p>
              </w:tc>
              <w:tc>
                <w:tcPr>
                  <w:tcW w:w="944" w:type="dxa"/>
                  <w:tcBorders>
                    <w:top w:val="nil"/>
                    <w:left w:val="nil"/>
                    <w:bottom w:val="single" w:sz="4" w:space="0" w:color="auto"/>
                    <w:right w:val="single" w:sz="4" w:space="0" w:color="auto"/>
                  </w:tcBorders>
                  <w:shd w:val="clear" w:color="auto" w:fill="auto"/>
                  <w:noWrap/>
                  <w:vAlign w:val="bottom"/>
                </w:tcPr>
                <w:p w14:paraId="1D30E501" w14:textId="77777777" w:rsidR="00604513" w:rsidRPr="00922602" w:rsidRDefault="00604513" w:rsidP="00A9147C">
                  <w:pPr>
                    <w:spacing w:after="0" w:line="240" w:lineRule="auto"/>
                    <w:contextualSpacing/>
                    <w:rPr>
                      <w:rFonts w:ascii="Times New Roman" w:hAnsi="Times New Roman" w:cs="Times New Roman"/>
                      <w:b/>
                      <w:color w:val="000000"/>
                      <w:szCs w:val="24"/>
                    </w:rPr>
                  </w:pPr>
                  <w:r w:rsidRPr="00922602">
                    <w:rPr>
                      <w:rFonts w:ascii="Times New Roman" w:hAnsi="Times New Roman" w:cs="Times New Roman"/>
                      <w:b/>
                      <w:color w:val="000000"/>
                      <w:szCs w:val="24"/>
                    </w:rPr>
                    <w:t>+0,620</w:t>
                  </w:r>
                </w:p>
              </w:tc>
              <w:tc>
                <w:tcPr>
                  <w:tcW w:w="905" w:type="dxa"/>
                  <w:tcBorders>
                    <w:top w:val="nil"/>
                    <w:left w:val="nil"/>
                    <w:bottom w:val="single" w:sz="4" w:space="0" w:color="auto"/>
                    <w:right w:val="single" w:sz="4" w:space="0" w:color="auto"/>
                  </w:tcBorders>
                  <w:shd w:val="clear" w:color="auto" w:fill="auto"/>
                  <w:noWrap/>
                  <w:vAlign w:val="bottom"/>
                </w:tcPr>
                <w:p w14:paraId="77CE110E" w14:textId="77777777" w:rsidR="00604513" w:rsidRPr="00922602" w:rsidRDefault="00604513" w:rsidP="00A9147C">
                  <w:pPr>
                    <w:spacing w:after="0" w:line="240" w:lineRule="auto"/>
                    <w:contextualSpacing/>
                    <w:rPr>
                      <w:rFonts w:ascii="Times New Roman" w:hAnsi="Times New Roman" w:cs="Times New Roman"/>
                      <w:b/>
                      <w:color w:val="000000"/>
                      <w:szCs w:val="24"/>
                    </w:rPr>
                  </w:pPr>
                  <w:r w:rsidRPr="00922602">
                    <w:rPr>
                      <w:rFonts w:ascii="Times New Roman" w:hAnsi="Times New Roman" w:cs="Times New Roman"/>
                      <w:b/>
                      <w:color w:val="000000"/>
                      <w:szCs w:val="24"/>
                    </w:rPr>
                    <w:t>+0,670</w:t>
                  </w:r>
                </w:p>
              </w:tc>
            </w:tr>
          </w:tbl>
          <w:p w14:paraId="0ED91FB0" w14:textId="77777777" w:rsidR="00604513" w:rsidRPr="00770D12" w:rsidRDefault="00604513" w:rsidP="00A9147C">
            <w:pPr>
              <w:shd w:val="clear" w:color="auto" w:fill="FFFFFF"/>
              <w:spacing w:line="276" w:lineRule="auto"/>
              <w:jc w:val="both"/>
              <w:rPr>
                <w:rFonts w:eastAsia="Times New Roman" w:cs="Times New Roman"/>
                <w:color w:val="000000"/>
                <w:sz w:val="24"/>
                <w:szCs w:val="24"/>
                <w:lang w:eastAsia="lv-LV"/>
              </w:rPr>
            </w:pPr>
          </w:p>
          <w:p w14:paraId="3AA14A80" w14:textId="77777777" w:rsidR="00604513" w:rsidRPr="00770D12" w:rsidRDefault="00604513" w:rsidP="004B105E">
            <w:pPr>
              <w:rPr>
                <w:rFonts w:eastAsia="Times New Roman" w:cs="Times New Roman"/>
                <w:color w:val="000000"/>
                <w:sz w:val="24"/>
                <w:szCs w:val="24"/>
                <w:u w:val="single"/>
                <w:lang w:eastAsia="lv-LV"/>
              </w:rPr>
            </w:pPr>
            <w:r w:rsidRPr="00770D12">
              <w:rPr>
                <w:rFonts w:cs="Times New Roman"/>
                <w:sz w:val="24"/>
                <w:szCs w:val="24"/>
              </w:rPr>
              <w:t>3</w:t>
            </w:r>
            <w:r>
              <w:rPr>
                <w:rFonts w:cs="Times New Roman"/>
                <w:sz w:val="24"/>
                <w:szCs w:val="24"/>
              </w:rPr>
              <w:t>.</w:t>
            </w:r>
            <w:r w:rsidRPr="00770D12">
              <w:rPr>
                <w:rFonts w:cs="Times New Roman"/>
                <w:sz w:val="24"/>
                <w:szCs w:val="24"/>
              </w:rPr>
              <w:t xml:space="preserve"> </w:t>
            </w:r>
            <w:r w:rsidRPr="00770D12">
              <w:rPr>
                <w:rFonts w:eastAsia="Times New Roman" w:cs="Times New Roman"/>
                <w:color w:val="000000"/>
                <w:sz w:val="24"/>
                <w:szCs w:val="24"/>
                <w:u w:val="single"/>
                <w:lang w:eastAsia="lv-LV"/>
              </w:rPr>
              <w:t xml:space="preserve">Akcīzes nodokļa paaugstināšana </w:t>
            </w:r>
            <w:r w:rsidRPr="00F85A8C">
              <w:rPr>
                <w:rFonts w:eastAsia="Times New Roman" w:cs="Times New Roman"/>
                <w:b/>
                <w:color w:val="000000"/>
                <w:sz w:val="24"/>
                <w:szCs w:val="24"/>
                <w:u w:val="single"/>
                <w:lang w:eastAsia="lv-LV"/>
              </w:rPr>
              <w:t>cigāriem un cigarillām</w:t>
            </w:r>
          </w:p>
          <w:p w14:paraId="58B3E6BE"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Saskaņā ar Valsts ieņēmumu dienesta sniegto informāciju </w:t>
            </w:r>
            <w:proofErr w:type="gramStart"/>
            <w:r w:rsidRPr="00770D12">
              <w:rPr>
                <w:rFonts w:eastAsia="Times New Roman" w:cs="Times New Roman"/>
                <w:color w:val="000000"/>
                <w:sz w:val="24"/>
                <w:szCs w:val="24"/>
                <w:lang w:eastAsia="lv-LV"/>
              </w:rPr>
              <w:t>2019</w:t>
            </w:r>
            <w:r>
              <w:rPr>
                <w:rFonts w:eastAsia="Times New Roman" w:cs="Times New Roman"/>
                <w:color w:val="000000"/>
                <w:sz w:val="24"/>
                <w:szCs w:val="24"/>
                <w:lang w:eastAsia="lv-LV"/>
              </w:rPr>
              <w:t>.gada</w:t>
            </w:r>
            <w:proofErr w:type="gramEnd"/>
            <w:r w:rsidRPr="00770D12">
              <w:rPr>
                <w:rFonts w:eastAsia="Times New Roman" w:cs="Times New Roman"/>
                <w:color w:val="000000"/>
                <w:sz w:val="24"/>
                <w:szCs w:val="24"/>
                <w:lang w:eastAsia="lv-LV"/>
              </w:rPr>
              <w:t xml:space="preserve"> pārskata periodā salīdzinājumā ar 2018</w:t>
            </w:r>
            <w:r>
              <w:rPr>
                <w:rFonts w:eastAsia="Times New Roman" w:cs="Times New Roman"/>
                <w:color w:val="000000"/>
                <w:sz w:val="24"/>
                <w:szCs w:val="24"/>
                <w:lang w:eastAsia="lv-LV"/>
              </w:rPr>
              <w:t>.gada</w:t>
            </w:r>
            <w:r w:rsidRPr="00770D12">
              <w:rPr>
                <w:rFonts w:eastAsia="Times New Roman" w:cs="Times New Roman"/>
                <w:color w:val="000000"/>
                <w:sz w:val="24"/>
                <w:szCs w:val="24"/>
                <w:lang w:eastAsia="lv-LV"/>
              </w:rPr>
              <w:t xml:space="preserve"> pārskata periodu cigāru un cigar</w:t>
            </w:r>
            <w:r>
              <w:rPr>
                <w:rFonts w:eastAsia="Times New Roman" w:cs="Times New Roman"/>
                <w:color w:val="000000"/>
                <w:sz w:val="24"/>
                <w:szCs w:val="24"/>
                <w:lang w:eastAsia="lv-LV"/>
              </w:rPr>
              <w:t>i</w:t>
            </w:r>
            <w:r w:rsidRPr="00770D12">
              <w:rPr>
                <w:rFonts w:eastAsia="Times New Roman" w:cs="Times New Roman"/>
                <w:color w:val="000000"/>
                <w:sz w:val="24"/>
                <w:szCs w:val="24"/>
                <w:lang w:eastAsia="lv-LV"/>
              </w:rPr>
              <w:t>llu patēriņš Latvijā samazinājās par 18,3%</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Savukārt </w:t>
            </w:r>
            <w:proofErr w:type="gramStart"/>
            <w:r w:rsidRPr="00770D12">
              <w:rPr>
                <w:rFonts w:eastAsia="Times New Roman" w:cs="Times New Roman"/>
                <w:color w:val="000000"/>
                <w:sz w:val="24"/>
                <w:szCs w:val="24"/>
                <w:lang w:eastAsia="lv-LV"/>
              </w:rPr>
              <w:t>2020</w:t>
            </w:r>
            <w:r>
              <w:rPr>
                <w:rFonts w:eastAsia="Times New Roman" w:cs="Times New Roman"/>
                <w:color w:val="000000"/>
                <w:sz w:val="24"/>
                <w:szCs w:val="24"/>
                <w:lang w:eastAsia="lv-LV"/>
              </w:rPr>
              <w:t>.gada</w:t>
            </w:r>
            <w:proofErr w:type="gramEnd"/>
            <w:r w:rsidRPr="00770D12">
              <w:rPr>
                <w:rFonts w:eastAsia="Times New Roman" w:cs="Times New Roman"/>
                <w:color w:val="000000"/>
                <w:sz w:val="24"/>
                <w:szCs w:val="24"/>
                <w:lang w:eastAsia="lv-LV"/>
              </w:rPr>
              <w:t xml:space="preserve"> septiņos mēnešos salīdzinājumā ar iepriekšējā gada </w:t>
            </w:r>
            <w:r>
              <w:rPr>
                <w:rFonts w:eastAsia="Times New Roman" w:cs="Times New Roman"/>
                <w:color w:val="000000"/>
                <w:sz w:val="24"/>
                <w:szCs w:val="24"/>
                <w:lang w:eastAsia="lv-LV"/>
              </w:rPr>
              <w:t>atbilstošo</w:t>
            </w:r>
            <w:r w:rsidRPr="00770D12">
              <w:rPr>
                <w:rFonts w:eastAsia="Times New Roman" w:cs="Times New Roman"/>
                <w:color w:val="000000"/>
                <w:sz w:val="24"/>
                <w:szCs w:val="24"/>
                <w:lang w:eastAsia="lv-LV"/>
              </w:rPr>
              <w:t xml:space="preserve"> pārskata periodu to patēriņš samazinājās </w:t>
            </w:r>
            <w:r>
              <w:rPr>
                <w:rFonts w:eastAsia="Times New Roman" w:cs="Times New Roman"/>
                <w:color w:val="000000"/>
                <w:sz w:val="24"/>
                <w:szCs w:val="24"/>
                <w:lang w:eastAsia="lv-LV"/>
              </w:rPr>
              <w:t xml:space="preserve">vēl </w:t>
            </w:r>
            <w:r w:rsidRPr="00770D12">
              <w:rPr>
                <w:rFonts w:eastAsia="Times New Roman" w:cs="Times New Roman"/>
                <w:color w:val="000000"/>
                <w:sz w:val="24"/>
                <w:szCs w:val="24"/>
                <w:lang w:eastAsia="lv-LV"/>
              </w:rPr>
              <w:t xml:space="preserve">par 26,0% un bija zem </w:t>
            </w:r>
            <w:r>
              <w:rPr>
                <w:rFonts w:eastAsia="Times New Roman" w:cs="Times New Roman"/>
                <w:color w:val="000000"/>
                <w:sz w:val="24"/>
                <w:szCs w:val="24"/>
                <w:lang w:eastAsia="lv-LV"/>
              </w:rPr>
              <w:t>2018.gada</w:t>
            </w:r>
            <w:r w:rsidRPr="00770D12">
              <w:rPr>
                <w:rFonts w:eastAsia="Times New Roman" w:cs="Times New Roman"/>
                <w:color w:val="000000"/>
                <w:sz w:val="24"/>
                <w:szCs w:val="24"/>
                <w:lang w:eastAsia="lv-LV"/>
              </w:rPr>
              <w:t xml:space="preserve"> līmeņa</w:t>
            </w:r>
            <w:r>
              <w:rPr>
                <w:rFonts w:eastAsia="Times New Roman" w:cs="Times New Roman"/>
                <w:color w:val="000000"/>
                <w:sz w:val="24"/>
                <w:szCs w:val="24"/>
                <w:lang w:eastAsia="lv-LV"/>
              </w:rPr>
              <w:t>.</w:t>
            </w:r>
          </w:p>
          <w:p w14:paraId="08A7E37D"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Akcīzes nodokļa likmes paaugstināšanas rezultātā vienas paciņas (10 cigāri vai cigar</w:t>
            </w:r>
            <w:r>
              <w:rPr>
                <w:rFonts w:eastAsia="Times New Roman" w:cs="Times New Roman"/>
                <w:color w:val="000000"/>
                <w:sz w:val="24"/>
                <w:szCs w:val="24"/>
                <w:lang w:eastAsia="lv-LV"/>
              </w:rPr>
              <w:t>i</w:t>
            </w:r>
            <w:r w:rsidRPr="00770D12">
              <w:rPr>
                <w:rFonts w:eastAsia="Times New Roman" w:cs="Times New Roman"/>
                <w:color w:val="000000"/>
                <w:sz w:val="24"/>
                <w:szCs w:val="24"/>
                <w:lang w:eastAsia="lv-LV"/>
              </w:rPr>
              <w:t xml:space="preserve">llas) mazumtirdzniecības cenas </w:t>
            </w:r>
            <w:r w:rsidRPr="006507C6">
              <w:rPr>
                <w:rFonts w:eastAsia="Times New Roman" w:cs="Times New Roman"/>
                <w:color w:val="000000"/>
                <w:sz w:val="24"/>
                <w:szCs w:val="24"/>
                <w:lang w:eastAsia="lv-LV"/>
              </w:rPr>
              <w:t xml:space="preserve">nodokļu daļas pieaugums </w:t>
            </w:r>
            <w:proofErr w:type="gramStart"/>
            <w:r>
              <w:rPr>
                <w:rFonts w:eastAsia="Times New Roman" w:cs="Times New Roman"/>
                <w:color w:val="000000"/>
                <w:sz w:val="24"/>
                <w:szCs w:val="24"/>
                <w:lang w:eastAsia="lv-LV"/>
              </w:rPr>
              <w:t>2021.</w:t>
            </w:r>
            <w:r w:rsidRPr="006507C6">
              <w:rPr>
                <w:rFonts w:eastAsia="Times New Roman" w:cs="Times New Roman"/>
                <w:color w:val="000000"/>
                <w:sz w:val="24"/>
                <w:szCs w:val="24"/>
                <w:lang w:eastAsia="lv-LV"/>
              </w:rPr>
              <w:t>gadā</w:t>
            </w:r>
            <w:proofErr w:type="gramEnd"/>
            <w:r w:rsidRPr="006507C6">
              <w:rPr>
                <w:rFonts w:eastAsia="Times New Roman" w:cs="Times New Roman"/>
                <w:color w:val="000000"/>
                <w:sz w:val="24"/>
                <w:szCs w:val="24"/>
                <w:lang w:eastAsia="lv-LV"/>
              </w:rPr>
              <w:t xml:space="preserve"> būs +0,08 </w:t>
            </w:r>
            <w:proofErr w:type="spellStart"/>
            <w:r w:rsidRPr="006507C6">
              <w:rPr>
                <w:rFonts w:eastAsia="Times New Roman" w:cs="Times New Roman"/>
                <w:bCs/>
                <w:i/>
                <w:color w:val="000000"/>
                <w:sz w:val="24"/>
                <w:szCs w:val="24"/>
                <w:lang w:eastAsia="lv-LV"/>
              </w:rPr>
              <w:t>euro</w:t>
            </w:r>
            <w:proofErr w:type="spellEnd"/>
            <w:r w:rsidRPr="006507C6">
              <w:rPr>
                <w:rFonts w:eastAsia="Times New Roman" w:cs="Times New Roman"/>
                <w:color w:val="000000"/>
                <w:sz w:val="24"/>
                <w:szCs w:val="24"/>
                <w:lang w:eastAsia="lv-LV"/>
              </w:rPr>
              <w:t xml:space="preserve"> jeb +7,0%, </w:t>
            </w:r>
            <w:r>
              <w:rPr>
                <w:rFonts w:eastAsia="Times New Roman" w:cs="Times New Roman"/>
                <w:color w:val="000000"/>
                <w:sz w:val="24"/>
                <w:szCs w:val="24"/>
                <w:lang w:eastAsia="lv-LV"/>
              </w:rPr>
              <w:t>2022.</w:t>
            </w:r>
            <w:r w:rsidRPr="00E11B20">
              <w:rPr>
                <w:rFonts w:eastAsia="Times New Roman" w:cs="Times New Roman"/>
                <w:sz w:val="24"/>
                <w:szCs w:val="24"/>
                <w:lang w:eastAsia="lv-LV"/>
              </w:rPr>
              <w:t>gadā būs +0,09 </w:t>
            </w:r>
            <w:proofErr w:type="spellStart"/>
            <w:r w:rsidRPr="00E11B20">
              <w:rPr>
                <w:rFonts w:eastAsia="Times New Roman" w:cs="Times New Roman"/>
                <w:bCs/>
                <w:i/>
                <w:sz w:val="24"/>
                <w:szCs w:val="24"/>
                <w:lang w:eastAsia="lv-LV"/>
              </w:rPr>
              <w:t>euro</w:t>
            </w:r>
            <w:proofErr w:type="spellEnd"/>
            <w:r w:rsidRPr="00E11B20">
              <w:rPr>
                <w:rFonts w:eastAsia="Times New Roman" w:cs="Times New Roman"/>
                <w:sz w:val="24"/>
                <w:szCs w:val="24"/>
                <w:lang w:eastAsia="lv-LV"/>
              </w:rPr>
              <w:t xml:space="preserve"> jeb +7,1% un 2023.gadā +0,09 </w:t>
            </w:r>
            <w:proofErr w:type="spellStart"/>
            <w:r w:rsidRPr="00E11B20">
              <w:rPr>
                <w:rFonts w:eastAsia="Times New Roman" w:cs="Times New Roman"/>
                <w:bCs/>
                <w:i/>
                <w:sz w:val="24"/>
                <w:szCs w:val="24"/>
                <w:lang w:eastAsia="lv-LV"/>
              </w:rPr>
              <w:t>euro</w:t>
            </w:r>
            <w:proofErr w:type="spellEnd"/>
            <w:r w:rsidRPr="00E11B20">
              <w:rPr>
                <w:rFonts w:eastAsia="Times New Roman" w:cs="Times New Roman"/>
                <w:sz w:val="24"/>
                <w:szCs w:val="24"/>
                <w:lang w:eastAsia="lv-LV"/>
              </w:rPr>
              <w:t xml:space="preserve"> jeb +7,0%. Prognozēts, ka katras likmju paaugstināšanas rezultātā samazināsies iepriekš prognozētais patēriņa </w:t>
            </w:r>
            <w:r w:rsidRPr="006507C6">
              <w:rPr>
                <w:rFonts w:eastAsia="Times New Roman" w:cs="Times New Roman"/>
                <w:color w:val="000000"/>
                <w:sz w:val="24"/>
                <w:szCs w:val="24"/>
                <w:lang w:eastAsia="lv-LV"/>
              </w:rPr>
              <w:t>apjoms.</w:t>
            </w:r>
          </w:p>
          <w:p w14:paraId="2BCEEB6F" w14:textId="77777777" w:rsidR="00604513" w:rsidRPr="00770D12" w:rsidRDefault="00604513" w:rsidP="00A9147C">
            <w:pPr>
              <w:shd w:val="clear" w:color="auto" w:fill="FFFFFF"/>
              <w:spacing w:line="276" w:lineRule="auto"/>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Fiskālā ietekme, ņemot vērā akcīzes nodokļa maksāšanas kārtību:</w:t>
            </w:r>
          </w:p>
          <w:tbl>
            <w:tblPr>
              <w:tblW w:w="5941" w:type="dxa"/>
              <w:tblInd w:w="1129" w:type="dxa"/>
              <w:tblLayout w:type="fixed"/>
              <w:tblLook w:val="04A0" w:firstRow="1" w:lastRow="0" w:firstColumn="1" w:lastColumn="0" w:noHBand="0" w:noVBand="1"/>
            </w:tblPr>
            <w:tblGrid>
              <w:gridCol w:w="3135"/>
              <w:gridCol w:w="941"/>
              <w:gridCol w:w="940"/>
              <w:gridCol w:w="925"/>
            </w:tblGrid>
            <w:tr w:rsidR="00604513" w:rsidRPr="00A32BDC" w14:paraId="2D92D33C" w14:textId="77777777" w:rsidTr="00A9147C">
              <w:trPr>
                <w:trHeight w:val="251"/>
              </w:trPr>
              <w:tc>
                <w:tcPr>
                  <w:tcW w:w="3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ABD91" w14:textId="77777777" w:rsidR="00604513" w:rsidRPr="00A32BDC" w:rsidRDefault="00604513" w:rsidP="00A9147C">
                  <w:pPr>
                    <w:spacing w:after="0" w:line="240" w:lineRule="auto"/>
                    <w:contextualSpacing/>
                    <w:rPr>
                      <w:rFonts w:ascii="Times New Roman" w:eastAsia="Times New Roman" w:hAnsi="Times New Roman" w:cs="Times New Roman"/>
                      <w:i/>
                      <w:iCs/>
                      <w:color w:val="000000"/>
                      <w:szCs w:val="24"/>
                      <w:lang w:eastAsia="lv-LV"/>
                    </w:rPr>
                  </w:pPr>
                  <w:r w:rsidRPr="00A32BDC">
                    <w:rPr>
                      <w:rFonts w:ascii="Times New Roman" w:eastAsia="Times New Roman" w:hAnsi="Times New Roman" w:cs="Times New Roman"/>
                      <w:i/>
                      <w:iCs/>
                      <w:color w:val="000000"/>
                      <w:szCs w:val="24"/>
                      <w:lang w:eastAsia="lv-LV"/>
                    </w:rPr>
                    <w:t>milj</w:t>
                  </w:r>
                  <w:r>
                    <w:rPr>
                      <w:rFonts w:ascii="Times New Roman" w:eastAsia="Times New Roman" w:hAnsi="Times New Roman" w:cs="Times New Roman"/>
                      <w:i/>
                      <w:iCs/>
                      <w:color w:val="000000"/>
                      <w:szCs w:val="24"/>
                      <w:lang w:eastAsia="lv-LV"/>
                    </w:rPr>
                    <w:t>.</w:t>
                  </w:r>
                  <w:r w:rsidRPr="00A32BDC">
                    <w:rPr>
                      <w:rFonts w:ascii="Times New Roman" w:eastAsia="Times New Roman" w:hAnsi="Times New Roman" w:cs="Times New Roman"/>
                      <w:i/>
                      <w:iCs/>
                      <w:color w:val="000000"/>
                      <w:szCs w:val="24"/>
                      <w:lang w:eastAsia="lv-LV"/>
                    </w:rPr>
                    <w:t xml:space="preserve"> </w:t>
                  </w:r>
                  <w:proofErr w:type="spellStart"/>
                  <w:r w:rsidRPr="00A32BDC">
                    <w:rPr>
                      <w:rFonts w:ascii="Times New Roman" w:eastAsia="Times New Roman" w:hAnsi="Times New Roman" w:cs="Times New Roman"/>
                      <w:i/>
                      <w:iCs/>
                      <w:color w:val="000000"/>
                      <w:szCs w:val="24"/>
                      <w:lang w:eastAsia="lv-LV"/>
                    </w:rPr>
                    <w:t>euro</w:t>
                  </w:r>
                  <w:proofErr w:type="spellEnd"/>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4EB73F03"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6F94009"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2022</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031A9355"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2023</w:t>
                  </w:r>
                </w:p>
              </w:tc>
            </w:tr>
            <w:tr w:rsidR="00604513" w:rsidRPr="00A32BDC" w14:paraId="3420608A" w14:textId="77777777" w:rsidTr="00A9147C">
              <w:trPr>
                <w:trHeight w:val="251"/>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14:paraId="74BE76D8"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Akcīzes nodoklis</w:t>
                  </w:r>
                </w:p>
              </w:tc>
              <w:tc>
                <w:tcPr>
                  <w:tcW w:w="941" w:type="dxa"/>
                  <w:tcBorders>
                    <w:top w:val="nil"/>
                    <w:left w:val="nil"/>
                    <w:bottom w:val="single" w:sz="4" w:space="0" w:color="auto"/>
                    <w:right w:val="single" w:sz="4" w:space="0" w:color="auto"/>
                  </w:tcBorders>
                  <w:shd w:val="clear" w:color="auto" w:fill="auto"/>
                  <w:noWrap/>
                  <w:hideMark/>
                </w:tcPr>
                <w:p w14:paraId="49E22957" w14:textId="77777777" w:rsidR="00604513" w:rsidRPr="00A32BDC" w:rsidRDefault="00604513" w:rsidP="00A9147C">
                  <w:pPr>
                    <w:spacing w:after="0"/>
                    <w:contextualSpacing/>
                    <w:rPr>
                      <w:rFonts w:ascii="Times New Roman" w:hAnsi="Times New Roman" w:cs="Times New Roman"/>
                      <w:szCs w:val="24"/>
                    </w:rPr>
                  </w:pPr>
                  <w:r w:rsidRPr="00A32BDC">
                    <w:rPr>
                      <w:rFonts w:ascii="Times New Roman" w:hAnsi="Times New Roman" w:cs="Times New Roman"/>
                      <w:szCs w:val="24"/>
                    </w:rPr>
                    <w:t xml:space="preserve">+0,140 </w:t>
                  </w:r>
                </w:p>
              </w:tc>
              <w:tc>
                <w:tcPr>
                  <w:tcW w:w="940" w:type="dxa"/>
                  <w:tcBorders>
                    <w:top w:val="nil"/>
                    <w:left w:val="nil"/>
                    <w:bottom w:val="single" w:sz="4" w:space="0" w:color="auto"/>
                    <w:right w:val="single" w:sz="4" w:space="0" w:color="auto"/>
                  </w:tcBorders>
                  <w:shd w:val="clear" w:color="auto" w:fill="auto"/>
                  <w:noWrap/>
                  <w:hideMark/>
                </w:tcPr>
                <w:p w14:paraId="0458C59A" w14:textId="77777777" w:rsidR="00604513" w:rsidRPr="00A32BDC" w:rsidRDefault="00604513" w:rsidP="00A9147C">
                  <w:pPr>
                    <w:spacing w:after="0"/>
                    <w:contextualSpacing/>
                    <w:rPr>
                      <w:rFonts w:ascii="Times New Roman" w:hAnsi="Times New Roman" w:cs="Times New Roman"/>
                      <w:szCs w:val="24"/>
                    </w:rPr>
                  </w:pPr>
                  <w:r w:rsidRPr="00A32BDC">
                    <w:rPr>
                      <w:rFonts w:ascii="Times New Roman" w:hAnsi="Times New Roman" w:cs="Times New Roman"/>
                      <w:szCs w:val="24"/>
                    </w:rPr>
                    <w:t xml:space="preserve">+0,290 </w:t>
                  </w:r>
                </w:p>
              </w:tc>
              <w:tc>
                <w:tcPr>
                  <w:tcW w:w="925" w:type="dxa"/>
                  <w:tcBorders>
                    <w:top w:val="nil"/>
                    <w:left w:val="nil"/>
                    <w:bottom w:val="single" w:sz="4" w:space="0" w:color="auto"/>
                    <w:right w:val="single" w:sz="4" w:space="0" w:color="auto"/>
                  </w:tcBorders>
                  <w:shd w:val="clear" w:color="auto" w:fill="auto"/>
                  <w:noWrap/>
                  <w:hideMark/>
                </w:tcPr>
                <w:p w14:paraId="5CA15400" w14:textId="77777777" w:rsidR="00604513" w:rsidRPr="00A32BDC" w:rsidRDefault="00604513" w:rsidP="00A9147C">
                  <w:pPr>
                    <w:spacing w:after="0"/>
                    <w:contextualSpacing/>
                    <w:rPr>
                      <w:rFonts w:ascii="Times New Roman" w:hAnsi="Times New Roman" w:cs="Times New Roman"/>
                      <w:szCs w:val="24"/>
                    </w:rPr>
                  </w:pPr>
                  <w:r w:rsidRPr="00A32BDC">
                    <w:rPr>
                      <w:rFonts w:ascii="Times New Roman" w:hAnsi="Times New Roman" w:cs="Times New Roman"/>
                      <w:szCs w:val="24"/>
                    </w:rPr>
                    <w:t xml:space="preserve">+0,450 </w:t>
                  </w:r>
                </w:p>
              </w:tc>
            </w:tr>
            <w:tr w:rsidR="00604513" w:rsidRPr="00A32BDC" w14:paraId="71C021AD" w14:textId="77777777" w:rsidTr="00A9147C">
              <w:trPr>
                <w:trHeight w:val="251"/>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14:paraId="59244E1F"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Pievienotās vērtības nodoklis</w:t>
                  </w:r>
                </w:p>
              </w:tc>
              <w:tc>
                <w:tcPr>
                  <w:tcW w:w="941" w:type="dxa"/>
                  <w:tcBorders>
                    <w:top w:val="nil"/>
                    <w:left w:val="nil"/>
                    <w:bottom w:val="single" w:sz="4" w:space="0" w:color="auto"/>
                    <w:right w:val="single" w:sz="4" w:space="0" w:color="auto"/>
                  </w:tcBorders>
                  <w:shd w:val="clear" w:color="auto" w:fill="auto"/>
                  <w:noWrap/>
                  <w:hideMark/>
                </w:tcPr>
                <w:p w14:paraId="60D5D9BF" w14:textId="77777777" w:rsidR="00604513" w:rsidRPr="00A32BDC" w:rsidRDefault="00604513" w:rsidP="00A9147C">
                  <w:pPr>
                    <w:spacing w:after="0"/>
                    <w:contextualSpacing/>
                    <w:rPr>
                      <w:rFonts w:ascii="Times New Roman" w:hAnsi="Times New Roman" w:cs="Times New Roman"/>
                      <w:szCs w:val="24"/>
                    </w:rPr>
                  </w:pPr>
                  <w:r w:rsidRPr="00A32BDC">
                    <w:rPr>
                      <w:rFonts w:ascii="Times New Roman" w:hAnsi="Times New Roman" w:cs="Times New Roman"/>
                      <w:szCs w:val="24"/>
                    </w:rPr>
                    <w:t xml:space="preserve">+0,029 </w:t>
                  </w:r>
                </w:p>
              </w:tc>
              <w:tc>
                <w:tcPr>
                  <w:tcW w:w="940" w:type="dxa"/>
                  <w:tcBorders>
                    <w:top w:val="nil"/>
                    <w:left w:val="nil"/>
                    <w:bottom w:val="single" w:sz="4" w:space="0" w:color="auto"/>
                    <w:right w:val="single" w:sz="4" w:space="0" w:color="auto"/>
                  </w:tcBorders>
                  <w:shd w:val="clear" w:color="auto" w:fill="auto"/>
                  <w:noWrap/>
                  <w:hideMark/>
                </w:tcPr>
                <w:p w14:paraId="070F501A" w14:textId="77777777" w:rsidR="00604513" w:rsidRPr="00A32BDC" w:rsidRDefault="00604513" w:rsidP="00A9147C">
                  <w:pPr>
                    <w:spacing w:after="0"/>
                    <w:contextualSpacing/>
                    <w:rPr>
                      <w:rFonts w:ascii="Times New Roman" w:hAnsi="Times New Roman" w:cs="Times New Roman"/>
                      <w:szCs w:val="24"/>
                    </w:rPr>
                  </w:pPr>
                  <w:r w:rsidRPr="00A32BDC">
                    <w:rPr>
                      <w:rFonts w:ascii="Times New Roman" w:hAnsi="Times New Roman" w:cs="Times New Roman"/>
                      <w:szCs w:val="24"/>
                    </w:rPr>
                    <w:t xml:space="preserve">+0,061 </w:t>
                  </w:r>
                </w:p>
              </w:tc>
              <w:tc>
                <w:tcPr>
                  <w:tcW w:w="925" w:type="dxa"/>
                  <w:tcBorders>
                    <w:top w:val="nil"/>
                    <w:left w:val="nil"/>
                    <w:bottom w:val="single" w:sz="4" w:space="0" w:color="auto"/>
                    <w:right w:val="single" w:sz="4" w:space="0" w:color="auto"/>
                  </w:tcBorders>
                  <w:shd w:val="clear" w:color="auto" w:fill="auto"/>
                  <w:noWrap/>
                  <w:hideMark/>
                </w:tcPr>
                <w:p w14:paraId="7180B582" w14:textId="77777777" w:rsidR="00604513" w:rsidRPr="00A32BDC" w:rsidRDefault="00604513" w:rsidP="00A9147C">
                  <w:pPr>
                    <w:spacing w:after="0"/>
                    <w:contextualSpacing/>
                    <w:rPr>
                      <w:rFonts w:ascii="Times New Roman" w:hAnsi="Times New Roman" w:cs="Times New Roman"/>
                      <w:szCs w:val="24"/>
                    </w:rPr>
                  </w:pPr>
                  <w:r w:rsidRPr="00A32BDC">
                    <w:rPr>
                      <w:rFonts w:ascii="Times New Roman" w:hAnsi="Times New Roman" w:cs="Times New Roman"/>
                      <w:szCs w:val="24"/>
                    </w:rPr>
                    <w:t xml:space="preserve">+0,095 </w:t>
                  </w:r>
                </w:p>
              </w:tc>
            </w:tr>
            <w:tr w:rsidR="00604513" w:rsidRPr="00A32BDC" w14:paraId="61B1CA39" w14:textId="77777777" w:rsidTr="00A9147C">
              <w:trPr>
                <w:trHeight w:val="251"/>
              </w:trPr>
              <w:tc>
                <w:tcPr>
                  <w:tcW w:w="3135" w:type="dxa"/>
                  <w:tcBorders>
                    <w:top w:val="nil"/>
                    <w:left w:val="single" w:sz="4" w:space="0" w:color="auto"/>
                    <w:bottom w:val="single" w:sz="4" w:space="0" w:color="auto"/>
                    <w:right w:val="single" w:sz="4" w:space="0" w:color="auto"/>
                  </w:tcBorders>
                  <w:shd w:val="clear" w:color="auto" w:fill="auto"/>
                  <w:noWrap/>
                  <w:vAlign w:val="bottom"/>
                  <w:hideMark/>
                </w:tcPr>
                <w:p w14:paraId="72D8E7F3" w14:textId="77777777" w:rsidR="00604513" w:rsidRPr="00A32BDC" w:rsidRDefault="00604513" w:rsidP="00A9147C">
                  <w:pPr>
                    <w:spacing w:after="0" w:line="240" w:lineRule="auto"/>
                    <w:contextualSpacing/>
                    <w:rPr>
                      <w:rFonts w:ascii="Times New Roman" w:eastAsia="Times New Roman" w:hAnsi="Times New Roman" w:cs="Times New Roman"/>
                      <w:b/>
                      <w:bCs/>
                      <w:color w:val="000000"/>
                      <w:szCs w:val="24"/>
                      <w:lang w:eastAsia="lv-LV"/>
                    </w:rPr>
                  </w:pPr>
                  <w:r w:rsidRPr="00A32BDC">
                    <w:rPr>
                      <w:rFonts w:ascii="Times New Roman" w:eastAsia="Times New Roman" w:hAnsi="Times New Roman" w:cs="Times New Roman"/>
                      <w:b/>
                      <w:bCs/>
                      <w:color w:val="000000"/>
                      <w:szCs w:val="24"/>
                      <w:lang w:eastAsia="lv-LV"/>
                    </w:rPr>
                    <w:t>KOPĀ</w:t>
                  </w:r>
                </w:p>
              </w:tc>
              <w:tc>
                <w:tcPr>
                  <w:tcW w:w="941" w:type="dxa"/>
                  <w:tcBorders>
                    <w:top w:val="nil"/>
                    <w:left w:val="nil"/>
                    <w:bottom w:val="single" w:sz="4" w:space="0" w:color="auto"/>
                    <w:right w:val="single" w:sz="4" w:space="0" w:color="auto"/>
                  </w:tcBorders>
                  <w:shd w:val="clear" w:color="auto" w:fill="auto"/>
                  <w:noWrap/>
                  <w:hideMark/>
                </w:tcPr>
                <w:p w14:paraId="06474A18" w14:textId="77777777" w:rsidR="00604513" w:rsidRPr="00922602" w:rsidRDefault="00604513" w:rsidP="00A9147C">
                  <w:pPr>
                    <w:spacing w:after="0"/>
                    <w:contextualSpacing/>
                    <w:rPr>
                      <w:rFonts w:ascii="Times New Roman" w:hAnsi="Times New Roman" w:cs="Times New Roman"/>
                      <w:b/>
                      <w:szCs w:val="24"/>
                    </w:rPr>
                  </w:pPr>
                  <w:r w:rsidRPr="00922602">
                    <w:rPr>
                      <w:rFonts w:ascii="Times New Roman" w:hAnsi="Times New Roman" w:cs="Times New Roman"/>
                      <w:b/>
                      <w:szCs w:val="24"/>
                    </w:rPr>
                    <w:t xml:space="preserve">+0,169 </w:t>
                  </w:r>
                </w:p>
              </w:tc>
              <w:tc>
                <w:tcPr>
                  <w:tcW w:w="940" w:type="dxa"/>
                  <w:tcBorders>
                    <w:top w:val="nil"/>
                    <w:left w:val="nil"/>
                    <w:bottom w:val="single" w:sz="4" w:space="0" w:color="auto"/>
                    <w:right w:val="single" w:sz="4" w:space="0" w:color="auto"/>
                  </w:tcBorders>
                  <w:shd w:val="clear" w:color="auto" w:fill="auto"/>
                  <w:noWrap/>
                  <w:hideMark/>
                </w:tcPr>
                <w:p w14:paraId="77F23516" w14:textId="77777777" w:rsidR="00604513" w:rsidRPr="00922602" w:rsidRDefault="00604513" w:rsidP="00A9147C">
                  <w:pPr>
                    <w:spacing w:after="0"/>
                    <w:contextualSpacing/>
                    <w:rPr>
                      <w:rFonts w:ascii="Times New Roman" w:hAnsi="Times New Roman" w:cs="Times New Roman"/>
                      <w:b/>
                      <w:szCs w:val="24"/>
                    </w:rPr>
                  </w:pPr>
                  <w:r w:rsidRPr="00922602">
                    <w:rPr>
                      <w:rFonts w:ascii="Times New Roman" w:hAnsi="Times New Roman" w:cs="Times New Roman"/>
                      <w:b/>
                      <w:szCs w:val="24"/>
                    </w:rPr>
                    <w:t xml:space="preserve">+0,351 </w:t>
                  </w:r>
                </w:p>
              </w:tc>
              <w:tc>
                <w:tcPr>
                  <w:tcW w:w="925" w:type="dxa"/>
                  <w:tcBorders>
                    <w:top w:val="nil"/>
                    <w:left w:val="nil"/>
                    <w:bottom w:val="single" w:sz="4" w:space="0" w:color="auto"/>
                    <w:right w:val="single" w:sz="4" w:space="0" w:color="auto"/>
                  </w:tcBorders>
                  <w:shd w:val="clear" w:color="auto" w:fill="auto"/>
                  <w:noWrap/>
                  <w:hideMark/>
                </w:tcPr>
                <w:p w14:paraId="21EB79F1" w14:textId="77777777" w:rsidR="00604513" w:rsidRPr="00922602" w:rsidRDefault="00604513" w:rsidP="00A9147C">
                  <w:pPr>
                    <w:spacing w:after="0"/>
                    <w:contextualSpacing/>
                    <w:rPr>
                      <w:rFonts w:ascii="Times New Roman" w:hAnsi="Times New Roman" w:cs="Times New Roman"/>
                      <w:b/>
                      <w:szCs w:val="24"/>
                    </w:rPr>
                  </w:pPr>
                  <w:r w:rsidRPr="00922602">
                    <w:rPr>
                      <w:rFonts w:ascii="Times New Roman" w:hAnsi="Times New Roman" w:cs="Times New Roman"/>
                      <w:b/>
                      <w:szCs w:val="24"/>
                    </w:rPr>
                    <w:t xml:space="preserve">+0,545 </w:t>
                  </w:r>
                </w:p>
              </w:tc>
            </w:tr>
          </w:tbl>
          <w:p w14:paraId="7CA7C4F8" w14:textId="77777777" w:rsidR="00604513" w:rsidRPr="00770D12" w:rsidRDefault="00604513" w:rsidP="00A9147C">
            <w:pPr>
              <w:shd w:val="clear" w:color="auto" w:fill="FFFFFF"/>
              <w:spacing w:line="276" w:lineRule="auto"/>
              <w:jc w:val="both"/>
              <w:rPr>
                <w:rFonts w:eastAsia="Times New Roman" w:cs="Times New Roman"/>
                <w:color w:val="000000"/>
                <w:sz w:val="24"/>
                <w:szCs w:val="24"/>
                <w:lang w:eastAsia="lv-LV"/>
              </w:rPr>
            </w:pPr>
          </w:p>
          <w:p w14:paraId="4B3C5D3F" w14:textId="77777777" w:rsidR="00604513" w:rsidRPr="00770D12" w:rsidRDefault="00604513" w:rsidP="004B105E">
            <w:pPr>
              <w:rPr>
                <w:rFonts w:eastAsia="Times New Roman" w:cs="Times New Roman"/>
                <w:color w:val="000000"/>
                <w:sz w:val="24"/>
                <w:szCs w:val="24"/>
                <w:u w:val="single"/>
                <w:lang w:eastAsia="lv-LV"/>
              </w:rPr>
            </w:pPr>
            <w:r w:rsidRPr="00770D12">
              <w:rPr>
                <w:rFonts w:eastAsia="Times New Roman" w:cs="Times New Roman"/>
                <w:color w:val="000000"/>
                <w:sz w:val="24"/>
                <w:szCs w:val="24"/>
                <w:u w:val="single"/>
                <w:lang w:eastAsia="lv-LV"/>
              </w:rPr>
              <w:t>4</w:t>
            </w:r>
            <w:r>
              <w:rPr>
                <w:rFonts w:eastAsia="Times New Roman" w:cs="Times New Roman"/>
                <w:color w:val="000000"/>
                <w:sz w:val="24"/>
                <w:szCs w:val="24"/>
                <w:u w:val="single"/>
                <w:lang w:eastAsia="lv-LV"/>
              </w:rPr>
              <w:t>.</w:t>
            </w:r>
            <w:r w:rsidRPr="00770D12">
              <w:rPr>
                <w:rFonts w:eastAsia="Times New Roman" w:cs="Times New Roman"/>
                <w:color w:val="000000"/>
                <w:sz w:val="24"/>
                <w:szCs w:val="24"/>
                <w:u w:val="single"/>
                <w:lang w:eastAsia="lv-LV"/>
              </w:rPr>
              <w:t xml:space="preserve"> Akcīzes nodokļa paaugstināšana </w:t>
            </w:r>
            <w:r w:rsidRPr="00EB39B8">
              <w:rPr>
                <w:rFonts w:eastAsia="Times New Roman" w:cs="Times New Roman"/>
                <w:b/>
                <w:color w:val="000000"/>
                <w:sz w:val="24"/>
                <w:szCs w:val="24"/>
                <w:u w:val="single"/>
                <w:lang w:eastAsia="lv-LV"/>
              </w:rPr>
              <w:t>s</w:t>
            </w:r>
            <w:r w:rsidRPr="00F85A8C">
              <w:rPr>
                <w:rFonts w:eastAsia="Times New Roman" w:cs="Times New Roman"/>
                <w:b/>
                <w:color w:val="000000"/>
                <w:sz w:val="24"/>
                <w:szCs w:val="24"/>
                <w:u w:val="single"/>
                <w:lang w:eastAsia="lv-LV"/>
              </w:rPr>
              <w:t>mēķējamai tabakai</w:t>
            </w:r>
          </w:p>
          <w:p w14:paraId="65D21D2A"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Saskaņā ar Valsts ieņēmumu dienesta sniegto informāciju </w:t>
            </w:r>
            <w:proofErr w:type="gramStart"/>
            <w:r w:rsidRPr="00770D12">
              <w:rPr>
                <w:rFonts w:eastAsia="Times New Roman" w:cs="Times New Roman"/>
                <w:color w:val="000000"/>
                <w:sz w:val="24"/>
                <w:szCs w:val="24"/>
                <w:lang w:eastAsia="lv-LV"/>
              </w:rPr>
              <w:t>2019</w:t>
            </w:r>
            <w:r>
              <w:rPr>
                <w:rFonts w:eastAsia="Times New Roman" w:cs="Times New Roman"/>
                <w:color w:val="000000"/>
                <w:sz w:val="24"/>
                <w:szCs w:val="24"/>
                <w:lang w:eastAsia="lv-LV"/>
              </w:rPr>
              <w:t>.gada</w:t>
            </w:r>
            <w:proofErr w:type="gramEnd"/>
            <w:r w:rsidRPr="00770D12">
              <w:rPr>
                <w:rFonts w:eastAsia="Times New Roman" w:cs="Times New Roman"/>
                <w:color w:val="000000"/>
                <w:sz w:val="24"/>
                <w:szCs w:val="24"/>
                <w:lang w:eastAsia="lv-LV"/>
              </w:rPr>
              <w:t xml:space="preserve"> pārskata periodā salīdzinājumā ar 2018</w:t>
            </w:r>
            <w:r>
              <w:rPr>
                <w:rFonts w:eastAsia="Times New Roman" w:cs="Times New Roman"/>
                <w:color w:val="000000"/>
                <w:sz w:val="24"/>
                <w:szCs w:val="24"/>
                <w:lang w:eastAsia="lv-LV"/>
              </w:rPr>
              <w:t>.gada</w:t>
            </w:r>
            <w:r w:rsidRPr="00770D12">
              <w:rPr>
                <w:rFonts w:eastAsia="Times New Roman" w:cs="Times New Roman"/>
                <w:color w:val="000000"/>
                <w:sz w:val="24"/>
                <w:szCs w:val="24"/>
                <w:lang w:eastAsia="lv-LV"/>
              </w:rPr>
              <w:t xml:space="preserve"> pārskata periodu smēķējamās tabakas patēriņš Latvijā palielinājās par 28,1%</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Savukārt </w:t>
            </w:r>
            <w:proofErr w:type="gramStart"/>
            <w:r w:rsidRPr="00770D12">
              <w:rPr>
                <w:rFonts w:eastAsia="Times New Roman" w:cs="Times New Roman"/>
                <w:color w:val="000000"/>
                <w:sz w:val="24"/>
                <w:szCs w:val="24"/>
                <w:lang w:eastAsia="lv-LV"/>
              </w:rPr>
              <w:t>2020</w:t>
            </w:r>
            <w:r>
              <w:rPr>
                <w:rFonts w:eastAsia="Times New Roman" w:cs="Times New Roman"/>
                <w:color w:val="000000"/>
                <w:sz w:val="24"/>
                <w:szCs w:val="24"/>
                <w:lang w:eastAsia="lv-LV"/>
              </w:rPr>
              <w:t>.gada</w:t>
            </w:r>
            <w:proofErr w:type="gramEnd"/>
            <w:r>
              <w:rPr>
                <w:rFonts w:eastAsia="Times New Roman" w:cs="Times New Roman"/>
                <w:color w:val="000000"/>
                <w:sz w:val="24"/>
                <w:szCs w:val="24"/>
                <w:lang w:eastAsia="lv-LV"/>
              </w:rPr>
              <w:t xml:space="preserve"> septiņos mēnešos</w:t>
            </w:r>
            <w:r w:rsidRPr="00770D12">
              <w:rPr>
                <w:rFonts w:eastAsia="Times New Roman" w:cs="Times New Roman"/>
                <w:color w:val="000000"/>
                <w:sz w:val="24"/>
                <w:szCs w:val="24"/>
                <w:lang w:eastAsia="lv-LV"/>
              </w:rPr>
              <w:t xml:space="preserve"> salīdzinājumā ar iepriekšējā gada </w:t>
            </w:r>
            <w:r>
              <w:rPr>
                <w:rFonts w:eastAsia="Times New Roman" w:cs="Times New Roman"/>
                <w:color w:val="000000"/>
                <w:sz w:val="24"/>
                <w:szCs w:val="24"/>
                <w:lang w:eastAsia="lv-LV"/>
              </w:rPr>
              <w:t>atbilstošo</w:t>
            </w:r>
            <w:r w:rsidRPr="00770D12">
              <w:rPr>
                <w:rFonts w:eastAsia="Times New Roman" w:cs="Times New Roman"/>
                <w:color w:val="000000"/>
                <w:sz w:val="24"/>
                <w:szCs w:val="24"/>
                <w:lang w:eastAsia="lv-LV"/>
              </w:rPr>
              <w:t xml:space="preserve"> pārskata periodu tās patēriņš pieauga par 17,1%</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w:t>
            </w:r>
          </w:p>
          <w:p w14:paraId="48B5C7F2"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Akcīzes nodokļa likmes paaugstināšanas rezultātā smēķējamās tabakas 30 gramu iepakojuma mazumtirdzniecības cenas nodokļu daļas pieaugums </w:t>
            </w:r>
            <w:proofErr w:type="gramStart"/>
            <w:r>
              <w:rPr>
                <w:rFonts w:eastAsia="Times New Roman" w:cs="Times New Roman"/>
                <w:color w:val="000000"/>
                <w:sz w:val="24"/>
                <w:szCs w:val="24"/>
                <w:lang w:eastAsia="lv-LV"/>
              </w:rPr>
              <w:t>2021.</w:t>
            </w:r>
            <w:r w:rsidRPr="00770D12">
              <w:rPr>
                <w:rFonts w:eastAsia="Times New Roman" w:cs="Times New Roman"/>
                <w:color w:val="000000"/>
                <w:sz w:val="24"/>
                <w:szCs w:val="24"/>
                <w:lang w:eastAsia="lv-LV"/>
              </w:rPr>
              <w:t>gadā</w:t>
            </w:r>
            <w:proofErr w:type="gramEnd"/>
            <w:r w:rsidRPr="00770D12">
              <w:rPr>
                <w:rFonts w:eastAsia="Times New Roman" w:cs="Times New Roman"/>
                <w:color w:val="000000"/>
                <w:sz w:val="24"/>
                <w:szCs w:val="24"/>
                <w:lang w:eastAsia="lv-LV"/>
              </w:rPr>
              <w:t xml:space="preserve"> būs +0,19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xml:space="preserve"> jeb +7,0%, </w:t>
            </w:r>
            <w:r>
              <w:rPr>
                <w:rFonts w:eastAsia="Times New Roman" w:cs="Times New Roman"/>
                <w:color w:val="000000"/>
                <w:sz w:val="24"/>
                <w:szCs w:val="24"/>
                <w:lang w:eastAsia="lv-LV"/>
              </w:rPr>
              <w:t>2022.</w:t>
            </w:r>
            <w:r w:rsidRPr="00770D12">
              <w:rPr>
                <w:rFonts w:eastAsia="Times New Roman" w:cs="Times New Roman"/>
                <w:color w:val="000000"/>
                <w:sz w:val="24"/>
                <w:szCs w:val="24"/>
                <w:lang w:eastAsia="lv-LV"/>
              </w:rPr>
              <w:t>gadā būs +0,21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xml:space="preserve"> jeb +7,0% un </w:t>
            </w:r>
            <w:r>
              <w:rPr>
                <w:rFonts w:eastAsia="Times New Roman" w:cs="Times New Roman"/>
                <w:color w:val="000000"/>
                <w:sz w:val="24"/>
                <w:szCs w:val="24"/>
                <w:lang w:eastAsia="lv-LV"/>
              </w:rPr>
              <w:t>2023.</w:t>
            </w:r>
            <w:r w:rsidRPr="00770D12">
              <w:rPr>
                <w:rFonts w:eastAsia="Times New Roman" w:cs="Times New Roman"/>
                <w:color w:val="000000"/>
                <w:sz w:val="24"/>
                <w:szCs w:val="24"/>
                <w:lang w:eastAsia="lv-LV"/>
              </w:rPr>
              <w:t>gadā +0,22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xml:space="preserve"> jeb +7,0%</w:t>
            </w:r>
            <w:r>
              <w:rPr>
                <w:rFonts w:eastAsia="Times New Roman" w:cs="Times New Roman"/>
                <w:color w:val="000000"/>
                <w:sz w:val="24"/>
                <w:szCs w:val="24"/>
                <w:lang w:eastAsia="lv-LV"/>
              </w:rPr>
              <w:t>.</w:t>
            </w:r>
          </w:p>
          <w:p w14:paraId="00C47A24"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Prognozēts, ka katras likmju paaugstināšanas </w:t>
            </w:r>
            <w:r w:rsidRPr="006507C6">
              <w:rPr>
                <w:rFonts w:eastAsia="Times New Roman" w:cs="Times New Roman"/>
                <w:color w:val="000000"/>
                <w:sz w:val="24"/>
                <w:szCs w:val="24"/>
                <w:lang w:eastAsia="lv-LV"/>
              </w:rPr>
              <w:t>rezultātā samazināsies iepriekš prognozētais patēriņa apjoms</w:t>
            </w:r>
            <w:r>
              <w:rPr>
                <w:rFonts w:eastAsia="Times New Roman" w:cs="Times New Roman"/>
                <w:color w:val="000000"/>
                <w:sz w:val="24"/>
                <w:szCs w:val="24"/>
                <w:lang w:eastAsia="lv-LV"/>
              </w:rPr>
              <w:t>.</w:t>
            </w:r>
          </w:p>
          <w:p w14:paraId="0C8E67C9" w14:textId="77777777" w:rsidR="00604513" w:rsidRPr="00770D12" w:rsidRDefault="00604513" w:rsidP="00A9147C">
            <w:pPr>
              <w:shd w:val="clear" w:color="auto" w:fill="FFFFFF"/>
              <w:spacing w:line="276" w:lineRule="auto"/>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Fiskālā ietekme, ņemot vērā akcīzes nodokļa maksāšanas kārtību:</w:t>
            </w:r>
          </w:p>
          <w:tbl>
            <w:tblPr>
              <w:tblW w:w="5899" w:type="dxa"/>
              <w:tblInd w:w="1129" w:type="dxa"/>
              <w:tblLayout w:type="fixed"/>
              <w:tblLook w:val="04A0" w:firstRow="1" w:lastRow="0" w:firstColumn="1" w:lastColumn="0" w:noHBand="0" w:noVBand="1"/>
            </w:tblPr>
            <w:tblGrid>
              <w:gridCol w:w="3113"/>
              <w:gridCol w:w="934"/>
              <w:gridCol w:w="933"/>
              <w:gridCol w:w="919"/>
            </w:tblGrid>
            <w:tr w:rsidR="00604513" w:rsidRPr="00A32BDC" w14:paraId="1A50191C" w14:textId="77777777" w:rsidTr="00A9147C">
              <w:trPr>
                <w:trHeight w:val="291"/>
              </w:trPr>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0400B" w14:textId="77777777" w:rsidR="00604513" w:rsidRPr="00A32BDC" w:rsidRDefault="00604513" w:rsidP="00A9147C">
                  <w:pPr>
                    <w:spacing w:after="0" w:line="240" w:lineRule="auto"/>
                    <w:contextualSpacing/>
                    <w:rPr>
                      <w:rFonts w:ascii="Times New Roman" w:eastAsia="Times New Roman" w:hAnsi="Times New Roman" w:cs="Times New Roman"/>
                      <w:i/>
                      <w:iCs/>
                      <w:color w:val="000000"/>
                      <w:szCs w:val="24"/>
                      <w:lang w:eastAsia="lv-LV"/>
                    </w:rPr>
                  </w:pPr>
                  <w:r w:rsidRPr="00A32BDC">
                    <w:rPr>
                      <w:rFonts w:ascii="Times New Roman" w:eastAsia="Times New Roman" w:hAnsi="Times New Roman" w:cs="Times New Roman"/>
                      <w:i/>
                      <w:iCs/>
                      <w:color w:val="000000"/>
                      <w:szCs w:val="24"/>
                      <w:lang w:eastAsia="lv-LV"/>
                    </w:rPr>
                    <w:t>milj</w:t>
                  </w:r>
                  <w:r>
                    <w:rPr>
                      <w:rFonts w:ascii="Times New Roman" w:eastAsia="Times New Roman" w:hAnsi="Times New Roman" w:cs="Times New Roman"/>
                      <w:i/>
                      <w:iCs/>
                      <w:color w:val="000000"/>
                      <w:szCs w:val="24"/>
                      <w:lang w:eastAsia="lv-LV"/>
                    </w:rPr>
                    <w:t>.</w:t>
                  </w:r>
                  <w:r w:rsidRPr="00A32BDC">
                    <w:rPr>
                      <w:rFonts w:ascii="Times New Roman" w:eastAsia="Times New Roman" w:hAnsi="Times New Roman" w:cs="Times New Roman"/>
                      <w:i/>
                      <w:iCs/>
                      <w:color w:val="000000"/>
                      <w:szCs w:val="24"/>
                      <w:lang w:eastAsia="lv-LV"/>
                    </w:rPr>
                    <w:t xml:space="preserve"> </w:t>
                  </w:r>
                  <w:proofErr w:type="spellStart"/>
                  <w:r w:rsidRPr="00A32BDC">
                    <w:rPr>
                      <w:rFonts w:ascii="Times New Roman" w:eastAsia="Times New Roman" w:hAnsi="Times New Roman" w:cs="Times New Roman"/>
                      <w:i/>
                      <w:iCs/>
                      <w:color w:val="000000"/>
                      <w:szCs w:val="24"/>
                      <w:lang w:eastAsia="lv-LV"/>
                    </w:rPr>
                    <w:t>euro</w:t>
                  </w:r>
                  <w:proofErr w:type="spellEnd"/>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2C15C9EA"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2021</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14:paraId="5AEFE4FB"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2022</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40305C42"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2023</w:t>
                  </w:r>
                </w:p>
              </w:tc>
            </w:tr>
            <w:tr w:rsidR="00604513" w:rsidRPr="00A32BDC" w14:paraId="0441DF5C" w14:textId="77777777" w:rsidTr="00A9147C">
              <w:trPr>
                <w:trHeight w:val="291"/>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0DE00571"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Akcīzes nodoklis</w:t>
                  </w:r>
                </w:p>
              </w:tc>
              <w:tc>
                <w:tcPr>
                  <w:tcW w:w="934" w:type="dxa"/>
                  <w:tcBorders>
                    <w:top w:val="nil"/>
                    <w:left w:val="nil"/>
                    <w:bottom w:val="single" w:sz="4" w:space="0" w:color="auto"/>
                    <w:right w:val="single" w:sz="4" w:space="0" w:color="auto"/>
                  </w:tcBorders>
                  <w:shd w:val="clear" w:color="auto" w:fill="auto"/>
                  <w:noWrap/>
                  <w:hideMark/>
                </w:tcPr>
                <w:p w14:paraId="663D715A" w14:textId="77777777" w:rsidR="00604513" w:rsidRPr="00A32BDC" w:rsidRDefault="00604513" w:rsidP="00A9147C">
                  <w:pPr>
                    <w:spacing w:after="0" w:line="240" w:lineRule="auto"/>
                    <w:contextualSpacing/>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 xml:space="preserve">0,119 </w:t>
                  </w:r>
                </w:p>
              </w:tc>
              <w:tc>
                <w:tcPr>
                  <w:tcW w:w="933" w:type="dxa"/>
                  <w:tcBorders>
                    <w:top w:val="nil"/>
                    <w:left w:val="nil"/>
                    <w:bottom w:val="single" w:sz="4" w:space="0" w:color="auto"/>
                    <w:right w:val="single" w:sz="4" w:space="0" w:color="auto"/>
                  </w:tcBorders>
                  <w:shd w:val="clear" w:color="auto" w:fill="auto"/>
                  <w:noWrap/>
                  <w:hideMark/>
                </w:tcPr>
                <w:p w14:paraId="5E327777" w14:textId="77777777" w:rsidR="00604513" w:rsidRPr="00A32BDC" w:rsidRDefault="00604513" w:rsidP="00A9147C">
                  <w:pPr>
                    <w:spacing w:after="0" w:line="240" w:lineRule="auto"/>
                    <w:contextualSpacing/>
                    <w:rPr>
                      <w:rFonts w:ascii="Times New Roman" w:hAnsi="Times New Roman" w:cs="Times New Roman"/>
                      <w:szCs w:val="24"/>
                    </w:rPr>
                  </w:pPr>
                  <w:r w:rsidRPr="00A32BDC">
                    <w:rPr>
                      <w:rFonts w:ascii="Times New Roman" w:hAnsi="Times New Roman" w:cs="Times New Roman"/>
                      <w:szCs w:val="24"/>
                    </w:rPr>
                    <w:t xml:space="preserve"> </w:t>
                  </w:r>
                  <w:r>
                    <w:rPr>
                      <w:rFonts w:ascii="Times New Roman" w:hAnsi="Times New Roman" w:cs="Times New Roman"/>
                      <w:szCs w:val="24"/>
                    </w:rPr>
                    <w:t>+</w:t>
                  </w:r>
                  <w:r w:rsidRPr="00A32BDC">
                    <w:rPr>
                      <w:rFonts w:ascii="Times New Roman" w:hAnsi="Times New Roman" w:cs="Times New Roman"/>
                      <w:szCs w:val="24"/>
                    </w:rPr>
                    <w:t xml:space="preserve">0,220 </w:t>
                  </w:r>
                </w:p>
              </w:tc>
              <w:tc>
                <w:tcPr>
                  <w:tcW w:w="919" w:type="dxa"/>
                  <w:tcBorders>
                    <w:top w:val="nil"/>
                    <w:left w:val="nil"/>
                    <w:bottom w:val="single" w:sz="4" w:space="0" w:color="auto"/>
                    <w:right w:val="single" w:sz="4" w:space="0" w:color="auto"/>
                  </w:tcBorders>
                  <w:shd w:val="clear" w:color="auto" w:fill="auto"/>
                  <w:noWrap/>
                  <w:hideMark/>
                </w:tcPr>
                <w:p w14:paraId="511DEE0A" w14:textId="77777777" w:rsidR="00604513" w:rsidRPr="00A32BDC" w:rsidRDefault="00604513" w:rsidP="00A9147C">
                  <w:pPr>
                    <w:spacing w:after="0" w:line="240" w:lineRule="auto"/>
                    <w:contextualSpacing/>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 xml:space="preserve">0,280 </w:t>
                  </w:r>
                </w:p>
              </w:tc>
            </w:tr>
            <w:tr w:rsidR="00604513" w:rsidRPr="00A32BDC" w14:paraId="42D9B615" w14:textId="77777777" w:rsidTr="00A9147C">
              <w:trPr>
                <w:trHeight w:val="291"/>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6E228B36"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Pievienotās vērtības nodoklis</w:t>
                  </w:r>
                </w:p>
              </w:tc>
              <w:tc>
                <w:tcPr>
                  <w:tcW w:w="934" w:type="dxa"/>
                  <w:tcBorders>
                    <w:top w:val="nil"/>
                    <w:left w:val="nil"/>
                    <w:bottom w:val="single" w:sz="4" w:space="0" w:color="auto"/>
                    <w:right w:val="single" w:sz="4" w:space="0" w:color="auto"/>
                  </w:tcBorders>
                  <w:shd w:val="clear" w:color="auto" w:fill="auto"/>
                  <w:noWrap/>
                  <w:hideMark/>
                </w:tcPr>
                <w:p w14:paraId="3E4378B3" w14:textId="77777777" w:rsidR="00604513" w:rsidRPr="00A32BDC" w:rsidRDefault="00604513" w:rsidP="00A9147C">
                  <w:pPr>
                    <w:spacing w:after="0" w:line="240" w:lineRule="auto"/>
                    <w:contextualSpacing/>
                    <w:rPr>
                      <w:rFonts w:ascii="Times New Roman" w:hAnsi="Times New Roman" w:cs="Times New Roman"/>
                      <w:szCs w:val="24"/>
                    </w:rPr>
                  </w:pPr>
                  <w:r w:rsidRPr="00A32BDC">
                    <w:rPr>
                      <w:rFonts w:ascii="Times New Roman" w:hAnsi="Times New Roman" w:cs="Times New Roman"/>
                      <w:szCs w:val="24"/>
                    </w:rPr>
                    <w:t xml:space="preserve"> </w:t>
                  </w:r>
                  <w:r>
                    <w:rPr>
                      <w:rFonts w:ascii="Times New Roman" w:hAnsi="Times New Roman" w:cs="Times New Roman"/>
                      <w:szCs w:val="24"/>
                    </w:rPr>
                    <w:t>+</w:t>
                  </w:r>
                  <w:r w:rsidRPr="00A32BDC">
                    <w:rPr>
                      <w:rFonts w:ascii="Times New Roman" w:hAnsi="Times New Roman" w:cs="Times New Roman"/>
                      <w:szCs w:val="24"/>
                    </w:rPr>
                    <w:t xml:space="preserve">0,025 </w:t>
                  </w:r>
                </w:p>
              </w:tc>
              <w:tc>
                <w:tcPr>
                  <w:tcW w:w="933" w:type="dxa"/>
                  <w:tcBorders>
                    <w:top w:val="nil"/>
                    <w:left w:val="nil"/>
                    <w:bottom w:val="single" w:sz="4" w:space="0" w:color="auto"/>
                    <w:right w:val="single" w:sz="4" w:space="0" w:color="auto"/>
                  </w:tcBorders>
                  <w:shd w:val="clear" w:color="auto" w:fill="auto"/>
                  <w:noWrap/>
                  <w:hideMark/>
                </w:tcPr>
                <w:p w14:paraId="3D7A3C06" w14:textId="77777777" w:rsidR="00604513" w:rsidRPr="00A32BDC" w:rsidRDefault="00604513" w:rsidP="00A9147C">
                  <w:pPr>
                    <w:spacing w:after="0" w:line="240" w:lineRule="auto"/>
                    <w:contextualSpacing/>
                    <w:rPr>
                      <w:rFonts w:ascii="Times New Roman" w:hAnsi="Times New Roman" w:cs="Times New Roman"/>
                      <w:szCs w:val="24"/>
                    </w:rPr>
                  </w:pPr>
                  <w:r w:rsidRPr="00A32BDC">
                    <w:rPr>
                      <w:rFonts w:ascii="Times New Roman" w:hAnsi="Times New Roman" w:cs="Times New Roman"/>
                      <w:szCs w:val="24"/>
                    </w:rPr>
                    <w:t xml:space="preserve"> </w:t>
                  </w:r>
                  <w:r>
                    <w:rPr>
                      <w:rFonts w:ascii="Times New Roman" w:hAnsi="Times New Roman" w:cs="Times New Roman"/>
                      <w:szCs w:val="24"/>
                    </w:rPr>
                    <w:t>+</w:t>
                  </w:r>
                  <w:r w:rsidRPr="00A32BDC">
                    <w:rPr>
                      <w:rFonts w:ascii="Times New Roman" w:hAnsi="Times New Roman" w:cs="Times New Roman"/>
                      <w:szCs w:val="24"/>
                    </w:rPr>
                    <w:t xml:space="preserve">0,046 </w:t>
                  </w:r>
                </w:p>
              </w:tc>
              <w:tc>
                <w:tcPr>
                  <w:tcW w:w="919" w:type="dxa"/>
                  <w:tcBorders>
                    <w:top w:val="nil"/>
                    <w:left w:val="nil"/>
                    <w:bottom w:val="single" w:sz="4" w:space="0" w:color="auto"/>
                    <w:right w:val="single" w:sz="4" w:space="0" w:color="auto"/>
                  </w:tcBorders>
                  <w:shd w:val="clear" w:color="auto" w:fill="auto"/>
                  <w:noWrap/>
                  <w:hideMark/>
                </w:tcPr>
                <w:p w14:paraId="155D9995" w14:textId="77777777" w:rsidR="00604513" w:rsidRPr="00A32BDC" w:rsidRDefault="00604513" w:rsidP="00A9147C">
                  <w:pPr>
                    <w:spacing w:after="0" w:line="240" w:lineRule="auto"/>
                    <w:contextualSpacing/>
                    <w:rPr>
                      <w:rFonts w:ascii="Times New Roman" w:hAnsi="Times New Roman" w:cs="Times New Roman"/>
                      <w:szCs w:val="24"/>
                    </w:rPr>
                  </w:pPr>
                  <w:r w:rsidRPr="00A32BDC">
                    <w:rPr>
                      <w:rFonts w:ascii="Times New Roman" w:hAnsi="Times New Roman" w:cs="Times New Roman"/>
                      <w:szCs w:val="24"/>
                    </w:rPr>
                    <w:t xml:space="preserve"> </w:t>
                  </w:r>
                  <w:r>
                    <w:rPr>
                      <w:rFonts w:ascii="Times New Roman" w:hAnsi="Times New Roman" w:cs="Times New Roman"/>
                      <w:szCs w:val="24"/>
                    </w:rPr>
                    <w:t>+</w:t>
                  </w:r>
                  <w:r w:rsidRPr="00A32BDC">
                    <w:rPr>
                      <w:rFonts w:ascii="Times New Roman" w:hAnsi="Times New Roman" w:cs="Times New Roman"/>
                      <w:szCs w:val="24"/>
                    </w:rPr>
                    <w:t xml:space="preserve">0,059 </w:t>
                  </w:r>
                </w:p>
              </w:tc>
            </w:tr>
            <w:tr w:rsidR="00604513" w:rsidRPr="00922602" w14:paraId="03FEA0B2" w14:textId="77777777" w:rsidTr="00A9147C">
              <w:trPr>
                <w:trHeight w:val="291"/>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352B0C03" w14:textId="77777777" w:rsidR="00604513" w:rsidRPr="00A32BDC" w:rsidRDefault="00604513" w:rsidP="00A9147C">
                  <w:pPr>
                    <w:spacing w:after="0" w:line="240" w:lineRule="auto"/>
                    <w:contextualSpacing/>
                    <w:rPr>
                      <w:rFonts w:ascii="Times New Roman" w:eastAsia="Times New Roman" w:hAnsi="Times New Roman" w:cs="Times New Roman"/>
                      <w:b/>
                      <w:bCs/>
                      <w:color w:val="000000"/>
                      <w:szCs w:val="24"/>
                      <w:lang w:eastAsia="lv-LV"/>
                    </w:rPr>
                  </w:pPr>
                  <w:r w:rsidRPr="00A32BDC">
                    <w:rPr>
                      <w:rFonts w:ascii="Times New Roman" w:eastAsia="Times New Roman" w:hAnsi="Times New Roman" w:cs="Times New Roman"/>
                      <w:b/>
                      <w:bCs/>
                      <w:color w:val="000000"/>
                      <w:szCs w:val="24"/>
                      <w:lang w:eastAsia="lv-LV"/>
                    </w:rPr>
                    <w:lastRenderedPageBreak/>
                    <w:t>KOPĀ</w:t>
                  </w:r>
                </w:p>
              </w:tc>
              <w:tc>
                <w:tcPr>
                  <w:tcW w:w="934" w:type="dxa"/>
                  <w:tcBorders>
                    <w:top w:val="nil"/>
                    <w:left w:val="nil"/>
                    <w:bottom w:val="single" w:sz="4" w:space="0" w:color="auto"/>
                    <w:right w:val="single" w:sz="4" w:space="0" w:color="auto"/>
                  </w:tcBorders>
                  <w:shd w:val="clear" w:color="auto" w:fill="auto"/>
                  <w:noWrap/>
                  <w:hideMark/>
                </w:tcPr>
                <w:p w14:paraId="4F789466" w14:textId="77777777" w:rsidR="00604513" w:rsidRPr="00922602" w:rsidRDefault="00604513" w:rsidP="00A9147C">
                  <w:pPr>
                    <w:spacing w:after="0" w:line="240" w:lineRule="auto"/>
                    <w:contextualSpacing/>
                    <w:rPr>
                      <w:rFonts w:ascii="Times New Roman" w:hAnsi="Times New Roman" w:cs="Times New Roman"/>
                      <w:b/>
                      <w:szCs w:val="24"/>
                    </w:rPr>
                  </w:pPr>
                  <w:r w:rsidRPr="00922602">
                    <w:rPr>
                      <w:rFonts w:ascii="Times New Roman" w:hAnsi="Times New Roman" w:cs="Times New Roman"/>
                      <w:b/>
                      <w:szCs w:val="24"/>
                    </w:rPr>
                    <w:t xml:space="preserve"> +0,144 </w:t>
                  </w:r>
                </w:p>
              </w:tc>
              <w:tc>
                <w:tcPr>
                  <w:tcW w:w="933" w:type="dxa"/>
                  <w:tcBorders>
                    <w:top w:val="nil"/>
                    <w:left w:val="nil"/>
                    <w:bottom w:val="single" w:sz="4" w:space="0" w:color="auto"/>
                    <w:right w:val="single" w:sz="4" w:space="0" w:color="auto"/>
                  </w:tcBorders>
                  <w:shd w:val="clear" w:color="auto" w:fill="auto"/>
                  <w:noWrap/>
                  <w:hideMark/>
                </w:tcPr>
                <w:p w14:paraId="5FE1E791" w14:textId="77777777" w:rsidR="00604513" w:rsidRPr="00922602" w:rsidRDefault="00604513" w:rsidP="00A9147C">
                  <w:pPr>
                    <w:spacing w:after="0" w:line="240" w:lineRule="auto"/>
                    <w:contextualSpacing/>
                    <w:rPr>
                      <w:rFonts w:ascii="Times New Roman" w:hAnsi="Times New Roman" w:cs="Times New Roman"/>
                      <w:b/>
                      <w:szCs w:val="24"/>
                    </w:rPr>
                  </w:pPr>
                  <w:r w:rsidRPr="00922602">
                    <w:rPr>
                      <w:rFonts w:ascii="Times New Roman" w:hAnsi="Times New Roman" w:cs="Times New Roman"/>
                      <w:b/>
                      <w:szCs w:val="24"/>
                    </w:rPr>
                    <w:t xml:space="preserve">+0,266 </w:t>
                  </w:r>
                </w:p>
              </w:tc>
              <w:tc>
                <w:tcPr>
                  <w:tcW w:w="919" w:type="dxa"/>
                  <w:tcBorders>
                    <w:top w:val="nil"/>
                    <w:left w:val="nil"/>
                    <w:bottom w:val="single" w:sz="4" w:space="0" w:color="auto"/>
                    <w:right w:val="single" w:sz="4" w:space="0" w:color="auto"/>
                  </w:tcBorders>
                  <w:shd w:val="clear" w:color="auto" w:fill="auto"/>
                  <w:noWrap/>
                  <w:hideMark/>
                </w:tcPr>
                <w:p w14:paraId="787D8FB2" w14:textId="77777777" w:rsidR="00604513" w:rsidRPr="00922602" w:rsidRDefault="00604513" w:rsidP="00A9147C">
                  <w:pPr>
                    <w:spacing w:after="0" w:line="240" w:lineRule="auto"/>
                    <w:contextualSpacing/>
                    <w:rPr>
                      <w:rFonts w:ascii="Times New Roman" w:hAnsi="Times New Roman" w:cs="Times New Roman"/>
                      <w:b/>
                      <w:szCs w:val="24"/>
                    </w:rPr>
                  </w:pPr>
                  <w:r w:rsidRPr="00922602">
                    <w:rPr>
                      <w:rFonts w:ascii="Times New Roman" w:hAnsi="Times New Roman" w:cs="Times New Roman"/>
                      <w:b/>
                      <w:szCs w:val="24"/>
                    </w:rPr>
                    <w:t xml:space="preserve"> +0,339 </w:t>
                  </w:r>
                </w:p>
              </w:tc>
            </w:tr>
          </w:tbl>
          <w:p w14:paraId="5A67780C" w14:textId="77777777" w:rsidR="00604513" w:rsidRPr="00770D12" w:rsidRDefault="00604513" w:rsidP="00A9147C">
            <w:pPr>
              <w:rPr>
                <w:rFonts w:eastAsia="Times New Roman" w:cs="Times New Roman"/>
                <w:color w:val="000000"/>
                <w:sz w:val="24"/>
                <w:szCs w:val="24"/>
                <w:u w:val="single"/>
                <w:lang w:eastAsia="lv-LV"/>
              </w:rPr>
            </w:pPr>
          </w:p>
          <w:p w14:paraId="4E7544B7" w14:textId="77777777" w:rsidR="00604513" w:rsidRPr="00770D12" w:rsidRDefault="00604513" w:rsidP="004B105E">
            <w:pPr>
              <w:rPr>
                <w:rFonts w:eastAsia="Times New Roman" w:cs="Times New Roman"/>
                <w:color w:val="000000"/>
                <w:sz w:val="24"/>
                <w:szCs w:val="24"/>
                <w:u w:val="single"/>
                <w:lang w:eastAsia="lv-LV"/>
              </w:rPr>
            </w:pPr>
            <w:r w:rsidRPr="00770D12">
              <w:rPr>
                <w:rFonts w:eastAsia="Times New Roman" w:cs="Times New Roman"/>
                <w:color w:val="000000"/>
                <w:sz w:val="24"/>
                <w:szCs w:val="24"/>
                <w:u w:val="single"/>
                <w:lang w:eastAsia="lv-LV"/>
              </w:rPr>
              <w:t>5</w:t>
            </w:r>
            <w:r>
              <w:rPr>
                <w:rFonts w:eastAsia="Times New Roman" w:cs="Times New Roman"/>
                <w:color w:val="000000"/>
                <w:sz w:val="24"/>
                <w:szCs w:val="24"/>
                <w:u w:val="single"/>
                <w:lang w:eastAsia="lv-LV"/>
              </w:rPr>
              <w:t>.</w:t>
            </w:r>
            <w:r w:rsidRPr="00770D12">
              <w:rPr>
                <w:rFonts w:eastAsia="Times New Roman" w:cs="Times New Roman"/>
                <w:color w:val="000000"/>
                <w:sz w:val="24"/>
                <w:szCs w:val="24"/>
                <w:u w:val="single"/>
                <w:lang w:eastAsia="lv-LV"/>
              </w:rPr>
              <w:t xml:space="preserve"> Akcīzes nodokļa paaugstināšana </w:t>
            </w:r>
            <w:r w:rsidRPr="00F85A8C">
              <w:rPr>
                <w:rFonts w:eastAsia="Times New Roman" w:cs="Times New Roman"/>
                <w:b/>
                <w:color w:val="000000"/>
                <w:sz w:val="24"/>
                <w:szCs w:val="24"/>
                <w:u w:val="single"/>
                <w:lang w:eastAsia="lv-LV"/>
              </w:rPr>
              <w:t>karsējamai tabakai</w:t>
            </w:r>
          </w:p>
          <w:p w14:paraId="03DA10F4"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 xml:space="preserve">Saskaņā ar Valsts ieņēmumu dienesta sniegto informāciju </w:t>
            </w:r>
            <w:proofErr w:type="gramStart"/>
            <w:r w:rsidRPr="00770D12">
              <w:rPr>
                <w:rFonts w:eastAsia="Times New Roman" w:cs="Times New Roman"/>
                <w:color w:val="000000"/>
                <w:sz w:val="24"/>
                <w:szCs w:val="24"/>
                <w:lang w:eastAsia="lv-LV"/>
              </w:rPr>
              <w:t>2019</w:t>
            </w:r>
            <w:r>
              <w:rPr>
                <w:rFonts w:eastAsia="Times New Roman" w:cs="Times New Roman"/>
                <w:color w:val="000000"/>
                <w:sz w:val="24"/>
                <w:szCs w:val="24"/>
                <w:lang w:eastAsia="lv-LV"/>
              </w:rPr>
              <w:t>.gada</w:t>
            </w:r>
            <w:proofErr w:type="gramEnd"/>
            <w:r w:rsidRPr="00770D12">
              <w:rPr>
                <w:rFonts w:eastAsia="Times New Roman" w:cs="Times New Roman"/>
                <w:color w:val="000000"/>
                <w:sz w:val="24"/>
                <w:szCs w:val="24"/>
                <w:lang w:eastAsia="lv-LV"/>
              </w:rPr>
              <w:t xml:space="preserve"> pārskata periodā salīdzinājumā ar 2018</w:t>
            </w:r>
            <w:r>
              <w:rPr>
                <w:rFonts w:eastAsia="Times New Roman" w:cs="Times New Roman"/>
                <w:color w:val="000000"/>
                <w:sz w:val="24"/>
                <w:szCs w:val="24"/>
                <w:lang w:eastAsia="lv-LV"/>
              </w:rPr>
              <w:t>.gada</w:t>
            </w:r>
            <w:r w:rsidRPr="00770D12">
              <w:rPr>
                <w:rFonts w:eastAsia="Times New Roman" w:cs="Times New Roman"/>
                <w:color w:val="000000"/>
                <w:sz w:val="24"/>
                <w:szCs w:val="24"/>
                <w:lang w:eastAsia="lv-LV"/>
              </w:rPr>
              <w:t xml:space="preserve"> pārskata periodu karsējamās tabakas patēriņš Latvijā palielinājās 8,5 reizes</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Savukārt </w:t>
            </w:r>
            <w:proofErr w:type="gramStart"/>
            <w:r w:rsidRPr="00770D12">
              <w:rPr>
                <w:rFonts w:eastAsia="Times New Roman" w:cs="Times New Roman"/>
                <w:color w:val="000000"/>
                <w:sz w:val="24"/>
                <w:szCs w:val="24"/>
                <w:lang w:eastAsia="lv-LV"/>
              </w:rPr>
              <w:t>2020</w:t>
            </w:r>
            <w:r>
              <w:rPr>
                <w:rFonts w:eastAsia="Times New Roman" w:cs="Times New Roman"/>
                <w:color w:val="000000"/>
                <w:sz w:val="24"/>
                <w:szCs w:val="24"/>
                <w:lang w:eastAsia="lv-LV"/>
              </w:rPr>
              <w:t>.gada</w:t>
            </w:r>
            <w:proofErr w:type="gramEnd"/>
            <w:r>
              <w:rPr>
                <w:rFonts w:eastAsia="Times New Roman" w:cs="Times New Roman"/>
                <w:color w:val="000000"/>
                <w:sz w:val="24"/>
                <w:szCs w:val="24"/>
                <w:lang w:eastAsia="lv-LV"/>
              </w:rPr>
              <w:t xml:space="preserve"> septiņos mēnešos </w:t>
            </w:r>
            <w:r w:rsidRPr="00770D12">
              <w:rPr>
                <w:rFonts w:eastAsia="Times New Roman" w:cs="Times New Roman"/>
                <w:color w:val="000000"/>
                <w:sz w:val="24"/>
                <w:szCs w:val="24"/>
                <w:lang w:eastAsia="lv-LV"/>
              </w:rPr>
              <w:t xml:space="preserve"> salīdzinājumā ar iepriekšējā gada </w:t>
            </w:r>
            <w:r>
              <w:rPr>
                <w:rFonts w:eastAsia="Times New Roman" w:cs="Times New Roman"/>
                <w:color w:val="000000"/>
                <w:sz w:val="24"/>
                <w:szCs w:val="24"/>
                <w:lang w:eastAsia="lv-LV"/>
              </w:rPr>
              <w:t>atbilstošo</w:t>
            </w:r>
            <w:r w:rsidRPr="00770D12">
              <w:rPr>
                <w:rFonts w:eastAsia="Times New Roman" w:cs="Times New Roman"/>
                <w:color w:val="000000"/>
                <w:sz w:val="24"/>
                <w:szCs w:val="24"/>
                <w:lang w:eastAsia="lv-LV"/>
              </w:rPr>
              <w:t xml:space="preserve"> pārskata periodu </w:t>
            </w:r>
            <w:r>
              <w:rPr>
                <w:rFonts w:eastAsia="Times New Roman" w:cs="Times New Roman"/>
                <w:color w:val="000000"/>
                <w:sz w:val="24"/>
                <w:szCs w:val="24"/>
                <w:lang w:eastAsia="lv-LV"/>
              </w:rPr>
              <w:t>tās</w:t>
            </w:r>
            <w:r w:rsidRPr="00770D12">
              <w:rPr>
                <w:rFonts w:eastAsia="Times New Roman" w:cs="Times New Roman"/>
                <w:color w:val="000000"/>
                <w:sz w:val="24"/>
                <w:szCs w:val="24"/>
                <w:lang w:eastAsia="lv-LV"/>
              </w:rPr>
              <w:t xml:space="preserve"> patēriņš palielinājās 2,7 reizes</w:t>
            </w:r>
            <w:r>
              <w:rPr>
                <w:rFonts w:eastAsia="Times New Roman" w:cs="Times New Roman"/>
                <w:color w:val="000000"/>
                <w:sz w:val="24"/>
                <w:szCs w:val="24"/>
                <w:lang w:eastAsia="lv-LV"/>
              </w:rPr>
              <w:t>.</w:t>
            </w:r>
          </w:p>
          <w:p w14:paraId="5FC90667"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Akcīzes nodokļa likmes paaugstināšanas rezultātā vienas paciņas (20 gab</w:t>
            </w:r>
            <w:r>
              <w:rPr>
                <w:rFonts w:eastAsia="Times New Roman" w:cs="Times New Roman"/>
                <w:color w:val="000000"/>
                <w:sz w:val="24"/>
                <w:szCs w:val="24"/>
                <w:lang w:eastAsia="lv-LV"/>
              </w:rPr>
              <w:t>.</w:t>
            </w:r>
            <w:r w:rsidRPr="00770D12">
              <w:rPr>
                <w:rFonts w:eastAsia="Times New Roman" w:cs="Times New Roman"/>
                <w:color w:val="000000"/>
                <w:sz w:val="24"/>
                <w:szCs w:val="24"/>
                <w:lang w:eastAsia="lv-LV"/>
              </w:rPr>
              <w:t xml:space="preserve">) mazumtirdzniecības cenas nodokļu daļas pieaugums </w:t>
            </w:r>
            <w:proofErr w:type="gramStart"/>
            <w:r>
              <w:rPr>
                <w:rFonts w:eastAsia="Times New Roman" w:cs="Times New Roman"/>
                <w:color w:val="000000"/>
                <w:sz w:val="24"/>
                <w:szCs w:val="24"/>
                <w:lang w:eastAsia="lv-LV"/>
              </w:rPr>
              <w:t>2021.</w:t>
            </w:r>
            <w:r w:rsidRPr="00770D12">
              <w:rPr>
                <w:rFonts w:eastAsia="Times New Roman" w:cs="Times New Roman"/>
                <w:color w:val="000000"/>
                <w:sz w:val="24"/>
                <w:szCs w:val="24"/>
                <w:lang w:eastAsia="lv-LV"/>
              </w:rPr>
              <w:t>gadā</w:t>
            </w:r>
            <w:proofErr w:type="gramEnd"/>
            <w:r w:rsidRPr="00770D12">
              <w:rPr>
                <w:rFonts w:eastAsia="Times New Roman" w:cs="Times New Roman"/>
                <w:color w:val="000000"/>
                <w:sz w:val="24"/>
                <w:szCs w:val="24"/>
                <w:lang w:eastAsia="lv-LV"/>
              </w:rPr>
              <w:t xml:space="preserve"> būs +0,18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xml:space="preserve"> jeb +32,0%, </w:t>
            </w:r>
            <w:r>
              <w:rPr>
                <w:rFonts w:eastAsia="Times New Roman" w:cs="Times New Roman"/>
                <w:color w:val="000000"/>
                <w:sz w:val="24"/>
                <w:szCs w:val="24"/>
                <w:lang w:eastAsia="lv-LV"/>
              </w:rPr>
              <w:t>2022.</w:t>
            </w:r>
            <w:r w:rsidRPr="00770D12">
              <w:rPr>
                <w:rFonts w:eastAsia="Times New Roman" w:cs="Times New Roman"/>
                <w:color w:val="000000"/>
                <w:sz w:val="24"/>
                <w:szCs w:val="24"/>
                <w:lang w:eastAsia="lv-LV"/>
              </w:rPr>
              <w:t>gadā +0,19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xml:space="preserve"> jeb +26,3% un </w:t>
            </w:r>
            <w:r>
              <w:rPr>
                <w:rFonts w:eastAsia="Times New Roman" w:cs="Times New Roman"/>
                <w:color w:val="000000"/>
                <w:sz w:val="24"/>
                <w:szCs w:val="24"/>
                <w:lang w:eastAsia="lv-LV"/>
              </w:rPr>
              <w:t>2023.</w:t>
            </w:r>
            <w:r w:rsidRPr="00770D12">
              <w:rPr>
                <w:rFonts w:eastAsia="Times New Roman" w:cs="Times New Roman"/>
                <w:color w:val="000000"/>
                <w:sz w:val="24"/>
                <w:szCs w:val="24"/>
                <w:lang w:eastAsia="lv-LV"/>
              </w:rPr>
              <w:t>gadā +0,11 </w:t>
            </w:r>
            <w:proofErr w:type="spellStart"/>
            <w:r w:rsidRPr="00770D12">
              <w:rPr>
                <w:rFonts w:eastAsia="Times New Roman" w:cs="Times New Roman"/>
                <w:bCs/>
                <w:i/>
                <w:color w:val="000000"/>
                <w:sz w:val="24"/>
                <w:szCs w:val="24"/>
                <w:lang w:eastAsia="lv-LV"/>
              </w:rPr>
              <w:t>euro</w:t>
            </w:r>
            <w:proofErr w:type="spellEnd"/>
            <w:r w:rsidRPr="00770D12">
              <w:rPr>
                <w:rFonts w:eastAsia="Times New Roman" w:cs="Times New Roman"/>
                <w:color w:val="000000"/>
                <w:sz w:val="24"/>
                <w:szCs w:val="24"/>
                <w:lang w:eastAsia="lv-LV"/>
              </w:rPr>
              <w:t xml:space="preserve"> jeb +12,0%</w:t>
            </w:r>
            <w:r>
              <w:rPr>
                <w:rFonts w:eastAsia="Times New Roman" w:cs="Times New Roman"/>
                <w:color w:val="000000"/>
                <w:sz w:val="24"/>
                <w:szCs w:val="24"/>
                <w:lang w:eastAsia="lv-LV"/>
              </w:rPr>
              <w:t>.</w:t>
            </w:r>
          </w:p>
          <w:p w14:paraId="3E078C3D" w14:textId="77777777" w:rsidR="00604513" w:rsidRPr="00770D12" w:rsidRDefault="00604513" w:rsidP="004B105E">
            <w:pPr>
              <w:shd w:val="clear" w:color="auto" w:fill="FFFFFF"/>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Prognozēts, ka katras likmju paaugstināšanas rezultātā iepriekš prognozētais patēriņa apjoms nedaudz samazināsies</w:t>
            </w:r>
            <w:r>
              <w:rPr>
                <w:rFonts w:eastAsia="Times New Roman" w:cs="Times New Roman"/>
                <w:color w:val="000000"/>
                <w:sz w:val="24"/>
                <w:szCs w:val="24"/>
                <w:lang w:eastAsia="lv-LV"/>
              </w:rPr>
              <w:t>.</w:t>
            </w:r>
          </w:p>
          <w:p w14:paraId="429BCC70" w14:textId="77777777" w:rsidR="00604513" w:rsidRPr="00770D12" w:rsidRDefault="00604513" w:rsidP="00A9147C">
            <w:pPr>
              <w:shd w:val="clear" w:color="auto" w:fill="FFFFFF"/>
              <w:spacing w:line="276" w:lineRule="auto"/>
              <w:jc w:val="both"/>
              <w:rPr>
                <w:rFonts w:eastAsia="Times New Roman" w:cs="Times New Roman"/>
                <w:color w:val="000000"/>
                <w:sz w:val="24"/>
                <w:szCs w:val="24"/>
                <w:lang w:eastAsia="lv-LV"/>
              </w:rPr>
            </w:pPr>
            <w:r w:rsidRPr="00770D12">
              <w:rPr>
                <w:rFonts w:eastAsia="Times New Roman" w:cs="Times New Roman"/>
                <w:color w:val="000000"/>
                <w:sz w:val="24"/>
                <w:szCs w:val="24"/>
                <w:lang w:eastAsia="lv-LV"/>
              </w:rPr>
              <w:t>Fiskālā ietekme, ņemot vērā akcīzes nodokļa maksāšanas kārtību:</w:t>
            </w:r>
          </w:p>
          <w:tbl>
            <w:tblPr>
              <w:tblW w:w="6017" w:type="dxa"/>
              <w:tblInd w:w="1129" w:type="dxa"/>
              <w:tblLayout w:type="fixed"/>
              <w:tblLook w:val="04A0" w:firstRow="1" w:lastRow="0" w:firstColumn="1" w:lastColumn="0" w:noHBand="0" w:noVBand="1"/>
            </w:tblPr>
            <w:tblGrid>
              <w:gridCol w:w="3175"/>
              <w:gridCol w:w="953"/>
              <w:gridCol w:w="952"/>
              <w:gridCol w:w="937"/>
            </w:tblGrid>
            <w:tr w:rsidR="00604513" w:rsidRPr="00A32BDC" w14:paraId="776F78F0" w14:textId="77777777" w:rsidTr="00A9147C">
              <w:trPr>
                <w:trHeight w:val="244"/>
              </w:trPr>
              <w:tc>
                <w:tcPr>
                  <w:tcW w:w="3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EBB14" w14:textId="77777777" w:rsidR="00604513" w:rsidRPr="00A32BDC" w:rsidRDefault="00604513" w:rsidP="00A9147C">
                  <w:pPr>
                    <w:spacing w:after="0" w:line="240" w:lineRule="auto"/>
                    <w:contextualSpacing/>
                    <w:rPr>
                      <w:rFonts w:ascii="Times New Roman" w:eastAsia="Times New Roman" w:hAnsi="Times New Roman" w:cs="Times New Roman"/>
                      <w:i/>
                      <w:iCs/>
                      <w:color w:val="000000"/>
                      <w:szCs w:val="24"/>
                      <w:lang w:eastAsia="lv-LV"/>
                    </w:rPr>
                  </w:pPr>
                  <w:r w:rsidRPr="00A32BDC">
                    <w:rPr>
                      <w:rFonts w:ascii="Times New Roman" w:eastAsia="Times New Roman" w:hAnsi="Times New Roman" w:cs="Times New Roman"/>
                      <w:i/>
                      <w:iCs/>
                      <w:color w:val="000000"/>
                      <w:szCs w:val="24"/>
                      <w:lang w:eastAsia="lv-LV"/>
                    </w:rPr>
                    <w:t>milj</w:t>
                  </w:r>
                  <w:r>
                    <w:rPr>
                      <w:rFonts w:ascii="Times New Roman" w:eastAsia="Times New Roman" w:hAnsi="Times New Roman" w:cs="Times New Roman"/>
                      <w:i/>
                      <w:iCs/>
                      <w:color w:val="000000"/>
                      <w:szCs w:val="24"/>
                      <w:lang w:eastAsia="lv-LV"/>
                    </w:rPr>
                    <w:t>.</w:t>
                  </w:r>
                  <w:r w:rsidRPr="00A32BDC">
                    <w:rPr>
                      <w:rFonts w:ascii="Times New Roman" w:eastAsia="Times New Roman" w:hAnsi="Times New Roman" w:cs="Times New Roman"/>
                      <w:i/>
                      <w:iCs/>
                      <w:color w:val="000000"/>
                      <w:szCs w:val="24"/>
                      <w:lang w:eastAsia="lv-LV"/>
                    </w:rPr>
                    <w:t xml:space="preserve"> </w:t>
                  </w:r>
                  <w:proofErr w:type="spellStart"/>
                  <w:r w:rsidRPr="00A32BDC">
                    <w:rPr>
                      <w:rFonts w:ascii="Times New Roman" w:eastAsia="Times New Roman" w:hAnsi="Times New Roman" w:cs="Times New Roman"/>
                      <w:i/>
                      <w:iCs/>
                      <w:color w:val="000000"/>
                      <w:szCs w:val="24"/>
                      <w:lang w:eastAsia="lv-LV"/>
                    </w:rPr>
                    <w:t>euro</w:t>
                  </w:r>
                  <w:proofErr w:type="spellEnd"/>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605BD8AA"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2021</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3E93C8E6"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2022</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468F02E9"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2023</w:t>
                  </w:r>
                </w:p>
              </w:tc>
            </w:tr>
            <w:tr w:rsidR="00604513" w:rsidRPr="00A32BDC" w14:paraId="572FC6B9" w14:textId="77777777" w:rsidTr="00A9147C">
              <w:trPr>
                <w:trHeight w:val="244"/>
              </w:trPr>
              <w:tc>
                <w:tcPr>
                  <w:tcW w:w="3175" w:type="dxa"/>
                  <w:tcBorders>
                    <w:top w:val="nil"/>
                    <w:left w:val="single" w:sz="4" w:space="0" w:color="auto"/>
                    <w:bottom w:val="single" w:sz="4" w:space="0" w:color="auto"/>
                    <w:right w:val="single" w:sz="4" w:space="0" w:color="auto"/>
                  </w:tcBorders>
                  <w:shd w:val="clear" w:color="auto" w:fill="auto"/>
                  <w:noWrap/>
                  <w:vAlign w:val="bottom"/>
                  <w:hideMark/>
                </w:tcPr>
                <w:p w14:paraId="0A7F764B"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Akcīzes nodoklis</w:t>
                  </w:r>
                </w:p>
              </w:tc>
              <w:tc>
                <w:tcPr>
                  <w:tcW w:w="953" w:type="dxa"/>
                  <w:tcBorders>
                    <w:top w:val="nil"/>
                    <w:left w:val="nil"/>
                    <w:bottom w:val="single" w:sz="4" w:space="0" w:color="auto"/>
                    <w:right w:val="single" w:sz="4" w:space="0" w:color="auto"/>
                  </w:tcBorders>
                  <w:shd w:val="clear" w:color="auto" w:fill="auto"/>
                  <w:noWrap/>
                  <w:vAlign w:val="center"/>
                  <w:hideMark/>
                </w:tcPr>
                <w:p w14:paraId="56E9CC53" w14:textId="77777777" w:rsidR="00604513" w:rsidRPr="00A32BDC" w:rsidRDefault="00604513" w:rsidP="00A9147C">
                  <w:pPr>
                    <w:spacing w:line="240" w:lineRule="auto"/>
                    <w:contextualSpacing/>
                    <w:jc w:val="center"/>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1,260</w:t>
                  </w:r>
                </w:p>
              </w:tc>
              <w:tc>
                <w:tcPr>
                  <w:tcW w:w="952" w:type="dxa"/>
                  <w:tcBorders>
                    <w:top w:val="nil"/>
                    <w:left w:val="nil"/>
                    <w:bottom w:val="single" w:sz="4" w:space="0" w:color="auto"/>
                    <w:right w:val="single" w:sz="4" w:space="0" w:color="auto"/>
                  </w:tcBorders>
                  <w:shd w:val="clear" w:color="auto" w:fill="auto"/>
                  <w:noWrap/>
                  <w:vAlign w:val="center"/>
                  <w:hideMark/>
                </w:tcPr>
                <w:p w14:paraId="62506504" w14:textId="77777777" w:rsidR="00604513" w:rsidRPr="00A32BDC" w:rsidRDefault="00604513" w:rsidP="00A9147C">
                  <w:pPr>
                    <w:spacing w:line="240" w:lineRule="auto"/>
                    <w:contextualSpacing/>
                    <w:jc w:val="center"/>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2,910</w:t>
                  </w:r>
                </w:p>
              </w:tc>
              <w:tc>
                <w:tcPr>
                  <w:tcW w:w="937" w:type="dxa"/>
                  <w:tcBorders>
                    <w:top w:val="nil"/>
                    <w:left w:val="nil"/>
                    <w:bottom w:val="single" w:sz="4" w:space="0" w:color="auto"/>
                    <w:right w:val="single" w:sz="4" w:space="0" w:color="auto"/>
                  </w:tcBorders>
                  <w:shd w:val="clear" w:color="auto" w:fill="auto"/>
                  <w:noWrap/>
                  <w:vAlign w:val="center"/>
                  <w:hideMark/>
                </w:tcPr>
                <w:p w14:paraId="414034A0" w14:textId="77777777" w:rsidR="00604513" w:rsidRPr="00A32BDC" w:rsidRDefault="00604513" w:rsidP="00A9147C">
                  <w:pPr>
                    <w:spacing w:line="240" w:lineRule="auto"/>
                    <w:contextualSpacing/>
                    <w:jc w:val="center"/>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3,970</w:t>
                  </w:r>
                </w:p>
              </w:tc>
            </w:tr>
            <w:tr w:rsidR="00604513" w:rsidRPr="00A32BDC" w14:paraId="1739051D" w14:textId="77777777" w:rsidTr="00A9147C">
              <w:trPr>
                <w:trHeight w:val="244"/>
              </w:trPr>
              <w:tc>
                <w:tcPr>
                  <w:tcW w:w="3175" w:type="dxa"/>
                  <w:tcBorders>
                    <w:top w:val="nil"/>
                    <w:left w:val="single" w:sz="4" w:space="0" w:color="auto"/>
                    <w:bottom w:val="single" w:sz="4" w:space="0" w:color="auto"/>
                    <w:right w:val="single" w:sz="4" w:space="0" w:color="auto"/>
                  </w:tcBorders>
                  <w:shd w:val="clear" w:color="auto" w:fill="auto"/>
                  <w:noWrap/>
                  <w:vAlign w:val="bottom"/>
                  <w:hideMark/>
                </w:tcPr>
                <w:p w14:paraId="5EE796EC"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Pievienotās vērtības nodoklis</w:t>
                  </w:r>
                </w:p>
              </w:tc>
              <w:tc>
                <w:tcPr>
                  <w:tcW w:w="953" w:type="dxa"/>
                  <w:tcBorders>
                    <w:top w:val="nil"/>
                    <w:left w:val="nil"/>
                    <w:bottom w:val="single" w:sz="4" w:space="0" w:color="auto"/>
                    <w:right w:val="single" w:sz="4" w:space="0" w:color="auto"/>
                  </w:tcBorders>
                  <w:shd w:val="clear" w:color="auto" w:fill="auto"/>
                  <w:noWrap/>
                  <w:vAlign w:val="center"/>
                  <w:hideMark/>
                </w:tcPr>
                <w:p w14:paraId="7595D544" w14:textId="77777777" w:rsidR="00604513" w:rsidRPr="00A32BDC" w:rsidRDefault="00604513" w:rsidP="00A9147C">
                  <w:pPr>
                    <w:spacing w:line="240" w:lineRule="auto"/>
                    <w:contextualSpacing/>
                    <w:jc w:val="center"/>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0,260</w:t>
                  </w:r>
                </w:p>
              </w:tc>
              <w:tc>
                <w:tcPr>
                  <w:tcW w:w="952" w:type="dxa"/>
                  <w:tcBorders>
                    <w:top w:val="nil"/>
                    <w:left w:val="nil"/>
                    <w:bottom w:val="single" w:sz="4" w:space="0" w:color="auto"/>
                    <w:right w:val="single" w:sz="4" w:space="0" w:color="auto"/>
                  </w:tcBorders>
                  <w:shd w:val="clear" w:color="auto" w:fill="auto"/>
                  <w:noWrap/>
                  <w:vAlign w:val="center"/>
                  <w:hideMark/>
                </w:tcPr>
                <w:p w14:paraId="1023835F" w14:textId="77777777" w:rsidR="00604513" w:rsidRPr="00A32BDC" w:rsidRDefault="00604513" w:rsidP="00A9147C">
                  <w:pPr>
                    <w:spacing w:line="240" w:lineRule="auto"/>
                    <w:contextualSpacing/>
                    <w:jc w:val="center"/>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0,610</w:t>
                  </w:r>
                </w:p>
              </w:tc>
              <w:tc>
                <w:tcPr>
                  <w:tcW w:w="937" w:type="dxa"/>
                  <w:tcBorders>
                    <w:top w:val="nil"/>
                    <w:left w:val="nil"/>
                    <w:bottom w:val="single" w:sz="4" w:space="0" w:color="auto"/>
                    <w:right w:val="single" w:sz="4" w:space="0" w:color="auto"/>
                  </w:tcBorders>
                  <w:shd w:val="clear" w:color="auto" w:fill="auto"/>
                  <w:noWrap/>
                  <w:vAlign w:val="center"/>
                  <w:hideMark/>
                </w:tcPr>
                <w:p w14:paraId="3D739C1E" w14:textId="77777777" w:rsidR="00604513" w:rsidRPr="00A32BDC" w:rsidRDefault="00604513" w:rsidP="00A9147C">
                  <w:pPr>
                    <w:spacing w:line="240" w:lineRule="auto"/>
                    <w:contextualSpacing/>
                    <w:jc w:val="center"/>
                    <w:rPr>
                      <w:rFonts w:ascii="Times New Roman" w:hAnsi="Times New Roman" w:cs="Times New Roman"/>
                      <w:szCs w:val="24"/>
                    </w:rPr>
                  </w:pPr>
                  <w:r>
                    <w:rPr>
                      <w:rFonts w:ascii="Times New Roman" w:hAnsi="Times New Roman" w:cs="Times New Roman"/>
                      <w:szCs w:val="24"/>
                    </w:rPr>
                    <w:t>+</w:t>
                  </w:r>
                  <w:r w:rsidRPr="00A32BDC">
                    <w:rPr>
                      <w:rFonts w:ascii="Times New Roman" w:hAnsi="Times New Roman" w:cs="Times New Roman"/>
                      <w:szCs w:val="24"/>
                    </w:rPr>
                    <w:t>0,830</w:t>
                  </w:r>
                </w:p>
              </w:tc>
            </w:tr>
            <w:tr w:rsidR="00604513" w:rsidRPr="00A32BDC" w14:paraId="5DCEAEA8" w14:textId="77777777" w:rsidTr="00A9147C">
              <w:trPr>
                <w:trHeight w:val="244"/>
              </w:trPr>
              <w:tc>
                <w:tcPr>
                  <w:tcW w:w="3175" w:type="dxa"/>
                  <w:tcBorders>
                    <w:top w:val="nil"/>
                    <w:left w:val="single" w:sz="4" w:space="0" w:color="auto"/>
                    <w:bottom w:val="single" w:sz="4" w:space="0" w:color="auto"/>
                    <w:right w:val="single" w:sz="4" w:space="0" w:color="auto"/>
                  </w:tcBorders>
                  <w:shd w:val="clear" w:color="auto" w:fill="auto"/>
                  <w:noWrap/>
                  <w:vAlign w:val="bottom"/>
                  <w:hideMark/>
                </w:tcPr>
                <w:p w14:paraId="0185F7B1" w14:textId="77777777" w:rsidR="00604513" w:rsidRPr="00A32BDC" w:rsidRDefault="00604513" w:rsidP="00A9147C">
                  <w:pPr>
                    <w:spacing w:after="0" w:line="240" w:lineRule="auto"/>
                    <w:contextualSpacing/>
                    <w:rPr>
                      <w:rFonts w:ascii="Times New Roman" w:eastAsia="Times New Roman" w:hAnsi="Times New Roman" w:cs="Times New Roman"/>
                      <w:b/>
                      <w:bCs/>
                      <w:color w:val="000000"/>
                      <w:szCs w:val="24"/>
                      <w:lang w:eastAsia="lv-LV"/>
                    </w:rPr>
                  </w:pPr>
                  <w:r w:rsidRPr="00A32BDC">
                    <w:rPr>
                      <w:rFonts w:ascii="Times New Roman" w:eastAsia="Times New Roman" w:hAnsi="Times New Roman" w:cs="Times New Roman"/>
                      <w:b/>
                      <w:bCs/>
                      <w:color w:val="000000"/>
                      <w:szCs w:val="24"/>
                      <w:lang w:eastAsia="lv-LV"/>
                    </w:rPr>
                    <w:t>KOPĀ</w:t>
                  </w:r>
                </w:p>
              </w:tc>
              <w:tc>
                <w:tcPr>
                  <w:tcW w:w="953" w:type="dxa"/>
                  <w:tcBorders>
                    <w:top w:val="nil"/>
                    <w:left w:val="nil"/>
                    <w:bottom w:val="single" w:sz="4" w:space="0" w:color="auto"/>
                    <w:right w:val="single" w:sz="4" w:space="0" w:color="auto"/>
                  </w:tcBorders>
                  <w:shd w:val="clear" w:color="auto" w:fill="auto"/>
                  <w:noWrap/>
                  <w:vAlign w:val="center"/>
                  <w:hideMark/>
                </w:tcPr>
                <w:p w14:paraId="0B7BDFBA" w14:textId="77777777" w:rsidR="00604513" w:rsidRPr="00922602" w:rsidRDefault="00604513" w:rsidP="00A9147C">
                  <w:pPr>
                    <w:spacing w:line="240" w:lineRule="auto"/>
                    <w:contextualSpacing/>
                    <w:jc w:val="center"/>
                    <w:rPr>
                      <w:rFonts w:ascii="Times New Roman" w:hAnsi="Times New Roman" w:cs="Times New Roman"/>
                      <w:b/>
                      <w:szCs w:val="24"/>
                    </w:rPr>
                  </w:pPr>
                  <w:r w:rsidRPr="00922602">
                    <w:rPr>
                      <w:rFonts w:ascii="Times New Roman" w:hAnsi="Times New Roman" w:cs="Times New Roman"/>
                      <w:b/>
                      <w:szCs w:val="24"/>
                    </w:rPr>
                    <w:t>+1,520</w:t>
                  </w:r>
                </w:p>
              </w:tc>
              <w:tc>
                <w:tcPr>
                  <w:tcW w:w="952" w:type="dxa"/>
                  <w:tcBorders>
                    <w:top w:val="nil"/>
                    <w:left w:val="nil"/>
                    <w:bottom w:val="single" w:sz="4" w:space="0" w:color="auto"/>
                    <w:right w:val="single" w:sz="4" w:space="0" w:color="auto"/>
                  </w:tcBorders>
                  <w:shd w:val="clear" w:color="auto" w:fill="auto"/>
                  <w:noWrap/>
                  <w:vAlign w:val="center"/>
                  <w:hideMark/>
                </w:tcPr>
                <w:p w14:paraId="2A428C4F" w14:textId="77777777" w:rsidR="00604513" w:rsidRPr="00922602" w:rsidRDefault="00604513" w:rsidP="00A9147C">
                  <w:pPr>
                    <w:spacing w:line="240" w:lineRule="auto"/>
                    <w:contextualSpacing/>
                    <w:jc w:val="center"/>
                    <w:rPr>
                      <w:rFonts w:ascii="Times New Roman" w:hAnsi="Times New Roman" w:cs="Times New Roman"/>
                      <w:b/>
                      <w:szCs w:val="24"/>
                    </w:rPr>
                  </w:pPr>
                  <w:r w:rsidRPr="00922602">
                    <w:rPr>
                      <w:rFonts w:ascii="Times New Roman" w:hAnsi="Times New Roman" w:cs="Times New Roman"/>
                      <w:b/>
                      <w:szCs w:val="24"/>
                    </w:rPr>
                    <w:t>+3,520</w:t>
                  </w:r>
                </w:p>
              </w:tc>
              <w:tc>
                <w:tcPr>
                  <w:tcW w:w="937" w:type="dxa"/>
                  <w:tcBorders>
                    <w:top w:val="nil"/>
                    <w:left w:val="nil"/>
                    <w:bottom w:val="single" w:sz="4" w:space="0" w:color="auto"/>
                    <w:right w:val="single" w:sz="4" w:space="0" w:color="auto"/>
                  </w:tcBorders>
                  <w:shd w:val="clear" w:color="auto" w:fill="auto"/>
                  <w:noWrap/>
                  <w:vAlign w:val="center"/>
                  <w:hideMark/>
                </w:tcPr>
                <w:p w14:paraId="560D7858" w14:textId="77777777" w:rsidR="00604513" w:rsidRPr="00922602" w:rsidRDefault="00604513" w:rsidP="00A9147C">
                  <w:pPr>
                    <w:spacing w:line="240" w:lineRule="auto"/>
                    <w:contextualSpacing/>
                    <w:jc w:val="center"/>
                    <w:rPr>
                      <w:rFonts w:ascii="Times New Roman" w:hAnsi="Times New Roman" w:cs="Times New Roman"/>
                      <w:b/>
                      <w:szCs w:val="24"/>
                    </w:rPr>
                  </w:pPr>
                  <w:r w:rsidRPr="00922602">
                    <w:rPr>
                      <w:rFonts w:ascii="Times New Roman" w:hAnsi="Times New Roman" w:cs="Times New Roman"/>
                      <w:b/>
                      <w:szCs w:val="24"/>
                    </w:rPr>
                    <w:t>+4,800</w:t>
                  </w:r>
                </w:p>
              </w:tc>
            </w:tr>
          </w:tbl>
          <w:p w14:paraId="5D0F4DBA" w14:textId="77777777" w:rsidR="00604513" w:rsidRPr="00770D12" w:rsidRDefault="00604513" w:rsidP="00A9147C">
            <w:pPr>
              <w:rPr>
                <w:rFonts w:cs="Times New Roman"/>
                <w:sz w:val="24"/>
                <w:szCs w:val="24"/>
              </w:rPr>
            </w:pPr>
          </w:p>
          <w:p w14:paraId="2F25CB96" w14:textId="657961CB" w:rsidR="00604513" w:rsidRPr="00770D12" w:rsidRDefault="00604513" w:rsidP="004B105E">
            <w:pPr>
              <w:jc w:val="both"/>
              <w:rPr>
                <w:rFonts w:cs="Times New Roman"/>
                <w:sz w:val="24"/>
                <w:szCs w:val="24"/>
              </w:rPr>
            </w:pPr>
            <w:r w:rsidRPr="00922602">
              <w:rPr>
                <w:rFonts w:cs="Times New Roman"/>
                <w:sz w:val="24"/>
                <w:szCs w:val="24"/>
                <w:u w:val="single"/>
              </w:rPr>
              <w:t>6</w:t>
            </w:r>
            <w:r w:rsidRPr="00922602">
              <w:rPr>
                <w:rFonts w:eastAsia="Times New Roman" w:cs="Times New Roman"/>
                <w:color w:val="000000"/>
                <w:sz w:val="24"/>
                <w:szCs w:val="24"/>
                <w:u w:val="single"/>
                <w:lang w:eastAsia="lv-LV"/>
              </w:rPr>
              <w:t xml:space="preserve">. Akcīzes nodokļa likmes piemērošana </w:t>
            </w:r>
            <w:r w:rsidR="00051DB2">
              <w:rPr>
                <w:rFonts w:eastAsia="Times New Roman" w:cs="Times New Roman"/>
                <w:b/>
                <w:color w:val="000000"/>
                <w:sz w:val="24"/>
                <w:szCs w:val="24"/>
                <w:u w:val="single"/>
                <w:lang w:eastAsia="lv-LV"/>
              </w:rPr>
              <w:t>tabakas</w:t>
            </w:r>
            <w:r w:rsidRPr="00F85A8C">
              <w:rPr>
                <w:rFonts w:eastAsia="Times New Roman" w:cs="Times New Roman"/>
                <w:b/>
                <w:color w:val="000000"/>
                <w:sz w:val="24"/>
                <w:szCs w:val="24"/>
                <w:u w:val="single"/>
                <w:lang w:eastAsia="lv-LV"/>
              </w:rPr>
              <w:t xml:space="preserve"> </w:t>
            </w:r>
            <w:r w:rsidR="00051DB2">
              <w:rPr>
                <w:rFonts w:eastAsia="Times New Roman" w:cs="Times New Roman"/>
                <w:b/>
                <w:color w:val="000000"/>
                <w:sz w:val="24"/>
                <w:szCs w:val="24"/>
                <w:u w:val="single"/>
                <w:lang w:eastAsia="lv-LV"/>
              </w:rPr>
              <w:t>aizstājēj</w:t>
            </w:r>
            <w:r w:rsidRPr="00F85A8C">
              <w:rPr>
                <w:rFonts w:eastAsia="Times New Roman" w:cs="Times New Roman"/>
                <w:b/>
                <w:color w:val="000000"/>
                <w:sz w:val="24"/>
                <w:szCs w:val="24"/>
                <w:u w:val="single"/>
                <w:lang w:eastAsia="lv-LV"/>
              </w:rPr>
              <w:t>produktiem</w:t>
            </w:r>
          </w:p>
          <w:p w14:paraId="58000C5D" w14:textId="02B05E37" w:rsidR="00604513" w:rsidRPr="00770D12" w:rsidRDefault="00051DB2" w:rsidP="004B105E">
            <w:pPr>
              <w:jc w:val="both"/>
              <w:rPr>
                <w:rFonts w:cs="Times New Roman"/>
                <w:sz w:val="24"/>
                <w:szCs w:val="24"/>
              </w:rPr>
            </w:pPr>
            <w:r>
              <w:rPr>
                <w:rFonts w:cs="Times New Roman"/>
                <w:sz w:val="24"/>
                <w:szCs w:val="24"/>
              </w:rPr>
              <w:t>Ņemot vērā to, ka tabakas</w:t>
            </w:r>
            <w:r w:rsidR="00604513">
              <w:rPr>
                <w:rFonts w:cs="Times New Roman"/>
                <w:sz w:val="24"/>
                <w:szCs w:val="24"/>
              </w:rPr>
              <w:t xml:space="preserve"> </w:t>
            </w:r>
            <w:r>
              <w:rPr>
                <w:rFonts w:cs="Times New Roman"/>
                <w:sz w:val="24"/>
                <w:szCs w:val="24"/>
              </w:rPr>
              <w:t>aizstājēj</w:t>
            </w:r>
            <w:r w:rsidR="00604513">
              <w:rPr>
                <w:rFonts w:cs="Times New Roman"/>
                <w:sz w:val="24"/>
                <w:szCs w:val="24"/>
              </w:rPr>
              <w:t>produktu patēriņa apjoms nav zināms un ir neliels,</w:t>
            </w:r>
            <w:proofErr w:type="gramStart"/>
            <w:r w:rsidR="00604513">
              <w:rPr>
                <w:rFonts w:cs="Times New Roman"/>
                <w:sz w:val="24"/>
                <w:szCs w:val="24"/>
              </w:rPr>
              <w:t xml:space="preserve">  </w:t>
            </w:r>
            <w:proofErr w:type="gramEnd"/>
            <w:r w:rsidR="00604513">
              <w:rPr>
                <w:rFonts w:cs="Times New Roman"/>
                <w:sz w:val="24"/>
                <w:szCs w:val="24"/>
              </w:rPr>
              <w:t xml:space="preserve">fiskālā ietekme nav nosakāma. </w:t>
            </w:r>
          </w:p>
          <w:p w14:paraId="14E72195" w14:textId="29B64EA6" w:rsidR="00604513" w:rsidRDefault="00604513" w:rsidP="004B105E">
            <w:pPr>
              <w:jc w:val="both"/>
              <w:rPr>
                <w:rFonts w:cs="Times New Roman"/>
                <w:sz w:val="24"/>
                <w:szCs w:val="24"/>
              </w:rPr>
            </w:pPr>
          </w:p>
          <w:p w14:paraId="559DE167" w14:textId="31A8C254" w:rsidR="00604513" w:rsidRPr="006507C6" w:rsidRDefault="00604513" w:rsidP="00A9147C">
            <w:pPr>
              <w:rPr>
                <w:rFonts w:cs="Times New Roman"/>
                <w:b/>
                <w:sz w:val="24"/>
                <w:szCs w:val="24"/>
              </w:rPr>
            </w:pPr>
            <w:r w:rsidRPr="006507C6">
              <w:rPr>
                <w:rFonts w:cs="Times New Roman"/>
                <w:b/>
                <w:sz w:val="24"/>
                <w:szCs w:val="24"/>
              </w:rPr>
              <w:t>Fiskālā ietekme kopā</w:t>
            </w:r>
            <w:r w:rsidR="004B105E">
              <w:rPr>
                <w:rFonts w:cs="Times New Roman"/>
                <w:b/>
                <w:sz w:val="24"/>
                <w:szCs w:val="24"/>
              </w:rPr>
              <w:t>:</w:t>
            </w:r>
          </w:p>
          <w:p w14:paraId="24DD0CC8" w14:textId="77777777" w:rsidR="00604513" w:rsidRDefault="00604513" w:rsidP="00A9147C">
            <w:pPr>
              <w:rPr>
                <w:rFonts w:cs="Times New Roman"/>
                <w:sz w:val="24"/>
                <w:szCs w:val="24"/>
              </w:rPr>
            </w:pPr>
          </w:p>
          <w:tbl>
            <w:tblPr>
              <w:tblW w:w="6134" w:type="dxa"/>
              <w:tblInd w:w="1129" w:type="dxa"/>
              <w:tblLayout w:type="fixed"/>
              <w:tblLook w:val="04A0" w:firstRow="1" w:lastRow="0" w:firstColumn="1" w:lastColumn="0" w:noHBand="0" w:noVBand="1"/>
            </w:tblPr>
            <w:tblGrid>
              <w:gridCol w:w="3238"/>
              <w:gridCol w:w="971"/>
              <w:gridCol w:w="970"/>
              <w:gridCol w:w="955"/>
            </w:tblGrid>
            <w:tr w:rsidR="00604513" w:rsidRPr="00A32BDC" w14:paraId="5F123B3F" w14:textId="77777777" w:rsidTr="00A9147C">
              <w:trPr>
                <w:trHeight w:val="227"/>
              </w:trPr>
              <w:tc>
                <w:tcPr>
                  <w:tcW w:w="3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00F66" w14:textId="77777777" w:rsidR="00604513" w:rsidRPr="00A32BDC" w:rsidRDefault="00604513" w:rsidP="00A9147C">
                  <w:pPr>
                    <w:spacing w:after="0" w:line="240" w:lineRule="auto"/>
                    <w:contextualSpacing/>
                    <w:rPr>
                      <w:rFonts w:ascii="Times New Roman" w:eastAsia="Times New Roman" w:hAnsi="Times New Roman" w:cs="Times New Roman"/>
                      <w:i/>
                      <w:iCs/>
                      <w:color w:val="000000"/>
                      <w:szCs w:val="24"/>
                      <w:lang w:eastAsia="lv-LV"/>
                    </w:rPr>
                  </w:pPr>
                  <w:r w:rsidRPr="00A32BDC">
                    <w:rPr>
                      <w:rFonts w:ascii="Times New Roman" w:eastAsia="Times New Roman" w:hAnsi="Times New Roman" w:cs="Times New Roman"/>
                      <w:i/>
                      <w:iCs/>
                      <w:color w:val="000000"/>
                      <w:szCs w:val="24"/>
                      <w:lang w:eastAsia="lv-LV"/>
                    </w:rPr>
                    <w:t>milj</w:t>
                  </w:r>
                  <w:r>
                    <w:rPr>
                      <w:rFonts w:ascii="Times New Roman" w:eastAsia="Times New Roman" w:hAnsi="Times New Roman" w:cs="Times New Roman"/>
                      <w:i/>
                      <w:iCs/>
                      <w:color w:val="000000"/>
                      <w:szCs w:val="24"/>
                      <w:lang w:eastAsia="lv-LV"/>
                    </w:rPr>
                    <w:t>.</w:t>
                  </w:r>
                  <w:r w:rsidRPr="00A32BDC">
                    <w:rPr>
                      <w:rFonts w:ascii="Times New Roman" w:eastAsia="Times New Roman" w:hAnsi="Times New Roman" w:cs="Times New Roman"/>
                      <w:i/>
                      <w:iCs/>
                      <w:color w:val="000000"/>
                      <w:szCs w:val="24"/>
                      <w:lang w:eastAsia="lv-LV"/>
                    </w:rPr>
                    <w:t xml:space="preserve"> </w:t>
                  </w:r>
                  <w:proofErr w:type="spellStart"/>
                  <w:r w:rsidRPr="00A32BDC">
                    <w:rPr>
                      <w:rFonts w:ascii="Times New Roman" w:eastAsia="Times New Roman" w:hAnsi="Times New Roman" w:cs="Times New Roman"/>
                      <w:i/>
                      <w:iCs/>
                      <w:color w:val="000000"/>
                      <w:szCs w:val="24"/>
                      <w:lang w:eastAsia="lv-LV"/>
                    </w:rPr>
                    <w:t>euro</w:t>
                  </w:r>
                  <w:proofErr w:type="spellEnd"/>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679BA57A"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2021</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592828F6"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2022</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74B857EE" w14:textId="77777777" w:rsidR="00604513" w:rsidRPr="00A32BDC" w:rsidRDefault="00604513" w:rsidP="00A9147C">
                  <w:pPr>
                    <w:spacing w:after="0" w:line="240" w:lineRule="auto"/>
                    <w:contextualSpacing/>
                    <w:jc w:val="center"/>
                    <w:rPr>
                      <w:rFonts w:ascii="Times New Roman" w:eastAsia="Times New Roman" w:hAnsi="Times New Roman" w:cs="Times New Roman"/>
                      <w:b/>
                      <w:bCs/>
                      <w:szCs w:val="24"/>
                      <w:lang w:eastAsia="lv-LV"/>
                    </w:rPr>
                  </w:pPr>
                  <w:r w:rsidRPr="00A32BDC">
                    <w:rPr>
                      <w:rFonts w:ascii="Times New Roman" w:eastAsia="Times New Roman" w:hAnsi="Times New Roman" w:cs="Times New Roman"/>
                      <w:b/>
                      <w:bCs/>
                      <w:szCs w:val="24"/>
                      <w:lang w:eastAsia="lv-LV"/>
                    </w:rPr>
                    <w:t>2023</w:t>
                  </w:r>
                </w:p>
              </w:tc>
            </w:tr>
            <w:tr w:rsidR="00604513" w:rsidRPr="00A32BDC" w14:paraId="0074F765" w14:textId="77777777" w:rsidTr="00A9147C">
              <w:trPr>
                <w:trHeight w:val="227"/>
              </w:trPr>
              <w:tc>
                <w:tcPr>
                  <w:tcW w:w="3238" w:type="dxa"/>
                  <w:tcBorders>
                    <w:top w:val="nil"/>
                    <w:left w:val="single" w:sz="4" w:space="0" w:color="auto"/>
                    <w:bottom w:val="single" w:sz="4" w:space="0" w:color="auto"/>
                    <w:right w:val="single" w:sz="4" w:space="0" w:color="auto"/>
                  </w:tcBorders>
                  <w:shd w:val="clear" w:color="auto" w:fill="auto"/>
                  <w:noWrap/>
                  <w:vAlign w:val="bottom"/>
                  <w:hideMark/>
                </w:tcPr>
                <w:p w14:paraId="5977CE68"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Akcīzes nodoklis</w:t>
                  </w:r>
                </w:p>
              </w:tc>
              <w:tc>
                <w:tcPr>
                  <w:tcW w:w="971" w:type="dxa"/>
                  <w:tcBorders>
                    <w:top w:val="nil"/>
                    <w:left w:val="nil"/>
                    <w:bottom w:val="single" w:sz="4" w:space="0" w:color="auto"/>
                    <w:right w:val="single" w:sz="4" w:space="0" w:color="auto"/>
                  </w:tcBorders>
                  <w:shd w:val="clear" w:color="auto" w:fill="auto"/>
                  <w:noWrap/>
                </w:tcPr>
                <w:p w14:paraId="6436428C" w14:textId="77777777" w:rsidR="00604513" w:rsidRPr="00E11B20" w:rsidRDefault="00604513" w:rsidP="00A9147C">
                  <w:pPr>
                    <w:spacing w:line="240" w:lineRule="auto"/>
                    <w:contextualSpacing/>
                    <w:jc w:val="center"/>
                    <w:rPr>
                      <w:rFonts w:ascii="Times New Roman" w:hAnsi="Times New Roman" w:cs="Times New Roman"/>
                      <w:szCs w:val="24"/>
                    </w:rPr>
                  </w:pPr>
                  <w:r w:rsidRPr="00E11B20">
                    <w:rPr>
                      <w:rFonts w:ascii="Times New Roman" w:hAnsi="Times New Roman" w:cs="Times New Roman"/>
                    </w:rPr>
                    <w:t xml:space="preserve">+ 4,119 </w:t>
                  </w:r>
                </w:p>
              </w:tc>
              <w:tc>
                <w:tcPr>
                  <w:tcW w:w="970" w:type="dxa"/>
                  <w:tcBorders>
                    <w:top w:val="nil"/>
                    <w:left w:val="nil"/>
                    <w:bottom w:val="single" w:sz="4" w:space="0" w:color="auto"/>
                    <w:right w:val="single" w:sz="4" w:space="0" w:color="auto"/>
                  </w:tcBorders>
                  <w:shd w:val="clear" w:color="auto" w:fill="auto"/>
                  <w:noWrap/>
                </w:tcPr>
                <w:p w14:paraId="10A3DBBD" w14:textId="77777777" w:rsidR="00604513" w:rsidRPr="00E11B20" w:rsidRDefault="00604513" w:rsidP="00A9147C">
                  <w:pPr>
                    <w:spacing w:line="240" w:lineRule="auto"/>
                    <w:contextualSpacing/>
                    <w:jc w:val="center"/>
                    <w:rPr>
                      <w:rFonts w:ascii="Times New Roman" w:hAnsi="Times New Roman" w:cs="Times New Roman"/>
                      <w:szCs w:val="24"/>
                    </w:rPr>
                  </w:pPr>
                  <w:r w:rsidRPr="00E11B20">
                    <w:rPr>
                      <w:rFonts w:ascii="Times New Roman" w:hAnsi="Times New Roman" w:cs="Times New Roman"/>
                    </w:rPr>
                    <w:t xml:space="preserve">+ 8,830 </w:t>
                  </w:r>
                </w:p>
              </w:tc>
              <w:tc>
                <w:tcPr>
                  <w:tcW w:w="955" w:type="dxa"/>
                  <w:tcBorders>
                    <w:top w:val="nil"/>
                    <w:left w:val="nil"/>
                    <w:bottom w:val="single" w:sz="4" w:space="0" w:color="auto"/>
                    <w:right w:val="single" w:sz="4" w:space="0" w:color="auto"/>
                  </w:tcBorders>
                  <w:shd w:val="clear" w:color="auto" w:fill="auto"/>
                  <w:noWrap/>
                </w:tcPr>
                <w:p w14:paraId="7931A431" w14:textId="77777777" w:rsidR="00604513" w:rsidRPr="00E11B20" w:rsidRDefault="00604513" w:rsidP="00A9147C">
                  <w:pPr>
                    <w:spacing w:line="240" w:lineRule="auto"/>
                    <w:contextualSpacing/>
                    <w:jc w:val="center"/>
                    <w:rPr>
                      <w:rFonts w:ascii="Times New Roman" w:hAnsi="Times New Roman" w:cs="Times New Roman"/>
                      <w:szCs w:val="24"/>
                    </w:rPr>
                  </w:pPr>
                  <w:r w:rsidRPr="00E11B20">
                    <w:rPr>
                      <w:rFonts w:ascii="Times New Roman" w:hAnsi="Times New Roman" w:cs="Times New Roman"/>
                    </w:rPr>
                    <w:t xml:space="preserve">+11,820 </w:t>
                  </w:r>
                </w:p>
              </w:tc>
            </w:tr>
            <w:tr w:rsidR="00604513" w:rsidRPr="00A32BDC" w14:paraId="732A3D4B" w14:textId="77777777" w:rsidTr="00A9147C">
              <w:trPr>
                <w:trHeight w:val="227"/>
              </w:trPr>
              <w:tc>
                <w:tcPr>
                  <w:tcW w:w="3238" w:type="dxa"/>
                  <w:tcBorders>
                    <w:top w:val="nil"/>
                    <w:left w:val="single" w:sz="4" w:space="0" w:color="auto"/>
                    <w:bottom w:val="single" w:sz="4" w:space="0" w:color="auto"/>
                    <w:right w:val="single" w:sz="4" w:space="0" w:color="auto"/>
                  </w:tcBorders>
                  <w:shd w:val="clear" w:color="auto" w:fill="auto"/>
                  <w:noWrap/>
                  <w:vAlign w:val="bottom"/>
                  <w:hideMark/>
                </w:tcPr>
                <w:p w14:paraId="2243A074" w14:textId="77777777" w:rsidR="00604513" w:rsidRPr="00A32BDC" w:rsidRDefault="00604513" w:rsidP="00A9147C">
                  <w:pPr>
                    <w:spacing w:after="0" w:line="240" w:lineRule="auto"/>
                    <w:contextualSpacing/>
                    <w:rPr>
                      <w:rFonts w:ascii="Times New Roman" w:eastAsia="Times New Roman" w:hAnsi="Times New Roman" w:cs="Times New Roman"/>
                      <w:color w:val="000000"/>
                      <w:szCs w:val="24"/>
                      <w:lang w:eastAsia="lv-LV"/>
                    </w:rPr>
                  </w:pPr>
                  <w:r w:rsidRPr="00A32BDC">
                    <w:rPr>
                      <w:rFonts w:ascii="Times New Roman" w:eastAsia="Times New Roman" w:hAnsi="Times New Roman" w:cs="Times New Roman"/>
                      <w:color w:val="000000"/>
                      <w:szCs w:val="24"/>
                      <w:lang w:eastAsia="lv-LV"/>
                    </w:rPr>
                    <w:t>Pievienotās vērtības nodoklis</w:t>
                  </w:r>
                </w:p>
              </w:tc>
              <w:tc>
                <w:tcPr>
                  <w:tcW w:w="971" w:type="dxa"/>
                  <w:tcBorders>
                    <w:top w:val="nil"/>
                    <w:left w:val="nil"/>
                    <w:bottom w:val="single" w:sz="4" w:space="0" w:color="auto"/>
                    <w:right w:val="single" w:sz="4" w:space="0" w:color="auto"/>
                  </w:tcBorders>
                  <w:shd w:val="clear" w:color="auto" w:fill="auto"/>
                  <w:noWrap/>
                </w:tcPr>
                <w:p w14:paraId="176F55EA" w14:textId="77777777" w:rsidR="00604513" w:rsidRPr="00E11B20" w:rsidRDefault="00604513" w:rsidP="00A9147C">
                  <w:pPr>
                    <w:spacing w:line="240" w:lineRule="auto"/>
                    <w:contextualSpacing/>
                    <w:jc w:val="center"/>
                    <w:rPr>
                      <w:rFonts w:ascii="Times New Roman" w:hAnsi="Times New Roman" w:cs="Times New Roman"/>
                      <w:szCs w:val="24"/>
                    </w:rPr>
                  </w:pPr>
                  <w:r w:rsidRPr="00E11B20">
                    <w:rPr>
                      <w:rFonts w:ascii="Times New Roman" w:hAnsi="Times New Roman" w:cs="Times New Roman"/>
                    </w:rPr>
                    <w:t xml:space="preserve">+ 0,864 </w:t>
                  </w:r>
                </w:p>
              </w:tc>
              <w:tc>
                <w:tcPr>
                  <w:tcW w:w="970" w:type="dxa"/>
                  <w:tcBorders>
                    <w:top w:val="nil"/>
                    <w:left w:val="nil"/>
                    <w:bottom w:val="single" w:sz="4" w:space="0" w:color="auto"/>
                    <w:right w:val="single" w:sz="4" w:space="0" w:color="auto"/>
                  </w:tcBorders>
                  <w:shd w:val="clear" w:color="auto" w:fill="auto"/>
                  <w:noWrap/>
                </w:tcPr>
                <w:p w14:paraId="253FB3D6" w14:textId="77777777" w:rsidR="00604513" w:rsidRPr="00E11B20" w:rsidRDefault="00604513" w:rsidP="00A9147C">
                  <w:pPr>
                    <w:spacing w:line="240" w:lineRule="auto"/>
                    <w:contextualSpacing/>
                    <w:jc w:val="center"/>
                    <w:rPr>
                      <w:rFonts w:ascii="Times New Roman" w:hAnsi="Times New Roman" w:cs="Times New Roman"/>
                      <w:szCs w:val="24"/>
                    </w:rPr>
                  </w:pPr>
                  <w:r w:rsidRPr="00E11B20">
                    <w:rPr>
                      <w:rFonts w:ascii="Times New Roman" w:hAnsi="Times New Roman" w:cs="Times New Roman"/>
                    </w:rPr>
                    <w:t xml:space="preserve">+1,857 </w:t>
                  </w:r>
                </w:p>
              </w:tc>
              <w:tc>
                <w:tcPr>
                  <w:tcW w:w="955" w:type="dxa"/>
                  <w:tcBorders>
                    <w:top w:val="nil"/>
                    <w:left w:val="nil"/>
                    <w:bottom w:val="single" w:sz="4" w:space="0" w:color="auto"/>
                    <w:right w:val="single" w:sz="4" w:space="0" w:color="auto"/>
                  </w:tcBorders>
                  <w:shd w:val="clear" w:color="auto" w:fill="auto"/>
                  <w:noWrap/>
                </w:tcPr>
                <w:p w14:paraId="17E2CEF5" w14:textId="77777777" w:rsidR="00604513" w:rsidRPr="00E11B20" w:rsidRDefault="00604513" w:rsidP="00A9147C">
                  <w:pPr>
                    <w:spacing w:line="240" w:lineRule="auto"/>
                    <w:contextualSpacing/>
                    <w:jc w:val="center"/>
                    <w:rPr>
                      <w:rFonts w:ascii="Times New Roman" w:hAnsi="Times New Roman" w:cs="Times New Roman"/>
                      <w:szCs w:val="24"/>
                    </w:rPr>
                  </w:pPr>
                  <w:r w:rsidRPr="00E11B20">
                    <w:rPr>
                      <w:rFonts w:ascii="Times New Roman" w:hAnsi="Times New Roman" w:cs="Times New Roman"/>
                    </w:rPr>
                    <w:t xml:space="preserve"> +2,484 </w:t>
                  </w:r>
                </w:p>
              </w:tc>
            </w:tr>
            <w:tr w:rsidR="00604513" w:rsidRPr="00A32BDC" w14:paraId="4E1A0774" w14:textId="77777777" w:rsidTr="00A9147C">
              <w:trPr>
                <w:trHeight w:val="227"/>
              </w:trPr>
              <w:tc>
                <w:tcPr>
                  <w:tcW w:w="3238" w:type="dxa"/>
                  <w:tcBorders>
                    <w:top w:val="nil"/>
                    <w:left w:val="single" w:sz="4" w:space="0" w:color="auto"/>
                    <w:bottom w:val="single" w:sz="4" w:space="0" w:color="auto"/>
                    <w:right w:val="single" w:sz="4" w:space="0" w:color="auto"/>
                  </w:tcBorders>
                  <w:shd w:val="clear" w:color="auto" w:fill="auto"/>
                  <w:noWrap/>
                  <w:vAlign w:val="bottom"/>
                  <w:hideMark/>
                </w:tcPr>
                <w:p w14:paraId="367E55DA" w14:textId="77777777" w:rsidR="00604513" w:rsidRPr="00A32BDC" w:rsidRDefault="00604513" w:rsidP="00A9147C">
                  <w:pPr>
                    <w:spacing w:after="0" w:line="240" w:lineRule="auto"/>
                    <w:contextualSpacing/>
                    <w:rPr>
                      <w:rFonts w:ascii="Times New Roman" w:eastAsia="Times New Roman" w:hAnsi="Times New Roman" w:cs="Times New Roman"/>
                      <w:b/>
                      <w:bCs/>
                      <w:color w:val="000000"/>
                      <w:szCs w:val="24"/>
                      <w:lang w:eastAsia="lv-LV"/>
                    </w:rPr>
                  </w:pPr>
                  <w:r w:rsidRPr="00A32BDC">
                    <w:rPr>
                      <w:rFonts w:ascii="Times New Roman" w:eastAsia="Times New Roman" w:hAnsi="Times New Roman" w:cs="Times New Roman"/>
                      <w:b/>
                      <w:bCs/>
                      <w:color w:val="000000"/>
                      <w:szCs w:val="24"/>
                      <w:lang w:eastAsia="lv-LV"/>
                    </w:rPr>
                    <w:t>KOPĀ</w:t>
                  </w:r>
                </w:p>
              </w:tc>
              <w:tc>
                <w:tcPr>
                  <w:tcW w:w="971" w:type="dxa"/>
                  <w:tcBorders>
                    <w:top w:val="nil"/>
                    <w:left w:val="nil"/>
                    <w:bottom w:val="single" w:sz="4" w:space="0" w:color="auto"/>
                    <w:right w:val="single" w:sz="4" w:space="0" w:color="auto"/>
                  </w:tcBorders>
                  <w:shd w:val="clear" w:color="auto" w:fill="auto"/>
                  <w:noWrap/>
                </w:tcPr>
                <w:p w14:paraId="27B06822" w14:textId="77777777" w:rsidR="00604513" w:rsidRPr="00E11B20" w:rsidRDefault="00604513" w:rsidP="00A9147C">
                  <w:pPr>
                    <w:spacing w:line="240" w:lineRule="auto"/>
                    <w:contextualSpacing/>
                    <w:jc w:val="center"/>
                    <w:rPr>
                      <w:rFonts w:ascii="Times New Roman" w:hAnsi="Times New Roman" w:cs="Times New Roman"/>
                      <w:b/>
                      <w:szCs w:val="24"/>
                    </w:rPr>
                  </w:pPr>
                  <w:r w:rsidRPr="00E11B20">
                    <w:rPr>
                      <w:rFonts w:ascii="Times New Roman" w:hAnsi="Times New Roman" w:cs="Times New Roman"/>
                      <w:b/>
                    </w:rPr>
                    <w:t xml:space="preserve">+ 4,983 </w:t>
                  </w:r>
                </w:p>
              </w:tc>
              <w:tc>
                <w:tcPr>
                  <w:tcW w:w="970" w:type="dxa"/>
                  <w:tcBorders>
                    <w:top w:val="nil"/>
                    <w:left w:val="nil"/>
                    <w:bottom w:val="single" w:sz="4" w:space="0" w:color="auto"/>
                    <w:right w:val="single" w:sz="4" w:space="0" w:color="auto"/>
                  </w:tcBorders>
                  <w:shd w:val="clear" w:color="auto" w:fill="auto"/>
                  <w:noWrap/>
                </w:tcPr>
                <w:p w14:paraId="3597B552" w14:textId="77777777" w:rsidR="00604513" w:rsidRPr="00E11B20" w:rsidRDefault="00604513" w:rsidP="00A9147C">
                  <w:pPr>
                    <w:spacing w:line="240" w:lineRule="auto"/>
                    <w:contextualSpacing/>
                    <w:jc w:val="center"/>
                    <w:rPr>
                      <w:rFonts w:ascii="Times New Roman" w:hAnsi="Times New Roman" w:cs="Times New Roman"/>
                      <w:b/>
                      <w:szCs w:val="24"/>
                    </w:rPr>
                  </w:pPr>
                  <w:r w:rsidRPr="00E11B20">
                    <w:rPr>
                      <w:rFonts w:ascii="Times New Roman" w:hAnsi="Times New Roman" w:cs="Times New Roman"/>
                      <w:b/>
                    </w:rPr>
                    <w:t xml:space="preserve">+10,687 </w:t>
                  </w:r>
                </w:p>
              </w:tc>
              <w:tc>
                <w:tcPr>
                  <w:tcW w:w="955" w:type="dxa"/>
                  <w:tcBorders>
                    <w:top w:val="nil"/>
                    <w:left w:val="nil"/>
                    <w:bottom w:val="single" w:sz="4" w:space="0" w:color="auto"/>
                    <w:right w:val="single" w:sz="4" w:space="0" w:color="auto"/>
                  </w:tcBorders>
                  <w:shd w:val="clear" w:color="auto" w:fill="auto"/>
                  <w:noWrap/>
                </w:tcPr>
                <w:p w14:paraId="1813E3E2" w14:textId="77777777" w:rsidR="00604513" w:rsidRPr="00E11B20" w:rsidRDefault="00604513" w:rsidP="00A9147C">
                  <w:pPr>
                    <w:spacing w:line="240" w:lineRule="auto"/>
                    <w:contextualSpacing/>
                    <w:rPr>
                      <w:rFonts w:ascii="Times New Roman" w:hAnsi="Times New Roman" w:cs="Times New Roman"/>
                      <w:b/>
                      <w:szCs w:val="24"/>
                    </w:rPr>
                  </w:pPr>
                  <w:r w:rsidRPr="00E11B20">
                    <w:rPr>
                      <w:rFonts w:ascii="Times New Roman" w:hAnsi="Times New Roman" w:cs="Times New Roman"/>
                      <w:b/>
                    </w:rPr>
                    <w:t xml:space="preserve">+14,304 </w:t>
                  </w:r>
                </w:p>
              </w:tc>
            </w:tr>
          </w:tbl>
          <w:p w14:paraId="34E658B8" w14:textId="77777777" w:rsidR="00604513" w:rsidRPr="00770D12" w:rsidRDefault="00604513" w:rsidP="00A9147C">
            <w:pPr>
              <w:jc w:val="both"/>
              <w:rPr>
                <w:rFonts w:eastAsia="Times New Roman" w:cs="Times New Roman"/>
                <w:iCs/>
                <w:sz w:val="24"/>
                <w:szCs w:val="24"/>
                <w:lang w:eastAsia="lv-LV"/>
              </w:rPr>
            </w:pPr>
          </w:p>
        </w:tc>
      </w:tr>
      <w:tr w:rsidR="00604513" w:rsidRPr="005851C0" w14:paraId="2202DC62" w14:textId="77777777" w:rsidTr="00A9147C">
        <w:trPr>
          <w:trHeight w:val="817"/>
        </w:trPr>
        <w:tc>
          <w:tcPr>
            <w:tcW w:w="1699" w:type="dxa"/>
            <w:hideMark/>
          </w:tcPr>
          <w:p w14:paraId="361C3CFE"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6</w:t>
            </w:r>
            <w:r>
              <w:rPr>
                <w:rFonts w:eastAsia="Times New Roman" w:cs="Times New Roman"/>
                <w:iCs/>
                <w:sz w:val="24"/>
                <w:szCs w:val="24"/>
                <w:lang w:eastAsia="lv-LV"/>
              </w:rPr>
              <w:t>,</w:t>
            </w:r>
            <w:r w:rsidRPr="005851C0">
              <w:rPr>
                <w:rFonts w:eastAsia="Times New Roman" w:cs="Times New Roman"/>
                <w:iCs/>
                <w:sz w:val="24"/>
                <w:szCs w:val="24"/>
                <w:lang w:eastAsia="lv-LV"/>
              </w:rPr>
              <w:t>1</w:t>
            </w:r>
            <w:r>
              <w:rPr>
                <w:rFonts w:eastAsia="Times New Roman" w:cs="Times New Roman"/>
                <w:iCs/>
                <w:sz w:val="24"/>
                <w:szCs w:val="24"/>
                <w:lang w:eastAsia="lv-LV"/>
              </w:rPr>
              <w:t>,</w:t>
            </w:r>
            <w:r w:rsidRPr="005851C0">
              <w:rPr>
                <w:rFonts w:eastAsia="Times New Roman" w:cs="Times New Roman"/>
                <w:iCs/>
                <w:sz w:val="24"/>
                <w:szCs w:val="24"/>
                <w:lang w:eastAsia="lv-LV"/>
              </w:rPr>
              <w:t xml:space="preserve"> detalizēts ieņēmumu aprēķins</w:t>
            </w:r>
          </w:p>
        </w:tc>
        <w:tc>
          <w:tcPr>
            <w:tcW w:w="7668" w:type="dxa"/>
            <w:gridSpan w:val="7"/>
            <w:vMerge/>
          </w:tcPr>
          <w:p w14:paraId="745CAA6C" w14:textId="77777777" w:rsidR="00604513" w:rsidRPr="005851C0" w:rsidRDefault="00604513" w:rsidP="00A9147C">
            <w:pPr>
              <w:rPr>
                <w:rFonts w:eastAsia="Times New Roman" w:cs="Times New Roman"/>
                <w:iCs/>
                <w:sz w:val="24"/>
                <w:szCs w:val="24"/>
                <w:lang w:eastAsia="lv-LV"/>
              </w:rPr>
            </w:pPr>
          </w:p>
        </w:tc>
      </w:tr>
      <w:tr w:rsidR="00604513" w:rsidRPr="005851C0" w14:paraId="49F43D97" w14:textId="77777777" w:rsidTr="00A9147C">
        <w:trPr>
          <w:trHeight w:val="550"/>
        </w:trPr>
        <w:tc>
          <w:tcPr>
            <w:tcW w:w="1699" w:type="dxa"/>
            <w:hideMark/>
          </w:tcPr>
          <w:p w14:paraId="62CD6BD9" w14:textId="77777777" w:rsidR="00604513" w:rsidRPr="005851C0" w:rsidRDefault="00604513" w:rsidP="00A9147C">
            <w:pPr>
              <w:rPr>
                <w:rFonts w:eastAsia="Times New Roman" w:cs="Times New Roman"/>
                <w:iCs/>
                <w:sz w:val="24"/>
                <w:szCs w:val="24"/>
                <w:lang w:eastAsia="lv-LV"/>
              </w:rPr>
            </w:pPr>
            <w:r w:rsidRPr="005851C0">
              <w:rPr>
                <w:rFonts w:eastAsia="Times New Roman" w:cs="Times New Roman"/>
                <w:iCs/>
                <w:sz w:val="24"/>
                <w:szCs w:val="24"/>
                <w:lang w:eastAsia="lv-LV"/>
              </w:rPr>
              <w:t>6</w:t>
            </w:r>
            <w:r>
              <w:rPr>
                <w:rFonts w:eastAsia="Times New Roman" w:cs="Times New Roman"/>
                <w:iCs/>
                <w:sz w:val="24"/>
                <w:szCs w:val="24"/>
                <w:lang w:eastAsia="lv-LV"/>
              </w:rPr>
              <w:t>,</w:t>
            </w:r>
            <w:r w:rsidRPr="005851C0">
              <w:rPr>
                <w:rFonts w:eastAsia="Times New Roman" w:cs="Times New Roman"/>
                <w:iCs/>
                <w:sz w:val="24"/>
                <w:szCs w:val="24"/>
                <w:lang w:eastAsia="lv-LV"/>
              </w:rPr>
              <w:t>2</w:t>
            </w:r>
            <w:r>
              <w:rPr>
                <w:rFonts w:eastAsia="Times New Roman" w:cs="Times New Roman"/>
                <w:iCs/>
                <w:sz w:val="24"/>
                <w:szCs w:val="24"/>
                <w:lang w:eastAsia="lv-LV"/>
              </w:rPr>
              <w:t>,</w:t>
            </w:r>
            <w:r w:rsidRPr="005851C0">
              <w:rPr>
                <w:rFonts w:eastAsia="Times New Roman" w:cs="Times New Roman"/>
                <w:iCs/>
                <w:sz w:val="24"/>
                <w:szCs w:val="24"/>
                <w:lang w:eastAsia="lv-LV"/>
              </w:rPr>
              <w:t xml:space="preserve"> detalizēts izdevumu aprēķins</w:t>
            </w:r>
          </w:p>
        </w:tc>
        <w:tc>
          <w:tcPr>
            <w:tcW w:w="7668" w:type="dxa"/>
            <w:gridSpan w:val="7"/>
            <w:vMerge/>
          </w:tcPr>
          <w:p w14:paraId="7DAF5246" w14:textId="77777777" w:rsidR="00604513" w:rsidRPr="005851C0" w:rsidRDefault="00604513" w:rsidP="00A9147C">
            <w:pPr>
              <w:rPr>
                <w:rFonts w:eastAsia="Times New Roman" w:cs="Times New Roman"/>
                <w:iCs/>
                <w:sz w:val="24"/>
                <w:szCs w:val="24"/>
                <w:lang w:eastAsia="lv-LV"/>
              </w:rPr>
            </w:pPr>
          </w:p>
        </w:tc>
      </w:tr>
      <w:tr w:rsidR="00604513" w:rsidRPr="005851C0" w14:paraId="76C3A07B" w14:textId="77777777" w:rsidTr="00A9147C">
        <w:trPr>
          <w:trHeight w:val="535"/>
        </w:trPr>
        <w:tc>
          <w:tcPr>
            <w:tcW w:w="1699" w:type="dxa"/>
            <w:hideMark/>
          </w:tcPr>
          <w:p w14:paraId="39EBB4EE" w14:textId="0ECA9A6A" w:rsidR="00604513" w:rsidRPr="005851C0" w:rsidRDefault="00604513" w:rsidP="00604513">
            <w:pPr>
              <w:rPr>
                <w:rFonts w:eastAsia="Times New Roman" w:cs="Times New Roman"/>
                <w:iCs/>
                <w:sz w:val="24"/>
                <w:szCs w:val="24"/>
                <w:lang w:eastAsia="lv-LV"/>
              </w:rPr>
            </w:pPr>
            <w:r w:rsidRPr="005851C0">
              <w:rPr>
                <w:rFonts w:eastAsia="Times New Roman" w:cs="Times New Roman"/>
                <w:iCs/>
                <w:sz w:val="24"/>
                <w:szCs w:val="24"/>
                <w:lang w:eastAsia="lv-LV"/>
              </w:rPr>
              <w:lastRenderedPageBreak/>
              <w:t>7</w:t>
            </w:r>
            <w:r>
              <w:rPr>
                <w:rFonts w:eastAsia="Times New Roman" w:cs="Times New Roman"/>
                <w:iCs/>
                <w:sz w:val="24"/>
                <w:szCs w:val="24"/>
                <w:lang w:eastAsia="lv-LV"/>
              </w:rPr>
              <w:t>.</w:t>
            </w:r>
            <w:r w:rsidRPr="005851C0">
              <w:rPr>
                <w:rFonts w:eastAsia="Times New Roman" w:cs="Times New Roman"/>
                <w:iCs/>
                <w:sz w:val="24"/>
                <w:szCs w:val="24"/>
                <w:lang w:eastAsia="lv-LV"/>
              </w:rPr>
              <w:t xml:space="preserve"> Amata vietu skaita izmaiņas</w:t>
            </w:r>
          </w:p>
        </w:tc>
        <w:tc>
          <w:tcPr>
            <w:tcW w:w="7668" w:type="dxa"/>
            <w:gridSpan w:val="7"/>
          </w:tcPr>
          <w:p w14:paraId="2288D798" w14:textId="68083343" w:rsidR="00604513" w:rsidRPr="005851C0" w:rsidRDefault="00604513" w:rsidP="00604513">
            <w:pPr>
              <w:jc w:val="both"/>
              <w:rPr>
                <w:rFonts w:eastAsia="Times New Roman" w:cs="Times New Roman"/>
                <w:iCs/>
                <w:sz w:val="24"/>
                <w:szCs w:val="24"/>
                <w:lang w:eastAsia="lv-LV"/>
              </w:rPr>
            </w:pPr>
            <w:r w:rsidRPr="005851C0">
              <w:rPr>
                <w:rFonts w:eastAsia="Times New Roman" w:cs="Times New Roman"/>
                <w:iCs/>
                <w:sz w:val="24"/>
                <w:szCs w:val="24"/>
                <w:lang w:eastAsia="lv-LV"/>
              </w:rPr>
              <w:t>Nav</w:t>
            </w:r>
            <w:r>
              <w:rPr>
                <w:rFonts w:eastAsia="Times New Roman" w:cs="Times New Roman"/>
                <w:iCs/>
                <w:sz w:val="24"/>
                <w:szCs w:val="24"/>
                <w:lang w:eastAsia="lv-LV"/>
              </w:rPr>
              <w:t>.</w:t>
            </w:r>
          </w:p>
        </w:tc>
      </w:tr>
      <w:tr w:rsidR="00604513" w:rsidRPr="005851C0" w14:paraId="099B1505" w14:textId="77777777" w:rsidTr="00A9147C">
        <w:trPr>
          <w:trHeight w:val="267"/>
        </w:trPr>
        <w:tc>
          <w:tcPr>
            <w:tcW w:w="1699" w:type="dxa"/>
            <w:hideMark/>
          </w:tcPr>
          <w:p w14:paraId="49F08CB6" w14:textId="7D205579" w:rsidR="00604513" w:rsidRPr="005851C0" w:rsidRDefault="00604513" w:rsidP="00604513">
            <w:pPr>
              <w:rPr>
                <w:rFonts w:eastAsia="Times New Roman" w:cs="Times New Roman"/>
                <w:iCs/>
                <w:sz w:val="24"/>
                <w:szCs w:val="24"/>
                <w:lang w:eastAsia="lv-LV"/>
              </w:rPr>
            </w:pPr>
            <w:r w:rsidRPr="005851C0">
              <w:rPr>
                <w:rFonts w:eastAsia="Times New Roman" w:cs="Times New Roman"/>
                <w:iCs/>
                <w:sz w:val="24"/>
                <w:szCs w:val="24"/>
                <w:lang w:eastAsia="lv-LV"/>
              </w:rPr>
              <w:t>8</w:t>
            </w:r>
            <w:r>
              <w:rPr>
                <w:rFonts w:eastAsia="Times New Roman" w:cs="Times New Roman"/>
                <w:iCs/>
                <w:sz w:val="24"/>
                <w:szCs w:val="24"/>
                <w:lang w:eastAsia="lv-LV"/>
              </w:rPr>
              <w:t>.</w:t>
            </w:r>
            <w:r w:rsidRPr="005851C0">
              <w:rPr>
                <w:rFonts w:eastAsia="Times New Roman" w:cs="Times New Roman"/>
                <w:iCs/>
                <w:sz w:val="24"/>
                <w:szCs w:val="24"/>
                <w:lang w:eastAsia="lv-LV"/>
              </w:rPr>
              <w:t xml:space="preserve"> Cita informācija</w:t>
            </w:r>
          </w:p>
        </w:tc>
        <w:tc>
          <w:tcPr>
            <w:tcW w:w="7668" w:type="dxa"/>
            <w:gridSpan w:val="7"/>
          </w:tcPr>
          <w:p w14:paraId="2C53100A" w14:textId="77777777" w:rsidR="00604513" w:rsidRPr="005851C0" w:rsidRDefault="00604513" w:rsidP="00A9147C">
            <w:pPr>
              <w:jc w:val="both"/>
              <w:rPr>
                <w:rFonts w:cs="Times New Roman"/>
              </w:rPr>
            </w:pPr>
          </w:p>
        </w:tc>
      </w:tr>
    </w:tbl>
    <w:p w14:paraId="465E909F" w14:textId="77777777" w:rsidR="00F05D71" w:rsidRPr="005851C0" w:rsidRDefault="00F05D71" w:rsidP="00543AA6">
      <w:pPr>
        <w:spacing w:after="0" w:line="240" w:lineRule="auto"/>
        <w:rPr>
          <w:rFonts w:ascii="Times New Roman" w:eastAsia="Times New Roman" w:hAnsi="Times New Roman" w:cs="Times New Roman"/>
          <w:sz w:val="24"/>
          <w:szCs w:val="24"/>
          <w:lang w:eastAsia="lv-LV"/>
        </w:rPr>
      </w:pPr>
    </w:p>
    <w:p w14:paraId="34DEFC1A" w14:textId="77777777" w:rsidR="00F05D71" w:rsidRPr="005851C0" w:rsidRDefault="00F05D71" w:rsidP="00543AA6">
      <w:pPr>
        <w:spacing w:after="0" w:line="240" w:lineRule="auto"/>
        <w:rPr>
          <w:rFonts w:ascii="Times New Roman" w:eastAsia="Times New Roman" w:hAnsi="Times New Roman" w:cs="Times New Roman"/>
          <w:sz w:val="24"/>
          <w:szCs w:val="24"/>
          <w:lang w:eastAsia="lv-LV"/>
        </w:rPr>
      </w:pPr>
    </w:p>
    <w:tbl>
      <w:tblPr>
        <w:tblW w:w="5136"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405"/>
        <w:gridCol w:w="5525"/>
      </w:tblGrid>
      <w:tr w:rsidR="00543AA6" w:rsidRPr="005851C0" w14:paraId="148A16FA" w14:textId="77777777" w:rsidTr="00C6173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7A513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851C0">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5851C0" w14:paraId="5ED9AF49" w14:textId="77777777" w:rsidTr="00C61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4" w:type="pct"/>
          </w:tcPr>
          <w:p w14:paraId="10A03B8E" w14:textId="77777777" w:rsidR="00100490" w:rsidRPr="005851C0" w:rsidRDefault="00100490" w:rsidP="0069728C">
            <w:pPr>
              <w:pStyle w:val="naiskr"/>
            </w:pPr>
            <w:r w:rsidRPr="005851C0">
              <w:t>1.</w:t>
            </w:r>
          </w:p>
        </w:tc>
        <w:tc>
          <w:tcPr>
            <w:tcW w:w="1821" w:type="pct"/>
          </w:tcPr>
          <w:p w14:paraId="6E197C0B" w14:textId="77777777" w:rsidR="00100490" w:rsidRPr="005851C0" w:rsidRDefault="00100490" w:rsidP="0069728C">
            <w:pPr>
              <w:pStyle w:val="naiskr"/>
            </w:pPr>
            <w:r w:rsidRPr="005851C0">
              <w:rPr>
                <w:iCs/>
              </w:rPr>
              <w:t>Saistītie tiesību aktu projekti</w:t>
            </w:r>
          </w:p>
        </w:tc>
        <w:tc>
          <w:tcPr>
            <w:tcW w:w="2956" w:type="pct"/>
          </w:tcPr>
          <w:p w14:paraId="5F09E958" w14:textId="7D408521" w:rsidR="00ED1B83" w:rsidRPr="005851C0" w:rsidRDefault="00277C7E" w:rsidP="00B5677A">
            <w:pPr>
              <w:pStyle w:val="ListParagraph"/>
              <w:ind w:left="0" w:firstLine="360"/>
              <w:jc w:val="both"/>
            </w:pPr>
            <w:r w:rsidRPr="005851C0">
              <w:t>Saistībā ar likump</w:t>
            </w:r>
            <w:r w:rsidR="00B5677A">
              <w:t xml:space="preserve">rojekta virzību ir nepieciešams izteikt jaunā redakcijā </w:t>
            </w:r>
            <w:r w:rsidR="00ED1B83" w:rsidRPr="005851C0">
              <w:t>Ministru kabine</w:t>
            </w:r>
            <w:r w:rsidR="00B5677A">
              <w:t xml:space="preserve">ta </w:t>
            </w:r>
            <w:proofErr w:type="gramStart"/>
            <w:r w:rsidR="00B5677A">
              <w:t>2015.gada</w:t>
            </w:r>
            <w:proofErr w:type="gramEnd"/>
            <w:r w:rsidR="00B5677A">
              <w:t xml:space="preserve"> 12.maija noteikumus</w:t>
            </w:r>
            <w:r w:rsidR="00ED1B83" w:rsidRPr="005851C0">
              <w:t xml:space="preserve"> Nr.220 “Kārtība, kādā alkoholiskos dzērienus un tabakas izstrādājumus marķē ar akcīzes nodokļa markām”, ņemot vērā, ka</w:t>
            </w:r>
            <w:r w:rsidR="0037670E">
              <w:t xml:space="preserve"> tiks paredzēts, ka </w:t>
            </w:r>
            <w:r w:rsidR="0066386B">
              <w:t xml:space="preserve">karsējamo tabaku, </w:t>
            </w:r>
            <w:r w:rsidR="0037670E">
              <w:t>elektroniskajās cigaretēs izmantojamo šķidrumu un to sagatavošanas s</w:t>
            </w:r>
            <w:r w:rsidR="00B5677A">
              <w:t>astāvdaļas, kā arī tabakas aizstājējproduktus</w:t>
            </w:r>
            <w:r w:rsidR="0037670E">
              <w:t xml:space="preserve"> marķēs ar akcīzes nodokļa markām.</w:t>
            </w:r>
            <w:r w:rsidR="00986F6B" w:rsidRPr="005851C0">
              <w:t xml:space="preserve"> Par Ministru kabineta noteikum</w:t>
            </w:r>
            <w:r w:rsidR="00273AF3">
              <w:t>u projekta izstrādi ir atbildīga Finanšu ministrija (</w:t>
            </w:r>
            <w:r w:rsidR="00986F6B" w:rsidRPr="005851C0">
              <w:t>Valsts ieņēmumu dienests</w:t>
            </w:r>
            <w:r w:rsidR="00273AF3">
              <w:t>)</w:t>
            </w:r>
            <w:r w:rsidR="00986F6B" w:rsidRPr="005851C0">
              <w:t>.</w:t>
            </w:r>
            <w:r w:rsidR="00B5677A">
              <w:t xml:space="preserve"> Ministru kabineta noteikumus</w:t>
            </w:r>
            <w:r w:rsidR="0066386B">
              <w:t xml:space="preserve"> paredzēts </w:t>
            </w:r>
            <w:r w:rsidR="00B5677A">
              <w:t xml:space="preserve">izstrādāt līdz </w:t>
            </w:r>
            <w:r w:rsidR="0066386B">
              <w:t>2021.gada 1.jūlijam</w:t>
            </w:r>
            <w:r w:rsidR="0066386B" w:rsidRPr="00B12E07">
              <w:t>.</w:t>
            </w:r>
          </w:p>
          <w:p w14:paraId="5386A323" w14:textId="77777777" w:rsidR="00B5677A" w:rsidRPr="005851C0" w:rsidRDefault="00B5677A" w:rsidP="00B5677A">
            <w:pPr>
              <w:pStyle w:val="ListParagraph"/>
              <w:ind w:left="0" w:firstLine="360"/>
              <w:jc w:val="both"/>
            </w:pPr>
            <w:r w:rsidRPr="005851C0">
              <w:lastRenderedPageBreak/>
              <w:t>Saistībā ar likumprojekta virzību ir nepieciešams sagatavot grozījumus:</w:t>
            </w:r>
          </w:p>
          <w:p w14:paraId="1A49BE52" w14:textId="2263D2DF" w:rsidR="00986F6B" w:rsidRPr="00973FF1" w:rsidRDefault="00ED1B83" w:rsidP="00CB63B5">
            <w:pPr>
              <w:pStyle w:val="ListParagraph"/>
              <w:numPr>
                <w:ilvl w:val="0"/>
                <w:numId w:val="14"/>
              </w:numPr>
              <w:ind w:left="0" w:firstLine="360"/>
              <w:jc w:val="both"/>
            </w:pPr>
            <w:r w:rsidRPr="005851C0">
              <w:t xml:space="preserve">Ministru kabineta </w:t>
            </w:r>
            <w:proofErr w:type="gramStart"/>
            <w:r w:rsidRPr="005851C0">
              <w:t>2010.gada</w:t>
            </w:r>
            <w:proofErr w:type="gramEnd"/>
            <w:r w:rsidRPr="005851C0">
              <w:t xml:space="preserve"> 30.marta noteikumos Nr.300 “Noteikumi par akcīzes nodokļa deklarācijas veidlapām un to aizpildīšanas kārtību”</w:t>
            </w:r>
            <w:r w:rsidR="00065733" w:rsidRPr="005851C0">
              <w:t>,</w:t>
            </w:r>
            <w:r w:rsidR="00986F6B" w:rsidRPr="005851C0">
              <w:t xml:space="preserve"> ņemot vērā, ka</w:t>
            </w:r>
            <w:r w:rsidR="0037670E">
              <w:t xml:space="preserve"> tiks paredzēts, ka elektroniskajās cigar</w:t>
            </w:r>
            <w:r w:rsidR="006E270D">
              <w:t xml:space="preserve">etēs izmantojamo šķidrumu sagatavošanas sastāvdaļām, </w:t>
            </w:r>
            <w:r w:rsidR="00D273FC">
              <w:t>kā arī tabakas aizstājējproduktiem tiks piemērots</w:t>
            </w:r>
            <w:r w:rsidR="006E270D">
              <w:t xml:space="preserve"> piemēros </w:t>
            </w:r>
            <w:r w:rsidR="0037670E">
              <w:t>akcīz</w:t>
            </w:r>
            <w:r w:rsidR="006E270D">
              <w:t>es nodokli</w:t>
            </w:r>
            <w:r w:rsidR="0037670E">
              <w:t>.</w:t>
            </w:r>
            <w:r w:rsidR="00986F6B" w:rsidRPr="005851C0">
              <w:t xml:space="preserve"> Par Ministru kabineta noteikumu projekta izstrādi ir atbildīg</w:t>
            </w:r>
            <w:r w:rsidR="00273AF3">
              <w:t>a Finanšu ministrija (</w:t>
            </w:r>
            <w:r w:rsidR="00986F6B" w:rsidRPr="005851C0">
              <w:t>Valsts ieņēmumu dienests</w:t>
            </w:r>
            <w:r w:rsidR="00273AF3">
              <w:t>)</w:t>
            </w:r>
            <w:r w:rsidR="00986F6B" w:rsidRPr="005851C0">
              <w:t>.</w:t>
            </w:r>
            <w:r w:rsidR="009909F8">
              <w:t xml:space="preserve"> Grozījumi minētajos Ministru kabineta noteikumos paredzēts veikt līdz </w:t>
            </w:r>
            <w:proofErr w:type="gramStart"/>
            <w:r w:rsidR="009909F8" w:rsidRPr="00973FF1">
              <w:t>2021.gada</w:t>
            </w:r>
            <w:proofErr w:type="gramEnd"/>
            <w:r w:rsidR="009909F8" w:rsidRPr="00973FF1">
              <w:t xml:space="preserve"> 1.februārim.</w:t>
            </w:r>
          </w:p>
          <w:p w14:paraId="496280EB" w14:textId="3414F70B" w:rsidR="00FA44E2" w:rsidRDefault="006E270D" w:rsidP="009909F8">
            <w:pPr>
              <w:pStyle w:val="ListParagraph"/>
              <w:numPr>
                <w:ilvl w:val="0"/>
                <w:numId w:val="14"/>
              </w:numPr>
              <w:ind w:left="0" w:firstLine="360"/>
              <w:jc w:val="both"/>
            </w:pPr>
            <w:r>
              <w:t xml:space="preserve">Ministru kabineta </w:t>
            </w:r>
            <w:proofErr w:type="gramStart"/>
            <w:r>
              <w:t>2004.gada</w:t>
            </w:r>
            <w:proofErr w:type="gramEnd"/>
            <w:r>
              <w:t xml:space="preserve"> 1.aprīļa noteikumos Nr.227 “Kārtība, kādā no akcīzes nodokļa atbrīvo akcīzes preces, kuras fiziskā persona ieved savam patēriņam Latvijas Republikā no citām Eiropas Savienības dalībvalstīm”, lai noteiktu konkrētu daudzumu, cik fiziskā persona drīkst ievest Latvijas Republikā elektroniskajās cigaretēs izmantojamo šķidrumu sagatavoša</w:t>
            </w:r>
            <w:r w:rsidR="009D6EB8">
              <w:t>nas sastāvdaļas un tabakas</w:t>
            </w:r>
            <w:r>
              <w:t xml:space="preserve"> </w:t>
            </w:r>
            <w:r w:rsidR="009D6EB8">
              <w:t>aizstājēj</w:t>
            </w:r>
            <w:r>
              <w:t xml:space="preserve">produktus </w:t>
            </w:r>
            <w:r w:rsidR="009909F8">
              <w:t>nemaksājot par tiem akcīzes nodokli.</w:t>
            </w:r>
            <w:r>
              <w:t xml:space="preserve"> </w:t>
            </w:r>
            <w:r w:rsidR="009909F8" w:rsidRPr="005851C0">
              <w:t>Par Ministru kabineta noteikumu projekta izstrādi ir atbildīg</w:t>
            </w:r>
            <w:r w:rsidR="009909F8">
              <w:t>a Finanšu ministrija</w:t>
            </w:r>
            <w:r w:rsidR="009909F8" w:rsidRPr="005851C0">
              <w:t>.</w:t>
            </w:r>
            <w:r w:rsidR="009909F8">
              <w:t xml:space="preserve"> </w:t>
            </w:r>
            <w:r w:rsidR="00C21079">
              <w:t xml:space="preserve">Grozījumi minētajos Ministru kabineta noteikumos paredzēts veikt līdz </w:t>
            </w:r>
            <w:r w:rsidR="006647B9">
              <w:t>2021.gada 1.maijam</w:t>
            </w:r>
            <w:r w:rsidR="00E55639" w:rsidRPr="00973FF1">
              <w:t>.</w:t>
            </w:r>
          </w:p>
          <w:p w14:paraId="17629F2D" w14:textId="774EA11B" w:rsidR="008C3095" w:rsidRDefault="00B5677A" w:rsidP="009909F8">
            <w:pPr>
              <w:pStyle w:val="ListParagraph"/>
              <w:numPr>
                <w:ilvl w:val="0"/>
                <w:numId w:val="14"/>
              </w:numPr>
              <w:ind w:left="0" w:firstLine="360"/>
              <w:jc w:val="both"/>
            </w:pPr>
            <w:r>
              <w:t xml:space="preserve">Ministru kabineta </w:t>
            </w:r>
            <w:proofErr w:type="gramStart"/>
            <w:r w:rsidR="004F3D1D">
              <w:t>2005.gada</w:t>
            </w:r>
            <w:proofErr w:type="gramEnd"/>
            <w:r w:rsidR="004F3D1D">
              <w:t xml:space="preserve">. 30.augusta noteikumos Nr.662 “Akcīzes preču aprites kārtība”. Grozījumi minētajos Ministru kabineta noteikumos paredzēts veikt līdz </w:t>
            </w:r>
            <w:proofErr w:type="gramStart"/>
            <w:r w:rsidR="004F3D1D" w:rsidRPr="00973FF1">
              <w:t>2021</w:t>
            </w:r>
            <w:r w:rsidR="006647B9">
              <w:t>.gada</w:t>
            </w:r>
            <w:proofErr w:type="gramEnd"/>
            <w:r w:rsidR="006647B9">
              <w:t xml:space="preserve"> 1.jūlijam</w:t>
            </w:r>
            <w:r w:rsidR="004F3D1D" w:rsidRPr="00973FF1">
              <w:t>.</w:t>
            </w:r>
          </w:p>
          <w:p w14:paraId="3E535E57" w14:textId="31E41D0A" w:rsidR="004F3D1D" w:rsidRDefault="004F3D1D" w:rsidP="004F3D1D">
            <w:pPr>
              <w:pStyle w:val="ListParagraph"/>
              <w:numPr>
                <w:ilvl w:val="0"/>
                <w:numId w:val="14"/>
              </w:numPr>
              <w:ind w:left="0" w:firstLine="399"/>
              <w:jc w:val="both"/>
            </w:pPr>
            <w:r w:rsidRPr="004F3D1D">
              <w:t xml:space="preserve">Ministru kabineta </w:t>
            </w:r>
            <w:proofErr w:type="gramStart"/>
            <w:r w:rsidRPr="004F3D1D">
              <w:t>2010.gada</w:t>
            </w:r>
            <w:proofErr w:type="gramEnd"/>
            <w:r w:rsidRPr="004F3D1D">
              <w:t xml:space="preserve"> 30.</w:t>
            </w:r>
            <w:r>
              <w:t>marta</w:t>
            </w:r>
            <w:r w:rsidRPr="004F3D1D">
              <w:t xml:space="preserve"> noteikumos Nr.310 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t xml:space="preserve">. Ministru kabineta noteikumos paredzēts veikt līdz </w:t>
            </w:r>
            <w:proofErr w:type="gramStart"/>
            <w:r w:rsidR="006647B9">
              <w:t>2021.gada</w:t>
            </w:r>
            <w:proofErr w:type="gramEnd"/>
            <w:r w:rsidR="006647B9">
              <w:t xml:space="preserve"> 1.maijam</w:t>
            </w:r>
            <w:r w:rsidRPr="00973FF1">
              <w:t>.</w:t>
            </w:r>
          </w:p>
          <w:p w14:paraId="6AA53470" w14:textId="489059CB" w:rsidR="004F3D1D" w:rsidRPr="004F3D1D" w:rsidRDefault="004F3D1D" w:rsidP="004F3D1D">
            <w:pPr>
              <w:jc w:val="both"/>
            </w:pPr>
          </w:p>
        </w:tc>
      </w:tr>
      <w:tr w:rsidR="00100490" w:rsidRPr="005851C0" w14:paraId="707799AA" w14:textId="77777777" w:rsidTr="00C61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4" w:type="pct"/>
          </w:tcPr>
          <w:p w14:paraId="6026745C"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lastRenderedPageBreak/>
              <w:t>2.</w:t>
            </w:r>
          </w:p>
        </w:tc>
        <w:tc>
          <w:tcPr>
            <w:tcW w:w="1821" w:type="pct"/>
          </w:tcPr>
          <w:p w14:paraId="3E4ADC64"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eastAsia="Times New Roman" w:hAnsi="Times New Roman" w:cs="Times New Roman"/>
                <w:iCs/>
                <w:sz w:val="24"/>
                <w:szCs w:val="24"/>
                <w:lang w:eastAsia="lv-LV"/>
              </w:rPr>
              <w:t>Atbildīgā institūcija</w:t>
            </w:r>
          </w:p>
        </w:tc>
        <w:tc>
          <w:tcPr>
            <w:tcW w:w="2956" w:type="pct"/>
          </w:tcPr>
          <w:p w14:paraId="58F5C28A" w14:textId="77777777" w:rsidR="00C12D14" w:rsidRPr="005851C0" w:rsidRDefault="00C12D14"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Grozījumu veikšanu normatīvajos aktos</w:t>
            </w:r>
            <w:proofErr w:type="gramStart"/>
            <w:r w:rsidRPr="005851C0">
              <w:rPr>
                <w:rFonts w:ascii="Times New Roman" w:hAnsi="Times New Roman" w:cs="Times New Roman"/>
                <w:color w:val="000000"/>
                <w:sz w:val="24"/>
                <w:szCs w:val="24"/>
              </w:rPr>
              <w:t xml:space="preserve">  </w:t>
            </w:r>
            <w:proofErr w:type="gramEnd"/>
            <w:r w:rsidRPr="005851C0">
              <w:rPr>
                <w:rFonts w:ascii="Times New Roman" w:hAnsi="Times New Roman" w:cs="Times New Roman"/>
                <w:color w:val="000000"/>
                <w:sz w:val="24"/>
                <w:szCs w:val="24"/>
              </w:rPr>
              <w:t>nodrošina:</w:t>
            </w:r>
          </w:p>
          <w:p w14:paraId="67351CA5" w14:textId="2DEC7456" w:rsidR="00EA6E7C" w:rsidRPr="005851C0" w:rsidRDefault="00053836" w:rsidP="00872785">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1) </w:t>
            </w:r>
            <w:r w:rsidR="006862F2">
              <w:rPr>
                <w:rFonts w:ascii="Times New Roman" w:hAnsi="Times New Roman" w:cs="Times New Roman"/>
                <w:color w:val="000000"/>
                <w:sz w:val="24"/>
                <w:szCs w:val="24"/>
              </w:rPr>
              <w:t>Finanšu ministrija (</w:t>
            </w:r>
            <w:r w:rsidR="00EA6E7C" w:rsidRPr="005851C0">
              <w:rPr>
                <w:rFonts w:ascii="Times New Roman" w:hAnsi="Times New Roman" w:cs="Times New Roman"/>
                <w:color w:val="000000"/>
                <w:sz w:val="24"/>
                <w:szCs w:val="24"/>
              </w:rPr>
              <w:t>Valsts ieņēmumu dienests</w:t>
            </w:r>
            <w:r w:rsidR="006862F2">
              <w:rPr>
                <w:rFonts w:ascii="Times New Roman" w:hAnsi="Times New Roman" w:cs="Times New Roman"/>
                <w:color w:val="000000"/>
                <w:sz w:val="24"/>
                <w:szCs w:val="24"/>
              </w:rPr>
              <w:t>)</w:t>
            </w:r>
            <w:r w:rsidRPr="005851C0">
              <w:rPr>
                <w:rFonts w:ascii="Times New Roman" w:hAnsi="Times New Roman" w:cs="Times New Roman"/>
                <w:color w:val="000000"/>
                <w:sz w:val="24"/>
                <w:szCs w:val="24"/>
              </w:rPr>
              <w:t>;</w:t>
            </w:r>
          </w:p>
          <w:p w14:paraId="79AD538C" w14:textId="1626FA78" w:rsidR="00C12D14" w:rsidRDefault="00053836" w:rsidP="00E304DE">
            <w:pPr>
              <w:snapToGrid w:val="0"/>
              <w:spacing w:after="0" w:line="240" w:lineRule="auto"/>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2) </w:t>
            </w:r>
            <w:r w:rsidR="004F3D1D">
              <w:rPr>
                <w:rFonts w:ascii="Times New Roman" w:hAnsi="Times New Roman" w:cs="Times New Roman"/>
                <w:color w:val="000000"/>
                <w:sz w:val="24"/>
                <w:szCs w:val="24"/>
              </w:rPr>
              <w:t>Finanšu ministrija</w:t>
            </w:r>
            <w:r w:rsidR="002C27DD">
              <w:rPr>
                <w:rFonts w:ascii="Times New Roman" w:hAnsi="Times New Roman" w:cs="Times New Roman"/>
                <w:color w:val="000000"/>
                <w:sz w:val="24"/>
                <w:szCs w:val="24"/>
              </w:rPr>
              <w:t>;</w:t>
            </w:r>
          </w:p>
          <w:p w14:paraId="7148C72C" w14:textId="52D084C3" w:rsidR="002C27DD" w:rsidRDefault="002C27DD" w:rsidP="00E304DE">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Finanšu ministrija</w:t>
            </w:r>
            <w:r w:rsidR="004F3D1D">
              <w:rPr>
                <w:rFonts w:ascii="Times New Roman" w:hAnsi="Times New Roman" w:cs="Times New Roman"/>
                <w:color w:val="000000"/>
                <w:sz w:val="24"/>
                <w:szCs w:val="24"/>
              </w:rPr>
              <w:t xml:space="preserve"> (</w:t>
            </w:r>
            <w:r w:rsidR="004F3D1D" w:rsidRPr="005851C0">
              <w:rPr>
                <w:rFonts w:ascii="Times New Roman" w:hAnsi="Times New Roman" w:cs="Times New Roman"/>
                <w:color w:val="000000"/>
                <w:sz w:val="24"/>
                <w:szCs w:val="24"/>
              </w:rPr>
              <w:t>Valsts ieņēmumu dienests</w:t>
            </w:r>
            <w:r w:rsidR="004F3D1D">
              <w:rPr>
                <w:rFonts w:ascii="Times New Roman" w:hAnsi="Times New Roman" w:cs="Times New Roman"/>
                <w:color w:val="000000"/>
                <w:sz w:val="24"/>
                <w:szCs w:val="24"/>
              </w:rPr>
              <w:t>);</w:t>
            </w:r>
          </w:p>
          <w:p w14:paraId="2481FCB7" w14:textId="0A7703E3" w:rsidR="004F3D1D" w:rsidRDefault="004F3D1D" w:rsidP="00E304DE">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Finanšu ministrija.</w:t>
            </w:r>
          </w:p>
          <w:p w14:paraId="52DFD83E" w14:textId="25DED973" w:rsidR="008C3095" w:rsidRPr="005851C0" w:rsidRDefault="008C3095" w:rsidP="00E304DE">
            <w:pPr>
              <w:snapToGrid w:val="0"/>
              <w:spacing w:after="0" w:line="240" w:lineRule="auto"/>
              <w:rPr>
                <w:rFonts w:ascii="Times New Roman" w:hAnsi="Times New Roman" w:cs="Times New Roman"/>
                <w:color w:val="000000"/>
                <w:sz w:val="24"/>
                <w:szCs w:val="24"/>
              </w:rPr>
            </w:pPr>
          </w:p>
        </w:tc>
      </w:tr>
      <w:tr w:rsidR="00100490" w:rsidRPr="005851C0" w14:paraId="71F2EC1E" w14:textId="77777777" w:rsidTr="00C61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4" w:type="pct"/>
          </w:tcPr>
          <w:p w14:paraId="374EF21D"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t>3.</w:t>
            </w:r>
          </w:p>
        </w:tc>
        <w:tc>
          <w:tcPr>
            <w:tcW w:w="1821" w:type="pct"/>
          </w:tcPr>
          <w:p w14:paraId="6AAB16FA"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sz w:val="24"/>
                <w:szCs w:val="24"/>
              </w:rPr>
              <w:t>Cita informācija</w:t>
            </w:r>
          </w:p>
        </w:tc>
        <w:tc>
          <w:tcPr>
            <w:tcW w:w="2956" w:type="pct"/>
          </w:tcPr>
          <w:p w14:paraId="409D69DC" w14:textId="77777777" w:rsidR="00100490" w:rsidRPr="005851C0" w:rsidRDefault="00100490" w:rsidP="0069728C">
            <w:pPr>
              <w:ind w:right="112"/>
              <w:jc w:val="both"/>
              <w:rPr>
                <w:rFonts w:ascii="Times New Roman" w:hAnsi="Times New Roman" w:cs="Times New Roman"/>
                <w:sz w:val="24"/>
                <w:szCs w:val="24"/>
              </w:rPr>
            </w:pPr>
            <w:r w:rsidRPr="005851C0">
              <w:rPr>
                <w:rFonts w:ascii="Times New Roman" w:hAnsi="Times New Roman" w:cs="Times New Roman"/>
                <w:sz w:val="24"/>
                <w:szCs w:val="24"/>
              </w:rPr>
              <w:t>Nav</w:t>
            </w:r>
            <w:r w:rsidR="0071341A" w:rsidRPr="005851C0">
              <w:rPr>
                <w:rFonts w:ascii="Times New Roman" w:hAnsi="Times New Roman" w:cs="Times New Roman"/>
                <w:sz w:val="24"/>
                <w:szCs w:val="24"/>
              </w:rPr>
              <w:t>.</w:t>
            </w:r>
          </w:p>
        </w:tc>
      </w:tr>
    </w:tbl>
    <w:p w14:paraId="0F593AE1" w14:textId="77777777" w:rsidR="00100490" w:rsidRPr="005851C0" w:rsidRDefault="00100490" w:rsidP="00543AA6">
      <w:pPr>
        <w:spacing w:after="0" w:line="240" w:lineRule="auto"/>
        <w:rPr>
          <w:rFonts w:ascii="Times New Roman" w:eastAsia="Times New Roman" w:hAnsi="Times New Roman" w:cs="Times New Roman"/>
          <w:sz w:val="24"/>
          <w:szCs w:val="24"/>
          <w:lang w:eastAsia="lv-LV"/>
        </w:rPr>
      </w:pPr>
    </w:p>
    <w:tbl>
      <w:tblP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30"/>
        <w:gridCol w:w="512"/>
        <w:gridCol w:w="2147"/>
        <w:gridCol w:w="6662"/>
      </w:tblGrid>
      <w:tr w:rsidR="00784D9C" w:rsidRPr="005851C0" w14:paraId="1318E89E" w14:textId="77777777" w:rsidTr="00C6173F">
        <w:trPr>
          <w:gridBefore w:val="1"/>
          <w:wBefore w:w="16" w:type="pct"/>
        </w:trPr>
        <w:tc>
          <w:tcPr>
            <w:tcW w:w="4984" w:type="pct"/>
            <w:gridSpan w:val="3"/>
          </w:tcPr>
          <w:p w14:paraId="6D348681" w14:textId="77777777" w:rsidR="00784D9C" w:rsidRPr="005851C0" w:rsidRDefault="00784D9C" w:rsidP="00CA1F3D">
            <w:pPr>
              <w:spacing w:after="0" w:line="240" w:lineRule="auto"/>
              <w:jc w:val="center"/>
              <w:rPr>
                <w:rFonts w:ascii="Times New Roman" w:eastAsia="Times New Roman" w:hAnsi="Times New Roman" w:cs="Times New Roman"/>
                <w:b/>
                <w:sz w:val="24"/>
                <w:szCs w:val="24"/>
                <w:lang w:eastAsia="lv-LV"/>
              </w:rPr>
            </w:pPr>
            <w:r w:rsidRPr="005851C0">
              <w:rPr>
                <w:rFonts w:ascii="Times New Roman" w:eastAsia="Times New Roman" w:hAnsi="Times New Roman" w:cs="Times New Roman"/>
                <w:b/>
                <w:sz w:val="24"/>
                <w:szCs w:val="24"/>
                <w:lang w:eastAsia="lv-LV"/>
              </w:rPr>
              <w:t>V. Tiesību akta projekta atbilstība Latvijas Republikas starptautiskajām saistībām</w:t>
            </w:r>
          </w:p>
        </w:tc>
      </w:tr>
      <w:tr w:rsidR="00447A3D" w:rsidRPr="005851C0" w14:paraId="5B583E8F" w14:textId="77777777" w:rsidTr="00C6173F">
        <w:trPr>
          <w:gridBefore w:val="1"/>
          <w:wBefore w:w="16" w:type="pct"/>
        </w:trPr>
        <w:tc>
          <w:tcPr>
            <w:tcW w:w="4984" w:type="pct"/>
            <w:gridSpan w:val="3"/>
          </w:tcPr>
          <w:p w14:paraId="3DA0C2A6" w14:textId="77777777" w:rsidR="00447A3D" w:rsidRPr="005851C0" w:rsidRDefault="00447A3D" w:rsidP="00EA6E7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Projekts šo jomu neskar.</w:t>
            </w:r>
          </w:p>
        </w:tc>
      </w:tr>
      <w:tr w:rsidR="009612B1" w:rsidRPr="005851C0" w14:paraId="0891B483" w14:textId="77777777" w:rsidTr="00C6173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D6B4DBA" w14:textId="77777777" w:rsidR="009612B1" w:rsidRPr="005851C0" w:rsidRDefault="009612B1" w:rsidP="00C76826">
            <w:pPr>
              <w:spacing w:after="0"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35D4C8D3" w14:textId="77777777" w:rsidTr="00C6173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rPr>
          <w:trHeight w:val="1165"/>
        </w:trPr>
        <w:tc>
          <w:tcPr>
            <w:tcW w:w="290" w:type="pct"/>
            <w:gridSpan w:val="2"/>
            <w:tcBorders>
              <w:top w:val="single" w:sz="4" w:space="0" w:color="auto"/>
              <w:left w:val="outset" w:sz="6" w:space="0" w:color="414142"/>
              <w:bottom w:val="outset" w:sz="6" w:space="0" w:color="414142"/>
              <w:right w:val="outset" w:sz="6" w:space="0" w:color="414142"/>
            </w:tcBorders>
            <w:hideMark/>
          </w:tcPr>
          <w:p w14:paraId="58C6B432"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148" w:type="pct"/>
            <w:tcBorders>
              <w:top w:val="single" w:sz="4" w:space="0" w:color="auto"/>
              <w:left w:val="outset" w:sz="6" w:space="0" w:color="414142"/>
              <w:bottom w:val="outset" w:sz="6" w:space="0" w:color="414142"/>
              <w:right w:val="outset" w:sz="6" w:space="0" w:color="414142"/>
            </w:tcBorders>
            <w:hideMark/>
          </w:tcPr>
          <w:p w14:paraId="59FBBB41"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562" w:type="pct"/>
            <w:tcBorders>
              <w:top w:val="single" w:sz="4" w:space="0" w:color="auto"/>
              <w:left w:val="outset" w:sz="6" w:space="0" w:color="414142"/>
              <w:bottom w:val="outset" w:sz="6" w:space="0" w:color="414142"/>
              <w:right w:val="outset" w:sz="6" w:space="0" w:color="414142"/>
            </w:tcBorders>
            <w:hideMark/>
          </w:tcPr>
          <w:p w14:paraId="0001535B" w14:textId="308313AE" w:rsidR="00E93483" w:rsidRDefault="00E93483" w:rsidP="008C3095">
            <w:pPr>
              <w:spacing w:after="120" w:line="240" w:lineRule="auto"/>
              <w:ind w:left="68"/>
              <w:jc w:val="both"/>
              <w:rPr>
                <w:rFonts w:ascii="Times New Roman" w:hAnsi="Times New Roman" w:cs="Times New Roman"/>
                <w:sz w:val="24"/>
                <w:szCs w:val="24"/>
                <w:lang w:eastAsia="lv-LV"/>
              </w:rPr>
            </w:pPr>
            <w:r w:rsidRPr="00E93483">
              <w:rPr>
                <w:rFonts w:ascii="Times New Roman" w:hAnsi="Times New Roman" w:cs="Times New Roman"/>
                <w:sz w:val="24"/>
                <w:szCs w:val="24"/>
                <w:lang w:eastAsia="lv-LV"/>
              </w:rPr>
              <w:t xml:space="preserve">Finanšu ministrijas izstrādātie nodokļu politikas attīstības virzieni ir izskatīti Nacionālās Trīspusējās sadarbības padomes </w:t>
            </w:r>
            <w:proofErr w:type="gramStart"/>
            <w:r w:rsidRPr="00E93483">
              <w:rPr>
                <w:rFonts w:ascii="Times New Roman" w:hAnsi="Times New Roman" w:cs="Times New Roman"/>
                <w:bCs/>
                <w:sz w:val="24"/>
                <w:szCs w:val="24"/>
                <w:lang w:eastAsia="lv-LV"/>
              </w:rPr>
              <w:t>2020.gada</w:t>
            </w:r>
            <w:proofErr w:type="gramEnd"/>
            <w:r w:rsidRPr="00E93483">
              <w:rPr>
                <w:rFonts w:ascii="Times New Roman" w:hAnsi="Times New Roman" w:cs="Times New Roman"/>
                <w:bCs/>
                <w:sz w:val="24"/>
                <w:szCs w:val="24"/>
                <w:lang w:eastAsia="lv-LV"/>
              </w:rPr>
              <w:t xml:space="preserve"> 7.jūlija</w:t>
            </w:r>
            <w:r w:rsidR="00E76F24">
              <w:rPr>
                <w:rFonts w:ascii="Times New Roman" w:hAnsi="Times New Roman" w:cs="Times New Roman"/>
                <w:bCs/>
                <w:sz w:val="24"/>
                <w:szCs w:val="24"/>
                <w:lang w:eastAsia="lv-LV"/>
              </w:rPr>
              <w:t>, 2. un 9.septembra</w:t>
            </w:r>
            <w:r w:rsidRPr="00E93483">
              <w:rPr>
                <w:rFonts w:ascii="Times New Roman" w:hAnsi="Times New Roman" w:cs="Times New Roman"/>
                <w:sz w:val="24"/>
                <w:szCs w:val="24"/>
                <w:lang w:eastAsia="lv-LV"/>
              </w:rPr>
              <w:t xml:space="preserve"> sēdē.</w:t>
            </w:r>
          </w:p>
          <w:p w14:paraId="207D48B6" w14:textId="41BE37C1" w:rsidR="00E93483" w:rsidRPr="00E93483" w:rsidRDefault="00E93483" w:rsidP="008C3095">
            <w:pPr>
              <w:spacing w:after="120" w:line="240" w:lineRule="auto"/>
              <w:ind w:left="68"/>
              <w:jc w:val="both"/>
              <w:rPr>
                <w:rFonts w:ascii="Times New Roman" w:hAnsi="Times New Roman" w:cs="Times New Roman"/>
                <w:sz w:val="24"/>
                <w:szCs w:val="24"/>
                <w:lang w:eastAsia="lv-LV"/>
              </w:rPr>
            </w:pPr>
            <w:r w:rsidRPr="00E93483">
              <w:rPr>
                <w:rFonts w:ascii="Times New Roman" w:hAnsi="Times New Roman" w:cs="Times New Roman"/>
                <w:sz w:val="24"/>
                <w:szCs w:val="24"/>
                <w:lang w:eastAsia="lv-LV"/>
              </w:rPr>
              <w:t xml:space="preserve">Informatīvais ziņojums </w:t>
            </w:r>
            <w:r w:rsidRPr="00E93483">
              <w:rPr>
                <w:rFonts w:ascii="Times New Roman" w:hAnsi="Times New Roman" w:cs="Times New Roman"/>
                <w:sz w:val="24"/>
                <w:szCs w:val="24"/>
              </w:rPr>
              <w:t>“Par nodokļu politikas attīstības virzieniem, valsts sociālās un veselības apdrošināšanas ilgtspējas veicināšanai”</w:t>
            </w:r>
            <w:proofErr w:type="gramStart"/>
            <w:r w:rsidRPr="00E93483">
              <w:rPr>
                <w:rFonts w:ascii="Times New Roman" w:hAnsi="Times New Roman" w:cs="Times New Roman"/>
                <w:sz w:val="24"/>
                <w:szCs w:val="24"/>
              </w:rPr>
              <w:t xml:space="preserve"> </w:t>
            </w:r>
            <w:r w:rsidRPr="00E93483">
              <w:rPr>
                <w:rFonts w:ascii="Times New Roman" w:hAnsi="Times New Roman" w:cs="Times New Roman"/>
                <w:sz w:val="24"/>
                <w:szCs w:val="24"/>
                <w:lang w:eastAsia="lv-LV"/>
              </w:rPr>
              <w:t xml:space="preserve"> </w:t>
            </w:r>
            <w:proofErr w:type="gramEnd"/>
            <w:r w:rsidRPr="00E93483">
              <w:rPr>
                <w:rFonts w:ascii="Times New Roman" w:hAnsi="Times New Roman" w:cs="Times New Roman"/>
                <w:sz w:val="24"/>
                <w:szCs w:val="24"/>
                <w:lang w:eastAsia="lv-LV"/>
              </w:rPr>
              <w:t xml:space="preserve">ir nosūtīts </w:t>
            </w:r>
            <w:r w:rsidRPr="00E93483">
              <w:rPr>
                <w:rFonts w:ascii="Times New Roman" w:hAnsi="Times New Roman" w:cs="Times New Roman"/>
                <w:bCs/>
                <w:sz w:val="24"/>
                <w:szCs w:val="24"/>
                <w:lang w:eastAsia="lv-LV"/>
              </w:rPr>
              <w:t xml:space="preserve">2020.gada </w:t>
            </w:r>
            <w:r w:rsidRPr="00E93483">
              <w:rPr>
                <w:rFonts w:ascii="Times New Roman" w:hAnsi="Times New Roman" w:cs="Times New Roman"/>
                <w:bCs/>
                <w:sz w:val="24"/>
                <w:szCs w:val="24"/>
              </w:rPr>
              <w:t>11.augustā</w:t>
            </w:r>
            <w:r w:rsidRPr="00E93483">
              <w:rPr>
                <w:rFonts w:ascii="Times New Roman" w:hAnsi="Times New Roman" w:cs="Times New Roman"/>
                <w:sz w:val="24"/>
                <w:szCs w:val="24"/>
              </w:rPr>
              <w:t>  elektroniskai saskaņošanai</w:t>
            </w:r>
            <w:r w:rsidRPr="00E93483">
              <w:rPr>
                <w:rFonts w:ascii="Times New Roman" w:hAnsi="Times New Roman" w:cs="Times New Roman"/>
                <w:sz w:val="24"/>
                <w:szCs w:val="24"/>
                <w:lang w:eastAsia="lv-LV"/>
              </w:rPr>
              <w:t xml:space="preserve"> Tieslietu ministrijai, Labklājības ministrijai,  Veselības ministrijai, Satiksmes ministrijai, Zemkopības ministrijai, Kultūras ministrijai, Ekonomikas ministrijai un Iekšlietu ministrijai.</w:t>
            </w:r>
          </w:p>
          <w:p w14:paraId="7A9232A7" w14:textId="77777777" w:rsidR="008C3095" w:rsidRDefault="00E93483" w:rsidP="003D6513">
            <w:pPr>
              <w:spacing w:after="0" w:line="240" w:lineRule="auto"/>
              <w:ind w:left="68"/>
              <w:jc w:val="both"/>
              <w:rPr>
                <w:rFonts w:ascii="Times New Roman" w:hAnsi="Times New Roman" w:cs="Times New Roman"/>
                <w:sz w:val="24"/>
                <w:szCs w:val="24"/>
                <w:lang w:eastAsia="lv-LV"/>
              </w:rPr>
            </w:pPr>
            <w:r w:rsidRPr="00E93483">
              <w:rPr>
                <w:rFonts w:ascii="Times New Roman" w:hAnsi="Times New Roman" w:cs="Times New Roman"/>
                <w:sz w:val="24"/>
                <w:szCs w:val="24"/>
                <w:lang w:eastAsia="lv-LV"/>
              </w:rPr>
              <w:t xml:space="preserve">Finanšu ministrijas izstrādātie nodokļu politikas attīstības virzieni ir izskatīti Nacionālās Trīspusējās sadarbības padomes budžeta un nodokļu apakšpadomes attālinātajā sēdē </w:t>
            </w:r>
            <w:proofErr w:type="gramStart"/>
            <w:r w:rsidRPr="00E93483">
              <w:rPr>
                <w:rFonts w:ascii="Times New Roman" w:hAnsi="Times New Roman" w:cs="Times New Roman"/>
                <w:bCs/>
                <w:sz w:val="24"/>
                <w:szCs w:val="24"/>
                <w:lang w:eastAsia="lv-LV"/>
              </w:rPr>
              <w:t>2020.gada</w:t>
            </w:r>
            <w:proofErr w:type="gramEnd"/>
            <w:r w:rsidRPr="00E93483">
              <w:rPr>
                <w:rFonts w:ascii="Times New Roman" w:hAnsi="Times New Roman" w:cs="Times New Roman"/>
                <w:bCs/>
                <w:sz w:val="24"/>
                <w:szCs w:val="24"/>
                <w:lang w:eastAsia="lv-LV"/>
              </w:rPr>
              <w:t xml:space="preserve"> 12.augustā</w:t>
            </w:r>
            <w:r w:rsidRPr="00E93483">
              <w:rPr>
                <w:rFonts w:ascii="Times New Roman" w:hAnsi="Times New Roman" w:cs="Times New Roman"/>
                <w:sz w:val="24"/>
                <w:szCs w:val="24"/>
                <w:lang w:eastAsia="lv-LV"/>
              </w:rPr>
              <w:t>.</w:t>
            </w:r>
          </w:p>
          <w:p w14:paraId="22D08D98" w14:textId="52935E37" w:rsidR="009612B1" w:rsidRPr="009C22F6" w:rsidRDefault="00E93483" w:rsidP="003D6513">
            <w:pPr>
              <w:spacing w:after="0" w:line="240" w:lineRule="auto"/>
              <w:ind w:left="68"/>
              <w:jc w:val="both"/>
              <w:rPr>
                <w:rFonts w:ascii="Times New Roman" w:eastAsia="Times New Roman" w:hAnsi="Times New Roman" w:cs="Times New Roman"/>
                <w:sz w:val="24"/>
                <w:szCs w:val="24"/>
                <w:lang w:eastAsia="lv-LV"/>
              </w:rPr>
            </w:pPr>
            <w:r w:rsidRPr="00E93483">
              <w:rPr>
                <w:rFonts w:ascii="Times New Roman" w:hAnsi="Times New Roman" w:cs="Times New Roman"/>
                <w:sz w:val="24"/>
                <w:szCs w:val="24"/>
                <w:lang w:eastAsia="lv-LV"/>
              </w:rPr>
              <w:t xml:space="preserve"> </w:t>
            </w:r>
          </w:p>
        </w:tc>
      </w:tr>
      <w:tr w:rsidR="009612B1" w:rsidRPr="005851C0" w14:paraId="50376AB2" w14:textId="77777777" w:rsidTr="00C6173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c>
          <w:tcPr>
            <w:tcW w:w="290" w:type="pct"/>
            <w:gridSpan w:val="2"/>
            <w:tcBorders>
              <w:top w:val="outset" w:sz="6" w:space="0" w:color="414142"/>
              <w:left w:val="outset" w:sz="6" w:space="0" w:color="414142"/>
              <w:bottom w:val="outset" w:sz="6" w:space="0" w:color="414142"/>
              <w:right w:val="outset" w:sz="6" w:space="0" w:color="414142"/>
            </w:tcBorders>
            <w:hideMark/>
          </w:tcPr>
          <w:p w14:paraId="3F2920D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48" w:type="pct"/>
            <w:tcBorders>
              <w:top w:val="outset" w:sz="6" w:space="0" w:color="414142"/>
              <w:left w:val="outset" w:sz="6" w:space="0" w:color="414142"/>
              <w:bottom w:val="outset" w:sz="6" w:space="0" w:color="414142"/>
              <w:right w:val="outset" w:sz="6" w:space="0" w:color="414142"/>
            </w:tcBorders>
            <w:hideMark/>
          </w:tcPr>
          <w:p w14:paraId="27DEB2CD"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562" w:type="pct"/>
            <w:tcBorders>
              <w:top w:val="outset" w:sz="6" w:space="0" w:color="414142"/>
              <w:left w:val="outset" w:sz="6" w:space="0" w:color="414142"/>
              <w:bottom w:val="outset" w:sz="6" w:space="0" w:color="414142"/>
              <w:right w:val="outset" w:sz="6" w:space="0" w:color="414142"/>
            </w:tcBorders>
          </w:tcPr>
          <w:p w14:paraId="2EF5D0A3" w14:textId="77777777" w:rsidR="009612B1" w:rsidRDefault="00C06E25" w:rsidP="005875FE">
            <w:pPr>
              <w:tabs>
                <w:tab w:val="left" w:pos="3997"/>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82E54">
              <w:rPr>
                <w:rFonts w:ascii="Times New Roman" w:hAnsi="Times New Roman" w:cs="Times New Roman"/>
                <w:sz w:val="24"/>
                <w:szCs w:val="24"/>
              </w:rPr>
              <w:t>nformatīvā ziņojuma “Par nodokļu politikas attīstības virzieniem, valsts sociālās un veselības apdrošināšanas ilgtspējas veicināšanai”</w:t>
            </w:r>
            <w:r>
              <w:rPr>
                <w:rFonts w:ascii="Times New Roman" w:hAnsi="Times New Roman" w:cs="Times New Roman"/>
                <w:sz w:val="24"/>
                <w:szCs w:val="24"/>
              </w:rPr>
              <w:t xml:space="preserve"> izstrādes laikā tika ņemti vērā atsevišķie Veselības ministrijas </w:t>
            </w:r>
            <w:r w:rsidRPr="00C06E25">
              <w:rPr>
                <w:rFonts w:ascii="Times New Roman" w:eastAsia="Times New Roman" w:hAnsi="Times New Roman" w:cs="Times New Roman"/>
                <w:sz w:val="24"/>
                <w:szCs w:val="24"/>
                <w:lang w:eastAsia="lv-LV"/>
              </w:rPr>
              <w:t>izteiktie iebildumi.</w:t>
            </w:r>
          </w:p>
          <w:p w14:paraId="1DA7FA3B" w14:textId="51E3E5DA" w:rsidR="008C3095" w:rsidRPr="00C06E25" w:rsidRDefault="008C3095" w:rsidP="005875FE">
            <w:pPr>
              <w:tabs>
                <w:tab w:val="left" w:pos="3997"/>
              </w:tabs>
              <w:spacing w:after="0" w:line="240" w:lineRule="auto"/>
              <w:jc w:val="both"/>
              <w:rPr>
                <w:rFonts w:ascii="Times New Roman" w:eastAsia="Times New Roman" w:hAnsi="Times New Roman" w:cs="Times New Roman"/>
                <w:sz w:val="24"/>
                <w:szCs w:val="24"/>
                <w:lang w:eastAsia="lv-LV"/>
              </w:rPr>
            </w:pPr>
          </w:p>
        </w:tc>
      </w:tr>
      <w:tr w:rsidR="009612B1" w:rsidRPr="005851C0" w14:paraId="112693B1" w14:textId="77777777" w:rsidTr="00C6173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c>
          <w:tcPr>
            <w:tcW w:w="290" w:type="pct"/>
            <w:gridSpan w:val="2"/>
            <w:tcBorders>
              <w:top w:val="outset" w:sz="6" w:space="0" w:color="414142"/>
              <w:left w:val="outset" w:sz="6" w:space="0" w:color="414142"/>
              <w:bottom w:val="outset" w:sz="6" w:space="0" w:color="414142"/>
              <w:right w:val="outset" w:sz="6" w:space="0" w:color="414142"/>
            </w:tcBorders>
            <w:hideMark/>
          </w:tcPr>
          <w:p w14:paraId="7905108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148" w:type="pct"/>
            <w:tcBorders>
              <w:top w:val="outset" w:sz="6" w:space="0" w:color="414142"/>
              <w:left w:val="outset" w:sz="6" w:space="0" w:color="414142"/>
              <w:bottom w:val="outset" w:sz="6" w:space="0" w:color="414142"/>
              <w:right w:val="outset" w:sz="6" w:space="0" w:color="414142"/>
            </w:tcBorders>
            <w:hideMark/>
          </w:tcPr>
          <w:p w14:paraId="5257A0B2"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562" w:type="pct"/>
            <w:tcBorders>
              <w:top w:val="outset" w:sz="6" w:space="0" w:color="414142"/>
              <w:left w:val="outset" w:sz="6" w:space="0" w:color="414142"/>
              <w:bottom w:val="outset" w:sz="6" w:space="0" w:color="414142"/>
              <w:right w:val="outset" w:sz="6" w:space="0" w:color="414142"/>
            </w:tcBorders>
          </w:tcPr>
          <w:p w14:paraId="13BBF329" w14:textId="57CFADF1" w:rsidR="006229C4" w:rsidRPr="00523AF0" w:rsidRDefault="006229C4" w:rsidP="006229C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pacing w:val="-2"/>
                <w:sz w:val="24"/>
                <w:szCs w:val="24"/>
              </w:rPr>
              <w:t>Nav.</w:t>
            </w:r>
          </w:p>
          <w:p w14:paraId="06BCB98A" w14:textId="017CE6A6" w:rsidR="009612B1" w:rsidRPr="00523AF0" w:rsidRDefault="009612B1" w:rsidP="006118DA">
            <w:pPr>
              <w:spacing w:after="0" w:line="240" w:lineRule="auto"/>
              <w:jc w:val="both"/>
              <w:rPr>
                <w:rFonts w:ascii="Times New Roman" w:eastAsia="Times New Roman" w:hAnsi="Times New Roman" w:cs="Times New Roman"/>
                <w:sz w:val="24"/>
                <w:szCs w:val="24"/>
                <w:lang w:eastAsia="lv-LV"/>
              </w:rPr>
            </w:pPr>
          </w:p>
        </w:tc>
      </w:tr>
      <w:tr w:rsidR="009612B1" w:rsidRPr="005851C0" w14:paraId="666D38AA" w14:textId="77777777" w:rsidTr="00C6173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ook w:val="04A0" w:firstRow="1" w:lastRow="0" w:firstColumn="1" w:lastColumn="0" w:noHBand="0" w:noVBand="1"/>
        </w:tblPrEx>
        <w:tc>
          <w:tcPr>
            <w:tcW w:w="290" w:type="pct"/>
            <w:gridSpan w:val="2"/>
            <w:tcBorders>
              <w:top w:val="outset" w:sz="6" w:space="0" w:color="414142"/>
              <w:left w:val="outset" w:sz="6" w:space="0" w:color="414142"/>
              <w:bottom w:val="outset" w:sz="6" w:space="0" w:color="414142"/>
              <w:right w:val="outset" w:sz="6" w:space="0" w:color="414142"/>
            </w:tcBorders>
            <w:hideMark/>
          </w:tcPr>
          <w:p w14:paraId="0FFC956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48" w:type="pct"/>
            <w:tcBorders>
              <w:top w:val="outset" w:sz="6" w:space="0" w:color="414142"/>
              <w:left w:val="outset" w:sz="6" w:space="0" w:color="414142"/>
              <w:bottom w:val="outset" w:sz="6" w:space="0" w:color="414142"/>
              <w:right w:val="outset" w:sz="6" w:space="0" w:color="414142"/>
            </w:tcBorders>
            <w:hideMark/>
          </w:tcPr>
          <w:p w14:paraId="67FBD79F"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562" w:type="pct"/>
            <w:tcBorders>
              <w:top w:val="outset" w:sz="6" w:space="0" w:color="414142"/>
              <w:left w:val="outset" w:sz="6" w:space="0" w:color="414142"/>
              <w:bottom w:val="outset" w:sz="6" w:space="0" w:color="414142"/>
              <w:right w:val="outset" w:sz="6" w:space="0" w:color="414142"/>
            </w:tcBorders>
            <w:hideMark/>
          </w:tcPr>
          <w:p w14:paraId="438BD4BD"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0723C214" w14:textId="77777777" w:rsidR="009612B1" w:rsidRPr="005851C0" w:rsidRDefault="009612B1" w:rsidP="00543AA6">
      <w:pPr>
        <w:spacing w:after="0" w:line="240" w:lineRule="auto"/>
        <w:rPr>
          <w:rFonts w:ascii="Times New Roman" w:eastAsia="Times New Roman" w:hAnsi="Times New Roman" w:cs="Times New Roman"/>
          <w:sz w:val="24"/>
          <w:szCs w:val="24"/>
          <w:lang w:eastAsia="lv-LV"/>
        </w:rPr>
      </w:pPr>
    </w:p>
    <w:tbl>
      <w:tblPr>
        <w:tblW w:w="513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5"/>
        <w:gridCol w:w="5729"/>
      </w:tblGrid>
      <w:tr w:rsidR="00993C84" w:rsidRPr="005851C0" w14:paraId="05315435" w14:textId="77777777" w:rsidTr="00C6173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D937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93063C5" w14:textId="77777777" w:rsidTr="00C6173F">
        <w:tc>
          <w:tcPr>
            <w:tcW w:w="313" w:type="pct"/>
            <w:tcBorders>
              <w:top w:val="outset" w:sz="6" w:space="0" w:color="414142"/>
              <w:left w:val="outset" w:sz="6" w:space="0" w:color="414142"/>
              <w:bottom w:val="outset" w:sz="6" w:space="0" w:color="414142"/>
              <w:right w:val="outset" w:sz="6" w:space="0" w:color="414142"/>
            </w:tcBorders>
            <w:hideMark/>
          </w:tcPr>
          <w:p w14:paraId="50781A6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623" w:type="pct"/>
            <w:tcBorders>
              <w:top w:val="outset" w:sz="6" w:space="0" w:color="414142"/>
              <w:left w:val="outset" w:sz="6" w:space="0" w:color="414142"/>
              <w:bottom w:val="outset" w:sz="6" w:space="0" w:color="414142"/>
              <w:right w:val="outset" w:sz="6" w:space="0" w:color="414142"/>
            </w:tcBorders>
            <w:hideMark/>
          </w:tcPr>
          <w:p w14:paraId="2A9A6F4D"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064" w:type="pct"/>
            <w:tcBorders>
              <w:top w:val="outset" w:sz="6" w:space="0" w:color="414142"/>
              <w:left w:val="outset" w:sz="6" w:space="0" w:color="414142"/>
              <w:bottom w:val="outset" w:sz="6" w:space="0" w:color="414142"/>
              <w:right w:val="outset" w:sz="6" w:space="0" w:color="414142"/>
            </w:tcBorders>
            <w:hideMark/>
          </w:tcPr>
          <w:p w14:paraId="01ACB1DF"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65F5B02C" w14:textId="77777777" w:rsidTr="00C6173F">
        <w:tc>
          <w:tcPr>
            <w:tcW w:w="313" w:type="pct"/>
            <w:tcBorders>
              <w:top w:val="outset" w:sz="6" w:space="0" w:color="414142"/>
              <w:left w:val="outset" w:sz="6" w:space="0" w:color="414142"/>
              <w:bottom w:val="outset" w:sz="6" w:space="0" w:color="414142"/>
              <w:right w:val="outset" w:sz="6" w:space="0" w:color="414142"/>
            </w:tcBorders>
            <w:hideMark/>
          </w:tcPr>
          <w:p w14:paraId="30705968"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623" w:type="pct"/>
            <w:tcBorders>
              <w:top w:val="outset" w:sz="6" w:space="0" w:color="414142"/>
              <w:left w:val="outset" w:sz="6" w:space="0" w:color="414142"/>
              <w:bottom w:val="outset" w:sz="6" w:space="0" w:color="414142"/>
              <w:right w:val="outset" w:sz="6" w:space="0" w:color="414142"/>
            </w:tcBorders>
            <w:hideMark/>
          </w:tcPr>
          <w:p w14:paraId="6122B748"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64" w:type="pct"/>
            <w:tcBorders>
              <w:top w:val="outset" w:sz="6" w:space="0" w:color="414142"/>
              <w:left w:val="outset" w:sz="6" w:space="0" w:color="414142"/>
              <w:bottom w:val="outset" w:sz="6" w:space="0" w:color="414142"/>
              <w:right w:val="outset" w:sz="6" w:space="0" w:color="414142"/>
            </w:tcBorders>
            <w:hideMark/>
          </w:tcPr>
          <w:p w14:paraId="0BDE3075" w14:textId="6BCBB0C7" w:rsidR="00543AA6" w:rsidRPr="005851C0" w:rsidRDefault="00523AF0" w:rsidP="00044B86">
            <w:pPr>
              <w:spacing w:after="0" w:line="240" w:lineRule="auto"/>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nepieciešama. Projekts tiks īstenots esoši cilvēkresursu ietvaros</w:t>
            </w:r>
            <w:r>
              <w:rPr>
                <w:rFonts w:ascii="Times New Roman" w:eastAsia="Times New Roman" w:hAnsi="Times New Roman" w:cs="Times New Roman"/>
                <w:sz w:val="24"/>
                <w:szCs w:val="24"/>
                <w:lang w:eastAsia="lv-LV"/>
              </w:rPr>
              <w:t>.</w:t>
            </w:r>
          </w:p>
        </w:tc>
      </w:tr>
      <w:tr w:rsidR="00993C84" w:rsidRPr="005851C0" w14:paraId="2E26D048" w14:textId="77777777" w:rsidTr="00C6173F">
        <w:tc>
          <w:tcPr>
            <w:tcW w:w="313" w:type="pct"/>
            <w:tcBorders>
              <w:top w:val="outset" w:sz="6" w:space="0" w:color="414142"/>
              <w:left w:val="outset" w:sz="6" w:space="0" w:color="414142"/>
              <w:bottom w:val="outset" w:sz="6" w:space="0" w:color="414142"/>
              <w:right w:val="outset" w:sz="6" w:space="0" w:color="414142"/>
            </w:tcBorders>
            <w:hideMark/>
          </w:tcPr>
          <w:p w14:paraId="1D74869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623" w:type="pct"/>
            <w:tcBorders>
              <w:top w:val="outset" w:sz="6" w:space="0" w:color="414142"/>
              <w:left w:val="outset" w:sz="6" w:space="0" w:color="414142"/>
              <w:bottom w:val="outset" w:sz="6" w:space="0" w:color="414142"/>
              <w:right w:val="outset" w:sz="6" w:space="0" w:color="414142"/>
            </w:tcBorders>
            <w:hideMark/>
          </w:tcPr>
          <w:p w14:paraId="1A5D0DD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64" w:type="pct"/>
            <w:tcBorders>
              <w:top w:val="outset" w:sz="6" w:space="0" w:color="414142"/>
              <w:left w:val="outset" w:sz="6" w:space="0" w:color="414142"/>
              <w:bottom w:val="outset" w:sz="6" w:space="0" w:color="414142"/>
              <w:right w:val="outset" w:sz="6" w:space="0" w:color="414142"/>
            </w:tcBorders>
            <w:hideMark/>
          </w:tcPr>
          <w:p w14:paraId="7EE83ADB"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22112337"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0680AC48"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115DFB95" w14:textId="77777777" w:rsidR="00CC7A83" w:rsidRPr="005851C0" w:rsidRDefault="00CC7A83" w:rsidP="001E55A0">
      <w:pPr>
        <w:spacing w:after="0" w:line="240" w:lineRule="auto"/>
        <w:rPr>
          <w:rFonts w:ascii="Times New Roman" w:eastAsia="Times New Roman" w:hAnsi="Times New Roman" w:cs="Times New Roman"/>
          <w:bCs/>
          <w:iCs/>
          <w:kern w:val="1"/>
          <w:sz w:val="24"/>
          <w:szCs w:val="24"/>
          <w:lang w:eastAsia="ar-SA"/>
        </w:rPr>
      </w:pPr>
    </w:p>
    <w:p w14:paraId="5D894A29" w14:textId="77777777" w:rsidR="000B55A9" w:rsidRPr="005851C0" w:rsidRDefault="001E55A0" w:rsidP="001E55A0">
      <w:pPr>
        <w:spacing w:after="0" w:line="240" w:lineRule="auto"/>
        <w:rPr>
          <w:rFonts w:ascii="Times New Roman" w:eastAsia="Times New Roman" w:hAnsi="Times New Roman" w:cs="Times New Roman"/>
          <w:bCs/>
          <w:iCs/>
          <w:kern w:val="1"/>
          <w:sz w:val="26"/>
          <w:szCs w:val="26"/>
          <w:lang w:eastAsia="ar-SA"/>
        </w:rPr>
      </w:pPr>
      <w:r w:rsidRPr="005851C0">
        <w:rPr>
          <w:rFonts w:ascii="Times New Roman" w:eastAsia="Times New Roman" w:hAnsi="Times New Roman" w:cs="Times New Roman"/>
          <w:bCs/>
          <w:iCs/>
          <w:kern w:val="1"/>
          <w:sz w:val="26"/>
          <w:szCs w:val="26"/>
          <w:lang w:eastAsia="ar-SA"/>
        </w:rPr>
        <w:t>Finanšu ministr</w:t>
      </w:r>
      <w:r w:rsidR="00CC7A83" w:rsidRPr="005851C0">
        <w:rPr>
          <w:rFonts w:ascii="Times New Roman" w:eastAsia="Times New Roman" w:hAnsi="Times New Roman" w:cs="Times New Roman"/>
          <w:bCs/>
          <w:iCs/>
          <w:kern w:val="1"/>
          <w:sz w:val="26"/>
          <w:szCs w:val="26"/>
          <w:lang w:eastAsia="ar-SA"/>
        </w:rPr>
        <w:t>s</w:t>
      </w:r>
      <w:r w:rsidRPr="005851C0">
        <w:rPr>
          <w:rFonts w:ascii="Times New Roman" w:eastAsia="Times New Roman" w:hAnsi="Times New Roman" w:cs="Times New Roman"/>
          <w:bCs/>
          <w:iCs/>
          <w:kern w:val="1"/>
          <w:sz w:val="26"/>
          <w:szCs w:val="26"/>
          <w:lang w:eastAsia="ar-SA"/>
        </w:rPr>
        <w:tab/>
      </w:r>
      <w:proofErr w:type="gramStart"/>
      <w:r w:rsidRPr="005851C0">
        <w:rPr>
          <w:rFonts w:ascii="Times New Roman" w:eastAsia="Times New Roman" w:hAnsi="Times New Roman" w:cs="Times New Roman"/>
          <w:bCs/>
          <w:iCs/>
          <w:kern w:val="1"/>
          <w:sz w:val="26"/>
          <w:szCs w:val="26"/>
          <w:lang w:eastAsia="ar-SA"/>
        </w:rPr>
        <w:t xml:space="preserve">                                                                     </w:t>
      </w:r>
      <w:proofErr w:type="gramEnd"/>
      <w:r w:rsidR="00CC7A83" w:rsidRPr="005851C0">
        <w:rPr>
          <w:rFonts w:ascii="Times New Roman" w:eastAsia="Times New Roman" w:hAnsi="Times New Roman" w:cs="Times New Roman"/>
          <w:bCs/>
          <w:iCs/>
          <w:kern w:val="1"/>
          <w:sz w:val="26"/>
          <w:szCs w:val="26"/>
          <w:lang w:eastAsia="ar-SA"/>
        </w:rPr>
        <w:tab/>
      </w:r>
      <w:r w:rsidRPr="005851C0">
        <w:rPr>
          <w:rFonts w:ascii="Times New Roman" w:eastAsia="Times New Roman" w:hAnsi="Times New Roman" w:cs="Times New Roman"/>
          <w:bCs/>
          <w:iCs/>
          <w:kern w:val="1"/>
          <w:sz w:val="26"/>
          <w:szCs w:val="26"/>
          <w:lang w:eastAsia="ar-SA"/>
        </w:rPr>
        <w:t xml:space="preserve"> </w:t>
      </w:r>
      <w:r w:rsidR="00CC7A83" w:rsidRPr="005851C0">
        <w:rPr>
          <w:rFonts w:ascii="Times New Roman" w:eastAsia="Times New Roman" w:hAnsi="Times New Roman" w:cs="Times New Roman"/>
          <w:bCs/>
          <w:iCs/>
          <w:kern w:val="1"/>
          <w:sz w:val="26"/>
          <w:szCs w:val="26"/>
          <w:lang w:eastAsia="ar-SA"/>
        </w:rPr>
        <w:t>J</w:t>
      </w:r>
      <w:r w:rsidRPr="005851C0">
        <w:rPr>
          <w:rFonts w:ascii="Times New Roman" w:eastAsia="Times New Roman" w:hAnsi="Times New Roman" w:cs="Times New Roman"/>
          <w:bCs/>
          <w:iCs/>
          <w:kern w:val="1"/>
          <w:sz w:val="26"/>
          <w:szCs w:val="26"/>
          <w:lang w:eastAsia="ar-SA"/>
        </w:rPr>
        <w:t>. Rei</w:t>
      </w:r>
      <w:r w:rsidR="00CC7A83" w:rsidRPr="005851C0">
        <w:rPr>
          <w:rFonts w:ascii="Times New Roman" w:eastAsia="Times New Roman" w:hAnsi="Times New Roman" w:cs="Times New Roman"/>
          <w:bCs/>
          <w:iCs/>
          <w:kern w:val="1"/>
          <w:sz w:val="26"/>
          <w:szCs w:val="26"/>
          <w:lang w:eastAsia="ar-SA"/>
        </w:rPr>
        <w:t>rs</w:t>
      </w:r>
    </w:p>
    <w:p w14:paraId="76EEE839" w14:textId="77777777" w:rsidR="000B55A9" w:rsidRPr="005851C0" w:rsidRDefault="000B55A9" w:rsidP="001E55A0">
      <w:pPr>
        <w:spacing w:after="0" w:line="240" w:lineRule="auto"/>
        <w:rPr>
          <w:rFonts w:ascii="Times New Roman" w:eastAsia="Times New Roman" w:hAnsi="Times New Roman" w:cs="Times New Roman"/>
          <w:bCs/>
          <w:iCs/>
          <w:kern w:val="1"/>
          <w:sz w:val="24"/>
          <w:szCs w:val="24"/>
          <w:lang w:eastAsia="ar-SA"/>
        </w:rPr>
      </w:pPr>
    </w:p>
    <w:p w14:paraId="464FD109"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A2E48"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151917C9"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2FE495D8" w14:textId="3FED7E75"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proofErr w:type="spellStart"/>
      <w:r>
        <w:rPr>
          <w:rFonts w:ascii="Times New Roman" w:eastAsia="Times New Roman" w:hAnsi="Times New Roman" w:cs="Times New Roman"/>
          <w:bCs/>
          <w:iCs/>
          <w:kern w:val="1"/>
          <w:sz w:val="20"/>
          <w:szCs w:val="24"/>
          <w:lang w:eastAsia="ar-SA"/>
        </w:rPr>
        <w:t>Hartmane</w:t>
      </w:r>
      <w:proofErr w:type="spellEnd"/>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6F554C91" w14:textId="2B7B15AD" w:rsidR="001E55A0" w:rsidRPr="005851C0" w:rsidRDefault="00F24955" w:rsidP="001E55A0">
      <w:pPr>
        <w:spacing w:after="0" w:line="240" w:lineRule="auto"/>
        <w:rPr>
          <w:rFonts w:ascii="Times New Roman" w:hAnsi="Times New Roman" w:cs="Times New Roman"/>
          <w:sz w:val="20"/>
          <w:szCs w:val="24"/>
        </w:rPr>
      </w:pPr>
      <w:hyperlink r:id="rId8"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p>
    <w:sectPr w:rsidR="001E55A0" w:rsidRPr="005851C0" w:rsidSect="00FF6FDC">
      <w:headerReference w:type="default" r:id="rId9"/>
      <w:footerReference w:type="default" r:id="rId10"/>
      <w:footerReference w:type="first" r:id="rId11"/>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507E" w14:textId="77777777" w:rsidR="00F24955" w:rsidRDefault="00F24955" w:rsidP="0038587F">
      <w:pPr>
        <w:spacing w:after="0" w:line="240" w:lineRule="auto"/>
      </w:pPr>
      <w:r>
        <w:separator/>
      </w:r>
    </w:p>
  </w:endnote>
  <w:endnote w:type="continuationSeparator" w:id="0">
    <w:p w14:paraId="502BDAAA" w14:textId="77777777" w:rsidR="00F24955" w:rsidRDefault="00F24955"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E1A6" w14:textId="514FBA59" w:rsidR="009F19ED" w:rsidRPr="001E55A0" w:rsidRDefault="009F19ED"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Pr>
        <w:rFonts w:ascii="Times New Roman" w:hAnsi="Times New Roman" w:cs="Times New Roman"/>
        <w:noProof/>
        <w:sz w:val="20"/>
        <w:szCs w:val="20"/>
      </w:rPr>
      <w:t>FMAnot_250920_AN_tabaka</w:t>
    </w:r>
    <w:r w:rsidRPr="001E55A0">
      <w:rPr>
        <w:rFonts w:ascii="Times New Roman" w:hAnsi="Times New Roman" w:cs="Times New Roman"/>
        <w:sz w:val="20"/>
        <w:szCs w:val="20"/>
      </w:rPr>
      <w:fldChar w:fldCharType="end"/>
    </w:r>
    <w:r>
      <w:rPr>
        <w:rFonts w:ascii="Times New Roman" w:hAnsi="Times New Roman" w:cs="Times New Roman"/>
        <w:sz w:val="20"/>
        <w:szCs w:val="20"/>
      </w:rPr>
      <w:t xml:space="preserve"> un citi</w:t>
    </w:r>
    <w:r w:rsidRPr="001E55A0">
      <w:rPr>
        <w:rFonts w:ascii="Times New Roman" w:hAnsi="Times New Roman" w:cs="Times New Roman"/>
        <w:sz w:val="20"/>
        <w:szCs w:val="20"/>
      </w:rPr>
      <w:t xml:space="preserve">; </w:t>
    </w:r>
  </w:p>
  <w:p w14:paraId="728763CF" w14:textId="77777777" w:rsidR="009F19ED" w:rsidRPr="001E55A0" w:rsidRDefault="009F19ED"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B222" w14:textId="2F8124CF" w:rsidR="009F19ED" w:rsidRPr="001E55A0" w:rsidRDefault="009F19ED"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Pr>
        <w:rFonts w:ascii="Times New Roman" w:hAnsi="Times New Roman" w:cs="Times New Roman"/>
        <w:noProof/>
        <w:sz w:val="20"/>
        <w:szCs w:val="20"/>
      </w:rPr>
      <w:t>FMAnot_250920_AN_</w:t>
    </w:r>
    <w:r w:rsidRPr="001E55A0">
      <w:rPr>
        <w:rFonts w:ascii="Times New Roman" w:hAnsi="Times New Roman" w:cs="Times New Roman"/>
        <w:sz w:val="20"/>
        <w:szCs w:val="20"/>
      </w:rPr>
      <w:fldChar w:fldCharType="end"/>
    </w:r>
    <w:r>
      <w:rPr>
        <w:rFonts w:ascii="Times New Roman" w:hAnsi="Times New Roman" w:cs="Times New Roman"/>
        <w:sz w:val="20"/>
        <w:szCs w:val="20"/>
      </w:rPr>
      <w:t>tabaka un citi</w:t>
    </w:r>
    <w:r w:rsidRPr="001E55A0">
      <w:rPr>
        <w:rFonts w:ascii="Times New Roman" w:hAnsi="Times New Roman" w:cs="Times New Roman"/>
        <w:sz w:val="20"/>
        <w:szCs w:val="20"/>
      </w:rPr>
      <w:t xml:space="preserve">; </w:t>
    </w:r>
  </w:p>
  <w:p w14:paraId="047DA303" w14:textId="77777777" w:rsidR="009F19ED" w:rsidRPr="001E55A0" w:rsidRDefault="009F19ED" w:rsidP="00A37C16">
    <w:pPr>
      <w:pStyle w:val="Footer"/>
    </w:pPr>
  </w:p>
  <w:p w14:paraId="62E369B4" w14:textId="77777777" w:rsidR="009F19ED" w:rsidRDefault="009F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D2E2" w14:textId="77777777" w:rsidR="00F24955" w:rsidRDefault="00F24955" w:rsidP="0038587F">
      <w:pPr>
        <w:spacing w:after="0" w:line="240" w:lineRule="auto"/>
      </w:pPr>
      <w:r>
        <w:separator/>
      </w:r>
    </w:p>
  </w:footnote>
  <w:footnote w:type="continuationSeparator" w:id="0">
    <w:p w14:paraId="283408CE" w14:textId="77777777" w:rsidR="00F24955" w:rsidRDefault="00F24955"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231629B4" w14:textId="11E79E79" w:rsidR="009F19ED" w:rsidRPr="00872D60" w:rsidRDefault="009F19ED">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0F4AB5">
          <w:rPr>
            <w:rFonts w:ascii="Times New Roman" w:hAnsi="Times New Roman" w:cs="Times New Roman"/>
            <w:noProof/>
            <w:sz w:val="24"/>
          </w:rPr>
          <w:t>6</w:t>
        </w:r>
        <w:r w:rsidRPr="00872D60">
          <w:rPr>
            <w:rFonts w:ascii="Times New Roman" w:hAnsi="Times New Roman" w:cs="Times New Roman"/>
            <w:noProof/>
            <w:sz w:val="24"/>
          </w:rPr>
          <w:fldChar w:fldCharType="end"/>
        </w:r>
      </w:p>
    </w:sdtContent>
  </w:sdt>
  <w:p w14:paraId="244AAF04" w14:textId="77777777" w:rsidR="009F19ED" w:rsidRDefault="009F1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2"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6"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7"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9"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4"/>
  </w:num>
  <w:num w:numId="5">
    <w:abstractNumId w:val="19"/>
  </w:num>
  <w:num w:numId="6">
    <w:abstractNumId w:val="6"/>
  </w:num>
  <w:num w:numId="7">
    <w:abstractNumId w:val="20"/>
  </w:num>
  <w:num w:numId="8">
    <w:abstractNumId w:val="17"/>
  </w:num>
  <w:num w:numId="9">
    <w:abstractNumId w:val="5"/>
  </w:num>
  <w:num w:numId="10">
    <w:abstractNumId w:val="7"/>
  </w:num>
  <w:num w:numId="11">
    <w:abstractNumId w:val="8"/>
  </w:num>
  <w:num w:numId="12">
    <w:abstractNumId w:val="11"/>
  </w:num>
  <w:num w:numId="13">
    <w:abstractNumId w:val="16"/>
  </w:num>
  <w:num w:numId="14">
    <w:abstractNumId w:val="10"/>
  </w:num>
  <w:num w:numId="15">
    <w:abstractNumId w:val="18"/>
  </w:num>
  <w:num w:numId="16">
    <w:abstractNumId w:val="12"/>
  </w:num>
  <w:num w:numId="17">
    <w:abstractNumId w:val="0"/>
  </w:num>
  <w:num w:numId="18">
    <w:abstractNumId w:val="3"/>
  </w:num>
  <w:num w:numId="19">
    <w:abstractNumId w:val="13"/>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16D8"/>
    <w:rsid w:val="0000191A"/>
    <w:rsid w:val="00001B2F"/>
    <w:rsid w:val="00003A44"/>
    <w:rsid w:val="00007226"/>
    <w:rsid w:val="00010538"/>
    <w:rsid w:val="0001107B"/>
    <w:rsid w:val="00013FD0"/>
    <w:rsid w:val="000140C9"/>
    <w:rsid w:val="0001650F"/>
    <w:rsid w:val="00020350"/>
    <w:rsid w:val="00020D8F"/>
    <w:rsid w:val="000237E7"/>
    <w:rsid w:val="00023D4A"/>
    <w:rsid w:val="00024BA6"/>
    <w:rsid w:val="00024EEC"/>
    <w:rsid w:val="0002779D"/>
    <w:rsid w:val="000320E8"/>
    <w:rsid w:val="00036B05"/>
    <w:rsid w:val="00036D69"/>
    <w:rsid w:val="0004450E"/>
    <w:rsid w:val="00044B86"/>
    <w:rsid w:val="00044FD1"/>
    <w:rsid w:val="000477A9"/>
    <w:rsid w:val="000500E7"/>
    <w:rsid w:val="00051DB2"/>
    <w:rsid w:val="0005206D"/>
    <w:rsid w:val="0005297D"/>
    <w:rsid w:val="00053836"/>
    <w:rsid w:val="0005435B"/>
    <w:rsid w:val="000545F8"/>
    <w:rsid w:val="00063BB2"/>
    <w:rsid w:val="00065315"/>
    <w:rsid w:val="00065733"/>
    <w:rsid w:val="000670D5"/>
    <w:rsid w:val="00067195"/>
    <w:rsid w:val="0007030B"/>
    <w:rsid w:val="00070A7B"/>
    <w:rsid w:val="00076359"/>
    <w:rsid w:val="00081E6E"/>
    <w:rsid w:val="00084073"/>
    <w:rsid w:val="0008771D"/>
    <w:rsid w:val="0009400F"/>
    <w:rsid w:val="0009407C"/>
    <w:rsid w:val="00094485"/>
    <w:rsid w:val="00095DCA"/>
    <w:rsid w:val="000A0CFF"/>
    <w:rsid w:val="000A1114"/>
    <w:rsid w:val="000A2CD9"/>
    <w:rsid w:val="000A5CCD"/>
    <w:rsid w:val="000A63AE"/>
    <w:rsid w:val="000A6589"/>
    <w:rsid w:val="000B00F2"/>
    <w:rsid w:val="000B05F9"/>
    <w:rsid w:val="000B5181"/>
    <w:rsid w:val="000B55A9"/>
    <w:rsid w:val="000C1F86"/>
    <w:rsid w:val="000C25BF"/>
    <w:rsid w:val="000C26F8"/>
    <w:rsid w:val="000C6DD7"/>
    <w:rsid w:val="000D169E"/>
    <w:rsid w:val="000D799C"/>
    <w:rsid w:val="000E14FF"/>
    <w:rsid w:val="000E20AA"/>
    <w:rsid w:val="000E6523"/>
    <w:rsid w:val="000E6BA1"/>
    <w:rsid w:val="000E7588"/>
    <w:rsid w:val="000F3B4C"/>
    <w:rsid w:val="000F4AB5"/>
    <w:rsid w:val="000F5A65"/>
    <w:rsid w:val="000F5DC4"/>
    <w:rsid w:val="00100490"/>
    <w:rsid w:val="00104708"/>
    <w:rsid w:val="001063E4"/>
    <w:rsid w:val="001070A9"/>
    <w:rsid w:val="00113978"/>
    <w:rsid w:val="00114E06"/>
    <w:rsid w:val="0011613E"/>
    <w:rsid w:val="00116B22"/>
    <w:rsid w:val="00116BE4"/>
    <w:rsid w:val="00117DB1"/>
    <w:rsid w:val="001228E8"/>
    <w:rsid w:val="00122E47"/>
    <w:rsid w:val="00127BE3"/>
    <w:rsid w:val="001312E0"/>
    <w:rsid w:val="00136FBC"/>
    <w:rsid w:val="00140E16"/>
    <w:rsid w:val="00140E59"/>
    <w:rsid w:val="0014280D"/>
    <w:rsid w:val="00142958"/>
    <w:rsid w:val="001437E8"/>
    <w:rsid w:val="00144431"/>
    <w:rsid w:val="00144B0B"/>
    <w:rsid w:val="0014533F"/>
    <w:rsid w:val="0014715C"/>
    <w:rsid w:val="001508C5"/>
    <w:rsid w:val="001512D9"/>
    <w:rsid w:val="00154F11"/>
    <w:rsid w:val="00155FE0"/>
    <w:rsid w:val="001601C5"/>
    <w:rsid w:val="00161F62"/>
    <w:rsid w:val="00164D11"/>
    <w:rsid w:val="0016539F"/>
    <w:rsid w:val="001657A2"/>
    <w:rsid w:val="001701B6"/>
    <w:rsid w:val="00171408"/>
    <w:rsid w:val="001720AB"/>
    <w:rsid w:val="00174314"/>
    <w:rsid w:val="00176609"/>
    <w:rsid w:val="00180147"/>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730B"/>
    <w:rsid w:val="001D0219"/>
    <w:rsid w:val="001D3F91"/>
    <w:rsid w:val="001D551C"/>
    <w:rsid w:val="001D7A0F"/>
    <w:rsid w:val="001E1E5E"/>
    <w:rsid w:val="001E21C5"/>
    <w:rsid w:val="001E55A0"/>
    <w:rsid w:val="001E63A4"/>
    <w:rsid w:val="001E6E39"/>
    <w:rsid w:val="001E7C36"/>
    <w:rsid w:val="001F0684"/>
    <w:rsid w:val="001F1AD8"/>
    <w:rsid w:val="001F5F1A"/>
    <w:rsid w:val="001F7DAE"/>
    <w:rsid w:val="0020253B"/>
    <w:rsid w:val="00203D54"/>
    <w:rsid w:val="00211310"/>
    <w:rsid w:val="00211D2D"/>
    <w:rsid w:val="00215D2F"/>
    <w:rsid w:val="00216FF2"/>
    <w:rsid w:val="00225A7E"/>
    <w:rsid w:val="00225B81"/>
    <w:rsid w:val="00225C49"/>
    <w:rsid w:val="002261E9"/>
    <w:rsid w:val="00226888"/>
    <w:rsid w:val="00227773"/>
    <w:rsid w:val="00233623"/>
    <w:rsid w:val="00235E3F"/>
    <w:rsid w:val="00237C32"/>
    <w:rsid w:val="002402A8"/>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4683"/>
    <w:rsid w:val="002A6EE9"/>
    <w:rsid w:val="002B0D50"/>
    <w:rsid w:val="002B2979"/>
    <w:rsid w:val="002B32AC"/>
    <w:rsid w:val="002B3881"/>
    <w:rsid w:val="002B3A3F"/>
    <w:rsid w:val="002B5F64"/>
    <w:rsid w:val="002B7F58"/>
    <w:rsid w:val="002C27DD"/>
    <w:rsid w:val="002C3789"/>
    <w:rsid w:val="002C3EC3"/>
    <w:rsid w:val="002C4A6E"/>
    <w:rsid w:val="002C4DFB"/>
    <w:rsid w:val="002C51FA"/>
    <w:rsid w:val="002C565C"/>
    <w:rsid w:val="002D20CA"/>
    <w:rsid w:val="002D4012"/>
    <w:rsid w:val="002D7BDE"/>
    <w:rsid w:val="002E1E5A"/>
    <w:rsid w:val="002E7FA9"/>
    <w:rsid w:val="002F4D59"/>
    <w:rsid w:val="002F63D8"/>
    <w:rsid w:val="002F6596"/>
    <w:rsid w:val="002F66ED"/>
    <w:rsid w:val="002F71AE"/>
    <w:rsid w:val="003008DF"/>
    <w:rsid w:val="003012DA"/>
    <w:rsid w:val="00302376"/>
    <w:rsid w:val="00302640"/>
    <w:rsid w:val="00303060"/>
    <w:rsid w:val="003041AE"/>
    <w:rsid w:val="00304B5F"/>
    <w:rsid w:val="00305748"/>
    <w:rsid w:val="00313141"/>
    <w:rsid w:val="003143ED"/>
    <w:rsid w:val="00314D44"/>
    <w:rsid w:val="0032034C"/>
    <w:rsid w:val="00322370"/>
    <w:rsid w:val="00324CC7"/>
    <w:rsid w:val="00325CD3"/>
    <w:rsid w:val="00334F3E"/>
    <w:rsid w:val="003375C0"/>
    <w:rsid w:val="00341B12"/>
    <w:rsid w:val="00341EEB"/>
    <w:rsid w:val="0034258F"/>
    <w:rsid w:val="00342915"/>
    <w:rsid w:val="00344A88"/>
    <w:rsid w:val="00347C04"/>
    <w:rsid w:val="003520F2"/>
    <w:rsid w:val="00352677"/>
    <w:rsid w:val="00352EC9"/>
    <w:rsid w:val="00355364"/>
    <w:rsid w:val="00356FA1"/>
    <w:rsid w:val="00357D56"/>
    <w:rsid w:val="0036308E"/>
    <w:rsid w:val="00363135"/>
    <w:rsid w:val="00363FF7"/>
    <w:rsid w:val="00364D16"/>
    <w:rsid w:val="00371E07"/>
    <w:rsid w:val="0037670E"/>
    <w:rsid w:val="0037737F"/>
    <w:rsid w:val="00382F1D"/>
    <w:rsid w:val="0038587F"/>
    <w:rsid w:val="00390AD2"/>
    <w:rsid w:val="00392318"/>
    <w:rsid w:val="00393CF5"/>
    <w:rsid w:val="00393FB2"/>
    <w:rsid w:val="00396C03"/>
    <w:rsid w:val="003A0E22"/>
    <w:rsid w:val="003A1B20"/>
    <w:rsid w:val="003A4187"/>
    <w:rsid w:val="003A427B"/>
    <w:rsid w:val="003A4AFD"/>
    <w:rsid w:val="003A6BA5"/>
    <w:rsid w:val="003B0056"/>
    <w:rsid w:val="003B297C"/>
    <w:rsid w:val="003B2CFB"/>
    <w:rsid w:val="003C0429"/>
    <w:rsid w:val="003C05D3"/>
    <w:rsid w:val="003C08D4"/>
    <w:rsid w:val="003C0BED"/>
    <w:rsid w:val="003C3D2D"/>
    <w:rsid w:val="003C590A"/>
    <w:rsid w:val="003D0556"/>
    <w:rsid w:val="003D1658"/>
    <w:rsid w:val="003D3672"/>
    <w:rsid w:val="003D3AED"/>
    <w:rsid w:val="003D4DC8"/>
    <w:rsid w:val="003D6513"/>
    <w:rsid w:val="003D6685"/>
    <w:rsid w:val="003D73CB"/>
    <w:rsid w:val="003E45C9"/>
    <w:rsid w:val="003E6607"/>
    <w:rsid w:val="003F2F71"/>
    <w:rsid w:val="003F351D"/>
    <w:rsid w:val="003F5558"/>
    <w:rsid w:val="003F6220"/>
    <w:rsid w:val="00400E7B"/>
    <w:rsid w:val="00401CF8"/>
    <w:rsid w:val="00403706"/>
    <w:rsid w:val="004047B5"/>
    <w:rsid w:val="0040747B"/>
    <w:rsid w:val="0041039E"/>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B8"/>
    <w:rsid w:val="00472CD3"/>
    <w:rsid w:val="004742A7"/>
    <w:rsid w:val="00482BB4"/>
    <w:rsid w:val="004871D1"/>
    <w:rsid w:val="0049379B"/>
    <w:rsid w:val="004A0613"/>
    <w:rsid w:val="004A2A10"/>
    <w:rsid w:val="004A32D0"/>
    <w:rsid w:val="004A6A56"/>
    <w:rsid w:val="004A7516"/>
    <w:rsid w:val="004B0C47"/>
    <w:rsid w:val="004B105E"/>
    <w:rsid w:val="004B242B"/>
    <w:rsid w:val="004B5C56"/>
    <w:rsid w:val="004C2541"/>
    <w:rsid w:val="004C7E1B"/>
    <w:rsid w:val="004D074C"/>
    <w:rsid w:val="004D1731"/>
    <w:rsid w:val="004D21D1"/>
    <w:rsid w:val="004E5B07"/>
    <w:rsid w:val="004F0FA9"/>
    <w:rsid w:val="004F291F"/>
    <w:rsid w:val="004F3D1D"/>
    <w:rsid w:val="004F517E"/>
    <w:rsid w:val="004F5EB0"/>
    <w:rsid w:val="004F73C6"/>
    <w:rsid w:val="00501550"/>
    <w:rsid w:val="00502AF8"/>
    <w:rsid w:val="005057B3"/>
    <w:rsid w:val="00507B4A"/>
    <w:rsid w:val="00510BBC"/>
    <w:rsid w:val="005116C7"/>
    <w:rsid w:val="00513672"/>
    <w:rsid w:val="005163EE"/>
    <w:rsid w:val="00517530"/>
    <w:rsid w:val="0052104E"/>
    <w:rsid w:val="00523AF0"/>
    <w:rsid w:val="00524C9B"/>
    <w:rsid w:val="00525CC7"/>
    <w:rsid w:val="00527862"/>
    <w:rsid w:val="00530067"/>
    <w:rsid w:val="005300BA"/>
    <w:rsid w:val="00530628"/>
    <w:rsid w:val="00530BBD"/>
    <w:rsid w:val="00535905"/>
    <w:rsid w:val="00537006"/>
    <w:rsid w:val="005374F9"/>
    <w:rsid w:val="00537BC4"/>
    <w:rsid w:val="00543AA6"/>
    <w:rsid w:val="00544B62"/>
    <w:rsid w:val="0054716F"/>
    <w:rsid w:val="00551397"/>
    <w:rsid w:val="00557C67"/>
    <w:rsid w:val="00561F10"/>
    <w:rsid w:val="00562090"/>
    <w:rsid w:val="00563C06"/>
    <w:rsid w:val="00567C60"/>
    <w:rsid w:val="0057055B"/>
    <w:rsid w:val="00573CC8"/>
    <w:rsid w:val="00574F93"/>
    <w:rsid w:val="00577277"/>
    <w:rsid w:val="00582E54"/>
    <w:rsid w:val="0058402A"/>
    <w:rsid w:val="005851C0"/>
    <w:rsid w:val="00586D65"/>
    <w:rsid w:val="0058711A"/>
    <w:rsid w:val="005875FE"/>
    <w:rsid w:val="005912C7"/>
    <w:rsid w:val="0059192E"/>
    <w:rsid w:val="00592977"/>
    <w:rsid w:val="005937D6"/>
    <w:rsid w:val="005975FA"/>
    <w:rsid w:val="005A0779"/>
    <w:rsid w:val="005A54AC"/>
    <w:rsid w:val="005B2776"/>
    <w:rsid w:val="005B341D"/>
    <w:rsid w:val="005B593F"/>
    <w:rsid w:val="005B7FC7"/>
    <w:rsid w:val="005C150F"/>
    <w:rsid w:val="005C1BBD"/>
    <w:rsid w:val="005C5F58"/>
    <w:rsid w:val="005C63CF"/>
    <w:rsid w:val="005D0A7D"/>
    <w:rsid w:val="005D2B4D"/>
    <w:rsid w:val="005D3204"/>
    <w:rsid w:val="005D5E28"/>
    <w:rsid w:val="005E1055"/>
    <w:rsid w:val="005E379F"/>
    <w:rsid w:val="005E39B7"/>
    <w:rsid w:val="005E4584"/>
    <w:rsid w:val="005F0E61"/>
    <w:rsid w:val="005F5B3E"/>
    <w:rsid w:val="00604513"/>
    <w:rsid w:val="00610887"/>
    <w:rsid w:val="006118DA"/>
    <w:rsid w:val="006138E5"/>
    <w:rsid w:val="00613DA9"/>
    <w:rsid w:val="00614F69"/>
    <w:rsid w:val="0061555A"/>
    <w:rsid w:val="00616C4C"/>
    <w:rsid w:val="00621683"/>
    <w:rsid w:val="006229C4"/>
    <w:rsid w:val="00623952"/>
    <w:rsid w:val="006242C5"/>
    <w:rsid w:val="00624CE4"/>
    <w:rsid w:val="00632934"/>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95F"/>
    <w:rsid w:val="00685BBD"/>
    <w:rsid w:val="006862F2"/>
    <w:rsid w:val="00686D17"/>
    <w:rsid w:val="00693C24"/>
    <w:rsid w:val="006955C7"/>
    <w:rsid w:val="0069728C"/>
    <w:rsid w:val="00697DBD"/>
    <w:rsid w:val="006A4199"/>
    <w:rsid w:val="006A48B8"/>
    <w:rsid w:val="006B19D2"/>
    <w:rsid w:val="006B1A18"/>
    <w:rsid w:val="006B2621"/>
    <w:rsid w:val="006B40DA"/>
    <w:rsid w:val="006B5174"/>
    <w:rsid w:val="006B76B2"/>
    <w:rsid w:val="006C183F"/>
    <w:rsid w:val="006C2424"/>
    <w:rsid w:val="006C30F5"/>
    <w:rsid w:val="006C35F6"/>
    <w:rsid w:val="006C5CA7"/>
    <w:rsid w:val="006D167B"/>
    <w:rsid w:val="006D2DCB"/>
    <w:rsid w:val="006D3DFA"/>
    <w:rsid w:val="006D452D"/>
    <w:rsid w:val="006E06C7"/>
    <w:rsid w:val="006E1B67"/>
    <w:rsid w:val="006E270D"/>
    <w:rsid w:val="006E2A7B"/>
    <w:rsid w:val="006F1DE0"/>
    <w:rsid w:val="006F4799"/>
    <w:rsid w:val="006F4A5C"/>
    <w:rsid w:val="006F6B68"/>
    <w:rsid w:val="0070135C"/>
    <w:rsid w:val="007014BA"/>
    <w:rsid w:val="00702141"/>
    <w:rsid w:val="00702F0C"/>
    <w:rsid w:val="007053D9"/>
    <w:rsid w:val="007078A7"/>
    <w:rsid w:val="00710D5F"/>
    <w:rsid w:val="00711E95"/>
    <w:rsid w:val="0071341A"/>
    <w:rsid w:val="00717D3B"/>
    <w:rsid w:val="007240FB"/>
    <w:rsid w:val="007274B5"/>
    <w:rsid w:val="00727F0F"/>
    <w:rsid w:val="00730C40"/>
    <w:rsid w:val="00732F5D"/>
    <w:rsid w:val="00736FE7"/>
    <w:rsid w:val="0074652A"/>
    <w:rsid w:val="007538B5"/>
    <w:rsid w:val="00755236"/>
    <w:rsid w:val="00756B5D"/>
    <w:rsid w:val="007604A0"/>
    <w:rsid w:val="0076511A"/>
    <w:rsid w:val="007664D9"/>
    <w:rsid w:val="00772005"/>
    <w:rsid w:val="007754B7"/>
    <w:rsid w:val="00784D9C"/>
    <w:rsid w:val="00786D90"/>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2595"/>
    <w:rsid w:val="007B2D66"/>
    <w:rsid w:val="007B530F"/>
    <w:rsid w:val="007B56A4"/>
    <w:rsid w:val="007B6AF8"/>
    <w:rsid w:val="007B7F60"/>
    <w:rsid w:val="007C0CD1"/>
    <w:rsid w:val="007D4327"/>
    <w:rsid w:val="007D5956"/>
    <w:rsid w:val="007E7FF0"/>
    <w:rsid w:val="007F1107"/>
    <w:rsid w:val="007F12BE"/>
    <w:rsid w:val="007F3757"/>
    <w:rsid w:val="007F39B5"/>
    <w:rsid w:val="007F3DD4"/>
    <w:rsid w:val="007F595B"/>
    <w:rsid w:val="00802DD9"/>
    <w:rsid w:val="008057B9"/>
    <w:rsid w:val="00805BBF"/>
    <w:rsid w:val="00807B3D"/>
    <w:rsid w:val="00817716"/>
    <w:rsid w:val="00821295"/>
    <w:rsid w:val="008214E5"/>
    <w:rsid w:val="008221CF"/>
    <w:rsid w:val="00827981"/>
    <w:rsid w:val="00827E4A"/>
    <w:rsid w:val="00832B4C"/>
    <w:rsid w:val="0083388E"/>
    <w:rsid w:val="00833A87"/>
    <w:rsid w:val="0084733D"/>
    <w:rsid w:val="008515AE"/>
    <w:rsid w:val="008537FB"/>
    <w:rsid w:val="00853E40"/>
    <w:rsid w:val="00855843"/>
    <w:rsid w:val="008602C7"/>
    <w:rsid w:val="00861102"/>
    <w:rsid w:val="00862955"/>
    <w:rsid w:val="00862AED"/>
    <w:rsid w:val="0086319A"/>
    <w:rsid w:val="00871466"/>
    <w:rsid w:val="00872785"/>
    <w:rsid w:val="00872D60"/>
    <w:rsid w:val="00874B67"/>
    <w:rsid w:val="00877666"/>
    <w:rsid w:val="00877F9F"/>
    <w:rsid w:val="00882B0D"/>
    <w:rsid w:val="00882D6E"/>
    <w:rsid w:val="00884AE4"/>
    <w:rsid w:val="008860AD"/>
    <w:rsid w:val="00886F70"/>
    <w:rsid w:val="008902C5"/>
    <w:rsid w:val="00895C75"/>
    <w:rsid w:val="008A209D"/>
    <w:rsid w:val="008A262A"/>
    <w:rsid w:val="008A4371"/>
    <w:rsid w:val="008A4716"/>
    <w:rsid w:val="008A5134"/>
    <w:rsid w:val="008A7DA1"/>
    <w:rsid w:val="008B0A2E"/>
    <w:rsid w:val="008B2E38"/>
    <w:rsid w:val="008B4598"/>
    <w:rsid w:val="008B50F9"/>
    <w:rsid w:val="008C3095"/>
    <w:rsid w:val="008C34A3"/>
    <w:rsid w:val="008C6BFF"/>
    <w:rsid w:val="008C78F7"/>
    <w:rsid w:val="008C7D75"/>
    <w:rsid w:val="008D1AC7"/>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20135"/>
    <w:rsid w:val="0092765F"/>
    <w:rsid w:val="009303D1"/>
    <w:rsid w:val="009329C2"/>
    <w:rsid w:val="00933254"/>
    <w:rsid w:val="009356A8"/>
    <w:rsid w:val="009365AD"/>
    <w:rsid w:val="009422B8"/>
    <w:rsid w:val="0094289C"/>
    <w:rsid w:val="009438C8"/>
    <w:rsid w:val="0094435A"/>
    <w:rsid w:val="009449BF"/>
    <w:rsid w:val="00947ACC"/>
    <w:rsid w:val="0095260D"/>
    <w:rsid w:val="0095326C"/>
    <w:rsid w:val="0095375E"/>
    <w:rsid w:val="00953904"/>
    <w:rsid w:val="00955055"/>
    <w:rsid w:val="009612B1"/>
    <w:rsid w:val="00962A69"/>
    <w:rsid w:val="00963194"/>
    <w:rsid w:val="00972692"/>
    <w:rsid w:val="00973FF1"/>
    <w:rsid w:val="009804C0"/>
    <w:rsid w:val="00980F7E"/>
    <w:rsid w:val="0098147E"/>
    <w:rsid w:val="0098223B"/>
    <w:rsid w:val="009849F4"/>
    <w:rsid w:val="0098504B"/>
    <w:rsid w:val="00985D6F"/>
    <w:rsid w:val="00986F6B"/>
    <w:rsid w:val="00987E75"/>
    <w:rsid w:val="009909F8"/>
    <w:rsid w:val="00993452"/>
    <w:rsid w:val="00993C84"/>
    <w:rsid w:val="0099691B"/>
    <w:rsid w:val="009A370F"/>
    <w:rsid w:val="009A61AA"/>
    <w:rsid w:val="009A6D23"/>
    <w:rsid w:val="009A73E6"/>
    <w:rsid w:val="009B0004"/>
    <w:rsid w:val="009B1022"/>
    <w:rsid w:val="009B46F1"/>
    <w:rsid w:val="009C0391"/>
    <w:rsid w:val="009C0CED"/>
    <w:rsid w:val="009C217E"/>
    <w:rsid w:val="009C22F6"/>
    <w:rsid w:val="009C32C5"/>
    <w:rsid w:val="009C3887"/>
    <w:rsid w:val="009C5E94"/>
    <w:rsid w:val="009D39D6"/>
    <w:rsid w:val="009D603F"/>
    <w:rsid w:val="009D6EB8"/>
    <w:rsid w:val="009D7C66"/>
    <w:rsid w:val="009D7EC1"/>
    <w:rsid w:val="009E047A"/>
    <w:rsid w:val="009E3DCC"/>
    <w:rsid w:val="009F19ED"/>
    <w:rsid w:val="009F2884"/>
    <w:rsid w:val="009F7F07"/>
    <w:rsid w:val="00A01DA1"/>
    <w:rsid w:val="00A065EE"/>
    <w:rsid w:val="00A1147B"/>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CAE"/>
    <w:rsid w:val="00A33AA4"/>
    <w:rsid w:val="00A35300"/>
    <w:rsid w:val="00A36731"/>
    <w:rsid w:val="00A374DC"/>
    <w:rsid w:val="00A37C16"/>
    <w:rsid w:val="00A425AD"/>
    <w:rsid w:val="00A42BAF"/>
    <w:rsid w:val="00A43ADE"/>
    <w:rsid w:val="00A43ED4"/>
    <w:rsid w:val="00A44CE2"/>
    <w:rsid w:val="00A464AC"/>
    <w:rsid w:val="00A5015E"/>
    <w:rsid w:val="00A50548"/>
    <w:rsid w:val="00A51E97"/>
    <w:rsid w:val="00A549AF"/>
    <w:rsid w:val="00A61313"/>
    <w:rsid w:val="00A618BC"/>
    <w:rsid w:val="00A63699"/>
    <w:rsid w:val="00A64B71"/>
    <w:rsid w:val="00A67D53"/>
    <w:rsid w:val="00A72B9C"/>
    <w:rsid w:val="00A74B3B"/>
    <w:rsid w:val="00A811E8"/>
    <w:rsid w:val="00A81909"/>
    <w:rsid w:val="00A8516A"/>
    <w:rsid w:val="00A85636"/>
    <w:rsid w:val="00A85CD8"/>
    <w:rsid w:val="00A860BD"/>
    <w:rsid w:val="00A90B1A"/>
    <w:rsid w:val="00A9147C"/>
    <w:rsid w:val="00A94CC3"/>
    <w:rsid w:val="00A96C17"/>
    <w:rsid w:val="00A97BB2"/>
    <w:rsid w:val="00AA5105"/>
    <w:rsid w:val="00AB34A8"/>
    <w:rsid w:val="00AB4BB9"/>
    <w:rsid w:val="00AB5399"/>
    <w:rsid w:val="00AB70CC"/>
    <w:rsid w:val="00AC1E02"/>
    <w:rsid w:val="00AC3E90"/>
    <w:rsid w:val="00AC43F0"/>
    <w:rsid w:val="00AC5DDC"/>
    <w:rsid w:val="00AC7F0F"/>
    <w:rsid w:val="00AD2E31"/>
    <w:rsid w:val="00AD6699"/>
    <w:rsid w:val="00AE0DE0"/>
    <w:rsid w:val="00AE33FC"/>
    <w:rsid w:val="00AE508C"/>
    <w:rsid w:val="00AE7CD3"/>
    <w:rsid w:val="00AF2A53"/>
    <w:rsid w:val="00AF3C4E"/>
    <w:rsid w:val="00AF751C"/>
    <w:rsid w:val="00B01F22"/>
    <w:rsid w:val="00B0349E"/>
    <w:rsid w:val="00B07731"/>
    <w:rsid w:val="00B106B0"/>
    <w:rsid w:val="00B12E07"/>
    <w:rsid w:val="00B22306"/>
    <w:rsid w:val="00B22B16"/>
    <w:rsid w:val="00B25D7D"/>
    <w:rsid w:val="00B31534"/>
    <w:rsid w:val="00B34189"/>
    <w:rsid w:val="00B341E2"/>
    <w:rsid w:val="00B365AA"/>
    <w:rsid w:val="00B379F2"/>
    <w:rsid w:val="00B44D83"/>
    <w:rsid w:val="00B45963"/>
    <w:rsid w:val="00B46288"/>
    <w:rsid w:val="00B51CBF"/>
    <w:rsid w:val="00B54C11"/>
    <w:rsid w:val="00B5677A"/>
    <w:rsid w:val="00B574D6"/>
    <w:rsid w:val="00B6231A"/>
    <w:rsid w:val="00B657A3"/>
    <w:rsid w:val="00B73E99"/>
    <w:rsid w:val="00B81C92"/>
    <w:rsid w:val="00B8559B"/>
    <w:rsid w:val="00B90037"/>
    <w:rsid w:val="00B9547A"/>
    <w:rsid w:val="00B95748"/>
    <w:rsid w:val="00B95BD4"/>
    <w:rsid w:val="00BA0E62"/>
    <w:rsid w:val="00BA72D4"/>
    <w:rsid w:val="00BA75C2"/>
    <w:rsid w:val="00BB079D"/>
    <w:rsid w:val="00BB39A3"/>
    <w:rsid w:val="00BC3DE8"/>
    <w:rsid w:val="00BC5516"/>
    <w:rsid w:val="00BC6FF4"/>
    <w:rsid w:val="00BD5725"/>
    <w:rsid w:val="00BD7663"/>
    <w:rsid w:val="00BE0F5E"/>
    <w:rsid w:val="00BE1F4B"/>
    <w:rsid w:val="00BE2E6F"/>
    <w:rsid w:val="00BE4F58"/>
    <w:rsid w:val="00BE7468"/>
    <w:rsid w:val="00BE7924"/>
    <w:rsid w:val="00BE7A59"/>
    <w:rsid w:val="00BE7C32"/>
    <w:rsid w:val="00BF1A7E"/>
    <w:rsid w:val="00BF55EB"/>
    <w:rsid w:val="00C04AC2"/>
    <w:rsid w:val="00C0505E"/>
    <w:rsid w:val="00C06E25"/>
    <w:rsid w:val="00C1231A"/>
    <w:rsid w:val="00C12D14"/>
    <w:rsid w:val="00C13E2D"/>
    <w:rsid w:val="00C14822"/>
    <w:rsid w:val="00C14EEE"/>
    <w:rsid w:val="00C16100"/>
    <w:rsid w:val="00C16EB4"/>
    <w:rsid w:val="00C1772F"/>
    <w:rsid w:val="00C201BF"/>
    <w:rsid w:val="00C21079"/>
    <w:rsid w:val="00C235A4"/>
    <w:rsid w:val="00C23854"/>
    <w:rsid w:val="00C257F9"/>
    <w:rsid w:val="00C268CF"/>
    <w:rsid w:val="00C30D53"/>
    <w:rsid w:val="00C32092"/>
    <w:rsid w:val="00C34A12"/>
    <w:rsid w:val="00C40AD6"/>
    <w:rsid w:val="00C442D7"/>
    <w:rsid w:val="00C4797A"/>
    <w:rsid w:val="00C51A1B"/>
    <w:rsid w:val="00C547BC"/>
    <w:rsid w:val="00C54B44"/>
    <w:rsid w:val="00C55983"/>
    <w:rsid w:val="00C60067"/>
    <w:rsid w:val="00C6173F"/>
    <w:rsid w:val="00C63A62"/>
    <w:rsid w:val="00C72135"/>
    <w:rsid w:val="00C72854"/>
    <w:rsid w:val="00C74362"/>
    <w:rsid w:val="00C76826"/>
    <w:rsid w:val="00C8033B"/>
    <w:rsid w:val="00C82DEE"/>
    <w:rsid w:val="00C835B4"/>
    <w:rsid w:val="00CA04F2"/>
    <w:rsid w:val="00CA1825"/>
    <w:rsid w:val="00CA1EAB"/>
    <w:rsid w:val="00CA1F3D"/>
    <w:rsid w:val="00CA3545"/>
    <w:rsid w:val="00CA4F6B"/>
    <w:rsid w:val="00CA5D27"/>
    <w:rsid w:val="00CA7897"/>
    <w:rsid w:val="00CB23AC"/>
    <w:rsid w:val="00CB5CB9"/>
    <w:rsid w:val="00CB63B5"/>
    <w:rsid w:val="00CC00FF"/>
    <w:rsid w:val="00CC28CF"/>
    <w:rsid w:val="00CC4728"/>
    <w:rsid w:val="00CC5843"/>
    <w:rsid w:val="00CC7A83"/>
    <w:rsid w:val="00CD2F8A"/>
    <w:rsid w:val="00CE5C10"/>
    <w:rsid w:val="00CE7434"/>
    <w:rsid w:val="00CF0378"/>
    <w:rsid w:val="00CF228E"/>
    <w:rsid w:val="00CF25EF"/>
    <w:rsid w:val="00D02A5B"/>
    <w:rsid w:val="00D032CD"/>
    <w:rsid w:val="00D10CB0"/>
    <w:rsid w:val="00D1146A"/>
    <w:rsid w:val="00D124BE"/>
    <w:rsid w:val="00D126C9"/>
    <w:rsid w:val="00D16290"/>
    <w:rsid w:val="00D17B64"/>
    <w:rsid w:val="00D22106"/>
    <w:rsid w:val="00D22570"/>
    <w:rsid w:val="00D22A85"/>
    <w:rsid w:val="00D22D4A"/>
    <w:rsid w:val="00D273FC"/>
    <w:rsid w:val="00D30BA4"/>
    <w:rsid w:val="00D31B8B"/>
    <w:rsid w:val="00D32D93"/>
    <w:rsid w:val="00D3310E"/>
    <w:rsid w:val="00D332CB"/>
    <w:rsid w:val="00D334F3"/>
    <w:rsid w:val="00D35A7B"/>
    <w:rsid w:val="00D3611F"/>
    <w:rsid w:val="00D4403B"/>
    <w:rsid w:val="00D46AFB"/>
    <w:rsid w:val="00D5099E"/>
    <w:rsid w:val="00D50DE5"/>
    <w:rsid w:val="00D5130B"/>
    <w:rsid w:val="00D51CC0"/>
    <w:rsid w:val="00D535BF"/>
    <w:rsid w:val="00D6012D"/>
    <w:rsid w:val="00D6069A"/>
    <w:rsid w:val="00D60F50"/>
    <w:rsid w:val="00D61F55"/>
    <w:rsid w:val="00D6319B"/>
    <w:rsid w:val="00D65FED"/>
    <w:rsid w:val="00D66185"/>
    <w:rsid w:val="00D77A92"/>
    <w:rsid w:val="00D83520"/>
    <w:rsid w:val="00D873EB"/>
    <w:rsid w:val="00D91F0D"/>
    <w:rsid w:val="00D928FF"/>
    <w:rsid w:val="00D92D55"/>
    <w:rsid w:val="00D94734"/>
    <w:rsid w:val="00D95397"/>
    <w:rsid w:val="00D970EC"/>
    <w:rsid w:val="00D974A2"/>
    <w:rsid w:val="00DA0904"/>
    <w:rsid w:val="00DA10DF"/>
    <w:rsid w:val="00DA1F3A"/>
    <w:rsid w:val="00DA5B92"/>
    <w:rsid w:val="00DA6EAE"/>
    <w:rsid w:val="00DA7BF3"/>
    <w:rsid w:val="00DB24C6"/>
    <w:rsid w:val="00DB5811"/>
    <w:rsid w:val="00DC2B43"/>
    <w:rsid w:val="00DC2BDA"/>
    <w:rsid w:val="00DC386E"/>
    <w:rsid w:val="00DC4802"/>
    <w:rsid w:val="00DC532C"/>
    <w:rsid w:val="00DC7C13"/>
    <w:rsid w:val="00DD2A2E"/>
    <w:rsid w:val="00DD2EF6"/>
    <w:rsid w:val="00DE39BD"/>
    <w:rsid w:val="00DE3FBE"/>
    <w:rsid w:val="00DF1B6A"/>
    <w:rsid w:val="00DF3CAE"/>
    <w:rsid w:val="00DF52B2"/>
    <w:rsid w:val="00DF69DF"/>
    <w:rsid w:val="00DF6C43"/>
    <w:rsid w:val="00DF7313"/>
    <w:rsid w:val="00E01A7B"/>
    <w:rsid w:val="00E031B1"/>
    <w:rsid w:val="00E045C6"/>
    <w:rsid w:val="00E045E3"/>
    <w:rsid w:val="00E1456F"/>
    <w:rsid w:val="00E1476B"/>
    <w:rsid w:val="00E14E5A"/>
    <w:rsid w:val="00E15BA2"/>
    <w:rsid w:val="00E24B3B"/>
    <w:rsid w:val="00E304DE"/>
    <w:rsid w:val="00E32350"/>
    <w:rsid w:val="00E3235B"/>
    <w:rsid w:val="00E331F9"/>
    <w:rsid w:val="00E33C38"/>
    <w:rsid w:val="00E350C9"/>
    <w:rsid w:val="00E41115"/>
    <w:rsid w:val="00E415DE"/>
    <w:rsid w:val="00E417C8"/>
    <w:rsid w:val="00E41EB9"/>
    <w:rsid w:val="00E444A2"/>
    <w:rsid w:val="00E55639"/>
    <w:rsid w:val="00E55A00"/>
    <w:rsid w:val="00E57A7A"/>
    <w:rsid w:val="00E65F2A"/>
    <w:rsid w:val="00E660F2"/>
    <w:rsid w:val="00E702D3"/>
    <w:rsid w:val="00E729F4"/>
    <w:rsid w:val="00E72CAE"/>
    <w:rsid w:val="00E7303A"/>
    <w:rsid w:val="00E76F24"/>
    <w:rsid w:val="00E837B1"/>
    <w:rsid w:val="00E85FE6"/>
    <w:rsid w:val="00E87DF8"/>
    <w:rsid w:val="00E9207F"/>
    <w:rsid w:val="00E9214C"/>
    <w:rsid w:val="00E92FBE"/>
    <w:rsid w:val="00E93483"/>
    <w:rsid w:val="00E93E06"/>
    <w:rsid w:val="00E94F42"/>
    <w:rsid w:val="00E96C39"/>
    <w:rsid w:val="00EA0FFE"/>
    <w:rsid w:val="00EA39F0"/>
    <w:rsid w:val="00EA4DD9"/>
    <w:rsid w:val="00EA6E7C"/>
    <w:rsid w:val="00EB07F0"/>
    <w:rsid w:val="00EB39B8"/>
    <w:rsid w:val="00EB4472"/>
    <w:rsid w:val="00EB5073"/>
    <w:rsid w:val="00EB7EA5"/>
    <w:rsid w:val="00EC3364"/>
    <w:rsid w:val="00EC4880"/>
    <w:rsid w:val="00EC729D"/>
    <w:rsid w:val="00ED0B96"/>
    <w:rsid w:val="00ED1B83"/>
    <w:rsid w:val="00ED1DAB"/>
    <w:rsid w:val="00ED3784"/>
    <w:rsid w:val="00ED38F0"/>
    <w:rsid w:val="00ED4118"/>
    <w:rsid w:val="00EE16BD"/>
    <w:rsid w:val="00EE683D"/>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204BD"/>
    <w:rsid w:val="00F2067C"/>
    <w:rsid w:val="00F20712"/>
    <w:rsid w:val="00F2265E"/>
    <w:rsid w:val="00F23724"/>
    <w:rsid w:val="00F24955"/>
    <w:rsid w:val="00F24D9B"/>
    <w:rsid w:val="00F263C9"/>
    <w:rsid w:val="00F32E4D"/>
    <w:rsid w:val="00F35440"/>
    <w:rsid w:val="00F37EAA"/>
    <w:rsid w:val="00F40518"/>
    <w:rsid w:val="00F4064C"/>
    <w:rsid w:val="00F53A9D"/>
    <w:rsid w:val="00F53AA3"/>
    <w:rsid w:val="00F545BC"/>
    <w:rsid w:val="00F57B0E"/>
    <w:rsid w:val="00F60F73"/>
    <w:rsid w:val="00F61D30"/>
    <w:rsid w:val="00F63D4F"/>
    <w:rsid w:val="00F76F11"/>
    <w:rsid w:val="00F771A3"/>
    <w:rsid w:val="00F83D6D"/>
    <w:rsid w:val="00F84802"/>
    <w:rsid w:val="00F85569"/>
    <w:rsid w:val="00F85A8C"/>
    <w:rsid w:val="00F909CA"/>
    <w:rsid w:val="00F927CD"/>
    <w:rsid w:val="00F92A52"/>
    <w:rsid w:val="00F94094"/>
    <w:rsid w:val="00F95B2C"/>
    <w:rsid w:val="00F96D99"/>
    <w:rsid w:val="00F97077"/>
    <w:rsid w:val="00FA38DF"/>
    <w:rsid w:val="00FA44E2"/>
    <w:rsid w:val="00FA71F1"/>
    <w:rsid w:val="00FA72BF"/>
    <w:rsid w:val="00FB0DB2"/>
    <w:rsid w:val="00FB2FBA"/>
    <w:rsid w:val="00FB308F"/>
    <w:rsid w:val="00FB3157"/>
    <w:rsid w:val="00FB334F"/>
    <w:rsid w:val="00FB4E9E"/>
    <w:rsid w:val="00FB5BCB"/>
    <w:rsid w:val="00FB70E3"/>
    <w:rsid w:val="00FC0FDE"/>
    <w:rsid w:val="00FC1EEA"/>
    <w:rsid w:val="00FC3377"/>
    <w:rsid w:val="00FD30AA"/>
    <w:rsid w:val="00FD3D65"/>
    <w:rsid w:val="00FD5AAC"/>
    <w:rsid w:val="00FD65DD"/>
    <w:rsid w:val="00FD68D0"/>
    <w:rsid w:val="00FD7606"/>
    <w:rsid w:val="00FD7FCC"/>
    <w:rsid w:val="00FE1361"/>
    <w:rsid w:val="00FE2F02"/>
    <w:rsid w:val="00FE40C2"/>
    <w:rsid w:val="00FE522F"/>
    <w:rsid w:val="00FE5CBC"/>
    <w:rsid w:val="00FE5EE4"/>
    <w:rsid w:val="00FE790B"/>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D3630"/>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Hartm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22D3-23F5-4B8B-A962-850D7523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17855</Words>
  <Characters>10178</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Olga Sanda Jurča</dc:creator>
  <cp:keywords/>
  <dc:description>Gunta.Puzule@fm.gov.lv_x000d_
Tālr. Nr. 67095521</dc:description>
  <cp:lastModifiedBy>Laimdota Adlere</cp:lastModifiedBy>
  <cp:revision>2</cp:revision>
  <cp:lastPrinted>2020-06-18T14:35:00Z</cp:lastPrinted>
  <dcterms:created xsi:type="dcterms:W3CDTF">2020-09-30T09:55:00Z</dcterms:created>
  <dcterms:modified xsi:type="dcterms:W3CDTF">2020-09-30T09:55:00Z</dcterms:modified>
  <cp:contentStatus/>
</cp:coreProperties>
</file>