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AA0C" w14:textId="77777777" w:rsidR="007116C7" w:rsidRDefault="007116C7" w:rsidP="008E38F0">
      <w:pPr>
        <w:pStyle w:val="naisnod"/>
        <w:spacing w:before="0" w:after="60"/>
        <w:ind w:firstLine="720"/>
        <w:rPr>
          <w:sz w:val="28"/>
          <w:szCs w:val="28"/>
        </w:rPr>
      </w:pPr>
      <w:r w:rsidRPr="00712B66">
        <w:rPr>
          <w:sz w:val="28"/>
          <w:szCs w:val="28"/>
        </w:rPr>
        <w:t>Izziņa par atzinumos sniegtajiem iebildumiem</w:t>
      </w:r>
    </w:p>
    <w:tbl>
      <w:tblPr>
        <w:tblW w:w="0" w:type="auto"/>
        <w:jc w:val="center"/>
        <w:tblLook w:val="00A0" w:firstRow="1" w:lastRow="0" w:firstColumn="1" w:lastColumn="0" w:noHBand="0" w:noVBand="0"/>
      </w:tblPr>
      <w:tblGrid>
        <w:gridCol w:w="10188"/>
      </w:tblGrid>
      <w:tr w:rsidR="00214D9A" w:rsidRPr="00214D9A" w14:paraId="50CF32D3" w14:textId="77777777" w:rsidTr="00214D9A">
        <w:trPr>
          <w:jc w:val="center"/>
        </w:trPr>
        <w:tc>
          <w:tcPr>
            <w:tcW w:w="10188" w:type="dxa"/>
            <w:tcBorders>
              <w:bottom w:val="single" w:sz="6" w:space="0" w:color="000000"/>
            </w:tcBorders>
          </w:tcPr>
          <w:p w14:paraId="59E567E2" w14:textId="77777777" w:rsidR="00214D9A" w:rsidRPr="00214D9A" w:rsidRDefault="00073ABB" w:rsidP="00AD01AA">
            <w:pPr>
              <w:jc w:val="center"/>
              <w:rPr>
                <w:b/>
                <w:bCs/>
                <w:sz w:val="28"/>
                <w:szCs w:val="28"/>
              </w:rPr>
            </w:pPr>
            <w:r w:rsidRPr="003F4664">
              <w:rPr>
                <w:b/>
                <w:bCs/>
                <w:sz w:val="28"/>
                <w:szCs w:val="28"/>
              </w:rPr>
              <w:t>Likum</w:t>
            </w:r>
            <w:r>
              <w:rPr>
                <w:b/>
                <w:bCs/>
                <w:sz w:val="28"/>
                <w:szCs w:val="28"/>
              </w:rPr>
              <w:t xml:space="preserve">projekts </w:t>
            </w:r>
            <w:r w:rsidRPr="003F4664">
              <w:rPr>
                <w:b/>
                <w:bCs/>
                <w:sz w:val="28"/>
                <w:szCs w:val="28"/>
              </w:rPr>
              <w:t>"Grozījumi Likumā par budžetu un finanšu vadību"</w:t>
            </w:r>
          </w:p>
        </w:tc>
      </w:tr>
    </w:tbl>
    <w:p w14:paraId="37DDADCE" w14:textId="77777777" w:rsidR="007B4C0F" w:rsidRDefault="007B4C0F" w:rsidP="00DB7395">
      <w:pPr>
        <w:pStyle w:val="naisf"/>
        <w:spacing w:before="0" w:after="0"/>
        <w:ind w:firstLine="720"/>
      </w:pPr>
    </w:p>
    <w:p w14:paraId="4E6199EB" w14:textId="77777777" w:rsidR="007B4C0F" w:rsidRPr="00712B66" w:rsidRDefault="007B4C0F" w:rsidP="008E38F0">
      <w:pPr>
        <w:pStyle w:val="naisf"/>
        <w:spacing w:before="0" w:after="6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3118"/>
        <w:gridCol w:w="2977"/>
        <w:gridCol w:w="2268"/>
        <w:gridCol w:w="2693"/>
      </w:tblGrid>
      <w:tr w:rsidR="005F4BFD" w:rsidRPr="00712B66" w14:paraId="3021D124" w14:textId="77777777" w:rsidTr="00841BD3">
        <w:tc>
          <w:tcPr>
            <w:tcW w:w="708" w:type="dxa"/>
            <w:tcBorders>
              <w:top w:val="single" w:sz="6" w:space="0" w:color="000000"/>
              <w:left w:val="single" w:sz="6" w:space="0" w:color="000000"/>
              <w:bottom w:val="single" w:sz="6" w:space="0" w:color="000000"/>
              <w:right w:val="single" w:sz="6" w:space="0" w:color="000000"/>
            </w:tcBorders>
            <w:vAlign w:val="center"/>
          </w:tcPr>
          <w:p w14:paraId="115A9D4C" w14:textId="77777777" w:rsidR="005F4BFD" w:rsidRPr="00712B66" w:rsidRDefault="005F4BFD" w:rsidP="0036160E">
            <w:pPr>
              <w:pStyle w:val="naisc"/>
              <w:spacing w:before="0" w:after="0"/>
            </w:pPr>
            <w:r w:rsidRPr="00712B66">
              <w:t>Nr. p.</w:t>
            </w:r>
            <w:r w:rsidR="00D64FB0">
              <w:t> </w:t>
            </w:r>
            <w:r w:rsidRPr="00712B66">
              <w:t>k.</w:t>
            </w:r>
          </w:p>
        </w:tc>
        <w:tc>
          <w:tcPr>
            <w:tcW w:w="3228" w:type="dxa"/>
            <w:tcBorders>
              <w:top w:val="single" w:sz="6" w:space="0" w:color="000000"/>
              <w:left w:val="single" w:sz="6" w:space="0" w:color="000000"/>
              <w:bottom w:val="single" w:sz="6" w:space="0" w:color="000000"/>
              <w:right w:val="single" w:sz="6" w:space="0" w:color="000000"/>
            </w:tcBorders>
            <w:vAlign w:val="center"/>
          </w:tcPr>
          <w:p w14:paraId="5C5126AD"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045B24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CD56286"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21319DE0" w14:textId="77777777" w:rsidR="005F4BFD" w:rsidRPr="00712B66" w:rsidRDefault="005F4BFD" w:rsidP="00364BB6">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07826322" w14:textId="77777777" w:rsidR="005F4BFD" w:rsidRPr="00712B66" w:rsidRDefault="005F4BFD" w:rsidP="00364BB6">
            <w:pPr>
              <w:jc w:val="center"/>
            </w:pPr>
            <w:r w:rsidRPr="00712B66">
              <w:t>Projekta attiecīgā punkta (panta) galīgā redakcija</w:t>
            </w:r>
          </w:p>
        </w:tc>
      </w:tr>
      <w:tr w:rsidR="005F4BFD" w:rsidRPr="008A36C9" w14:paraId="1686991D" w14:textId="77777777" w:rsidTr="00841BD3">
        <w:tc>
          <w:tcPr>
            <w:tcW w:w="708" w:type="dxa"/>
            <w:tcBorders>
              <w:top w:val="single" w:sz="6" w:space="0" w:color="000000"/>
              <w:left w:val="single" w:sz="6" w:space="0" w:color="000000"/>
              <w:bottom w:val="single" w:sz="6" w:space="0" w:color="000000"/>
              <w:right w:val="single" w:sz="6" w:space="0" w:color="000000"/>
            </w:tcBorders>
          </w:tcPr>
          <w:p w14:paraId="1C6117FD" w14:textId="77777777" w:rsidR="005F4BFD" w:rsidRPr="008A36C9" w:rsidRDefault="008A36C9" w:rsidP="008A36C9">
            <w:pPr>
              <w:pStyle w:val="naisc"/>
              <w:spacing w:before="0" w:after="0"/>
              <w:rPr>
                <w:sz w:val="20"/>
                <w:szCs w:val="20"/>
              </w:rPr>
            </w:pPr>
            <w:r w:rsidRPr="008A36C9">
              <w:rPr>
                <w:sz w:val="20"/>
                <w:szCs w:val="20"/>
              </w:rPr>
              <w:t>1</w:t>
            </w:r>
          </w:p>
        </w:tc>
        <w:tc>
          <w:tcPr>
            <w:tcW w:w="3228" w:type="dxa"/>
            <w:tcBorders>
              <w:top w:val="single" w:sz="6" w:space="0" w:color="000000"/>
              <w:left w:val="single" w:sz="6" w:space="0" w:color="000000"/>
              <w:bottom w:val="single" w:sz="6" w:space="0" w:color="000000"/>
              <w:right w:val="single" w:sz="6" w:space="0" w:color="000000"/>
            </w:tcBorders>
          </w:tcPr>
          <w:p w14:paraId="53E20A71" w14:textId="77777777" w:rsidR="005F4BFD" w:rsidRPr="008A36C9" w:rsidRDefault="008A36C9" w:rsidP="009B6716">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1B78079" w14:textId="77777777" w:rsidR="005F4BFD" w:rsidRPr="008A36C9" w:rsidRDefault="008A36C9" w:rsidP="009B6716">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7C85942" w14:textId="77777777" w:rsidR="005F4BFD" w:rsidRPr="008A36C9" w:rsidRDefault="008A36C9" w:rsidP="009B6716">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C14EE66" w14:textId="77777777" w:rsidR="005F4BFD" w:rsidRPr="008A36C9" w:rsidRDefault="008A36C9" w:rsidP="008A36C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14:paraId="4A0AAC73" w14:textId="77777777" w:rsidR="005F4BFD" w:rsidRPr="008A36C9" w:rsidRDefault="008A36C9" w:rsidP="008A36C9">
            <w:pPr>
              <w:jc w:val="center"/>
              <w:rPr>
                <w:sz w:val="20"/>
                <w:szCs w:val="20"/>
              </w:rPr>
            </w:pPr>
            <w:r w:rsidRPr="008A36C9">
              <w:rPr>
                <w:sz w:val="20"/>
                <w:szCs w:val="20"/>
              </w:rPr>
              <w:t>6</w:t>
            </w:r>
          </w:p>
        </w:tc>
      </w:tr>
      <w:tr w:rsidR="00483002" w:rsidRPr="00712B66" w14:paraId="1F9AD7F7" w14:textId="77777777" w:rsidTr="00841BD3">
        <w:tc>
          <w:tcPr>
            <w:tcW w:w="708" w:type="dxa"/>
            <w:tcBorders>
              <w:left w:val="single" w:sz="6" w:space="0" w:color="000000"/>
              <w:bottom w:val="single" w:sz="4" w:space="0" w:color="auto"/>
              <w:right w:val="single" w:sz="6" w:space="0" w:color="000000"/>
            </w:tcBorders>
          </w:tcPr>
          <w:p w14:paraId="44AC9F23" w14:textId="77777777" w:rsidR="00483002" w:rsidRPr="00712B66" w:rsidRDefault="00483002" w:rsidP="0036160E">
            <w:pPr>
              <w:pStyle w:val="naisc"/>
              <w:spacing w:before="0" w:after="0"/>
              <w:ind w:firstLine="720"/>
            </w:pPr>
          </w:p>
        </w:tc>
        <w:tc>
          <w:tcPr>
            <w:tcW w:w="14284" w:type="dxa"/>
            <w:gridSpan w:val="5"/>
            <w:tcBorders>
              <w:left w:val="single" w:sz="6" w:space="0" w:color="000000"/>
              <w:bottom w:val="single" w:sz="4" w:space="0" w:color="auto"/>
            </w:tcBorders>
          </w:tcPr>
          <w:p w14:paraId="2D61E4FF" w14:textId="77777777" w:rsidR="00483002" w:rsidRPr="00712B66" w:rsidRDefault="0049294E" w:rsidP="00483002">
            <w:pPr>
              <w:jc w:val="center"/>
            </w:pPr>
            <w:r>
              <w:t>Nav</w:t>
            </w:r>
          </w:p>
        </w:tc>
      </w:tr>
    </w:tbl>
    <w:p w14:paraId="125BE398" w14:textId="77777777" w:rsidR="007B4C0F" w:rsidRPr="00712B66" w:rsidRDefault="007B4C0F" w:rsidP="007B4C0F">
      <w:pPr>
        <w:pStyle w:val="naisf"/>
        <w:spacing w:before="0" w:after="0"/>
        <w:ind w:firstLine="0"/>
      </w:pPr>
    </w:p>
    <w:p w14:paraId="6A36EEEB" w14:textId="77777777" w:rsidR="005D67F7" w:rsidRPr="00712B66" w:rsidRDefault="005D67F7" w:rsidP="005D67F7">
      <w:pPr>
        <w:pStyle w:val="naisf"/>
        <w:spacing w:before="0" w:after="0"/>
        <w:ind w:firstLine="0"/>
        <w:rPr>
          <w:b/>
        </w:rPr>
      </w:pPr>
      <w:r w:rsidRPr="00712B66">
        <w:rPr>
          <w:b/>
        </w:rPr>
        <w:t>Informācija par starpministr</w:t>
      </w:r>
      <w:r w:rsidR="00214D9A">
        <w:rPr>
          <w:b/>
        </w:rPr>
        <w:t>iju (starpinstitūciju) sanāksmi</w:t>
      </w:r>
      <w:r w:rsidR="00A34E56">
        <w:rPr>
          <w:b/>
        </w:rPr>
        <w:t xml:space="preserve"> vai </w:t>
      </w:r>
      <w:r w:rsidR="00A34E56" w:rsidRPr="001A1C01">
        <w:rPr>
          <w:b/>
          <w:u w:val="single"/>
        </w:rPr>
        <w:t>elektronisko saskaņošanu</w:t>
      </w:r>
    </w:p>
    <w:p w14:paraId="5878B01F" w14:textId="77777777" w:rsidR="005D67F7" w:rsidRPr="00712B66" w:rsidRDefault="005D67F7" w:rsidP="005D67F7">
      <w:pPr>
        <w:pStyle w:val="naisf"/>
        <w:spacing w:before="0" w:after="0"/>
        <w:ind w:firstLine="0"/>
        <w:rPr>
          <w:b/>
        </w:rPr>
      </w:pPr>
    </w:p>
    <w:tbl>
      <w:tblPr>
        <w:tblW w:w="14992" w:type="dxa"/>
        <w:tblLook w:val="00A0" w:firstRow="1" w:lastRow="0" w:firstColumn="1" w:lastColumn="0" w:noHBand="0" w:noVBand="0"/>
      </w:tblPr>
      <w:tblGrid>
        <w:gridCol w:w="6375"/>
        <w:gridCol w:w="75"/>
        <w:gridCol w:w="8259"/>
        <w:gridCol w:w="283"/>
      </w:tblGrid>
      <w:tr w:rsidR="00C75B5A" w:rsidRPr="00712B66" w14:paraId="3C6F1E5E" w14:textId="77777777" w:rsidTr="00C75B5A">
        <w:tc>
          <w:tcPr>
            <w:tcW w:w="6375" w:type="dxa"/>
          </w:tcPr>
          <w:p w14:paraId="29096DAE" w14:textId="77777777" w:rsidR="00C75B5A" w:rsidRPr="00712B66" w:rsidRDefault="00C75B5A" w:rsidP="005D67F7">
            <w:pPr>
              <w:pStyle w:val="naisf"/>
              <w:spacing w:before="0" w:after="0"/>
              <w:ind w:firstLine="0"/>
            </w:pPr>
            <w:r w:rsidRPr="00712B66">
              <w:t>Datums</w:t>
            </w:r>
          </w:p>
        </w:tc>
        <w:tc>
          <w:tcPr>
            <w:tcW w:w="8617" w:type="dxa"/>
            <w:gridSpan w:val="3"/>
          </w:tcPr>
          <w:p w14:paraId="69C16C92" w14:textId="772E65D0" w:rsidR="00C75B5A" w:rsidRPr="00712B66" w:rsidRDefault="001D0440" w:rsidP="00CD6F4D">
            <w:pPr>
              <w:pStyle w:val="NormalWeb"/>
              <w:spacing w:before="0" w:beforeAutospacing="0" w:after="0" w:afterAutospacing="0"/>
            </w:pPr>
            <w:r>
              <w:t>2020</w:t>
            </w:r>
            <w:r w:rsidR="00977FCD">
              <w:t xml:space="preserve">.gada </w:t>
            </w:r>
            <w:r>
              <w:t>1</w:t>
            </w:r>
            <w:r w:rsidR="00CD6F4D">
              <w:t>4</w:t>
            </w:r>
            <w:r w:rsidR="00D00D27">
              <w:t>.</w:t>
            </w:r>
            <w:r w:rsidR="005A2818">
              <w:t>septembrī</w:t>
            </w:r>
          </w:p>
        </w:tc>
      </w:tr>
      <w:tr w:rsidR="003C27A2" w:rsidRPr="00712B66" w14:paraId="06C3F0DB" w14:textId="77777777" w:rsidTr="00C75B5A">
        <w:tc>
          <w:tcPr>
            <w:tcW w:w="6375" w:type="dxa"/>
          </w:tcPr>
          <w:p w14:paraId="0DECC342" w14:textId="77777777" w:rsidR="003C27A2" w:rsidRPr="00712B66" w:rsidRDefault="003C27A2" w:rsidP="007B4C0F">
            <w:pPr>
              <w:pStyle w:val="naisf"/>
              <w:spacing w:before="0" w:after="0"/>
              <w:ind w:firstLine="0"/>
            </w:pPr>
          </w:p>
        </w:tc>
        <w:tc>
          <w:tcPr>
            <w:tcW w:w="8617" w:type="dxa"/>
            <w:gridSpan w:val="3"/>
          </w:tcPr>
          <w:p w14:paraId="4F0B7CEA" w14:textId="77777777" w:rsidR="003C27A2" w:rsidRPr="00C75B5A" w:rsidRDefault="003C27A2" w:rsidP="001836B8">
            <w:pPr>
              <w:pStyle w:val="NormalWeb"/>
              <w:spacing w:before="0" w:beforeAutospacing="0" w:after="0" w:afterAutospacing="0"/>
              <w:ind w:firstLine="720"/>
              <w:rPr>
                <w:sz w:val="20"/>
                <w:szCs w:val="20"/>
              </w:rPr>
            </w:pPr>
          </w:p>
        </w:tc>
      </w:tr>
      <w:tr w:rsidR="007B4C0F" w:rsidRPr="00712B66" w14:paraId="0BFED758" w14:textId="77777777" w:rsidTr="00C75B5A">
        <w:tc>
          <w:tcPr>
            <w:tcW w:w="6375" w:type="dxa"/>
          </w:tcPr>
          <w:p w14:paraId="25FBBEDA" w14:textId="77777777" w:rsidR="007B4C0F" w:rsidRPr="00712B66" w:rsidRDefault="00365CC0" w:rsidP="003C27A2">
            <w:pPr>
              <w:pStyle w:val="naiskr"/>
              <w:spacing w:before="0" w:after="0"/>
            </w:pPr>
            <w:r>
              <w:t>Saskaņošanas d</w:t>
            </w:r>
            <w:r w:rsidRPr="00712B66">
              <w:t>alībnieki</w:t>
            </w:r>
          </w:p>
        </w:tc>
        <w:tc>
          <w:tcPr>
            <w:tcW w:w="8617" w:type="dxa"/>
            <w:gridSpan w:val="3"/>
          </w:tcPr>
          <w:p w14:paraId="45D57B00" w14:textId="77777777" w:rsidR="00B033E3" w:rsidRDefault="00B033E3" w:rsidP="00717AC1">
            <w:pPr>
              <w:pStyle w:val="NormalWeb"/>
              <w:spacing w:before="0" w:beforeAutospacing="0" w:after="0" w:afterAutospacing="0"/>
              <w:jc w:val="both"/>
            </w:pPr>
            <w:r w:rsidRPr="00B033E3">
              <w:t xml:space="preserve">Valsts prezidenta kanceleja, LR Saeimas administrācija, Valsts kanceleja, </w:t>
            </w:r>
            <w:r>
              <w:t xml:space="preserve">Korupcijas novēršanas un apkarošanas birojs, </w:t>
            </w:r>
            <w:r w:rsidRPr="00B033E3">
              <w:t xml:space="preserve">LR Tiesībsargs, Sabiedrības integrācijas fonds, Sabiedrisko pakalpojumu regulēšanas komisija, Aizsardzības ministrija, Ārlietu ministrija, Ekonomikas ministrija, Iekšlietu ministrija, Izglītības un zinātnes ministrija, </w:t>
            </w:r>
            <w:r w:rsidR="004C7C10" w:rsidRPr="00B033E3">
              <w:t xml:space="preserve">Kultūras ministrija, Labklājības ministrija, </w:t>
            </w:r>
            <w:r w:rsidRPr="00B033E3">
              <w:t xml:space="preserve">Satiksmes ministrija, Tieslietu ministrija, Vides aizsardzības un reģionālās attīstības ministrija, </w:t>
            </w:r>
            <w:r w:rsidR="004C7C10" w:rsidRPr="00B033E3">
              <w:t xml:space="preserve">Veselības ministrija, Zemkopības ministrija, </w:t>
            </w:r>
            <w:r>
              <w:t xml:space="preserve">Valsts kontrole, </w:t>
            </w:r>
            <w:r w:rsidRPr="00B033E3">
              <w:t>Pārresoru koordinācijas centrs, Augstākā tiesa, LR Satversmes tiesa, LR prokuratūra, Centrālā vēlēšanu komisija, Centrālā zemes komisija</w:t>
            </w:r>
            <w:r w:rsidR="00D65653">
              <w:t>,</w:t>
            </w:r>
            <w:r w:rsidRPr="00B033E3">
              <w:t xml:space="preserve"> Nacionālā elektronisko plašsaziņas līdzekļu padome</w:t>
            </w:r>
            <w:r w:rsidR="00B11C0D">
              <w:t>, Nodrošinājuma valsts aģentūra</w:t>
            </w:r>
            <w:r w:rsidR="00D65653">
              <w:t xml:space="preserve"> </w:t>
            </w:r>
            <w:r w:rsidR="001B3FDC">
              <w:t>un Latvijas Pašvaldību savienība</w:t>
            </w:r>
          </w:p>
          <w:p w14:paraId="29DC859E" w14:textId="77777777" w:rsidR="00C75B5A" w:rsidRPr="00C75B5A" w:rsidRDefault="00C75B5A" w:rsidP="00B033E3">
            <w:pPr>
              <w:pStyle w:val="NormalWeb"/>
              <w:spacing w:before="0" w:beforeAutospacing="0" w:after="0" w:afterAutospacing="0"/>
              <w:rPr>
                <w:sz w:val="20"/>
                <w:szCs w:val="20"/>
              </w:rPr>
            </w:pPr>
          </w:p>
        </w:tc>
      </w:tr>
      <w:tr w:rsidR="007B4C0F" w:rsidRPr="00712B66" w14:paraId="02F94B13" w14:textId="77777777" w:rsidTr="00717AC1">
        <w:trPr>
          <w:trHeight w:val="285"/>
        </w:trPr>
        <w:tc>
          <w:tcPr>
            <w:tcW w:w="6450" w:type="dxa"/>
            <w:gridSpan w:val="2"/>
          </w:tcPr>
          <w:p w14:paraId="4A97EF62" w14:textId="77777777" w:rsidR="00B033E3" w:rsidRPr="00712B66" w:rsidRDefault="00365CC0" w:rsidP="001836B8">
            <w:pPr>
              <w:pStyle w:val="naiskr"/>
              <w:spacing w:before="0" w:after="6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259" w:type="dxa"/>
          </w:tcPr>
          <w:p w14:paraId="41C76715" w14:textId="429CA282" w:rsidR="007B4C0F" w:rsidRPr="00712B66" w:rsidRDefault="00740331" w:rsidP="00717AC1">
            <w:pPr>
              <w:pStyle w:val="naiskr"/>
              <w:spacing w:before="0" w:after="0"/>
              <w:jc w:val="both"/>
            </w:pPr>
            <w:r w:rsidRPr="00B033E3">
              <w:t>Vides aizsardzības un reģionālās attīstības ministrija</w:t>
            </w:r>
            <w:r>
              <w:t xml:space="preserve">, </w:t>
            </w:r>
            <w:r w:rsidRPr="00740331">
              <w:t>Iekšlietu ministrija</w:t>
            </w:r>
            <w:r>
              <w:t xml:space="preserve">, </w:t>
            </w:r>
            <w:r w:rsidRPr="00740331">
              <w:t>Aizsardzības ministrija</w:t>
            </w:r>
            <w:r>
              <w:t xml:space="preserve">, </w:t>
            </w:r>
            <w:r w:rsidRPr="00740331">
              <w:t>Tieslietu ministrija</w:t>
            </w:r>
            <w:r>
              <w:t xml:space="preserve">, </w:t>
            </w:r>
            <w:r w:rsidRPr="00740331">
              <w:t>Zemkopības ministrija</w:t>
            </w:r>
            <w:r>
              <w:t xml:space="preserve">, </w:t>
            </w:r>
            <w:r w:rsidRPr="00740331">
              <w:t>Veselības ministrija</w:t>
            </w:r>
            <w:r>
              <w:t xml:space="preserve">, </w:t>
            </w:r>
            <w:r w:rsidRPr="00740331">
              <w:t>Labklājības ministrija</w:t>
            </w:r>
            <w:r>
              <w:t xml:space="preserve">, </w:t>
            </w:r>
            <w:r w:rsidR="00A62B10" w:rsidRPr="00A62B10">
              <w:t>Izglītības un zinātnes ministrija</w:t>
            </w:r>
            <w:r w:rsidR="00A62B10">
              <w:t>,</w:t>
            </w:r>
            <w:r w:rsidR="00A62B10" w:rsidRPr="00A62B10">
              <w:t xml:space="preserve"> Valsts kanceleja</w:t>
            </w:r>
            <w:r w:rsidR="00A62B10">
              <w:t>,</w:t>
            </w:r>
            <w:r w:rsidR="00A62B10" w:rsidRPr="00A62B10">
              <w:t xml:space="preserve"> </w:t>
            </w:r>
            <w:r w:rsidRPr="00740331">
              <w:t>Valsts kontrole</w:t>
            </w:r>
            <w:r>
              <w:t xml:space="preserve">, </w:t>
            </w:r>
            <w:r w:rsidRPr="00740331">
              <w:t>Latvijas Pašvaldību savienība</w:t>
            </w:r>
          </w:p>
        </w:tc>
        <w:tc>
          <w:tcPr>
            <w:tcW w:w="283" w:type="dxa"/>
          </w:tcPr>
          <w:p w14:paraId="19CA5A5C" w14:textId="77777777" w:rsidR="007B4C0F" w:rsidRPr="00712B66" w:rsidRDefault="007B4C0F" w:rsidP="00B033E3">
            <w:pPr>
              <w:pStyle w:val="naiskr"/>
              <w:spacing w:before="0" w:after="0"/>
              <w:ind w:left="-892"/>
            </w:pPr>
          </w:p>
        </w:tc>
      </w:tr>
      <w:tr w:rsidR="007B4C0F" w:rsidRPr="00712B66" w14:paraId="5956B956" w14:textId="77777777" w:rsidTr="00C75B5A">
        <w:tc>
          <w:tcPr>
            <w:tcW w:w="6450" w:type="dxa"/>
            <w:gridSpan w:val="2"/>
          </w:tcPr>
          <w:p w14:paraId="30C1CE9A" w14:textId="77777777" w:rsidR="007B4C0F" w:rsidRPr="00712B66" w:rsidRDefault="007B4C0F" w:rsidP="001836B8">
            <w:pPr>
              <w:pStyle w:val="naiskr"/>
              <w:spacing w:before="0" w:after="60"/>
            </w:pPr>
            <w:r w:rsidRPr="00712B66">
              <w:t>Ministrijas (citas institūcijas), kuras nav ieradušās uz sanāksmi vai kuras nav atbildējušas uz uzaicinājumu piedalīties elektroniskajā saskaņošanā</w:t>
            </w:r>
          </w:p>
        </w:tc>
        <w:tc>
          <w:tcPr>
            <w:tcW w:w="8542" w:type="dxa"/>
            <w:gridSpan w:val="2"/>
          </w:tcPr>
          <w:p w14:paraId="161FB45B" w14:textId="77777777" w:rsidR="007B4C0F" w:rsidRPr="00712B66" w:rsidRDefault="007B4C0F" w:rsidP="00D41891">
            <w:pPr>
              <w:pStyle w:val="naiskr"/>
              <w:spacing w:before="0" w:after="0"/>
            </w:pPr>
          </w:p>
        </w:tc>
      </w:tr>
    </w:tbl>
    <w:p w14:paraId="6F10ED82" w14:textId="7CC9F4D9" w:rsidR="00557C1F" w:rsidRDefault="00587B72" w:rsidP="00EF730D">
      <w:pPr>
        <w:pStyle w:val="naisf"/>
        <w:tabs>
          <w:tab w:val="left" w:pos="337"/>
          <w:tab w:val="left" w:pos="871"/>
          <w:tab w:val="left" w:pos="2610"/>
        </w:tabs>
        <w:spacing w:before="0" w:after="0"/>
        <w:ind w:firstLine="0"/>
        <w:jc w:val="left"/>
        <w:rPr>
          <w:b/>
        </w:rPr>
      </w:pPr>
      <w:r>
        <w:rPr>
          <w:b/>
        </w:rPr>
        <w:lastRenderedPageBreak/>
        <w:tab/>
      </w:r>
      <w:r w:rsidR="00BA0D9F">
        <w:rPr>
          <w:b/>
        </w:rPr>
        <w:tab/>
      </w:r>
      <w:r w:rsidR="00EF730D">
        <w:rPr>
          <w:b/>
        </w:rPr>
        <w:tab/>
      </w:r>
    </w:p>
    <w:p w14:paraId="77748930" w14:textId="77777777" w:rsidR="007B4C0F" w:rsidRPr="00712B66" w:rsidRDefault="007B4C0F" w:rsidP="0099562B">
      <w:pPr>
        <w:pStyle w:val="naisf"/>
        <w:spacing w:before="0" w:after="60"/>
        <w:ind w:left="2880" w:firstLine="720"/>
        <w:rPr>
          <w:b/>
        </w:rPr>
      </w:pPr>
      <w:r w:rsidRPr="00712B66">
        <w:rPr>
          <w:b/>
        </w:rPr>
        <w:t>II. </w:t>
      </w:r>
      <w:r w:rsidR="00134188" w:rsidRPr="00712B66">
        <w:rPr>
          <w:b/>
        </w:rPr>
        <w:t>Ja</w:t>
      </w:r>
      <w:r w:rsidR="00572E24">
        <w:rPr>
          <w:b/>
        </w:rPr>
        <w:t>utājumi, par kuriem saskaņošanā</w:t>
      </w:r>
      <w:r w:rsidR="00572E24" w:rsidRPr="00572E24">
        <w:rPr>
          <w:b/>
        </w:rPr>
        <w:t xml:space="preserve"> </w:t>
      </w:r>
      <w:r w:rsidR="00572E24" w:rsidRPr="00712B66">
        <w:rPr>
          <w:b/>
        </w:rPr>
        <w:t>vienošan</w:t>
      </w:r>
      <w:r w:rsidR="00572E24">
        <w:rPr>
          <w:b/>
        </w:rPr>
        <w:t>ā</w:t>
      </w:r>
      <w:r w:rsidR="00572E24" w:rsidRPr="00712B66">
        <w:rPr>
          <w:b/>
        </w:rPr>
        <w:t>s ir panākta</w:t>
      </w:r>
    </w:p>
    <w:p w14:paraId="4CBFE51B" w14:textId="77777777" w:rsidR="00B12E5E" w:rsidRPr="00712B66" w:rsidRDefault="00B12E5E" w:rsidP="00DB7395">
      <w:pPr>
        <w:pStyle w:val="naisf"/>
        <w:spacing w:before="0" w:after="0"/>
        <w:ind w:firstLine="720"/>
      </w:pPr>
    </w:p>
    <w:tbl>
      <w:tblPr>
        <w:tblpPr w:leftFromText="180" w:rightFromText="180" w:vertAnchor="text" w:tblpX="108" w:tblpY="1"/>
        <w:tblOverlap w:val="never"/>
        <w:tblW w:w="15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686"/>
        <w:gridCol w:w="2488"/>
        <w:gridCol w:w="3074"/>
        <w:gridCol w:w="3084"/>
        <w:gridCol w:w="3127"/>
      </w:tblGrid>
      <w:tr w:rsidR="00134188" w:rsidRPr="000E4321" w14:paraId="3D99FD07" w14:textId="77777777" w:rsidTr="00840182">
        <w:tc>
          <w:tcPr>
            <w:tcW w:w="567" w:type="dxa"/>
            <w:tcBorders>
              <w:top w:val="single" w:sz="6" w:space="0" w:color="000000"/>
              <w:left w:val="single" w:sz="6" w:space="0" w:color="000000"/>
              <w:bottom w:val="single" w:sz="6" w:space="0" w:color="000000"/>
              <w:right w:val="single" w:sz="6" w:space="0" w:color="000000"/>
            </w:tcBorders>
            <w:vAlign w:val="center"/>
          </w:tcPr>
          <w:p w14:paraId="78C52196" w14:textId="77777777" w:rsidR="00134188" w:rsidRPr="000E4321" w:rsidRDefault="00134188" w:rsidP="00840182">
            <w:pPr>
              <w:pStyle w:val="naisc"/>
              <w:spacing w:before="0" w:after="0"/>
            </w:pPr>
            <w:r w:rsidRPr="000E4321">
              <w:t>Nr. p.</w:t>
            </w:r>
            <w:r w:rsidR="00D64FB0" w:rsidRPr="000E4321">
              <w:t> </w:t>
            </w:r>
            <w:r w:rsidRPr="000E4321">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3DA65D18" w14:textId="77777777" w:rsidR="00134188" w:rsidRPr="000E4321" w:rsidRDefault="00134188" w:rsidP="00840182">
            <w:pPr>
              <w:pStyle w:val="naisc"/>
              <w:spacing w:before="0" w:after="0"/>
              <w:ind w:firstLine="12"/>
            </w:pPr>
            <w:r w:rsidRPr="000E4321">
              <w:t>Saskaņošanai nosūtītā projekta redakcija (konkrēta punkta (panta) redakcija)</w:t>
            </w:r>
          </w:p>
        </w:tc>
        <w:tc>
          <w:tcPr>
            <w:tcW w:w="5562" w:type="dxa"/>
            <w:gridSpan w:val="2"/>
            <w:tcBorders>
              <w:top w:val="single" w:sz="6" w:space="0" w:color="000000"/>
              <w:left w:val="single" w:sz="6" w:space="0" w:color="000000"/>
              <w:bottom w:val="single" w:sz="6" w:space="0" w:color="000000"/>
              <w:right w:val="single" w:sz="6" w:space="0" w:color="000000"/>
            </w:tcBorders>
            <w:vAlign w:val="center"/>
          </w:tcPr>
          <w:p w14:paraId="324E473F" w14:textId="77777777" w:rsidR="00134188" w:rsidRPr="000E4321" w:rsidRDefault="00134188" w:rsidP="00840182">
            <w:pPr>
              <w:pStyle w:val="naisc"/>
              <w:spacing w:before="0" w:after="0"/>
              <w:ind w:right="3"/>
            </w:pPr>
            <w:r w:rsidRPr="000E4321">
              <w:t>Atzinumā norādītais ministrijas (citas institūcijas) iebildums, kā arī saskaņošanā papildus izteiktais iebildums par projekta konkrēto punktu (pantu)</w:t>
            </w:r>
          </w:p>
        </w:tc>
        <w:tc>
          <w:tcPr>
            <w:tcW w:w="3084" w:type="dxa"/>
            <w:tcBorders>
              <w:top w:val="single" w:sz="6" w:space="0" w:color="000000"/>
              <w:left w:val="single" w:sz="6" w:space="0" w:color="000000"/>
              <w:bottom w:val="single" w:sz="6" w:space="0" w:color="000000"/>
              <w:right w:val="single" w:sz="6" w:space="0" w:color="000000"/>
            </w:tcBorders>
            <w:vAlign w:val="center"/>
          </w:tcPr>
          <w:p w14:paraId="00101A73" w14:textId="77777777" w:rsidR="00134188" w:rsidRPr="000E4321" w:rsidRDefault="00134188" w:rsidP="00840182">
            <w:pPr>
              <w:pStyle w:val="naisc"/>
              <w:spacing w:before="0" w:after="0"/>
              <w:ind w:firstLine="21"/>
            </w:pPr>
            <w:r w:rsidRPr="000E4321">
              <w:t>Atbildīgās ministrijas norāde</w:t>
            </w:r>
            <w:r w:rsidR="006C1C48" w:rsidRPr="000E4321">
              <w:t xml:space="preserve"> par to, ka </w:t>
            </w:r>
            <w:r w:rsidRPr="000E4321">
              <w:t>iebildums ir ņemts vērā</w:t>
            </w:r>
            <w:r w:rsidR="006455E7" w:rsidRPr="000E4321">
              <w:t>,</w:t>
            </w:r>
            <w:r w:rsidRPr="000E4321">
              <w:t xml:space="preserve"> vai </w:t>
            </w:r>
            <w:r w:rsidR="006C1C48" w:rsidRPr="000E4321">
              <w:t xml:space="preserve">informācija par saskaņošanā </w:t>
            </w:r>
            <w:r w:rsidR="00022B0F" w:rsidRPr="000E4321">
              <w:t>panākto alternatīvo risinājumu</w:t>
            </w:r>
          </w:p>
        </w:tc>
        <w:tc>
          <w:tcPr>
            <w:tcW w:w="3127" w:type="dxa"/>
            <w:tcBorders>
              <w:top w:val="single" w:sz="4" w:space="0" w:color="auto"/>
              <w:left w:val="single" w:sz="4" w:space="0" w:color="auto"/>
              <w:bottom w:val="single" w:sz="4" w:space="0" w:color="auto"/>
            </w:tcBorders>
            <w:vAlign w:val="center"/>
          </w:tcPr>
          <w:p w14:paraId="04D36A19" w14:textId="77777777" w:rsidR="00134188" w:rsidRPr="000E4321" w:rsidRDefault="00134188" w:rsidP="00840182">
            <w:pPr>
              <w:jc w:val="center"/>
            </w:pPr>
            <w:r w:rsidRPr="000E4321">
              <w:t>Projekta attiecīgā punkta (panta) galīgā redakcija</w:t>
            </w:r>
          </w:p>
        </w:tc>
      </w:tr>
      <w:tr w:rsidR="00134188" w:rsidRPr="000E4321" w14:paraId="2628D786" w14:textId="77777777" w:rsidTr="00840182">
        <w:tc>
          <w:tcPr>
            <w:tcW w:w="567" w:type="dxa"/>
            <w:tcBorders>
              <w:top w:val="single" w:sz="6" w:space="0" w:color="000000"/>
              <w:left w:val="single" w:sz="6" w:space="0" w:color="000000"/>
              <w:bottom w:val="single" w:sz="6" w:space="0" w:color="000000"/>
              <w:right w:val="single" w:sz="6" w:space="0" w:color="000000"/>
            </w:tcBorders>
          </w:tcPr>
          <w:p w14:paraId="578CC2A9" w14:textId="77777777" w:rsidR="00134188" w:rsidRPr="000E4321" w:rsidRDefault="003B71E0" w:rsidP="00840182">
            <w:pPr>
              <w:pStyle w:val="naisc"/>
              <w:spacing w:before="0" w:after="0"/>
            </w:pPr>
            <w:r w:rsidRPr="000E4321">
              <w:t>1</w:t>
            </w:r>
          </w:p>
        </w:tc>
        <w:tc>
          <w:tcPr>
            <w:tcW w:w="2686" w:type="dxa"/>
            <w:tcBorders>
              <w:top w:val="single" w:sz="6" w:space="0" w:color="000000"/>
              <w:left w:val="single" w:sz="6" w:space="0" w:color="000000"/>
              <w:bottom w:val="single" w:sz="6" w:space="0" w:color="000000"/>
              <w:right w:val="single" w:sz="6" w:space="0" w:color="000000"/>
            </w:tcBorders>
          </w:tcPr>
          <w:p w14:paraId="4E14C235" w14:textId="77777777" w:rsidR="00134188" w:rsidRPr="000E4321" w:rsidRDefault="00F34AAB" w:rsidP="00840182">
            <w:pPr>
              <w:pStyle w:val="naisc"/>
              <w:spacing w:before="0" w:after="0"/>
            </w:pPr>
            <w:r w:rsidRPr="000E4321">
              <w:t>2</w:t>
            </w:r>
          </w:p>
        </w:tc>
        <w:tc>
          <w:tcPr>
            <w:tcW w:w="5562" w:type="dxa"/>
            <w:gridSpan w:val="2"/>
            <w:tcBorders>
              <w:top w:val="single" w:sz="6" w:space="0" w:color="000000"/>
              <w:left w:val="single" w:sz="6" w:space="0" w:color="000000"/>
              <w:bottom w:val="single" w:sz="6" w:space="0" w:color="000000"/>
              <w:right w:val="single" w:sz="6" w:space="0" w:color="000000"/>
            </w:tcBorders>
          </w:tcPr>
          <w:p w14:paraId="0D6B4BEA" w14:textId="77777777" w:rsidR="00134188" w:rsidRPr="000E4321" w:rsidRDefault="003B71E0" w:rsidP="00840182">
            <w:pPr>
              <w:pStyle w:val="naisc"/>
              <w:spacing w:before="0" w:after="0"/>
            </w:pPr>
            <w:r w:rsidRPr="000E4321">
              <w:t>3</w:t>
            </w:r>
          </w:p>
        </w:tc>
        <w:tc>
          <w:tcPr>
            <w:tcW w:w="3084" w:type="dxa"/>
            <w:tcBorders>
              <w:top w:val="single" w:sz="6" w:space="0" w:color="000000"/>
              <w:left w:val="single" w:sz="6" w:space="0" w:color="000000"/>
              <w:bottom w:val="single" w:sz="6" w:space="0" w:color="000000"/>
              <w:right w:val="single" w:sz="6" w:space="0" w:color="000000"/>
            </w:tcBorders>
          </w:tcPr>
          <w:p w14:paraId="684C0F9F" w14:textId="77777777" w:rsidR="00134188" w:rsidRPr="000E4321" w:rsidRDefault="003B71E0" w:rsidP="00840182">
            <w:pPr>
              <w:pStyle w:val="naisc"/>
              <w:spacing w:before="0" w:after="0"/>
            </w:pPr>
            <w:r w:rsidRPr="000E4321">
              <w:t>4</w:t>
            </w:r>
          </w:p>
        </w:tc>
        <w:tc>
          <w:tcPr>
            <w:tcW w:w="3127" w:type="dxa"/>
            <w:tcBorders>
              <w:top w:val="single" w:sz="4" w:space="0" w:color="auto"/>
              <w:left w:val="single" w:sz="4" w:space="0" w:color="auto"/>
              <w:bottom w:val="single" w:sz="4" w:space="0" w:color="auto"/>
            </w:tcBorders>
          </w:tcPr>
          <w:p w14:paraId="490028C5" w14:textId="77777777" w:rsidR="00134188" w:rsidRPr="000E4321" w:rsidRDefault="003B71E0" w:rsidP="00840182">
            <w:pPr>
              <w:jc w:val="center"/>
            </w:pPr>
            <w:r w:rsidRPr="000E4321">
              <w:t>5</w:t>
            </w:r>
          </w:p>
        </w:tc>
      </w:tr>
      <w:tr w:rsidR="00A05393" w:rsidRPr="000E4321" w14:paraId="10FE984C" w14:textId="77777777" w:rsidTr="00840182">
        <w:tc>
          <w:tcPr>
            <w:tcW w:w="567" w:type="dxa"/>
            <w:tcBorders>
              <w:left w:val="single" w:sz="6" w:space="0" w:color="000000"/>
              <w:bottom w:val="single" w:sz="4" w:space="0" w:color="auto"/>
              <w:right w:val="single" w:sz="6" w:space="0" w:color="000000"/>
            </w:tcBorders>
          </w:tcPr>
          <w:p w14:paraId="07E0EDE0" w14:textId="77777777" w:rsidR="00A05393" w:rsidRPr="000E4321" w:rsidRDefault="00A05393" w:rsidP="00A05393">
            <w:pPr>
              <w:pStyle w:val="naisc"/>
              <w:spacing w:before="0" w:after="0"/>
              <w:jc w:val="left"/>
            </w:pPr>
            <w:r w:rsidRPr="000E4321">
              <w:t>1.</w:t>
            </w:r>
          </w:p>
        </w:tc>
        <w:tc>
          <w:tcPr>
            <w:tcW w:w="2686" w:type="dxa"/>
            <w:tcBorders>
              <w:left w:val="single" w:sz="6" w:space="0" w:color="000000"/>
              <w:bottom w:val="single" w:sz="4" w:space="0" w:color="auto"/>
              <w:right w:val="single" w:sz="6" w:space="0" w:color="000000"/>
            </w:tcBorders>
          </w:tcPr>
          <w:p w14:paraId="5B1254B5" w14:textId="77777777" w:rsidR="00A05393" w:rsidRPr="000E4321" w:rsidRDefault="00A05393" w:rsidP="00A05393">
            <w:pPr>
              <w:pStyle w:val="naisc"/>
              <w:spacing w:before="0" w:after="0"/>
              <w:jc w:val="both"/>
            </w:pPr>
            <w:r w:rsidRPr="000E4321">
              <w:t>30. pants. Pārskati un ziņojumi Valsts kasei.</w:t>
            </w:r>
          </w:p>
          <w:p w14:paraId="694895A5" w14:textId="77777777" w:rsidR="00A05393" w:rsidRPr="000E4321" w:rsidRDefault="00A05393" w:rsidP="00A05393">
            <w:pPr>
              <w:pStyle w:val="naisc"/>
              <w:spacing w:before="0" w:after="0"/>
              <w:jc w:val="both"/>
            </w:pPr>
            <w:r w:rsidRPr="000E4321">
              <w:t>(..)</w:t>
            </w:r>
          </w:p>
          <w:p w14:paraId="20A1B861" w14:textId="77777777" w:rsidR="00A05393" w:rsidRPr="000E4321" w:rsidRDefault="00A05393" w:rsidP="00A05393">
            <w:pPr>
              <w:pStyle w:val="naisc"/>
              <w:jc w:val="both"/>
            </w:pPr>
            <w:r w:rsidRPr="000E4321">
              <w:t xml:space="preserve">(3) Ministrijas un citas centrālās valsts iestādes, kā arī pašvaldības gada pārskatu vai konsolidēto gada pārskatu iesniedz Valsts kasei līdz pārskata gadam sekojošā saimnieciskā gada 1. aprīlim, saskaņā ar normatīvajos aktos par gada pārskatiem noteikto kārtību. Ministrijas un citas centrālās valsts iestādes, kā arī pašvaldības gada pārskatam vai konsolidētajam gada pārskatam pievieno Valsts kontroles atzinumu vai zvērināta revidenta vai zvērinātu revidentu komercsabiedrības </w:t>
            </w:r>
            <w:r w:rsidRPr="000E4321">
              <w:lastRenderedPageBreak/>
              <w:t>ziņojumu, ievērojot iestādes darbību regulējošos normatīvajos aktos noteikto par gada pārskata revīziju.</w:t>
            </w:r>
          </w:p>
          <w:p w14:paraId="772B281E" w14:textId="77777777" w:rsidR="00A05393" w:rsidRPr="000E4321" w:rsidRDefault="00A05393" w:rsidP="00A05393">
            <w:pPr>
              <w:pStyle w:val="naisc"/>
              <w:jc w:val="both"/>
            </w:pPr>
            <w:r w:rsidRPr="000E4321">
              <w:t>(3</w:t>
            </w:r>
            <w:r w:rsidRPr="000E4321">
              <w:rPr>
                <w:vertAlign w:val="superscript"/>
              </w:rPr>
              <w:t>1</w:t>
            </w:r>
            <w:r w:rsidRPr="000E4321">
              <w:t>) Valsts kase ikgadējo pārskatu par valsts budžeta finanšu uzskaiti sagatavo līdz pārskata gadam sekojošā saimnieciskā gada 1. aprīlim.</w:t>
            </w:r>
          </w:p>
          <w:p w14:paraId="4DAF00A8" w14:textId="77777777" w:rsidR="00A05393" w:rsidRPr="000E4321" w:rsidRDefault="00A05393" w:rsidP="00A05393">
            <w:pPr>
              <w:pStyle w:val="naisc"/>
              <w:spacing w:before="0" w:after="0"/>
              <w:jc w:val="both"/>
            </w:pPr>
            <w:r w:rsidRPr="000E4321">
              <w:t>(3</w:t>
            </w:r>
            <w:r w:rsidRPr="000E4321">
              <w:rPr>
                <w:vertAlign w:val="superscript"/>
              </w:rPr>
              <w:t>2</w:t>
            </w:r>
            <w:r w:rsidRPr="000E4321">
              <w:t>) Valsts ieņēmumu dienests ikgadējo pārskatu par šā dienesta administrētiem nodokļiem, nodevām un citiem tā administrētiem uz valsts budžetu attiecināmiem maksājumiem sagatavo un iesniedz Valsts kasei līdz pārskata gadam sekojošā saimnieciskā gada 1. aprīlim.</w:t>
            </w:r>
          </w:p>
        </w:tc>
        <w:tc>
          <w:tcPr>
            <w:tcW w:w="5562" w:type="dxa"/>
            <w:gridSpan w:val="2"/>
            <w:tcBorders>
              <w:left w:val="single" w:sz="6" w:space="0" w:color="000000"/>
              <w:bottom w:val="single" w:sz="4" w:space="0" w:color="auto"/>
              <w:right w:val="single" w:sz="6" w:space="0" w:color="000000"/>
            </w:tcBorders>
          </w:tcPr>
          <w:p w14:paraId="4DB90D50" w14:textId="77777777" w:rsidR="00A05393" w:rsidRPr="000E4321" w:rsidRDefault="00A05393" w:rsidP="00A05393">
            <w:pPr>
              <w:pStyle w:val="naisc"/>
              <w:spacing w:before="0" w:after="0"/>
              <w:jc w:val="both"/>
            </w:pPr>
            <w:r w:rsidRPr="000E4321">
              <w:rPr>
                <w:b/>
              </w:rPr>
              <w:lastRenderedPageBreak/>
              <w:t>Vides aizsardzības un reģionālās attīstības</w:t>
            </w:r>
            <w:r w:rsidRPr="000E4321">
              <w:t xml:space="preserve"> </w:t>
            </w:r>
            <w:r w:rsidRPr="000E4321">
              <w:rPr>
                <w:b/>
              </w:rPr>
              <w:t>ministrija (iebildums):</w:t>
            </w:r>
          </w:p>
          <w:p w14:paraId="4F409F90" w14:textId="77777777" w:rsidR="00A05393" w:rsidRPr="000E4321" w:rsidRDefault="00A05393" w:rsidP="00A05393">
            <w:pPr>
              <w:pStyle w:val="naisc"/>
              <w:spacing w:before="0" w:after="0"/>
              <w:jc w:val="both"/>
            </w:pPr>
            <w:r w:rsidRPr="000E4321">
              <w:t xml:space="preserve">Likumprojektā  tiek mainīts gada pārskatu vai konsolidēto gada pārskatu sagatavošanas un iesniegšanas termiņš no 1.maija uz 1.aprīli. Ministrijas ieskatā termiņa nobīde konsolidētā gada pārskata iesniegšanai par 1 mēnesi izraisīs nobīdi arī pārskata sagatavošanas darbībām: debitoru/kreditoru, transfertu salīdzināšanas, gada slēguma inventarizācijas datu apkopošanas, iestāžu pārskatu sagatavošanas termiņu nobīdi un ministrijas konsolidēta gada pārskata iesniegšanas termiņa nobīdi, kā arī konsolidētā gada pārskata iesniegšanas  termiņa nobīdi Valsts kontrolei, kurai arī ir reglamentēts atzinuma sniegšanas laiks. </w:t>
            </w:r>
          </w:p>
          <w:p w14:paraId="7D36278F" w14:textId="77777777" w:rsidR="00A05393" w:rsidRPr="000E4321" w:rsidRDefault="00A05393" w:rsidP="00A05393">
            <w:pPr>
              <w:pStyle w:val="naisc"/>
              <w:spacing w:before="0" w:after="0"/>
              <w:jc w:val="both"/>
            </w:pPr>
            <w:r w:rsidRPr="000E4321">
              <w:t xml:space="preserve">Lūdzam skaidrot Anotācijā, kā plānots nobīdīt augstāk minētām darbībām termiņus, lai ministrijas var kvalitatīvi sagatavot un iesniegt gada pārskatu. </w:t>
            </w:r>
          </w:p>
          <w:p w14:paraId="21988765" w14:textId="77777777" w:rsidR="00A05393" w:rsidRPr="000E4321" w:rsidRDefault="00A05393" w:rsidP="00A05393">
            <w:pPr>
              <w:pStyle w:val="naisc"/>
              <w:spacing w:before="0" w:after="0"/>
              <w:jc w:val="both"/>
            </w:pPr>
            <w:r w:rsidRPr="000E4321">
              <w:t>Ierosinām svītrot likumprojektā 9.panta daļu, kas groza Likuma par budžetu un finanšu vadību 30. panta trešo daļu, 3.¹ un 3.</w:t>
            </w:r>
            <w:r w:rsidRPr="000E4321">
              <w:rPr>
                <w:vertAlign w:val="superscript"/>
              </w:rPr>
              <w:t xml:space="preserve">2 </w:t>
            </w:r>
            <w:r w:rsidRPr="000E4321">
              <w:t xml:space="preserve"> daļu esošajā redakcijā.</w:t>
            </w:r>
          </w:p>
          <w:p w14:paraId="54B19550" w14:textId="77777777" w:rsidR="00A05393" w:rsidRPr="000E4321" w:rsidRDefault="00A05393" w:rsidP="00A05393">
            <w:pPr>
              <w:pStyle w:val="naisc"/>
              <w:spacing w:before="0" w:after="0"/>
              <w:jc w:val="both"/>
              <w:rPr>
                <w:b/>
              </w:rPr>
            </w:pPr>
          </w:p>
          <w:p w14:paraId="4FA54F26" w14:textId="07CCBE6A" w:rsidR="00A05393" w:rsidRPr="000E4321" w:rsidRDefault="00A05393" w:rsidP="00A05393">
            <w:pPr>
              <w:pStyle w:val="naisc"/>
              <w:spacing w:before="0" w:after="0"/>
              <w:jc w:val="both"/>
            </w:pPr>
            <w:r w:rsidRPr="000E4321">
              <w:rPr>
                <w:b/>
              </w:rPr>
              <w:t>Iekšlietu ministrija (iebildums):</w:t>
            </w:r>
          </w:p>
          <w:p w14:paraId="13DA453E" w14:textId="77777777" w:rsidR="00A05393" w:rsidRPr="000E4321" w:rsidRDefault="00A05393" w:rsidP="00A05393">
            <w:pPr>
              <w:pStyle w:val="naisc"/>
              <w:spacing w:before="0" w:after="0"/>
              <w:jc w:val="both"/>
            </w:pPr>
            <w:r w:rsidRPr="000E4321">
              <w:t xml:space="preserve">1. Lai varētu īstenot gada pārskata iesniegšanu likumprojekta 9.pantā paredzētajā Likuma par budžetu un finanšu vadību 30.panta trešajā daļā noteiktajā termiņā, nepieciešams pilnībā nodrošināt Resursu </w:t>
            </w:r>
            <w:r w:rsidRPr="000E4321">
              <w:lastRenderedPageBreak/>
              <w:t>vadības sistēmas “Horizon” sasaisti ar Valsts kases e-pārskatu sistēmu. Tomēr norādām, ka saīsināts gada pārskata iesniegšanas termiņš rada lielāku kļūdu rašanās risku, jo attaisnojuma dokumenti par pārskata gada darījumiem iestādei tiek iesniegti līdz pat nākamā gada februāra vidum.</w:t>
            </w:r>
          </w:p>
          <w:p w14:paraId="379F063C" w14:textId="77777777" w:rsidR="00A05393" w:rsidRPr="000E4321" w:rsidRDefault="00A05393" w:rsidP="00A05393">
            <w:pPr>
              <w:pStyle w:val="naisc"/>
              <w:spacing w:before="0" w:after="0"/>
              <w:jc w:val="both"/>
            </w:pPr>
            <w:r w:rsidRPr="000E4321">
              <w:t xml:space="preserve">2. Aizstāt likumprojekta 9. pantā ietverto grozījumu likuma 30. panta trešajā daļā skaitli un vārdu “1. aprīlim” ar skaitli un vārdu “15. aprīlim”, jo saskaņā ar Ministru kabineta 2018. gada 19. jūnija noteikumu Nr.344 “Gada pārskata sagatavošanas kārtība” (turpmāk – noteikumi Nr.344) 36.punktu ministrijas konsolidētais pārskats ir iesniegts datumā, kad  revidents  ir sniedzis attiecīgo atzinumu vai ziņojumu par gada pārskata sagatavošanas pareizību.  Vairāku gadu prakse ir tāda, ka Valsts kontrole lūdz sagatavot konsolidēto ministrijas gada pārskatu mēnesi iepriekš, tas ir, ministrijai konsolidētais gada pārskats būtu jāsagatavo līdz 1.martam. Šajā gadījumā  tiks apdraudēta konsolidētā pārskata kvalitāte, jo attaisnojuma dokumenti par pārskata gadu  bieži tiek iesniegti grāmatvedībā ar nokavēšanos, jo komersantiem gada pārskatus jāiesniedz līdz nākamā  gada 1.maijam. Bez tam, ministrijai saskaņā ar Ministru kabineta 2012.gada 25.septembra noteikumiem Nr. 643 “Kārtība, kādā ministrijas un centrālās valsts iestādes, kā arī pašvaldības apkopo kapitālsabiedrību finanšu pārskatus un finanšu informāciju” jāapkopo informācija par kapitālsabiedrību un jāiegrāmato datus par neauditēto pārskatu.  Kapitālsabiedrībai neauditētais pārskats jāiesniedz līdz 1. martam. Ņemot vērā minēto un to, ka ministrijai iestādes pārskatus jāpārbauda, atbilstoši noteikumiem Nr.344 jāsagatavo vairāki skaidrojumi, ministrijai nebūs laika to izdarīt un sagatavot kvalitatīvu konsolidēto pārskatu.  Vēršam uzmanību, ka Valsts kasei atbilstoši likumprojektā minētajiem datumiem, </w:t>
            </w:r>
            <w:r w:rsidRPr="000E4321">
              <w:lastRenderedPageBreak/>
              <w:t>konsolidētā saimnieciskā pārskata sagatavošanai ir doti 2 mēneši.</w:t>
            </w:r>
          </w:p>
          <w:p w14:paraId="6ABEF3CD" w14:textId="77777777" w:rsidR="00A05393" w:rsidRPr="000E4321" w:rsidRDefault="00A05393" w:rsidP="00A05393">
            <w:pPr>
              <w:pStyle w:val="naisc"/>
              <w:spacing w:before="0" w:after="0"/>
              <w:jc w:val="both"/>
            </w:pPr>
          </w:p>
          <w:p w14:paraId="3A9BEEAB" w14:textId="77777777" w:rsidR="00A05393" w:rsidRPr="000E4321" w:rsidRDefault="00A05393" w:rsidP="00A05393">
            <w:pPr>
              <w:pStyle w:val="naisc"/>
              <w:spacing w:before="0" w:after="0"/>
              <w:jc w:val="both"/>
            </w:pPr>
            <w:r w:rsidRPr="000E4321">
              <w:rPr>
                <w:b/>
              </w:rPr>
              <w:t>Aizsardzības ministrija (iebildums):</w:t>
            </w:r>
          </w:p>
          <w:p w14:paraId="0B1FDEE1" w14:textId="77777777" w:rsidR="00A05393" w:rsidRPr="000E4321" w:rsidRDefault="00A05393" w:rsidP="00A05393">
            <w:pPr>
              <w:pStyle w:val="naisc"/>
              <w:spacing w:before="0" w:after="0"/>
              <w:jc w:val="both"/>
            </w:pPr>
            <w:r w:rsidRPr="000E4321">
              <w:t>Vēršam uzmanību, ka konsolidētā gada pārskata sagatavošanas un iesniegšanas termiņa saīsināšana būtiski iespaidos iestāžu darbu un gada pārskata datu precizitāti. Līdz ar to piedāvājam izskatīt termiņa pagarināšanu attiecībā uz konsolidētā gada pārskata iesniegšanu Valsts kontrolei atzinuma saņemšanai.</w:t>
            </w:r>
          </w:p>
          <w:p w14:paraId="60B61F86" w14:textId="62F24835" w:rsidR="00A05393" w:rsidRPr="000E4321" w:rsidRDefault="00A05393" w:rsidP="00A05393">
            <w:pPr>
              <w:pStyle w:val="naisc"/>
              <w:spacing w:before="0" w:after="0"/>
              <w:jc w:val="both"/>
            </w:pPr>
          </w:p>
          <w:p w14:paraId="03C8F352" w14:textId="77777777" w:rsidR="00A05393" w:rsidRPr="000E4321" w:rsidRDefault="00A05393" w:rsidP="00A05393">
            <w:pPr>
              <w:pStyle w:val="naisc"/>
              <w:spacing w:before="0" w:after="0"/>
              <w:jc w:val="both"/>
            </w:pPr>
          </w:p>
          <w:p w14:paraId="45E443F3" w14:textId="42F4FE19" w:rsidR="00A05393" w:rsidRPr="000E4321" w:rsidRDefault="00A05393" w:rsidP="00A05393">
            <w:pPr>
              <w:pStyle w:val="naisc"/>
              <w:spacing w:before="0" w:after="0"/>
              <w:jc w:val="both"/>
            </w:pPr>
            <w:r w:rsidRPr="000E4321">
              <w:rPr>
                <w:b/>
              </w:rPr>
              <w:t>Tieslietu ministrija (iebildums</w:t>
            </w:r>
            <w:r w:rsidR="000E2818">
              <w:rPr>
                <w:b/>
              </w:rPr>
              <w:t xml:space="preserve"> 31.08.2020.</w:t>
            </w:r>
            <w:r w:rsidRPr="000E4321">
              <w:rPr>
                <w:b/>
              </w:rPr>
              <w:t>):</w:t>
            </w:r>
          </w:p>
          <w:p w14:paraId="610FAD2C" w14:textId="77777777" w:rsidR="00A05393" w:rsidRPr="000E4321" w:rsidRDefault="00A05393" w:rsidP="00A05393">
            <w:pPr>
              <w:pStyle w:val="naisc"/>
              <w:spacing w:before="0" w:after="0"/>
              <w:jc w:val="both"/>
            </w:pPr>
            <w:r w:rsidRPr="000E4321">
              <w:t>Projekta 9. pants paredz veikt izmaiņas likuma 30. panta trešajā daļā, paredzot, ka ministrijas un citas centrālās valsts iestādes, kā arī pašvaldības gada pārskatu vai konsolidēto gada pārskatu iesniedz Valsts kasei līdz pārskata gadam sekojošā saimnieciskā gada 1. aprīlim, saskaņā ar normatīvajos aktos par gada pārskatiem noteikto kārtību. Tieslietu ministrija iebilst pret šādu termiņa noteikšanu un uzskata, ka ministrijām varētu saīsināt konsolidētā pārskata iesniegšanas termiņu par divām nedēļām, nevis mēnesi, līdzīgi kā termiņu paredzēts samazināt projekta 10. pantā paredzētajos grozījumos par izmaiņām likuma 31. pantā. Ņemot vērā to, ka paredzēts tik būtisks gada pārskata sagatavošanai paredzētā laika samazinājums, Valsts kasei būtu jāizvērtē iesniedzamā gada pārskata apjoms, samazinot skaidrojošās informācijas apjomu, kā arī jāveic izmaiņas attiecībā uz darījumu salīdzināšanas starp vispārējā valdības sektora iestādēm termiņiem.</w:t>
            </w:r>
          </w:p>
          <w:p w14:paraId="31736067" w14:textId="77777777" w:rsidR="00A05393" w:rsidRPr="000E4321" w:rsidRDefault="00A05393" w:rsidP="00A05393">
            <w:pPr>
              <w:pStyle w:val="naisc"/>
              <w:spacing w:before="0" w:after="0"/>
              <w:jc w:val="both"/>
            </w:pPr>
          </w:p>
          <w:p w14:paraId="32462D14" w14:textId="77777777" w:rsidR="00A05393" w:rsidRPr="000E4321" w:rsidRDefault="00A05393" w:rsidP="00A05393">
            <w:pPr>
              <w:pStyle w:val="naisc"/>
              <w:spacing w:before="0" w:after="0"/>
              <w:jc w:val="both"/>
            </w:pPr>
            <w:r w:rsidRPr="000E4321">
              <w:rPr>
                <w:b/>
              </w:rPr>
              <w:t>Zemkopības ministrija (iebildums):</w:t>
            </w:r>
          </w:p>
          <w:p w14:paraId="493C340D" w14:textId="77777777" w:rsidR="00A05393" w:rsidRPr="000E4321" w:rsidRDefault="00A05393" w:rsidP="00A05393">
            <w:pPr>
              <w:pStyle w:val="naisc"/>
              <w:spacing w:before="0" w:after="0"/>
              <w:jc w:val="both"/>
            </w:pPr>
            <w:r w:rsidRPr="000E4321">
              <w:t xml:space="preserve">Iebilstam pret likumprojekta 30.panta 3.daļu, ministrijām noteikto termiņu 1.aprīli, konsolidētā gada pārskata sagatavošanai. Izmaiņas gada pārskata </w:t>
            </w:r>
            <w:r w:rsidRPr="000E4321">
              <w:lastRenderedPageBreak/>
              <w:t>iesniegšanas termiņos radīs spriedzi, steigu un papildus slodzi atbildīgo finanšu darbinieku darbā, pastāvēs lielāks risks iespējai kļūdīties, kas kopumā pasliktinās iestāžu gada pārskatu kvalitāti, kā arī konsolidētā gada pārskata kvalitāti un pastāvēs risks – neiekļauties ierobežotajos termiņos.</w:t>
            </w:r>
          </w:p>
          <w:p w14:paraId="25A5C41F" w14:textId="77777777" w:rsidR="00A05393" w:rsidRPr="000E4321" w:rsidRDefault="00A05393" w:rsidP="00A05393">
            <w:pPr>
              <w:pStyle w:val="naisc"/>
              <w:spacing w:before="0" w:after="0"/>
              <w:jc w:val="both"/>
            </w:pPr>
            <w:r w:rsidRPr="000E4321">
              <w:t xml:space="preserve">Samazinot konsolidētā gada pārskata iesniegšanas termiņu par 1 mēnesi, nozīmētu to, ka ministrijai konsolidētajam gada pārskatam būtu jābūt sagatavotam jau 1.martā, ņemot vērā, ka Valsts kontroles līdzšinējie nosacījumi konsolidētā gada pārskata iesniegšanas termiņiem Valsts kontrolei – ir nedaudz vairāk kā mēnesis pirms tā sniedz atzinumu par ministrijas konsolidēto gada pārskatu. Februāris būtu mēnesis, kurā ministrijai būtu jābūt pieņemtiem un pārbaudītiem padotības iestāžu gada pārskatiem, veiktām konsolidācijas procedūrām, pilnībā sagatavotam konsolidētajam gada pārskatam. </w:t>
            </w:r>
          </w:p>
          <w:p w14:paraId="6361943A" w14:textId="77777777" w:rsidR="00A05393" w:rsidRPr="000E4321" w:rsidRDefault="00A05393" w:rsidP="00A05393">
            <w:pPr>
              <w:pStyle w:val="naisc"/>
              <w:spacing w:before="0" w:after="0"/>
              <w:jc w:val="both"/>
            </w:pPr>
            <w:r w:rsidRPr="000E4321">
              <w:t xml:space="preserve">Konsolidētā gada pārskata iesniegšanas termiņa izmaiņas nozīmētu to, ka arī padotībā esošajām iestādēm  gada pārskatu iesniegšanas termiņi jāsamazina par mēnesi, tātad iestādēm pārskati jāsagatavo jau janvārī, kas ir pretrunā ar Likumu par grāmatvedību, kas dod tiesības janvārī iestādēm veikt pārskata gada slēguma procedūras. </w:t>
            </w:r>
          </w:p>
          <w:p w14:paraId="31807367" w14:textId="77777777" w:rsidR="00A05393" w:rsidRPr="000E4321" w:rsidRDefault="00A05393" w:rsidP="00A05393">
            <w:pPr>
              <w:pStyle w:val="naisc"/>
              <w:spacing w:before="0" w:after="0"/>
              <w:jc w:val="both"/>
            </w:pPr>
            <w:r w:rsidRPr="000E4321">
              <w:t xml:space="preserve">Vēršam uzmanību, ka arī Ministru kabineta 2018.gada 19.jūnija noteikumu Nr.344 “Gada pārskata sagatavošanas kārtība” 134.punktā ir noteikts termiņš 31.janvāris kontu atlikumu un darījumu salīdzināšanai starp valsts un pašvaldību iestādēm Valsts kases ePārskatu sistēmā, un 142.pantā noteikts termiņš 1.marts – salīdzināšanās izziņu labošanai, kas nozīmē, ka janvāris un februāris ir mēneši, kad pie pārskata gada slēguma un gada pārskata sagatavošanas darbojas iestādes, un marts – ministriju  konsolidēto gada </w:t>
            </w:r>
            <w:r w:rsidRPr="000E4321">
              <w:lastRenderedPageBreak/>
              <w:t>pārskatu sagatavošanai, t.sk. padotības iestāžu gada pārskatu pieņemšana un pārbaudes procedūru veikšana.</w:t>
            </w:r>
          </w:p>
          <w:p w14:paraId="27D7F356" w14:textId="77777777" w:rsidR="00A05393" w:rsidRPr="000E4321" w:rsidRDefault="00A05393" w:rsidP="00A05393">
            <w:pPr>
              <w:pStyle w:val="naisc"/>
              <w:spacing w:before="0" w:after="0"/>
              <w:jc w:val="both"/>
            </w:pPr>
          </w:p>
          <w:p w14:paraId="229EF792" w14:textId="0AF322CF" w:rsidR="00A05393" w:rsidRPr="000E4321" w:rsidRDefault="00A05393" w:rsidP="00A05393">
            <w:pPr>
              <w:pStyle w:val="naisc"/>
              <w:spacing w:before="0" w:after="0"/>
              <w:jc w:val="both"/>
            </w:pPr>
            <w:r w:rsidRPr="000E4321">
              <w:rPr>
                <w:b/>
              </w:rPr>
              <w:t>Veselības ministrija (iebildums</w:t>
            </w:r>
            <w:r w:rsidR="00B86174">
              <w:rPr>
                <w:b/>
              </w:rPr>
              <w:t>(02.09.2020.)</w:t>
            </w:r>
            <w:r w:rsidRPr="000E4321">
              <w:rPr>
                <w:b/>
              </w:rPr>
              <w:t>):</w:t>
            </w:r>
          </w:p>
          <w:p w14:paraId="1E84DF95" w14:textId="77777777" w:rsidR="00A05393" w:rsidRDefault="00A05393" w:rsidP="00A05393">
            <w:pPr>
              <w:pStyle w:val="naisc"/>
              <w:spacing w:before="0" w:after="0"/>
              <w:jc w:val="both"/>
            </w:pPr>
            <w:r w:rsidRPr="000E4321">
              <w:t xml:space="preserve">Saskaņā ar plānoto likumprojekta redakciju attiecībā uz likumprojekta 30 panta trešo daļu un 3.¹ pantu, neatbalstām konsolidētā gada pārskata iesniegšanas termiņa Valsts kasē samazinājumu, nosakot 1.aprīli. Atbilstoši Ministru kabineta noteikumu Nr.643 “Kārtība, kādā ministrijas un centrālās valsts iestādes, kā arī pašvaldības apkopo kapitālsabiedrību finanšu pārskatus un finanšu informāciju” prasībām, Veselības ministrijas kapitālsabiedrībām līdz 1.martam Valsts kases e-pārskatu sistēmā jāiesniedz kapitālsabiedrību neauditēts finanšu pārskats, kas ir par pamatu ministrijas pašu kapitāla metodes aprēķiniem. Līdz ar minēto, iespējamais ministrijas kā centrālās iestādes gada pārskata pabeigšanas termiņš ir vismaz nedēļu vēlāks par 1.martu. Papildus tam, pēc ministrijas un tās padotības iestāžu gada pārskatu sagatavošanas jāveic konsolidācija un konsolidētā gada pārskata sagatavošana, skaidrojumu sniegšana, kur tāpat nepieciešama vismaz viena ar pusi kalendārā nedēļā. Šajā gadījumā ministrijas iespējamais īsākais gada pārskata sagatavošanas termiņš atbilstoši esošajam štatu sarakstam un noslodzēm resorā ir marta pēdējās nedēļas, kas neatbilst likumprojektā plānotajiem grozījumiem, jo Valsts kontroles nosacījums ir iesniegt sagatavotu konsolidēto gada pārskatu Valsts kontrolei vismaz vienu mēnesi pirms Likumā par budžetu un finanšu vadību noteiktā termiņa. Attiecīgi, izvērtējot iepriekšējo pieredzi Valsts kontroles termiņu noteikšanā un saskaņojot ar likumprojekta piedāvāto redakciju, ministrijas iespējamais konsolidētā gada pārskata iesniegšanas termiņš Valsts kontrolei varētu būt noteikts 27.februāris, kas nav īstenojams pasākums. Papildus </w:t>
            </w:r>
            <w:r w:rsidRPr="000E4321">
              <w:lastRenderedPageBreak/>
              <w:t>tam atzīmējam, ka veselības nozares resora kapacitāte un noslodze nepieļauj pilna mēneša termiņa samazinājumu. Līdz ar ko mēneša termiņa samazinājumu iespējams īstenot tikai kompensējot ar darbinieku noslodzi virs noteiktā normālā darba laika, kam papildus būtu nepieciešams finansiāls segums.</w:t>
            </w:r>
          </w:p>
          <w:p w14:paraId="0856B25B" w14:textId="6C780848" w:rsidR="00B86174" w:rsidRPr="000E4321" w:rsidRDefault="00B86174" w:rsidP="00B86174">
            <w:pPr>
              <w:jc w:val="both"/>
              <w:rPr>
                <w:b/>
              </w:rPr>
            </w:pPr>
            <w:r w:rsidRPr="000E4321">
              <w:rPr>
                <w:b/>
              </w:rPr>
              <w:t>Veselības ministrija (iebildums</w:t>
            </w:r>
            <w:r>
              <w:rPr>
                <w:b/>
              </w:rPr>
              <w:t xml:space="preserve"> (16.09.2020.)</w:t>
            </w:r>
            <w:r w:rsidRPr="000E4321">
              <w:rPr>
                <w:b/>
              </w:rPr>
              <w:t>):</w:t>
            </w:r>
          </w:p>
          <w:p w14:paraId="0105112C" w14:textId="77777777" w:rsidR="00B86174" w:rsidRPr="000E4321" w:rsidRDefault="00B86174" w:rsidP="00B86174">
            <w:pPr>
              <w:jc w:val="both"/>
            </w:pPr>
            <w:r w:rsidRPr="000E4321">
              <w:t>Veselības ministrija ir izskatījusi atkārtotai saskaņošanai virzīto Finanšu ministrijas izstrādāto likumprojektu “Grozījumi Likumā par budžetu un finanšu vadību</w:t>
            </w:r>
            <w:r w:rsidRPr="000E4321">
              <w:rPr>
                <w:shd w:val="clear" w:color="auto" w:fill="FFFFFF"/>
              </w:rPr>
              <w:t>”</w:t>
            </w:r>
            <w:r w:rsidRPr="000E4321">
              <w:t xml:space="preserve"> (turpmāk – likumprojekts), kā arī tā sākotnējās ietekmes novērtējuma ziņojumu (anotāciju) un savas kompetences ietvaros uztur 2020.gada 2.septembra atzinumā Nr.</w:t>
            </w:r>
            <w:r w:rsidRPr="000E4321">
              <w:rPr>
                <w:shd w:val="clear" w:color="auto" w:fill="FFFFFF"/>
              </w:rPr>
              <w:t xml:space="preserve"> 01-09/4451 “Atzinums par likumprojektu “Grozījumi Likumā par budžetu un finanšu vadību”” izteikto iebildumu attiecībā uz </w:t>
            </w:r>
            <w:r w:rsidRPr="000E4321">
              <w:t xml:space="preserve">likumprojekta 30 panta trešās daļas un 3.¹ panta redakciju. </w:t>
            </w:r>
          </w:p>
          <w:p w14:paraId="3A707CBB" w14:textId="77777777" w:rsidR="00B86174" w:rsidRPr="000E4321" w:rsidRDefault="00B86174" w:rsidP="00B86174">
            <w:pPr>
              <w:jc w:val="both"/>
            </w:pPr>
            <w:r w:rsidRPr="000E4321">
              <w:t xml:space="preserve">Ar minēto likumprojekta redakciju plānots ministriju un citu centrālo valsts iestāžu konsolidēto gada pārskatu termiņa samazinājums par vienu kalendāro mēnesi, kas normālā darba laika ietvaros nav īstenojams pasākums. Ja gada pārskata termiņa samazinājums no virsvadības puses ir būtiska nepieciešamība kārtējā gada valsts budžeta likumprojekta sagatavošanai, lūdzam izvērtēt iespēju termiņa samazinājumu attiecināt uz visām konsolidētā gada pārskatā iesaistītajām vienībām, šajā gadījumā arī uz Valsts kontroli. Attiecīgi, lūdzam likumprojekta anotācijā vai citā normatīvajā aktā nostiprināt nosacījumu, ka līdzvērtīgi ministriju gada pārskata iesniegšanas termiņu saīsinājumam arī Valsts kontrole saīsinās plānotos revidējamās vienības pārbaužu termiņus, kas nosakāmi pēc konsolidētā gada pārskata iesniegšanas. Ar minēto nosacījumu netiktu samazinātas Valsts kontroles veicamās pārbaudes un pieprasāmā informācija kopumā, bet gan rasta iespēja </w:t>
            </w:r>
            <w:r w:rsidRPr="000E4321">
              <w:lastRenderedPageBreak/>
              <w:t xml:space="preserve">ministrijām iesniegt konsolidētos gada pārskatus Valsts kontrolei atzinuma sagatavošanai vēlāk kā vienu mēnesi pirms likumprojektā noteiktā termiņa. Šādā gadījumā konsolidēto gada pārskatu iesniegšana tiktu nodrošināta aptuveni līdz kārtējā gada marta vidum un līdz kārtējā gada 1.aprīlim no Valsts kontroles būtu gaidāms atzinums. </w:t>
            </w:r>
          </w:p>
          <w:p w14:paraId="086DF12C" w14:textId="3F469BFB" w:rsidR="00B86174" w:rsidRDefault="00B86174" w:rsidP="00B86174">
            <w:pPr>
              <w:jc w:val="both"/>
            </w:pPr>
            <w:r w:rsidRPr="000E4321">
              <w:t xml:space="preserve">Atzīmējam, ka Valsts kontroles likumā nav noteikta konkrēta kārtība (periods) kā nosakāms konsolidētā gada pārskata revidējamās vienības iesniegšanas termiņš, līdz ar ko sadarbības mehānisms ir atkarīgs tikai no Valsts kontroles un ministriju abpusējas vienošanās pamata. </w:t>
            </w:r>
          </w:p>
          <w:p w14:paraId="12DAC161" w14:textId="0852D2FC" w:rsidR="000E2818" w:rsidRDefault="000E2818" w:rsidP="00B86174">
            <w:pPr>
              <w:jc w:val="both"/>
            </w:pPr>
          </w:p>
          <w:p w14:paraId="60051E45" w14:textId="50A44162" w:rsidR="000E2818" w:rsidRDefault="000E2818" w:rsidP="000E2818">
            <w:pPr>
              <w:pStyle w:val="naisc"/>
              <w:spacing w:before="0" w:after="0"/>
              <w:jc w:val="both"/>
              <w:rPr>
                <w:b/>
              </w:rPr>
            </w:pPr>
            <w:r w:rsidRPr="000E4321">
              <w:rPr>
                <w:b/>
              </w:rPr>
              <w:t>Tieslietu ministrija (iebildums</w:t>
            </w:r>
            <w:r>
              <w:rPr>
                <w:b/>
              </w:rPr>
              <w:t xml:space="preserve"> </w:t>
            </w:r>
            <w:r>
              <w:rPr>
                <w:b/>
              </w:rPr>
              <w:t>22.09</w:t>
            </w:r>
            <w:r>
              <w:rPr>
                <w:b/>
              </w:rPr>
              <w:t>.2020.</w:t>
            </w:r>
            <w:r w:rsidRPr="000E4321">
              <w:rPr>
                <w:b/>
              </w:rPr>
              <w:t>):</w:t>
            </w:r>
          </w:p>
          <w:p w14:paraId="52899276" w14:textId="31B419E5" w:rsidR="000E2818" w:rsidRDefault="000E2818" w:rsidP="000E2818">
            <w:pPr>
              <w:jc w:val="both"/>
              <w:rPr>
                <w:sz w:val="22"/>
                <w:szCs w:val="22"/>
              </w:rPr>
            </w:pPr>
            <w:r w:rsidRPr="000E2818">
              <w:t>Tieslietu ministrija</w:t>
            </w:r>
            <w:r>
              <w:t xml:space="preserve"> saskaņo likumprojektu “Grozījumi Likumā par budžetu un finanšu vadību”, ja vienlaikus tiek paredzēts, ka tiek izdarīti grozījumi arī gada pārskatu regulējošos normatīvajos aktos, pārskatot skaidrojošās informācijas nepieciešamību un samazinot skaidrojošās informācijas apjomu.</w:t>
            </w:r>
          </w:p>
          <w:p w14:paraId="02C490FD" w14:textId="77777777" w:rsidR="000E2818" w:rsidRDefault="000E2818" w:rsidP="000E2818">
            <w:pPr>
              <w:jc w:val="both"/>
            </w:pPr>
            <w:r>
              <w:t> </w:t>
            </w:r>
          </w:p>
          <w:p w14:paraId="486D1EA6" w14:textId="77777777" w:rsidR="000E2818" w:rsidRPr="000E4321" w:rsidRDefault="000E2818" w:rsidP="000E2818">
            <w:pPr>
              <w:pStyle w:val="naisc"/>
              <w:spacing w:before="0" w:after="0"/>
              <w:jc w:val="both"/>
            </w:pPr>
          </w:p>
          <w:p w14:paraId="6C74B1CF" w14:textId="77777777" w:rsidR="000E2818" w:rsidRPr="000E4321" w:rsidRDefault="000E2818" w:rsidP="000E2818">
            <w:pPr>
              <w:jc w:val="both"/>
            </w:pPr>
          </w:p>
          <w:p w14:paraId="478C60E6" w14:textId="6EF094AF" w:rsidR="00B86174" w:rsidRPr="000E4321" w:rsidRDefault="00B86174" w:rsidP="00A05393">
            <w:pPr>
              <w:pStyle w:val="naisc"/>
              <w:spacing w:before="0" w:after="0"/>
              <w:jc w:val="both"/>
            </w:pPr>
          </w:p>
        </w:tc>
        <w:tc>
          <w:tcPr>
            <w:tcW w:w="3084" w:type="dxa"/>
            <w:tcBorders>
              <w:left w:val="single" w:sz="6" w:space="0" w:color="000000"/>
              <w:bottom w:val="single" w:sz="4" w:space="0" w:color="auto"/>
              <w:right w:val="single" w:sz="6" w:space="0" w:color="000000"/>
            </w:tcBorders>
          </w:tcPr>
          <w:p w14:paraId="1E86FEF3" w14:textId="78ED4919" w:rsidR="00A05393" w:rsidRPr="000E4321" w:rsidRDefault="00D908E7" w:rsidP="00A05393">
            <w:pPr>
              <w:pStyle w:val="naisc"/>
              <w:spacing w:before="0" w:after="0"/>
              <w:jc w:val="both"/>
              <w:rPr>
                <w:b/>
              </w:rPr>
            </w:pPr>
            <w:r>
              <w:rPr>
                <w:b/>
              </w:rPr>
              <w:lastRenderedPageBreak/>
              <w:t>Ņemts vērā</w:t>
            </w:r>
          </w:p>
          <w:p w14:paraId="6F6E2E9E" w14:textId="252DA46C" w:rsidR="00A05393" w:rsidRPr="000E4321" w:rsidRDefault="00D908E7" w:rsidP="00D908E7">
            <w:pPr>
              <w:pStyle w:val="naisc"/>
              <w:spacing w:before="0" w:after="0"/>
              <w:jc w:val="both"/>
            </w:pPr>
            <w:r w:rsidRPr="00D908E7">
              <w:t xml:space="preserve">Pagarināts </w:t>
            </w:r>
            <w:r>
              <w:t>l</w:t>
            </w:r>
            <w:r w:rsidRPr="00D908E7">
              <w:t>ikumprojekta ieviešanas termiņš</w:t>
            </w:r>
            <w:r>
              <w:t xml:space="preserve"> (pārejas noteikumu 92., 94., 95. un </w:t>
            </w:r>
            <w:r w:rsidRPr="00D908E7">
              <w:t>96.punkts)</w:t>
            </w:r>
            <w:r>
              <w:t xml:space="preserve">. </w:t>
            </w:r>
            <w:r w:rsidRPr="00D908E7">
              <w:t>Anotācija papildināta ar detalizētu skaidrojumu</w:t>
            </w:r>
            <w:r>
              <w:t>.</w:t>
            </w:r>
          </w:p>
        </w:tc>
        <w:tc>
          <w:tcPr>
            <w:tcW w:w="3127" w:type="dxa"/>
            <w:tcBorders>
              <w:top w:val="single" w:sz="4" w:space="0" w:color="auto"/>
              <w:left w:val="single" w:sz="4" w:space="0" w:color="auto"/>
              <w:bottom w:val="single" w:sz="4" w:space="0" w:color="auto"/>
            </w:tcBorders>
          </w:tcPr>
          <w:p w14:paraId="7132E759" w14:textId="1C3B1FDB" w:rsidR="00A05393" w:rsidRPr="000E4321" w:rsidRDefault="00A05393" w:rsidP="00A05393">
            <w:pPr>
              <w:jc w:val="both"/>
            </w:pPr>
            <w:r w:rsidRPr="000E4321">
              <w:t>30. panta 3. un  3.¹ daļa:</w:t>
            </w:r>
          </w:p>
          <w:p w14:paraId="48E22A15" w14:textId="77777777" w:rsidR="00A05393" w:rsidRPr="000E4321" w:rsidRDefault="00A05393" w:rsidP="00A05393">
            <w:pPr>
              <w:ind w:left="720"/>
              <w:jc w:val="both"/>
            </w:pPr>
          </w:p>
          <w:p w14:paraId="27753F12" w14:textId="77777777" w:rsidR="00A05393" w:rsidRPr="000E4321" w:rsidRDefault="00A05393" w:rsidP="00A05393">
            <w:pPr>
              <w:jc w:val="both"/>
            </w:pPr>
            <w:r w:rsidRPr="000E4321">
              <w:t xml:space="preserve">“(3) Ministrijas un citas centrālās valsts iestādes, kā arī pašvaldības gada pārskatu vai konsolidēto gada pārskatu iesniedz Valsts kasei līdz pārskata gadam sekojošā saimnieciskā gada 1.aprīlim, saskaņā ar normatīvajos aktos par gada pārskatiem noteikto kārtību. Ministrijas un citas centrālās valsts iestādes, kā arī pašvaldības </w:t>
            </w:r>
            <w:r w:rsidRPr="000E4321">
              <w:rPr>
                <w:shd w:val="clear" w:color="auto" w:fill="FFFFFF" w:themeFill="background1"/>
              </w:rPr>
              <w:t>gada pārskatam vai</w:t>
            </w:r>
            <w:r w:rsidRPr="000E4321">
              <w:t xml:space="preserve"> konsolidētajam gada pārskatam pievieno Valsts kontroles atzinumu vai zvērināta revidenta vai zvērinātu revidentu komercsabiedrības ziņojumu, </w:t>
            </w:r>
            <w:r w:rsidRPr="000E4321">
              <w:rPr>
                <w:shd w:val="clear" w:color="auto" w:fill="FFFFFF" w:themeFill="background1"/>
              </w:rPr>
              <w:t>ievērojot iestādes darbību regulējošos normatīvajos aktos noteikto par gada pārskata revīziju</w:t>
            </w:r>
            <w:r w:rsidRPr="000E4321">
              <w:t>.</w:t>
            </w:r>
          </w:p>
          <w:p w14:paraId="58016E67" w14:textId="77777777" w:rsidR="00A05393" w:rsidRPr="000E4321" w:rsidRDefault="00A05393" w:rsidP="00A05393">
            <w:pPr>
              <w:ind w:firstLine="720"/>
              <w:jc w:val="both"/>
            </w:pPr>
          </w:p>
          <w:p w14:paraId="49F54F97" w14:textId="77777777" w:rsidR="00A05393" w:rsidRPr="000E4321" w:rsidRDefault="00A05393" w:rsidP="00A05393">
            <w:pPr>
              <w:jc w:val="both"/>
            </w:pPr>
            <w:r w:rsidRPr="000E4321">
              <w:lastRenderedPageBreak/>
              <w:t>(3</w:t>
            </w:r>
            <w:r w:rsidRPr="000E4321">
              <w:rPr>
                <w:vertAlign w:val="superscript"/>
              </w:rPr>
              <w:t>1</w:t>
            </w:r>
            <w:r w:rsidRPr="000E4321">
              <w:t>) Valsts kase ikgadējo pārskatu par valsts budžeta finanšu uzskaiti sagatavo līdz pārskata gadam sekojošā saimnieciskā gada 1. aprīlim.”</w:t>
            </w:r>
          </w:p>
          <w:p w14:paraId="62FB3C74" w14:textId="77777777" w:rsidR="00A05393" w:rsidRPr="000E4321" w:rsidRDefault="00A05393" w:rsidP="00A05393">
            <w:pPr>
              <w:jc w:val="both"/>
            </w:pPr>
          </w:p>
          <w:p w14:paraId="5B4B1DDB" w14:textId="77777777" w:rsidR="00A05393" w:rsidRPr="000E4321" w:rsidRDefault="00A05393" w:rsidP="00A05393">
            <w:pPr>
              <w:jc w:val="both"/>
            </w:pPr>
            <w:r w:rsidRPr="000E4321">
              <w:t>Pārejas noteikumi izteikti šādā redakcijā:</w:t>
            </w:r>
          </w:p>
          <w:p w14:paraId="4FD9015D" w14:textId="35B6F453" w:rsidR="009D022B" w:rsidRPr="00D908E7" w:rsidRDefault="00D908E7" w:rsidP="009D022B">
            <w:pPr>
              <w:tabs>
                <w:tab w:val="left" w:pos="142"/>
              </w:tabs>
              <w:jc w:val="both"/>
              <w:rPr>
                <w:u w:val="single"/>
              </w:rPr>
            </w:pPr>
            <w:r>
              <w:rPr>
                <w:spacing w:val="-2"/>
              </w:rPr>
              <w:t>“</w:t>
            </w:r>
            <w:r w:rsidR="00A05393" w:rsidRPr="000E4321">
              <w:rPr>
                <w:spacing w:val="-2"/>
              </w:rPr>
              <w:t xml:space="preserve">92. </w:t>
            </w:r>
            <w:r w:rsidR="00A05393" w:rsidRPr="000E4321">
              <w:t>Grozījumi šā likuma 30. panta trešajā daļā, 3.</w:t>
            </w:r>
            <w:r w:rsidR="00A05393" w:rsidRPr="000E4321">
              <w:rPr>
                <w:vertAlign w:val="superscript"/>
              </w:rPr>
              <w:t>1</w:t>
            </w:r>
            <w:r w:rsidR="00A05393" w:rsidRPr="000E4321">
              <w:t xml:space="preserve"> daļā un 3.</w:t>
            </w:r>
            <w:r w:rsidR="00A05393" w:rsidRPr="000E4321">
              <w:rPr>
                <w:vertAlign w:val="superscript"/>
              </w:rPr>
              <w:t>2</w:t>
            </w:r>
            <w:r w:rsidR="00A05393" w:rsidRPr="000E4321">
              <w:t xml:space="preserve"> daļā, 31. panta pirmā daļā, 32. panta pirmajā daļā, 1.</w:t>
            </w:r>
            <w:r w:rsidR="00A05393" w:rsidRPr="000E4321">
              <w:rPr>
                <w:vertAlign w:val="superscript"/>
              </w:rPr>
              <w:t xml:space="preserve">1 </w:t>
            </w:r>
            <w:r w:rsidR="00A05393" w:rsidRPr="000E4321">
              <w:t xml:space="preserve">daļā un otrā daļā saistībā ar gada pārskatu iesniegšanas termiņiem un Valsts kontroles revīziju </w:t>
            </w:r>
            <w:r w:rsidR="00A05393" w:rsidRPr="00D908E7">
              <w:rPr>
                <w:u w:val="single"/>
              </w:rPr>
              <w:t>stājas spēkā 2023. gada 1. janvārī.</w:t>
            </w:r>
          </w:p>
          <w:p w14:paraId="57CCF6C9" w14:textId="6C248396" w:rsidR="00A05393" w:rsidRPr="000E4321" w:rsidRDefault="00A05393" w:rsidP="009D022B">
            <w:pPr>
              <w:tabs>
                <w:tab w:val="left" w:pos="142"/>
              </w:tabs>
              <w:jc w:val="both"/>
            </w:pPr>
            <w:r w:rsidRPr="000E4321">
              <w:rPr>
                <w:spacing w:val="-2"/>
              </w:rPr>
              <w:t xml:space="preserve">94. </w:t>
            </w:r>
            <w:r w:rsidRPr="000E4321">
              <w:t>Šā likuma 30. panta trešajā daļā, 3.</w:t>
            </w:r>
            <w:r w:rsidRPr="000E4321">
              <w:rPr>
                <w:vertAlign w:val="superscript"/>
              </w:rPr>
              <w:t>1</w:t>
            </w:r>
            <w:r w:rsidRPr="000E4321">
              <w:t xml:space="preserve"> daļā un 3.</w:t>
            </w:r>
            <w:r w:rsidRPr="000E4321">
              <w:rPr>
                <w:vertAlign w:val="superscript"/>
              </w:rPr>
              <w:t>2</w:t>
            </w:r>
            <w:r w:rsidRPr="000E4321">
              <w:t xml:space="preserve"> daļā noteikto pārskatu iesniegšanas termiņu </w:t>
            </w:r>
            <w:r w:rsidRPr="00D908E7">
              <w:rPr>
                <w:u w:val="single"/>
              </w:rPr>
              <w:t>pirmo reizi piemēro 2024. gadā</w:t>
            </w:r>
            <w:r w:rsidRPr="000E4321">
              <w:t xml:space="preserve">, </w:t>
            </w:r>
            <w:r w:rsidRPr="00595998">
              <w:rPr>
                <w:u w:val="single"/>
              </w:rPr>
              <w:t>iesniedzot gada pārskatu vai konsolidēto gada pārskatu par 2023. gadu.</w:t>
            </w:r>
          </w:p>
          <w:p w14:paraId="6D24573B" w14:textId="77777777" w:rsidR="00A05393" w:rsidRPr="000E4321" w:rsidRDefault="00A05393" w:rsidP="00A05393">
            <w:pPr>
              <w:tabs>
                <w:tab w:val="left" w:pos="142"/>
              </w:tabs>
              <w:ind w:firstLine="720"/>
              <w:jc w:val="both"/>
              <w:rPr>
                <w:spacing w:val="-2"/>
              </w:rPr>
            </w:pPr>
          </w:p>
          <w:p w14:paraId="263366F3" w14:textId="77777777" w:rsidR="00A05393" w:rsidRPr="000E4321" w:rsidRDefault="00A05393" w:rsidP="009D022B">
            <w:pPr>
              <w:tabs>
                <w:tab w:val="left" w:pos="142"/>
              </w:tabs>
              <w:jc w:val="both"/>
            </w:pPr>
            <w:r w:rsidRPr="000E4321">
              <w:rPr>
                <w:spacing w:val="-2"/>
              </w:rPr>
              <w:t xml:space="preserve">95. </w:t>
            </w:r>
            <w:r w:rsidRPr="000E4321">
              <w:t>Šā likuma 31. panta pirmajā daļā un 32. panta pirmajā daļā, 1.</w:t>
            </w:r>
            <w:r w:rsidRPr="000E4321">
              <w:rPr>
                <w:vertAlign w:val="superscript"/>
              </w:rPr>
              <w:t xml:space="preserve">1 </w:t>
            </w:r>
            <w:r w:rsidRPr="000E4321">
              <w:t xml:space="preserve">daļā un otrajā daļā noteikto gada pārskatu iesniegšanas termiņu </w:t>
            </w:r>
            <w:r w:rsidRPr="00D908E7">
              <w:rPr>
                <w:u w:val="single"/>
              </w:rPr>
              <w:t>pirmo reizi piemēro 2024. gadā</w:t>
            </w:r>
            <w:r w:rsidRPr="000E4321">
              <w:t xml:space="preserve">, </w:t>
            </w:r>
            <w:r w:rsidRPr="00595998">
              <w:rPr>
                <w:u w:val="single"/>
              </w:rPr>
              <w:t xml:space="preserve">iesniedzot konsolidēto saimnieciskā gada pārskatu par </w:t>
            </w:r>
            <w:r w:rsidRPr="00D908E7">
              <w:rPr>
                <w:u w:val="single"/>
              </w:rPr>
              <w:t>2023. gadu</w:t>
            </w:r>
            <w:r w:rsidRPr="000E4321">
              <w:t>.</w:t>
            </w:r>
          </w:p>
          <w:p w14:paraId="1D013D24" w14:textId="77777777" w:rsidR="00A05393" w:rsidRPr="000E4321" w:rsidRDefault="00A05393" w:rsidP="00A05393">
            <w:pPr>
              <w:tabs>
                <w:tab w:val="left" w:pos="142"/>
              </w:tabs>
              <w:ind w:firstLine="720"/>
              <w:jc w:val="both"/>
              <w:rPr>
                <w:spacing w:val="-2"/>
              </w:rPr>
            </w:pPr>
          </w:p>
          <w:p w14:paraId="53933EC8" w14:textId="77777777" w:rsidR="00A05393" w:rsidRPr="000E4321" w:rsidRDefault="00A05393" w:rsidP="009D022B">
            <w:pPr>
              <w:tabs>
                <w:tab w:val="left" w:pos="142"/>
              </w:tabs>
              <w:jc w:val="both"/>
            </w:pPr>
            <w:r w:rsidRPr="000E4321">
              <w:rPr>
                <w:spacing w:val="-2"/>
              </w:rPr>
              <w:lastRenderedPageBreak/>
              <w:t xml:space="preserve">96. </w:t>
            </w:r>
            <w:r w:rsidRPr="000E4321">
              <w:t xml:space="preserve">Grozījumi šā likuma 31. panta otrajā daļā stājas spēkā </w:t>
            </w:r>
            <w:r w:rsidRPr="00D908E7">
              <w:rPr>
                <w:u w:val="single"/>
              </w:rPr>
              <w:t>2023. gada 1. janvārī</w:t>
            </w:r>
            <w:r w:rsidRPr="000E4321">
              <w:t>. Ministru kabineta noteikumus, kas tiks izdoti uz šā likuma 31. panta otrās daļas un 30. panta 3.</w:t>
            </w:r>
            <w:r w:rsidRPr="000E4321">
              <w:rPr>
                <w:vertAlign w:val="superscript"/>
              </w:rPr>
              <w:t>1</w:t>
            </w:r>
            <w:r w:rsidRPr="000E4321">
              <w:t xml:space="preserve"> daļas pamata, pirmo reizi piemēro 2024. gadā, sagatavojot konsolidēto saimnieciskā gada pārskatu par 2023. gadu. Ministru kabinets minētos noteikumus izdod līdz 2023. gada 1. janvārim. Līdz attiecīgo noteikumu spēkā stāšanās dienai, bet ne ilgāk kā līdz 2023. gada 1. janvārim ir spēkā Ministru kabineta 2020. gada 30. jūnija noteikumi Nr.430  “Saimnieciskā gada pārskata sagatavošanas kārtība” un Ministru kabineta 2018. gada 19. jūnija noteikumi Nr.344 “Gada pārskata sagatavošanas kārtība”, ciktāl tie nav pretrunā ar šo likumu.</w:t>
            </w:r>
          </w:p>
          <w:p w14:paraId="52DC5B0B" w14:textId="77777777" w:rsidR="00A05393" w:rsidRPr="000E4321" w:rsidRDefault="00A05393" w:rsidP="00A05393">
            <w:pPr>
              <w:tabs>
                <w:tab w:val="left" w:pos="142"/>
              </w:tabs>
              <w:ind w:firstLine="720"/>
              <w:jc w:val="both"/>
            </w:pPr>
          </w:p>
          <w:p w14:paraId="6A9D8D69" w14:textId="239F341C" w:rsidR="00A05393" w:rsidRPr="000E4321" w:rsidRDefault="00A05393" w:rsidP="00A05393">
            <w:pPr>
              <w:pStyle w:val="ListParagraph"/>
              <w:spacing w:after="0" w:line="240" w:lineRule="auto"/>
              <w:ind w:left="0"/>
              <w:jc w:val="both"/>
              <w:rPr>
                <w:rFonts w:ascii="Times New Roman" w:hAnsi="Times New Roman"/>
                <w:sz w:val="24"/>
                <w:szCs w:val="24"/>
                <w:lang w:eastAsia="lv-LV"/>
              </w:rPr>
            </w:pPr>
            <w:r w:rsidRPr="000E4321">
              <w:rPr>
                <w:rFonts w:ascii="Times New Roman" w:hAnsi="Times New Roman"/>
                <w:sz w:val="24"/>
                <w:szCs w:val="24"/>
                <w:lang w:eastAsia="lv-LV"/>
              </w:rPr>
              <w:t xml:space="preserve">Anotācijā (papildināta ar </w:t>
            </w:r>
            <w:r w:rsidR="00483359" w:rsidRPr="000E4321">
              <w:rPr>
                <w:rFonts w:ascii="Times New Roman" w:hAnsi="Times New Roman"/>
                <w:sz w:val="24"/>
                <w:szCs w:val="24"/>
                <w:lang w:eastAsia="lv-LV"/>
              </w:rPr>
              <w:t xml:space="preserve">šādu </w:t>
            </w:r>
            <w:r w:rsidRPr="000E4321">
              <w:rPr>
                <w:rFonts w:ascii="Times New Roman" w:hAnsi="Times New Roman"/>
                <w:sz w:val="24"/>
                <w:szCs w:val="24"/>
                <w:lang w:eastAsia="lv-LV"/>
              </w:rPr>
              <w:t>tekstu):</w:t>
            </w:r>
          </w:p>
          <w:p w14:paraId="3946DBDF" w14:textId="77777777" w:rsidR="00A05393" w:rsidRPr="000E4321" w:rsidRDefault="00A05393" w:rsidP="00A05393">
            <w:pPr>
              <w:jc w:val="both"/>
              <w:rPr>
                <w:i/>
              </w:rPr>
            </w:pPr>
            <w:r w:rsidRPr="000E4321">
              <w:rPr>
                <w:i/>
              </w:rPr>
              <w:t>Par LBFV 30.panta trešo daļu:</w:t>
            </w:r>
          </w:p>
          <w:p w14:paraId="6E6DD4F9" w14:textId="77777777" w:rsidR="00A05393" w:rsidRPr="000E4321" w:rsidRDefault="00A05393" w:rsidP="00A05393">
            <w:pPr>
              <w:jc w:val="both"/>
              <w:rPr>
                <w:i/>
              </w:rPr>
            </w:pPr>
            <w:r w:rsidRPr="000E4321">
              <w:rPr>
                <w:i/>
              </w:rPr>
              <w:t>Pārskata gada slēguma inventarizācija un pārskata sagatavošanas termiņi un process</w:t>
            </w:r>
          </w:p>
          <w:p w14:paraId="069041EE" w14:textId="77777777" w:rsidR="00A05393" w:rsidRPr="000E4321" w:rsidRDefault="00A05393" w:rsidP="00A05393">
            <w:pPr>
              <w:jc w:val="both"/>
            </w:pPr>
            <w:r w:rsidRPr="000E4321">
              <w:lastRenderedPageBreak/>
              <w:t xml:space="preserve">Likuma “Par grāmatvedību” 8.pantā noteikts, ka attaisnojuma dokumenti par uzņēmuma, t.sk. budžeta iestāžu, saimnieciskajiem darījumiem ir jāiegrāmato uzņēmuma grāmatvedības reģistros pēc iespējas drīzāk, bet ne vēlāk kā 15 dienu laikā pēc tā mēneša beigām, kurā attaisnojuma dokuments ir saņemts vai izsniegts, un obligāti — ne vēlāk kā līdz tā finanšu pārskata parakstīšanas datumam, kuru sagatavo par šo pārskata periodu. </w:t>
            </w:r>
          </w:p>
          <w:p w14:paraId="673E0978" w14:textId="020E7997" w:rsidR="00A05393" w:rsidRPr="000E4321" w:rsidRDefault="00A05393" w:rsidP="00A05393">
            <w:pPr>
              <w:jc w:val="both"/>
            </w:pPr>
            <w:r w:rsidRPr="000E4321">
              <w:t>Pārskata gada slēguma inventarizācijas termiņš noteikts likum</w:t>
            </w:r>
            <w:r w:rsidR="00483359" w:rsidRPr="000E4321">
              <w:t>a “Par grāmatvedību” 12.pantā</w:t>
            </w:r>
            <w:r w:rsidRPr="000E4321">
              <w:t xml:space="preserve"> drīkst veikt triju mēnešu laikā pirms pārskata gada beigu dienas vai mēneša laikā pēc tās, pārrēķinot inventarizācijas dienā konstatētos atlikumus atbilstoši grāmatvedības datiem pārskata gada beigu dienā.</w:t>
            </w:r>
          </w:p>
          <w:p w14:paraId="51FE41C5" w14:textId="315FB772" w:rsidR="00A05393" w:rsidRPr="000E4321" w:rsidRDefault="00A05393" w:rsidP="00A05393">
            <w:pPr>
              <w:jc w:val="both"/>
            </w:pPr>
            <w:r w:rsidRPr="000E4321">
              <w:t>Ņemot vērā likumā “Par grāmatvedību” noteikto termiņu attaisnojuma dokumentu iegrāmatošanai un inventarizācijas veikšanai, budžeta iestāžu gada pārskata sagatavošanai paredzēts periods 15.janvāris -</w:t>
            </w:r>
            <w:r w:rsidRPr="000E4321">
              <w:lastRenderedPageBreak/>
              <w:t>28.februāris (saskaņā ar pašreiz spēkā esošajām normām 31.janvāris – 31.marts).</w:t>
            </w:r>
          </w:p>
          <w:p w14:paraId="222E021A" w14:textId="77777777" w:rsidR="00A05393" w:rsidRPr="000E4321" w:rsidRDefault="00A05393" w:rsidP="00A05393">
            <w:pPr>
              <w:jc w:val="both"/>
            </w:pPr>
            <w:r w:rsidRPr="000E4321">
              <w:t>Ministriju  un pašvaldību konsolidētā pārskata sagatavošana, pārbaude un auditoru atzinuma sniegšana paredzēta periodā 1.marts –31.marts (saskaņā ar pašreiz spēkā esošajām normām 1.–30.aprīlis).</w:t>
            </w:r>
          </w:p>
          <w:p w14:paraId="5A1369A0" w14:textId="77777777" w:rsidR="00A05393" w:rsidRPr="000E4321" w:rsidRDefault="00A05393" w:rsidP="00A05393">
            <w:pPr>
              <w:jc w:val="both"/>
            </w:pPr>
            <w:r w:rsidRPr="000E4321">
              <w:t xml:space="preserve">Vienlaikus attiecībā uz salīdzināšanos vispārējās valdības sektora ietvaros ePārskatu sistēmā paredzēts veikt grozījumus Ministru kabineta 19.06.2018. noteikumos Nr.344 “Gada pārskata sagatavošanas kārtība” (turpmāk – MK noteikumi Nr.344), paredzot salīdzināšanās procesu pilnībā veikt likumā “Par grāmatvedību” noteiktā inventarizācijas procesa ietvaros. </w:t>
            </w:r>
          </w:p>
          <w:p w14:paraId="35C7F239" w14:textId="77777777" w:rsidR="00A05393" w:rsidRPr="000E4321" w:rsidRDefault="00A05393" w:rsidP="00A05393">
            <w:pPr>
              <w:jc w:val="both"/>
            </w:pPr>
            <w:r w:rsidRPr="000E4321">
              <w:t xml:space="preserve">Pašreiz MK noteikumu Nr.344 134.punktā noteikts, ka salīdzināšanos veic laikposmā no 1. janvāra līdz 31. janvārim, izmantojot ePārskatus, savukārt šo noteikumu 142.punktā noteikts, ka abpusēji saskaņotas salīdzināšanas </w:t>
            </w:r>
            <w:r w:rsidRPr="000E4321">
              <w:lastRenderedPageBreak/>
              <w:t>izziņas (izņemot šo noteikumu 134.4. apakšpunktā minēto izziņu) var labot līdz datumam, kad pārskats apstiprināts publiskošanai, ja abas puses par to savstarpēji vienojas, bet ne vēlāk kā līdz 1. martam. MK noteikumos Nr.344 paredzēts mainīt šo normu, neparedzot papildus salīdzināšanās periodu.</w:t>
            </w:r>
          </w:p>
          <w:p w14:paraId="7DE508DA" w14:textId="77777777" w:rsidR="00483359" w:rsidRPr="000E4321" w:rsidRDefault="00A05393" w:rsidP="00483359">
            <w:pPr>
              <w:pStyle w:val="naisc"/>
              <w:jc w:val="both"/>
            </w:pPr>
            <w:r w:rsidRPr="000E4321">
              <w:t>Lai mazinātu ministriju bažas par gada pārskata sagatavošanas termiņiem, kas varētu ietekmēt datu precizitāti un kvalitāti, Valsts kase pārrunājusi ar Valsts kontroli ministriju izteiktos iebildumus attiecībā uz Valsts kontroles noteiktajiem gada pārskata sniegšanas termiņiem. Valsts kontrole 2020.gada saimnieciskā g</w:t>
            </w:r>
            <w:r w:rsidR="00483359" w:rsidRPr="000E4321">
              <w:t>ada pārskata revīzijas ietvaros</w:t>
            </w:r>
            <w:r w:rsidRPr="000E4321">
              <w:t xml:space="preserve"> plāno veikt horizontālās pārbaudes par gada pārskata sagatavošanas procesu ministrijās</w:t>
            </w:r>
            <w:r w:rsidR="00483359" w:rsidRPr="000E4321">
              <w:t xml:space="preserve"> un centrālajās valsts iestādēs.</w:t>
            </w:r>
          </w:p>
          <w:p w14:paraId="012D27A7" w14:textId="2F23724F" w:rsidR="00A05393" w:rsidRPr="000E4321" w:rsidRDefault="00A05393" w:rsidP="00483359">
            <w:pPr>
              <w:pStyle w:val="naisc"/>
              <w:jc w:val="both"/>
            </w:pPr>
            <w:r w:rsidRPr="000E4321">
              <w:t xml:space="preserve">Savukārt no Likumprojekta izriet, ka saimnieciskā gada pārskata sagatavošanas plānotais termiņš ir 1.aprīlis – 31.maijs (saskaņā ar pašreiz </w:t>
            </w:r>
            <w:r w:rsidRPr="000E4321">
              <w:lastRenderedPageBreak/>
              <w:t>spēkā esošajām normām 1.maijs – 30.jūnijs).</w:t>
            </w:r>
          </w:p>
          <w:p w14:paraId="3C56DE2D" w14:textId="77777777" w:rsidR="00A05393" w:rsidRPr="000E4321" w:rsidRDefault="00A05393" w:rsidP="00A05393">
            <w:pPr>
              <w:jc w:val="both"/>
            </w:pPr>
          </w:p>
          <w:p w14:paraId="6B963A24" w14:textId="77777777" w:rsidR="00A05393" w:rsidRPr="000E4321" w:rsidRDefault="00A05393" w:rsidP="00A05393">
            <w:pPr>
              <w:jc w:val="both"/>
            </w:pPr>
            <w:r w:rsidRPr="000E4321">
              <w:t>e</w:t>
            </w:r>
            <w:r w:rsidRPr="000E4321">
              <w:rPr>
                <w:i/>
              </w:rPr>
              <w:t>Pārskatu sistēma un informācijas apmaiņa</w:t>
            </w:r>
          </w:p>
          <w:p w14:paraId="7D415B8E" w14:textId="77777777" w:rsidR="00A05393" w:rsidRPr="000E4321" w:rsidRDefault="00A05393" w:rsidP="00A05393">
            <w:pPr>
              <w:jc w:val="both"/>
            </w:pPr>
            <w:r w:rsidRPr="000E4321">
              <w:t xml:space="preserve">Informācijas apmaiņas nodrošināšanai ePārskatos, lai mazinātu manuālo datu ievadi un nodrošinātu datu importu no grāmatvedības uzskaites sistēmām, Valsts kase jau vairākus gadus definē pārskatu elektronisko datu apmaiņas faila formātu. Lai izmantotu datu eksportu/ importu, grāmatvedības programmatūras izstrādātajam jāizstrādā datu eksporta fails xml formātā. Pārskatu elektronisko datu apmaiņas faila formātu Valsts kase publicē savā tīmekļa vietnē. </w:t>
            </w:r>
          </w:p>
          <w:p w14:paraId="4F6246C1" w14:textId="77777777" w:rsidR="00A05393" w:rsidRPr="000E4321" w:rsidRDefault="00A05393" w:rsidP="00A05393">
            <w:pPr>
              <w:jc w:val="both"/>
            </w:pPr>
            <w:r w:rsidRPr="000E4321">
              <w:t xml:space="preserve">Turklāt budžeta izpildes pārskatā, ko sagatavo saskaņā ar MK noteikumu Nr.344 1. pielikumu, valsts budžeta iestādēm likuma ar izmaiņām dati un budžeta izpildes dati nav jāievada manuāli, bet tos var eksportēt (pārcelt) no informācijas, kas apstiprināta elektroniskā veidā ePārskatos saskaņā ar  Ministru kabineta 2010. gada 28. decembra noteikumiem Nr. 1220 </w:t>
            </w:r>
            <w:r w:rsidRPr="000E4321">
              <w:lastRenderedPageBreak/>
              <w:t>“Asignējumu piešķiršanas un izpildes kārtība”.</w:t>
            </w:r>
          </w:p>
          <w:p w14:paraId="084130CF" w14:textId="77777777" w:rsidR="00A05393" w:rsidRPr="000E4321" w:rsidRDefault="00A05393" w:rsidP="00A05393">
            <w:pPr>
              <w:jc w:val="both"/>
            </w:pPr>
            <w:r w:rsidRPr="000E4321">
              <w:t>Valsts kase aktīvi strādā, lai vienkāršotu un automatizētu gada pārskata sagatavošanu, izvērtējot 2019.gada pārskata sagatavošanā konstatētās nepilnības un ministriju un pašvaldību iesniegtos priekšlikumus.</w:t>
            </w:r>
          </w:p>
          <w:p w14:paraId="47FA2EBE" w14:textId="77777777" w:rsidR="00A05393" w:rsidRPr="000E4321" w:rsidRDefault="00A05393" w:rsidP="00A05393">
            <w:pPr>
              <w:jc w:val="both"/>
            </w:pPr>
          </w:p>
          <w:p w14:paraId="63E01C0B" w14:textId="77777777" w:rsidR="00A05393" w:rsidRPr="000E4321" w:rsidRDefault="00A05393" w:rsidP="00A05393">
            <w:pPr>
              <w:jc w:val="both"/>
              <w:rPr>
                <w:i/>
              </w:rPr>
            </w:pPr>
            <w:r w:rsidRPr="000E4321">
              <w:rPr>
                <w:i/>
              </w:rPr>
              <w:t xml:space="preserve">Valsts un pašvaldību kapitālsabiedrību finanšu pārskatu sniegšana un normatīvos aktos noteiktie termiņi ministrijām un centrālām valsts iestādēm </w:t>
            </w:r>
          </w:p>
          <w:p w14:paraId="27A0B6DA" w14:textId="77777777" w:rsidR="00A05393" w:rsidRPr="000E4321" w:rsidRDefault="00A05393" w:rsidP="00A05393">
            <w:pPr>
              <w:jc w:val="both"/>
            </w:pPr>
            <w:r w:rsidRPr="000E4321">
              <w:t xml:space="preserve">Ministru kabineta 2012.gada 25.septembra noteikumos Nr.643 “Kārtība, kādā ministrijas un centrālās valsts iestādes, kā arī pašvaldības apkopo kapitālsabiedrību finanšu pārskatus un finanšu informāciju” noteikts termiņš 1.marts valsts un pašvaldību kapitālsabiedrību finanšu pārskatu iesniegšanai Valsts kasē, bet kapitāldaļu turētājs ir tiesīgs kapitālsabiedrībām pieprasīt iesniegt attiecīgo informāciju tādā termiņā, lai nodrošinātu ministriju un pašvaldību konsolidēto gada pārskatu sagatavošanu saskaņā ar katras nozares un </w:t>
            </w:r>
            <w:r w:rsidRPr="000E4321">
              <w:lastRenderedPageBreak/>
              <w:t xml:space="preserve">pašvaldības noteikto kārtību un termiņiem. </w:t>
            </w:r>
          </w:p>
          <w:p w14:paraId="5B938F67" w14:textId="77777777" w:rsidR="00A05393" w:rsidRPr="000E4321" w:rsidRDefault="00A05393" w:rsidP="00A05393">
            <w:pPr>
              <w:jc w:val="both"/>
            </w:pPr>
          </w:p>
          <w:p w14:paraId="46F143D3" w14:textId="77777777" w:rsidR="00A05393" w:rsidRPr="000E4321" w:rsidRDefault="00A05393" w:rsidP="00A05393">
            <w:pPr>
              <w:jc w:val="both"/>
            </w:pPr>
            <w:r w:rsidRPr="000E4321">
              <w:rPr>
                <w:i/>
              </w:rPr>
              <w:t>Gada pārskata skaidrojošās informācijas apjoma samazināšana</w:t>
            </w:r>
          </w:p>
          <w:p w14:paraId="30C3D496" w14:textId="77777777" w:rsidR="00A05393" w:rsidRPr="000E4321" w:rsidRDefault="00A05393" w:rsidP="00A05393">
            <w:pPr>
              <w:jc w:val="both"/>
            </w:pPr>
            <w:r w:rsidRPr="000E4321">
              <w:t>Valsts kase aktīvi strādā pie ePārskatu sistēmas uzstādījumu pilnveidošanas, lai vienkāršotu un automatizētu gada pārskata, tai skaitā skaidrojumu, sagatavošanu, izvērtējot 2019.gada pārskata sagatavošanā konstatētās nepilnības un ministriju un pašvaldību iesniegtos priekšlikumus. Piemēram, sākot ar 2020.gada gada pārskatu ministrijām būs iespēja summēt padotības iestāžu konsolidētos skaidrojumus, kas būtiski samazinās konsolidētā pārskata skaidrojumu sagatavošanas laiku, kā arī plānots samazināt tekstuālās informācijas ievades apjomu finanšu pārskatu piezīmēs.</w:t>
            </w:r>
          </w:p>
          <w:p w14:paraId="63BF5DA6" w14:textId="77777777" w:rsidR="00A05393" w:rsidRPr="000E4321" w:rsidRDefault="00A05393" w:rsidP="00A05393">
            <w:pPr>
              <w:pStyle w:val="ListParagraph"/>
              <w:spacing w:after="0" w:line="240" w:lineRule="auto"/>
              <w:ind w:left="0"/>
              <w:jc w:val="both"/>
              <w:rPr>
                <w:rFonts w:ascii="Times New Roman" w:hAnsi="Times New Roman"/>
                <w:i/>
                <w:sz w:val="24"/>
                <w:szCs w:val="24"/>
                <w:u w:val="single"/>
                <w:lang w:eastAsia="lv-LV"/>
              </w:rPr>
            </w:pPr>
            <w:r w:rsidRPr="000E4321">
              <w:rPr>
                <w:rFonts w:ascii="Times New Roman" w:hAnsi="Times New Roman"/>
                <w:i/>
                <w:sz w:val="24"/>
                <w:szCs w:val="24"/>
                <w:u w:val="single"/>
                <w:lang w:eastAsia="lv-LV"/>
              </w:rPr>
              <w:t>Par LBFV 30.panta (3)</w:t>
            </w:r>
            <w:r w:rsidRPr="000E4321">
              <w:rPr>
                <w:rFonts w:ascii="Times New Roman" w:hAnsi="Times New Roman"/>
                <w:i/>
                <w:sz w:val="24"/>
                <w:szCs w:val="24"/>
                <w:u w:val="single"/>
                <w:vertAlign w:val="superscript"/>
                <w:lang w:eastAsia="lv-LV"/>
              </w:rPr>
              <w:t>1</w:t>
            </w:r>
            <w:r w:rsidRPr="000E4321">
              <w:rPr>
                <w:rFonts w:ascii="Times New Roman" w:hAnsi="Times New Roman"/>
                <w:i/>
                <w:sz w:val="24"/>
                <w:szCs w:val="24"/>
                <w:u w:val="single"/>
                <w:lang w:eastAsia="lv-LV"/>
              </w:rPr>
              <w:t xml:space="preserve"> un (3</w:t>
            </w:r>
            <w:r w:rsidRPr="000E4321">
              <w:rPr>
                <w:rFonts w:ascii="Times New Roman" w:hAnsi="Times New Roman"/>
                <w:i/>
                <w:sz w:val="24"/>
                <w:szCs w:val="24"/>
                <w:u w:val="single"/>
                <w:vertAlign w:val="superscript"/>
                <w:lang w:eastAsia="lv-LV"/>
              </w:rPr>
              <w:t>2</w:t>
            </w:r>
            <w:r w:rsidRPr="000E4321">
              <w:rPr>
                <w:rFonts w:ascii="Times New Roman" w:hAnsi="Times New Roman"/>
                <w:i/>
                <w:sz w:val="24"/>
                <w:szCs w:val="24"/>
                <w:u w:val="single"/>
                <w:lang w:eastAsia="lv-LV"/>
              </w:rPr>
              <w:t>) daļā noteiktā ikgadējā pārskata sagatavošanas termiņu</w:t>
            </w:r>
          </w:p>
          <w:p w14:paraId="3F789D5E" w14:textId="77777777" w:rsidR="00A05393" w:rsidRPr="000E4321" w:rsidRDefault="00A05393" w:rsidP="00A05393">
            <w:pPr>
              <w:jc w:val="both"/>
            </w:pPr>
            <w:r w:rsidRPr="000E4321">
              <w:t xml:space="preserve">LBFV 29.panta pirmā daļa nosaka, ka Valsts kase kārto valsts budžeta finanšu uzskaiti </w:t>
            </w:r>
            <w:r w:rsidRPr="000E4321">
              <w:lastRenderedPageBreak/>
              <w:t xml:space="preserve">un šī panta otrā daļa nosaka, ka Valsts ieņēmumu dienests kārto tā administrēto nodokļu, nodevu un citu šā dienesta administrēto uz valsts budžetu attiecināmo maksājumu uzskaiti, sekojoši arī Valsts kase un Valsts ieņēmumu dienests atbilstoši LBFV 30.panta pirmā daļas otrajā teikumā noteiktam — “papildus šīs daļas pirmajā teikumā minētajam Valsts kase sagatavo arī ikgadējo pārskatu par valsts budžeta finanšu uzskaiti un Valsts ieņēmumu dienests — arī ikgadējo pārskatu par šā dienesta administrētiem nodokļiem, nodevām un citiem tā administrētiem uz valsts budžetu attiecināmiem maksājumiem” sagatavo šos ikgadējos pārskatus, kas ir atsevišķi pārskati un kas nav Finanšu ministrijas kā resora sagatavotie pārskati. Lai nodrošinātu šo pārskatu konsolidāciju Saimnieciskā gada pārskatā, LBFV 30.panta </w:t>
            </w:r>
            <w:r w:rsidRPr="000E4321">
              <w:rPr>
                <w:u w:val="single"/>
              </w:rPr>
              <w:t>(3)</w:t>
            </w:r>
            <w:r w:rsidRPr="000E4321">
              <w:rPr>
                <w:u w:val="single"/>
                <w:vertAlign w:val="superscript"/>
              </w:rPr>
              <w:t>1</w:t>
            </w:r>
            <w:r w:rsidRPr="000E4321">
              <w:rPr>
                <w:u w:val="single"/>
              </w:rPr>
              <w:t xml:space="preserve"> un (3</w:t>
            </w:r>
            <w:r w:rsidRPr="000E4321">
              <w:rPr>
                <w:u w:val="single"/>
                <w:vertAlign w:val="superscript"/>
              </w:rPr>
              <w:t>2</w:t>
            </w:r>
            <w:r w:rsidRPr="000E4321">
              <w:rPr>
                <w:u w:val="single"/>
              </w:rPr>
              <w:t xml:space="preserve">) </w:t>
            </w:r>
            <w:r w:rsidRPr="000E4321">
              <w:t>daļā noteikts ikgadējo pārskatu sniegšanas termiņš, kas saskaņots ar ministriju un centrālo valsts iestāžu un pašvaldību gada pārskatu sniegšanas termiņu.</w:t>
            </w:r>
          </w:p>
          <w:p w14:paraId="113A06DA" w14:textId="77777777" w:rsidR="00A05393" w:rsidRPr="000E4321" w:rsidRDefault="00A05393" w:rsidP="00A05393">
            <w:pPr>
              <w:tabs>
                <w:tab w:val="left" w:pos="142"/>
              </w:tabs>
              <w:ind w:firstLine="720"/>
              <w:jc w:val="both"/>
            </w:pPr>
            <w:r w:rsidRPr="000E4321">
              <w:lastRenderedPageBreak/>
              <w:t>[…]</w:t>
            </w:r>
          </w:p>
          <w:p w14:paraId="7A259BA7" w14:textId="77777777" w:rsidR="00A05393" w:rsidRPr="000E4321" w:rsidRDefault="00A05393" w:rsidP="00A05393">
            <w:pPr>
              <w:jc w:val="both"/>
              <w:rPr>
                <w:b/>
              </w:rPr>
            </w:pPr>
            <w:r w:rsidRPr="000E4321">
              <w:rPr>
                <w:b/>
              </w:rPr>
              <w:t>Citi nepieciešamie un tehniskie grozījumi</w:t>
            </w:r>
          </w:p>
          <w:p w14:paraId="0FD15A4B" w14:textId="77777777" w:rsidR="00A05393" w:rsidRPr="000E4321" w:rsidRDefault="00A05393" w:rsidP="00A05393">
            <w:pPr>
              <w:tabs>
                <w:tab w:val="left" w:pos="142"/>
              </w:tabs>
              <w:ind w:firstLine="720"/>
              <w:jc w:val="both"/>
            </w:pPr>
            <w:r w:rsidRPr="000E4321">
              <w:t>[…]</w:t>
            </w:r>
          </w:p>
          <w:p w14:paraId="6D81B633" w14:textId="77777777" w:rsidR="00A05393" w:rsidRPr="000E4321" w:rsidRDefault="00A05393" w:rsidP="00A05393">
            <w:pPr>
              <w:jc w:val="both"/>
            </w:pPr>
            <w:r w:rsidRPr="000E4321">
              <w:t>[2] LBFV 31. panta otrā daļā precizēts deleģējums Ministru kabinetam noteikumu  izdošanai, izslēdzot likumā noteikto normu par saturu un apjomu, tādējādi vienlaikus normatīvais regulējums nodrošinātu, ka likuma deleģējums izstrādāt kārtību, kādā Finanšu ministrija sagatavo konsolidēto saimnieciskā gada pārskatu, ir saskaņots ar likuma deleģējumu, kas noteikts LBFV 30. panta 1.</w:t>
            </w:r>
            <w:r w:rsidRPr="000E4321">
              <w:rPr>
                <w:vertAlign w:val="superscript"/>
              </w:rPr>
              <w:t>1</w:t>
            </w:r>
            <w:r w:rsidRPr="000E4321">
              <w:t xml:space="preserve"> daļā minētajiem subjektiem, un nodrošina iespēju normatīvā regulējuma normu iekļaušanu vienos Ministru kabineta noteikumos, izslēdzot normu dublēšanu un divu normatīvo aktu izdošanu. Attiecībā uz LBFV 31. panta otrajā daļā noteikto deleģējumu Ministru kabinetam izdot noteikumus par kārtību, kādā Finanšu ministrija sagatavo konsolidēto saimnieciskā gada pārskatu </w:t>
            </w:r>
            <w:r w:rsidRPr="000E4321">
              <w:softHyphen/>
              <w:t>– šī norma stātos spēkā 2023. gada 1. janvārī, apvienojot vienos noteikumos likuma 30. panta 1.</w:t>
            </w:r>
            <w:r w:rsidRPr="000E4321">
              <w:rPr>
                <w:vertAlign w:val="superscript"/>
              </w:rPr>
              <w:t>1</w:t>
            </w:r>
            <w:r w:rsidRPr="000E4321">
              <w:t xml:space="preserve"> daļā </w:t>
            </w:r>
            <w:r w:rsidRPr="000E4321">
              <w:lastRenderedPageBreak/>
              <w:t xml:space="preserve">(spēkā esošie Ministru kabineta 2018. gada 19.jūnija noteikumi Nr.344 </w:t>
            </w:r>
            <w:r w:rsidRPr="000E4321">
              <w:rPr>
                <w:shd w:val="clear" w:color="auto" w:fill="FFFFFF"/>
              </w:rPr>
              <w:t>“</w:t>
            </w:r>
            <w:r w:rsidRPr="000E4321">
              <w:rPr>
                <w:bCs/>
                <w:shd w:val="clear" w:color="auto" w:fill="FFFFFF"/>
              </w:rPr>
              <w:t>Gada pārskata sagatavošanas kārtība”</w:t>
            </w:r>
            <w:r w:rsidRPr="000E4321">
              <w:t xml:space="preserve">), 30. panta trešajā daļā (piemēro Ministru kabineta 2018. gada 19.jūnija noteikumus Nr.344 </w:t>
            </w:r>
            <w:r w:rsidRPr="000E4321">
              <w:rPr>
                <w:shd w:val="clear" w:color="auto" w:fill="FFFFFF"/>
              </w:rPr>
              <w:t>“</w:t>
            </w:r>
            <w:r w:rsidRPr="000E4321">
              <w:rPr>
                <w:bCs/>
                <w:shd w:val="clear" w:color="auto" w:fill="FFFFFF"/>
              </w:rPr>
              <w:t>Gada pārskata sagatavošanas kārtība”</w:t>
            </w:r>
            <w:r w:rsidRPr="000E4321">
              <w:t xml:space="preserve">) un 31. panta otrajā daļā (spēkā esošie Ministru kabineta 2020. gada 30. jūnija noteikumi Nr.430 </w:t>
            </w:r>
            <w:r w:rsidRPr="000E4321">
              <w:rPr>
                <w:shd w:val="clear" w:color="auto" w:fill="FFFFFF"/>
              </w:rPr>
              <w:t>“S</w:t>
            </w:r>
            <w:r w:rsidRPr="000E4321">
              <w:rPr>
                <w:bCs/>
                <w:shd w:val="clear" w:color="auto" w:fill="FFFFFF"/>
              </w:rPr>
              <w:t xml:space="preserve">aimnieciskā gada pārskata sagatavošanas kārtība” (stājās spēkā ar 2020. gada 7.jūliju) </w:t>
            </w:r>
            <w:r w:rsidRPr="000E4321">
              <w:t xml:space="preserve">noteikto deleģējumu. Minētos jaunos noteikumus pirmo reizi piemērotu 2024. gadā, sagatavojot konsolidēto saimnieciskā gada pārskatu par 2023. gadu. Šāda pārejas norma nodrošina vienmērīgu pāreju uz jaunajām 30. un 31. panta normām, paredzot iestādēm iespēju pārkārtot savus procesus normatīvā regulējuma izpildes nodrošināšanai, kā arī lai mazinātu ministriju bažas par gada pārskata sagatavošanas termiņiem, kas varētu ietekmēt datu precizitāti un kvalitāti, Valsts kontrole 2020.gada saimnieciskā gada pārskata revīzijas ietvaros. </w:t>
            </w:r>
            <w:r w:rsidRPr="000E4321">
              <w:lastRenderedPageBreak/>
              <w:t>plāno veikt horizontālās pārbaudes par gada pārskata sagatavošanas procesu ministrijās un centrālajās valsts iestādēs.</w:t>
            </w:r>
          </w:p>
          <w:p w14:paraId="2437C342" w14:textId="77777777" w:rsidR="00A05393" w:rsidRPr="000E4321" w:rsidRDefault="00A05393" w:rsidP="00A05393">
            <w:pPr>
              <w:jc w:val="both"/>
            </w:pPr>
            <w:r w:rsidRPr="000E4321">
              <w:t>Ņemot vērā Valsts kontroles revīzijās konstatēto, iespējams optimizēt gada pārskata sagatavošanas laiku. Līdz attiecīgo noteikumu spēkā stāšanās dienai, bet ne ilgāk kā līdz 2023. gada 1. janvārim ir spēkā Ministru kabineta 2020. gada 30.jūnija noteikumi Nr.430 “Saimnieciskā gada pārskata sagatavošanas kārtība” un Ministru kabineta 2018. gada 19. jūnija noteikumi Nr.344 “Gada pārskata sagatavošanas kārtība”, ciktāl tie nav pretrunā ar LBFV. Jaunie Ministru kabineta noteikumi izstrādājami (atbildīgā Valsts kase) un tiem jāstājas spēkā ar 2023. gada 1. janvāri;</w:t>
            </w:r>
          </w:p>
          <w:p w14:paraId="0A4A70DB" w14:textId="77777777" w:rsidR="00A05393" w:rsidRPr="000E4321" w:rsidRDefault="00A05393" w:rsidP="00A05393">
            <w:pPr>
              <w:jc w:val="both"/>
            </w:pPr>
          </w:p>
          <w:p w14:paraId="64D825AC" w14:textId="77777777" w:rsidR="00A05393" w:rsidRPr="000E4321" w:rsidRDefault="00A05393" w:rsidP="00A05393">
            <w:pPr>
              <w:jc w:val="both"/>
              <w:rPr>
                <w:b/>
                <w:bCs/>
              </w:rPr>
            </w:pPr>
            <w:r w:rsidRPr="000E4321">
              <w:rPr>
                <w:b/>
                <w:bCs/>
              </w:rPr>
              <w:t>IV. Tiesību akta projekta ietekme uz spēkā esošo tiesību normu sistēmu</w:t>
            </w:r>
          </w:p>
          <w:p w14:paraId="532A2674" w14:textId="77777777" w:rsidR="00A05393" w:rsidRPr="000E4321" w:rsidRDefault="00A05393" w:rsidP="00A05393">
            <w:pPr>
              <w:jc w:val="both"/>
              <w:rPr>
                <w:iCs/>
              </w:rPr>
            </w:pPr>
            <w:r w:rsidRPr="000E4321">
              <w:rPr>
                <w:iCs/>
              </w:rPr>
              <w:t>[1]</w:t>
            </w:r>
          </w:p>
          <w:p w14:paraId="13120A5B" w14:textId="77777777" w:rsidR="00A05393" w:rsidRPr="000E4321" w:rsidRDefault="00A05393" w:rsidP="00A05393">
            <w:pPr>
              <w:jc w:val="both"/>
            </w:pPr>
            <w:r w:rsidRPr="000E4321">
              <w:rPr>
                <w:iCs/>
              </w:rPr>
              <w:t>[…]</w:t>
            </w:r>
          </w:p>
          <w:p w14:paraId="70FF6625" w14:textId="74C15973" w:rsidR="00A05393" w:rsidRPr="000E4321" w:rsidRDefault="00A05393" w:rsidP="00483359">
            <w:pPr>
              <w:jc w:val="both"/>
            </w:pPr>
            <w:r w:rsidRPr="000E4321">
              <w:t xml:space="preserve">Līdz ar LBFV 31. panta otrajā daļā noteikto deleģējumu Ministru kabinetam izdot noteikumus par kārtību, kādā </w:t>
            </w:r>
            <w:r w:rsidRPr="000E4321">
              <w:lastRenderedPageBreak/>
              <w:t>Finanšu ministrija sagatavo konsolidēto saimnieciskā gada pārskatu </w:t>
            </w:r>
            <w:r w:rsidRPr="000E4321">
              <w:softHyphen/>
              <w:t>– šī norma stātos spēkā 2023. gada 1. janvārī, apvienojot vienos noteikumos likuma 30. panta 1.</w:t>
            </w:r>
            <w:r w:rsidRPr="000E4321">
              <w:rPr>
                <w:vertAlign w:val="superscript"/>
              </w:rPr>
              <w:t>1</w:t>
            </w:r>
            <w:r w:rsidRPr="000E4321">
              <w:t xml:space="preserve"> daļā (spēkā esošie Ministru kabineta 2018. gada 19.jūnija noteikumi Nr.344 </w:t>
            </w:r>
            <w:r w:rsidRPr="000E4321">
              <w:rPr>
                <w:shd w:val="clear" w:color="auto" w:fill="FFFFFF"/>
              </w:rPr>
              <w:t>“</w:t>
            </w:r>
            <w:r w:rsidRPr="000E4321">
              <w:rPr>
                <w:bCs/>
                <w:shd w:val="clear" w:color="auto" w:fill="FFFFFF"/>
              </w:rPr>
              <w:t>Gada pārskata sagatavošanas kārtība”</w:t>
            </w:r>
            <w:r w:rsidRPr="000E4321">
              <w:t xml:space="preserve">), 30. panta trešajā daļā (piemēro Ministru kabineta 2018. gada 19.jūnija noteikumus Nr.344 </w:t>
            </w:r>
            <w:r w:rsidRPr="000E4321">
              <w:rPr>
                <w:shd w:val="clear" w:color="auto" w:fill="FFFFFF"/>
              </w:rPr>
              <w:t>“</w:t>
            </w:r>
            <w:r w:rsidRPr="000E4321">
              <w:rPr>
                <w:bCs/>
                <w:shd w:val="clear" w:color="auto" w:fill="FFFFFF"/>
              </w:rPr>
              <w:t>Gada pārskata sagatavošanas kārtība”</w:t>
            </w:r>
            <w:r w:rsidRPr="000E4321">
              <w:t xml:space="preserve">) un 31. panta otrajā daļā (spēkā esošie Ministru kabineta 2020. gada 30. jūnija noteikumi Nr.430 </w:t>
            </w:r>
            <w:r w:rsidRPr="000E4321">
              <w:rPr>
                <w:shd w:val="clear" w:color="auto" w:fill="FFFFFF"/>
              </w:rPr>
              <w:t>“S</w:t>
            </w:r>
            <w:r w:rsidRPr="000E4321">
              <w:rPr>
                <w:bCs/>
                <w:shd w:val="clear" w:color="auto" w:fill="FFFFFF"/>
              </w:rPr>
              <w:t xml:space="preserve">aimnieciskā gada pārskata sagatavošanas kārtība” (stājās spēkā ar 2020. gada 7.jūliju) </w:t>
            </w:r>
            <w:r w:rsidRPr="000E4321">
              <w:t>noteikto deleģējumu. Minētos jaunos noteikumus pirmo reizi piemērotu 2024. gadā, sagatavojot konsolidēto saimnieciskā gada pārskatu par 2023. gadu. Valsts kase sagatavos jaunos Ministru kabineta noteikumus, kam jāstājas spēkā ar 2023. gada</w:t>
            </w:r>
            <w:r w:rsidR="00483359" w:rsidRPr="000E4321">
              <w:t xml:space="preserve"> 1. janvāri.</w:t>
            </w:r>
          </w:p>
        </w:tc>
      </w:tr>
      <w:tr w:rsidR="00A05393" w:rsidRPr="000E4321" w14:paraId="6FD1FC5B" w14:textId="77777777" w:rsidTr="00840182">
        <w:tc>
          <w:tcPr>
            <w:tcW w:w="567" w:type="dxa"/>
            <w:tcBorders>
              <w:top w:val="single" w:sz="6" w:space="0" w:color="000000"/>
              <w:left w:val="single" w:sz="6" w:space="0" w:color="000000"/>
              <w:bottom w:val="single" w:sz="6" w:space="0" w:color="000000"/>
              <w:right w:val="single" w:sz="6" w:space="0" w:color="000000"/>
            </w:tcBorders>
          </w:tcPr>
          <w:p w14:paraId="12256305" w14:textId="77777777" w:rsidR="00A05393" w:rsidRPr="000E4321" w:rsidRDefault="00A05393" w:rsidP="00A05393">
            <w:pPr>
              <w:pStyle w:val="naisc"/>
              <w:spacing w:before="0" w:after="0"/>
              <w:jc w:val="left"/>
            </w:pPr>
            <w:r w:rsidRPr="000E4321">
              <w:lastRenderedPageBreak/>
              <w:t>2.</w:t>
            </w:r>
          </w:p>
        </w:tc>
        <w:tc>
          <w:tcPr>
            <w:tcW w:w="2686" w:type="dxa"/>
            <w:tcBorders>
              <w:top w:val="single" w:sz="6" w:space="0" w:color="000000"/>
              <w:left w:val="single" w:sz="6" w:space="0" w:color="000000"/>
              <w:bottom w:val="single" w:sz="6" w:space="0" w:color="000000"/>
              <w:right w:val="single" w:sz="6" w:space="0" w:color="000000"/>
            </w:tcBorders>
          </w:tcPr>
          <w:p w14:paraId="3F546E44" w14:textId="77777777" w:rsidR="00A05393" w:rsidRPr="000E4321" w:rsidRDefault="00A05393" w:rsidP="00A05393">
            <w:pPr>
              <w:jc w:val="both"/>
            </w:pPr>
            <w:r w:rsidRPr="000E4321">
              <w:t>Izteikt terminu “Investīcijas” šādā redakcijā:</w:t>
            </w:r>
          </w:p>
          <w:p w14:paraId="2516EA11" w14:textId="77777777" w:rsidR="00A05393" w:rsidRPr="000E4321" w:rsidRDefault="00A05393" w:rsidP="00A05393">
            <w:pPr>
              <w:jc w:val="both"/>
            </w:pPr>
            <w:r w:rsidRPr="000E4321">
              <w:lastRenderedPageBreak/>
              <w:t>“Budžetu investīcijas – budžetu izdevumi pamatkapitāla veidošanai, kuru rezultātā rodas jauns pamatlīdzeklis, ieguldījuma īpašums vai nemateriālais ieguldījums, vai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p>
        </w:tc>
        <w:tc>
          <w:tcPr>
            <w:tcW w:w="5562" w:type="dxa"/>
            <w:gridSpan w:val="2"/>
            <w:tcBorders>
              <w:top w:val="single" w:sz="6" w:space="0" w:color="000000"/>
              <w:left w:val="single" w:sz="6" w:space="0" w:color="000000"/>
              <w:bottom w:val="single" w:sz="6" w:space="0" w:color="000000"/>
              <w:right w:val="single" w:sz="6" w:space="0" w:color="000000"/>
            </w:tcBorders>
          </w:tcPr>
          <w:p w14:paraId="7B1E4CF6" w14:textId="77777777" w:rsidR="00A05393" w:rsidRPr="000E4321" w:rsidRDefault="00A05393" w:rsidP="00A05393">
            <w:pPr>
              <w:pStyle w:val="naisc"/>
              <w:spacing w:before="0" w:after="0"/>
              <w:jc w:val="both"/>
            </w:pPr>
            <w:r w:rsidRPr="000E4321">
              <w:rPr>
                <w:b/>
              </w:rPr>
              <w:lastRenderedPageBreak/>
              <w:t>Iekšlietu ministrija (iebildums):</w:t>
            </w:r>
          </w:p>
          <w:p w14:paraId="547B81D0" w14:textId="64AE9621" w:rsidR="00A05393" w:rsidRPr="000E4321" w:rsidRDefault="00A05393" w:rsidP="00A05393">
            <w:pPr>
              <w:pStyle w:val="naisc"/>
              <w:spacing w:before="0" w:after="0"/>
              <w:jc w:val="both"/>
            </w:pPr>
            <w:r w:rsidRPr="000E4321">
              <w:t xml:space="preserve">Precizēt likumprojekta 1. pantā ietverto grozījumu Likuma par budžetu un finanšu vadību” (turpmāk – likums) I. nodaļā attiecībā uz termina “Budžeta </w:t>
            </w:r>
            <w:r w:rsidRPr="000E4321">
              <w:lastRenderedPageBreak/>
              <w:t>investīcijas” skaidrojumu, jo par budžeta investīcijām nebūtu jāuzskata pamatlīdzekļu atjaunošana, ņemot vērā, ka pamatā investīcijas ir vērstas uz attīstību, izaugsmi ilgtermiņā, inovāciju ieviešanu. Vienlaikus ierosinām svītrot vārdu “rodas” un lietot vārdus “tiek radīts”.</w:t>
            </w:r>
          </w:p>
          <w:p w14:paraId="18C26A80" w14:textId="77777777" w:rsidR="00A05393" w:rsidRPr="000E4321" w:rsidRDefault="00A05393" w:rsidP="00A05393">
            <w:pPr>
              <w:pStyle w:val="naisc"/>
              <w:spacing w:before="0" w:after="0"/>
              <w:jc w:val="both"/>
            </w:pPr>
          </w:p>
          <w:p w14:paraId="67667194" w14:textId="77777777" w:rsidR="00A05393" w:rsidRPr="000E4321" w:rsidRDefault="00A05393" w:rsidP="00A05393">
            <w:pPr>
              <w:pStyle w:val="naisc"/>
              <w:spacing w:before="0" w:after="0"/>
              <w:jc w:val="both"/>
            </w:pPr>
            <w:r w:rsidRPr="000E4321">
              <w:rPr>
                <w:b/>
              </w:rPr>
              <w:t>Iekšlietu ministrija (iebildums):</w:t>
            </w:r>
          </w:p>
          <w:p w14:paraId="212FD990" w14:textId="602029F5" w:rsidR="00A05393" w:rsidRPr="000E4321" w:rsidRDefault="00A05393" w:rsidP="00A05393">
            <w:pPr>
              <w:pStyle w:val="naisc"/>
              <w:spacing w:before="0" w:after="0"/>
              <w:jc w:val="both"/>
            </w:pPr>
            <w:r w:rsidRPr="000E4321">
              <w:t>Lūdzam papildināt likumprojekta anotāciju ar skaidrojošu informāciju par valsts budžeta investīciju plānošanu valsts budžeta ilgtermiņa saistībās (turpmāk – ilgtermiņa saistības). Piemēram, prioritārajam pasākumam “Iekšlietu resora informācijas aprites drošības uzlabošana” (turpmāk – prioritārais pasākums) 2020.gadā piešķirts finansējums 2 480 122 euro, tai skaitā uz valsts budžeta investīcijām attiecināmi izdevumi 1 076 174 euro, un atbilstoši projekta anotācijas IV. sadaļā “1.Saistītie tiesību aktu projekti” norādītajam, izdevumi pamatkapitāla veidošanai plānojami ilgtermiņa saistībās (plānots precizēt Ministru kabineta 2012.gada 31.jūlija noteikumu Nr.523 “Noteikumi par budžeta pieprasījumu izstrādāšanas un iesniegšanas pamatprincipiem” (turpmāk – noteikumi Nr.523) 64.punktu, kurā tiek definēti saistību veidi). Ņemot vērā, ka ilgtermiņa saistību pasākumiem tiek veidoti atsevišķi finansēšanas plāni un atvērti konti Valsts kasē, prioritārais pasākums būtu plānojams gan kā ilgtermiņa saistības (izdevumi pamatkapitāla veidošanai), gan kā pasākums iestādes apstiprinātajā budžetā (pasākumam plānotie pārējie izdevumi). Turklāt jāņem vērā, ka n gada budžeta izpildes procesā tiek veiktas izmaiņas starp izdevumu ekonomiskās klasifikācijas kodiem atbilstoši noslēgtajiem iepirkumu līgumiem.</w:t>
            </w:r>
          </w:p>
          <w:p w14:paraId="44C60856" w14:textId="77777777" w:rsidR="00A05393" w:rsidRPr="000E4321" w:rsidRDefault="00A05393" w:rsidP="00A05393">
            <w:pPr>
              <w:pStyle w:val="naisc"/>
              <w:spacing w:before="0" w:after="0"/>
              <w:jc w:val="both"/>
            </w:pPr>
          </w:p>
          <w:p w14:paraId="43BA2A5A" w14:textId="77777777" w:rsidR="00A05393" w:rsidRPr="000E4321" w:rsidRDefault="00A05393" w:rsidP="00A05393">
            <w:pPr>
              <w:pStyle w:val="naisc"/>
              <w:spacing w:before="0" w:after="0"/>
              <w:jc w:val="both"/>
            </w:pPr>
            <w:r w:rsidRPr="000E4321">
              <w:rPr>
                <w:b/>
              </w:rPr>
              <w:t>Aizsardzības ministrija (iebildums):</w:t>
            </w:r>
          </w:p>
          <w:p w14:paraId="57F78BA5" w14:textId="77777777" w:rsidR="00A05393" w:rsidRPr="000E4321" w:rsidRDefault="00A05393" w:rsidP="00A05393">
            <w:pPr>
              <w:pStyle w:val="naisc"/>
              <w:spacing w:before="0" w:after="0"/>
              <w:jc w:val="both"/>
            </w:pPr>
            <w:r w:rsidRPr="000E4321">
              <w:lastRenderedPageBreak/>
              <w:t>Norādām, ka Aizsardzības ministrijai ir plānotas iegādes, kā arī būvdarbi ilgtermiņa saistību projekta “Pārējās valsts budžeta investīcijas” ietvaros, kuras pārsniedz vidēja termiņa budžeta ietvara likumu un daļa šo iegāžu un būvdarbu nav klasificējamas kā izdevumi pamatkapitāla veidošanai. Ņemot vērā iepriekš minēto, lūdzam, papildināt likumprojekta 1.pantā minēto terminu “Budžeta investīcijas” aiz vārda “rādītājiem” ar vārdiem ”vai budžeta izdevumi Aizsardzības ministrijas ilgtermiņa spēju attīstības projektiem.”</w:t>
            </w:r>
          </w:p>
          <w:p w14:paraId="4EB527AF" w14:textId="13CC124A" w:rsidR="00A05393" w:rsidRPr="000E4321" w:rsidRDefault="00A05393" w:rsidP="00A05393">
            <w:pPr>
              <w:pStyle w:val="naisc"/>
              <w:spacing w:before="0" w:after="0"/>
              <w:jc w:val="both"/>
            </w:pPr>
          </w:p>
          <w:p w14:paraId="3DD935C6" w14:textId="77777777" w:rsidR="00A05393" w:rsidRPr="000E4321" w:rsidRDefault="00A05393" w:rsidP="00A05393">
            <w:pPr>
              <w:pStyle w:val="naisc"/>
              <w:spacing w:before="0" w:after="0"/>
              <w:jc w:val="both"/>
            </w:pPr>
            <w:r w:rsidRPr="000E4321">
              <w:rPr>
                <w:b/>
              </w:rPr>
              <w:t>Iekšlietu ministrija (iebildums):</w:t>
            </w:r>
          </w:p>
          <w:p w14:paraId="16E65D94" w14:textId="50F0B708" w:rsidR="00A05393" w:rsidRPr="000E4321" w:rsidRDefault="00A05393" w:rsidP="00A05393">
            <w:pPr>
              <w:pStyle w:val="naisc"/>
              <w:spacing w:before="0" w:after="0"/>
              <w:jc w:val="both"/>
            </w:pPr>
            <w:r w:rsidRPr="000E4321">
              <w:t>Lūdzam papildināt likumprojekta anotāciju, norādot, ka budžeta investīcijas attiecas uz budžeta I sadaļu “Valsts pamatfunkciju īstenošana”, jo budžeta II sadaļa “Eiropas Savienības politiku instrumentu un pārējās ārvalstu finanšu palīdzības projekti un pasākumi” atbilstoši noteikumu Nr.523 64.punktam jau ir iekļauta ilgtermiņa saistībās. Turklāt arī ES fondu projektu ietvaros tiek plānots finansējums gan valsts budžeta investīcijām, gan uzturēšanas izdevumiem sadalījumā pa ilgtermiņa saistību veidiem.</w:t>
            </w:r>
          </w:p>
          <w:p w14:paraId="1923E28E" w14:textId="77777777" w:rsidR="00A05393" w:rsidRPr="000E4321" w:rsidRDefault="00A05393" w:rsidP="00A05393">
            <w:pPr>
              <w:pStyle w:val="naisc"/>
              <w:spacing w:before="0" w:after="0"/>
              <w:jc w:val="both"/>
            </w:pPr>
          </w:p>
          <w:p w14:paraId="16C05040" w14:textId="77777777" w:rsidR="00A05393" w:rsidRPr="000E4321" w:rsidRDefault="00A05393" w:rsidP="00A05393">
            <w:pPr>
              <w:pStyle w:val="naisc"/>
              <w:spacing w:before="0" w:after="0"/>
              <w:jc w:val="both"/>
            </w:pPr>
            <w:r w:rsidRPr="000E4321">
              <w:rPr>
                <w:b/>
              </w:rPr>
              <w:t>Tieslietu ministrija (iebildums):</w:t>
            </w:r>
          </w:p>
          <w:p w14:paraId="6AD35B66" w14:textId="77777777" w:rsidR="00A05393" w:rsidRPr="000E4321" w:rsidRDefault="00A05393" w:rsidP="00A05393">
            <w:pPr>
              <w:pStyle w:val="naisc"/>
              <w:spacing w:before="0" w:after="0"/>
              <w:jc w:val="both"/>
            </w:pPr>
            <w:r w:rsidRPr="000E4321">
              <w:t xml:space="preserve">1. Projekta 1. pantā iekļauto grozījumu, kurš paredz Likuma par budžetu un finanšu vadību (turpmāk – likums) terminu “investīcijas” aizstāt ar terminu “budžetu investīcijas”, nepieciešams izvērtēt kopsakarā ar visu likuma tekstu. Likumā pieņemtie termini ir konsekventi jāizmanto likuma normās, bet nav jāiekļauj termini, kuri netiek izmantoti likumā. Vēršam uzmanību, ka šobrīd likumā vai projektā nav termina “budžetu investīcijas”. Turklāt vārdi “budžeta investīcijas” (atšķiras vārda galotne) projekta 6. pantā paredzētajā likuma 21. panta otrās daļas 6. punktā nav uzskatāmi par terminu. Tādējādi šobrīd atsevišķas </w:t>
            </w:r>
            <w:r w:rsidRPr="000E4321">
              <w:lastRenderedPageBreak/>
              <w:t>normas nav pietiekami skaidras. Ievērojot minēto, nepieciešams precizēt projekta 14. pantā paredzēto grozījumu likuma 36. panta 7.</w:t>
            </w:r>
            <w:r w:rsidRPr="000E4321">
              <w:rPr>
                <w:vertAlign w:val="superscript"/>
              </w:rPr>
              <w:t>1</w:t>
            </w:r>
            <w:r w:rsidRPr="000E4321">
              <w:t xml:space="preserve"> daļā un projekta 18. pantā paredzēto likuma 41.</w:t>
            </w:r>
            <w:r w:rsidRPr="000E4321">
              <w:rPr>
                <w:vertAlign w:val="superscript"/>
              </w:rPr>
              <w:t>1</w:t>
            </w:r>
            <w:r w:rsidRPr="000E4321">
              <w:t xml:space="preserve"> panta pirmās daļas a) apakšpunktu. Vienlaikus nepieciešams izvērtēt un nepieciešamības gadījumā paredzēt grozījumus likuma 15. panta pirmās daļas 1. punkta a) apakšpunktā, likuma 16.</w:t>
            </w:r>
            <w:r w:rsidRPr="000E4321">
              <w:rPr>
                <w:vertAlign w:val="superscript"/>
              </w:rPr>
              <w:t>2</w:t>
            </w:r>
            <w:r w:rsidRPr="000E4321">
              <w:t xml:space="preserve"> panta sestās daļas 61.punktā, likuma 36. panta pirmās daļas 6. punktā, likuma 37. panta pirmās daļas 1. punktā. Ja minētās likuma normas netiek precizētas, par tām nepieciešams sniegt skaidrojumu projekta anotācijā. </w:t>
            </w:r>
          </w:p>
          <w:p w14:paraId="49664214" w14:textId="4CDE334B" w:rsidR="00A05393" w:rsidRPr="000E4321" w:rsidRDefault="00A05393" w:rsidP="00A05393">
            <w:pPr>
              <w:pStyle w:val="naisc"/>
              <w:spacing w:before="0" w:after="0"/>
              <w:jc w:val="both"/>
            </w:pPr>
            <w:r w:rsidRPr="000E4321">
              <w:t>2. Projekta 1. pantā iekļauto grozījumu, kurš paredz likumā izslēgt terminu “investīciju projekts”, nepieciešams izvērtēt kopsakarā ar visu likuma tekstu. Vēršam uzmanību, ka šobrīd likuma 41. panta piektajā daļā minētais termins tiek saglabāts un to nav paredzēts grozīt. Ja minētā likuma norma netiek precizēta, par to nepieciešams sniegt skaidrojumu projekta anotācijā.</w:t>
            </w:r>
          </w:p>
        </w:tc>
        <w:tc>
          <w:tcPr>
            <w:tcW w:w="3084" w:type="dxa"/>
            <w:tcBorders>
              <w:top w:val="single" w:sz="6" w:space="0" w:color="000000"/>
              <w:left w:val="single" w:sz="6" w:space="0" w:color="000000"/>
              <w:bottom w:val="single" w:sz="6" w:space="0" w:color="000000"/>
              <w:right w:val="single" w:sz="6" w:space="0" w:color="000000"/>
            </w:tcBorders>
          </w:tcPr>
          <w:p w14:paraId="07CBEB3C" w14:textId="012E73C3" w:rsidR="00A05393" w:rsidRPr="000E4321" w:rsidRDefault="00A05393" w:rsidP="00A05393">
            <w:pPr>
              <w:pStyle w:val="naisc"/>
              <w:spacing w:before="0" w:after="0"/>
              <w:jc w:val="both"/>
              <w:rPr>
                <w:b/>
              </w:rPr>
            </w:pPr>
            <w:r w:rsidRPr="000E4321">
              <w:rPr>
                <w:b/>
              </w:rPr>
              <w:lastRenderedPageBreak/>
              <w:t>Ņemts vērā</w:t>
            </w:r>
          </w:p>
          <w:p w14:paraId="46EF52EC" w14:textId="77777777" w:rsidR="00A05393" w:rsidRPr="000E4321" w:rsidRDefault="00A05393" w:rsidP="00A05393">
            <w:pPr>
              <w:pStyle w:val="naisc"/>
              <w:spacing w:before="0" w:after="0"/>
              <w:jc w:val="both"/>
            </w:pPr>
            <w:r w:rsidRPr="000E4321">
              <w:t xml:space="preserve">Sniegts skaidrojums un papildināta anotācija. </w:t>
            </w:r>
          </w:p>
          <w:p w14:paraId="511B3AC9" w14:textId="77777777" w:rsidR="00A05393" w:rsidRPr="000E4321" w:rsidRDefault="00A05393" w:rsidP="00A05393">
            <w:pPr>
              <w:pStyle w:val="naisc"/>
              <w:spacing w:before="0" w:after="0"/>
              <w:jc w:val="both"/>
              <w:rPr>
                <w:iCs/>
              </w:rPr>
            </w:pPr>
            <w:r w:rsidRPr="000E4321">
              <w:rPr>
                <w:iCs/>
              </w:rPr>
              <w:lastRenderedPageBreak/>
              <w:t>Investīciju definīcija dažādās valstīs un dažādos kontekstos ir ļoti atšķirīga.</w:t>
            </w:r>
            <w:r w:rsidRPr="000E4321">
              <w:t xml:space="preserve"> </w:t>
            </w:r>
            <w:r w:rsidRPr="000E4321">
              <w:rPr>
                <w:color w:val="000000"/>
              </w:rPr>
              <w:t xml:space="preserve">Vispārīgi no ekonomiskā viedokļa investīcijas var būt ieguldījumi infrastruktūrā (ceļi, ēkas), pamatlīdzekļos (transports, iekārtas, infrastruktūras elementi), nemateriālajos ieguldījuma īpašumos (intelektuālais kapitāls), kā arī finanšu investīcijas finanšu un kapitāla tirgū. </w:t>
            </w:r>
            <w:r w:rsidRPr="000E4321">
              <w:t xml:space="preserve">Finanšu ministrijas piedāvāta redakcija paredz skaidri un nepārprotami noteikt, ka </w:t>
            </w:r>
            <w:r w:rsidRPr="000E4321">
              <w:rPr>
                <w:iCs/>
              </w:rPr>
              <w:t xml:space="preserve">budžetu investīcijas definē kā budžetu izdevumus </w:t>
            </w:r>
            <w:r w:rsidRPr="000E4321">
              <w:rPr>
                <w:color w:val="000000"/>
              </w:rPr>
              <w:t xml:space="preserve">pamatkapitāla veidošanai – tādējādi novēršot diskusijas un interpretācijas iespējas par to, vai izdevumi konkrētajā projektā ir vai nav budžeta investīcijas. Vēršam uzmanību, ka </w:t>
            </w:r>
            <w:r w:rsidRPr="000E4321">
              <w:rPr>
                <w:iCs/>
              </w:rPr>
              <w:t xml:space="preserve">Igaunijas likums nosaka, ka par investīcijām uzskata izdevumus, kas plānoti ne tikai lai iegādātos, bet arī lai uzlabotu pamatlīdzekļus. </w:t>
            </w:r>
          </w:p>
          <w:p w14:paraId="48448E45" w14:textId="77777777" w:rsidR="00A05393" w:rsidRPr="000E4321" w:rsidRDefault="00A05393" w:rsidP="00A05393">
            <w:pPr>
              <w:pStyle w:val="naisc"/>
              <w:spacing w:before="0" w:after="0"/>
              <w:jc w:val="both"/>
              <w:rPr>
                <w:iCs/>
              </w:rPr>
            </w:pPr>
          </w:p>
          <w:p w14:paraId="022775FF" w14:textId="6B918267" w:rsidR="00A05393" w:rsidRPr="000E4321" w:rsidRDefault="00A05393" w:rsidP="00A05393">
            <w:pPr>
              <w:pStyle w:val="naisc"/>
              <w:spacing w:before="0" w:after="0"/>
              <w:jc w:val="both"/>
              <w:rPr>
                <w:iCs/>
              </w:rPr>
            </w:pPr>
            <w:r w:rsidRPr="000E4321">
              <w:t>Anotācijā ir arī paskaidrots, ka “</w:t>
            </w:r>
            <w:r w:rsidRPr="000E4321">
              <w:rPr>
                <w:iCs/>
              </w:rPr>
              <w:t xml:space="preserve">budžetu investīciju” jēdziens turpmāk LBFV un uz tā pamata izdoto normatīvo </w:t>
            </w:r>
            <w:r w:rsidRPr="000E4321">
              <w:rPr>
                <w:iCs/>
              </w:rPr>
              <w:lastRenderedPageBreak/>
              <w:t xml:space="preserve">aktu kontekstā tiks lietots attiecībā uz LBFV noteikto budžetu (valsts, pašvaldību, valsts budžeta daļēji finansēto atvasināto publisko personu, budžeta nefinansēto iestāžu) veiktajiem izdevumiem pamatkapitāla palielināšanai. Savukārt likumā lietotie jēdzieni “investīcijas” un “investīciju projekts” turpmāk jāsaprot kā vispārpieņemts ekonomikas termins, un tas likumā nav specifiski jādefinē. </w:t>
            </w:r>
          </w:p>
          <w:p w14:paraId="7301D400" w14:textId="5689AE18" w:rsidR="00A05393" w:rsidRPr="000E4321" w:rsidRDefault="00A05393" w:rsidP="00A05393">
            <w:pPr>
              <w:pStyle w:val="naisc"/>
              <w:spacing w:before="0" w:after="0"/>
              <w:jc w:val="both"/>
              <w:rPr>
                <w:iCs/>
              </w:rPr>
            </w:pPr>
          </w:p>
          <w:p w14:paraId="13863834" w14:textId="1D9C7EE1" w:rsidR="00A05393" w:rsidRPr="000E4321" w:rsidRDefault="00A05393" w:rsidP="00A05393">
            <w:pPr>
              <w:jc w:val="both"/>
            </w:pPr>
            <w:r w:rsidRPr="000E4321">
              <w:rPr>
                <w:iCs/>
              </w:rPr>
              <w:t>Pēc grozījumu LBFV apstiprināšanas attiecībā uz terminu “investīcijas” i</w:t>
            </w:r>
            <w:r w:rsidRPr="000E4321">
              <w:t>r plānots pārstrukturēt saistību veidus MK noteikumos Nr.523, provizoriski, veidojot šādu struktūru:</w:t>
            </w:r>
          </w:p>
          <w:p w14:paraId="1F26E85A" w14:textId="77777777" w:rsidR="00A05393" w:rsidRPr="000E4321" w:rsidRDefault="00A05393" w:rsidP="00A05393">
            <w:pPr>
              <w:pStyle w:val="naisc"/>
              <w:spacing w:before="0" w:after="0"/>
              <w:jc w:val="both"/>
            </w:pPr>
            <w:r w:rsidRPr="000E4321">
              <w:t xml:space="preserve">1. Saistības Eiropas Savienības politiku instrumentu un pārējās ārvalstu finanšu palīdzības līdzfinansētajos projektos </w:t>
            </w:r>
          </w:p>
          <w:p w14:paraId="32AC86C9" w14:textId="77777777" w:rsidR="00A05393" w:rsidRPr="000E4321" w:rsidRDefault="00A05393" w:rsidP="00A05393">
            <w:pPr>
              <w:pStyle w:val="naisc"/>
              <w:spacing w:before="0" w:after="0"/>
              <w:jc w:val="both"/>
            </w:pPr>
            <w:r w:rsidRPr="000E4321">
              <w:t>2. maksājumi par aizņēmumiem un kredītiem</w:t>
            </w:r>
          </w:p>
          <w:p w14:paraId="1FBB8871" w14:textId="77777777" w:rsidR="00A05393" w:rsidRPr="000E4321" w:rsidRDefault="00A05393" w:rsidP="00A05393">
            <w:pPr>
              <w:pStyle w:val="naisc"/>
              <w:spacing w:before="0" w:after="0"/>
              <w:jc w:val="both"/>
            </w:pPr>
            <w:r w:rsidRPr="000E4321">
              <w:t>3. maksājumi starptautiskajās institūcijās un programmās</w:t>
            </w:r>
          </w:p>
          <w:p w14:paraId="786E0C19" w14:textId="77777777" w:rsidR="00A05393" w:rsidRPr="000E4321" w:rsidRDefault="00A05393" w:rsidP="00A05393">
            <w:pPr>
              <w:pStyle w:val="naisc"/>
              <w:spacing w:before="0" w:after="0"/>
              <w:jc w:val="both"/>
            </w:pPr>
            <w:r w:rsidRPr="000E4321">
              <w:t>4. citas valsts budžeta ilgtermiņa saistības.</w:t>
            </w:r>
          </w:p>
          <w:p w14:paraId="2E9032EA" w14:textId="72757632" w:rsidR="00A05393" w:rsidRPr="000E4321" w:rsidRDefault="00A05393" w:rsidP="00A05393">
            <w:pPr>
              <w:jc w:val="both"/>
            </w:pPr>
            <w:r w:rsidRPr="000E4321">
              <w:t xml:space="preserve">Izdevumi pamatkapitāla veidošanai (jeb budžetu </w:t>
            </w:r>
            <w:r w:rsidRPr="000E4321">
              <w:lastRenderedPageBreak/>
              <w:t>investīcijas) var būt gan ES projektos, gan arī citās valsts budžeta ilgtermiņa saistības. Uzturēšanas izdevumi, kas ir ilgtermiņa saistību sastāvdaļa, arī turpmāk tiks iekļauti ilgtermiņa saistību pielikumā. Savukārt var būt arī tādi izdevumi pamatkapitāla veidošanai, kas nav ilgtermiņa saistības (piemēram, vienreizējas kapitālās iegādes).</w:t>
            </w:r>
          </w:p>
        </w:tc>
        <w:tc>
          <w:tcPr>
            <w:tcW w:w="3127" w:type="dxa"/>
            <w:tcBorders>
              <w:top w:val="single" w:sz="4" w:space="0" w:color="auto"/>
              <w:left w:val="single" w:sz="4" w:space="0" w:color="auto"/>
              <w:bottom w:val="single" w:sz="4" w:space="0" w:color="auto"/>
            </w:tcBorders>
          </w:tcPr>
          <w:p w14:paraId="6CFDF54D" w14:textId="77777777" w:rsidR="00A05393" w:rsidRPr="000E4321" w:rsidRDefault="00A05393" w:rsidP="00A05393">
            <w:pPr>
              <w:jc w:val="both"/>
            </w:pPr>
            <w:r w:rsidRPr="000E4321">
              <w:lastRenderedPageBreak/>
              <w:t>Izteikt terminu “Investīcijas” šādā redakcijā:</w:t>
            </w:r>
          </w:p>
          <w:p w14:paraId="29C8F3BE" w14:textId="77777777" w:rsidR="00A05393" w:rsidRPr="000E4321" w:rsidRDefault="00A05393" w:rsidP="00A05393">
            <w:pPr>
              <w:jc w:val="both"/>
            </w:pPr>
            <w:r w:rsidRPr="000E4321">
              <w:t xml:space="preserve">“Budžetu investīcijas – budžetu izdevumi </w:t>
            </w:r>
            <w:r w:rsidRPr="000E4321">
              <w:lastRenderedPageBreak/>
              <w:t xml:space="preserve">pamatkapitāla veidošanai, kuru rezultātā </w:t>
            </w:r>
            <w:r w:rsidRPr="000E4321">
              <w:rPr>
                <w:u w:val="single"/>
              </w:rPr>
              <w:t xml:space="preserve">tiek radīts </w:t>
            </w:r>
            <w:r w:rsidRPr="000E4321">
              <w:t>jauns pamatlīdzeklis, ieguldījuma īpašums vai nemateriālais ieguldījums, vai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p>
          <w:p w14:paraId="68ADDE5D" w14:textId="77777777" w:rsidR="00A05393" w:rsidRPr="000E4321" w:rsidRDefault="00A05393" w:rsidP="00A05393">
            <w:pPr>
              <w:jc w:val="both"/>
            </w:pPr>
          </w:p>
          <w:p w14:paraId="2218D620" w14:textId="77777777" w:rsidR="00A05393" w:rsidRPr="000E4321" w:rsidRDefault="00A05393" w:rsidP="00A05393">
            <w:pPr>
              <w:jc w:val="both"/>
            </w:pPr>
            <w:r w:rsidRPr="000E4321">
              <w:t xml:space="preserve">Papildinātā anotācija: </w:t>
            </w:r>
          </w:p>
          <w:p w14:paraId="0B31B8E0" w14:textId="6622DD5D" w:rsidR="00A05393" w:rsidRPr="000E4321" w:rsidRDefault="00A05393" w:rsidP="00A05393">
            <w:pPr>
              <w:jc w:val="both"/>
              <w:rPr>
                <w:u w:val="single"/>
              </w:rPr>
            </w:pPr>
            <w:r w:rsidRPr="000E4321">
              <w:t>“</w:t>
            </w:r>
            <w:r w:rsidRPr="000E4321">
              <w:rPr>
                <w:u w:val="single"/>
              </w:rPr>
              <w:t>Tā kā valsts budžeta investīciju jēdziens ir saistīts ar ilgtermiņa saistību veidu kategorizēšanu valsts budžeta likuma pielikumā, tad p</w:t>
            </w:r>
            <w:r w:rsidRPr="000E4321">
              <w:rPr>
                <w:iCs/>
                <w:u w:val="single"/>
              </w:rPr>
              <w:t>ēc grozījumu LBFV apstiprināšanas attiecībā uz terminu “investīcijas” i</w:t>
            </w:r>
            <w:r w:rsidRPr="000E4321">
              <w:rPr>
                <w:u w:val="single"/>
              </w:rPr>
              <w:t>r plānots pārstrukturēt saistību veidus MK noteikumos Nr.523, provizoriski, veidojot šādu struktūru:</w:t>
            </w:r>
          </w:p>
          <w:p w14:paraId="0D8E1D61" w14:textId="77777777" w:rsidR="00A05393" w:rsidRPr="000E4321" w:rsidRDefault="00A05393" w:rsidP="00A05393">
            <w:pPr>
              <w:pStyle w:val="naisc"/>
              <w:spacing w:before="0" w:after="0"/>
              <w:jc w:val="both"/>
              <w:rPr>
                <w:u w:val="single"/>
              </w:rPr>
            </w:pPr>
            <w:r w:rsidRPr="000E4321">
              <w:rPr>
                <w:u w:val="single"/>
              </w:rPr>
              <w:t xml:space="preserve">1. Saistības Eiropas Savienības politiku instrumentu un pārējās ārvalstu finanšu palīdzības līdzfinansētajos projektos </w:t>
            </w:r>
          </w:p>
          <w:p w14:paraId="2009C7F7" w14:textId="77777777" w:rsidR="00A05393" w:rsidRPr="000E4321" w:rsidRDefault="00A05393" w:rsidP="00A05393">
            <w:pPr>
              <w:pStyle w:val="naisc"/>
              <w:spacing w:before="0" w:after="0"/>
              <w:jc w:val="both"/>
              <w:rPr>
                <w:u w:val="single"/>
              </w:rPr>
            </w:pPr>
            <w:r w:rsidRPr="000E4321">
              <w:rPr>
                <w:u w:val="single"/>
              </w:rPr>
              <w:t>2. maksājumi par aizņēmumiem un kredītiem</w:t>
            </w:r>
          </w:p>
          <w:p w14:paraId="32490B46" w14:textId="77777777" w:rsidR="00A05393" w:rsidRPr="000E4321" w:rsidRDefault="00A05393" w:rsidP="00A05393">
            <w:pPr>
              <w:pStyle w:val="naisc"/>
              <w:spacing w:before="0" w:after="0"/>
              <w:jc w:val="both"/>
              <w:rPr>
                <w:u w:val="single"/>
              </w:rPr>
            </w:pPr>
            <w:r w:rsidRPr="000E4321">
              <w:rPr>
                <w:u w:val="single"/>
              </w:rPr>
              <w:lastRenderedPageBreak/>
              <w:t>3. maksājumi starptautiskajās institūcijās un programmās</w:t>
            </w:r>
          </w:p>
          <w:p w14:paraId="37424D47" w14:textId="77777777" w:rsidR="00A05393" w:rsidRPr="000E4321" w:rsidRDefault="00A05393" w:rsidP="00A05393">
            <w:pPr>
              <w:pStyle w:val="naisc"/>
              <w:spacing w:before="0" w:after="0"/>
              <w:jc w:val="both"/>
              <w:rPr>
                <w:u w:val="single"/>
              </w:rPr>
            </w:pPr>
            <w:r w:rsidRPr="000E4321">
              <w:rPr>
                <w:u w:val="single"/>
              </w:rPr>
              <w:t>4. citas valsts budžeta ilgtermiņa saistības.</w:t>
            </w:r>
          </w:p>
          <w:p w14:paraId="65B870F3" w14:textId="7CF2D773" w:rsidR="00A05393" w:rsidRPr="000E4321" w:rsidRDefault="00A05393" w:rsidP="00A05393">
            <w:pPr>
              <w:jc w:val="both"/>
            </w:pPr>
            <w:r w:rsidRPr="000E4321">
              <w:rPr>
                <w:u w:val="single"/>
              </w:rPr>
              <w:t>Izdevumi pamatkapitāla veidošanai (jeb budžetu investīcijas) var būt gan ES projektos, gan arī citās valsts budžeta ilgtermiņa saistības. Uzturēšanas izdevumi, kas ir ilgtermiņa saistību sastāvdaļa, arī turpmāk tiks iekļauti ilgtermiņa saistību pielikumā. Savukārt var būt arī tādi izdevumi pamatkapitāla veidošanai, kas nav ilgtermiņa saistības (piemēram, vienreizējas kapitālās iegādes).”</w:t>
            </w:r>
          </w:p>
        </w:tc>
      </w:tr>
      <w:tr w:rsidR="00A05393" w:rsidRPr="000E4321" w14:paraId="296BF135" w14:textId="77777777" w:rsidTr="00840182">
        <w:tc>
          <w:tcPr>
            <w:tcW w:w="567" w:type="dxa"/>
            <w:tcBorders>
              <w:top w:val="single" w:sz="6" w:space="0" w:color="000000"/>
              <w:left w:val="single" w:sz="6" w:space="0" w:color="000000"/>
              <w:bottom w:val="single" w:sz="6" w:space="0" w:color="000000"/>
              <w:right w:val="single" w:sz="6" w:space="0" w:color="000000"/>
            </w:tcBorders>
          </w:tcPr>
          <w:p w14:paraId="127B5A4B" w14:textId="7291B5B2" w:rsidR="00A05393" w:rsidRPr="000E4321" w:rsidRDefault="00A05393" w:rsidP="00A05393">
            <w:pPr>
              <w:pStyle w:val="naisc"/>
              <w:spacing w:before="0" w:after="0"/>
              <w:jc w:val="left"/>
            </w:pPr>
            <w:r w:rsidRPr="000E4321">
              <w:lastRenderedPageBreak/>
              <w:t>3.</w:t>
            </w:r>
          </w:p>
        </w:tc>
        <w:tc>
          <w:tcPr>
            <w:tcW w:w="2686" w:type="dxa"/>
            <w:tcBorders>
              <w:top w:val="single" w:sz="6" w:space="0" w:color="000000"/>
              <w:left w:val="single" w:sz="6" w:space="0" w:color="000000"/>
              <w:bottom w:val="single" w:sz="6" w:space="0" w:color="000000"/>
              <w:right w:val="single" w:sz="6" w:space="0" w:color="000000"/>
            </w:tcBorders>
          </w:tcPr>
          <w:p w14:paraId="29ED3BB5" w14:textId="77777777" w:rsidR="00A05393" w:rsidRPr="000E4321" w:rsidRDefault="00A05393" w:rsidP="00A05393">
            <w:pPr>
              <w:jc w:val="both"/>
            </w:pPr>
            <w:r w:rsidRPr="000E4321">
              <w:t>Anotācijas 5. lappusē:</w:t>
            </w:r>
          </w:p>
          <w:p w14:paraId="2143B754" w14:textId="0D186586" w:rsidR="00A05393" w:rsidRPr="000E4321" w:rsidRDefault="00A05393" w:rsidP="00A05393">
            <w:pPr>
              <w:jc w:val="both"/>
            </w:pPr>
            <w:r w:rsidRPr="000E4321">
              <w:t>“10) informācija par valsts budžeta investīciju galvenajiem plānotajiem virzieniem kārtējā saimnieciskajā gadā, to mērķiem un sagaidāmiem rezultātiem.”</w:t>
            </w:r>
          </w:p>
        </w:tc>
        <w:tc>
          <w:tcPr>
            <w:tcW w:w="5562" w:type="dxa"/>
            <w:gridSpan w:val="2"/>
            <w:tcBorders>
              <w:top w:val="single" w:sz="6" w:space="0" w:color="000000"/>
              <w:left w:val="single" w:sz="6" w:space="0" w:color="000000"/>
              <w:bottom w:val="single" w:sz="6" w:space="0" w:color="000000"/>
              <w:right w:val="single" w:sz="6" w:space="0" w:color="000000"/>
            </w:tcBorders>
          </w:tcPr>
          <w:p w14:paraId="336A72E6" w14:textId="77777777" w:rsidR="00A05393" w:rsidRPr="000E4321" w:rsidRDefault="00A05393" w:rsidP="00A05393">
            <w:pPr>
              <w:pStyle w:val="naisc"/>
              <w:spacing w:before="0" w:after="0"/>
              <w:jc w:val="both"/>
            </w:pPr>
            <w:r w:rsidRPr="000E4321">
              <w:rPr>
                <w:b/>
              </w:rPr>
              <w:t>Iekšlietu ministrija (iebildums):</w:t>
            </w:r>
          </w:p>
          <w:p w14:paraId="3DDCE151" w14:textId="15C6A1C6" w:rsidR="00A05393" w:rsidRPr="000E4321" w:rsidRDefault="00A05393" w:rsidP="00A05393">
            <w:pPr>
              <w:pStyle w:val="naisc"/>
              <w:spacing w:before="0" w:after="0"/>
              <w:jc w:val="both"/>
              <w:rPr>
                <w:b/>
              </w:rPr>
            </w:pPr>
            <w:r w:rsidRPr="000E4321">
              <w:t>Likumprojekta anotācijā (5. lappusē) norādīts, ka paskaidrojumā jānorāda informācija par valsts budžeta investīciju galvenajiem plānotajiem virzieniem kārtējā saimnieciskajā gadā, to mērķiem un sagaidāmajiem rezultātiem.  Lūdzam papildināt anotāciju, norādot, kādā formā tiks pieprasīta informācija no ministrijām par veicamo budžeta investīciju būtību un projekta mērķi ar norādi uz sasniedzamo rezultātu, kā arī kādā normatīvajā aktā tas būs paredzēts.</w:t>
            </w:r>
          </w:p>
        </w:tc>
        <w:tc>
          <w:tcPr>
            <w:tcW w:w="3084" w:type="dxa"/>
            <w:tcBorders>
              <w:top w:val="single" w:sz="6" w:space="0" w:color="000000"/>
              <w:left w:val="single" w:sz="6" w:space="0" w:color="000000"/>
              <w:bottom w:val="single" w:sz="6" w:space="0" w:color="000000"/>
              <w:right w:val="single" w:sz="6" w:space="0" w:color="000000"/>
            </w:tcBorders>
          </w:tcPr>
          <w:p w14:paraId="09EE437A" w14:textId="77777777" w:rsidR="00A05393" w:rsidRPr="000E4321" w:rsidRDefault="00A05393" w:rsidP="00A05393">
            <w:pPr>
              <w:pStyle w:val="naisc"/>
              <w:spacing w:before="0" w:after="0"/>
              <w:jc w:val="both"/>
              <w:rPr>
                <w:b/>
              </w:rPr>
            </w:pPr>
            <w:r w:rsidRPr="000E4321">
              <w:rPr>
                <w:b/>
              </w:rPr>
              <w:t>Ņemts vērā</w:t>
            </w:r>
          </w:p>
          <w:p w14:paraId="5DBCA50F" w14:textId="149F6079" w:rsidR="00A05393" w:rsidRPr="000E4321" w:rsidRDefault="00A05393" w:rsidP="00A05393">
            <w:pPr>
              <w:pStyle w:val="naisc"/>
              <w:spacing w:before="0" w:after="0"/>
              <w:jc w:val="both"/>
              <w:rPr>
                <w:b/>
              </w:rPr>
            </w:pPr>
            <w:r w:rsidRPr="000E4321">
              <w:t>Papildināta anotācija</w:t>
            </w:r>
          </w:p>
        </w:tc>
        <w:tc>
          <w:tcPr>
            <w:tcW w:w="3127" w:type="dxa"/>
            <w:tcBorders>
              <w:top w:val="single" w:sz="4" w:space="0" w:color="auto"/>
              <w:left w:val="single" w:sz="4" w:space="0" w:color="auto"/>
              <w:bottom w:val="single" w:sz="4" w:space="0" w:color="auto"/>
            </w:tcBorders>
          </w:tcPr>
          <w:p w14:paraId="36E94E42" w14:textId="77777777" w:rsidR="00A05393" w:rsidRPr="000E4321" w:rsidRDefault="00A05393" w:rsidP="00A05393">
            <w:pPr>
              <w:pStyle w:val="naisc"/>
              <w:spacing w:before="0" w:after="0"/>
              <w:jc w:val="both"/>
              <w:rPr>
                <w:iCs/>
              </w:rPr>
            </w:pPr>
            <w:r w:rsidRPr="000E4321">
              <w:rPr>
                <w:iCs/>
              </w:rPr>
              <w:t xml:space="preserve">Anotācija: </w:t>
            </w:r>
          </w:p>
          <w:p w14:paraId="291518FA" w14:textId="2F6C079B" w:rsidR="00A05393" w:rsidRPr="000E4321" w:rsidRDefault="00A05393" w:rsidP="00A05393">
            <w:pPr>
              <w:pStyle w:val="naisc"/>
              <w:spacing w:before="0" w:after="0"/>
              <w:jc w:val="both"/>
            </w:pPr>
            <w:r w:rsidRPr="000E4321">
              <w:rPr>
                <w:iCs/>
              </w:rPr>
              <w:t xml:space="preserve">“Precizējot investīciju definīciju likumā, atbilstoši tai tiks pilnveidota arī budžeta paskaidrojumu sadaļa “Valsts budžeta izdevumi investīcijām”. Tiks ietverts valsts budžeta investīciju sadalījums (valsts budžeta iestāžu izdevumi pamatkapitāla veidošanai) pa COFOG funkcijām, katras funkcijas ietvaros sniedzot informāciju par būtiskākiem investīciju projektiem vai virzieniem. Projekta aprakstā tiks iekļauta informācija par </w:t>
            </w:r>
            <w:r w:rsidRPr="000E4321">
              <w:rPr>
                <w:iCs/>
              </w:rPr>
              <w:lastRenderedPageBreak/>
              <w:t xml:space="preserve">veicamo investīciju būtību un projekta mērķi ar norādi uz sasniedzamo rezultātu. </w:t>
            </w:r>
            <w:r w:rsidRPr="000E4321">
              <w:rPr>
                <w:iCs/>
                <w:u w:val="single"/>
              </w:rPr>
              <w:t xml:space="preserve">Minētā informācija tiks sagatavota sadarbībā ar nozaru ministrijām, Finanšu ministrijai pieprasot informāciju budžeta pieprasījuma sagatavošanas ietvaros (attiecīgi tiks saturiski precizēti MK noteikumi Nr.523 un izstrādāta atbilstoša veidlapa publicēšanai FM mājas lapā kopā ar citām budžeta pieprasījumu veidlapām). </w:t>
            </w:r>
            <w:r w:rsidRPr="000E4321">
              <w:rPr>
                <w:iCs/>
              </w:rPr>
              <w:t>Tādejādi pieņemot šo likumprojektu, tiks nodrošināta skaidra un pārskatāma informācija sabiedrībai par valsts budžeta investīcijām.”</w:t>
            </w:r>
          </w:p>
        </w:tc>
      </w:tr>
      <w:tr w:rsidR="00A05393" w:rsidRPr="000E4321" w14:paraId="7BB55527" w14:textId="77777777" w:rsidTr="00840182">
        <w:tc>
          <w:tcPr>
            <w:tcW w:w="567" w:type="dxa"/>
            <w:tcBorders>
              <w:top w:val="single" w:sz="6" w:space="0" w:color="000000"/>
              <w:left w:val="single" w:sz="6" w:space="0" w:color="000000"/>
              <w:bottom w:val="single" w:sz="6" w:space="0" w:color="000000"/>
              <w:right w:val="single" w:sz="6" w:space="0" w:color="000000"/>
            </w:tcBorders>
          </w:tcPr>
          <w:p w14:paraId="65CB2658" w14:textId="67A05169" w:rsidR="00A05393" w:rsidRPr="000E4321" w:rsidRDefault="00A05393" w:rsidP="00A05393">
            <w:pPr>
              <w:pStyle w:val="naisc"/>
              <w:spacing w:before="0" w:after="0"/>
              <w:jc w:val="left"/>
            </w:pPr>
            <w:r w:rsidRPr="000E4321">
              <w:lastRenderedPageBreak/>
              <w:t>4.</w:t>
            </w:r>
          </w:p>
        </w:tc>
        <w:tc>
          <w:tcPr>
            <w:tcW w:w="2686" w:type="dxa"/>
            <w:tcBorders>
              <w:top w:val="single" w:sz="6" w:space="0" w:color="000000"/>
              <w:left w:val="single" w:sz="6" w:space="0" w:color="000000"/>
              <w:bottom w:val="single" w:sz="6" w:space="0" w:color="000000"/>
              <w:right w:val="single" w:sz="6" w:space="0" w:color="000000"/>
            </w:tcBorders>
          </w:tcPr>
          <w:p w14:paraId="3D8ADE67" w14:textId="77777777" w:rsidR="00A05393" w:rsidRPr="000E4321" w:rsidRDefault="00A05393" w:rsidP="00A05393">
            <w:pPr>
              <w:jc w:val="both"/>
            </w:pPr>
            <w:r w:rsidRPr="000E4321">
              <w:t>9.</w:t>
            </w:r>
            <w:r w:rsidRPr="000E4321">
              <w:rPr>
                <w:vertAlign w:val="superscript"/>
              </w:rPr>
              <w:t>1</w:t>
            </w:r>
            <w:r w:rsidRPr="000E4321">
              <w:t xml:space="preserve"> pants. Apropriācijas rezerve.</w:t>
            </w:r>
          </w:p>
          <w:p w14:paraId="1382E67E" w14:textId="77777777" w:rsidR="00A05393" w:rsidRPr="000E4321" w:rsidRDefault="00A05393" w:rsidP="00A05393">
            <w:pPr>
              <w:jc w:val="both"/>
            </w:pPr>
            <w:r w:rsidRPr="000E4321">
              <w:t xml:space="preserve">(1) Gadskārtējā valsts budžeta likumā budžeta programmu “Apropriācijas rezerve” plāno atsevišķi no ministriju vai citu centrālo valsts iestāžu budžetiem. Šajā budžeta programmā plāno līdzekļus projektu uzturēšanas apropriācijas rezervei un neizlietoto asignējumu rezervei, ko </w:t>
            </w:r>
            <w:r w:rsidRPr="000E4321">
              <w:lastRenderedPageBreak/>
              <w:t>ministrijas un citas centrālās valsts iestādes pieprasa un izmanto Ministru kabinetā noteiktajā kārtībā, ņemot vērā šajā pantā noteikto.</w:t>
            </w:r>
          </w:p>
          <w:p w14:paraId="1FD137C8" w14:textId="77777777" w:rsidR="00A05393" w:rsidRPr="000E4321" w:rsidRDefault="00A05393" w:rsidP="00A05393">
            <w:pPr>
              <w:jc w:val="both"/>
            </w:pPr>
            <w:r w:rsidRPr="000E4321">
              <w:t>(2) Finanšu ministram ir tiesības projektu uzturēšanas apropriācijas rezervi pārdalīt ministrijām un citām centrālajām valsts iestādēm sadalījumā pa programmām, apakšprogrammām un budžeta izdevumu kodiem atbilstoši ekonomiskajām kategorijām, lai ministrijas un citas centrālās valsts iestādes varētu nodrošināt pabeigto Eiropas Savienības politiku instrumentu un pārējo ārvalstu finanšu palīdzības līdzfinansēto projektu uzturēšanu, ievērojot šādus nosacījumus:</w:t>
            </w:r>
          </w:p>
          <w:p w14:paraId="3855BC7D" w14:textId="77777777" w:rsidR="00A05393" w:rsidRPr="000E4321" w:rsidRDefault="00A05393" w:rsidP="00A05393">
            <w:pPr>
              <w:jc w:val="both"/>
            </w:pPr>
            <w:r w:rsidRPr="000E4321">
              <w:t xml:space="preserve">1) projekts vai tā posms ir pilnībā pabeigts, nodots ekspluatācijā, par to ir veikts galīgā norēķina maksājums un tas </w:t>
            </w:r>
            <w:r w:rsidRPr="000E4321">
              <w:lastRenderedPageBreak/>
              <w:t>turpmāk finansējams no valsts budžeta līdzekļiem,</w:t>
            </w:r>
          </w:p>
          <w:p w14:paraId="4C2CD02A" w14:textId="77777777" w:rsidR="00A05393" w:rsidRPr="000E4321" w:rsidRDefault="00A05393" w:rsidP="00A05393">
            <w:pPr>
              <w:jc w:val="both"/>
            </w:pPr>
            <w:r w:rsidRPr="000E4321">
              <w:t>2) gadskārtējā valsts budžeta likumā projekta uzturēšanai apropriācija nav piešķirta,</w:t>
            </w:r>
          </w:p>
          <w:p w14:paraId="6E3AC368" w14:textId="77777777" w:rsidR="00A05393" w:rsidRPr="000E4321" w:rsidRDefault="00A05393" w:rsidP="00A05393">
            <w:pPr>
              <w:jc w:val="both"/>
            </w:pPr>
            <w:r w:rsidRPr="000E4321">
              <w:t>3) informācijas un komunikācijas tehnoloģiju projekti tiek uzturēti atbilstoši noslēgtajiem līgumiem, citiem pamatojuma dokumentiem un aprēķiniem par informācijas sistēmām nepieciešamajiem uzturēšanas izdevumiem, pievienojot Vides aizsardzības un reģionālās attīstības ministrijas atzinumu.</w:t>
            </w:r>
          </w:p>
        </w:tc>
        <w:tc>
          <w:tcPr>
            <w:tcW w:w="5562" w:type="dxa"/>
            <w:gridSpan w:val="2"/>
            <w:tcBorders>
              <w:top w:val="single" w:sz="6" w:space="0" w:color="000000"/>
              <w:left w:val="single" w:sz="6" w:space="0" w:color="000000"/>
              <w:bottom w:val="single" w:sz="6" w:space="0" w:color="000000"/>
              <w:right w:val="single" w:sz="6" w:space="0" w:color="000000"/>
            </w:tcBorders>
          </w:tcPr>
          <w:p w14:paraId="5F67590D" w14:textId="77777777" w:rsidR="00A05393" w:rsidRPr="000E4321" w:rsidRDefault="00A05393" w:rsidP="00A05393">
            <w:pPr>
              <w:pStyle w:val="naisc"/>
              <w:spacing w:before="0" w:after="0"/>
              <w:jc w:val="both"/>
            </w:pPr>
            <w:r w:rsidRPr="000E4321">
              <w:rPr>
                <w:b/>
              </w:rPr>
              <w:lastRenderedPageBreak/>
              <w:t>Iekšlietu ministrija (iebildums):</w:t>
            </w:r>
          </w:p>
          <w:p w14:paraId="1AD033B2" w14:textId="77777777" w:rsidR="00A05393" w:rsidRPr="000E4321" w:rsidRDefault="00A05393" w:rsidP="00A05393">
            <w:pPr>
              <w:pStyle w:val="naisc"/>
              <w:spacing w:before="0" w:after="0"/>
              <w:jc w:val="both"/>
            </w:pPr>
            <w:r w:rsidRPr="000E4321">
              <w:t>Precizēt likumprojekta 3. pantā ietvertos grozījumus likuma 9.</w:t>
            </w:r>
            <w:r w:rsidRPr="000E4321">
              <w:rPr>
                <w:vertAlign w:val="superscript"/>
              </w:rPr>
              <w:t>1</w:t>
            </w:r>
            <w:r w:rsidRPr="000E4321">
              <w:t xml:space="preserve"> pantā:</w:t>
            </w:r>
          </w:p>
          <w:p w14:paraId="405C03B0" w14:textId="77777777" w:rsidR="00A05393" w:rsidRPr="000E4321" w:rsidRDefault="00A05393" w:rsidP="00A05393">
            <w:pPr>
              <w:pStyle w:val="naisc"/>
              <w:spacing w:before="0" w:after="0"/>
              <w:jc w:val="both"/>
            </w:pPr>
            <w:r w:rsidRPr="000E4321">
              <w:t>1. precizēt pirmo daļu attiecībā uz vārdu “projektu uzturēšana”    lietojumu, jo šāds termins nav skaidrots;</w:t>
            </w:r>
          </w:p>
          <w:p w14:paraId="2506507B" w14:textId="77777777" w:rsidR="00A05393" w:rsidRPr="000E4321" w:rsidRDefault="00A05393" w:rsidP="00A05393">
            <w:pPr>
              <w:pStyle w:val="naisc"/>
              <w:spacing w:before="0" w:after="0"/>
              <w:jc w:val="both"/>
            </w:pPr>
            <w:r w:rsidRPr="000E4321">
              <w:t>2. papildināt otro daļu, jo arī no citiem finansēšanas avotiem (dotācijas no vispārējiem ieņēmumiem) finansēto projektu uzturēšana būtu jānodrošina no apropriācijas rezerves, ja pamatojums ir 1., 2. vai 3.punktā minētie nosacījumi; vēršam uzmanību, ka likuma 9.</w:t>
            </w:r>
            <w:r w:rsidRPr="000E4321">
              <w:rPr>
                <w:vertAlign w:val="superscript"/>
              </w:rPr>
              <w:t>1</w:t>
            </w:r>
            <w:r w:rsidRPr="000E4321">
              <w:t xml:space="preserve"> panta otrās daļas 3.punkts to paredz, un šāda kārtība būtu saglabājama arī turpmāk;</w:t>
            </w:r>
          </w:p>
          <w:p w14:paraId="7E4A347B" w14:textId="77777777" w:rsidR="00A05393" w:rsidRPr="000E4321" w:rsidRDefault="00A05393" w:rsidP="00A05393">
            <w:pPr>
              <w:pStyle w:val="naisc"/>
              <w:spacing w:before="0" w:after="0"/>
              <w:jc w:val="both"/>
            </w:pPr>
          </w:p>
          <w:p w14:paraId="7FCC3C8E" w14:textId="77777777" w:rsidR="00A05393" w:rsidRPr="000E4321" w:rsidRDefault="00A05393" w:rsidP="00A05393">
            <w:pPr>
              <w:pStyle w:val="naisc"/>
              <w:spacing w:before="0" w:after="0"/>
              <w:jc w:val="both"/>
            </w:pPr>
            <w:r w:rsidRPr="000E4321">
              <w:rPr>
                <w:b/>
              </w:rPr>
              <w:t>Veselības ministrija (iebildums):</w:t>
            </w:r>
          </w:p>
          <w:p w14:paraId="593C06C0" w14:textId="77777777" w:rsidR="00A05393" w:rsidRPr="000E4321" w:rsidRDefault="00A05393" w:rsidP="00A05393">
            <w:pPr>
              <w:pStyle w:val="naisc"/>
              <w:spacing w:before="0" w:after="0"/>
              <w:jc w:val="both"/>
            </w:pPr>
            <w:r w:rsidRPr="000E4321">
              <w:lastRenderedPageBreak/>
              <w:t>Likumprojekts paredz izteikt 9.</w:t>
            </w:r>
            <w:r w:rsidRPr="000E4321">
              <w:rPr>
                <w:vertAlign w:val="superscript"/>
              </w:rPr>
              <w:t>1</w:t>
            </w:r>
            <w:r w:rsidRPr="000E4321">
              <w:t xml:space="preserve"> panta otro daļu jaunā redakcijā, kurā tiek iekļauti nosacījumi, kurus izpildot ministrijām ir iespējama finansējuma pārdale projektu uzturēšanai no apropriācijas rezerves, tai skaitā nosacījums, ka informācijas un komunikācijas tehnoloģiju projekti tiek uzturēti atbilstoši noslēgtajiem līgumiem, citiem pamatojuma dokumentiem un aprēķiniem par informācijas sistēmām nepieciešamajiem uzturēšanas izdevumiem, pievienojot Vides aizsardzības un reģionālās attīstības ministrijas atzinumu. Lūdzam papildināt sākotnējās ietekmes novērtējuma ziņojumu  (anotāciju) ar skaidrojumu par likumprojekta 9.</w:t>
            </w:r>
            <w:r w:rsidRPr="000E4321">
              <w:rPr>
                <w:vertAlign w:val="superscript"/>
              </w:rPr>
              <w:t>1</w:t>
            </w:r>
            <w:r w:rsidRPr="000E4321">
              <w:t xml:space="preserve"> panta otrās daļas 3.punktā minēto, norādot detalizētāk, kādi tad būtu citi pamatojuma dokumenti un aprēķini par informācijas sistēmām nepieciešamajiem uzturēšanas izdevumiem ministrijām un citām centrālajām valsts iestādēm, kas ir pievienojami un iesniedzami, Finanšu ministrijā, kā arī skaidrot situāciju, vai finansējums no apropriācijas rezerves ir pieprasāms tikai tad, kad ir noslēgti līgumi.</w:t>
            </w:r>
          </w:p>
        </w:tc>
        <w:tc>
          <w:tcPr>
            <w:tcW w:w="3084" w:type="dxa"/>
            <w:tcBorders>
              <w:top w:val="single" w:sz="6" w:space="0" w:color="000000"/>
              <w:left w:val="single" w:sz="6" w:space="0" w:color="000000"/>
              <w:bottom w:val="single" w:sz="6" w:space="0" w:color="000000"/>
              <w:right w:val="single" w:sz="6" w:space="0" w:color="000000"/>
            </w:tcBorders>
          </w:tcPr>
          <w:p w14:paraId="25D7C9B5" w14:textId="35F2F2DE" w:rsidR="00A05393" w:rsidRPr="000E4321" w:rsidRDefault="009B0B76" w:rsidP="00A05393">
            <w:pPr>
              <w:pStyle w:val="naisc"/>
              <w:spacing w:before="0" w:after="0"/>
              <w:jc w:val="both"/>
              <w:rPr>
                <w:b/>
              </w:rPr>
            </w:pPr>
            <w:r>
              <w:rPr>
                <w:b/>
              </w:rPr>
              <w:lastRenderedPageBreak/>
              <w:t>Panākta vienošanās</w:t>
            </w:r>
          </w:p>
          <w:p w14:paraId="431CDB1F" w14:textId="1EB462B8" w:rsidR="00A05393" w:rsidRPr="000E4321" w:rsidRDefault="00A05393" w:rsidP="00A05393">
            <w:pPr>
              <w:pStyle w:val="naisc"/>
              <w:spacing w:before="0" w:after="0"/>
              <w:jc w:val="both"/>
            </w:pPr>
            <w:r w:rsidRPr="000E4321">
              <w:t xml:space="preserve">Sniegts skaidrojums un papildināta anotācija. </w:t>
            </w:r>
          </w:p>
          <w:p w14:paraId="24601A23" w14:textId="77777777" w:rsidR="00A05393" w:rsidRPr="000E4321" w:rsidRDefault="00A05393" w:rsidP="00A05393">
            <w:pPr>
              <w:pStyle w:val="naisc"/>
              <w:spacing w:before="0" w:after="0"/>
              <w:jc w:val="both"/>
            </w:pPr>
          </w:p>
          <w:p w14:paraId="4296607B" w14:textId="39BDD839" w:rsidR="00A05393" w:rsidRPr="000E4321" w:rsidRDefault="00A05393" w:rsidP="00A05393">
            <w:pPr>
              <w:pStyle w:val="naisc"/>
              <w:spacing w:before="0" w:after="0"/>
              <w:jc w:val="both"/>
            </w:pPr>
            <w:r w:rsidRPr="000E4321">
              <w:t xml:space="preserve">Projekta īstenotajam, pirms projekta uzsākšanas (kas tiek finansēts no valsts pamatfunkciju daļas) ir nepieciešams saņemt MK atļauju par ilgtermiņa saistību uzņemšanos (tostarp uzturēšanas izmaksām pēc projekta pabeigšanas), un atbilstoši uzņemtajām saistībām un izmaiņām </w:t>
            </w:r>
            <w:r w:rsidRPr="000E4321">
              <w:lastRenderedPageBreak/>
              <w:t xml:space="preserve">maksājumu grafikos tiek precizēta attiecīgā resora budžeta bāze. </w:t>
            </w:r>
          </w:p>
          <w:p w14:paraId="4C37FF06" w14:textId="77777777" w:rsidR="00A05393" w:rsidRPr="000E4321" w:rsidRDefault="00A05393" w:rsidP="00A05393">
            <w:pPr>
              <w:pStyle w:val="naisc"/>
              <w:spacing w:before="0" w:after="0"/>
              <w:jc w:val="both"/>
            </w:pPr>
            <w:r w:rsidRPr="000E4321">
              <w:t>Vārdu savienojums “projektu uzturēšana” jau šobrīd tiek lietots LBFV un uz tā pamata izdotajos normatīvajos aktos, tāpēc nav nepieciešamības to specifiski definēt.</w:t>
            </w:r>
          </w:p>
          <w:p w14:paraId="6EDBD4A1" w14:textId="14B70EA7" w:rsidR="00A05393" w:rsidRPr="000E4321" w:rsidRDefault="00A05393" w:rsidP="00A05393">
            <w:pPr>
              <w:pStyle w:val="naisc"/>
              <w:spacing w:before="0" w:after="0"/>
              <w:jc w:val="both"/>
            </w:pPr>
            <w:r w:rsidRPr="000E4321">
              <w:t>Attiecībā uz informācijas un komunikācijas tehnoloģiju projektiem, pantā otrās daļas 3.punktā minētais ir identisks ar šobrīd spēkā esošo regulējumu (9.</w:t>
            </w:r>
            <w:r w:rsidRPr="000E4321">
              <w:rPr>
                <w:vertAlign w:val="superscript"/>
              </w:rPr>
              <w:t>1</w:t>
            </w:r>
            <w:r w:rsidRPr="000E4321">
              <w:t xml:space="preserve"> panta otrās daļas 2.punkta c) apakšpunkts), un pašreizēja kārtība nemainās (t.i., projektiem jābūt pabeigtiem, jābūt VARAM atzinumam (kā tas jau norādīts LBFV punktos), jābūt izmaksu aprēķinam un izmaksas pamatojošiem dokumentiem).</w:t>
            </w:r>
          </w:p>
        </w:tc>
        <w:tc>
          <w:tcPr>
            <w:tcW w:w="3127" w:type="dxa"/>
            <w:tcBorders>
              <w:top w:val="single" w:sz="4" w:space="0" w:color="auto"/>
              <w:left w:val="single" w:sz="4" w:space="0" w:color="auto"/>
              <w:bottom w:val="single" w:sz="4" w:space="0" w:color="auto"/>
            </w:tcBorders>
          </w:tcPr>
          <w:p w14:paraId="37F325FC" w14:textId="77777777" w:rsidR="00A05393" w:rsidRPr="000E4321" w:rsidRDefault="00A05393" w:rsidP="00A05393">
            <w:pPr>
              <w:pStyle w:val="naisc"/>
              <w:spacing w:before="0" w:after="0"/>
              <w:jc w:val="both"/>
            </w:pPr>
            <w:r w:rsidRPr="000E4321">
              <w:lastRenderedPageBreak/>
              <w:t>Papildināta anotācija:</w:t>
            </w:r>
          </w:p>
          <w:p w14:paraId="3F924250" w14:textId="77777777" w:rsidR="00A05393" w:rsidRPr="000E4321" w:rsidRDefault="00A05393" w:rsidP="00A05393">
            <w:pPr>
              <w:pStyle w:val="naisc"/>
              <w:spacing w:before="0" w:after="0"/>
              <w:jc w:val="both"/>
            </w:pPr>
          </w:p>
          <w:p w14:paraId="02791F60" w14:textId="634611B7" w:rsidR="00A05393" w:rsidRPr="000E4321" w:rsidRDefault="00A05393" w:rsidP="00A05393">
            <w:pPr>
              <w:pStyle w:val="naisc"/>
              <w:spacing w:before="0" w:after="0"/>
              <w:jc w:val="both"/>
            </w:pPr>
            <w:r w:rsidRPr="000E4321">
              <w:t>“</w:t>
            </w:r>
            <w:r w:rsidRPr="000E4321">
              <w:rPr>
                <w:u w:val="single"/>
              </w:rPr>
              <w:t xml:space="preserve">Savukārt projektu uzturēšanas apropriācijas rezerves izlietošanas nosacījumi tiek saglabāti līdzvērtīgi spēkā esošajam regulējumam - Eiropas Savienības politiku instrumentu un pārējās ārvalstu finanšu palīdzības līdzfinansētam projektam (tā posmam) ir jābūt pabeigtam, gala norēķina maksājumam veiktam,  apropriācija </w:t>
            </w:r>
            <w:r w:rsidRPr="000E4321">
              <w:rPr>
                <w:u w:val="single"/>
              </w:rPr>
              <w:lastRenderedPageBreak/>
              <w:t>gadskārtējā budžeta likumā nav piešķirta. Attiecībā uz informācijas un komunikācijas tehnoloģiju projektiem, jābūt arī VARAM atzinumam, izmaksu aprēķinam un izmaksas pamatojošiem dokumentiem. Netiek paredzēts no projektu uzturēšanas rezerves piešķirt līdzekļus valsts pamatfunkciju daļas projektu uzturēšanai, jo attiecība uz tiem pirms projekta uzsākšanas ir nepieciešams saņemt MK atļauju par ilgtermiņa saistību uzņemšanos (tostarp uzturēšanas izmaksām pēc projekta pabeigšanas), un atbilstoši uzņemtajām saistībām un izmaiņām maksājumu grafikos tiek precizēta attiecīgā resora budžeta bāze</w:t>
            </w:r>
            <w:r w:rsidRPr="000E4321">
              <w:t>.”</w:t>
            </w:r>
          </w:p>
        </w:tc>
      </w:tr>
      <w:tr w:rsidR="00A05393" w:rsidRPr="000E4321" w14:paraId="5ED35D67" w14:textId="77777777" w:rsidTr="00840182">
        <w:tc>
          <w:tcPr>
            <w:tcW w:w="567" w:type="dxa"/>
            <w:tcBorders>
              <w:top w:val="single" w:sz="6" w:space="0" w:color="000000"/>
              <w:left w:val="single" w:sz="6" w:space="0" w:color="000000"/>
              <w:bottom w:val="single" w:sz="6" w:space="0" w:color="000000"/>
              <w:right w:val="single" w:sz="6" w:space="0" w:color="000000"/>
            </w:tcBorders>
          </w:tcPr>
          <w:p w14:paraId="7690AA9C" w14:textId="3BE8D1AE" w:rsidR="00A05393" w:rsidRPr="000E4321" w:rsidRDefault="00A05393" w:rsidP="00A05393">
            <w:pPr>
              <w:pStyle w:val="naisc"/>
              <w:spacing w:before="0" w:after="0"/>
              <w:jc w:val="left"/>
            </w:pPr>
            <w:r w:rsidRPr="000E4321">
              <w:lastRenderedPageBreak/>
              <w:t>5.</w:t>
            </w:r>
          </w:p>
        </w:tc>
        <w:tc>
          <w:tcPr>
            <w:tcW w:w="2686" w:type="dxa"/>
            <w:tcBorders>
              <w:top w:val="single" w:sz="6" w:space="0" w:color="000000"/>
              <w:left w:val="single" w:sz="6" w:space="0" w:color="000000"/>
              <w:bottom w:val="single" w:sz="6" w:space="0" w:color="000000"/>
              <w:right w:val="single" w:sz="6" w:space="0" w:color="000000"/>
            </w:tcBorders>
          </w:tcPr>
          <w:p w14:paraId="26EE13BE" w14:textId="77777777" w:rsidR="00A05393" w:rsidRPr="000E4321" w:rsidRDefault="00A05393" w:rsidP="00A05393">
            <w:pPr>
              <w:jc w:val="both"/>
            </w:pPr>
            <w:r w:rsidRPr="000E4321">
              <w:t>9.</w:t>
            </w:r>
            <w:r w:rsidRPr="000E4321">
              <w:rPr>
                <w:vertAlign w:val="superscript"/>
              </w:rPr>
              <w:t>1</w:t>
            </w:r>
            <w:r w:rsidRPr="000E4321">
              <w:t xml:space="preserve"> pants. Apropriācijas rezerve.</w:t>
            </w:r>
          </w:p>
          <w:p w14:paraId="16781740" w14:textId="77777777" w:rsidR="00A05393" w:rsidRPr="000E4321" w:rsidRDefault="00A05393" w:rsidP="00A05393">
            <w:pPr>
              <w:jc w:val="both"/>
            </w:pPr>
            <w:r w:rsidRPr="000E4321">
              <w:t>(..)</w:t>
            </w:r>
          </w:p>
          <w:p w14:paraId="1820A0B5" w14:textId="77777777" w:rsidR="00A05393" w:rsidRPr="000E4321" w:rsidRDefault="00A05393" w:rsidP="00A05393">
            <w:pPr>
              <w:jc w:val="both"/>
            </w:pPr>
            <w:r w:rsidRPr="000E4321">
              <w:t xml:space="preserve">(7) Finanšu ministram ir tiesības neizlietoto asignējumu rezervi pārdalīt ministrijām un citām centrālajām valsts iestādēm sadalījumā pa programmām, apakšprogrammām un budžeta izdevumu kodiem atbilstoši ekonomiskajām kategorijām, ņemot vērā </w:t>
            </w:r>
            <w:r w:rsidRPr="000E4321">
              <w:lastRenderedPageBreak/>
              <w:t>attiecīgā budžeta resora iepriekšējā saimnieciskajā gadā neizlietotos asignējumus, kuru resurss bija dotācija no vispārējiem ieņēmumiem, šādās izdevumu kategorijās:</w:t>
            </w:r>
          </w:p>
          <w:p w14:paraId="36C20AE8" w14:textId="77777777" w:rsidR="00A05393" w:rsidRPr="000E4321" w:rsidRDefault="00A05393" w:rsidP="00A05393">
            <w:pPr>
              <w:jc w:val="both"/>
            </w:pPr>
            <w:r w:rsidRPr="000E4321">
              <w:t>1) izdevumi pamatkapitāla veidošanai;</w:t>
            </w:r>
          </w:p>
          <w:p w14:paraId="4D29473D" w14:textId="77777777" w:rsidR="00A05393" w:rsidRPr="000E4321" w:rsidRDefault="00A05393" w:rsidP="00A05393">
            <w:pPr>
              <w:jc w:val="both"/>
            </w:pPr>
            <w:r w:rsidRPr="000E4321">
              <w:t xml:space="preserve">2) izdevumi subsīdijām, dotācijām un starptautiskai sadarbībai; </w:t>
            </w:r>
          </w:p>
          <w:p w14:paraId="439ECAA6" w14:textId="77777777" w:rsidR="00A05393" w:rsidRPr="000E4321" w:rsidRDefault="00A05393" w:rsidP="00A05393">
            <w:pPr>
              <w:jc w:val="both"/>
            </w:pPr>
            <w:r w:rsidRPr="000E4321">
              <w:t>3) izdevumi atlīdzībai, precēm un pakalpojumiem.</w:t>
            </w:r>
          </w:p>
        </w:tc>
        <w:tc>
          <w:tcPr>
            <w:tcW w:w="5562" w:type="dxa"/>
            <w:gridSpan w:val="2"/>
            <w:tcBorders>
              <w:top w:val="single" w:sz="6" w:space="0" w:color="000000"/>
              <w:left w:val="single" w:sz="6" w:space="0" w:color="000000"/>
              <w:bottom w:val="single" w:sz="6" w:space="0" w:color="000000"/>
              <w:right w:val="single" w:sz="6" w:space="0" w:color="000000"/>
            </w:tcBorders>
          </w:tcPr>
          <w:p w14:paraId="3DD113D4" w14:textId="77777777" w:rsidR="00A05393" w:rsidRPr="000E4321" w:rsidRDefault="00A05393" w:rsidP="00A05393">
            <w:pPr>
              <w:pStyle w:val="naisc"/>
              <w:spacing w:before="0" w:after="0"/>
              <w:jc w:val="both"/>
            </w:pPr>
            <w:r w:rsidRPr="000E4321">
              <w:rPr>
                <w:b/>
              </w:rPr>
              <w:lastRenderedPageBreak/>
              <w:t>Labklājības ministrija (iebildums):</w:t>
            </w:r>
          </w:p>
          <w:p w14:paraId="18F27779" w14:textId="77777777" w:rsidR="00A05393" w:rsidRPr="000E4321" w:rsidRDefault="00A05393" w:rsidP="00A05393">
            <w:pPr>
              <w:pStyle w:val="naisc"/>
              <w:spacing w:before="0" w:after="0"/>
              <w:jc w:val="both"/>
            </w:pPr>
            <w:r w:rsidRPr="000E4321">
              <w:t>Likumprojekta 3.pants, kas groza likuma 9.</w:t>
            </w:r>
            <w:r w:rsidRPr="000E4321">
              <w:rPr>
                <w:vertAlign w:val="superscript"/>
              </w:rPr>
              <w:t>1</w:t>
            </w:r>
            <w:r w:rsidRPr="000E4321">
              <w:t xml:space="preserve"> panta septīto daļu, paredz Finanšu ministram tiesības neizlietoto asignējuma rezervi pārdalīt ministrijām, nosakot attiecīgās izdevumu kategorijas, kuru resurss ir dotācija no vispārējiem ieņēmumiem. Atbilstoši likumprojekta anotācijas I sadaļas 2 punktā sniegtajam skaidrojumam, finansējums no neizlietoto asignējumu rezerves, kuru resurss bija dotācija no vispārējiem ieņēmumiem, netiks attiecināts uz atsevišķām izdevumu kategorijām, tai skaitā transfertiem un sociālajiem pabalstiem. </w:t>
            </w:r>
          </w:p>
          <w:p w14:paraId="28DE0D10" w14:textId="77777777" w:rsidR="00A05393" w:rsidRPr="000E4321" w:rsidRDefault="00A05393" w:rsidP="00A05393">
            <w:pPr>
              <w:pStyle w:val="naisc"/>
              <w:spacing w:before="0" w:after="0"/>
              <w:jc w:val="both"/>
            </w:pPr>
            <w:r w:rsidRPr="000E4321">
              <w:t xml:space="preserve">1. Vēršam uzmanību, ka LM pārraudzībā ir divi budžeti – pamatbudžets un speciālais budžets - un LM padotības iestāde Valsts sociālās apdrošināšanas aģentūra </w:t>
            </w:r>
            <w:r w:rsidRPr="000E4321">
              <w:lastRenderedPageBreak/>
              <w:t xml:space="preserve">(turpmāk – VSAA) saņem transfertus (gan uzturēšanas izdevumu transfertu, gan kapitālo izdevumu transfertu) no LM, lai VSAA tiktu nodrošināti administrēšanas izdevumi. Līdz ar to attiecīgie transfertu pārskaitījumi ir vienas nozares ietvaros starp ministriju un ministrijas padotības iestādi (starp pamatbudžetu un speciālo budžetu). Ņemot vērā iepriekšminēto, un likumprojekta grozījumus, var secināt, ka apropriācijas rezervi, gadījumos, ja iepriekšējā saimnieciskajā gadā paliek atlikums arī transfertam no LM pamatbudžeta uz speciālo budžetu VSAA administrēšanas nodrošināšanai, nevar pieprasīt iestrādāt nākamā gada budžetā, kas rada nevienlīdzīgu situāciju attiecībā pret VSAA. </w:t>
            </w:r>
          </w:p>
          <w:p w14:paraId="69A7E9D0" w14:textId="77777777" w:rsidR="00A05393" w:rsidRPr="000E4321" w:rsidRDefault="00A05393" w:rsidP="00A05393">
            <w:pPr>
              <w:pStyle w:val="naisc"/>
              <w:spacing w:before="0" w:after="0"/>
              <w:jc w:val="both"/>
            </w:pPr>
            <w:r w:rsidRPr="000E4321">
              <w:t>Līdz ar to, lūdzam likumprojektā paredzēt iespēju (izņēmumu), lai arī šāda veida transferta pārskaitījumi VSAA administratīvo izdevumu nodrošināšanai varētu tikt attiecināmi uz asignējuma rezervi.</w:t>
            </w:r>
          </w:p>
          <w:p w14:paraId="69C1C9F2" w14:textId="77777777" w:rsidR="00A05393" w:rsidRPr="000E4321" w:rsidRDefault="00A05393" w:rsidP="00A05393">
            <w:pPr>
              <w:pStyle w:val="naisc"/>
              <w:spacing w:before="0" w:after="0"/>
              <w:jc w:val="both"/>
            </w:pPr>
            <w:r w:rsidRPr="000E4321">
              <w:t xml:space="preserve">2. Vienlaikus lūdzam likumprojektā paredzēt iespēju valsts pamatbudžeta sociālo raksturu maksājumu un kompensāciju (sociālo pabalstu) atlikumus uz gada beigām nākamajā saimnieciskajā gadā novirzīt valsts finansēto sociālo pakalpojumu nodrošināšanai. Līdzšinējā pieredze rāda, ka Labklājības ministrijas sociālo pakalpojumu nodrošināšanai piešķirtais finansējums ik gadu ir nepietiekams un Labklājības ministrija jau šobrīd saimnieciskā gada ietvaros veic apropriāciju pārdali, ja ir radies ietaupījums Labklājības ministrijas administrētajos sociālajos pabalstos, novirzot ietaupījumu  sociālo pakalpojumu segšanai. Ņemot vērā, ka šī pārdale ir iespējama tikai gada pēdējā ceturksnī, tad veidojās situācijas, kad kapacitātes trūkuma dēļ, pārdales var veikt tikai tādā apjomā, kuru var nodrošināt 2 mēnešu laikā. Iestrādājot normu, ka ietaupījumu varētu novirzīt nākamā gada  sociālo </w:t>
            </w:r>
            <w:r w:rsidRPr="000E4321">
              <w:lastRenderedPageBreak/>
              <w:t>pakalpojumu nodrošināšanai, tiktu risināts jautājums par nepietiekamo finansējumu šiem pakalpojumiem.</w:t>
            </w:r>
          </w:p>
          <w:p w14:paraId="4A6D2CA5" w14:textId="77777777" w:rsidR="00A05393" w:rsidRPr="000E4321" w:rsidRDefault="00A05393" w:rsidP="00A05393">
            <w:pPr>
              <w:pStyle w:val="naisc"/>
              <w:spacing w:before="0" w:after="0"/>
              <w:jc w:val="both"/>
            </w:pPr>
          </w:p>
          <w:p w14:paraId="595686B6" w14:textId="77777777" w:rsidR="00A05393" w:rsidRPr="000E4321" w:rsidRDefault="00A05393" w:rsidP="00A05393">
            <w:pPr>
              <w:pStyle w:val="naisc"/>
              <w:spacing w:before="0" w:after="0"/>
              <w:jc w:val="both"/>
            </w:pPr>
            <w:r w:rsidRPr="000E4321">
              <w:rPr>
                <w:b/>
              </w:rPr>
              <w:t>Iekšlietu ministrija (iebildums):</w:t>
            </w:r>
          </w:p>
          <w:p w14:paraId="677AECF9" w14:textId="77777777" w:rsidR="00A05393" w:rsidRPr="000E4321" w:rsidRDefault="00A05393" w:rsidP="00A05393">
            <w:pPr>
              <w:pStyle w:val="naisc"/>
              <w:spacing w:before="0" w:after="0"/>
              <w:jc w:val="both"/>
              <w:rPr>
                <w:b/>
              </w:rPr>
            </w:pPr>
            <w:r w:rsidRPr="000E4321">
              <w:t>Aizstāt septītajā daļā vārdu resurss” ar vārdiem “resurss izdevumu segšanai”.</w:t>
            </w:r>
          </w:p>
        </w:tc>
        <w:tc>
          <w:tcPr>
            <w:tcW w:w="3084" w:type="dxa"/>
            <w:tcBorders>
              <w:top w:val="single" w:sz="6" w:space="0" w:color="000000"/>
              <w:left w:val="single" w:sz="6" w:space="0" w:color="000000"/>
              <w:bottom w:val="single" w:sz="6" w:space="0" w:color="000000"/>
              <w:right w:val="single" w:sz="6" w:space="0" w:color="000000"/>
            </w:tcBorders>
          </w:tcPr>
          <w:p w14:paraId="36BC607D" w14:textId="287E46FD" w:rsidR="00A05393" w:rsidRPr="000E4321" w:rsidRDefault="00A05393" w:rsidP="00A05393">
            <w:pPr>
              <w:pStyle w:val="naisc"/>
              <w:spacing w:before="0" w:after="0"/>
              <w:jc w:val="both"/>
              <w:rPr>
                <w:b/>
              </w:rPr>
            </w:pPr>
            <w:r w:rsidRPr="000E4321">
              <w:rPr>
                <w:b/>
              </w:rPr>
              <w:lastRenderedPageBreak/>
              <w:t>Ņemts vērā</w:t>
            </w:r>
          </w:p>
          <w:p w14:paraId="09F3D17A" w14:textId="77777777" w:rsidR="00A05393" w:rsidRPr="000E4321" w:rsidRDefault="00A05393" w:rsidP="00A05393">
            <w:pPr>
              <w:pStyle w:val="naisc"/>
              <w:spacing w:before="0" w:after="0"/>
              <w:jc w:val="both"/>
            </w:pPr>
          </w:p>
          <w:p w14:paraId="15966E08" w14:textId="77777777" w:rsidR="00A05393" w:rsidRPr="000E4321" w:rsidRDefault="00A05393" w:rsidP="00A05393">
            <w:pPr>
              <w:pStyle w:val="naisc"/>
              <w:spacing w:before="0" w:after="0"/>
              <w:jc w:val="both"/>
            </w:pPr>
            <w:r w:rsidRPr="000E4321">
              <w:t>Izdevumu kategorijas papildinātas ar atsauci uz izdevumu transfertiem no valsts pamatbudžeta uz valsts speciālo budžetu Valsts sociālās apdrošināšanas aģentūras administrēšanas nodrošināšanai.</w:t>
            </w:r>
          </w:p>
          <w:p w14:paraId="4707F0FD" w14:textId="77777777" w:rsidR="00A05393" w:rsidRPr="000E4321" w:rsidRDefault="00A05393" w:rsidP="00A05393">
            <w:pPr>
              <w:pStyle w:val="naisc"/>
              <w:spacing w:before="0" w:after="0"/>
              <w:jc w:val="both"/>
            </w:pPr>
          </w:p>
          <w:p w14:paraId="4BC6B1EC" w14:textId="77777777" w:rsidR="00A05393" w:rsidRPr="000E4321" w:rsidRDefault="00A05393" w:rsidP="00A05393">
            <w:pPr>
              <w:pStyle w:val="naisc"/>
              <w:spacing w:before="0" w:after="0"/>
              <w:jc w:val="both"/>
            </w:pPr>
            <w:r w:rsidRPr="000E4321">
              <w:t xml:space="preserve">Vienlaikus precizēts atbilstoši anotācijā minētajam, ka panta nosacījumi attiecināmi tikai uz neizlietotiem izdevumiem </w:t>
            </w:r>
            <w:r w:rsidRPr="000E4321">
              <w:lastRenderedPageBreak/>
              <w:t>valsts pamatfunkciju īstenošanai (savukārt II.budžeta blokā finansējuma elastību nodrošina ar 80.00.00 budžeta programmas starpniecību).</w:t>
            </w:r>
          </w:p>
          <w:p w14:paraId="06C58F30" w14:textId="77777777" w:rsidR="00A05393" w:rsidRPr="000E4321" w:rsidRDefault="00A05393" w:rsidP="00A05393">
            <w:pPr>
              <w:pStyle w:val="naisc"/>
              <w:spacing w:before="0" w:after="0"/>
              <w:jc w:val="both"/>
            </w:pPr>
          </w:p>
          <w:p w14:paraId="36DFD5B1" w14:textId="19571058" w:rsidR="00A05393" w:rsidRPr="000E4321" w:rsidRDefault="00A05393" w:rsidP="00A05393">
            <w:pPr>
              <w:pStyle w:val="naisc"/>
              <w:spacing w:before="0" w:after="0"/>
              <w:jc w:val="both"/>
            </w:pPr>
            <w:r w:rsidRPr="000E4321">
              <w:t xml:space="preserve">Par finansējuma nepietiekamību sociālo pakalpojumu nodrošināšanai skaidrojam, ka jautājums būtu jārisina sistēmiski, nevis izmantojot citās aktivitātēs neizlietotos atlikumus. </w:t>
            </w:r>
          </w:p>
          <w:p w14:paraId="607CE32D" w14:textId="77777777" w:rsidR="00A05393" w:rsidRPr="000E4321" w:rsidRDefault="00A05393" w:rsidP="00A05393">
            <w:pPr>
              <w:pStyle w:val="naisc"/>
              <w:spacing w:before="0" w:after="0"/>
              <w:jc w:val="both"/>
            </w:pPr>
          </w:p>
          <w:p w14:paraId="71E20C22" w14:textId="17B1A868" w:rsidR="00A05393" w:rsidRPr="000E4321" w:rsidRDefault="00A05393" w:rsidP="00A05393">
            <w:pPr>
              <w:pStyle w:val="naisc"/>
              <w:spacing w:before="0" w:after="0"/>
              <w:jc w:val="both"/>
            </w:pPr>
          </w:p>
        </w:tc>
        <w:tc>
          <w:tcPr>
            <w:tcW w:w="3127" w:type="dxa"/>
            <w:tcBorders>
              <w:top w:val="single" w:sz="4" w:space="0" w:color="auto"/>
              <w:left w:val="single" w:sz="4" w:space="0" w:color="auto"/>
              <w:bottom w:val="single" w:sz="4" w:space="0" w:color="auto"/>
            </w:tcBorders>
          </w:tcPr>
          <w:p w14:paraId="2AD5A375" w14:textId="77777777" w:rsidR="00A05393" w:rsidRPr="000E4321" w:rsidRDefault="00A05393" w:rsidP="00A05393">
            <w:pPr>
              <w:jc w:val="both"/>
            </w:pPr>
            <w:r w:rsidRPr="000E4321">
              <w:lastRenderedPageBreak/>
              <w:t>9.</w:t>
            </w:r>
            <w:r w:rsidRPr="000E4321">
              <w:rPr>
                <w:vertAlign w:val="superscript"/>
              </w:rPr>
              <w:t>1</w:t>
            </w:r>
            <w:r w:rsidRPr="000E4321">
              <w:t xml:space="preserve"> pants. Apropriācijas rezerve.</w:t>
            </w:r>
          </w:p>
          <w:p w14:paraId="60EC90B9" w14:textId="77777777" w:rsidR="00A05393" w:rsidRPr="000E4321" w:rsidRDefault="00A05393" w:rsidP="00A05393">
            <w:pPr>
              <w:jc w:val="both"/>
            </w:pPr>
            <w:r w:rsidRPr="000E4321">
              <w:t>(..)</w:t>
            </w:r>
          </w:p>
          <w:p w14:paraId="6E790583" w14:textId="51245BBE" w:rsidR="00A05393" w:rsidRPr="000E4321" w:rsidRDefault="00A05393" w:rsidP="00A05393">
            <w:pPr>
              <w:jc w:val="both"/>
            </w:pPr>
            <w:r w:rsidRPr="000E4321">
              <w:t xml:space="preserve">(7) Finanšu ministram ir tiesības neizlietoto asignējumu rezervi pārdalīt ministrijām un citām centrālajām valsts iestādēm sadalījumā pa programmām, apakšprogrammām un budžeta izdevumu kodiem atbilstoši ekonomiskajām kategorijām, ņemot vērā attiecīgā budžeta resora iepriekšējā saimnieciskajā </w:t>
            </w:r>
            <w:r w:rsidRPr="000E4321">
              <w:lastRenderedPageBreak/>
              <w:t xml:space="preserve">gadā neizlietotos asignējumus </w:t>
            </w:r>
            <w:r w:rsidRPr="000E4321">
              <w:rPr>
                <w:u w:val="single"/>
              </w:rPr>
              <w:t>valsts pamatfunkciju īstenošanai</w:t>
            </w:r>
            <w:r w:rsidRPr="000E4321">
              <w:t xml:space="preserve">, kuru resurss </w:t>
            </w:r>
            <w:r w:rsidRPr="000E4321">
              <w:rPr>
                <w:u w:val="single"/>
              </w:rPr>
              <w:t>izdevumu segšanai</w:t>
            </w:r>
            <w:r w:rsidRPr="000E4321">
              <w:t xml:space="preserve"> bija dotācija no vispārējiem ieņēmumiem, šādās izdevumu kategorijās:</w:t>
            </w:r>
          </w:p>
          <w:p w14:paraId="33D5598B" w14:textId="77777777" w:rsidR="00A05393" w:rsidRPr="000E4321" w:rsidRDefault="00A05393" w:rsidP="00A05393">
            <w:pPr>
              <w:jc w:val="both"/>
            </w:pPr>
            <w:r w:rsidRPr="000E4321">
              <w:t>1) izdevumi pamatkapitāla veidošanai;</w:t>
            </w:r>
          </w:p>
          <w:p w14:paraId="1AD8F327" w14:textId="77777777" w:rsidR="00A05393" w:rsidRPr="000E4321" w:rsidRDefault="00A05393" w:rsidP="00A05393">
            <w:pPr>
              <w:jc w:val="both"/>
            </w:pPr>
            <w:r w:rsidRPr="000E4321">
              <w:t xml:space="preserve">2) izdevumi subsīdijām, dotācijām un starptautiskai sadarbībai; </w:t>
            </w:r>
          </w:p>
          <w:p w14:paraId="1A8AC292" w14:textId="77777777" w:rsidR="00A05393" w:rsidRPr="000E4321" w:rsidRDefault="00A05393" w:rsidP="00A05393">
            <w:pPr>
              <w:pStyle w:val="naisc"/>
              <w:spacing w:before="0" w:after="0"/>
              <w:jc w:val="both"/>
            </w:pPr>
            <w:r w:rsidRPr="000E4321">
              <w:t>3) izdevumi atlīdzībai, precēm un pakalpojumiem;</w:t>
            </w:r>
          </w:p>
          <w:p w14:paraId="07F861FA" w14:textId="55EFD77B" w:rsidR="00A05393" w:rsidRPr="000E4321" w:rsidRDefault="00A05393" w:rsidP="00A05393">
            <w:pPr>
              <w:pStyle w:val="naisc"/>
              <w:spacing w:before="0" w:after="0"/>
              <w:jc w:val="both"/>
            </w:pPr>
            <w:r w:rsidRPr="000E4321">
              <w:t xml:space="preserve">4) </w:t>
            </w:r>
            <w:r w:rsidRPr="000E4321">
              <w:rPr>
                <w:u w:val="single"/>
              </w:rPr>
              <w:t>izdevumu transferti no valsts pamatbudžeta uz valsts speciālo budžetu Valsts sociālās apdrošināšanas aģentūras administrēšanas nodrošināšanai</w:t>
            </w:r>
            <w:r w:rsidRPr="000E4321">
              <w:t>.</w:t>
            </w:r>
          </w:p>
        </w:tc>
      </w:tr>
      <w:tr w:rsidR="00A05393" w:rsidRPr="000E4321" w14:paraId="51D4DEBF" w14:textId="77777777" w:rsidTr="00840182">
        <w:tc>
          <w:tcPr>
            <w:tcW w:w="567" w:type="dxa"/>
            <w:tcBorders>
              <w:top w:val="single" w:sz="6" w:space="0" w:color="000000"/>
              <w:left w:val="single" w:sz="6" w:space="0" w:color="000000"/>
              <w:bottom w:val="single" w:sz="6" w:space="0" w:color="000000"/>
              <w:right w:val="single" w:sz="6" w:space="0" w:color="000000"/>
            </w:tcBorders>
          </w:tcPr>
          <w:p w14:paraId="6DB3315A" w14:textId="60414016" w:rsidR="00A05393" w:rsidRPr="000E4321" w:rsidRDefault="00A05393" w:rsidP="00A05393">
            <w:pPr>
              <w:pStyle w:val="naisc"/>
              <w:spacing w:before="0" w:after="0"/>
              <w:jc w:val="left"/>
            </w:pPr>
            <w:r w:rsidRPr="000E4321">
              <w:lastRenderedPageBreak/>
              <w:t>6.</w:t>
            </w:r>
          </w:p>
        </w:tc>
        <w:tc>
          <w:tcPr>
            <w:tcW w:w="2686" w:type="dxa"/>
            <w:tcBorders>
              <w:top w:val="single" w:sz="6" w:space="0" w:color="000000"/>
              <w:left w:val="single" w:sz="6" w:space="0" w:color="000000"/>
              <w:bottom w:val="single" w:sz="6" w:space="0" w:color="000000"/>
              <w:right w:val="single" w:sz="6" w:space="0" w:color="000000"/>
            </w:tcBorders>
          </w:tcPr>
          <w:p w14:paraId="0E7929FB" w14:textId="77777777" w:rsidR="00A05393" w:rsidRPr="000E4321" w:rsidRDefault="00A05393" w:rsidP="00A05393">
            <w:pPr>
              <w:jc w:val="both"/>
            </w:pPr>
            <w:r w:rsidRPr="000E4321">
              <w:t>9.</w:t>
            </w:r>
            <w:r w:rsidRPr="000E4321">
              <w:rPr>
                <w:vertAlign w:val="superscript"/>
              </w:rPr>
              <w:t>1</w:t>
            </w:r>
            <w:r w:rsidRPr="000E4321">
              <w:t xml:space="preserve"> pants. Apropriācijas rezerve.</w:t>
            </w:r>
          </w:p>
          <w:p w14:paraId="594C4565" w14:textId="77777777" w:rsidR="00A05393" w:rsidRPr="000E4321" w:rsidRDefault="00A05393" w:rsidP="00A05393">
            <w:pPr>
              <w:jc w:val="both"/>
            </w:pPr>
            <w:r w:rsidRPr="000E4321">
              <w:t>(..)</w:t>
            </w:r>
          </w:p>
          <w:p w14:paraId="5E0F0AE8" w14:textId="77777777" w:rsidR="00A05393" w:rsidRPr="000E4321" w:rsidRDefault="00A05393" w:rsidP="00A05393">
            <w:pPr>
              <w:jc w:val="both"/>
            </w:pPr>
            <w:r w:rsidRPr="000E4321">
              <w:t>(9) Ja no neizlietoto asignējumu rezerves pārdalītos līdzekļus izmanto atlīdzības izdevumu palielināšanai kārtējā gadā, tad šis palielinājums nepārsniedz 5 procentus no budžeta resoram šajā izdevumu kategorijā apstiprinātās kārtējā gada apropriācijas apjoma.</w:t>
            </w:r>
          </w:p>
        </w:tc>
        <w:tc>
          <w:tcPr>
            <w:tcW w:w="5562" w:type="dxa"/>
            <w:gridSpan w:val="2"/>
            <w:tcBorders>
              <w:top w:val="single" w:sz="6" w:space="0" w:color="000000"/>
              <w:left w:val="single" w:sz="6" w:space="0" w:color="000000"/>
              <w:bottom w:val="single" w:sz="6" w:space="0" w:color="000000"/>
              <w:right w:val="single" w:sz="6" w:space="0" w:color="000000"/>
            </w:tcBorders>
          </w:tcPr>
          <w:p w14:paraId="0222509C" w14:textId="77777777" w:rsidR="00A05393" w:rsidRPr="000E4321" w:rsidRDefault="00A05393" w:rsidP="00A05393">
            <w:pPr>
              <w:pStyle w:val="naisc"/>
              <w:spacing w:before="0" w:after="0"/>
              <w:jc w:val="both"/>
            </w:pPr>
            <w:r w:rsidRPr="000E4321">
              <w:rPr>
                <w:b/>
              </w:rPr>
              <w:t>Valsts kontrole (iebildums):</w:t>
            </w:r>
          </w:p>
          <w:p w14:paraId="797B1A7B" w14:textId="77777777" w:rsidR="00A05393" w:rsidRPr="000E4321" w:rsidRDefault="00A05393" w:rsidP="00A05393">
            <w:pPr>
              <w:pStyle w:val="naisc"/>
              <w:spacing w:before="0" w:after="0"/>
              <w:jc w:val="both"/>
            </w:pPr>
            <w:r w:rsidRPr="000E4321">
              <w:t>Likumprojekta 3.pantā piedāvātajā Likuma par budžetu un finanšu vadību 9.</w:t>
            </w:r>
            <w:r w:rsidRPr="000E4321">
              <w:rPr>
                <w:vertAlign w:val="superscript"/>
              </w:rPr>
              <w:t>1</w:t>
            </w:r>
            <w:r w:rsidRPr="000E4321">
              <w:t xml:space="preserve"> panta devītās daļas redakcijā ir paredzēts: </w:t>
            </w:r>
          </w:p>
          <w:p w14:paraId="02B3C82A" w14:textId="77777777" w:rsidR="00A05393" w:rsidRPr="000E4321" w:rsidRDefault="00A05393" w:rsidP="00A05393">
            <w:pPr>
              <w:pStyle w:val="naisc"/>
              <w:spacing w:before="0" w:after="0"/>
              <w:jc w:val="both"/>
              <w:rPr>
                <w:i/>
              </w:rPr>
            </w:pPr>
            <w:r w:rsidRPr="000E4321">
              <w:rPr>
                <w:i/>
              </w:rPr>
              <w:t xml:space="preserve">(9) Ja no neizlietoto asignējumu rezerves pārdalītos līdzekļus izmanto atlīdzības izdevumu palielināšanai kārtējā gadā, tad šis palielinājums nepārsniedz 5 procentus no budžeta resoram šajā izdevumu kategorijā apstiprinātās kārtējā gada apropriācijas apjoma. </w:t>
            </w:r>
          </w:p>
          <w:p w14:paraId="4612B7D1" w14:textId="77777777" w:rsidR="00A05393" w:rsidRPr="000E4321" w:rsidRDefault="00A05393" w:rsidP="00A05393">
            <w:pPr>
              <w:pStyle w:val="naisc"/>
              <w:spacing w:before="0" w:after="0"/>
              <w:jc w:val="both"/>
            </w:pPr>
            <w:r w:rsidRPr="000E4321">
              <w:t>Lai veicinātu labāku izpratni par Likumprojektā ietverto regulējumu un atbildīgu valsts budžeta līdzekļu izlietojumu, aicinām papildināt anotāciju ar skaidrojumu vai nosacījumiem, kas jāievēro, izmantojot līdzekļus, ko resors pieprasa un saņem 5 procentu apmērā atlīdzības izdevumu palielināšanai. Piemēram, vai ir pieļaujams, ka neizlietotie asignējumi iepriekšējā gadā ir bijuši vairākām iestādēm, bet no neizlietoto asignējumu rezerves pārdalītos līdzekļus izmanto tikai vienas iestādes atlīdzības palielināšanai.</w:t>
            </w:r>
          </w:p>
          <w:p w14:paraId="5722AE7C" w14:textId="77777777" w:rsidR="00A05393" w:rsidRPr="000E4321" w:rsidRDefault="00A05393" w:rsidP="00A05393">
            <w:pPr>
              <w:pStyle w:val="naisc"/>
              <w:spacing w:before="0" w:after="0"/>
              <w:jc w:val="both"/>
              <w:rPr>
                <w:b/>
              </w:rPr>
            </w:pPr>
          </w:p>
        </w:tc>
        <w:tc>
          <w:tcPr>
            <w:tcW w:w="3084" w:type="dxa"/>
            <w:tcBorders>
              <w:top w:val="single" w:sz="6" w:space="0" w:color="000000"/>
              <w:left w:val="single" w:sz="6" w:space="0" w:color="000000"/>
              <w:bottom w:val="single" w:sz="6" w:space="0" w:color="000000"/>
              <w:right w:val="single" w:sz="6" w:space="0" w:color="000000"/>
            </w:tcBorders>
          </w:tcPr>
          <w:p w14:paraId="577E7A31" w14:textId="0FA32E73" w:rsidR="00A05393" w:rsidRPr="000E4321" w:rsidRDefault="00A05393" w:rsidP="00A05393">
            <w:pPr>
              <w:pStyle w:val="naisc"/>
              <w:spacing w:before="0" w:after="0"/>
              <w:jc w:val="both"/>
              <w:rPr>
                <w:b/>
              </w:rPr>
            </w:pPr>
            <w:r w:rsidRPr="000E4321">
              <w:rPr>
                <w:b/>
              </w:rPr>
              <w:t>Ņemts vērā</w:t>
            </w:r>
          </w:p>
          <w:p w14:paraId="688CA88E" w14:textId="1F59EA4E" w:rsidR="00A05393" w:rsidRPr="000E4321" w:rsidRDefault="00A05393" w:rsidP="00A05393">
            <w:pPr>
              <w:pStyle w:val="naisc"/>
              <w:spacing w:before="0" w:after="0"/>
              <w:jc w:val="both"/>
            </w:pPr>
            <w:r w:rsidRPr="000E4321">
              <w:t>Papildinātā anotācija</w:t>
            </w:r>
          </w:p>
        </w:tc>
        <w:tc>
          <w:tcPr>
            <w:tcW w:w="3127" w:type="dxa"/>
            <w:tcBorders>
              <w:top w:val="single" w:sz="4" w:space="0" w:color="auto"/>
              <w:left w:val="single" w:sz="4" w:space="0" w:color="auto"/>
              <w:bottom w:val="single" w:sz="4" w:space="0" w:color="auto"/>
            </w:tcBorders>
          </w:tcPr>
          <w:p w14:paraId="4B5218C9" w14:textId="77777777" w:rsidR="00A05393" w:rsidRPr="000E4321" w:rsidRDefault="00A05393" w:rsidP="00A05393">
            <w:pPr>
              <w:pStyle w:val="NormalWeb"/>
              <w:jc w:val="both"/>
            </w:pPr>
            <w:r w:rsidRPr="000E4321">
              <w:t>Anotācija:</w:t>
            </w:r>
          </w:p>
          <w:p w14:paraId="6EDA97BB" w14:textId="65320762" w:rsidR="00A05393" w:rsidRPr="000E4321" w:rsidRDefault="00A05393" w:rsidP="00A05393">
            <w:pPr>
              <w:pStyle w:val="NormalWeb"/>
              <w:jc w:val="both"/>
            </w:pPr>
            <w:r w:rsidRPr="000E4321">
              <w:t>Pieprasot finanšu līdzekļus, kas atbilst resora n-1 gadā neizlietotiem asignējumiem, ministrija n gadā pati lemj par līdzekļu sadalījumu pa sava resora budžeta programmām/apakšprogrammām un izdevumu ekonomiskajām kategorijām. Konkrēta resora neizlietotie asignējumi var tikt izmantoti tikai tā paša resora vajadzībām.</w:t>
            </w:r>
          </w:p>
          <w:p w14:paraId="72C71F1C" w14:textId="6E00D0D9" w:rsidR="00A05393" w:rsidRPr="000E4321" w:rsidRDefault="00A05393" w:rsidP="00A05393">
            <w:pPr>
              <w:pStyle w:val="NormalWeb"/>
              <w:jc w:val="both"/>
              <w:rPr>
                <w:u w:val="single"/>
              </w:rPr>
            </w:pPr>
            <w:r w:rsidRPr="000E4321">
              <w:t xml:space="preserve">… Lai novērstu iespējamas tendences pārmērīgi izmantot līdzekļus atlīdzībai, tiek paredzēts nosacījums, ka izmantojot neizlietoto asignējumu rezerves finansējumu atlīdzības izdevumu palielināšanai kārtējā gadā, šis palielinājums budžeta resora līmenī nepārsniedz 5 procentus no šai izdevumu kategorijai apstiprinātā finansējuma  </w:t>
            </w:r>
            <w:r w:rsidRPr="000E4321">
              <w:lastRenderedPageBreak/>
              <w:t xml:space="preserve">kārtējam gadam (sākotnējais apstiprinātais plāns). </w:t>
            </w:r>
            <w:r w:rsidRPr="000E4321">
              <w:rPr>
                <w:u w:val="single"/>
              </w:rPr>
              <w:t xml:space="preserve">Arī uz atlīdzības izdevumu pozīciju attiecas iepriekš anotācijā minētais, ka ministrija pati lemj par “pārcelto” līdzekļu sadalījumu pa sava resora budžeta programmām/apakšprogrammām un izdevumu ekonomiskajām kategorijām vienlaikus ievērojot likumprojektā noteikto, ka  līdzekļi </w:t>
            </w:r>
            <w:r w:rsidRPr="000E4321">
              <w:rPr>
                <w:bCs/>
                <w:u w:val="single"/>
              </w:rPr>
              <w:t>netiek pārdalīti tādiem pasākumiem, kuriem ir ietekme uz turpmākajiem gadiem.</w:t>
            </w:r>
          </w:p>
          <w:p w14:paraId="772B43CC" w14:textId="25D942C6" w:rsidR="00A05393" w:rsidRPr="000E4321" w:rsidRDefault="00A05393" w:rsidP="00A05393">
            <w:pPr>
              <w:pStyle w:val="NormalWeb"/>
              <w:jc w:val="both"/>
            </w:pPr>
            <w:r w:rsidRPr="000E4321">
              <w:t xml:space="preserve">… Likumprojekts paredz, ka </w:t>
            </w:r>
            <w:r w:rsidRPr="000E4321">
              <w:rPr>
                <w:bCs/>
              </w:rPr>
              <w:t>ministrijas un citas centrālās valsts iestādes nepieprasa līdzekļus un tie netiek pārdalīti tādiem pasākumiem, kuriem ir ietekme uz turpmākajiem gadiem.</w:t>
            </w:r>
          </w:p>
        </w:tc>
      </w:tr>
      <w:tr w:rsidR="00A05393" w:rsidRPr="000E4321" w14:paraId="55A8550D" w14:textId="77777777" w:rsidTr="00840182">
        <w:tc>
          <w:tcPr>
            <w:tcW w:w="567" w:type="dxa"/>
            <w:tcBorders>
              <w:top w:val="single" w:sz="6" w:space="0" w:color="000000"/>
              <w:left w:val="single" w:sz="6" w:space="0" w:color="000000"/>
              <w:bottom w:val="single" w:sz="6" w:space="0" w:color="000000"/>
              <w:right w:val="single" w:sz="6" w:space="0" w:color="000000"/>
            </w:tcBorders>
          </w:tcPr>
          <w:p w14:paraId="335A5220" w14:textId="66C8CA3A" w:rsidR="00A05393" w:rsidRPr="000E4321" w:rsidRDefault="00A05393" w:rsidP="00A05393">
            <w:pPr>
              <w:pStyle w:val="naisc"/>
              <w:spacing w:before="0" w:after="0"/>
              <w:jc w:val="left"/>
            </w:pPr>
            <w:r w:rsidRPr="000E4321">
              <w:lastRenderedPageBreak/>
              <w:t>7.</w:t>
            </w:r>
          </w:p>
        </w:tc>
        <w:tc>
          <w:tcPr>
            <w:tcW w:w="2686" w:type="dxa"/>
            <w:tcBorders>
              <w:top w:val="single" w:sz="6" w:space="0" w:color="000000"/>
              <w:left w:val="single" w:sz="6" w:space="0" w:color="000000"/>
              <w:bottom w:val="single" w:sz="6" w:space="0" w:color="000000"/>
              <w:right w:val="single" w:sz="6" w:space="0" w:color="000000"/>
            </w:tcBorders>
          </w:tcPr>
          <w:p w14:paraId="2B0D5E9B" w14:textId="77777777" w:rsidR="00A05393" w:rsidRPr="000E4321" w:rsidRDefault="00A05393" w:rsidP="00A05393">
            <w:pPr>
              <w:jc w:val="both"/>
            </w:pPr>
            <w:r w:rsidRPr="000E4321">
              <w:t>Anotācijas 3. lappusē:</w:t>
            </w:r>
          </w:p>
          <w:p w14:paraId="3AF33700" w14:textId="77777777" w:rsidR="00A05393" w:rsidRPr="000E4321" w:rsidRDefault="00A05393" w:rsidP="00A05393">
            <w:pPr>
              <w:jc w:val="both"/>
            </w:pPr>
            <w:r w:rsidRPr="000E4321">
              <w:t>“Pieprasot finanšu līdzekļus, kas atbilst resora n-1 gadā neizlietotiem asignējumiem, ministrija n gadā pati lemj par līdzekļu sadalījumu pa sava resora budžeta programmām/apakšprogr</w:t>
            </w:r>
            <w:r w:rsidRPr="000E4321">
              <w:lastRenderedPageBreak/>
              <w:t>ammām un izdevumu ekonomiskajām kategorijām. Konkrēta resora neizlietotie asignējumi var tikt izmantoti tikai tā paša resora vajadzībām.”</w:t>
            </w:r>
          </w:p>
        </w:tc>
        <w:tc>
          <w:tcPr>
            <w:tcW w:w="5562" w:type="dxa"/>
            <w:gridSpan w:val="2"/>
            <w:tcBorders>
              <w:top w:val="single" w:sz="6" w:space="0" w:color="000000"/>
              <w:left w:val="single" w:sz="6" w:space="0" w:color="000000"/>
              <w:bottom w:val="single" w:sz="6" w:space="0" w:color="000000"/>
              <w:right w:val="single" w:sz="6" w:space="0" w:color="000000"/>
            </w:tcBorders>
          </w:tcPr>
          <w:p w14:paraId="1F91DAE9" w14:textId="77777777" w:rsidR="00A05393" w:rsidRPr="000E4321" w:rsidRDefault="00A05393" w:rsidP="00A05393">
            <w:pPr>
              <w:pStyle w:val="naisc"/>
              <w:spacing w:before="0" w:after="0"/>
              <w:jc w:val="both"/>
            </w:pPr>
            <w:r w:rsidRPr="000E4321">
              <w:rPr>
                <w:b/>
              </w:rPr>
              <w:lastRenderedPageBreak/>
              <w:t>Iekšlietu ministrija (iebildums):</w:t>
            </w:r>
          </w:p>
          <w:p w14:paraId="3987E34D" w14:textId="77777777" w:rsidR="00A05393" w:rsidRPr="000E4321" w:rsidRDefault="00A05393" w:rsidP="00A05393">
            <w:pPr>
              <w:pStyle w:val="naisc"/>
              <w:spacing w:before="0" w:after="0"/>
              <w:jc w:val="both"/>
            </w:pPr>
            <w:r w:rsidRPr="000E4321">
              <w:t xml:space="preserve">Likumprojekta anotācijā (3. lappusē) norādīts, ka, pieprasot finanšu līdzekļus, kas atbilst resora n-1 gadā neizlietotiem asignējumiem, ministrija n gadā pati lemj par līdzekļu sadalījumu pa sava resora budžeta programmām/apakšprogrammām un izdevumu ekonomiskajām kategorijām. Nav saprotams, kādas pārdales var veikt, jo neizlietotos asignējumus būtu jāizlieto attiecīgajā programmā, apakšprogrammā konkrēta pasākuma īstenošanai, kura ieviešanas gaitā n </w:t>
            </w:r>
            <w:r w:rsidRPr="000E4321">
              <w:lastRenderedPageBreak/>
              <w:t>gadā radās problēmas. Vai anotācijā norādītais nozīmē, ka ministrija neizlietotos asignējumus var pārdalīt resora ietvaros, neņemot vērā, kurā programmā, apakšprogrammā neizlietotie asignējumi ir izveidojušies? Piemēram, ja neizlietotie asignējumi veidosies komandējumu izdevumos, tad tos var pārdalīt gan starp programmām, apakšprogrammām, gan arī novirzīt citiem mērķiem?</w:t>
            </w:r>
          </w:p>
          <w:p w14:paraId="2D27E5D4" w14:textId="46D5673A" w:rsidR="00A05393" w:rsidRPr="000E4321" w:rsidRDefault="00A05393" w:rsidP="00A05393">
            <w:pPr>
              <w:pStyle w:val="naisc"/>
              <w:spacing w:before="0" w:after="0"/>
              <w:jc w:val="both"/>
            </w:pPr>
          </w:p>
          <w:p w14:paraId="03E5F89C" w14:textId="77777777" w:rsidR="00A05393" w:rsidRPr="000E4321" w:rsidRDefault="00A05393" w:rsidP="00A05393">
            <w:pPr>
              <w:pStyle w:val="naisc"/>
              <w:spacing w:before="0" w:after="0"/>
              <w:jc w:val="both"/>
            </w:pPr>
          </w:p>
          <w:p w14:paraId="6EA8BC39" w14:textId="77777777" w:rsidR="00A05393" w:rsidRPr="000E4321" w:rsidRDefault="00A05393" w:rsidP="00A05393">
            <w:pPr>
              <w:pStyle w:val="naisc"/>
              <w:spacing w:before="0" w:after="0"/>
              <w:jc w:val="both"/>
            </w:pPr>
            <w:r w:rsidRPr="000E4321">
              <w:rPr>
                <w:b/>
              </w:rPr>
              <w:t>Aizsardzības ministrija (iebildums):</w:t>
            </w:r>
          </w:p>
          <w:p w14:paraId="5A49B81D" w14:textId="77777777" w:rsidR="00A05393" w:rsidRPr="000E4321" w:rsidRDefault="00A05393" w:rsidP="00A05393">
            <w:pPr>
              <w:pStyle w:val="naisc"/>
              <w:spacing w:before="0" w:after="0"/>
              <w:jc w:val="both"/>
            </w:pPr>
            <w:r w:rsidRPr="000E4321">
              <w:t>Saskaņā ar likumprojekta anotāciju attiecībā uz programmas “Apropriācijas rezerve” izmantošanas nosacījumiem, finanšu līdzekļus var pieprasīt vienreizējiem prioritārajiem pasākumiem un citiem vienreizējiem pasākumiem. Lūdzam papildināt iepriekš minētās programmas izmantošanas nosacījumus, paredzot, ka ministrijas un citas centrālās valsts iestādes var pieprasīt līdzekļus no neizlietoto asignējumu rezerves par tādiem neizlietotajiem asignējumiem iepriekšējā saimnieciskajā gadā, kas radušies no uzsāktajiem iepirkumiem (ja aizkavējusies pasākuma īstenošana, t.sk., ārkārtas situācijas dēļ, piemēram, aizkavējas noslēgto līgumu nosacījumu izpilde, aizkavējas iepirkumu procedūra).</w:t>
            </w:r>
          </w:p>
          <w:p w14:paraId="59290F78" w14:textId="77777777" w:rsidR="00A05393" w:rsidRPr="000E4321" w:rsidRDefault="00A05393" w:rsidP="00A05393">
            <w:pPr>
              <w:pStyle w:val="naisc"/>
              <w:spacing w:before="0" w:after="0"/>
              <w:jc w:val="both"/>
            </w:pPr>
          </w:p>
          <w:p w14:paraId="0C0AB2D1" w14:textId="6B385D63" w:rsidR="00A05393" w:rsidRPr="000E4321" w:rsidRDefault="00A05393" w:rsidP="00A05393">
            <w:pPr>
              <w:pStyle w:val="naisc"/>
              <w:spacing w:before="0" w:after="0"/>
              <w:jc w:val="both"/>
              <w:rPr>
                <w:b/>
              </w:rPr>
            </w:pPr>
          </w:p>
        </w:tc>
        <w:tc>
          <w:tcPr>
            <w:tcW w:w="3084" w:type="dxa"/>
            <w:tcBorders>
              <w:top w:val="single" w:sz="6" w:space="0" w:color="000000"/>
              <w:left w:val="single" w:sz="6" w:space="0" w:color="000000"/>
              <w:bottom w:val="single" w:sz="6" w:space="0" w:color="000000"/>
              <w:right w:val="single" w:sz="6" w:space="0" w:color="000000"/>
            </w:tcBorders>
          </w:tcPr>
          <w:p w14:paraId="117ABD44" w14:textId="3C4A4FA7" w:rsidR="00A05393" w:rsidRPr="000E4321" w:rsidRDefault="00A05393" w:rsidP="00A05393">
            <w:pPr>
              <w:pStyle w:val="naisc"/>
              <w:spacing w:before="0" w:after="0"/>
              <w:jc w:val="both"/>
              <w:rPr>
                <w:b/>
              </w:rPr>
            </w:pPr>
            <w:r w:rsidRPr="000E4321">
              <w:rPr>
                <w:b/>
              </w:rPr>
              <w:lastRenderedPageBreak/>
              <w:t>Ņemts vērā</w:t>
            </w:r>
          </w:p>
          <w:p w14:paraId="779748BC" w14:textId="67B318D3" w:rsidR="00A05393" w:rsidRPr="000E4321" w:rsidRDefault="00A05393" w:rsidP="00A05393">
            <w:pPr>
              <w:pStyle w:val="naisc"/>
              <w:spacing w:before="0" w:after="0"/>
              <w:jc w:val="both"/>
            </w:pPr>
            <w:r w:rsidRPr="000E4321">
              <w:t>Sniegts skaidrojums par iebildumos izteiktajiem jautājumiem.</w:t>
            </w:r>
          </w:p>
          <w:p w14:paraId="2CBB9C2B" w14:textId="14032B5C" w:rsidR="00A05393" w:rsidRPr="000E4321" w:rsidRDefault="00A05393" w:rsidP="00A05393">
            <w:pPr>
              <w:pStyle w:val="naisc"/>
              <w:spacing w:before="0" w:after="0"/>
              <w:jc w:val="both"/>
            </w:pPr>
            <w:r w:rsidRPr="000E4321">
              <w:t xml:space="preserve">Budžeta elastības palielināšana ir skatāma kompleksi ar budžeta izpildītāju atbildības stiprināšanu un budžeta līdzekļu efektīvu un racionālu </w:t>
            </w:r>
            <w:r w:rsidRPr="000E4321">
              <w:lastRenderedPageBreak/>
              <w:t xml:space="preserve">izmantošanu. Virzoties uz lielāku patstāvību, nozarei ir jārēķinās ar tās rīcībā esošo budžetu, attiecīgi līdzekļi jaunām prioritātēm primāri ir jārod, pārskatot esošos budžeta izdevumus un politikas, nevis pieprasot papildu finansējumu. Šādas pieejas īstenošana nozares ministram piešķirtu lielāku brīvību un tiesības piemērot finanšu elastības rīkus un mazāku administratīvo slogu, lai sasniegtu optimālu un līdzsvarotu resursu sadali nozares ietvaros un nodrošinātu nozares attīstībai nepieciešamo mērķu sasniegšanu. Protams, ka visticamāk neizlietotos asignējumus izmantos attiecīgajā programmā, apakšprogrammā konkrēta pasākuma īstenošanai, kura ieviešanas gaitā n gadā radās problēmas. Vienlaikus, ja ir radies līdzekļu ietaupījums, būtu jādod iespēja resora vadītājam (ministram) lemt par šā ietaupījuma racionālu izmantošanu nozares prioritātēm. Vienlaikus vēršam uzmanību, ka apropriācijas rezerves līdzekļu pieprasīšanas prakse </w:t>
            </w:r>
            <w:r w:rsidRPr="000E4321">
              <w:lastRenderedPageBreak/>
              <w:t>tiks vērtēta un analizēta arī ikgadējās valsts budžeta izdevumu pārskatīšanas ietvaros.</w:t>
            </w:r>
          </w:p>
          <w:p w14:paraId="3462D585" w14:textId="77777777" w:rsidR="00A05393" w:rsidRPr="000E4321" w:rsidRDefault="00A05393" w:rsidP="00A05393">
            <w:pPr>
              <w:pStyle w:val="naisc"/>
              <w:spacing w:before="0" w:after="0"/>
              <w:jc w:val="both"/>
            </w:pPr>
            <w:r w:rsidRPr="000E4321">
              <w:t>Likumprojekta redakcija neliedz pieprasīt līdzekļus no neizlietoto asignējumu rezerves par tādiem neizlietotajiem asignējumiem iepriekšējā saimnieciskajā gadā, kas radušies no uzsāktajiem iepirkumiem.</w:t>
            </w:r>
          </w:p>
          <w:p w14:paraId="4EA61620" w14:textId="77777777" w:rsidR="00A05393" w:rsidRPr="000E4321" w:rsidRDefault="00A05393" w:rsidP="00A05393">
            <w:pPr>
              <w:pStyle w:val="naisc"/>
              <w:spacing w:before="0" w:after="0"/>
              <w:jc w:val="both"/>
            </w:pPr>
            <w:r w:rsidRPr="000E4321">
              <w:t>Paskaidrojam, ka neizlietotos asignējumus pirms gada slēguma nav nepieciešams pārskaitīt uz 74.budžeta resoru (tam nebūtu pievienotās vērtības, jo tie neietekmētu nākamajā gadā pieejamos līdzekļu ne kā slēgtie asignējumi resorā, ne ka slēgtie asignējumi 74.resorā).</w:t>
            </w:r>
          </w:p>
        </w:tc>
        <w:tc>
          <w:tcPr>
            <w:tcW w:w="3127" w:type="dxa"/>
            <w:tcBorders>
              <w:top w:val="single" w:sz="4" w:space="0" w:color="auto"/>
              <w:left w:val="single" w:sz="4" w:space="0" w:color="auto"/>
              <w:bottom w:val="single" w:sz="4" w:space="0" w:color="auto"/>
            </w:tcBorders>
          </w:tcPr>
          <w:p w14:paraId="4F7DBB4C" w14:textId="77777777" w:rsidR="00A05393" w:rsidRPr="000E4321" w:rsidRDefault="00A05393" w:rsidP="00A05393">
            <w:pPr>
              <w:jc w:val="both"/>
            </w:pPr>
            <w:r w:rsidRPr="000E4321">
              <w:lastRenderedPageBreak/>
              <w:t>Anotācijas 3. lappusē:</w:t>
            </w:r>
          </w:p>
          <w:p w14:paraId="54AB960D" w14:textId="2587367E" w:rsidR="00A05393" w:rsidRPr="000E4321" w:rsidRDefault="00A05393" w:rsidP="00A05393">
            <w:pPr>
              <w:pStyle w:val="naisc"/>
              <w:spacing w:before="0" w:after="0"/>
              <w:jc w:val="both"/>
            </w:pPr>
            <w:r w:rsidRPr="000E4321">
              <w:t xml:space="preserve">“Pieprasot finanšu līdzekļus, kas atbilst resora n-1 gadā neizlietotiem asignējumiem, ministrija n gadā pati lemj par līdzekļu sadalījumu pa sava resora budžeta programmām/apakšprogrammām un izdevumu ekonomiskajām kategorijām. </w:t>
            </w:r>
            <w:r w:rsidRPr="000E4321">
              <w:lastRenderedPageBreak/>
              <w:t>Konkrēta resora neizlietotie asignējumi var tikt izmantoti tikai tā paša resora vajadzībām.”</w:t>
            </w:r>
          </w:p>
        </w:tc>
      </w:tr>
      <w:tr w:rsidR="00A05393" w:rsidRPr="000E4321" w14:paraId="44B3EFC9" w14:textId="77777777" w:rsidTr="00840182">
        <w:tc>
          <w:tcPr>
            <w:tcW w:w="567" w:type="dxa"/>
            <w:tcBorders>
              <w:top w:val="single" w:sz="6" w:space="0" w:color="000000"/>
              <w:left w:val="single" w:sz="6" w:space="0" w:color="000000"/>
              <w:bottom w:val="single" w:sz="6" w:space="0" w:color="000000"/>
              <w:right w:val="single" w:sz="6" w:space="0" w:color="000000"/>
            </w:tcBorders>
          </w:tcPr>
          <w:p w14:paraId="6E72261E" w14:textId="4B1901F3" w:rsidR="00A05393" w:rsidRPr="000E4321" w:rsidRDefault="00A05393" w:rsidP="00A05393">
            <w:pPr>
              <w:pStyle w:val="naisc"/>
              <w:spacing w:before="0" w:after="0"/>
              <w:jc w:val="left"/>
            </w:pPr>
            <w:r w:rsidRPr="000E4321">
              <w:lastRenderedPageBreak/>
              <w:t>8.</w:t>
            </w:r>
          </w:p>
        </w:tc>
        <w:tc>
          <w:tcPr>
            <w:tcW w:w="2686" w:type="dxa"/>
            <w:tcBorders>
              <w:top w:val="single" w:sz="6" w:space="0" w:color="000000"/>
              <w:left w:val="single" w:sz="6" w:space="0" w:color="000000"/>
              <w:bottom w:val="single" w:sz="6" w:space="0" w:color="000000"/>
              <w:right w:val="single" w:sz="6" w:space="0" w:color="000000"/>
            </w:tcBorders>
          </w:tcPr>
          <w:p w14:paraId="2C2D39D9" w14:textId="77777777" w:rsidR="00A05393" w:rsidRPr="000E4321" w:rsidRDefault="00A05393" w:rsidP="00A05393">
            <w:pPr>
              <w:jc w:val="both"/>
            </w:pPr>
            <w:r w:rsidRPr="000E4321">
              <w:t>21. pants. Gadskārtējā valsts budžeta likuma projekta (budžeta likumprojektu paketes) un grozījumu gadskārtējā valsts budžeta likumā iesniegšana.</w:t>
            </w:r>
          </w:p>
          <w:p w14:paraId="5E10F181" w14:textId="77777777" w:rsidR="00A05393" w:rsidRPr="000E4321" w:rsidRDefault="00A05393" w:rsidP="00A05393">
            <w:pPr>
              <w:jc w:val="both"/>
            </w:pPr>
            <w:r w:rsidRPr="000E4321">
              <w:t>(..)</w:t>
            </w:r>
          </w:p>
          <w:p w14:paraId="4B0DBA21" w14:textId="77777777" w:rsidR="00A05393" w:rsidRPr="000E4321" w:rsidRDefault="00A05393" w:rsidP="00A05393">
            <w:pPr>
              <w:jc w:val="both"/>
            </w:pPr>
            <w:r w:rsidRPr="000E4321">
              <w:t xml:space="preserve">4) ieņēmumu politikas virzienus, ieņēmumu kopapjomu un struktūru, nodokļu atvieglojumu </w:t>
            </w:r>
            <w:r w:rsidRPr="000E4321">
              <w:lastRenderedPageBreak/>
              <w:t>(atlaižu) un nodokļu parādu summas;</w:t>
            </w:r>
          </w:p>
          <w:p w14:paraId="68AA5CC7" w14:textId="77777777" w:rsidR="00A05393" w:rsidRPr="000E4321" w:rsidRDefault="00A05393" w:rsidP="00A05393">
            <w:pPr>
              <w:jc w:val="both"/>
            </w:pPr>
            <w:r w:rsidRPr="000E4321">
              <w:t>(..)</w:t>
            </w:r>
          </w:p>
        </w:tc>
        <w:tc>
          <w:tcPr>
            <w:tcW w:w="5562" w:type="dxa"/>
            <w:gridSpan w:val="2"/>
            <w:tcBorders>
              <w:top w:val="single" w:sz="6" w:space="0" w:color="000000"/>
              <w:left w:val="single" w:sz="6" w:space="0" w:color="000000"/>
              <w:bottom w:val="single" w:sz="6" w:space="0" w:color="000000"/>
              <w:right w:val="single" w:sz="6" w:space="0" w:color="000000"/>
            </w:tcBorders>
          </w:tcPr>
          <w:p w14:paraId="6AB6217F" w14:textId="77777777" w:rsidR="00A05393" w:rsidRPr="000E4321" w:rsidRDefault="00A05393" w:rsidP="00A05393">
            <w:pPr>
              <w:pStyle w:val="naisc"/>
              <w:spacing w:before="0" w:after="0"/>
              <w:jc w:val="both"/>
            </w:pPr>
            <w:r w:rsidRPr="000E4321">
              <w:rPr>
                <w:b/>
              </w:rPr>
              <w:lastRenderedPageBreak/>
              <w:t>Valsts kontrole (iebildums):</w:t>
            </w:r>
          </w:p>
          <w:p w14:paraId="125E4DE8" w14:textId="689A0169" w:rsidR="00A05393" w:rsidRPr="000E4321" w:rsidRDefault="00A05393" w:rsidP="00A05393">
            <w:pPr>
              <w:pStyle w:val="naisc"/>
              <w:spacing w:before="0" w:after="0"/>
              <w:jc w:val="both"/>
              <w:rPr>
                <w:b/>
              </w:rPr>
            </w:pPr>
            <w:r w:rsidRPr="000E4321">
              <w:t xml:space="preserve">Likumprojekta 6.pantā saistībā ar pilnveidojumiem Likuma par budžetu un finanšu vadību 21.pantā budžeta paskaidrojumos paredzēts iekļaut nodokļu atvieglojumu (atlaižu) un nodokļu parādu summas. Taču vēlamies vērst uzmanību, ka Valsts kontroles revīzijā Nr.2.4.1-7/2016 “Budžeta plānošana Latvijā – vai esošā pieeja ir efektīva” ir sniegts ieteikums, ar kuru aicināts budžeta paskaidrojumos atklāt arī informāciju par būtiskāko nodokļu atvieglojumu (atlaižu) ietekmi uz nākamo gadu valsts budžetiem. Proti: “Lai sniegtu pilnīgu un caurskatāmu valsts budžeta izstrādes informāciju, aicinām Finanšu ministriju budžeta paskaidrojumos </w:t>
            </w:r>
            <w:r w:rsidRPr="000E4321">
              <w:lastRenderedPageBreak/>
              <w:t>atklāt informāciju par būtiskāko nodokļu atvieglojumu (atlaižu) ietekmi uz nākamo gadu valsts budžetiem.” (ieteikuma ieviešanas termiņš 30.12.2020.) Aicinām izvērtēt iespēju attiecīgi papildināt Likumprojekta 6.pantā piedāvāto Likuma par budžetu un finanšu vadību 21.panta otrās daļas ceturto punktu, paredzot atklāt arī informāciju par būtiskāko nodokļu atvieglojumu (atlaižu) ietekmi uz nākamo gadu valsts budžetiem.</w:t>
            </w:r>
          </w:p>
        </w:tc>
        <w:tc>
          <w:tcPr>
            <w:tcW w:w="3084" w:type="dxa"/>
            <w:tcBorders>
              <w:top w:val="single" w:sz="6" w:space="0" w:color="000000"/>
              <w:left w:val="single" w:sz="6" w:space="0" w:color="000000"/>
              <w:bottom w:val="single" w:sz="6" w:space="0" w:color="000000"/>
              <w:right w:val="single" w:sz="6" w:space="0" w:color="000000"/>
            </w:tcBorders>
          </w:tcPr>
          <w:p w14:paraId="46DF6D9C" w14:textId="7FE162D5" w:rsidR="00A05393" w:rsidRPr="000E4321" w:rsidRDefault="00A05393" w:rsidP="00A05393">
            <w:pPr>
              <w:pStyle w:val="naisc"/>
              <w:spacing w:before="0" w:after="0"/>
              <w:jc w:val="both"/>
              <w:rPr>
                <w:b/>
              </w:rPr>
            </w:pPr>
            <w:r w:rsidRPr="000E4321">
              <w:rPr>
                <w:b/>
              </w:rPr>
              <w:lastRenderedPageBreak/>
              <w:t>Ņemts vērā</w:t>
            </w:r>
          </w:p>
        </w:tc>
        <w:tc>
          <w:tcPr>
            <w:tcW w:w="3127" w:type="dxa"/>
            <w:tcBorders>
              <w:top w:val="single" w:sz="4" w:space="0" w:color="auto"/>
              <w:left w:val="single" w:sz="4" w:space="0" w:color="auto"/>
              <w:bottom w:val="single" w:sz="4" w:space="0" w:color="auto"/>
            </w:tcBorders>
          </w:tcPr>
          <w:p w14:paraId="41E92FB3" w14:textId="77777777" w:rsidR="00A05393" w:rsidRPr="000E4321" w:rsidRDefault="00A05393" w:rsidP="00A05393">
            <w:pPr>
              <w:jc w:val="both"/>
            </w:pPr>
            <w:r w:rsidRPr="000E4321">
              <w:t>21. pants. Gadskārtējā valsts budžeta likuma projekta (budžeta likumprojektu paketes) un grozījumu gadskārtējā valsts budžeta likumā iesniegšana.</w:t>
            </w:r>
          </w:p>
          <w:p w14:paraId="29D7B587" w14:textId="77777777" w:rsidR="00A05393" w:rsidRPr="000E4321" w:rsidRDefault="00A05393" w:rsidP="00A05393">
            <w:pPr>
              <w:jc w:val="both"/>
            </w:pPr>
            <w:r w:rsidRPr="000E4321">
              <w:t>(..)</w:t>
            </w:r>
          </w:p>
          <w:p w14:paraId="535BCB2B" w14:textId="4B2C7A74" w:rsidR="00A05393" w:rsidRPr="000E4321" w:rsidRDefault="00A05393" w:rsidP="00A05393">
            <w:pPr>
              <w:jc w:val="both"/>
            </w:pPr>
            <w:r w:rsidRPr="000E4321">
              <w:t xml:space="preserve">4) ieņēmumu politikas virzienus, ieņēmumu kopapjomu un struktūru, nodokļu atvieglojumu (atlaižu) </w:t>
            </w:r>
            <w:r w:rsidRPr="000E4321">
              <w:rPr>
                <w:u w:val="single"/>
              </w:rPr>
              <w:t xml:space="preserve">ietekmi uz </w:t>
            </w:r>
            <w:r w:rsidRPr="000E4321">
              <w:rPr>
                <w:u w:val="single"/>
              </w:rPr>
              <w:lastRenderedPageBreak/>
              <w:t>nākamajiem gadiem</w:t>
            </w:r>
            <w:r w:rsidRPr="000E4321">
              <w:t xml:space="preserve"> un nodokļu parādu summas;</w:t>
            </w:r>
          </w:p>
          <w:p w14:paraId="047CD996" w14:textId="038E0345" w:rsidR="00A05393" w:rsidRPr="000E4321" w:rsidRDefault="00A05393" w:rsidP="00A05393">
            <w:pPr>
              <w:jc w:val="both"/>
            </w:pPr>
            <w:r w:rsidRPr="000E4321">
              <w:t>(..)</w:t>
            </w:r>
          </w:p>
        </w:tc>
      </w:tr>
      <w:tr w:rsidR="00A05393" w:rsidRPr="000E4321" w14:paraId="254276D1" w14:textId="77777777" w:rsidTr="00840182">
        <w:tc>
          <w:tcPr>
            <w:tcW w:w="567" w:type="dxa"/>
            <w:tcBorders>
              <w:top w:val="single" w:sz="6" w:space="0" w:color="000000"/>
              <w:left w:val="single" w:sz="6" w:space="0" w:color="000000"/>
              <w:bottom w:val="single" w:sz="6" w:space="0" w:color="000000"/>
              <w:right w:val="single" w:sz="6" w:space="0" w:color="000000"/>
            </w:tcBorders>
          </w:tcPr>
          <w:p w14:paraId="4602D6DF" w14:textId="1A1D3A5E" w:rsidR="00A05393" w:rsidRPr="000E4321" w:rsidRDefault="00A05393" w:rsidP="00A05393">
            <w:pPr>
              <w:pStyle w:val="naisc"/>
              <w:spacing w:before="0" w:after="0"/>
              <w:jc w:val="left"/>
            </w:pPr>
            <w:r w:rsidRPr="000E4321">
              <w:lastRenderedPageBreak/>
              <w:t>9.</w:t>
            </w:r>
          </w:p>
        </w:tc>
        <w:tc>
          <w:tcPr>
            <w:tcW w:w="2686" w:type="dxa"/>
            <w:tcBorders>
              <w:top w:val="single" w:sz="6" w:space="0" w:color="000000"/>
              <w:left w:val="single" w:sz="6" w:space="0" w:color="000000"/>
              <w:bottom w:val="single" w:sz="6" w:space="0" w:color="000000"/>
              <w:right w:val="single" w:sz="6" w:space="0" w:color="000000"/>
            </w:tcBorders>
          </w:tcPr>
          <w:p w14:paraId="75FA1594" w14:textId="77777777" w:rsidR="00A05393" w:rsidRPr="000E4321" w:rsidRDefault="00A05393" w:rsidP="00A05393">
            <w:pPr>
              <w:jc w:val="both"/>
            </w:pPr>
            <w:r w:rsidRPr="000E4321">
              <w:t>25. pants. Ieņēmumu un izdevumu kontrole.</w:t>
            </w:r>
          </w:p>
          <w:p w14:paraId="161AD68A" w14:textId="77777777" w:rsidR="00A05393" w:rsidRPr="000E4321" w:rsidRDefault="00A05393" w:rsidP="00A05393">
            <w:pPr>
              <w:jc w:val="both"/>
            </w:pPr>
            <w:r w:rsidRPr="000E4321">
              <w:t>(..)</w:t>
            </w:r>
          </w:p>
          <w:p w14:paraId="1EA524B5" w14:textId="77777777" w:rsidR="00A05393" w:rsidRPr="000E4321" w:rsidRDefault="00A05393" w:rsidP="00A05393">
            <w:pPr>
              <w:jc w:val="both"/>
            </w:pPr>
            <w:r w:rsidRPr="000E4321">
              <w:t>(1</w:t>
            </w:r>
            <w:r w:rsidRPr="000E4321">
              <w:rPr>
                <w:vertAlign w:val="superscript"/>
              </w:rPr>
              <w:t>2</w:t>
            </w:r>
            <w:r w:rsidRPr="000E4321">
              <w:t xml:space="preserve">) Valsts budžeta maksājumus administrējošā institūcija saņemtos nenodokļu ieņēmumu maksājumus pirms to pārskaitīšanas valsts pamatbudžeta ieņēmumos, uzskaita savā kontā un nodrošina pārmaksāto vai nepareizi iemaksāto summu atmaksu. Ministru kabinets nosaka tos nenodokļu ieņēmumu veidus, kurus pirms pārskaitīšanas valsts pamatbudžeta ieņēmumos uzskaita valsts budžeta maksājumus administrējošās institūcijas kontā, kā arī kārtību, kādā šos nenodokļu ieņēmumu </w:t>
            </w:r>
            <w:r w:rsidRPr="000E4321">
              <w:lastRenderedPageBreak/>
              <w:t>veidus ieskaita valsts pamatbudžeta ieņēmumos un veic to atmaksu.</w:t>
            </w:r>
          </w:p>
          <w:p w14:paraId="407DEC8D" w14:textId="77777777" w:rsidR="00A05393" w:rsidRPr="000E4321" w:rsidRDefault="00A05393" w:rsidP="00A05393">
            <w:pPr>
              <w:jc w:val="both"/>
            </w:pPr>
            <w:r w:rsidRPr="000E4321">
              <w:t>(..)</w:t>
            </w:r>
          </w:p>
        </w:tc>
        <w:tc>
          <w:tcPr>
            <w:tcW w:w="5562" w:type="dxa"/>
            <w:gridSpan w:val="2"/>
            <w:tcBorders>
              <w:top w:val="single" w:sz="6" w:space="0" w:color="000000"/>
              <w:left w:val="single" w:sz="6" w:space="0" w:color="000000"/>
              <w:bottom w:val="single" w:sz="6" w:space="0" w:color="000000"/>
              <w:right w:val="single" w:sz="6" w:space="0" w:color="000000"/>
            </w:tcBorders>
          </w:tcPr>
          <w:p w14:paraId="39E8AAED" w14:textId="77777777" w:rsidR="00A05393" w:rsidRPr="000E4321" w:rsidRDefault="00A05393" w:rsidP="00A05393">
            <w:pPr>
              <w:pStyle w:val="naisc"/>
              <w:spacing w:before="0" w:after="0"/>
              <w:jc w:val="both"/>
            </w:pPr>
            <w:r w:rsidRPr="000E4321">
              <w:rPr>
                <w:b/>
              </w:rPr>
              <w:lastRenderedPageBreak/>
              <w:t>Zemkopības ministrija (iebildums):</w:t>
            </w:r>
          </w:p>
          <w:p w14:paraId="2DF20770" w14:textId="77777777" w:rsidR="00A05393" w:rsidRPr="000E4321" w:rsidRDefault="00A05393" w:rsidP="00A05393">
            <w:pPr>
              <w:pStyle w:val="naisc"/>
              <w:spacing w:before="0" w:after="0"/>
              <w:jc w:val="both"/>
            </w:pPr>
            <w:r w:rsidRPr="000E4321">
              <w:t>Nepiekrītam likumprojekta 25.panta 1.</w:t>
            </w:r>
            <w:r w:rsidRPr="000E4321">
              <w:rPr>
                <w:vertAlign w:val="superscript"/>
              </w:rPr>
              <w:t>2</w:t>
            </w:r>
            <w:r w:rsidRPr="000E4321">
              <w:t xml:space="preserve"> daļai, kurā paredzēts, ka valsts budžeta maksājumus administrējošā institūcija saņemtos nenodokļu ieņēmumu maksājumus pirms to pārskaitīšanas valsts pamatbudžeta ieņēmumos uzskaita savā kontā un nodrošina pārmaksāto vai nepareizi iemaksāto summu atmaksu. </w:t>
            </w:r>
          </w:p>
          <w:p w14:paraId="39141626" w14:textId="77777777" w:rsidR="00A05393" w:rsidRPr="000E4321" w:rsidRDefault="00A05393" w:rsidP="00A05393">
            <w:pPr>
              <w:pStyle w:val="naisc"/>
              <w:spacing w:before="0" w:after="0"/>
              <w:jc w:val="both"/>
            </w:pPr>
            <w:r w:rsidRPr="000E4321">
              <w:t>Tas nozīmē, ka ministrijas padotības iestādēm kā valsts budžeta maksājumu administrējošām institūcijām papildu būs nepieciešami cilvēkresursi un tam atbilstoši administrēšanas izdevumi.  Šāds risinājums palielina iestādei administratīvo slogu un rada papildu administratīvās izmaksas, kā arī nav balstīts uz inovatīvu pieeju.</w:t>
            </w:r>
          </w:p>
          <w:p w14:paraId="52A28E10" w14:textId="77777777" w:rsidR="00A05393" w:rsidRPr="000E4321" w:rsidRDefault="00A05393" w:rsidP="00A05393">
            <w:pPr>
              <w:pStyle w:val="naisc"/>
              <w:spacing w:before="0" w:after="0"/>
              <w:jc w:val="both"/>
              <w:rPr>
                <w:b/>
              </w:rPr>
            </w:pPr>
          </w:p>
          <w:p w14:paraId="4130E8FC" w14:textId="77777777" w:rsidR="00A05393" w:rsidRPr="000E4321" w:rsidRDefault="00A05393" w:rsidP="00A05393">
            <w:pPr>
              <w:pStyle w:val="naisc"/>
              <w:spacing w:before="0" w:after="0"/>
              <w:jc w:val="both"/>
            </w:pPr>
            <w:r w:rsidRPr="000E4321">
              <w:rPr>
                <w:b/>
              </w:rPr>
              <w:t>Iekšlietu ministrija (iebildums):</w:t>
            </w:r>
          </w:p>
          <w:p w14:paraId="0C66D7FA" w14:textId="77777777" w:rsidR="00A05393" w:rsidRPr="000E4321" w:rsidRDefault="00A05393" w:rsidP="00A05393">
            <w:pPr>
              <w:pStyle w:val="naisc"/>
              <w:spacing w:before="0" w:after="0"/>
              <w:jc w:val="both"/>
            </w:pPr>
            <w:r w:rsidRPr="000E4321">
              <w:t>Likumprojekta 7.pantā paredzētā likuma 25.panta 1.</w:t>
            </w:r>
            <w:r w:rsidRPr="000E4321">
              <w:rPr>
                <w:vertAlign w:val="superscript"/>
              </w:rPr>
              <w:t>2</w:t>
            </w:r>
            <w:r w:rsidRPr="000E4321">
              <w:t xml:space="preserve"> daļas redakcija palielinās iestādes administratīvo slogu, jo, lai nodrošinātu likumprojekta 7.pantā paredzēto likuma 25.panta 1.</w:t>
            </w:r>
            <w:r w:rsidRPr="000E4321">
              <w:rPr>
                <w:vertAlign w:val="superscript"/>
              </w:rPr>
              <w:t>2</w:t>
            </w:r>
            <w:r w:rsidRPr="000E4321">
              <w:t> daļas prasību izpildi, sākotnēji nenodokļu ieņēmumi (saskaņā ar anotācijā  norādīto tās būs visas iestādes administrētās valsts nodevas) būs jāuzskaita deponēto līdzekļu kontos, kas savukārt nozīmē to, ka katram nodevu kontam būs jāatver savs deponēto līdzekļu konts, kā arī jāveic to grāmatvedības uzskaite.</w:t>
            </w:r>
          </w:p>
          <w:p w14:paraId="60784FC9" w14:textId="77777777" w:rsidR="00A05393" w:rsidRPr="000E4321" w:rsidRDefault="00A05393" w:rsidP="00A05393">
            <w:pPr>
              <w:pStyle w:val="naisc"/>
              <w:spacing w:before="0" w:after="0"/>
              <w:jc w:val="both"/>
            </w:pPr>
          </w:p>
          <w:p w14:paraId="0299B42E" w14:textId="77777777" w:rsidR="00A05393" w:rsidRPr="000E4321" w:rsidRDefault="00A05393" w:rsidP="00A05393">
            <w:pPr>
              <w:pStyle w:val="naisc"/>
              <w:spacing w:before="0" w:after="0"/>
              <w:jc w:val="both"/>
            </w:pPr>
            <w:r w:rsidRPr="000E4321">
              <w:rPr>
                <w:b/>
              </w:rPr>
              <w:lastRenderedPageBreak/>
              <w:t>Iekšlietu ministrija (iebildums):</w:t>
            </w:r>
          </w:p>
          <w:p w14:paraId="5DA1FA3D" w14:textId="77777777" w:rsidR="00A05393" w:rsidRPr="000E4321" w:rsidRDefault="00A05393" w:rsidP="00A05393">
            <w:pPr>
              <w:pStyle w:val="naisc"/>
              <w:spacing w:before="0" w:after="0"/>
              <w:jc w:val="both"/>
            </w:pPr>
            <w:r w:rsidRPr="000E4321">
              <w:t>Papildināt likumprojekta anotāciju (15. lappusē), lai būtu skaidrs, ka projekta 7. pantā paredzētais, kas papildina 25.pantu ar 1.</w:t>
            </w:r>
            <w:r w:rsidRPr="000E4321">
              <w:rPr>
                <w:vertAlign w:val="superscript"/>
              </w:rPr>
              <w:t>2</w:t>
            </w:r>
            <w:r w:rsidRPr="000E4321">
              <w:t xml:space="preserve"> daļu šādā redakcijā: </w:t>
            </w:r>
            <w:r w:rsidRPr="000E4321">
              <w:rPr>
                <w:i/>
              </w:rPr>
              <w:t>valsts budžeta maksājumus administrējošā institūcija saņemtos nenodokļu ieņēmumu maksājumus pirms to pārskaitīšanas valsts pamatbudžeta ieņēmumos, uzskaita savā kontā un nodrošina pārmaksāto vai nepareizi iemaksāto summu atmaksu</w:t>
            </w:r>
            <w:r w:rsidRPr="000E4321">
              <w:t xml:space="preserve"> – neattiecas uz Ministru kabineta 2005. gada 27. decembra noteikumos Nr.1032 “”Noteikumi par budžeta ieņēmumu klasifikāciju” budžeta ieņēmumu klasifikācijas kodu grupā 9.0.0.0 “Valsts (pašvaldību) nodevas un kancelejas nodevas” iekļautajām nodevām (izņemot kancelejas nodevas).</w:t>
            </w:r>
          </w:p>
          <w:p w14:paraId="2A09D27A" w14:textId="77777777" w:rsidR="00A05393" w:rsidRPr="000E4321" w:rsidRDefault="00A05393" w:rsidP="00A05393">
            <w:pPr>
              <w:pStyle w:val="naisc"/>
              <w:spacing w:before="0" w:after="0"/>
              <w:jc w:val="both"/>
            </w:pPr>
          </w:p>
          <w:p w14:paraId="55DC5468" w14:textId="77777777" w:rsidR="00A05393" w:rsidRPr="000E4321" w:rsidRDefault="00A05393" w:rsidP="00A05393">
            <w:pPr>
              <w:pStyle w:val="naisc"/>
              <w:spacing w:before="0" w:after="0"/>
              <w:jc w:val="both"/>
            </w:pPr>
            <w:r w:rsidRPr="000E4321">
              <w:rPr>
                <w:b/>
              </w:rPr>
              <w:t>Tieslietu ministrija (iebildums):</w:t>
            </w:r>
          </w:p>
          <w:p w14:paraId="7E92D18A" w14:textId="77777777" w:rsidR="00A05393" w:rsidRPr="000E4321" w:rsidRDefault="00A05393" w:rsidP="00A05393">
            <w:pPr>
              <w:pStyle w:val="naisc"/>
              <w:spacing w:before="0" w:after="0"/>
              <w:jc w:val="both"/>
            </w:pPr>
            <w:r w:rsidRPr="000E4321">
              <w:t>Projekta 7. pants paredz papildināt likuma 25. pantu ar 1.</w:t>
            </w:r>
            <w:r w:rsidRPr="000E4321">
              <w:rPr>
                <w:vertAlign w:val="superscript"/>
              </w:rPr>
              <w:t>2</w:t>
            </w:r>
            <w:r w:rsidRPr="000E4321">
              <w:t>daļu. Vienlaikus projekta anotācijā tiek norādīts, ka nenodokļu ieņēmumi ir Ministru kabineta 2005. gada 27. decembra noteikumos Nr.1032 “Noteikumi par budžeta ieņēmumu klasifikāciju” (turpmāk – noteikumi Nr.1032) budžetu ieņēmumu klasifikācijas kodu grupā 9.0.0.0. “Valsts (pašvaldību) nodevas un kancelejas nodevas” klasificētās kancelejas nodevas, kas saskaņā ar tiesību aktiem ieskaitāmas valsts pamatbudžeta ieņēmumos. Tāpat arī anotācijas IV sadaļā norādīts, ka Valsts kase sagatavos Ministru kabineta noteikumu projektu atbilstoši 25. panta 1.</w:t>
            </w:r>
            <w:r w:rsidRPr="000E4321">
              <w:rPr>
                <w:vertAlign w:val="superscript"/>
              </w:rPr>
              <w:t>2</w:t>
            </w:r>
            <w:r w:rsidRPr="000E4321">
              <w:t xml:space="preserve"> daļai, nosakot tos nenodokļu ieņēmumu veidus, kurus pirms pārskaitīšanas valsts pamatbudžeta ieņēmumos uzskaita valsts budžeta maksājumus administrējošās institūcijas kontā, kā arī kārtību, kādā šos nenodokļu ieņēmumu veidus ieskaita valsts pamatbudžetā un veic to atmaksu, kam jāstājas spēkā ar 2021.gada 1.janvāri. Vēršam uzmanību, ka noteikumos Nr.1032 minētās kancelejas </w:t>
            </w:r>
            <w:r w:rsidRPr="000E4321">
              <w:lastRenderedPageBreak/>
              <w:t>nodevas ir Tieslietu ministrijas padotības iestādes Tiesu administrācijas administrētās kancelejas nodevas. Jau iepriekš, skaņojot grozījumus tiesību aktos attiecībā uz nenodokļu ieņēmumu uzskaiti un to administrējošo institūciju noteikšanu, Tieslietu ministrija ir uzsvērusi, ka nenodokļu ieņēmumu grāmatvedības uzskaite administrējošā iestādē prasa papildus gan tehnisko, gan cilvēkresursu un nav iespējama bez papildu finansējuma piešķiršanas un saprātīga laika perioda, lai sagatavotos šādai uzskaitei. Tiesu kancelejas nodevu apjoms ir aptuveni 100 000 maksājumi gadā un bez papildu resursu piešķiršanas piedāvātās normas izpilde nav iespējama. Tieslietu ministrija atbalsta viedokli, ka visi valsts budžetam pienākošies maksājumi ir jāuzskaita, bet, ņemot vērā iepriekš minēto, iebilst attiecināt šo normu uz noteikumos Nr.1032 minētajām kancelejas nodevām, attiecīgi svītrojot no projekta anotācijas, ka šī norma attieksies uz kancelejas nodevām. Papildus vēršam uzmanību, ka nav saprotams, ko nozīmē šajā pantā noteiktais “savā kontā”. Tas ir domāts iestādes pamatbudžeta izpildes konts, speciāli šādiem darījumiem atvērts konts vai vēl kāds. Ievērojot minēto, projektu nepieciešams atbilstoši precizēt.</w:t>
            </w:r>
          </w:p>
          <w:p w14:paraId="009EFB91" w14:textId="4B686260" w:rsidR="00A05393" w:rsidRPr="000E4321" w:rsidRDefault="00A05393" w:rsidP="00A05393">
            <w:pPr>
              <w:pStyle w:val="naisc"/>
              <w:spacing w:before="0" w:after="0"/>
              <w:jc w:val="both"/>
            </w:pPr>
          </w:p>
        </w:tc>
        <w:tc>
          <w:tcPr>
            <w:tcW w:w="3084" w:type="dxa"/>
            <w:tcBorders>
              <w:top w:val="single" w:sz="6" w:space="0" w:color="000000"/>
              <w:left w:val="single" w:sz="6" w:space="0" w:color="000000"/>
              <w:bottom w:val="single" w:sz="6" w:space="0" w:color="000000"/>
              <w:right w:val="single" w:sz="6" w:space="0" w:color="000000"/>
            </w:tcBorders>
            <w:shd w:val="clear" w:color="auto" w:fill="auto"/>
          </w:tcPr>
          <w:p w14:paraId="52E3D923" w14:textId="7B534CCD" w:rsidR="00A05393" w:rsidRPr="000E4321" w:rsidRDefault="00A05393" w:rsidP="00A05393">
            <w:pPr>
              <w:jc w:val="both"/>
              <w:rPr>
                <w:b/>
              </w:rPr>
            </w:pPr>
            <w:r w:rsidRPr="000E4321">
              <w:rPr>
                <w:b/>
              </w:rPr>
              <w:lastRenderedPageBreak/>
              <w:t>Ņemts vērā</w:t>
            </w:r>
          </w:p>
          <w:p w14:paraId="236641E8" w14:textId="7473472A" w:rsidR="00A05393" w:rsidRPr="000E4321" w:rsidRDefault="00A05393" w:rsidP="00A05393">
            <w:pPr>
              <w:jc w:val="both"/>
            </w:pPr>
            <w:r w:rsidRPr="000E4321">
              <w:t>Grozījums par nenodokļu ieņēmumu uzskaiti tiek izņemts no šī likumprojekta un virzīts atsevišķā likumprojektā ar spēkā stāšanās terminu 2022.gada 1.janvāris.</w:t>
            </w:r>
          </w:p>
          <w:p w14:paraId="2DB756BF" w14:textId="47A5BBB8" w:rsidR="00A05393" w:rsidRPr="000E4321" w:rsidRDefault="00A05393" w:rsidP="00A05393">
            <w:pPr>
              <w:jc w:val="both"/>
            </w:pPr>
            <w:r w:rsidRPr="000E4321">
              <w:t xml:space="preserve">Vienlaikus vēršam uzmanību, ka Likumā par budžetu un finanšu vadību ir noteikts, ka visi ieņēmumi, kas pienākas valsts budžetam, ir jāsaņem laikā un attiecīgajā apjomā, kā arī ministrijām un citām centrālajām valsts iestādēm ir jānodrošina ieņēmumu par veikto darbību ieskaitīšana pamatbudžeta ieņēmumu kontos gadskārtējā valsts budžeta likumā plānotajā apjomā. Visi valsts budžetam pienākošie maksājumi ir pienācīgi jāuzskaita jāiekasē. Iestādēm, kurām saskaņā ar normatīvajiem aktiem ir jānodrošina valsts budžeta </w:t>
            </w:r>
            <w:r w:rsidRPr="000E4321">
              <w:lastRenderedPageBreak/>
              <w:t xml:space="preserve">nenodokļu ieņēmumu maksājumu administrēšana, piedāvāta pieeja nodrošina maksājumu caurskatāmību un atvieglo vispārējo uzraudzību un kontroli pār šiem maksājumiem. </w:t>
            </w:r>
          </w:p>
          <w:p w14:paraId="6D37B204" w14:textId="4727BDA2" w:rsidR="00A05393" w:rsidRPr="000E4321" w:rsidRDefault="00A05393" w:rsidP="00A05393">
            <w:pPr>
              <w:jc w:val="both"/>
            </w:pPr>
            <w:r w:rsidRPr="000E4321">
              <w:t xml:space="preserve">2019.gadā nozaru ministrijām, centrālajām valsts iestādēm, Latvijas Bankai, Finanšu un kapitāla tirgus komisijai tika lūgts sniegt informāciju par to administrētajiem valsts budžeta nenodokļu ieņēmumiem (t.i., minēto ieņēmumu administrēšanu - uzskaiti, iekasēšanu). No iestāžu sniegtās informācijas secināms, ka vairākas iestādes jau šobrīd ir ieviesušas principu, ka nenodokļu ieņēmumu maksājums pirms tā pārskaitīšanas valsts pamatbudžeta ieņēmumos sākotnēji tiek ieskaitīts iestādes kontā. Tāpat vairākas valsts budžeta nenodokļu ieņēmumu vai maksājumu administrējošās iestādes jau ir ieviesušas šo ieņēmumu vai maksājumu uzskaiti, piemēram, Lauku atbalsta dienests ieņēmumiem no ieturētā nodrošinājuma par lauksaimniecības un </w:t>
            </w:r>
            <w:r w:rsidRPr="000E4321">
              <w:lastRenderedPageBreak/>
              <w:t>pārstrādāto lauksaimniecības produktu ārējās tirdzniecības režīma noteikumu kārtības neievērošanu, Valsts ieņēmumu dienests tā administrētajiem valsts budžeta nenodokļu ieņēmumiem utml.</w:t>
            </w:r>
          </w:p>
          <w:p w14:paraId="0CC69710" w14:textId="25E7103C" w:rsidR="00A05393" w:rsidRPr="000E4321" w:rsidRDefault="00A05393" w:rsidP="00A05393">
            <w:pPr>
              <w:jc w:val="both"/>
            </w:pPr>
            <w:r w:rsidRPr="000E4321">
              <w:t>Vienlaikus vēršam uzmanību, ka administratīvā sloga pieaugums nav arguments, dēļ kura būtu jāatsakās no sistēmas pilnveidošanas. Budžeta un finanšu vadības jomā veiktie pilnveidojumi būtu jāskata kompleksi – daļa no tām atvieglo administratīvo slogu, un daļa prasa papildu darbu, tādā veidā savstarpēji kompensējoties un pārorientējot resursus uz labāku un efektīvāku pārvaldi.</w:t>
            </w:r>
          </w:p>
          <w:p w14:paraId="6E259EB9" w14:textId="3E375EAC" w:rsidR="00A05393" w:rsidRPr="000E4321" w:rsidRDefault="00A05393" w:rsidP="00A05393">
            <w:pPr>
              <w:jc w:val="both"/>
            </w:pPr>
          </w:p>
        </w:tc>
        <w:tc>
          <w:tcPr>
            <w:tcW w:w="3127" w:type="dxa"/>
            <w:tcBorders>
              <w:top w:val="single" w:sz="4" w:space="0" w:color="auto"/>
              <w:left w:val="single" w:sz="4" w:space="0" w:color="auto"/>
              <w:bottom w:val="single" w:sz="4" w:space="0" w:color="auto"/>
            </w:tcBorders>
          </w:tcPr>
          <w:p w14:paraId="34471020" w14:textId="77777777" w:rsidR="00A05393" w:rsidRPr="000E4321" w:rsidRDefault="00A05393" w:rsidP="00A05393">
            <w:pPr>
              <w:jc w:val="both"/>
            </w:pPr>
          </w:p>
        </w:tc>
      </w:tr>
      <w:tr w:rsidR="00A05393" w:rsidRPr="000E4321" w14:paraId="0598DD8A" w14:textId="77777777" w:rsidTr="00840182">
        <w:tc>
          <w:tcPr>
            <w:tcW w:w="567" w:type="dxa"/>
            <w:tcBorders>
              <w:top w:val="single" w:sz="6" w:space="0" w:color="000000"/>
              <w:left w:val="single" w:sz="6" w:space="0" w:color="000000"/>
              <w:bottom w:val="single" w:sz="6" w:space="0" w:color="000000"/>
              <w:right w:val="single" w:sz="6" w:space="0" w:color="000000"/>
            </w:tcBorders>
          </w:tcPr>
          <w:p w14:paraId="79A5773A" w14:textId="4A20F50A" w:rsidR="00A05393" w:rsidRPr="000E4321" w:rsidRDefault="00A05393" w:rsidP="00A05393">
            <w:pPr>
              <w:pStyle w:val="naisc"/>
              <w:spacing w:before="0" w:after="0"/>
              <w:jc w:val="left"/>
            </w:pPr>
            <w:r w:rsidRPr="000E4321">
              <w:lastRenderedPageBreak/>
              <w:t>10.</w:t>
            </w:r>
          </w:p>
        </w:tc>
        <w:tc>
          <w:tcPr>
            <w:tcW w:w="2686" w:type="dxa"/>
            <w:tcBorders>
              <w:top w:val="single" w:sz="6" w:space="0" w:color="000000"/>
              <w:left w:val="single" w:sz="6" w:space="0" w:color="000000"/>
              <w:bottom w:val="single" w:sz="6" w:space="0" w:color="000000"/>
              <w:right w:val="single" w:sz="6" w:space="0" w:color="000000"/>
            </w:tcBorders>
          </w:tcPr>
          <w:p w14:paraId="5BDBF5B6" w14:textId="77777777" w:rsidR="00A05393" w:rsidRPr="000E4321" w:rsidRDefault="00A05393" w:rsidP="00A05393">
            <w:pPr>
              <w:jc w:val="both"/>
            </w:pPr>
            <w:r w:rsidRPr="000E4321">
              <w:t>27. pants. Kontu atvēršana, slēgšana un maksājumu izpilde.</w:t>
            </w:r>
          </w:p>
          <w:p w14:paraId="737A7376" w14:textId="77777777" w:rsidR="00A05393" w:rsidRPr="000E4321" w:rsidRDefault="00A05393" w:rsidP="00A05393">
            <w:pPr>
              <w:jc w:val="both"/>
            </w:pPr>
            <w:r w:rsidRPr="000E4321">
              <w:t xml:space="preserve">(1) Valsts budžeta iestādes un budžeta nefinansētas iestādes atver kontus tikai Valsts kasē. Valsts budžeta līdzekļu saņemšanai un izdevumu veikšanai, pašvaldības, no valsts </w:t>
            </w:r>
            <w:r w:rsidRPr="000E4321">
              <w:lastRenderedPageBreak/>
              <w:t>budžeta daļēji finansētas atvasinātas publiskas personas un kapitālsabiedrības, kurās ieguldīta valsts vai pašvaldības kapitāla daļa, var atvērt kontus Valsts kasē. Valsts aizdevuma saņemšanai, izdevumu veikšanai un atmaksai aizņēmējs kontu atver tikai Valsts kasē, ja normatīvajos aktos nav noteikts citādi.</w:t>
            </w:r>
          </w:p>
          <w:p w14:paraId="206E3AE2" w14:textId="0172F235" w:rsidR="00A05393" w:rsidRPr="000E4321" w:rsidRDefault="00A05393" w:rsidP="00A05393">
            <w:pPr>
              <w:jc w:val="both"/>
            </w:pPr>
            <w:r w:rsidRPr="000E4321">
              <w:t>(..)</w:t>
            </w:r>
          </w:p>
        </w:tc>
        <w:tc>
          <w:tcPr>
            <w:tcW w:w="5562" w:type="dxa"/>
            <w:gridSpan w:val="2"/>
            <w:tcBorders>
              <w:top w:val="single" w:sz="6" w:space="0" w:color="000000"/>
              <w:left w:val="single" w:sz="6" w:space="0" w:color="000000"/>
              <w:bottom w:val="single" w:sz="6" w:space="0" w:color="000000"/>
              <w:right w:val="single" w:sz="6" w:space="0" w:color="000000"/>
            </w:tcBorders>
          </w:tcPr>
          <w:p w14:paraId="3FD5BBEE" w14:textId="77777777" w:rsidR="00A05393" w:rsidRPr="000E4321" w:rsidRDefault="00A05393" w:rsidP="00A05393">
            <w:pPr>
              <w:pStyle w:val="naisc"/>
              <w:spacing w:before="0" w:after="0"/>
              <w:jc w:val="both"/>
            </w:pPr>
            <w:r w:rsidRPr="000E4321">
              <w:rPr>
                <w:b/>
              </w:rPr>
              <w:lastRenderedPageBreak/>
              <w:t>Latvijas Pašvaldību savienība (iebildums):</w:t>
            </w:r>
          </w:p>
          <w:p w14:paraId="05976C69" w14:textId="77777777" w:rsidR="00A05393" w:rsidRPr="000E4321" w:rsidRDefault="00A05393" w:rsidP="00A05393">
            <w:pPr>
              <w:pStyle w:val="naisc"/>
              <w:spacing w:before="0" w:after="0"/>
              <w:jc w:val="both"/>
            </w:pPr>
            <w:r w:rsidRPr="000E4321">
              <w:t>Likumprojekta 8. pants paredz izteikt LBFV 27. panta pirmo daļu jaunā redakcijā, vienlaikus saglabājot nosacījumu, ka valsts aizdevuma saņemšanai, izdevumu veikšanai un atmaksai aizņēmējs kontu atver tikai Valsts kasē, ja normatīvajos aktos nav noteikts citādi.</w:t>
            </w:r>
          </w:p>
          <w:p w14:paraId="1D26AE8C" w14:textId="77777777" w:rsidR="00A05393" w:rsidRPr="000E4321" w:rsidRDefault="00A05393" w:rsidP="00A05393">
            <w:pPr>
              <w:pStyle w:val="naisc"/>
              <w:spacing w:before="0" w:after="0"/>
              <w:jc w:val="both"/>
            </w:pPr>
            <w:r w:rsidRPr="000E4321">
              <w:t xml:space="preserve">Saistībā ar aizdevumu atmaksu pašvaldības vērš uzmanību uz šādu problēmu: pašreizējā Valsts kases noteiktā automātiskā aizdevumu saistību ieturēšana paredz, ka aizņēmējs pirmstermiņa atmaksu var veikt vismaz 20 kalendāra dienas pirms kārtējās saistību </w:t>
            </w:r>
            <w:r w:rsidRPr="000E4321">
              <w:lastRenderedPageBreak/>
              <w:t>maksājuma dienas un ja maksājums nav mazāks par kārtējo saistību maksājumu. Noteiktā kārtība paredz arī to, ka pirmstermiņa atmaksas pieteikums jāiesniedz ne vēlāk kā divas darba dienas pirms plānotās pirmstermiņa atmaksas dienas. Tas nozīmē, ka pašvaldībai nav iespējas veikt daļēju aizņēmuma pirmstermiņa atmaksu, kas ir būtiski ne tikai pašvaldībai, bet arī valstij, jo 1) pašvaldībai, sedzot ātrāk savas saistības daļējā apmērā atbilstoši finanšu iespējām, ir jāmaksā mazākā apmērā procentu maksājumi par uzņemtajām saistībām, tādejādi racionāli izmantojot budžeta līdzekļus; 2) operatīvi un savlaicīgi atbrīvojas aizņēmumu limiti, kā rezultātā citas pašvaldības var ātrāk īstenot investīciju projektus. Papildus, ja pašvaldība vēlas veikt aizņēmuma pirmstermiņa atmaksu vairākiem aizņēmumiem, par katru no tiem atsevišķi jāiesniedz pirmstermiņa atmaksas pieteikums.</w:t>
            </w:r>
          </w:p>
          <w:p w14:paraId="7002DF63" w14:textId="77777777" w:rsidR="00A05393" w:rsidRPr="000E4321" w:rsidRDefault="00A05393" w:rsidP="00A05393">
            <w:pPr>
              <w:pStyle w:val="naisc"/>
              <w:spacing w:before="0" w:after="0"/>
              <w:jc w:val="both"/>
            </w:pPr>
            <w:r w:rsidRPr="000E4321">
              <w:t>Priekšlikums neierobežot pašvaldību tiesības brīvi pirms termiņa atmaksāt aizņēmumus, t.sk. nepilnā apmērā, un dod iespēju vienā pirmstermiņa atmaksas iesniegumā uzrādīt vairākus aizņēmumus, tādējādi mazinot administratīvo slogu.</w:t>
            </w:r>
          </w:p>
          <w:p w14:paraId="3940D173" w14:textId="77777777" w:rsidR="00A05393" w:rsidRPr="000E4321" w:rsidRDefault="00A05393" w:rsidP="00A05393">
            <w:pPr>
              <w:pStyle w:val="naisc"/>
              <w:spacing w:before="0" w:after="0"/>
              <w:jc w:val="both"/>
            </w:pPr>
          </w:p>
          <w:p w14:paraId="06B0059E" w14:textId="14A36A05" w:rsidR="00A05393" w:rsidRPr="000E4321" w:rsidRDefault="00A05393" w:rsidP="00A05393">
            <w:pPr>
              <w:pStyle w:val="naisc"/>
              <w:spacing w:before="0" w:after="0"/>
              <w:jc w:val="both"/>
            </w:pPr>
            <w:r w:rsidRPr="000E4321">
              <w:rPr>
                <w:b/>
              </w:rPr>
              <w:t>Izglītības un zinātnes ministrija (iebildums):</w:t>
            </w:r>
          </w:p>
          <w:p w14:paraId="29D433E6" w14:textId="77777777" w:rsidR="00A05393" w:rsidRPr="000E4321" w:rsidRDefault="00A05393" w:rsidP="00A05393">
            <w:pPr>
              <w:pStyle w:val="naisc"/>
              <w:spacing w:before="0" w:after="0"/>
              <w:jc w:val="both"/>
            </w:pPr>
            <w:r w:rsidRPr="000E4321">
              <w:t>Ministrija lūdz papildināt to subjektu loku, kuriem saskaņā ar Likuma par budžetu un finanšu vadību 27. panta pirmo daļu tiek dotas tiesības atvērt kontu Valsts kasē valsts budžeta līdzekļu saņemšanai un no tiem finansēto izdevumu veikšanai un izteikt Likuma par budžetu un finanšu vadību 27.panta pirmo daļu šādā redakcijā:</w:t>
            </w:r>
          </w:p>
          <w:p w14:paraId="51CEA3BD" w14:textId="77777777" w:rsidR="00A05393" w:rsidRPr="000E4321" w:rsidRDefault="00A05393" w:rsidP="00A05393">
            <w:pPr>
              <w:pStyle w:val="naisc"/>
              <w:spacing w:before="0" w:after="0"/>
              <w:jc w:val="both"/>
            </w:pPr>
            <w:r w:rsidRPr="000E4321">
              <w:t xml:space="preserve"> “(1) Valsts budžeta iestādes un budžeta nefinansētas institūcijas atver kontus tikai Valsts kasē. Valsts budžeta līdzekļu saņemšanai un izdevumu veikšanai, pašvaldības, no valsts budžeta daļēji finansētas atvasinātas publiskas personas un kapitālsabiedrības, </w:t>
            </w:r>
            <w:r w:rsidRPr="000E4321">
              <w:lastRenderedPageBreak/>
              <w:t>kurās ieguldīta valsts vai pašvaldības kapitāla daļa, un budžeta finansētas institūcijas var atvērt kontus Valsts kasē. Valsts aizdevuma saņemšanai, izdevumu veikšanai un atmaksai aizņēmējs kontu atver tikai Valsts kasē, ja normatīvajos aktos nav noteikts citādi.”</w:t>
            </w:r>
          </w:p>
          <w:p w14:paraId="54CF9BB7" w14:textId="77777777" w:rsidR="00A05393" w:rsidRPr="000E4321" w:rsidRDefault="00A05393" w:rsidP="00A05393">
            <w:pPr>
              <w:pStyle w:val="naisc"/>
              <w:spacing w:before="0" w:after="0"/>
              <w:jc w:val="both"/>
            </w:pPr>
            <w:r w:rsidRPr="000E4321">
              <w:t>Vienlaikus, lūdzam likumprojekta anotācijas 1.daļas 2.punktā sniegt skaidrojumu, ka budžeta finansētas institūcijas, šā likuma izpratnē, ir privātās izglītības iestādes, komercsabiedrības, biedrības, nodibinājumi, arodbiedrības, reliģiskas organizācijas un citas privāto tiesību juridiskas personas, kas saskaņā ar gadskārtējā valsts budžeta likumā noteikto apropriāciju no valsts budžeta izpildītāja saņem dotāciju vai mērķdotāciju izglītības funkciju īstenošanai, un tās var atvērt kontus Valsts kasē, ja tas ir noteikts normatīvajos aktos vai kā citādi. Līdzīgu piebildu lūdzam iekļaut arī attiecībā uz sporta organizācijām.</w:t>
            </w:r>
          </w:p>
          <w:p w14:paraId="4CD7CC8E" w14:textId="69BFA5D4" w:rsidR="00A05393" w:rsidRPr="000E4321" w:rsidRDefault="00A05393" w:rsidP="00A05393">
            <w:pPr>
              <w:pStyle w:val="naisc"/>
              <w:spacing w:before="0" w:after="0"/>
              <w:jc w:val="both"/>
              <w:rPr>
                <w:b/>
              </w:rPr>
            </w:pPr>
          </w:p>
        </w:tc>
        <w:tc>
          <w:tcPr>
            <w:tcW w:w="3084" w:type="dxa"/>
            <w:tcBorders>
              <w:top w:val="single" w:sz="6" w:space="0" w:color="000000"/>
              <w:left w:val="single" w:sz="6" w:space="0" w:color="000000"/>
              <w:bottom w:val="single" w:sz="6" w:space="0" w:color="000000"/>
              <w:right w:val="single" w:sz="6" w:space="0" w:color="000000"/>
            </w:tcBorders>
          </w:tcPr>
          <w:p w14:paraId="2470EAAD" w14:textId="77777777" w:rsidR="00A05393" w:rsidRPr="000E4321" w:rsidRDefault="00A05393" w:rsidP="00A05393">
            <w:pPr>
              <w:pStyle w:val="naisc"/>
              <w:spacing w:before="0" w:after="0"/>
              <w:jc w:val="both"/>
              <w:rPr>
                <w:b/>
              </w:rPr>
            </w:pPr>
            <w:r w:rsidRPr="000E4321">
              <w:rPr>
                <w:b/>
              </w:rPr>
              <w:lastRenderedPageBreak/>
              <w:t>Ņemts vērā</w:t>
            </w:r>
          </w:p>
          <w:p w14:paraId="17EEBB9A" w14:textId="09C74E81" w:rsidR="00A05393" w:rsidRPr="000E4321" w:rsidRDefault="00A05393" w:rsidP="00A05393">
            <w:pPr>
              <w:pStyle w:val="naisc"/>
              <w:spacing w:before="0" w:after="0"/>
              <w:jc w:val="both"/>
            </w:pPr>
            <w:r w:rsidRPr="000E4321">
              <w:t>Grozījums tiek izņemts no likumprojekta un virzīts atsevišķā likumprojektā.</w:t>
            </w:r>
          </w:p>
          <w:p w14:paraId="5FDA4DC2" w14:textId="77777777" w:rsidR="00A05393" w:rsidRPr="000E4321" w:rsidRDefault="00A05393" w:rsidP="00A05393">
            <w:pPr>
              <w:pStyle w:val="naisc"/>
              <w:spacing w:before="0" w:after="0"/>
              <w:jc w:val="both"/>
            </w:pPr>
          </w:p>
          <w:p w14:paraId="7C0A33F9" w14:textId="179CC861" w:rsidR="00A05393" w:rsidRPr="000E4321" w:rsidRDefault="00A05393" w:rsidP="00A05393">
            <w:pPr>
              <w:pStyle w:val="naisc"/>
              <w:spacing w:before="0" w:after="0"/>
              <w:jc w:val="both"/>
            </w:pPr>
            <w:r w:rsidRPr="000E4321">
              <w:t>Vienlaikus paskaidrojam, ka</w:t>
            </w:r>
            <w:r w:rsidRPr="000E4321">
              <w:rPr>
                <w:b/>
              </w:rPr>
              <w:t xml:space="preserve"> </w:t>
            </w:r>
            <w:r w:rsidRPr="000E4321">
              <w:t xml:space="preserve">Latvijas Pašvaldību savienības izteiktais iebildums nav attiecināms uz LBFV 27.panta nosacījumiem. Papildus </w:t>
            </w:r>
            <w:r w:rsidRPr="000E4321">
              <w:lastRenderedPageBreak/>
              <w:t>skaidrojam un vēršam uzmanību, ka tieši veicot neregulārus un mazus pirmstermiņa maksājumus tiek radīts papildu administratīvais slogs šo maksājumu apstrādē (piemēram, jauns aizdevuma atmaksas grafiks u.tml.). Līdz ar to, lai maksimāli efektīvi tiktu nodrošināta finanšu resursu vadība gan valsts, gan pašvaldības pusē, ar 118 pašvaldībām ir noslēgta vienošanos, kurā ir atrunāts minimālais maksājuma apmērs un iespēja izvēlēties jauno atmaksas maksāšanas grafiku (tiek samazināti tekošie maksājumi, izlīdzināta pirmstermiņā atmaksātā summa uz visu atlikušo maksājumu vai saīsināts atmaksas termiņš).</w:t>
            </w:r>
          </w:p>
          <w:p w14:paraId="6EC54E82" w14:textId="72A5C9D9" w:rsidR="00A05393" w:rsidRPr="000E4321" w:rsidRDefault="00A05393" w:rsidP="00A05393">
            <w:pPr>
              <w:pStyle w:val="naisc"/>
              <w:spacing w:before="0" w:after="0"/>
              <w:jc w:val="both"/>
            </w:pPr>
            <w:r w:rsidRPr="000E4321">
              <w:t>Papildus tam, šobrīd notiek darbs pie sistēmas uzlabojumiem, lai turpmāk pašvaldībām nebūtu jāsūta pirmstermiņa atmaksas iesniegums, bet šo pieteikumu iesniegtu e-pakalpojumā eAizņēmumi .</w:t>
            </w:r>
          </w:p>
          <w:p w14:paraId="2726127A" w14:textId="6C9FE698" w:rsidR="00A05393" w:rsidRPr="000E4321" w:rsidRDefault="00A05393" w:rsidP="00A05393">
            <w:pPr>
              <w:pStyle w:val="naisc"/>
              <w:spacing w:before="0" w:after="0"/>
              <w:jc w:val="both"/>
            </w:pPr>
            <w:r w:rsidRPr="000E4321">
              <w:t xml:space="preserve">Līdz ar šo sistēmas uzlabojumu attiecīgi tiks samazināts dienu skaits, kurā jāpiesaka pirmstermiņa </w:t>
            </w:r>
            <w:r w:rsidRPr="000E4321">
              <w:lastRenderedPageBreak/>
              <w:t>atmaksa. Vienlaikus tiek izvērtēta iespēja nodrošināt daļēju pirmstermiņa atmaksu pēc procesa pilnīgas automatizācijas ieviešanas.</w:t>
            </w:r>
          </w:p>
          <w:p w14:paraId="129983AE" w14:textId="77777777" w:rsidR="00A05393" w:rsidRPr="000E4321" w:rsidRDefault="00A05393" w:rsidP="00A05393">
            <w:pPr>
              <w:pStyle w:val="naisc"/>
              <w:spacing w:before="0" w:after="0"/>
              <w:jc w:val="both"/>
            </w:pPr>
          </w:p>
          <w:p w14:paraId="4A71E6AB" w14:textId="77777777" w:rsidR="00A05393" w:rsidRPr="000E4321" w:rsidRDefault="00A05393" w:rsidP="00A05393">
            <w:pPr>
              <w:pStyle w:val="naisc"/>
              <w:spacing w:before="0" w:after="0"/>
              <w:jc w:val="both"/>
            </w:pPr>
          </w:p>
          <w:p w14:paraId="59C3B79F" w14:textId="77777777" w:rsidR="00A05393" w:rsidRPr="000E4321" w:rsidRDefault="00A05393" w:rsidP="00A05393">
            <w:pPr>
              <w:pStyle w:val="naisc"/>
              <w:spacing w:before="0" w:after="0"/>
              <w:jc w:val="both"/>
            </w:pPr>
          </w:p>
          <w:p w14:paraId="0DCF40CD" w14:textId="3C64302E" w:rsidR="00A05393" w:rsidRPr="000E4321" w:rsidRDefault="00A05393" w:rsidP="00A05393">
            <w:pPr>
              <w:pStyle w:val="naisc"/>
              <w:spacing w:before="0" w:after="0"/>
              <w:jc w:val="both"/>
            </w:pPr>
            <w:r w:rsidRPr="000E4321">
              <w:t xml:space="preserve">Attiecībā uz IZM iebildumu, vēršam uzmanību, ka termins “budžeta finansētas institūcijas” jau ir definēts LBFV terminu sadaļā. </w:t>
            </w:r>
          </w:p>
        </w:tc>
        <w:tc>
          <w:tcPr>
            <w:tcW w:w="3127" w:type="dxa"/>
            <w:tcBorders>
              <w:top w:val="single" w:sz="4" w:space="0" w:color="auto"/>
              <w:left w:val="single" w:sz="4" w:space="0" w:color="auto"/>
              <w:bottom w:val="single" w:sz="4" w:space="0" w:color="auto"/>
            </w:tcBorders>
          </w:tcPr>
          <w:p w14:paraId="62F5AA73" w14:textId="77777777" w:rsidR="00A05393" w:rsidRPr="000E4321" w:rsidRDefault="00A05393" w:rsidP="00A05393">
            <w:pPr>
              <w:pStyle w:val="naisc"/>
              <w:spacing w:before="0" w:after="0"/>
              <w:jc w:val="both"/>
            </w:pPr>
          </w:p>
        </w:tc>
      </w:tr>
      <w:tr w:rsidR="00A05393" w:rsidRPr="000E4321" w14:paraId="3E0F097B" w14:textId="77777777" w:rsidTr="00840182">
        <w:tc>
          <w:tcPr>
            <w:tcW w:w="567" w:type="dxa"/>
            <w:tcBorders>
              <w:top w:val="single" w:sz="6" w:space="0" w:color="000000"/>
              <w:left w:val="single" w:sz="6" w:space="0" w:color="000000"/>
              <w:bottom w:val="single" w:sz="6" w:space="0" w:color="000000"/>
              <w:right w:val="single" w:sz="6" w:space="0" w:color="000000"/>
            </w:tcBorders>
          </w:tcPr>
          <w:p w14:paraId="00A2B906" w14:textId="76681A5C" w:rsidR="00A05393" w:rsidRPr="000E4321" w:rsidRDefault="00A05393" w:rsidP="00A05393">
            <w:pPr>
              <w:pStyle w:val="naisc"/>
              <w:spacing w:before="0" w:after="0"/>
              <w:jc w:val="left"/>
            </w:pPr>
            <w:r w:rsidRPr="000E4321">
              <w:lastRenderedPageBreak/>
              <w:t>11.</w:t>
            </w:r>
          </w:p>
        </w:tc>
        <w:tc>
          <w:tcPr>
            <w:tcW w:w="2686" w:type="dxa"/>
            <w:tcBorders>
              <w:top w:val="single" w:sz="6" w:space="0" w:color="000000"/>
              <w:left w:val="single" w:sz="6" w:space="0" w:color="000000"/>
              <w:bottom w:val="single" w:sz="6" w:space="0" w:color="000000"/>
              <w:right w:val="single" w:sz="6" w:space="0" w:color="000000"/>
            </w:tcBorders>
          </w:tcPr>
          <w:p w14:paraId="7DA0C8BC" w14:textId="77777777" w:rsidR="00A05393" w:rsidRPr="000E4321" w:rsidRDefault="00A05393" w:rsidP="00A05393">
            <w:pPr>
              <w:jc w:val="both"/>
            </w:pPr>
            <w:r w:rsidRPr="000E4321">
              <w:t>27. pants. Kontu atvēršana, slēgšana un maksājumu izpilde.</w:t>
            </w:r>
          </w:p>
          <w:p w14:paraId="1C41BEEC" w14:textId="77777777" w:rsidR="00A05393" w:rsidRPr="000E4321" w:rsidRDefault="00A05393" w:rsidP="00A05393">
            <w:pPr>
              <w:jc w:val="both"/>
            </w:pPr>
            <w:r w:rsidRPr="000E4321">
              <w:t>(..)</w:t>
            </w:r>
          </w:p>
          <w:p w14:paraId="21463509" w14:textId="77777777" w:rsidR="00A05393" w:rsidRPr="000E4321" w:rsidRDefault="00A05393" w:rsidP="00A05393">
            <w:pPr>
              <w:jc w:val="both"/>
            </w:pPr>
            <w:r w:rsidRPr="000E4321">
              <w:t xml:space="preserve">(7) Valsts budžeta iestādes atlīdzības izmaksu un iestāžu komandējumu izdevumu samaksu veic, izmantojot bezskaidras naudas norēķinus, uz kontu Eiropas Savienības dalībvalstī vai Eiropas Ekonomikas zonas valstī. Latvijas Republikas diplomātiskās un konsulārās pārstāvniecības samaksu </w:t>
            </w:r>
            <w:r w:rsidRPr="000E4321">
              <w:lastRenderedPageBreak/>
              <w:t>var veikt uz kontu kredītiestādē pārstāvniecības valstī.</w:t>
            </w:r>
          </w:p>
        </w:tc>
        <w:tc>
          <w:tcPr>
            <w:tcW w:w="5562" w:type="dxa"/>
            <w:gridSpan w:val="2"/>
            <w:tcBorders>
              <w:top w:val="single" w:sz="6" w:space="0" w:color="000000"/>
              <w:left w:val="single" w:sz="6" w:space="0" w:color="000000"/>
              <w:bottom w:val="single" w:sz="6" w:space="0" w:color="000000"/>
              <w:right w:val="single" w:sz="6" w:space="0" w:color="000000"/>
            </w:tcBorders>
          </w:tcPr>
          <w:p w14:paraId="1D6D50D2" w14:textId="77777777" w:rsidR="00A05393" w:rsidRPr="000E4321" w:rsidRDefault="00A05393" w:rsidP="00A05393">
            <w:pPr>
              <w:pStyle w:val="naisc"/>
              <w:spacing w:before="0" w:after="0"/>
              <w:jc w:val="both"/>
            </w:pPr>
            <w:r w:rsidRPr="000E4321">
              <w:rPr>
                <w:b/>
              </w:rPr>
              <w:lastRenderedPageBreak/>
              <w:t>Aizsardzības ministrija (iebildums):</w:t>
            </w:r>
          </w:p>
          <w:p w14:paraId="05C244C3" w14:textId="77777777" w:rsidR="00A05393" w:rsidRPr="000E4321" w:rsidRDefault="00A05393" w:rsidP="00A05393">
            <w:pPr>
              <w:pStyle w:val="naisc"/>
              <w:spacing w:before="0" w:after="0"/>
              <w:jc w:val="both"/>
            </w:pPr>
            <w:r w:rsidRPr="000E4321">
              <w:t>Nepieciešams papildināt piedāvātās 27.panta septītās daļas redakcijas (skat.likumprojekta 8.pantu) otro teikumu aiz vārdiem “konsulārās pārstāvniecības” ar vārdiem “kā arī aizsardzības atašeju un militāro pārstāvju”, attiecīgi precizējot likumprojekta anotācijā ietverto informāciju. Šāds papildinājums nepieciešams, lai saskaņā ar Ministru kabineta 29.06.2010. noteikumiem Nr.602 “Noteikumi par pabalstu un kompensāciju apmēriem diplomātiskā un konsulārā dienesta amatpersonām (darbiniekiem), valsts tiešās pārvaldes amatpersonām (darbiniekiem), karavīriem, prokuroriem un sakaru virsniekiem par dienestu ārvalstīs un to izmaksas kārtību” varētu nodrošināt norēķinu veikšanu uz kontu kredītiestādē pārstāvniecības valstī.</w:t>
            </w:r>
          </w:p>
          <w:p w14:paraId="08D4905C" w14:textId="77777777" w:rsidR="00A05393" w:rsidRPr="000E4321" w:rsidRDefault="00A05393" w:rsidP="00A05393">
            <w:pPr>
              <w:pStyle w:val="naisc"/>
              <w:spacing w:before="0" w:after="0"/>
              <w:jc w:val="both"/>
            </w:pPr>
          </w:p>
          <w:p w14:paraId="28E5BC6E" w14:textId="43E44694" w:rsidR="00A05393" w:rsidRPr="000E4321" w:rsidRDefault="00A05393" w:rsidP="00A05393">
            <w:pPr>
              <w:pStyle w:val="naisc"/>
              <w:spacing w:before="0" w:after="0"/>
              <w:jc w:val="both"/>
              <w:rPr>
                <w:b/>
              </w:rPr>
            </w:pPr>
          </w:p>
        </w:tc>
        <w:tc>
          <w:tcPr>
            <w:tcW w:w="3084" w:type="dxa"/>
            <w:tcBorders>
              <w:top w:val="single" w:sz="6" w:space="0" w:color="000000"/>
              <w:left w:val="single" w:sz="6" w:space="0" w:color="000000"/>
              <w:bottom w:val="single" w:sz="6" w:space="0" w:color="000000"/>
              <w:right w:val="single" w:sz="6" w:space="0" w:color="000000"/>
            </w:tcBorders>
          </w:tcPr>
          <w:p w14:paraId="43DA5213" w14:textId="4669BB8B" w:rsidR="00A05393" w:rsidRPr="000E4321" w:rsidRDefault="00A05393" w:rsidP="00A05393">
            <w:pPr>
              <w:pStyle w:val="naisc"/>
              <w:spacing w:before="0" w:after="0"/>
              <w:jc w:val="both"/>
              <w:rPr>
                <w:b/>
              </w:rPr>
            </w:pPr>
            <w:r w:rsidRPr="000E4321">
              <w:rPr>
                <w:b/>
              </w:rPr>
              <w:t>Ņemts vērā</w:t>
            </w:r>
          </w:p>
          <w:p w14:paraId="7A74F4A9" w14:textId="77777777" w:rsidR="00A05393" w:rsidRPr="000E4321" w:rsidRDefault="00A05393" w:rsidP="00A05393">
            <w:pPr>
              <w:pStyle w:val="naisc"/>
              <w:spacing w:before="0" w:after="0"/>
              <w:jc w:val="both"/>
            </w:pPr>
            <w:r w:rsidRPr="000E4321">
              <w:t>Grozījums tiek izņemts no likumprojekta un virzīts atsevišķā likumprojektā.</w:t>
            </w:r>
          </w:p>
          <w:p w14:paraId="614CA859" w14:textId="7BA50198" w:rsidR="00A05393" w:rsidRPr="000E4321" w:rsidRDefault="00A05393" w:rsidP="00A05393">
            <w:pPr>
              <w:pStyle w:val="naisc"/>
              <w:spacing w:before="0" w:after="0"/>
              <w:jc w:val="both"/>
              <w:rPr>
                <w:b/>
              </w:rPr>
            </w:pPr>
          </w:p>
          <w:p w14:paraId="107A92F8" w14:textId="4F316AAF" w:rsidR="00A05393" w:rsidRPr="000E4321" w:rsidRDefault="00A05393" w:rsidP="00A05393">
            <w:pPr>
              <w:pStyle w:val="naisc"/>
              <w:spacing w:before="0" w:after="0"/>
              <w:jc w:val="both"/>
            </w:pPr>
            <w:r w:rsidRPr="000E4321">
              <w:t>Vienlaikus informējam, ka izteiktais iebildums ir atbalstāms un tiks iestrādāts attiecīgajā likumprojektā.</w:t>
            </w:r>
          </w:p>
        </w:tc>
        <w:tc>
          <w:tcPr>
            <w:tcW w:w="3127" w:type="dxa"/>
            <w:tcBorders>
              <w:top w:val="single" w:sz="4" w:space="0" w:color="auto"/>
              <w:left w:val="single" w:sz="4" w:space="0" w:color="auto"/>
              <w:bottom w:val="single" w:sz="4" w:space="0" w:color="auto"/>
            </w:tcBorders>
          </w:tcPr>
          <w:p w14:paraId="4964E0C0" w14:textId="77777777" w:rsidR="00A05393" w:rsidRPr="000E4321" w:rsidRDefault="00A05393" w:rsidP="00A05393">
            <w:pPr>
              <w:pStyle w:val="naisc"/>
              <w:spacing w:before="0" w:after="0"/>
              <w:jc w:val="both"/>
            </w:pPr>
          </w:p>
        </w:tc>
      </w:tr>
      <w:tr w:rsidR="00A05393" w:rsidRPr="000E4321" w14:paraId="409FE7A4" w14:textId="77777777" w:rsidTr="00840182">
        <w:tc>
          <w:tcPr>
            <w:tcW w:w="567" w:type="dxa"/>
            <w:tcBorders>
              <w:top w:val="single" w:sz="6" w:space="0" w:color="000000"/>
              <w:left w:val="single" w:sz="6" w:space="0" w:color="000000"/>
              <w:bottom w:val="single" w:sz="6" w:space="0" w:color="000000"/>
              <w:right w:val="single" w:sz="6" w:space="0" w:color="000000"/>
            </w:tcBorders>
          </w:tcPr>
          <w:p w14:paraId="61EB8474" w14:textId="75D88BA6" w:rsidR="00A05393" w:rsidRPr="000E4321" w:rsidRDefault="00A05393" w:rsidP="00A05393">
            <w:pPr>
              <w:pStyle w:val="naisc"/>
              <w:spacing w:before="0" w:after="0"/>
              <w:jc w:val="left"/>
            </w:pPr>
            <w:r w:rsidRPr="000E4321">
              <w:t>12.</w:t>
            </w:r>
          </w:p>
        </w:tc>
        <w:tc>
          <w:tcPr>
            <w:tcW w:w="2686" w:type="dxa"/>
            <w:tcBorders>
              <w:top w:val="single" w:sz="6" w:space="0" w:color="000000"/>
              <w:left w:val="single" w:sz="6" w:space="0" w:color="000000"/>
              <w:bottom w:val="single" w:sz="6" w:space="0" w:color="000000"/>
              <w:right w:val="single" w:sz="6" w:space="0" w:color="000000"/>
            </w:tcBorders>
          </w:tcPr>
          <w:p w14:paraId="23454F01" w14:textId="77777777" w:rsidR="00A05393" w:rsidRPr="000E4321" w:rsidRDefault="00A05393" w:rsidP="00A05393">
            <w:pPr>
              <w:jc w:val="both"/>
            </w:pPr>
          </w:p>
        </w:tc>
        <w:tc>
          <w:tcPr>
            <w:tcW w:w="5562" w:type="dxa"/>
            <w:gridSpan w:val="2"/>
            <w:tcBorders>
              <w:top w:val="single" w:sz="6" w:space="0" w:color="000000"/>
              <w:left w:val="single" w:sz="6" w:space="0" w:color="000000"/>
              <w:bottom w:val="single" w:sz="6" w:space="0" w:color="000000"/>
              <w:right w:val="single" w:sz="6" w:space="0" w:color="000000"/>
            </w:tcBorders>
          </w:tcPr>
          <w:p w14:paraId="34F48C51" w14:textId="77777777" w:rsidR="00A05393" w:rsidRPr="000E4321" w:rsidRDefault="00A05393" w:rsidP="00A05393">
            <w:pPr>
              <w:pStyle w:val="naisc"/>
              <w:spacing w:before="0" w:after="0"/>
              <w:jc w:val="both"/>
            </w:pPr>
            <w:r w:rsidRPr="000E4321">
              <w:rPr>
                <w:b/>
              </w:rPr>
              <w:t>Aizsardzības ministrija (iebildums):</w:t>
            </w:r>
          </w:p>
          <w:p w14:paraId="7CE4168E" w14:textId="77777777" w:rsidR="00A05393" w:rsidRPr="000E4321" w:rsidRDefault="00A05393" w:rsidP="00A05393">
            <w:pPr>
              <w:pStyle w:val="naisc"/>
              <w:spacing w:before="0" w:after="0"/>
              <w:jc w:val="both"/>
            </w:pPr>
            <w:r w:rsidRPr="000E4321">
              <w:t>Lūdzam papildināt likumprojekta anotācijā ietverto skaidrojumu par terminu “Valsts parāds”, nodefinējot to, kādas konkrēti saistības tiks attiecinātas uz valsts parādu. Aicinām sniegt skaidrojumu, vai saskaņā ar likumprojektā iepriekš minētā termina definīciju uz valsts parādu būs jāattiecina tādas saistības kā, piemēram, līgumi, kuri ir noslēgti uz vairāk kā vienu gadu, nākotnes saistības pensijām un atlīdzībai.</w:t>
            </w:r>
          </w:p>
          <w:p w14:paraId="24B7C6AF" w14:textId="15C68B8B" w:rsidR="00A05393" w:rsidRPr="000E4321" w:rsidRDefault="00A05393" w:rsidP="00A05393">
            <w:pPr>
              <w:pStyle w:val="naisc"/>
              <w:spacing w:before="0" w:after="0"/>
              <w:jc w:val="both"/>
              <w:rPr>
                <w:b/>
              </w:rPr>
            </w:pPr>
          </w:p>
        </w:tc>
        <w:tc>
          <w:tcPr>
            <w:tcW w:w="3084" w:type="dxa"/>
            <w:tcBorders>
              <w:top w:val="single" w:sz="6" w:space="0" w:color="000000"/>
              <w:left w:val="single" w:sz="6" w:space="0" w:color="000000"/>
              <w:bottom w:val="single" w:sz="6" w:space="0" w:color="000000"/>
              <w:right w:val="single" w:sz="6" w:space="0" w:color="000000"/>
            </w:tcBorders>
          </w:tcPr>
          <w:p w14:paraId="54F7EBA6" w14:textId="77777777" w:rsidR="00A05393" w:rsidRPr="000E4321" w:rsidRDefault="00A05393" w:rsidP="00A05393">
            <w:pPr>
              <w:pStyle w:val="naisc"/>
              <w:spacing w:before="0" w:after="0"/>
              <w:jc w:val="both"/>
              <w:rPr>
                <w:b/>
              </w:rPr>
            </w:pPr>
            <w:r w:rsidRPr="000E4321">
              <w:rPr>
                <w:b/>
              </w:rPr>
              <w:t>Ņemts vērā</w:t>
            </w:r>
          </w:p>
          <w:p w14:paraId="394DF773" w14:textId="01628FAF" w:rsidR="00A05393" w:rsidRPr="000E4321" w:rsidRDefault="00A05393" w:rsidP="00A05393">
            <w:pPr>
              <w:pStyle w:val="naisc"/>
              <w:spacing w:before="0" w:after="0"/>
              <w:jc w:val="both"/>
              <w:rPr>
                <w:b/>
              </w:rPr>
            </w:pPr>
            <w:r w:rsidRPr="000E4321">
              <w:t xml:space="preserve">Papildināta anotācija (7lpp.) ar norādi, ka Ministru kabineta noteikumi, kas izdoti uz LBFV 11. panta 3. punkta deleģējuma pamata, nosaka budžetu parāda instrumentu klasifikācijā noteikto saistību iedalījumu finanšu instrumentu kategorijās. </w:t>
            </w:r>
          </w:p>
        </w:tc>
        <w:tc>
          <w:tcPr>
            <w:tcW w:w="3127" w:type="dxa"/>
            <w:tcBorders>
              <w:top w:val="single" w:sz="4" w:space="0" w:color="auto"/>
              <w:left w:val="single" w:sz="4" w:space="0" w:color="auto"/>
              <w:bottom w:val="single" w:sz="4" w:space="0" w:color="auto"/>
            </w:tcBorders>
          </w:tcPr>
          <w:p w14:paraId="18B5EE00" w14:textId="77777777" w:rsidR="00A05393" w:rsidRPr="000E4321" w:rsidRDefault="00A05393" w:rsidP="00A05393">
            <w:pPr>
              <w:jc w:val="both"/>
            </w:pPr>
            <w:r w:rsidRPr="000E4321">
              <w:t>Anotācija:</w:t>
            </w:r>
          </w:p>
          <w:p w14:paraId="7F1AC260" w14:textId="1AB7D011" w:rsidR="00A05393" w:rsidRPr="000E4321" w:rsidRDefault="00A05393" w:rsidP="00A05393">
            <w:pPr>
              <w:jc w:val="both"/>
            </w:pPr>
            <w:r w:rsidRPr="000E4321">
              <w:t xml:space="preserve">Lai precīzāk raksturotu valsts parāda tvērumu LBFV izpratnē, ir pilnveidota valsts parāda definīcija, precizējot, ka valsts parāds ir uz valsts budžetu attiecināmo saistību kopējā summa naudas izteiksmē budžetu parāda instrumentu klasifikācijas kategorijās. Līdz ar valsts parāda definīcijas izteikšanu pilnveidotajā redakcijā, nepieciešami arī grozījumi Ministru kabineta tiesību deleģējumam noteikumiem par budžetu parāda instrumentu klasifikāciju, t.i., LBFV 11. panta 3. punktā. Līdz 2020. gada 31. decembrim ir spēkā </w:t>
            </w:r>
            <w:r w:rsidRPr="000E4321">
              <w:rPr>
                <w:shd w:val="clear" w:color="auto" w:fill="FFFFFF"/>
              </w:rPr>
              <w:t>Ministru kabineta 2005. gada 8. novembra noteikumi Nr. 842 "</w:t>
            </w:r>
            <w:hyperlink r:id="rId11" w:tgtFrame="_blank" w:history="1">
              <w:r w:rsidRPr="000E4321">
                <w:rPr>
                  <w:rStyle w:val="Hyperlink"/>
                  <w:color w:val="auto"/>
                  <w:u w:val="none"/>
                  <w:shd w:val="clear" w:color="auto" w:fill="FFFFFF"/>
                </w:rPr>
                <w:t>Noteikumi</w:t>
              </w:r>
            </w:hyperlink>
            <w:r w:rsidRPr="000E4321">
              <w:t xml:space="preserve"> par vispārējā valdības parāda klasifikāciju</w:t>
            </w:r>
            <w:r w:rsidRPr="000E4321">
              <w:rPr>
                <w:shd w:val="clear" w:color="auto" w:fill="FFFFFF"/>
              </w:rPr>
              <w:t xml:space="preserve">". </w:t>
            </w:r>
            <w:r w:rsidRPr="000E4321">
              <w:rPr>
                <w:u w:val="single"/>
                <w:shd w:val="clear" w:color="auto" w:fill="FFFFFF"/>
              </w:rPr>
              <w:t>Šie noteikumi nosaka vispārējā valdības parāda saistības atsevišķu finanšu instrumentu dalījumā, kā arī vispārējā valdības parāda klasifikācijas pielietojumu budžeta uzskaitē un pārskatu sagatavošanā.</w:t>
            </w:r>
            <w:r w:rsidRPr="000E4321">
              <w:rPr>
                <w:shd w:val="clear" w:color="auto" w:fill="FFFFFF"/>
              </w:rPr>
              <w:t xml:space="preserve"> Savukārt, pēc </w:t>
            </w:r>
            <w:r w:rsidRPr="000E4321">
              <w:rPr>
                <w:shd w:val="clear" w:color="auto" w:fill="FFFFFF"/>
              </w:rPr>
              <w:lastRenderedPageBreak/>
              <w:t>likumprojekta pieņemšanas Saeimā 2. lasījumā Finanšu ministrija sadarbībā ar Valsts kasi izstrādās jaunus Ministru kabineta noteikumus, kas stāsies spēkā iepriekš minēto vietā.</w:t>
            </w:r>
          </w:p>
        </w:tc>
      </w:tr>
      <w:tr w:rsidR="00A05393" w:rsidRPr="000E4321" w14:paraId="283C3F93" w14:textId="77777777" w:rsidTr="00840182">
        <w:tc>
          <w:tcPr>
            <w:tcW w:w="567" w:type="dxa"/>
            <w:tcBorders>
              <w:top w:val="single" w:sz="6" w:space="0" w:color="000000"/>
              <w:left w:val="single" w:sz="6" w:space="0" w:color="000000"/>
              <w:bottom w:val="single" w:sz="6" w:space="0" w:color="000000"/>
              <w:right w:val="single" w:sz="6" w:space="0" w:color="000000"/>
            </w:tcBorders>
          </w:tcPr>
          <w:p w14:paraId="518667B4" w14:textId="1E041875" w:rsidR="00A05393" w:rsidRPr="000E4321" w:rsidRDefault="00A05393" w:rsidP="00A05393">
            <w:pPr>
              <w:pStyle w:val="naisc"/>
              <w:spacing w:before="0" w:after="0"/>
              <w:jc w:val="left"/>
            </w:pPr>
            <w:r w:rsidRPr="000E4321">
              <w:lastRenderedPageBreak/>
              <w:t>13.</w:t>
            </w:r>
          </w:p>
        </w:tc>
        <w:tc>
          <w:tcPr>
            <w:tcW w:w="2686" w:type="dxa"/>
            <w:tcBorders>
              <w:top w:val="single" w:sz="6" w:space="0" w:color="000000"/>
              <w:left w:val="single" w:sz="6" w:space="0" w:color="000000"/>
              <w:bottom w:val="single" w:sz="6" w:space="0" w:color="000000"/>
              <w:right w:val="single" w:sz="6" w:space="0" w:color="000000"/>
            </w:tcBorders>
          </w:tcPr>
          <w:p w14:paraId="2C453829" w14:textId="77777777" w:rsidR="00A05393" w:rsidRPr="000E4321" w:rsidRDefault="00A05393" w:rsidP="00A05393">
            <w:pPr>
              <w:jc w:val="both"/>
            </w:pPr>
            <w:r w:rsidRPr="000E4321">
              <w:t>Pārejas noteikumi</w:t>
            </w:r>
          </w:p>
          <w:p w14:paraId="20176F97" w14:textId="77777777" w:rsidR="00A05393" w:rsidRPr="000E4321" w:rsidRDefault="00A05393" w:rsidP="00A05393">
            <w:pPr>
              <w:jc w:val="both"/>
            </w:pPr>
            <w:r w:rsidRPr="000E4321">
              <w:t>90. Grozījumi šā likuma 21. panta otrajā un piektajā daļā saistībā ar gadskārtējā valsts budžeta likuma projekta un grozījumu gadskārtējā valsts budžeta likumā paskaidrojumu stājas spēkā 2021. gada 1. janvārī, bet pirmo reizi tos piemēro 2022. gadā, sagatavojot gadskārtējā valsts budžeta likuma projekta 2022. gadam paskaidrojumu.</w:t>
            </w:r>
          </w:p>
          <w:p w14:paraId="76885994" w14:textId="3CA85025" w:rsidR="00A05393" w:rsidRPr="000E4321" w:rsidRDefault="00A05393" w:rsidP="00A05393">
            <w:pPr>
              <w:jc w:val="both"/>
            </w:pPr>
          </w:p>
        </w:tc>
        <w:tc>
          <w:tcPr>
            <w:tcW w:w="5562" w:type="dxa"/>
            <w:gridSpan w:val="2"/>
            <w:tcBorders>
              <w:top w:val="single" w:sz="6" w:space="0" w:color="000000"/>
              <w:left w:val="single" w:sz="6" w:space="0" w:color="000000"/>
              <w:bottom w:val="single" w:sz="6" w:space="0" w:color="000000"/>
              <w:right w:val="single" w:sz="6" w:space="0" w:color="000000"/>
            </w:tcBorders>
          </w:tcPr>
          <w:p w14:paraId="67E1770D" w14:textId="77777777" w:rsidR="00A05393" w:rsidRPr="000E4321" w:rsidRDefault="00A05393" w:rsidP="00A05393">
            <w:pPr>
              <w:pStyle w:val="naisc"/>
              <w:spacing w:before="0" w:after="0"/>
              <w:jc w:val="both"/>
            </w:pPr>
            <w:r w:rsidRPr="000E4321">
              <w:rPr>
                <w:b/>
              </w:rPr>
              <w:t>Aizsardzības ministrija (iebildums):</w:t>
            </w:r>
          </w:p>
          <w:p w14:paraId="4FA12A54" w14:textId="77777777" w:rsidR="00A05393" w:rsidRPr="000E4321" w:rsidRDefault="00A05393" w:rsidP="00A05393">
            <w:pPr>
              <w:pStyle w:val="naisc"/>
              <w:spacing w:before="0" w:after="0"/>
              <w:jc w:val="both"/>
              <w:rPr>
                <w:b/>
              </w:rPr>
            </w:pPr>
            <w:r w:rsidRPr="000E4321">
              <w:t>Ierosinām svītrot piedāvātajos pārejas noteikumos 90.punktā (skat.likumprojekta 19.pantu) vārdus un ciparus “2022.gadā”, attiecīgi šī konteksta ietvaros, veicot nepieciešamās korekcijas arī likumprojekta anotācijā, jo gadskārtējā valsts budžeta likuma projekta paskaidrojums 2022.gadam tiek gatavots 2021.gadā.</w:t>
            </w:r>
          </w:p>
        </w:tc>
        <w:tc>
          <w:tcPr>
            <w:tcW w:w="3084" w:type="dxa"/>
            <w:tcBorders>
              <w:top w:val="single" w:sz="6" w:space="0" w:color="000000"/>
              <w:left w:val="single" w:sz="6" w:space="0" w:color="000000"/>
              <w:bottom w:val="single" w:sz="6" w:space="0" w:color="000000"/>
              <w:right w:val="single" w:sz="6" w:space="0" w:color="000000"/>
            </w:tcBorders>
          </w:tcPr>
          <w:p w14:paraId="663170C9" w14:textId="264E3F7D" w:rsidR="00A05393" w:rsidRPr="000E4321" w:rsidRDefault="00A05393" w:rsidP="00A05393">
            <w:pPr>
              <w:pStyle w:val="naisc"/>
              <w:spacing w:before="0" w:after="0"/>
              <w:jc w:val="both"/>
              <w:rPr>
                <w:b/>
              </w:rPr>
            </w:pPr>
            <w:r w:rsidRPr="000E4321">
              <w:rPr>
                <w:b/>
              </w:rPr>
              <w:t>Ņemts vērā</w:t>
            </w:r>
          </w:p>
          <w:p w14:paraId="74E1B4F9" w14:textId="64BB9CC4" w:rsidR="00A05393" w:rsidRPr="000E4321" w:rsidRDefault="00A05393" w:rsidP="00A05393">
            <w:pPr>
              <w:pStyle w:val="naisc"/>
              <w:spacing w:before="0" w:after="0"/>
              <w:jc w:val="both"/>
            </w:pPr>
            <w:r w:rsidRPr="000E4321">
              <w:t>Precizēta arī anotācija</w:t>
            </w:r>
          </w:p>
        </w:tc>
        <w:tc>
          <w:tcPr>
            <w:tcW w:w="3127" w:type="dxa"/>
            <w:tcBorders>
              <w:top w:val="single" w:sz="4" w:space="0" w:color="auto"/>
              <w:left w:val="single" w:sz="4" w:space="0" w:color="auto"/>
              <w:bottom w:val="single" w:sz="4" w:space="0" w:color="auto"/>
            </w:tcBorders>
          </w:tcPr>
          <w:p w14:paraId="5C354247" w14:textId="77777777" w:rsidR="00A05393" w:rsidRPr="000E4321" w:rsidRDefault="00A05393" w:rsidP="00A05393">
            <w:pPr>
              <w:jc w:val="both"/>
            </w:pPr>
            <w:r w:rsidRPr="000E4321">
              <w:t>Pārejas noteikumi</w:t>
            </w:r>
          </w:p>
          <w:p w14:paraId="023C9515" w14:textId="13F3DF5C" w:rsidR="00A05393" w:rsidRPr="000E4321" w:rsidRDefault="00A05393" w:rsidP="00A05393">
            <w:pPr>
              <w:jc w:val="both"/>
            </w:pPr>
            <w:r w:rsidRPr="000E4321">
              <w:t xml:space="preserve">90. Grozījumi šā likuma 21. panta otrajā un piektajā daļā saistībā ar gadskārtējā valsts budžeta likuma projekta un grozījumu gadskārtējā valsts budžeta likumā paskaidrojumu stājas spēkā 2021. gada 1. janvārī, </w:t>
            </w:r>
            <w:r w:rsidRPr="000E4321">
              <w:rPr>
                <w:u w:val="single"/>
              </w:rPr>
              <w:t>un pirmo reizi tos piemēro 2021. gadā</w:t>
            </w:r>
            <w:r w:rsidRPr="000E4321">
              <w:t>, sagatavojot gadskārtējā valsts budžeta likuma projekta 2022. gadam paskaidrojumu.</w:t>
            </w:r>
          </w:p>
          <w:p w14:paraId="22BCD4C0" w14:textId="77777777" w:rsidR="00A05393" w:rsidRPr="000E4321" w:rsidRDefault="00A05393" w:rsidP="00A05393">
            <w:pPr>
              <w:pStyle w:val="naisc"/>
              <w:spacing w:before="0" w:after="0"/>
              <w:jc w:val="both"/>
            </w:pPr>
          </w:p>
          <w:p w14:paraId="4309983C" w14:textId="77777777" w:rsidR="00A05393" w:rsidRPr="000E4321" w:rsidRDefault="00A05393" w:rsidP="00A05393">
            <w:pPr>
              <w:pStyle w:val="naisc"/>
              <w:spacing w:before="0" w:after="0"/>
              <w:jc w:val="both"/>
            </w:pPr>
            <w:r w:rsidRPr="000E4321">
              <w:t>Anotācija:</w:t>
            </w:r>
          </w:p>
          <w:p w14:paraId="11E8BA35" w14:textId="5E890B6F" w:rsidR="00A05393" w:rsidRPr="000E4321" w:rsidRDefault="00A05393" w:rsidP="00A05393">
            <w:pPr>
              <w:widowControl w:val="0"/>
              <w:jc w:val="both"/>
            </w:pPr>
            <w:r w:rsidRPr="000E4321">
              <w:t xml:space="preserve">Likumprojekts paredz pārejas noteikumu, ka grozījumi LBFV 21. panta otrajā un piektajā daļā saistībā ar gadskārtējā valsts budžeta likuma projekta un grozījumu gadskārtējā valsts budžeta likumā paskaidrojumu stājas spēkā 2021. gada 1. janvārī, </w:t>
            </w:r>
            <w:r w:rsidRPr="000E4321">
              <w:rPr>
                <w:u w:val="single"/>
              </w:rPr>
              <w:t>un pirmo reizi tos piemēro 2021. gadā</w:t>
            </w:r>
            <w:r w:rsidRPr="000E4321">
              <w:t>, sagatavojot gadskārtējā valsts budžeta likuma projekta 2022. gadam paskaidrojumu.</w:t>
            </w:r>
          </w:p>
        </w:tc>
      </w:tr>
      <w:tr w:rsidR="00A05393" w:rsidRPr="000E4321" w14:paraId="382C9907" w14:textId="77777777" w:rsidTr="00840182">
        <w:tc>
          <w:tcPr>
            <w:tcW w:w="567" w:type="dxa"/>
            <w:tcBorders>
              <w:top w:val="single" w:sz="6" w:space="0" w:color="000000"/>
              <w:left w:val="single" w:sz="6" w:space="0" w:color="000000"/>
              <w:bottom w:val="single" w:sz="6" w:space="0" w:color="000000"/>
              <w:right w:val="single" w:sz="6" w:space="0" w:color="000000"/>
            </w:tcBorders>
          </w:tcPr>
          <w:p w14:paraId="2A5FA659" w14:textId="0B8B3D24" w:rsidR="00A05393" w:rsidRPr="000E4321" w:rsidRDefault="00A05393" w:rsidP="00A05393">
            <w:pPr>
              <w:pStyle w:val="naisc"/>
              <w:spacing w:before="0" w:after="0"/>
              <w:jc w:val="left"/>
            </w:pPr>
            <w:r w:rsidRPr="000E4321">
              <w:lastRenderedPageBreak/>
              <w:t>14.</w:t>
            </w:r>
          </w:p>
        </w:tc>
        <w:tc>
          <w:tcPr>
            <w:tcW w:w="2686" w:type="dxa"/>
            <w:tcBorders>
              <w:top w:val="single" w:sz="6" w:space="0" w:color="000000"/>
              <w:left w:val="single" w:sz="6" w:space="0" w:color="000000"/>
              <w:bottom w:val="single" w:sz="6" w:space="0" w:color="000000"/>
              <w:right w:val="single" w:sz="6" w:space="0" w:color="000000"/>
            </w:tcBorders>
          </w:tcPr>
          <w:p w14:paraId="327D63CC" w14:textId="77777777" w:rsidR="00A05393" w:rsidRPr="000E4321" w:rsidRDefault="00A05393" w:rsidP="00A05393">
            <w:pPr>
              <w:jc w:val="both"/>
            </w:pPr>
            <w:r w:rsidRPr="000E4321">
              <w:t>Pārejas noteikumi</w:t>
            </w:r>
          </w:p>
          <w:p w14:paraId="0F6A5D2F" w14:textId="77777777" w:rsidR="00A05393" w:rsidRPr="000E4321" w:rsidRDefault="00A05393" w:rsidP="00A05393">
            <w:pPr>
              <w:jc w:val="both"/>
            </w:pPr>
            <w:r w:rsidRPr="000E4321">
              <w:t>92. Budžeta finansētas institūcijas, izņemot budžeta iestādes, no valsts budžeta daļēji finansētas atvasinātas publiskas personas un kapitālsabiedrības, kurās ieguldīta valsts vai pašvaldības kapitāla daļa, kurām uz 2021. gada 1. janvāri ir atvērti konti Valsts kasē, tos slēdz, beidzoties konta izmantošanas mērķa pasākumam (projektam), bet ne vēlāk kā līdz 2024. gada 31. decembrim.</w:t>
            </w:r>
          </w:p>
        </w:tc>
        <w:tc>
          <w:tcPr>
            <w:tcW w:w="5562" w:type="dxa"/>
            <w:gridSpan w:val="2"/>
            <w:tcBorders>
              <w:top w:val="single" w:sz="6" w:space="0" w:color="000000"/>
              <w:left w:val="single" w:sz="6" w:space="0" w:color="000000"/>
              <w:bottom w:val="single" w:sz="6" w:space="0" w:color="000000"/>
              <w:right w:val="single" w:sz="6" w:space="0" w:color="000000"/>
            </w:tcBorders>
          </w:tcPr>
          <w:p w14:paraId="7E857FE7" w14:textId="77777777" w:rsidR="00A05393" w:rsidRPr="000E4321" w:rsidRDefault="00A05393" w:rsidP="00A05393">
            <w:pPr>
              <w:pStyle w:val="naisc"/>
              <w:spacing w:before="0" w:after="0"/>
              <w:jc w:val="both"/>
            </w:pPr>
            <w:r w:rsidRPr="000E4321">
              <w:rPr>
                <w:b/>
              </w:rPr>
              <w:t>Labklājības ministrija (iebildums):</w:t>
            </w:r>
          </w:p>
          <w:p w14:paraId="6288CB15" w14:textId="77777777" w:rsidR="00A05393" w:rsidRPr="000E4321" w:rsidRDefault="00A05393" w:rsidP="00A05393">
            <w:pPr>
              <w:pStyle w:val="naisc"/>
              <w:spacing w:before="0" w:after="0"/>
              <w:jc w:val="both"/>
            </w:pPr>
            <w:r w:rsidRPr="000E4321">
              <w:t>Attiecībā par likumprojekta 19.pantu, kas papildina likuma pārejas noteikumus ar 92.punktu, paredzot, ka budžeta finansētās institūcijas izņemot budžeta iestādes, no valsts budžeta daļēji finansētās atvasinātas publiskas personas un kapitālsabiedrības, kuru konti ir atvērti valsts kasē, kontus slēdz līdz 2024.gada 31.decembrim, LM vērš uzmanību uz šādu iespējamu risku.</w:t>
            </w:r>
          </w:p>
          <w:p w14:paraId="34E3E2BC" w14:textId="77777777" w:rsidR="00A05393" w:rsidRPr="000E4321" w:rsidRDefault="00A05393" w:rsidP="00A05393">
            <w:pPr>
              <w:pStyle w:val="naisc"/>
              <w:spacing w:before="0" w:after="0"/>
              <w:jc w:val="both"/>
            </w:pPr>
            <w:r w:rsidRPr="000E4321">
              <w:t xml:space="preserve">Labklājības nozarē virkni sociālos pakalpojumus sniedz Nevalstiskās organizācijas (NVO), tai skaitā, nodrošina deleģēto funkciju veikšanu. Sociālo pakalpojumu sniegšanas nodrošināšanai, saskaņā ar noslēgtajiem līgumiem, ir paredzēti avansa maksājumi, kā arī apmaksa par pakalpojuma sniegšanu tiek veikta regulāri visa budžeta gada garumā un gada ietvaros līguma summas var būt pat lielākas par miljonu </w:t>
            </w:r>
            <w:r w:rsidRPr="000E4321">
              <w:rPr>
                <w:i/>
              </w:rPr>
              <w:t>euro</w:t>
            </w:r>
            <w:r w:rsidRPr="000E4321">
              <w:t xml:space="preserve">. Ņemot vērā līdzšinējo pieredzi banku sektorā, nav izslēdzami riski, ka attiecīgajai bankai nonākot finanšu grūtībās, LM pārskaitītie finanšu līdzekļi NVO sniegto pakalpojumu nodrošināšanai, var tikt zaudēti, kas, savukārt, nozīmē sociālā pakalpojuma sniegšanas iespējamo pārtraukšanu un valsts līdzekļu zaudēšanu. Vienlaikus atzīmējam, ka līdzšinējā kārtība (NVO atsevišķi konti Valsts kasē) nodrošina arī pārskatāmāku finanšu izlietojuma uzraudzību, jo kontu izmanto tikai noslēgto līgumu izpildei. </w:t>
            </w:r>
          </w:p>
          <w:p w14:paraId="5608C408" w14:textId="61BCA74D" w:rsidR="00A05393" w:rsidRPr="000E4321" w:rsidRDefault="00A05393" w:rsidP="00A05393">
            <w:pPr>
              <w:pStyle w:val="naisc"/>
              <w:spacing w:before="0" w:after="0"/>
              <w:jc w:val="both"/>
            </w:pPr>
            <w:r w:rsidRPr="000E4321">
              <w:t xml:space="preserve">Līdz ar to lūdzam likumprojektā nenoteikt tik striktu normu, par visu NVO kontu Valsts kasē slēgšanu līdz 2024.gada 31.decembrim, attiecīgi paredzot iespēju izvērtēt katru pakalpojuma sniedzēju individuāli, piemēram, nosakot, ka minētā norma neattiecas uz pakalpojumiem, kuriem ir pastāvīgs raksturs, vai arī nosakot finanšu plūsmu apjomus gada laikā pie kura var tikt saglabāts atvērtais konts Valsts kasē. </w:t>
            </w:r>
          </w:p>
        </w:tc>
        <w:tc>
          <w:tcPr>
            <w:tcW w:w="3084" w:type="dxa"/>
            <w:tcBorders>
              <w:top w:val="single" w:sz="6" w:space="0" w:color="000000"/>
              <w:left w:val="single" w:sz="6" w:space="0" w:color="000000"/>
              <w:bottom w:val="single" w:sz="6" w:space="0" w:color="000000"/>
              <w:right w:val="single" w:sz="6" w:space="0" w:color="000000"/>
            </w:tcBorders>
          </w:tcPr>
          <w:p w14:paraId="0642ECBC" w14:textId="77777777" w:rsidR="00A05393" w:rsidRPr="000E4321" w:rsidRDefault="00A05393" w:rsidP="00A05393">
            <w:pPr>
              <w:pStyle w:val="naisc"/>
              <w:spacing w:before="0" w:after="0"/>
              <w:jc w:val="both"/>
              <w:rPr>
                <w:b/>
              </w:rPr>
            </w:pPr>
            <w:r w:rsidRPr="000E4321">
              <w:rPr>
                <w:b/>
              </w:rPr>
              <w:t>Ņemts vērā</w:t>
            </w:r>
          </w:p>
          <w:p w14:paraId="0DD5C0AE" w14:textId="77777777" w:rsidR="00A05393" w:rsidRPr="000E4321" w:rsidRDefault="00A05393" w:rsidP="00A05393">
            <w:pPr>
              <w:pStyle w:val="naisc"/>
              <w:spacing w:before="0" w:after="0"/>
              <w:jc w:val="both"/>
            </w:pPr>
            <w:r w:rsidRPr="000E4321">
              <w:t>Grozījums tiek izņemts no likumprojekta un virzīts atsevišķā likumprojektā.</w:t>
            </w:r>
          </w:p>
          <w:p w14:paraId="2955440B" w14:textId="70DB1121" w:rsidR="00A05393" w:rsidRPr="000E4321" w:rsidRDefault="00A05393" w:rsidP="00A05393">
            <w:pPr>
              <w:pStyle w:val="naisc"/>
              <w:spacing w:before="0" w:after="0"/>
              <w:jc w:val="both"/>
              <w:rPr>
                <w:b/>
              </w:rPr>
            </w:pPr>
          </w:p>
        </w:tc>
        <w:tc>
          <w:tcPr>
            <w:tcW w:w="3127" w:type="dxa"/>
            <w:tcBorders>
              <w:top w:val="single" w:sz="4" w:space="0" w:color="auto"/>
              <w:left w:val="single" w:sz="4" w:space="0" w:color="auto"/>
              <w:bottom w:val="single" w:sz="4" w:space="0" w:color="auto"/>
            </w:tcBorders>
          </w:tcPr>
          <w:p w14:paraId="47202B5E" w14:textId="77777777" w:rsidR="00A05393" w:rsidRPr="000E4321" w:rsidRDefault="00A05393" w:rsidP="00A05393">
            <w:pPr>
              <w:pStyle w:val="naisc"/>
              <w:spacing w:before="0" w:after="0"/>
              <w:jc w:val="both"/>
            </w:pPr>
          </w:p>
        </w:tc>
      </w:tr>
      <w:tr w:rsidR="00A05393" w:rsidRPr="000E4321" w14:paraId="797C856E" w14:textId="77777777" w:rsidTr="00840182">
        <w:tc>
          <w:tcPr>
            <w:tcW w:w="567" w:type="dxa"/>
            <w:tcBorders>
              <w:top w:val="single" w:sz="6" w:space="0" w:color="000000"/>
              <w:left w:val="single" w:sz="6" w:space="0" w:color="000000"/>
              <w:bottom w:val="single" w:sz="6" w:space="0" w:color="000000"/>
              <w:right w:val="single" w:sz="6" w:space="0" w:color="000000"/>
            </w:tcBorders>
          </w:tcPr>
          <w:p w14:paraId="21F78041" w14:textId="1012F532" w:rsidR="00A05393" w:rsidRPr="000E4321" w:rsidRDefault="00A05393" w:rsidP="00A05393">
            <w:pPr>
              <w:pStyle w:val="naisc"/>
              <w:spacing w:before="0" w:after="0"/>
              <w:jc w:val="left"/>
            </w:pPr>
            <w:r w:rsidRPr="000E4321">
              <w:t>15.</w:t>
            </w:r>
          </w:p>
        </w:tc>
        <w:tc>
          <w:tcPr>
            <w:tcW w:w="2686" w:type="dxa"/>
            <w:tcBorders>
              <w:top w:val="single" w:sz="6" w:space="0" w:color="000000"/>
              <w:left w:val="single" w:sz="6" w:space="0" w:color="000000"/>
              <w:bottom w:val="single" w:sz="6" w:space="0" w:color="000000"/>
              <w:right w:val="single" w:sz="6" w:space="0" w:color="000000"/>
            </w:tcBorders>
          </w:tcPr>
          <w:p w14:paraId="2F0007DE" w14:textId="77777777" w:rsidR="00A05393" w:rsidRPr="000E4321" w:rsidRDefault="00A05393" w:rsidP="00A05393">
            <w:pPr>
              <w:jc w:val="both"/>
            </w:pPr>
            <w:r w:rsidRPr="000E4321">
              <w:t xml:space="preserve">16.pants. Atbildība par vidēja termiņa budžeta </w:t>
            </w:r>
            <w:r w:rsidRPr="000E4321">
              <w:lastRenderedPageBreak/>
              <w:t>ietvara likuma projekta (ietvara likumprojektu paketes) un gadskārtējā valsts budžeta likuma projekta (budžeta likumprojektu paketes) sagatavošanu.</w:t>
            </w:r>
          </w:p>
          <w:p w14:paraId="2F3AA9B7" w14:textId="77777777" w:rsidR="00A05393" w:rsidRPr="000E4321" w:rsidRDefault="00A05393" w:rsidP="00A05393">
            <w:pPr>
              <w:jc w:val="both"/>
            </w:pPr>
            <w:r w:rsidRPr="000E4321">
              <w:t>(..)</w:t>
            </w:r>
          </w:p>
          <w:p w14:paraId="2EA823A7" w14:textId="4F8E1E69" w:rsidR="00A05393" w:rsidRPr="000E4321" w:rsidRDefault="00A05393" w:rsidP="00A05393">
            <w:pPr>
              <w:jc w:val="both"/>
            </w:pPr>
            <w:r w:rsidRPr="000E4321">
              <w:t>(1</w:t>
            </w:r>
            <w:r w:rsidRPr="000E4321">
              <w:rPr>
                <w:vertAlign w:val="superscript"/>
              </w:rPr>
              <w:t>1</w:t>
            </w:r>
            <w:r w:rsidRPr="000E4321">
              <w:t xml:space="preserve">) Finanšu ministrijai, veicot valsts budžeta izdevumu pārskatīšanu, kā arī sagatavojot vidēja termiņa budžeta ietvara likumprojektu paketi un gadskārtējā valsts budžeta likumprojektu paketi, ir tiesības pieprasīt un bez maksas saņemt no valsts un pašvaldību iestādēm dienesta uzdevumu izpildei nepieciešamo informāciju. Finanšu ministrija, sagatavojot vidēja termiņa budžeta ietvara likumprojektu paketi un gadskārtējā valsts budžeta likumprojektu paketi, lai nodrošinātu makroekonomiskās attīstības un vispārējās valdības budžetu prognožu izstrādi, ietekmes novērtējumu uz tautsaimniecību, </w:t>
            </w:r>
            <w:r w:rsidRPr="000E4321">
              <w:lastRenderedPageBreak/>
              <w:t>ieņēmumu politikas īstenošanu, kā arī valsts budžeta un pašvaldību budžetu ieņēmumu un izdevumu efektīvas un ekonomiskas izlietošanas kontroli, veic nodokļu maksātāju datu apstrādi, tai skaitā veic nodokļu maksātāju datu profilēšanu, izmantojot nodokļu administrācijas informāciju.</w:t>
            </w:r>
          </w:p>
        </w:tc>
        <w:tc>
          <w:tcPr>
            <w:tcW w:w="5562" w:type="dxa"/>
            <w:gridSpan w:val="2"/>
            <w:tcBorders>
              <w:top w:val="single" w:sz="6" w:space="0" w:color="000000"/>
              <w:left w:val="single" w:sz="6" w:space="0" w:color="000000"/>
              <w:bottom w:val="single" w:sz="6" w:space="0" w:color="000000"/>
              <w:right w:val="single" w:sz="6" w:space="0" w:color="000000"/>
            </w:tcBorders>
          </w:tcPr>
          <w:p w14:paraId="036C7EDC" w14:textId="77777777" w:rsidR="00A05393" w:rsidRPr="000E4321" w:rsidRDefault="00A05393" w:rsidP="00A05393">
            <w:pPr>
              <w:pStyle w:val="naisc"/>
              <w:spacing w:before="0" w:after="0"/>
              <w:jc w:val="both"/>
            </w:pPr>
            <w:r w:rsidRPr="000E4321">
              <w:rPr>
                <w:b/>
              </w:rPr>
              <w:lastRenderedPageBreak/>
              <w:t>Tieslietu ministrija (iebildums):</w:t>
            </w:r>
          </w:p>
          <w:p w14:paraId="744B7272" w14:textId="77777777" w:rsidR="00A05393" w:rsidRPr="000E4321" w:rsidRDefault="00A05393" w:rsidP="00A05393">
            <w:pPr>
              <w:pStyle w:val="naisc"/>
              <w:spacing w:before="0" w:after="0"/>
              <w:jc w:val="both"/>
              <w:rPr>
                <w:b/>
              </w:rPr>
            </w:pPr>
            <w:r w:rsidRPr="000E4321">
              <w:lastRenderedPageBreak/>
              <w:t>Projekta 5. pants paredz papildināt likuma 16. pantu ar jaunu 1.</w:t>
            </w:r>
            <w:r w:rsidRPr="000E4321">
              <w:rPr>
                <w:vertAlign w:val="superscript"/>
              </w:rPr>
              <w:t>1</w:t>
            </w:r>
            <w:r w:rsidRPr="000E4321">
              <w:t xml:space="preserve"> daļu. Projekta anotācijā par minēto grozījumu norādīts, ka dati tiek apstrādāti tādā veidā, lai tiktu nodrošināta to drošība, un netiktu pieļauta identifikācija, tie tiktu izmantoti tikai sākotnējiem nolūkiem un netiktu glabāti ilgāk, kā tas būtu nepieciešams. Tomēr ne projekts, ne tā anotācija nesatur norādes, precizējot personas datu veidu (anonimizācija vai pseidonimizācija vai statistikas dati), kādā dati tiek apstrādāti, lai netiktu pieļauta identifikācija. Tādejādi var būt interpretējams, ka pašreizējā projekta redakcija paredz liela apjoma fizisko personu personas datu apstrādi. Ievērojot minēto, ja, sagatavojot vidēja termiņa budžeta ietvara likumprojekta paketi, plānots apstrādāt fizisko personu datus (t.i., vajadzīgi dati par identificējamiem datu subjektiem (vai jau identificētām personām)), nepieciešams ievērot 2016. gada 27. aprīļa Eiropas Parlamenta un Padomes Regulas par fizisku personu aizsardzību attiecībā uz personas datu apstrādi un šādu datu brīvu apriti un ar ko atceļ Direktīvu 95/46/EK (Vispārīgā datu aizsardzības regula, turpmāk tekstā – Regula) 6. panta 3. punktā noteikto, proti, juridiskajā pamatā (attiecīgajā gadījumā – projektā) definēt un ietvert apstrādes nolūka ierobežojumus, glabāšanas termiņu, apjomu, garantijas u.c. minētajā punktā uzskaitītās sastāvdaļas. Vienlaicīgi norādāms, ka, ņemot vērā apstrādes raksturu, kontekstu, nolūkus un jo īpaši apjomu konkrētajā gadījumā, atbilstoši Regulas 35. panta 1. un 3. punktam būtiski ir veikt novērtējumu par ietekmi uz datu aizsardzību (NIDA). Informējam, ka Datu valsts inspekcijas mājas lapā https://www.dvi.gov.lv/lv/ pieejams informatīvs materiāls ar skaidrojumiem un piemēriem minētā novērtējuma veikšanai. Novērtējums atspoguļojams (iekļaujams) arī projekta anotācijā. Gadījumā, ja nav plānots (vajadzīgs) apstrādāt identificēto vai </w:t>
            </w:r>
            <w:r w:rsidRPr="000E4321">
              <w:lastRenderedPageBreak/>
              <w:t>identificējamo fizisko personu personas datus, bet gan statistikas (vai anonimizētus) datus, lūdzam papildināt projekta anotāciju, norādot, ka informācija, kas tiks apstrādāta, lai sagatavotu vidēja termiņa budžeta ietvara likumprojekta paketi, ir anonimizēti vai statistikas dati, un līdz ar to Regulas tvērums uz šādu informāciju nav attiecināms.</w:t>
            </w:r>
          </w:p>
        </w:tc>
        <w:tc>
          <w:tcPr>
            <w:tcW w:w="3084" w:type="dxa"/>
            <w:tcBorders>
              <w:top w:val="single" w:sz="6" w:space="0" w:color="000000"/>
              <w:left w:val="single" w:sz="6" w:space="0" w:color="000000"/>
              <w:bottom w:val="single" w:sz="6" w:space="0" w:color="000000"/>
              <w:right w:val="single" w:sz="6" w:space="0" w:color="000000"/>
            </w:tcBorders>
          </w:tcPr>
          <w:p w14:paraId="27BEEC01" w14:textId="77777777" w:rsidR="00A05393" w:rsidRPr="000E4321" w:rsidRDefault="00A05393" w:rsidP="00A05393">
            <w:pPr>
              <w:pStyle w:val="naisc"/>
              <w:spacing w:before="0" w:after="0"/>
              <w:jc w:val="both"/>
              <w:rPr>
                <w:b/>
              </w:rPr>
            </w:pPr>
            <w:r w:rsidRPr="000E4321">
              <w:rPr>
                <w:b/>
              </w:rPr>
              <w:lastRenderedPageBreak/>
              <w:t>Ņemts vērā</w:t>
            </w:r>
          </w:p>
          <w:p w14:paraId="0D7265EB" w14:textId="67392021" w:rsidR="00A05393" w:rsidRPr="000E4321" w:rsidRDefault="00A05393" w:rsidP="00A05393">
            <w:pPr>
              <w:pStyle w:val="naisc"/>
              <w:spacing w:before="0" w:after="0"/>
              <w:jc w:val="both"/>
            </w:pPr>
            <w:r w:rsidRPr="000E4321">
              <w:t>Papildināta anotācija</w:t>
            </w:r>
          </w:p>
        </w:tc>
        <w:tc>
          <w:tcPr>
            <w:tcW w:w="3127" w:type="dxa"/>
            <w:tcBorders>
              <w:top w:val="single" w:sz="4" w:space="0" w:color="auto"/>
              <w:left w:val="single" w:sz="4" w:space="0" w:color="auto"/>
              <w:bottom w:val="single" w:sz="4" w:space="0" w:color="auto"/>
            </w:tcBorders>
          </w:tcPr>
          <w:p w14:paraId="3F2D0355" w14:textId="77777777" w:rsidR="00A05393" w:rsidRPr="000E4321" w:rsidRDefault="00A05393" w:rsidP="00A05393">
            <w:pPr>
              <w:pStyle w:val="naisc"/>
              <w:spacing w:before="0" w:after="0"/>
              <w:jc w:val="both"/>
            </w:pPr>
            <w:r w:rsidRPr="000E4321">
              <w:t>Anotācija:</w:t>
            </w:r>
          </w:p>
          <w:p w14:paraId="31D41236" w14:textId="051CA9E6" w:rsidR="00A05393" w:rsidRPr="000E4321" w:rsidRDefault="00A05393" w:rsidP="00A05393">
            <w:pPr>
              <w:jc w:val="both"/>
            </w:pPr>
            <w:r w:rsidRPr="000E4321">
              <w:lastRenderedPageBreak/>
              <w:t xml:space="preserve">Vienlaikus tiktu ņemti vērā iespējamie riski attiecībā uz datu subjektu tiesībām un likumiskajām interesēm. </w:t>
            </w:r>
            <w:r w:rsidRPr="000E4321">
              <w:rPr>
                <w:u w:val="single"/>
              </w:rPr>
              <w:t xml:space="preserve">Informācija, kas tiks apstrādāta, ir anonimizēti vai statistikas dati. </w:t>
            </w:r>
            <w:r w:rsidRPr="000E4321">
              <w:t>Dati tiktu izmantoti analītiskiem, novērtējuma, prognožu sagatavošanai ar mērķi sagatavot ieņēmumu un izdevumu plānu valsts funkciju īstenošanai, tādējādi nodrošinot Satversmē, likumos un Latvijai saistošajos starptautiskajos līgumos garantētās pamattiesības.</w:t>
            </w:r>
          </w:p>
          <w:p w14:paraId="78BCAE6D" w14:textId="79B2106C" w:rsidR="00A05393" w:rsidRPr="000E4321" w:rsidRDefault="00A05393" w:rsidP="00A05393">
            <w:pPr>
              <w:pStyle w:val="naisc"/>
              <w:spacing w:before="0" w:after="0"/>
              <w:jc w:val="both"/>
            </w:pPr>
          </w:p>
        </w:tc>
      </w:tr>
      <w:tr w:rsidR="00A05393" w:rsidRPr="000E4321" w14:paraId="2EB8FDEE" w14:textId="77777777" w:rsidTr="00840182">
        <w:tc>
          <w:tcPr>
            <w:tcW w:w="567" w:type="dxa"/>
            <w:tcBorders>
              <w:top w:val="single" w:sz="6" w:space="0" w:color="000000"/>
              <w:left w:val="single" w:sz="6" w:space="0" w:color="000000"/>
              <w:bottom w:val="single" w:sz="6" w:space="0" w:color="000000"/>
              <w:right w:val="single" w:sz="6" w:space="0" w:color="000000"/>
            </w:tcBorders>
          </w:tcPr>
          <w:p w14:paraId="3917B44A" w14:textId="3B1DA7CC" w:rsidR="00A05393" w:rsidRPr="000E4321" w:rsidRDefault="00A05393" w:rsidP="00A05393">
            <w:pPr>
              <w:pStyle w:val="naisc"/>
              <w:spacing w:before="0" w:after="0"/>
              <w:jc w:val="left"/>
            </w:pPr>
            <w:r w:rsidRPr="000E4321">
              <w:lastRenderedPageBreak/>
              <w:t>16.</w:t>
            </w:r>
          </w:p>
        </w:tc>
        <w:tc>
          <w:tcPr>
            <w:tcW w:w="2686" w:type="dxa"/>
            <w:tcBorders>
              <w:top w:val="single" w:sz="6" w:space="0" w:color="000000"/>
              <w:left w:val="single" w:sz="6" w:space="0" w:color="000000"/>
              <w:bottom w:val="single" w:sz="6" w:space="0" w:color="000000"/>
              <w:right w:val="single" w:sz="6" w:space="0" w:color="000000"/>
            </w:tcBorders>
          </w:tcPr>
          <w:p w14:paraId="5D6C40F0" w14:textId="77777777" w:rsidR="00A05393" w:rsidRPr="000E4321" w:rsidRDefault="00A05393" w:rsidP="00A05393">
            <w:pPr>
              <w:jc w:val="both"/>
            </w:pPr>
          </w:p>
        </w:tc>
        <w:tc>
          <w:tcPr>
            <w:tcW w:w="5562" w:type="dxa"/>
            <w:gridSpan w:val="2"/>
            <w:tcBorders>
              <w:top w:val="single" w:sz="6" w:space="0" w:color="000000"/>
              <w:left w:val="single" w:sz="6" w:space="0" w:color="000000"/>
              <w:bottom w:val="single" w:sz="6" w:space="0" w:color="000000"/>
              <w:right w:val="single" w:sz="6" w:space="0" w:color="000000"/>
            </w:tcBorders>
          </w:tcPr>
          <w:p w14:paraId="1D043106" w14:textId="0E9ECE35" w:rsidR="00A05393" w:rsidRPr="000E4321" w:rsidRDefault="00A05393" w:rsidP="00A05393">
            <w:pPr>
              <w:pStyle w:val="naisc"/>
              <w:spacing w:before="0" w:after="0"/>
              <w:jc w:val="both"/>
            </w:pPr>
            <w:r w:rsidRPr="000E4321">
              <w:rPr>
                <w:b/>
              </w:rPr>
              <w:t>Valsts kanceleja (iebildums):</w:t>
            </w:r>
          </w:p>
          <w:p w14:paraId="44D973FE" w14:textId="77777777" w:rsidR="00A05393" w:rsidRPr="000E4321" w:rsidRDefault="00A05393" w:rsidP="00A05393">
            <w:pPr>
              <w:pStyle w:val="naisc"/>
              <w:spacing w:before="0" w:after="0"/>
              <w:jc w:val="both"/>
            </w:pPr>
            <w:r w:rsidRPr="000E4321">
              <w:t>Ņemot vērā, ka likumprojekta mērķis ir valsts un pašvaldību budžetu plānošanas, sagatavošanas un izpildes uzskaites procesu pilnveidošana, tos racionalizējot, efektivizējot, mazinot administratīvo slogu un tādējādi novirzot vairāk cilvēkresursus analītiskajam darbam, kā arī veicamo izmaiņu pietiekamo detalizācijas pakāpi, aicinām pilnveidot projektu un aizpildīt anotācijas II. sadaļas 3. punktu, veicot administratīvo izmaksu samazinājuma monetāro novērtējumu katrai mērķa grupai. Pašreizējā redakcijā nav neviena aprēķina, kas veido kaut aptuveno priekšstatu par panāktā ietaupījuma apmēru.</w:t>
            </w:r>
          </w:p>
          <w:p w14:paraId="6543B5AE" w14:textId="77777777" w:rsidR="00A05393" w:rsidRPr="000E4321" w:rsidRDefault="00A05393" w:rsidP="00A05393">
            <w:pPr>
              <w:pStyle w:val="naisc"/>
              <w:spacing w:before="0" w:after="0"/>
              <w:jc w:val="both"/>
            </w:pPr>
            <w:r w:rsidRPr="000E4321">
              <w:t xml:space="preserve">Ņemot vērā lielu veicamo izmaiņu apjomu, kā arī projekta anotācijā pausto mērķi novirzīt ietaupītos resursus analītiskajam darbam, izmaksu samazinājuma novērtējums būtu jāveic par visām izmaiņām procesos, kas veido izmaksu ietaupījumu, un visām mērķa grupām. Atsevišķos gadījumos šādu aprēķinu veikšana nav iespējama, taču virknei likumprojektā paredzēto izmaiņu šāds aprēķins ir iespējams, piemēram: </w:t>
            </w:r>
          </w:p>
          <w:p w14:paraId="719DCF51" w14:textId="77777777" w:rsidR="00A05393" w:rsidRPr="000E4321" w:rsidRDefault="00A05393" w:rsidP="00A05393">
            <w:pPr>
              <w:pStyle w:val="naisc"/>
              <w:spacing w:before="0" w:after="0"/>
              <w:jc w:val="both"/>
            </w:pPr>
            <w:r w:rsidRPr="000E4321">
              <w:t xml:space="preserve">• atteikšanās no jaunu kontu atvēršanas un apkalpošanas nevalstiskām organizācijām (biedrībām, privātiem </w:t>
            </w:r>
            <w:r w:rsidRPr="000E4321">
              <w:lastRenderedPageBreak/>
              <w:t>nodibinājumiem, reliģiskām organizācijām u.c.) un pilnībā privātām kapitālsabiedrībām (ietaupījumu var aprēķināt gan klientiem, gan Valsts kasei). Turklāt no anotācijas izriet, ka šādi aprēķini ir tikuši veikti (anotācijas 11.-12.lpp).</w:t>
            </w:r>
          </w:p>
          <w:p w14:paraId="4E2740F9" w14:textId="77777777" w:rsidR="00A05393" w:rsidRPr="000E4321" w:rsidRDefault="00A05393" w:rsidP="00A05393">
            <w:pPr>
              <w:pStyle w:val="naisc"/>
              <w:spacing w:before="0" w:after="0"/>
              <w:jc w:val="both"/>
              <w:rPr>
                <w:b/>
              </w:rPr>
            </w:pPr>
            <w:r w:rsidRPr="000E4321">
              <w:t>• Valsts kases e-pakalpojuma attīstība, pilnveidojot valsts aizdevuma apkalpošanas procesu, tai skaitā aizdevuma atmaksas procesu. Risinājums nodrošina procesa automatizāciju un samazina procesa administratīvo ietilpību, līdz ar to, ir iespējams monetāri novērtēt sasniedzamos ietaupījumus (anotācijas 18.lpp).</w:t>
            </w:r>
          </w:p>
        </w:tc>
        <w:tc>
          <w:tcPr>
            <w:tcW w:w="3084" w:type="dxa"/>
            <w:tcBorders>
              <w:top w:val="single" w:sz="6" w:space="0" w:color="000000"/>
              <w:left w:val="single" w:sz="6" w:space="0" w:color="000000"/>
              <w:bottom w:val="single" w:sz="6" w:space="0" w:color="000000"/>
              <w:right w:val="single" w:sz="6" w:space="0" w:color="000000"/>
            </w:tcBorders>
          </w:tcPr>
          <w:p w14:paraId="3596D7FE" w14:textId="77777777" w:rsidR="00A05393" w:rsidRPr="000E4321" w:rsidRDefault="00A05393" w:rsidP="00A05393">
            <w:pPr>
              <w:pStyle w:val="naisc"/>
              <w:spacing w:before="0" w:after="0"/>
              <w:jc w:val="both"/>
              <w:rPr>
                <w:b/>
              </w:rPr>
            </w:pPr>
            <w:r w:rsidRPr="000E4321">
              <w:rPr>
                <w:b/>
              </w:rPr>
              <w:lastRenderedPageBreak/>
              <w:t>Ņemts vērā</w:t>
            </w:r>
          </w:p>
          <w:p w14:paraId="443C8EA5" w14:textId="77777777" w:rsidR="00A05393" w:rsidRPr="000E4321" w:rsidRDefault="00A05393" w:rsidP="00A05393">
            <w:pPr>
              <w:pStyle w:val="naisc"/>
              <w:spacing w:before="0" w:after="0"/>
              <w:jc w:val="both"/>
            </w:pPr>
          </w:p>
          <w:p w14:paraId="698D83D3" w14:textId="77777777" w:rsidR="00A05393" w:rsidRPr="000E4321" w:rsidRDefault="00A05393" w:rsidP="00A05393">
            <w:pPr>
              <w:pStyle w:val="naisc"/>
              <w:spacing w:before="0" w:after="0"/>
              <w:jc w:val="both"/>
            </w:pPr>
            <w:r w:rsidRPr="000E4321">
              <w:t>Precizēta anotācija</w:t>
            </w:r>
          </w:p>
          <w:p w14:paraId="1CC8ABB7" w14:textId="789C778E" w:rsidR="00A05393" w:rsidRPr="000E4321" w:rsidRDefault="00A05393" w:rsidP="00A05393">
            <w:pPr>
              <w:pStyle w:val="naisc"/>
              <w:spacing w:before="0" w:after="0"/>
              <w:jc w:val="both"/>
            </w:pPr>
          </w:p>
          <w:p w14:paraId="37EFDFBE" w14:textId="7D2B1ED9" w:rsidR="00A05393" w:rsidRPr="000E4321" w:rsidRDefault="00A05393" w:rsidP="00A05393">
            <w:pPr>
              <w:pStyle w:val="naisc"/>
              <w:spacing w:before="0" w:after="0"/>
              <w:jc w:val="both"/>
            </w:pPr>
            <w:r w:rsidRPr="000E4321">
              <w:t>Vienlaikus daļa no ierosinātajiem grozījumiem (atteikšanās no jaunu kontu atvēršanas un apkalpošanas nevalstiskām organizācijām un  pilnībā privātām kapitālsabiedrībām) tiek izņemta no likumprojekta un virzīta atsevišķā likumprojektā.</w:t>
            </w:r>
          </w:p>
          <w:p w14:paraId="25A38064" w14:textId="7EA81416" w:rsidR="00A05393" w:rsidRPr="000E4321" w:rsidRDefault="00A05393" w:rsidP="00A05393">
            <w:pPr>
              <w:pStyle w:val="naisc"/>
              <w:spacing w:before="0" w:after="0"/>
              <w:jc w:val="both"/>
            </w:pPr>
          </w:p>
          <w:p w14:paraId="52F475AF" w14:textId="0781E206" w:rsidR="00A05393" w:rsidRPr="000E4321" w:rsidRDefault="00A05393" w:rsidP="00A05393">
            <w:pPr>
              <w:pStyle w:val="naisc"/>
              <w:spacing w:before="0" w:after="0"/>
              <w:jc w:val="both"/>
              <w:rPr>
                <w:b/>
              </w:rPr>
            </w:pPr>
          </w:p>
        </w:tc>
        <w:tc>
          <w:tcPr>
            <w:tcW w:w="3127" w:type="dxa"/>
            <w:tcBorders>
              <w:top w:val="single" w:sz="4" w:space="0" w:color="auto"/>
              <w:left w:val="single" w:sz="4" w:space="0" w:color="auto"/>
              <w:bottom w:val="single" w:sz="4" w:space="0" w:color="auto"/>
            </w:tcBorders>
            <w:shd w:val="clear" w:color="auto" w:fill="FFFFFF" w:themeFill="background1"/>
          </w:tcPr>
          <w:p w14:paraId="64735278" w14:textId="0ADCF883" w:rsidR="00A05393" w:rsidRPr="000E4321" w:rsidRDefault="00A05393" w:rsidP="00A05393">
            <w:pPr>
              <w:pStyle w:val="naisc"/>
              <w:spacing w:before="0" w:after="0"/>
              <w:jc w:val="both"/>
            </w:pPr>
            <w:r w:rsidRPr="000E4321">
              <w:t>Precizēta anotācija.</w:t>
            </w:r>
          </w:p>
          <w:p w14:paraId="0753A3A1" w14:textId="2848FEC4" w:rsidR="00A05393" w:rsidRPr="000E4321" w:rsidRDefault="00A05393" w:rsidP="00A05393">
            <w:pPr>
              <w:pStyle w:val="naisc"/>
              <w:spacing w:before="0" w:after="0"/>
              <w:jc w:val="both"/>
            </w:pPr>
            <w:r w:rsidRPr="000E4321">
              <w:t>“</w:t>
            </w:r>
            <w:r w:rsidRPr="000E4321">
              <w:rPr>
                <w:u w:val="single"/>
              </w:rPr>
              <w:t>Risinājums nodrošina procesa automatizāciju un samazina procesa administratīvo ietilpību, kas varētu būt precīzi nosakāma vidējā termiņā, jo ieviešot jaunu procesa izpildi sākotnēji nepieciešama procesa administratīvā pārstrukturizācija, kā arī pieaug konsultatīvais darbs.</w:t>
            </w:r>
            <w:r w:rsidRPr="000E4321">
              <w:t>”</w:t>
            </w:r>
          </w:p>
        </w:tc>
      </w:tr>
      <w:tr w:rsidR="00A05393" w:rsidRPr="000E4321" w14:paraId="1CBCA653" w14:textId="77777777" w:rsidTr="00840182">
        <w:tc>
          <w:tcPr>
            <w:tcW w:w="567" w:type="dxa"/>
            <w:tcBorders>
              <w:top w:val="single" w:sz="6" w:space="0" w:color="000000"/>
              <w:left w:val="single" w:sz="6" w:space="0" w:color="000000"/>
              <w:bottom w:val="single" w:sz="6" w:space="0" w:color="000000"/>
              <w:right w:val="single" w:sz="6" w:space="0" w:color="000000"/>
            </w:tcBorders>
          </w:tcPr>
          <w:p w14:paraId="09F24DE9" w14:textId="1CD28503" w:rsidR="00A05393" w:rsidRPr="000E4321" w:rsidRDefault="00A05393" w:rsidP="00A05393">
            <w:pPr>
              <w:pStyle w:val="naisc"/>
              <w:spacing w:before="0" w:after="0"/>
              <w:jc w:val="left"/>
            </w:pPr>
            <w:r w:rsidRPr="000E4321">
              <w:t>17.</w:t>
            </w:r>
          </w:p>
        </w:tc>
        <w:tc>
          <w:tcPr>
            <w:tcW w:w="2686" w:type="dxa"/>
            <w:tcBorders>
              <w:top w:val="single" w:sz="6" w:space="0" w:color="000000"/>
              <w:left w:val="single" w:sz="6" w:space="0" w:color="000000"/>
              <w:bottom w:val="single" w:sz="6" w:space="0" w:color="000000"/>
              <w:right w:val="single" w:sz="6" w:space="0" w:color="000000"/>
            </w:tcBorders>
          </w:tcPr>
          <w:p w14:paraId="2FA38AD5" w14:textId="77777777" w:rsidR="00A05393" w:rsidRPr="000E4321" w:rsidRDefault="00A05393" w:rsidP="00A05393">
            <w:pPr>
              <w:jc w:val="both"/>
            </w:pPr>
          </w:p>
        </w:tc>
        <w:tc>
          <w:tcPr>
            <w:tcW w:w="5562" w:type="dxa"/>
            <w:gridSpan w:val="2"/>
            <w:tcBorders>
              <w:top w:val="single" w:sz="6" w:space="0" w:color="000000"/>
              <w:left w:val="single" w:sz="6" w:space="0" w:color="000000"/>
              <w:bottom w:val="single" w:sz="6" w:space="0" w:color="000000"/>
              <w:right w:val="single" w:sz="6" w:space="0" w:color="000000"/>
            </w:tcBorders>
          </w:tcPr>
          <w:p w14:paraId="3011E725" w14:textId="56D11A6D" w:rsidR="00A05393" w:rsidRPr="000E4321" w:rsidRDefault="00A05393" w:rsidP="00A05393">
            <w:pPr>
              <w:pStyle w:val="naisc"/>
              <w:spacing w:before="0" w:after="0"/>
              <w:jc w:val="both"/>
            </w:pPr>
            <w:r w:rsidRPr="000E4321">
              <w:rPr>
                <w:b/>
              </w:rPr>
              <w:t>Valsts kanceleja (iebildums):</w:t>
            </w:r>
          </w:p>
          <w:p w14:paraId="39DD4125" w14:textId="77777777" w:rsidR="00A05393" w:rsidRPr="000E4321" w:rsidRDefault="00A05393" w:rsidP="00A05393">
            <w:pPr>
              <w:pStyle w:val="naisc"/>
              <w:spacing w:before="0" w:after="0"/>
              <w:jc w:val="both"/>
            </w:pPr>
            <w:r w:rsidRPr="000E4321">
              <w:t>Ņemot vērā, ka likumprojekts tieši ietekmē biedrību un nodibinājumu, kas ir sabiedrības daļa, tiesības, lūdzam:</w:t>
            </w:r>
          </w:p>
          <w:p w14:paraId="781905F3" w14:textId="77777777" w:rsidR="00A05393" w:rsidRPr="000E4321" w:rsidRDefault="00A05393" w:rsidP="00A05393">
            <w:pPr>
              <w:pStyle w:val="naisc"/>
              <w:spacing w:before="0" w:after="0"/>
              <w:jc w:val="both"/>
            </w:pPr>
            <w:r w:rsidRPr="000E4321">
              <w:t>1. precizēt VI. sadaļas 1.punkta pirmo rindkopu, norādot uz ietekmi uz biedrību un nodibinājumu tiesību izmaiņām (kontu atvēršana);</w:t>
            </w:r>
          </w:p>
          <w:p w14:paraId="73062F7D" w14:textId="77777777" w:rsidR="00A05393" w:rsidRPr="000E4321" w:rsidRDefault="00A05393" w:rsidP="00A05393">
            <w:pPr>
              <w:pStyle w:val="naisc"/>
              <w:spacing w:before="0" w:after="0"/>
              <w:jc w:val="both"/>
              <w:rPr>
                <w:b/>
              </w:rPr>
            </w:pPr>
            <w:r w:rsidRPr="000E4321">
              <w:t>2. aizpildīt anotācijas VI. sadaļas 3.punktu atbilstoši 2009.gada 15.decembra Ministru kabineta instrukcijas Nr. 19 "Tiesību akta projekta sākotnējās ietekmes izvērtēšanas kārtība" 62.punktam, norādot sabiedrības pārstāvju atbalsta pakāpi projektam (piemēram, atbalsta, neatbalsta vai daļēji atbalsta), sabiedrības pārstāvju izteiktos būtiskākos priekšlikumus projekta izstrādes procesā, kā arī to, vai un kādā veidā sabiedrības pārstāvju priekšlikumi ir ņemti vērā projekta izstrādes procesā. Ja sabiedrības pārstāvju priekšlikumi nav tikuši ņemti vērā, norādīt, kādēļ.</w:t>
            </w:r>
          </w:p>
        </w:tc>
        <w:tc>
          <w:tcPr>
            <w:tcW w:w="3084" w:type="dxa"/>
            <w:tcBorders>
              <w:top w:val="single" w:sz="6" w:space="0" w:color="000000"/>
              <w:left w:val="single" w:sz="6" w:space="0" w:color="000000"/>
              <w:bottom w:val="single" w:sz="6" w:space="0" w:color="000000"/>
              <w:right w:val="single" w:sz="6" w:space="0" w:color="000000"/>
            </w:tcBorders>
          </w:tcPr>
          <w:p w14:paraId="0758939F" w14:textId="77777777" w:rsidR="00A05393" w:rsidRPr="000E4321" w:rsidRDefault="00A05393" w:rsidP="00A05393">
            <w:pPr>
              <w:pStyle w:val="naisc"/>
              <w:spacing w:before="0" w:after="0"/>
              <w:jc w:val="both"/>
              <w:rPr>
                <w:b/>
              </w:rPr>
            </w:pPr>
            <w:r w:rsidRPr="000E4321">
              <w:rPr>
                <w:b/>
              </w:rPr>
              <w:t>Ņemts vērā</w:t>
            </w:r>
          </w:p>
          <w:p w14:paraId="3F7F6C66" w14:textId="0B3E1A3C" w:rsidR="00A05393" w:rsidRPr="000E4321" w:rsidRDefault="00A05393" w:rsidP="00A05393">
            <w:pPr>
              <w:pStyle w:val="naisc"/>
              <w:spacing w:before="0" w:after="0"/>
              <w:jc w:val="both"/>
            </w:pPr>
            <w:r w:rsidRPr="000E4321">
              <w:t>Papildināta anotācijas sadaļa par Sabiedrības līdzdalības rezultātiem. Sabiedrības pārstāvji varēja līdzdarboties likumprojekta izstrādē, rakstveidā sniedzot viedokļus par projektu, kas bija publicēts Finanšu ministrijas tīmekļvietnē un Ministru kabineta tīmekļvietnē. No sabiedrības pārstāvjiem netika saņemti nekādi viedokļi.</w:t>
            </w:r>
          </w:p>
          <w:p w14:paraId="6EB7A1BD" w14:textId="77777777" w:rsidR="00A05393" w:rsidRPr="000E4321" w:rsidRDefault="00A05393" w:rsidP="00A05393">
            <w:pPr>
              <w:pStyle w:val="naisc"/>
              <w:spacing w:before="0" w:after="0"/>
              <w:jc w:val="both"/>
            </w:pPr>
          </w:p>
          <w:p w14:paraId="4F58C41F" w14:textId="542957D3" w:rsidR="00A05393" w:rsidRPr="000E4321" w:rsidRDefault="00A05393" w:rsidP="00A05393">
            <w:pPr>
              <w:pStyle w:val="naisc"/>
              <w:spacing w:before="0" w:after="0"/>
              <w:jc w:val="both"/>
            </w:pPr>
            <w:r w:rsidRPr="000E4321">
              <w:t>Vienlaikus daļa no ierosinātajiem grozījumiem (atteikšanās no jaunu kontu atvēršanas un apkalpošanas nevalstiskām organizācijām un  pilnībā privātām kapitālsabiedrībām) tiek izņemta no likumprojekta un virzīta atsevišķā likumprojektā.</w:t>
            </w:r>
          </w:p>
        </w:tc>
        <w:tc>
          <w:tcPr>
            <w:tcW w:w="3127" w:type="dxa"/>
            <w:tcBorders>
              <w:top w:val="single" w:sz="4" w:space="0" w:color="auto"/>
              <w:left w:val="single" w:sz="4" w:space="0" w:color="auto"/>
              <w:bottom w:val="single" w:sz="4" w:space="0" w:color="auto"/>
            </w:tcBorders>
          </w:tcPr>
          <w:p w14:paraId="2BC14C4C" w14:textId="77777777" w:rsidR="00A05393" w:rsidRPr="000E4321" w:rsidRDefault="00A05393" w:rsidP="00A05393">
            <w:pPr>
              <w:pStyle w:val="naisc"/>
              <w:spacing w:before="0" w:after="0"/>
              <w:jc w:val="both"/>
            </w:pPr>
            <w:r w:rsidRPr="000E4321">
              <w:t>Anotācija:</w:t>
            </w:r>
          </w:p>
          <w:p w14:paraId="56E936F4" w14:textId="15121774" w:rsidR="00A05393" w:rsidRPr="000E4321" w:rsidRDefault="00A05393" w:rsidP="00A05393">
            <w:pPr>
              <w:pStyle w:val="naisc"/>
              <w:spacing w:before="0" w:after="0"/>
              <w:jc w:val="both"/>
            </w:pPr>
            <w:r w:rsidRPr="000E4321">
              <w:t>“</w:t>
            </w:r>
            <w:r w:rsidRPr="000E4321">
              <w:rPr>
                <w:u w:val="single"/>
              </w:rPr>
              <w:t>Sabiedrības pārstāvji varēja līdzdarboties likumprojekta izstrādē, rakstveidā sniedzot viedokļus par projektu, kas bija publicēts Finanšu ministrijas tīmekļvietnē un Ministru kabineta tīmekļvietnē. No sabiedrības pārstāvjiem netika saņemti nekādi viedokļi.</w:t>
            </w:r>
            <w:r w:rsidRPr="000E4321">
              <w:t>”</w:t>
            </w:r>
          </w:p>
          <w:p w14:paraId="1B68C0E4" w14:textId="5E048118" w:rsidR="00A05393" w:rsidRPr="000E4321" w:rsidRDefault="00A05393" w:rsidP="00A05393">
            <w:pPr>
              <w:pStyle w:val="naisc"/>
              <w:spacing w:before="0" w:after="0"/>
              <w:jc w:val="both"/>
            </w:pPr>
          </w:p>
        </w:tc>
      </w:tr>
      <w:tr w:rsidR="00A05393" w:rsidRPr="000E4321" w14:paraId="59AE2DB9" w14:textId="77777777" w:rsidTr="00840182">
        <w:tc>
          <w:tcPr>
            <w:tcW w:w="567" w:type="dxa"/>
            <w:tcBorders>
              <w:top w:val="single" w:sz="6" w:space="0" w:color="000000"/>
              <w:left w:val="single" w:sz="6" w:space="0" w:color="000000"/>
              <w:bottom w:val="single" w:sz="6" w:space="0" w:color="000000"/>
              <w:right w:val="single" w:sz="6" w:space="0" w:color="000000"/>
            </w:tcBorders>
          </w:tcPr>
          <w:p w14:paraId="0C457A2C" w14:textId="4D3F4035" w:rsidR="00A05393" w:rsidRPr="000E4321" w:rsidRDefault="00A05393" w:rsidP="00A05393">
            <w:pPr>
              <w:pStyle w:val="naisc"/>
              <w:spacing w:before="0" w:after="0"/>
              <w:jc w:val="left"/>
            </w:pPr>
            <w:r w:rsidRPr="000E4321">
              <w:lastRenderedPageBreak/>
              <w:t>18.</w:t>
            </w:r>
          </w:p>
        </w:tc>
        <w:tc>
          <w:tcPr>
            <w:tcW w:w="2686" w:type="dxa"/>
            <w:tcBorders>
              <w:top w:val="single" w:sz="6" w:space="0" w:color="000000"/>
              <w:left w:val="single" w:sz="6" w:space="0" w:color="000000"/>
              <w:bottom w:val="single" w:sz="6" w:space="0" w:color="000000"/>
              <w:right w:val="single" w:sz="6" w:space="0" w:color="000000"/>
            </w:tcBorders>
          </w:tcPr>
          <w:p w14:paraId="606CB06A" w14:textId="77777777" w:rsidR="00A05393" w:rsidRPr="000E4321" w:rsidRDefault="00A05393" w:rsidP="00A05393">
            <w:pPr>
              <w:jc w:val="both"/>
            </w:pPr>
            <w:r w:rsidRPr="000E4321">
              <w:t>41. pants. Budžeta tiesības.</w:t>
            </w:r>
          </w:p>
          <w:p w14:paraId="44B8C8D2" w14:textId="77777777" w:rsidR="00A05393" w:rsidRPr="000E4321" w:rsidRDefault="00A05393" w:rsidP="00A05393">
            <w:pPr>
              <w:jc w:val="both"/>
            </w:pPr>
            <w:r w:rsidRPr="000E4321">
              <w:t>(..)</w:t>
            </w:r>
          </w:p>
          <w:p w14:paraId="7FFCF2DB" w14:textId="77777777" w:rsidR="00A05393" w:rsidRPr="000E4321" w:rsidRDefault="00A05393" w:rsidP="00A05393">
            <w:pPr>
              <w:jc w:val="both"/>
            </w:pPr>
            <w:r w:rsidRPr="000E4321">
              <w:t>(2</w:t>
            </w:r>
            <w:r w:rsidRPr="000E4321">
              <w:rPr>
                <w:vertAlign w:val="superscript"/>
              </w:rPr>
              <w:t>1</w:t>
            </w:r>
            <w:r w:rsidRPr="000E4321">
              <w:t>) Pašvaldības gadskārtējam budžetam ir jābūt apstiprinātam pašvaldības Domē ne vēlāk kā divu mēnešu laikā pēc gadskārtējā valsts budžeta likuma izsludināšanas.</w:t>
            </w:r>
          </w:p>
        </w:tc>
        <w:tc>
          <w:tcPr>
            <w:tcW w:w="5562" w:type="dxa"/>
            <w:gridSpan w:val="2"/>
            <w:tcBorders>
              <w:top w:val="single" w:sz="6" w:space="0" w:color="000000"/>
              <w:left w:val="single" w:sz="6" w:space="0" w:color="000000"/>
              <w:bottom w:val="single" w:sz="6" w:space="0" w:color="000000"/>
              <w:right w:val="single" w:sz="6" w:space="0" w:color="000000"/>
            </w:tcBorders>
          </w:tcPr>
          <w:p w14:paraId="25FDC235" w14:textId="77777777" w:rsidR="00A05393" w:rsidRPr="000E4321" w:rsidRDefault="00A05393" w:rsidP="00A05393">
            <w:pPr>
              <w:pStyle w:val="naisc"/>
              <w:spacing w:before="0" w:after="0"/>
              <w:jc w:val="both"/>
            </w:pPr>
            <w:r w:rsidRPr="000E4321">
              <w:rPr>
                <w:b/>
              </w:rPr>
              <w:t>Latvijas Pašvaldību savienība (iebildums):</w:t>
            </w:r>
          </w:p>
          <w:p w14:paraId="13102E78" w14:textId="77777777" w:rsidR="00A05393" w:rsidRPr="000E4321" w:rsidRDefault="00A05393" w:rsidP="00A05393">
            <w:pPr>
              <w:pStyle w:val="naisc"/>
              <w:spacing w:before="0" w:after="0"/>
              <w:jc w:val="both"/>
            </w:pPr>
            <w:r w:rsidRPr="000E4321">
              <w:t>Likumprojekta 17.pants paredz papildināt “Likuma par budžetu un finanšu vadību” (LBFV) 41.pantu ar 2.</w:t>
            </w:r>
            <w:r w:rsidRPr="000E4321">
              <w:rPr>
                <w:vertAlign w:val="superscript"/>
              </w:rPr>
              <w:t>1</w:t>
            </w:r>
            <w:r w:rsidRPr="000E4321">
              <w:t xml:space="preserve"> daļu šādā redakcijā: </w:t>
            </w:r>
            <w:r w:rsidRPr="000E4321">
              <w:rPr>
                <w:i/>
              </w:rPr>
              <w:t>“(2</w:t>
            </w:r>
            <w:r w:rsidRPr="000E4321">
              <w:rPr>
                <w:i/>
                <w:vertAlign w:val="superscript"/>
              </w:rPr>
              <w:t>1</w:t>
            </w:r>
            <w:r w:rsidRPr="000E4321">
              <w:rPr>
                <w:i/>
              </w:rPr>
              <w:t>) Pašvaldības gadskārtējam budžetam ir jābūt apstiprinātam pašvaldības Domē ne vēlāk kā divu mēnešu laikā pēc gadskārtējā valsts budžeta likuma izsludināšanas”.</w:t>
            </w:r>
          </w:p>
          <w:p w14:paraId="6ED36272" w14:textId="77777777" w:rsidR="00A05393" w:rsidRPr="000E4321" w:rsidRDefault="00A05393" w:rsidP="00A05393">
            <w:pPr>
              <w:pStyle w:val="naisc"/>
              <w:spacing w:before="0" w:after="0"/>
              <w:jc w:val="both"/>
              <w:rPr>
                <w:b/>
              </w:rPr>
            </w:pPr>
            <w:r w:rsidRPr="000E4321">
              <w:t xml:space="preserve">Vēršam uzmanību, ka piedāvātā norma ir pretrunā ar likuma „Par pašvaldību budžetiem” 15. panta pirmo punktu, kas nosaka: </w:t>
            </w:r>
            <w:r w:rsidRPr="000E4321">
              <w:rPr>
                <w:i/>
              </w:rPr>
              <w:t>pašvaldības domes priekšsēdētājs atbild par to, lai gadskārtējais pašvaldības budžets tiktu izstrādāts un iesniegts apstiprināšanai domei ne vēlāk kā divu mēnešu laikā pēc gadskārtējā valsts budžeta likuma izsludināšanas</w:t>
            </w:r>
            <w:r w:rsidRPr="000E4321">
              <w:t>, kas nozīmē, ka budžets var tikt apstiprināts arī vēlāk nekā divu mēnešu laikā pēc gadskārtējā valsts budžeta likuma izsludināšanas</w:t>
            </w:r>
          </w:p>
        </w:tc>
        <w:tc>
          <w:tcPr>
            <w:tcW w:w="3084" w:type="dxa"/>
            <w:tcBorders>
              <w:top w:val="single" w:sz="6" w:space="0" w:color="000000"/>
              <w:left w:val="single" w:sz="6" w:space="0" w:color="000000"/>
              <w:bottom w:val="single" w:sz="6" w:space="0" w:color="000000"/>
              <w:right w:val="single" w:sz="6" w:space="0" w:color="000000"/>
            </w:tcBorders>
          </w:tcPr>
          <w:p w14:paraId="678806A9" w14:textId="263852B0" w:rsidR="00A05393" w:rsidRPr="000E4321" w:rsidRDefault="009B0B76" w:rsidP="00A05393">
            <w:pPr>
              <w:pStyle w:val="naisc"/>
              <w:spacing w:before="0" w:after="0"/>
              <w:jc w:val="both"/>
              <w:rPr>
                <w:b/>
              </w:rPr>
            </w:pPr>
            <w:r>
              <w:rPr>
                <w:b/>
              </w:rPr>
              <w:t>Panākta vienošanās</w:t>
            </w:r>
          </w:p>
          <w:p w14:paraId="3E7499BD" w14:textId="6DD92F9B" w:rsidR="00A05393" w:rsidRPr="000E4321" w:rsidRDefault="00A05393" w:rsidP="00A05393">
            <w:pPr>
              <w:pStyle w:val="naisc"/>
              <w:spacing w:before="0" w:after="0"/>
              <w:jc w:val="both"/>
            </w:pPr>
            <w:r w:rsidRPr="000E4321">
              <w:t xml:space="preserve">Paskaidrojam, ka skatot normas kontekstā, un ievērojot, ka LBFV norma būs jaunāka un specifiskāka, pašvaldības domes priekšsēdētājam būs jānodrošina gadskārtējā pašvaldības budžeta izstrādāšana un iesniegšana apstiprināšanai domei tā, lai domei būtu iespēja to apstiprināt LBFV noteiktajā termiņā. Likums “Par pašvaldību budžetiem” neliedz pašvaldības domes priekšsēdētājam iesniegt budžetu domai ātrāk nekā divos mēnešos. </w:t>
            </w:r>
            <w:r w:rsidRPr="000E4321">
              <w:rPr>
                <w:rFonts w:eastAsia="Calibri"/>
                <w:color w:val="000000"/>
              </w:rPr>
              <w:t xml:space="preserve">Šobrīd nevienā normatīvā aktā nav noteikts termiņš līdz kuram pašvaldību domei ir pienākums apstiprināt </w:t>
            </w:r>
            <w:r w:rsidRPr="000E4321">
              <w:t xml:space="preserve">gadskārtējo pašvaldības budžetu. </w:t>
            </w:r>
            <w:r w:rsidRPr="000E4321">
              <w:rPr>
                <w:rFonts w:eastAsia="Calibri"/>
                <w:color w:val="000000"/>
              </w:rPr>
              <w:t xml:space="preserve">LBFV ir noteikti valsts budžeta izstrādes un pieņemšanas kartība un budžeta nefinansēto iestāžu budžeta apstiprināšanas termiņi. </w:t>
            </w:r>
            <w:r w:rsidRPr="000E4321">
              <w:t>Tā kā pašvaldības budžets ir valsts konsolidētā  kopbudžeta sastāvdaļa,  ir svarīgi pašvaldībām noteikt gadskārtējā pašvaldības budžeta apstiprināšanas termiņus</w:t>
            </w:r>
          </w:p>
        </w:tc>
        <w:tc>
          <w:tcPr>
            <w:tcW w:w="3127" w:type="dxa"/>
            <w:tcBorders>
              <w:top w:val="single" w:sz="4" w:space="0" w:color="auto"/>
              <w:left w:val="single" w:sz="4" w:space="0" w:color="auto"/>
              <w:bottom w:val="single" w:sz="4" w:space="0" w:color="auto"/>
            </w:tcBorders>
          </w:tcPr>
          <w:p w14:paraId="15C676BE" w14:textId="77777777" w:rsidR="00A05393" w:rsidRPr="000E4321" w:rsidRDefault="00A05393" w:rsidP="00A05393">
            <w:pPr>
              <w:jc w:val="both"/>
            </w:pPr>
            <w:r w:rsidRPr="000E4321">
              <w:t>41. pants. Budžeta tiesības.</w:t>
            </w:r>
          </w:p>
          <w:p w14:paraId="79C62372" w14:textId="77777777" w:rsidR="00A05393" w:rsidRPr="000E4321" w:rsidRDefault="00A05393" w:rsidP="00A05393">
            <w:pPr>
              <w:jc w:val="both"/>
            </w:pPr>
            <w:r w:rsidRPr="000E4321">
              <w:t>(..)</w:t>
            </w:r>
          </w:p>
          <w:p w14:paraId="62E90571" w14:textId="77777777" w:rsidR="00A05393" w:rsidRPr="000E4321" w:rsidRDefault="00A05393" w:rsidP="00A05393">
            <w:pPr>
              <w:pStyle w:val="naisc"/>
              <w:spacing w:before="0" w:after="0"/>
              <w:jc w:val="both"/>
            </w:pPr>
            <w:r w:rsidRPr="000E4321">
              <w:t>(2</w:t>
            </w:r>
            <w:r w:rsidRPr="000E4321">
              <w:rPr>
                <w:vertAlign w:val="superscript"/>
              </w:rPr>
              <w:t>1</w:t>
            </w:r>
            <w:r w:rsidRPr="000E4321">
              <w:t>) Pašvaldības gadskārtējam budžetam ir jābūt apstiprinātam pašvaldības Domē ne vēlāk kā divu mēnešu laikā pēc gadskārtējā valsts budžeta likuma izsludināšanas.</w:t>
            </w:r>
          </w:p>
          <w:p w14:paraId="66BEC088" w14:textId="77777777" w:rsidR="00A05393" w:rsidRPr="000E4321" w:rsidRDefault="00A05393" w:rsidP="00A05393">
            <w:pPr>
              <w:pStyle w:val="naisc"/>
              <w:spacing w:before="0" w:after="0"/>
              <w:jc w:val="both"/>
            </w:pPr>
          </w:p>
          <w:p w14:paraId="1A3AB7E9" w14:textId="605E5E0D" w:rsidR="00A05393" w:rsidRPr="000E4321" w:rsidRDefault="00A05393" w:rsidP="00A05393">
            <w:pPr>
              <w:pStyle w:val="naisc"/>
              <w:spacing w:before="0" w:after="0"/>
              <w:jc w:val="both"/>
              <w:rPr>
                <w:b/>
              </w:rPr>
            </w:pPr>
          </w:p>
        </w:tc>
      </w:tr>
      <w:tr w:rsidR="00A05393" w:rsidRPr="000E4321" w14:paraId="1674A23E" w14:textId="77777777" w:rsidTr="00840182">
        <w:tc>
          <w:tcPr>
            <w:tcW w:w="567" w:type="dxa"/>
            <w:tcBorders>
              <w:top w:val="single" w:sz="6" w:space="0" w:color="000000"/>
              <w:left w:val="single" w:sz="6" w:space="0" w:color="000000"/>
              <w:bottom w:val="single" w:sz="6" w:space="0" w:color="000000"/>
              <w:right w:val="single" w:sz="6" w:space="0" w:color="000000"/>
            </w:tcBorders>
          </w:tcPr>
          <w:p w14:paraId="0A1D085F" w14:textId="02791308" w:rsidR="00A05393" w:rsidRPr="000E4321" w:rsidRDefault="00A05393" w:rsidP="00A05393">
            <w:pPr>
              <w:pStyle w:val="naisc"/>
              <w:spacing w:before="0" w:after="0"/>
              <w:jc w:val="left"/>
            </w:pPr>
            <w:r w:rsidRPr="000E4321">
              <w:lastRenderedPageBreak/>
              <w:t>19.</w:t>
            </w:r>
          </w:p>
        </w:tc>
        <w:tc>
          <w:tcPr>
            <w:tcW w:w="2686" w:type="dxa"/>
            <w:tcBorders>
              <w:top w:val="single" w:sz="6" w:space="0" w:color="000000"/>
              <w:left w:val="single" w:sz="6" w:space="0" w:color="000000"/>
              <w:bottom w:val="single" w:sz="6" w:space="0" w:color="000000"/>
              <w:right w:val="single" w:sz="6" w:space="0" w:color="000000"/>
            </w:tcBorders>
          </w:tcPr>
          <w:p w14:paraId="16D6E926" w14:textId="77777777" w:rsidR="00A05393" w:rsidRPr="000E4321" w:rsidRDefault="00A05393" w:rsidP="00A05393">
            <w:pPr>
              <w:jc w:val="both"/>
            </w:pPr>
            <w:r w:rsidRPr="000E4321">
              <w:t>30. pants. Pārskati un ziņojumi Valsts kasei.</w:t>
            </w:r>
          </w:p>
          <w:p w14:paraId="4DBB18F7" w14:textId="77777777" w:rsidR="00A05393" w:rsidRPr="000E4321" w:rsidRDefault="00A05393" w:rsidP="00A05393">
            <w:pPr>
              <w:jc w:val="both"/>
            </w:pPr>
            <w:r w:rsidRPr="000E4321">
              <w:t>(..)</w:t>
            </w:r>
          </w:p>
          <w:p w14:paraId="1DB9A47C" w14:textId="77777777" w:rsidR="00A05393" w:rsidRPr="000E4321" w:rsidRDefault="00A05393" w:rsidP="00A05393">
            <w:pPr>
              <w:jc w:val="both"/>
            </w:pPr>
            <w:r w:rsidRPr="000E4321">
              <w:t>(12) Reorganizējot pašvaldību, normatīvajos aktos noteiktā atbildīgā institūcija triju mēnešu laikā no attiecīgās pašvaldības reorganizācijas datuma iesniedz Valsts kasei attiecīgo darbības slēguma pārskatu.</w:t>
            </w:r>
          </w:p>
        </w:tc>
        <w:tc>
          <w:tcPr>
            <w:tcW w:w="5562" w:type="dxa"/>
            <w:gridSpan w:val="2"/>
            <w:tcBorders>
              <w:top w:val="single" w:sz="6" w:space="0" w:color="000000"/>
              <w:left w:val="single" w:sz="6" w:space="0" w:color="000000"/>
              <w:bottom w:val="single" w:sz="6" w:space="0" w:color="000000"/>
              <w:right w:val="single" w:sz="6" w:space="0" w:color="000000"/>
            </w:tcBorders>
          </w:tcPr>
          <w:p w14:paraId="75E7D9F9" w14:textId="77777777" w:rsidR="00A05393" w:rsidRPr="000E4321" w:rsidRDefault="00A05393" w:rsidP="00A05393">
            <w:pPr>
              <w:pStyle w:val="naisc"/>
              <w:spacing w:before="0" w:after="0"/>
              <w:jc w:val="both"/>
            </w:pPr>
            <w:r w:rsidRPr="000E4321">
              <w:rPr>
                <w:b/>
              </w:rPr>
              <w:t>Latvijas Pašvaldību savienība (iebildums):</w:t>
            </w:r>
          </w:p>
          <w:p w14:paraId="5AA216BF" w14:textId="77777777" w:rsidR="00A05393" w:rsidRPr="000E4321" w:rsidRDefault="00A05393" w:rsidP="00A05393">
            <w:pPr>
              <w:pStyle w:val="naisc"/>
              <w:spacing w:before="0" w:after="0"/>
              <w:jc w:val="both"/>
            </w:pPr>
            <w:r w:rsidRPr="000E4321">
              <w:t xml:space="preserve">Likumprojekta 9. pants paredz papildināt LBFV 30. pantu ar (12) daļu, nosakot, ka, reorganizējot pašvaldību, normatīvajos aktos noteiktā atbildīgā institūcija triju mēnešu laikā no attiecīgās pašvaldības reorganizācijas datuma iesniedz Valsts kasei attiecīgo darbības slēguma pārskatu. </w:t>
            </w:r>
          </w:p>
          <w:p w14:paraId="174F8FCE" w14:textId="77777777" w:rsidR="00A05393" w:rsidRPr="000E4321" w:rsidRDefault="00A05393" w:rsidP="00A05393">
            <w:pPr>
              <w:pStyle w:val="naisc"/>
              <w:spacing w:before="0" w:after="0"/>
              <w:jc w:val="both"/>
              <w:rPr>
                <w:b/>
              </w:rPr>
            </w:pPr>
            <w:r w:rsidRPr="000E4321">
              <w:t>Vēršam uzmanību, ka 2021.gadā, kad tiks veikta administratīvi teritoriālā reforma un reorganizētas esošās pašvaldības, termiņš trīs mēneši kvalitatīva darbības slēguma pārskata sagatavošanai varētu būt nepietiekams</w:t>
            </w:r>
          </w:p>
        </w:tc>
        <w:tc>
          <w:tcPr>
            <w:tcW w:w="3084" w:type="dxa"/>
            <w:tcBorders>
              <w:top w:val="single" w:sz="6" w:space="0" w:color="000000"/>
              <w:left w:val="single" w:sz="6" w:space="0" w:color="000000"/>
              <w:bottom w:val="single" w:sz="6" w:space="0" w:color="000000"/>
              <w:right w:val="single" w:sz="6" w:space="0" w:color="000000"/>
            </w:tcBorders>
          </w:tcPr>
          <w:p w14:paraId="47D67EDE" w14:textId="3BB97465" w:rsidR="00A05393" w:rsidRPr="000E4321" w:rsidRDefault="00A05393" w:rsidP="00A05393">
            <w:pPr>
              <w:pStyle w:val="naisc"/>
              <w:spacing w:before="0" w:after="0"/>
              <w:jc w:val="both"/>
              <w:rPr>
                <w:b/>
              </w:rPr>
            </w:pPr>
            <w:r w:rsidRPr="000E4321">
              <w:rPr>
                <w:b/>
              </w:rPr>
              <w:t>Ņemts vērā</w:t>
            </w:r>
          </w:p>
          <w:p w14:paraId="0ACDDD26" w14:textId="20F2B203" w:rsidR="00A05393" w:rsidRPr="000E4321" w:rsidRDefault="00A05393" w:rsidP="00A05393">
            <w:pPr>
              <w:pStyle w:val="naisc"/>
              <w:spacing w:before="0" w:after="0"/>
              <w:jc w:val="both"/>
            </w:pPr>
          </w:p>
          <w:p w14:paraId="19A3E9F8" w14:textId="740F652B" w:rsidR="00A05393" w:rsidRPr="000E4321" w:rsidRDefault="00A05393" w:rsidP="00A05393">
            <w:pPr>
              <w:pStyle w:val="naisc"/>
              <w:spacing w:before="0" w:after="0"/>
              <w:jc w:val="both"/>
            </w:pPr>
            <w:r w:rsidRPr="000E4321">
              <w:t>Papildināta anotācija un sniegts skaidrojums</w:t>
            </w:r>
          </w:p>
          <w:p w14:paraId="16A9ADC2" w14:textId="00D57CA9" w:rsidR="00A05393" w:rsidRPr="000E4321" w:rsidRDefault="00A05393" w:rsidP="00A05393">
            <w:pPr>
              <w:pStyle w:val="naisc"/>
              <w:spacing w:before="0" w:after="0"/>
              <w:jc w:val="both"/>
            </w:pPr>
            <w:r w:rsidRPr="000E4321">
              <w:t>Minētā normas  termiņš noteikts ievērojot analoģiju ar Likuma par budžetu un finanšu vadību 30.panta (11) daļu, kas nosaka darbības slēguma pārskata iesniegšanas termiņus attiecība uz ministrijām un citam centrālajām valsts iestādēm..</w:t>
            </w:r>
          </w:p>
          <w:p w14:paraId="624C9352" w14:textId="5CD818E5" w:rsidR="00A05393" w:rsidRPr="000E4321" w:rsidRDefault="00A05393" w:rsidP="00A05393">
            <w:pPr>
              <w:pStyle w:val="naisc"/>
              <w:spacing w:before="0" w:after="0"/>
              <w:jc w:val="both"/>
            </w:pPr>
            <w:r w:rsidRPr="000E4321">
              <w:t xml:space="preserve">Vienlaicīgi norādām, ka attiecībā uz 2021.gadu, kad tiks veikta administratīvi teritoriālā reforma un reorganizētas esošās pašvaldības,  VARAM izstrādājis MK noteikumu projektu “Kārtība un nosacījumi pašvaldību institūciju, finanšu, mantas, tiesību un saistību pārdalei administratīvo teritoriju robežu grozīšanas vai sadalīšanas gadījumā” (VSS-558) un šo noteikumu projekta (25.08.2020. redakcijā, kas izskatīta 02.09.2020. Starpinstitūciju sanāksmē 23.punktā tika noteikts, ka “23.   Iegūstošā pašvaldība triju mēnešu laikā no attiecīgās pašvaldības </w:t>
            </w:r>
            <w:r w:rsidRPr="000E4321">
              <w:lastRenderedPageBreak/>
              <w:t>reorganizācijas pabeigšanas datuma iesniedz Valsts kasei attiecīgo darbības slēguma pārskatu.”, kas saskaņots ar likumprojektā ietverto LBFV 30.panta (12) daļu, vienlaikus saskaņā ar Valsts kases kolēģu, kas piedalījās starpinstitūciju  sanāksmē, sniegto informāciju 02.09.2020. sanāksmē tika panākta vienošanās, ka šis punkts tiek papildināts un sniegta papildus informācija Anotācijā, bet jebkurā gadījumā Anotācijā paliek atsauce uz LBFV 30.panta (12) daļas normu.</w:t>
            </w:r>
          </w:p>
        </w:tc>
        <w:tc>
          <w:tcPr>
            <w:tcW w:w="3127" w:type="dxa"/>
            <w:tcBorders>
              <w:top w:val="single" w:sz="4" w:space="0" w:color="auto"/>
              <w:left w:val="single" w:sz="4" w:space="0" w:color="auto"/>
              <w:bottom w:val="single" w:sz="4" w:space="0" w:color="auto"/>
            </w:tcBorders>
          </w:tcPr>
          <w:p w14:paraId="322BB46C" w14:textId="77777777" w:rsidR="00A05393" w:rsidRPr="000E4321" w:rsidRDefault="00A05393" w:rsidP="00A05393">
            <w:pPr>
              <w:jc w:val="both"/>
            </w:pPr>
            <w:r w:rsidRPr="000E4321">
              <w:lastRenderedPageBreak/>
              <w:t>30. pants. Pārskati un ziņojumi Valsts kasei.</w:t>
            </w:r>
          </w:p>
          <w:p w14:paraId="51B56C19" w14:textId="77777777" w:rsidR="00A05393" w:rsidRPr="000E4321" w:rsidRDefault="00A05393" w:rsidP="00A05393">
            <w:pPr>
              <w:jc w:val="both"/>
            </w:pPr>
            <w:r w:rsidRPr="000E4321">
              <w:t>(..)</w:t>
            </w:r>
          </w:p>
          <w:p w14:paraId="10A00622" w14:textId="3800E542" w:rsidR="00A05393" w:rsidRPr="000E4321" w:rsidRDefault="00A05393" w:rsidP="00A05393">
            <w:pPr>
              <w:jc w:val="both"/>
            </w:pPr>
            <w:r w:rsidRPr="000E4321">
              <w:t>(12) Reorganizējot pašvaldību, normatīvajos aktos noteiktā atbildīgā institūcija triju mēnešu laikā no attiecīgās pašvaldības reorganizācijas datuma iesniedz Valsts kasei attiecīgo darbības slēguma pārskatu.</w:t>
            </w:r>
          </w:p>
          <w:p w14:paraId="264640E5" w14:textId="77777777" w:rsidR="00A05393" w:rsidRPr="000E4321" w:rsidRDefault="00A05393" w:rsidP="00A05393">
            <w:pPr>
              <w:jc w:val="both"/>
            </w:pPr>
          </w:p>
          <w:p w14:paraId="1F4B14CE" w14:textId="6696123B" w:rsidR="00A05393" w:rsidRPr="000E4321" w:rsidRDefault="00A05393" w:rsidP="00A05393">
            <w:pPr>
              <w:jc w:val="both"/>
            </w:pPr>
            <w:r w:rsidRPr="000E4321">
              <w:t>Anotācijas 9. lappusē:</w:t>
            </w:r>
          </w:p>
          <w:p w14:paraId="2EBCA78D" w14:textId="1E69F4E3" w:rsidR="00A05393" w:rsidRPr="000E4321" w:rsidRDefault="00A05393" w:rsidP="00A05393">
            <w:pPr>
              <w:pStyle w:val="naisc"/>
              <w:spacing w:before="0" w:after="0"/>
              <w:jc w:val="both"/>
            </w:pPr>
            <w:r w:rsidRPr="000E4321">
              <w:t xml:space="preserve">“5) 30. pants papildināts ar jaunu daļu, iekļaujot normu par to, </w:t>
            </w:r>
            <w:r w:rsidRPr="000E4321">
              <w:rPr>
                <w:u w:val="single"/>
              </w:rPr>
              <w:t>ka reorganizējot pašvaldības darbību (t.sk. apvienojot pašvaldības administratīvi teritoriālās reformas ietvaros), normatīvajos aktos noteiktā atbildīgā institūcija</w:t>
            </w:r>
            <w:r w:rsidRPr="000E4321">
              <w:t xml:space="preserve"> sagatavo un iesniedz iestādes darbības slēguma pārskatu normatīvajos aktos par gada pārskata sagatavošanu noteiktā kārtībā;”</w:t>
            </w:r>
          </w:p>
        </w:tc>
      </w:tr>
      <w:tr w:rsidR="00A05393" w:rsidRPr="000E4321" w14:paraId="7E8402C3" w14:textId="77777777" w:rsidTr="00840182">
        <w:tc>
          <w:tcPr>
            <w:tcW w:w="567" w:type="dxa"/>
            <w:tcBorders>
              <w:top w:val="single" w:sz="6" w:space="0" w:color="000000"/>
              <w:left w:val="single" w:sz="6" w:space="0" w:color="000000"/>
              <w:bottom w:val="single" w:sz="6" w:space="0" w:color="000000"/>
              <w:right w:val="single" w:sz="6" w:space="0" w:color="000000"/>
            </w:tcBorders>
          </w:tcPr>
          <w:p w14:paraId="7345107B" w14:textId="308FE259" w:rsidR="00A05393" w:rsidRPr="000E4321" w:rsidRDefault="00A05393" w:rsidP="00A05393">
            <w:pPr>
              <w:pStyle w:val="naisc"/>
              <w:spacing w:before="0" w:after="0"/>
              <w:jc w:val="left"/>
            </w:pPr>
            <w:r w:rsidRPr="000E4321">
              <w:t>20.</w:t>
            </w:r>
          </w:p>
        </w:tc>
        <w:tc>
          <w:tcPr>
            <w:tcW w:w="2686" w:type="dxa"/>
            <w:tcBorders>
              <w:top w:val="single" w:sz="6" w:space="0" w:color="000000"/>
              <w:left w:val="single" w:sz="6" w:space="0" w:color="000000"/>
              <w:bottom w:val="single" w:sz="6" w:space="0" w:color="000000"/>
              <w:right w:val="single" w:sz="6" w:space="0" w:color="000000"/>
            </w:tcBorders>
          </w:tcPr>
          <w:p w14:paraId="3B9637E0" w14:textId="77777777" w:rsidR="00A05393" w:rsidRPr="000E4321" w:rsidRDefault="00A05393" w:rsidP="00A05393">
            <w:pPr>
              <w:jc w:val="both"/>
            </w:pPr>
            <w:r w:rsidRPr="000E4321">
              <w:t>32.</w:t>
            </w:r>
            <w:r w:rsidRPr="000E4321">
              <w:rPr>
                <w:vertAlign w:val="superscript"/>
              </w:rPr>
              <w:t>1</w:t>
            </w:r>
            <w:r w:rsidRPr="000E4321">
              <w:t xml:space="preserve"> Valsts kontroles veiktā revīzija Saeimas vēlēšanu gadā.</w:t>
            </w:r>
          </w:p>
          <w:p w14:paraId="0CEA6A43" w14:textId="77777777" w:rsidR="00A05393" w:rsidRPr="000E4321" w:rsidRDefault="00A05393" w:rsidP="00A05393">
            <w:pPr>
              <w:jc w:val="both"/>
            </w:pPr>
            <w:r w:rsidRPr="000E4321">
              <w:t>(1) Valsts kontrole Saeimas vēlēšanu gadā iesniedz finanšu ministram atzinumu par konsolidēto saimnieciskā gada pārskatu līdz pārskata gadam sekojošā kārtējā saimnieciskā gada 15. oktobrim.</w:t>
            </w:r>
          </w:p>
          <w:p w14:paraId="17FB56AC" w14:textId="77777777" w:rsidR="00A05393" w:rsidRPr="000E4321" w:rsidRDefault="00A05393" w:rsidP="00A05393">
            <w:pPr>
              <w:jc w:val="both"/>
            </w:pPr>
            <w:r w:rsidRPr="000E4321">
              <w:t xml:space="preserve">(2) Finanšu ministrs Saeimas vēlēšanu gadā iesniedz Ministru kabinetam konsolidēto saimnieciskā gada pārskatu kopā ar Valsts </w:t>
            </w:r>
            <w:r w:rsidRPr="000E4321">
              <w:lastRenderedPageBreak/>
              <w:t>kontroles atzinumu līdz pārskata gadam sekojošā kārtējā saimnieciskā gada 1. novembrim.</w:t>
            </w:r>
          </w:p>
          <w:p w14:paraId="2038BF28" w14:textId="77777777" w:rsidR="00A05393" w:rsidRPr="000E4321" w:rsidRDefault="00A05393" w:rsidP="00A05393">
            <w:pPr>
              <w:jc w:val="both"/>
            </w:pPr>
            <w:r w:rsidRPr="000E4321">
              <w:t>(3) Saeimas vēlēšanu gadā Ministru kabinets iesniedz jaunievēlētajai Saeimai konsolidēto saimnieciskā gada pārskatu kopā ar Valsts kontroles atzinumu līdz pārskata gadam sekojošā kārtējā saimnieciskā gada 15. novembrim.</w:t>
            </w:r>
          </w:p>
        </w:tc>
        <w:tc>
          <w:tcPr>
            <w:tcW w:w="5562" w:type="dxa"/>
            <w:gridSpan w:val="2"/>
            <w:tcBorders>
              <w:top w:val="single" w:sz="6" w:space="0" w:color="000000"/>
              <w:left w:val="single" w:sz="6" w:space="0" w:color="000000"/>
              <w:bottom w:val="single" w:sz="6" w:space="0" w:color="000000"/>
              <w:right w:val="single" w:sz="6" w:space="0" w:color="000000"/>
            </w:tcBorders>
          </w:tcPr>
          <w:p w14:paraId="3C0A1DA0" w14:textId="77777777" w:rsidR="00A05393" w:rsidRPr="000E4321" w:rsidRDefault="00A05393" w:rsidP="00A05393">
            <w:pPr>
              <w:pStyle w:val="naisc"/>
              <w:spacing w:before="0" w:after="0"/>
              <w:jc w:val="both"/>
            </w:pPr>
            <w:r w:rsidRPr="000E4321">
              <w:rPr>
                <w:b/>
              </w:rPr>
              <w:lastRenderedPageBreak/>
              <w:t>Veselības ministrija (iebildums):</w:t>
            </w:r>
          </w:p>
          <w:p w14:paraId="6B1F5086" w14:textId="77777777" w:rsidR="00A05393" w:rsidRPr="000E4321" w:rsidRDefault="00A05393" w:rsidP="00A05393">
            <w:pPr>
              <w:pStyle w:val="naisc"/>
              <w:spacing w:before="0" w:after="0"/>
              <w:jc w:val="both"/>
              <w:rPr>
                <w:b/>
              </w:rPr>
            </w:pPr>
            <w:r w:rsidRPr="000E4321">
              <w:t>Saskaņā ar plānoto likumprojekta redakciju attiecībā uz likumprojekta 32.</w:t>
            </w:r>
            <w:r w:rsidRPr="000E4321">
              <w:rPr>
                <w:vertAlign w:val="superscript"/>
              </w:rPr>
              <w:t>1</w:t>
            </w:r>
            <w:r w:rsidRPr="000E4321">
              <w:t xml:space="preserve"> pantu, lūdzam arī ministrijām Saeimas vēlēšanu gadā noteikt vēlāku konsolidētā gada pārskata iesniegšanas termiņu, termiņa datumus pakārtojot likumprojekta  32.</w:t>
            </w:r>
            <w:r w:rsidRPr="000E4321">
              <w:rPr>
                <w:vertAlign w:val="superscript"/>
              </w:rPr>
              <w:t>1</w:t>
            </w:r>
            <w:r w:rsidRPr="000E4321">
              <w:t xml:space="preserve"> panta noteiktajiem termiņiem.</w:t>
            </w:r>
          </w:p>
        </w:tc>
        <w:tc>
          <w:tcPr>
            <w:tcW w:w="3084" w:type="dxa"/>
            <w:tcBorders>
              <w:top w:val="single" w:sz="6" w:space="0" w:color="000000"/>
              <w:left w:val="single" w:sz="6" w:space="0" w:color="000000"/>
              <w:bottom w:val="single" w:sz="6" w:space="0" w:color="000000"/>
              <w:right w:val="single" w:sz="6" w:space="0" w:color="000000"/>
            </w:tcBorders>
          </w:tcPr>
          <w:p w14:paraId="0C21CC15" w14:textId="604DEA05" w:rsidR="00A05393" w:rsidRPr="000E4321" w:rsidRDefault="009B0B76" w:rsidP="00A05393">
            <w:pPr>
              <w:pStyle w:val="naisc"/>
              <w:spacing w:before="0" w:after="0"/>
              <w:jc w:val="both"/>
              <w:rPr>
                <w:b/>
              </w:rPr>
            </w:pPr>
            <w:r>
              <w:rPr>
                <w:b/>
              </w:rPr>
              <w:t>Panākta vienošanās</w:t>
            </w:r>
          </w:p>
          <w:p w14:paraId="2B6116DF" w14:textId="3DFD500A" w:rsidR="00A05393" w:rsidRPr="000E4321" w:rsidRDefault="00A05393" w:rsidP="00A05393">
            <w:pPr>
              <w:pStyle w:val="naisc"/>
              <w:spacing w:before="0" w:after="0"/>
              <w:jc w:val="both"/>
            </w:pPr>
            <w:r w:rsidRPr="000E4321">
              <w:t xml:space="preserve">Paskaidrojam, ka regulējums par saimnieciskā gada pārskata iesniegšanas vēlākiem termiņiem Saeimas vēlēšanu gadā ir saistīts tikai ar to, ka tas tiek iesniegts jaunievēlētai Saeimai un tādējādi jaunievēlētā Saeima izskata Valsts kontroles atzinumu un pieņem budžetu nākamajam gadam. Ministrijām un pārējām pārskata sagatavošanā iesaistītajām struktūrām darba apjoms un attiecīgi arī regulējums paliek tāds, kāds ir spēkā gadā, kad nav Saeimas </w:t>
            </w:r>
            <w:r w:rsidRPr="000E4321">
              <w:lastRenderedPageBreak/>
              <w:t>vēlēšanas, nodrošinot, ka ministrijām (u.c. iestādēm) termiņi katru gadu ir sistemātiski vienādi un nemainās.</w:t>
            </w:r>
          </w:p>
        </w:tc>
        <w:tc>
          <w:tcPr>
            <w:tcW w:w="3127" w:type="dxa"/>
            <w:tcBorders>
              <w:top w:val="single" w:sz="4" w:space="0" w:color="auto"/>
              <w:left w:val="single" w:sz="4" w:space="0" w:color="auto"/>
              <w:bottom w:val="single" w:sz="4" w:space="0" w:color="auto"/>
            </w:tcBorders>
          </w:tcPr>
          <w:p w14:paraId="1DC0FF7F" w14:textId="77777777" w:rsidR="00A05393" w:rsidRPr="000E4321" w:rsidRDefault="00A05393" w:rsidP="00A05393">
            <w:pPr>
              <w:jc w:val="both"/>
            </w:pPr>
            <w:r w:rsidRPr="000E4321">
              <w:lastRenderedPageBreak/>
              <w:t>32.</w:t>
            </w:r>
            <w:r w:rsidRPr="000E4321">
              <w:rPr>
                <w:vertAlign w:val="superscript"/>
              </w:rPr>
              <w:t>1</w:t>
            </w:r>
            <w:r w:rsidRPr="000E4321">
              <w:t xml:space="preserve"> Valsts kontroles veiktā revīzija Saeimas vēlēšanu gadā.</w:t>
            </w:r>
          </w:p>
          <w:p w14:paraId="10166D14" w14:textId="77777777" w:rsidR="00A05393" w:rsidRPr="000E4321" w:rsidRDefault="00A05393" w:rsidP="00A05393">
            <w:pPr>
              <w:jc w:val="both"/>
            </w:pPr>
            <w:r w:rsidRPr="000E4321">
              <w:t>(1) Valsts kontrole Saeimas vēlēšanu gadā iesniedz finanšu ministram atzinumu par konsolidēto saimnieciskā gada pārskatu līdz pārskata gadam sekojošā kārtējā saimnieciskā gada 15. oktobrim.</w:t>
            </w:r>
          </w:p>
          <w:p w14:paraId="476345BF" w14:textId="77777777" w:rsidR="00A05393" w:rsidRPr="000E4321" w:rsidRDefault="00A05393" w:rsidP="00A05393">
            <w:pPr>
              <w:jc w:val="both"/>
            </w:pPr>
            <w:r w:rsidRPr="000E4321">
              <w:t xml:space="preserve">(2) Finanšu ministrs Saeimas vēlēšanu gadā iesniedz Ministru kabinetam konsolidēto saimnieciskā gada pārskatu kopā ar Valsts kontroles atzinumu līdz pārskata gadam sekojošā </w:t>
            </w:r>
            <w:r w:rsidRPr="000E4321">
              <w:lastRenderedPageBreak/>
              <w:t>kārtējā saimnieciskā gada 1. novembrim.</w:t>
            </w:r>
          </w:p>
          <w:p w14:paraId="46B73BF5" w14:textId="4677940B" w:rsidR="00A05393" w:rsidRPr="000E4321" w:rsidRDefault="00A05393" w:rsidP="00A05393">
            <w:pPr>
              <w:pStyle w:val="naisc"/>
              <w:spacing w:before="0" w:after="0"/>
              <w:jc w:val="both"/>
            </w:pPr>
            <w:r w:rsidRPr="000E4321">
              <w:t>(3) Saeimas vēlēšanu gadā Ministru kabinets iesniedz jaunievēlētajai Saeimai konsolidēto saimnieciskā gada pārskatu kopā ar Valsts kontroles atzinumu līdz pārskata gadam sekojošā kārtējā saimnieciskā gada 15. novembrim.</w:t>
            </w:r>
          </w:p>
        </w:tc>
      </w:tr>
      <w:tr w:rsidR="00A05393" w:rsidRPr="000E4321" w14:paraId="0D700594" w14:textId="77777777" w:rsidTr="00840182">
        <w:tc>
          <w:tcPr>
            <w:tcW w:w="567" w:type="dxa"/>
            <w:tcBorders>
              <w:top w:val="single" w:sz="6" w:space="0" w:color="000000"/>
              <w:left w:val="single" w:sz="6" w:space="0" w:color="000000"/>
              <w:bottom w:val="single" w:sz="6" w:space="0" w:color="000000"/>
              <w:right w:val="single" w:sz="6" w:space="0" w:color="000000"/>
            </w:tcBorders>
          </w:tcPr>
          <w:p w14:paraId="296AEE19" w14:textId="3A73A782" w:rsidR="00A05393" w:rsidRPr="000E4321" w:rsidRDefault="00A05393" w:rsidP="00A05393">
            <w:pPr>
              <w:pStyle w:val="naisc"/>
              <w:spacing w:before="0" w:after="0"/>
              <w:jc w:val="left"/>
            </w:pPr>
            <w:r w:rsidRPr="000E4321">
              <w:lastRenderedPageBreak/>
              <w:t>21.</w:t>
            </w:r>
          </w:p>
        </w:tc>
        <w:tc>
          <w:tcPr>
            <w:tcW w:w="2686" w:type="dxa"/>
            <w:tcBorders>
              <w:top w:val="single" w:sz="6" w:space="0" w:color="000000"/>
              <w:left w:val="single" w:sz="6" w:space="0" w:color="000000"/>
              <w:bottom w:val="single" w:sz="6" w:space="0" w:color="000000"/>
              <w:right w:val="single" w:sz="6" w:space="0" w:color="000000"/>
            </w:tcBorders>
          </w:tcPr>
          <w:p w14:paraId="063D0748" w14:textId="77777777" w:rsidR="00A05393" w:rsidRPr="000E4321" w:rsidRDefault="00A05393" w:rsidP="00A05393">
            <w:pPr>
              <w:jc w:val="both"/>
            </w:pPr>
            <w:r w:rsidRPr="000E4321">
              <w:t>Anotācijas 9. lappusē:</w:t>
            </w:r>
          </w:p>
          <w:p w14:paraId="6E4D1298" w14:textId="77777777" w:rsidR="00A05393" w:rsidRPr="000E4321" w:rsidRDefault="00A05393" w:rsidP="00A05393">
            <w:pPr>
              <w:pStyle w:val="naisc"/>
              <w:spacing w:before="0" w:after="0"/>
              <w:jc w:val="both"/>
            </w:pPr>
            <w:r w:rsidRPr="000E4321">
              <w:t>“5) 30. pants papildināts ar jaunu daļu, iekļaujot normu par to, ka arī reorganizējot (piem., administratīvi teritoriālās reformas) vai izbeidzot pašvaldības darbību, sagatavo un iesniedz iestādes darbības slēguma pārskatu normatīvajos aktos par gada pārskata sagatavošanu noteiktā kārtībā;”</w:t>
            </w:r>
          </w:p>
        </w:tc>
        <w:tc>
          <w:tcPr>
            <w:tcW w:w="5562" w:type="dxa"/>
            <w:gridSpan w:val="2"/>
            <w:tcBorders>
              <w:top w:val="single" w:sz="6" w:space="0" w:color="000000"/>
              <w:left w:val="single" w:sz="6" w:space="0" w:color="000000"/>
              <w:bottom w:val="single" w:sz="6" w:space="0" w:color="000000"/>
              <w:right w:val="single" w:sz="6" w:space="0" w:color="000000"/>
            </w:tcBorders>
          </w:tcPr>
          <w:p w14:paraId="1DCF4F53" w14:textId="77777777" w:rsidR="00A05393" w:rsidRPr="000E4321" w:rsidRDefault="00A05393" w:rsidP="00A05393">
            <w:pPr>
              <w:pStyle w:val="naisc"/>
              <w:spacing w:before="0" w:after="0"/>
              <w:jc w:val="both"/>
            </w:pPr>
            <w:r w:rsidRPr="000E4321">
              <w:rPr>
                <w:b/>
              </w:rPr>
              <w:t>Vides aizsardzības un reģionālās attīstības</w:t>
            </w:r>
            <w:r w:rsidRPr="000E4321">
              <w:t xml:space="preserve"> </w:t>
            </w:r>
            <w:r w:rsidRPr="000E4321">
              <w:rPr>
                <w:b/>
              </w:rPr>
              <w:t>ministrija (iebildums):</w:t>
            </w:r>
          </w:p>
          <w:p w14:paraId="3522F19A" w14:textId="77777777" w:rsidR="00A05393" w:rsidRPr="000E4321" w:rsidRDefault="00A05393" w:rsidP="00A05393">
            <w:pPr>
              <w:pStyle w:val="ListParagraph"/>
              <w:spacing w:after="0" w:line="240" w:lineRule="auto"/>
              <w:ind w:left="0"/>
              <w:jc w:val="both"/>
              <w:rPr>
                <w:rFonts w:ascii="Times New Roman" w:hAnsi="Times New Roman"/>
                <w:b/>
                <w:bCs/>
                <w:sz w:val="24"/>
                <w:szCs w:val="24"/>
              </w:rPr>
            </w:pPr>
            <w:r w:rsidRPr="000E4321">
              <w:rPr>
                <w:rFonts w:ascii="Times New Roman" w:hAnsi="Times New Roman"/>
                <w:sz w:val="24"/>
                <w:szCs w:val="24"/>
              </w:rPr>
              <w:t xml:space="preserve">ierosinām izteikt </w:t>
            </w:r>
            <w:r w:rsidRPr="000E4321">
              <w:rPr>
                <w:rFonts w:ascii="Times New Roman" w:hAnsi="Times New Roman"/>
                <w:bCs/>
                <w:sz w:val="24"/>
                <w:szCs w:val="24"/>
              </w:rPr>
              <w:t>Anotācijas I. daļas “Tiesību akta projekta izstrāde nepieciešamība” 2.punkta “Pašreizējā situācija un problēmas, kuru risināšanai tiesību akta projekts izstrādāts, tiesiskā regulējuma mērķis un būtība” sadaļas “Mainīti gada pārskatu, konsolidēto gada pārskatu un konsolidētā saimnieciskā gada pārskata sagatavošanas un iesniegšanas termiņi, lai nodrošinātu Saeimu, Ministru kabinetu un sabiedrību ātrāk ar informāciju lēmumu pieņemšanai” devītajā lapā piekto punktu sekojošā redakcijā:</w:t>
            </w:r>
          </w:p>
          <w:p w14:paraId="189B819B" w14:textId="77777777" w:rsidR="00A05393" w:rsidRPr="000E4321" w:rsidRDefault="00A05393" w:rsidP="00A05393">
            <w:pPr>
              <w:pStyle w:val="ListParagraph"/>
              <w:spacing w:after="0" w:line="240" w:lineRule="auto"/>
              <w:ind w:left="0"/>
              <w:jc w:val="both"/>
              <w:rPr>
                <w:rFonts w:ascii="Times New Roman" w:hAnsi="Times New Roman"/>
                <w:sz w:val="24"/>
                <w:szCs w:val="24"/>
              </w:rPr>
            </w:pPr>
            <w:r w:rsidRPr="000E4321">
              <w:rPr>
                <w:rFonts w:ascii="Times New Roman" w:hAnsi="Times New Roman"/>
                <w:sz w:val="24"/>
                <w:szCs w:val="24"/>
              </w:rPr>
              <w:t>“ 5) 30. pants papildināts ar jaunu daļu, iekļaujot normu par to, ka reorganizējot pašvaldības darbību (t.sk. apvienojot pašvaldības administratīvi teritoriālās reformas ietvaros) normatīvajos aktos noteiktā atbildīgā institūcija sagatavo un iesniedz iestādes darbības slēguma pārskatu normatīvajos aktos par gada pārskata sagatavošanu noteiktā kārtībā.”</w:t>
            </w:r>
          </w:p>
          <w:p w14:paraId="20C7D6ED" w14:textId="77777777" w:rsidR="00A05393" w:rsidRPr="000E4321" w:rsidRDefault="00A05393" w:rsidP="00A05393">
            <w:pPr>
              <w:pStyle w:val="ListParagraph"/>
              <w:spacing w:after="0" w:line="240" w:lineRule="auto"/>
              <w:ind w:left="0" w:firstLine="720"/>
              <w:jc w:val="both"/>
              <w:rPr>
                <w:rFonts w:ascii="Times New Roman" w:hAnsi="Times New Roman"/>
                <w:sz w:val="24"/>
                <w:szCs w:val="24"/>
              </w:rPr>
            </w:pPr>
            <w:r w:rsidRPr="000E4321">
              <w:rPr>
                <w:rFonts w:ascii="Times New Roman" w:hAnsi="Times New Roman"/>
                <w:sz w:val="24"/>
                <w:szCs w:val="24"/>
              </w:rPr>
              <w:t xml:space="preserve">Administratīvo teritoriju un apdzīvoto vietu likuma (pieņemts 2020.gada 10.jūnijā) pārejas noteikumu 6.punkts paredz, ka ar 2021. gada pašvaldību </w:t>
            </w:r>
            <w:r w:rsidRPr="000E4321">
              <w:rPr>
                <w:rFonts w:ascii="Times New Roman" w:hAnsi="Times New Roman"/>
                <w:sz w:val="24"/>
                <w:szCs w:val="24"/>
              </w:rPr>
              <w:lastRenderedPageBreak/>
              <w:t xml:space="preserve">vēlēšanās jaunievēlētās pašvaldības domes pirmo sēdi izbeidzas visu bijušo pašvaldību domju pilnvaras. Novada pašvaldība ir attiecīgajā novadā iekļauto pašvaldību institūciju, finanšu, mantas, tiesību un saistību pārņēmēja. Turklāt minētā likuma pārejas noteikumu 18.punkts nosaka, ka pēc 2021. gada 1. jūlija </w:t>
            </w:r>
            <w:r w:rsidRPr="000E4321">
              <w:rPr>
                <w:rFonts w:ascii="Times New Roman" w:hAnsi="Times New Roman"/>
                <w:bCs/>
                <w:sz w:val="24"/>
                <w:szCs w:val="24"/>
                <w:u w:val="single"/>
              </w:rPr>
              <w:t>jaunizveidotās pašvaldības</w:t>
            </w:r>
            <w:r w:rsidRPr="000E4321">
              <w:rPr>
                <w:rFonts w:ascii="Times New Roman" w:hAnsi="Times New Roman"/>
                <w:sz w:val="24"/>
                <w:szCs w:val="24"/>
              </w:rPr>
              <w:t xml:space="preserve"> apvieno pašvaldību saimnieciskā gada budžetus un ne vēlāk kā mēneša laikā tos apstiprina.</w:t>
            </w:r>
          </w:p>
          <w:p w14:paraId="2D8CFDBE" w14:textId="77777777" w:rsidR="00A05393" w:rsidRPr="000E4321" w:rsidRDefault="00A05393" w:rsidP="00A05393">
            <w:pPr>
              <w:pStyle w:val="naisc"/>
              <w:spacing w:before="0" w:after="0"/>
              <w:jc w:val="both"/>
            </w:pPr>
            <w:r w:rsidRPr="000E4321">
              <w:t xml:space="preserve">Atbilstoši Valsts pārvaldes iekārtas likuma (pieņemts 2002.gada 6.jūnijā)  15.panta trešajā daļā noteiktajam regulējumam </w:t>
            </w:r>
            <w:r w:rsidRPr="000E4321">
              <w:rPr>
                <w:u w:val="single"/>
              </w:rPr>
              <w:t>pašvaldības tiek reorganizētas apvienojot</w:t>
            </w:r>
            <w:r w:rsidRPr="000E4321">
              <w:t>.</w:t>
            </w:r>
          </w:p>
        </w:tc>
        <w:tc>
          <w:tcPr>
            <w:tcW w:w="3084" w:type="dxa"/>
            <w:tcBorders>
              <w:top w:val="single" w:sz="6" w:space="0" w:color="000000"/>
              <w:left w:val="single" w:sz="6" w:space="0" w:color="000000"/>
              <w:bottom w:val="single" w:sz="6" w:space="0" w:color="000000"/>
              <w:right w:val="single" w:sz="6" w:space="0" w:color="000000"/>
            </w:tcBorders>
          </w:tcPr>
          <w:p w14:paraId="14EF2BFB" w14:textId="1F5A5380" w:rsidR="00A05393" w:rsidRPr="000E4321" w:rsidRDefault="00A05393" w:rsidP="00A05393">
            <w:pPr>
              <w:pStyle w:val="naisc"/>
              <w:spacing w:before="0" w:after="0"/>
              <w:jc w:val="both"/>
              <w:rPr>
                <w:b/>
              </w:rPr>
            </w:pPr>
            <w:r w:rsidRPr="000E4321">
              <w:rPr>
                <w:b/>
              </w:rPr>
              <w:lastRenderedPageBreak/>
              <w:t>Ņemts vērā</w:t>
            </w:r>
          </w:p>
        </w:tc>
        <w:tc>
          <w:tcPr>
            <w:tcW w:w="3127" w:type="dxa"/>
            <w:tcBorders>
              <w:top w:val="single" w:sz="4" w:space="0" w:color="auto"/>
              <w:left w:val="single" w:sz="4" w:space="0" w:color="auto"/>
              <w:bottom w:val="single" w:sz="4" w:space="0" w:color="auto"/>
            </w:tcBorders>
          </w:tcPr>
          <w:p w14:paraId="5D994D98" w14:textId="77777777" w:rsidR="00A05393" w:rsidRPr="000E4321" w:rsidRDefault="00A05393" w:rsidP="00A05393">
            <w:pPr>
              <w:jc w:val="both"/>
            </w:pPr>
            <w:r w:rsidRPr="000E4321">
              <w:t>Anotācijas 9. lappusē:</w:t>
            </w:r>
          </w:p>
          <w:p w14:paraId="3676FA60" w14:textId="1760BBCA" w:rsidR="00A05393" w:rsidRPr="000E4321" w:rsidRDefault="00A05393" w:rsidP="00A05393">
            <w:pPr>
              <w:pStyle w:val="naisc"/>
              <w:spacing w:before="0" w:after="0"/>
              <w:jc w:val="both"/>
            </w:pPr>
            <w:r w:rsidRPr="000E4321">
              <w:t xml:space="preserve">“5) 30. pants papildināts ar jaunu daļu, iekļaujot normu par to, </w:t>
            </w:r>
            <w:r w:rsidRPr="000E4321">
              <w:rPr>
                <w:u w:val="single"/>
              </w:rPr>
              <w:t>ka reorganizējot pašvaldības darbību (t.sk. apvienojot pašvaldības administratīvi teritoriālās reformas ietvaros), normatīvajos aktos noteiktā atbildīgā institūcija</w:t>
            </w:r>
            <w:r w:rsidRPr="000E4321">
              <w:t xml:space="preserve"> sagatavo un iesniedz iestādes darbības slēguma pārskatu normatīvajos aktos par gada pārskata sagatavošanu noteiktā kārtībā;”</w:t>
            </w:r>
          </w:p>
        </w:tc>
      </w:tr>
      <w:tr w:rsidR="00A05393" w:rsidRPr="000E4321" w14:paraId="1CC37E05" w14:textId="77777777" w:rsidTr="00840182">
        <w:tc>
          <w:tcPr>
            <w:tcW w:w="567" w:type="dxa"/>
            <w:tcBorders>
              <w:top w:val="single" w:sz="6" w:space="0" w:color="000000"/>
              <w:left w:val="single" w:sz="6" w:space="0" w:color="000000"/>
              <w:bottom w:val="single" w:sz="6" w:space="0" w:color="000000"/>
              <w:right w:val="single" w:sz="6" w:space="0" w:color="000000"/>
            </w:tcBorders>
          </w:tcPr>
          <w:p w14:paraId="1D92A3EF" w14:textId="68CCD5B0" w:rsidR="00A05393" w:rsidRPr="000E4321" w:rsidRDefault="00A05393" w:rsidP="00A05393">
            <w:pPr>
              <w:pStyle w:val="naisc"/>
              <w:spacing w:before="0" w:after="0"/>
              <w:jc w:val="left"/>
            </w:pPr>
            <w:r w:rsidRPr="000E4321">
              <w:t>22.</w:t>
            </w:r>
          </w:p>
        </w:tc>
        <w:tc>
          <w:tcPr>
            <w:tcW w:w="2686" w:type="dxa"/>
            <w:tcBorders>
              <w:top w:val="single" w:sz="6" w:space="0" w:color="000000"/>
              <w:left w:val="single" w:sz="6" w:space="0" w:color="000000"/>
              <w:bottom w:val="single" w:sz="6" w:space="0" w:color="000000"/>
              <w:right w:val="single" w:sz="6" w:space="0" w:color="000000"/>
            </w:tcBorders>
          </w:tcPr>
          <w:p w14:paraId="13BE5268" w14:textId="2CA02C91" w:rsidR="00A05393" w:rsidRPr="000E4321" w:rsidRDefault="00A05393" w:rsidP="00A05393">
            <w:pPr>
              <w:jc w:val="both"/>
            </w:pPr>
            <w:r w:rsidRPr="000E4321">
              <w:t>Likuma spēka esošā redakcija:</w:t>
            </w:r>
          </w:p>
          <w:p w14:paraId="1DA7BEE6" w14:textId="1E35DF25" w:rsidR="00A05393" w:rsidRPr="000E4321" w:rsidRDefault="00A05393" w:rsidP="00A05393">
            <w:pPr>
              <w:jc w:val="both"/>
            </w:pPr>
            <w:r w:rsidRPr="000E4321">
              <w:t>41. pants. Budžeta tiesības</w:t>
            </w:r>
          </w:p>
          <w:p w14:paraId="47534470" w14:textId="77777777" w:rsidR="00A05393" w:rsidRPr="000E4321" w:rsidRDefault="00A05393" w:rsidP="00A05393">
            <w:pPr>
              <w:jc w:val="both"/>
            </w:pPr>
            <w:r w:rsidRPr="000E4321">
              <w:t>(..)</w:t>
            </w:r>
          </w:p>
          <w:p w14:paraId="60755015" w14:textId="77777777" w:rsidR="00A05393" w:rsidRPr="000E4321" w:rsidRDefault="00A05393" w:rsidP="00A05393">
            <w:pPr>
              <w:jc w:val="both"/>
            </w:pPr>
            <w:r w:rsidRPr="000E4321">
              <w:t>(7) Lai nodrošinātu konsolidētā kopbudžeta kopsavilkuma sagatavošanu, ministrijas un citas centrālās iestādes ne vēlāk kā triju mēnešu laikā pēc gadskārtējā valsts budžeta likuma izsludināšanas iesniedz Finanšu ministrijai informāciju par to padotībā esošo no valsts budžeta daļēji finansēto atvasināto publisko personu apstiprinātajiem budžetiem.</w:t>
            </w:r>
          </w:p>
        </w:tc>
        <w:tc>
          <w:tcPr>
            <w:tcW w:w="5562" w:type="dxa"/>
            <w:gridSpan w:val="2"/>
            <w:tcBorders>
              <w:top w:val="single" w:sz="6" w:space="0" w:color="000000"/>
              <w:left w:val="single" w:sz="6" w:space="0" w:color="000000"/>
              <w:bottom w:val="single" w:sz="6" w:space="0" w:color="000000"/>
              <w:right w:val="single" w:sz="6" w:space="0" w:color="000000"/>
            </w:tcBorders>
          </w:tcPr>
          <w:p w14:paraId="0F8E15D7" w14:textId="77777777" w:rsidR="00A05393" w:rsidRPr="000E4321" w:rsidRDefault="00A05393" w:rsidP="00A05393">
            <w:pPr>
              <w:pStyle w:val="naisc"/>
              <w:spacing w:before="0" w:after="0"/>
              <w:jc w:val="both"/>
            </w:pPr>
            <w:r w:rsidRPr="000E4321">
              <w:rPr>
                <w:b/>
              </w:rPr>
              <w:t>Vides aizsardzības un reģionālās attīstības</w:t>
            </w:r>
            <w:r w:rsidRPr="000E4321">
              <w:t xml:space="preserve"> </w:t>
            </w:r>
            <w:r w:rsidRPr="000E4321">
              <w:rPr>
                <w:b/>
              </w:rPr>
              <w:t>ministrija (iebildums):</w:t>
            </w:r>
          </w:p>
          <w:p w14:paraId="58E89546" w14:textId="77777777" w:rsidR="00A05393" w:rsidRPr="000E4321" w:rsidRDefault="00A05393" w:rsidP="00A05393">
            <w:pPr>
              <w:pStyle w:val="naisc"/>
              <w:spacing w:before="0" w:after="0"/>
              <w:jc w:val="both"/>
            </w:pPr>
            <w:r w:rsidRPr="000E4321">
              <w:t>ierosinām svītrot 41.panta 7.daļu sakarā ar aktualitātes zaudēšanu.</w:t>
            </w:r>
          </w:p>
          <w:p w14:paraId="6DB372CC" w14:textId="77777777" w:rsidR="00A05393" w:rsidRPr="000E4321" w:rsidRDefault="00A05393" w:rsidP="00A05393">
            <w:pPr>
              <w:pStyle w:val="naisc"/>
              <w:spacing w:before="0" w:after="0"/>
              <w:jc w:val="both"/>
            </w:pPr>
            <w:r w:rsidRPr="000E4321">
              <w:t>Anotācijas I.daļas “Tiesību akta projekta izstrāde nepieciešamība” 2.punkta “Pašreizējā situācija un problēmas, kuru risināšanai tiesību akta projekts izstrādāts, tiesiskā regulējuma mērķis un būtība” sadaļas “Precizēta budžeta paskaidrojumu sadaļa un to struktūra atbilstoši praksei” sestajā lapā pirmajā rindkopā norādīts: ”Turpmāk vairs netiks atsevišķi izdalīta informācija par ministriju padotībā esošo no valsts budžeta daļēji finansēto atvasināto publisko personu”.</w:t>
            </w:r>
          </w:p>
        </w:tc>
        <w:tc>
          <w:tcPr>
            <w:tcW w:w="3084" w:type="dxa"/>
            <w:tcBorders>
              <w:top w:val="single" w:sz="6" w:space="0" w:color="000000"/>
              <w:left w:val="single" w:sz="6" w:space="0" w:color="000000"/>
              <w:bottom w:val="single" w:sz="6" w:space="0" w:color="000000"/>
              <w:right w:val="single" w:sz="6" w:space="0" w:color="000000"/>
            </w:tcBorders>
          </w:tcPr>
          <w:p w14:paraId="7910ABA6" w14:textId="1F83F201" w:rsidR="00A05393" w:rsidRPr="000E4321" w:rsidRDefault="00A05393" w:rsidP="00A05393">
            <w:pPr>
              <w:pStyle w:val="naisc"/>
              <w:spacing w:before="0" w:after="0"/>
              <w:jc w:val="both"/>
              <w:rPr>
                <w:b/>
              </w:rPr>
            </w:pPr>
            <w:r w:rsidRPr="000E4321">
              <w:rPr>
                <w:b/>
              </w:rPr>
              <w:t>Ņemts vērā</w:t>
            </w:r>
          </w:p>
          <w:p w14:paraId="586E68FE" w14:textId="34FE35C4" w:rsidR="00A05393" w:rsidRPr="000E4321" w:rsidRDefault="00A05393" w:rsidP="00A05393">
            <w:pPr>
              <w:pStyle w:val="naisc"/>
              <w:spacing w:before="0" w:after="0"/>
              <w:jc w:val="both"/>
            </w:pPr>
            <w:r w:rsidRPr="000E4321">
              <w:t>Svītrota 41.panta septītā daļa.</w:t>
            </w:r>
          </w:p>
          <w:p w14:paraId="6AEEE6BB" w14:textId="77777777" w:rsidR="00A05393" w:rsidRPr="000E4321" w:rsidRDefault="00A05393" w:rsidP="00A05393">
            <w:pPr>
              <w:pStyle w:val="naisc"/>
              <w:spacing w:before="0" w:after="0"/>
              <w:jc w:val="both"/>
            </w:pPr>
          </w:p>
          <w:p w14:paraId="683A29C6" w14:textId="3F7C2F42" w:rsidR="00A05393" w:rsidRPr="000E4321" w:rsidRDefault="00A05393" w:rsidP="00A05393">
            <w:pPr>
              <w:pStyle w:val="naisc"/>
              <w:spacing w:before="0" w:after="0"/>
              <w:jc w:val="both"/>
            </w:pPr>
            <w:r w:rsidRPr="000E4321">
              <w:t>Vienlaikus paskaidrojam, ka anotācijā norādītais attiecas uz budžeta pieprasījumu sagatavošanas posmu. Turklāt turpat ir norādīts, ka lai arī budžeta paskaidrojumos turpmāk šāda informācija (atvasināto publisko personu un budžeta nefinansēto iestāžu saraksts) netiks izdalīta, šāda informācija tiks ievietota Finanšu ministrijas mājas lapā, jo tā ir lietderīgāk.</w:t>
            </w:r>
          </w:p>
          <w:p w14:paraId="1847EA2F" w14:textId="35A9DBE1" w:rsidR="00A05393" w:rsidRPr="000E4321" w:rsidRDefault="00A05393" w:rsidP="00A05393">
            <w:pPr>
              <w:pStyle w:val="naisc"/>
              <w:spacing w:before="0" w:after="0"/>
              <w:jc w:val="both"/>
            </w:pPr>
            <w:r w:rsidRPr="000E4321">
              <w:t>Savukārt 41.pantā minētā informācija ir skaitliska un ir nepieciešama konsolidētā kopbudžeta kopsavilkuma sagatavošanai jau pēc gadskārtējā valsts budžeta likuma izsludināšanas.</w:t>
            </w:r>
          </w:p>
        </w:tc>
        <w:tc>
          <w:tcPr>
            <w:tcW w:w="3127" w:type="dxa"/>
            <w:tcBorders>
              <w:top w:val="single" w:sz="4" w:space="0" w:color="auto"/>
              <w:left w:val="single" w:sz="4" w:space="0" w:color="auto"/>
              <w:bottom w:val="single" w:sz="4" w:space="0" w:color="auto"/>
            </w:tcBorders>
          </w:tcPr>
          <w:p w14:paraId="720AA1E6" w14:textId="70471D98" w:rsidR="00A05393" w:rsidRPr="000E4321" w:rsidRDefault="00A05393" w:rsidP="00A05393">
            <w:pPr>
              <w:pStyle w:val="naisc"/>
              <w:spacing w:before="0" w:after="0"/>
              <w:jc w:val="both"/>
            </w:pPr>
            <w:r w:rsidRPr="000E4321">
              <w:t>17. 41.pantā:</w:t>
            </w:r>
          </w:p>
          <w:p w14:paraId="67104AF1" w14:textId="77777777" w:rsidR="00A05393" w:rsidRPr="000E4321" w:rsidRDefault="00A05393" w:rsidP="00A05393">
            <w:pPr>
              <w:pStyle w:val="naisc"/>
              <w:spacing w:before="0" w:after="0"/>
              <w:jc w:val="both"/>
            </w:pPr>
            <w:r w:rsidRPr="000E4321">
              <w:t>(..)</w:t>
            </w:r>
          </w:p>
          <w:p w14:paraId="006D5AD9" w14:textId="23454949" w:rsidR="00A05393" w:rsidRPr="000E4321" w:rsidRDefault="00A05393" w:rsidP="00A05393">
            <w:pPr>
              <w:pStyle w:val="naisc"/>
              <w:spacing w:before="0" w:after="0"/>
              <w:jc w:val="both"/>
            </w:pPr>
            <w:r w:rsidRPr="000E4321">
              <w:rPr>
                <w:u w:val="single"/>
              </w:rPr>
              <w:t>izslēgt septīto daļu</w:t>
            </w:r>
            <w:r w:rsidRPr="000E4321">
              <w:t>.</w:t>
            </w:r>
          </w:p>
          <w:p w14:paraId="55006E21" w14:textId="77777777" w:rsidR="00A05393" w:rsidRPr="000E4321" w:rsidRDefault="00A05393" w:rsidP="00A05393">
            <w:pPr>
              <w:pStyle w:val="naisc"/>
              <w:spacing w:before="0" w:after="0"/>
              <w:jc w:val="both"/>
            </w:pPr>
          </w:p>
          <w:p w14:paraId="1F2A0DD6" w14:textId="77777777" w:rsidR="00A05393" w:rsidRPr="000E4321" w:rsidRDefault="00A05393" w:rsidP="00A05393">
            <w:pPr>
              <w:pStyle w:val="naisc"/>
              <w:spacing w:before="0" w:after="0"/>
              <w:jc w:val="both"/>
            </w:pPr>
            <w:r w:rsidRPr="000E4321">
              <w:t>Anotācijā:</w:t>
            </w:r>
          </w:p>
          <w:p w14:paraId="19EFBA1C" w14:textId="138CFCB0" w:rsidR="00A05393" w:rsidRPr="000E4321" w:rsidRDefault="00A05393" w:rsidP="00A05393">
            <w:pPr>
              <w:pStyle w:val="naisc"/>
              <w:spacing w:before="0" w:after="0"/>
              <w:jc w:val="both"/>
            </w:pPr>
            <w:r w:rsidRPr="000E4321">
              <w:t>“[</w:t>
            </w:r>
            <w:r w:rsidRPr="000E4321">
              <w:rPr>
                <w:u w:val="single"/>
              </w:rPr>
              <w:t>9] Svītrota 41.panta septītā daļa sakarā ar aktualitātes zaudēšanu. Konsolidētos pārskatus sagatavo, izmantojot datus, ko no valsts budžeta daļēji finansētas atvasinātas publiskas personas iesniedz ePārskatu sistēmā saskaņā ar MK 17.08.2010. noteikumiem Nr.776 “Mēneša pārskatu sagatavošanas un iesniegšanas kārtība” un MK 19.06.2018. noteikumiem Nr.344 “Gada pārskata sagatavošanas kārtība” (sākot ar 2019.gada pārskatu).”</w:t>
            </w:r>
          </w:p>
        </w:tc>
      </w:tr>
      <w:tr w:rsidR="000E4321" w:rsidRPr="000E4321" w14:paraId="3C1A0307" w14:textId="77777777" w:rsidTr="00840182">
        <w:tc>
          <w:tcPr>
            <w:tcW w:w="567" w:type="dxa"/>
            <w:tcBorders>
              <w:top w:val="single" w:sz="6" w:space="0" w:color="000000"/>
              <w:left w:val="single" w:sz="6" w:space="0" w:color="000000"/>
              <w:bottom w:val="single" w:sz="6" w:space="0" w:color="000000"/>
              <w:right w:val="single" w:sz="6" w:space="0" w:color="000000"/>
            </w:tcBorders>
          </w:tcPr>
          <w:p w14:paraId="6FF26353" w14:textId="6969E77E" w:rsidR="000E4321" w:rsidRPr="000E4321" w:rsidRDefault="00B86174" w:rsidP="00A05393">
            <w:pPr>
              <w:pStyle w:val="naisc"/>
              <w:spacing w:before="0" w:after="0"/>
              <w:jc w:val="left"/>
            </w:pPr>
            <w:r>
              <w:lastRenderedPageBreak/>
              <w:t>23</w:t>
            </w:r>
            <w:r w:rsidR="000E4321" w:rsidRPr="000E4321">
              <w:t>.</w:t>
            </w:r>
          </w:p>
        </w:tc>
        <w:tc>
          <w:tcPr>
            <w:tcW w:w="2686" w:type="dxa"/>
            <w:tcBorders>
              <w:top w:val="single" w:sz="6" w:space="0" w:color="000000"/>
              <w:left w:val="single" w:sz="6" w:space="0" w:color="000000"/>
              <w:bottom w:val="single" w:sz="6" w:space="0" w:color="000000"/>
              <w:right w:val="single" w:sz="6" w:space="0" w:color="000000"/>
            </w:tcBorders>
          </w:tcPr>
          <w:p w14:paraId="40D94929" w14:textId="6CF65998" w:rsidR="000E4321" w:rsidRPr="000E4321" w:rsidRDefault="000E4321" w:rsidP="00A05393">
            <w:pPr>
              <w:jc w:val="both"/>
            </w:pPr>
            <w:r w:rsidRPr="000E4321">
              <w:t xml:space="preserve">Anotācijas projekta  </w:t>
            </w:r>
            <w:r>
              <w:t>II. sadaļas 3. punkts.</w:t>
            </w:r>
          </w:p>
        </w:tc>
        <w:tc>
          <w:tcPr>
            <w:tcW w:w="5562" w:type="dxa"/>
            <w:gridSpan w:val="2"/>
            <w:tcBorders>
              <w:top w:val="single" w:sz="6" w:space="0" w:color="000000"/>
              <w:left w:val="single" w:sz="6" w:space="0" w:color="000000"/>
              <w:bottom w:val="single" w:sz="6" w:space="0" w:color="000000"/>
              <w:right w:val="single" w:sz="6" w:space="0" w:color="000000"/>
            </w:tcBorders>
          </w:tcPr>
          <w:p w14:paraId="1EBED739" w14:textId="4B80BA95" w:rsidR="000E4321" w:rsidRPr="000E4321" w:rsidRDefault="000E4321" w:rsidP="00A05393">
            <w:pPr>
              <w:jc w:val="both"/>
              <w:rPr>
                <w:b/>
              </w:rPr>
            </w:pPr>
            <w:r w:rsidRPr="000E4321">
              <w:rPr>
                <w:b/>
              </w:rPr>
              <w:t>Valsts kanceleja (iebildums):</w:t>
            </w:r>
          </w:p>
          <w:p w14:paraId="2482D566" w14:textId="2AC5F474" w:rsidR="000E4321" w:rsidRPr="000E4321" w:rsidRDefault="000E4321" w:rsidP="00A05393">
            <w:pPr>
              <w:jc w:val="both"/>
              <w:rPr>
                <w:b/>
              </w:rPr>
            </w:pPr>
            <w:r w:rsidRPr="000E4321">
              <w:t xml:space="preserve">Valsts kancelejas Valsts pārvaldes politikas departaments ir izvērtējis 2020. gada 14. septembrī saskaņošanai atsūtītos precizētos likumprojektu “Grozījumi Likumā par budžetu un finanšu vadību”, tās sākotnējās ietekmes novērtējuma ziņojumu (anotācijas), izziņu par saņemtajiem iebildumiem, kā arī saistīto likumprojektu “Grozījumi Valsts kontroles likumā”. Informējam, ka neiebilstam pret likumprojektu tālāko virzību, vienlaicīgi izsakot šādu iebildumu: </w:t>
            </w:r>
            <w:r w:rsidRPr="000E4321">
              <w:br/>
              <w:t>Ņemot vērā, ka likumprojektā “Grozījumi Likumā par budžetu un finanšu vadību” paredzēto pasākumu īstenošana sekmēs administratīvā sloga mazināšanu, budžeta sagatavošanas un izpildes procesu efektivizāciju, kā arī nodrošinās budžeta elastības mehānisma īstenošanas iespēja budžeta vadības procesos, tādējādi vēl efektīvāk izmantojot cilvēkresursus analītiskajam darbam, lūdzam korekti aizpildīt anotācijas II. sadaļas 3. punktu, veicot administratīvo izmaksu samazinājuma monetāro novērtējumu visai mērķa grupai (Finanšu ministrija un tās padotības iestādes, nozaru ministrijas un to padotības iestādes, Valsts kontrole, citas centrālās valsts iestādes, pašvaldības). Ņemot vērā minēto likumprojekta mērķi, tas ietekmēs administratīvo izmaksu apjomu, tāpēc iespēju robežās ir jāveic izmaiņu monetārs novērtējums.</w:t>
            </w:r>
          </w:p>
          <w:p w14:paraId="6AD873D9" w14:textId="4938AFD8" w:rsidR="000E4321" w:rsidRPr="000E4321" w:rsidRDefault="000E4321" w:rsidP="00A05393">
            <w:pPr>
              <w:jc w:val="both"/>
              <w:rPr>
                <w:b/>
              </w:rPr>
            </w:pPr>
          </w:p>
        </w:tc>
        <w:tc>
          <w:tcPr>
            <w:tcW w:w="3084" w:type="dxa"/>
            <w:tcBorders>
              <w:top w:val="single" w:sz="6" w:space="0" w:color="000000"/>
              <w:left w:val="single" w:sz="6" w:space="0" w:color="000000"/>
              <w:bottom w:val="single" w:sz="6" w:space="0" w:color="000000"/>
              <w:right w:val="single" w:sz="6" w:space="0" w:color="000000"/>
            </w:tcBorders>
          </w:tcPr>
          <w:p w14:paraId="20C858F1" w14:textId="77777777" w:rsidR="000E4321" w:rsidRPr="000E4321" w:rsidRDefault="000E4321" w:rsidP="000E4321">
            <w:pPr>
              <w:pStyle w:val="naisc"/>
              <w:spacing w:before="0" w:after="0"/>
              <w:jc w:val="both"/>
              <w:rPr>
                <w:b/>
              </w:rPr>
            </w:pPr>
            <w:r>
              <w:rPr>
                <w:b/>
              </w:rPr>
              <w:t>Ņemts vērā</w:t>
            </w:r>
          </w:p>
          <w:p w14:paraId="0CE13064" w14:textId="77777777" w:rsidR="000E4321" w:rsidRPr="000E4321" w:rsidRDefault="000E4321" w:rsidP="00A05393">
            <w:pPr>
              <w:pStyle w:val="naisc"/>
              <w:spacing w:before="0" w:after="0"/>
              <w:jc w:val="both"/>
              <w:rPr>
                <w:b/>
              </w:rPr>
            </w:pPr>
          </w:p>
        </w:tc>
        <w:tc>
          <w:tcPr>
            <w:tcW w:w="3127" w:type="dxa"/>
            <w:tcBorders>
              <w:top w:val="single" w:sz="4" w:space="0" w:color="auto"/>
              <w:left w:val="single" w:sz="4" w:space="0" w:color="auto"/>
              <w:bottom w:val="single" w:sz="4" w:space="0" w:color="auto"/>
            </w:tcBorders>
          </w:tcPr>
          <w:p w14:paraId="26887CB1" w14:textId="2B6F5BF9" w:rsidR="0007006A" w:rsidRDefault="000E4321" w:rsidP="0007006A">
            <w:pPr>
              <w:pStyle w:val="naiskr"/>
              <w:spacing w:before="0" w:after="0"/>
              <w:ind w:right="81"/>
              <w:jc w:val="both"/>
              <w:rPr>
                <w:lang w:eastAsia="en-US"/>
              </w:rPr>
            </w:pPr>
            <w:r w:rsidRPr="000E4321">
              <w:t xml:space="preserve">Anotācijas projekta  </w:t>
            </w:r>
            <w:r>
              <w:t>II. sadaļas 3. punkts papildināts ar šādu tekstu: “</w:t>
            </w:r>
            <w:r w:rsidR="0007006A">
              <w:rPr>
                <w:lang w:eastAsia="en-US"/>
              </w:rPr>
              <w:t xml:space="preserve">Administratīvo izmaksu izmaiņas likumprojekta izstādes brīdī nav precīzi nosakāmas. </w:t>
            </w:r>
            <w:r w:rsidR="009D62FA">
              <w:t xml:space="preserve">Administratīvo izmaksu monetārs novērtējums iespēju robežās var tikt veikts pie jau konkrēto, attiecīgo normatīvo aktu izstrādes par budžeta sagatavošanas un </w:t>
            </w:r>
            <w:r w:rsidR="0007006A">
              <w:t xml:space="preserve">izpildes procesu. </w:t>
            </w:r>
            <w:r w:rsidR="0007006A">
              <w:rPr>
                <w:lang w:eastAsia="en-US"/>
              </w:rPr>
              <w:t xml:space="preserve"> </w:t>
            </w:r>
          </w:p>
          <w:p w14:paraId="5D245BCE" w14:textId="77777777" w:rsidR="0007006A" w:rsidRDefault="0007006A" w:rsidP="0007006A">
            <w:pPr>
              <w:pStyle w:val="naiskr"/>
              <w:spacing w:before="0" w:after="0"/>
              <w:ind w:right="81"/>
              <w:jc w:val="both"/>
              <w:rPr>
                <w:spacing w:val="-2"/>
              </w:rPr>
            </w:pPr>
            <w:r>
              <w:rPr>
                <w:lang w:eastAsia="en-US"/>
              </w:rPr>
              <w:t xml:space="preserve">Likumprojektā paredzētais </w:t>
            </w:r>
            <w:r>
              <w:rPr>
                <w:spacing w:val="-2"/>
              </w:rPr>
              <w:t>valsts aizdevuma apkalpošanas procesa pilnveidošanas risinājums nodrošina procesa automatizāciju un samazina procesa administratīvo ietilpību, kas varētu būt precīzi nosakāma vidējā termiņā, jo ieviešot jaunu procesa izpildi sākotnēji nepieciešama procesa administratīvā pārstrukturizācija, kā arī pieaug konsultatīvais darbs.</w:t>
            </w:r>
          </w:p>
          <w:p w14:paraId="360A16D0" w14:textId="58831236" w:rsidR="000E4321" w:rsidRPr="000E4321" w:rsidRDefault="0007006A" w:rsidP="0007006A">
            <w:pPr>
              <w:jc w:val="both"/>
            </w:pPr>
            <w:r>
              <w:t xml:space="preserve">Likumprojektā paredzētais pilnveidotais budžeta elastības mehānisms vidējā termiņā mazinās nepieciešamību veikt līdzekļu pārdales gada beigās, jo būs iespēja finanšu līdzekļus turpināt izmantot </w:t>
            </w:r>
            <w:r>
              <w:lastRenderedPageBreak/>
              <w:t>nākamajā saimnieciskajā gadā. Tomēr mehānisma ieviešanai un nostiprināšanai tā sākuma fāzē būs nepieciešams izstrādāt grozījumus attiecīgajos normatīvajos aktos un veikt skaidrojošo darbu ar ministrijām. Ilgākā termiņā budžeta elastības palielināšana ir skatāma kompleksi ar budžeta izpildītāju atbildības stiprināšanu un budžeta līdzekļu efektīvu un racionālu izmantošanu, tādejādi pilnveidojumu rezultātā ietaupītie resursi tiks novirzīti padziļinātākam analītiskam darbam.”</w:t>
            </w:r>
          </w:p>
        </w:tc>
      </w:tr>
      <w:tr w:rsidR="0007006A" w:rsidRPr="000E4321" w14:paraId="23F661D1" w14:textId="77777777" w:rsidTr="00840182">
        <w:tc>
          <w:tcPr>
            <w:tcW w:w="567" w:type="dxa"/>
            <w:tcBorders>
              <w:top w:val="single" w:sz="6" w:space="0" w:color="000000"/>
              <w:left w:val="single" w:sz="6" w:space="0" w:color="000000"/>
              <w:bottom w:val="single" w:sz="6" w:space="0" w:color="000000"/>
              <w:right w:val="single" w:sz="6" w:space="0" w:color="000000"/>
            </w:tcBorders>
          </w:tcPr>
          <w:p w14:paraId="610774C8" w14:textId="24706A38" w:rsidR="0007006A" w:rsidRPr="000E4321" w:rsidRDefault="00B86174" w:rsidP="00A05393">
            <w:pPr>
              <w:pStyle w:val="naisc"/>
              <w:spacing w:before="0" w:after="0"/>
              <w:jc w:val="left"/>
            </w:pPr>
            <w:r>
              <w:lastRenderedPageBreak/>
              <w:t>24</w:t>
            </w:r>
            <w:r w:rsidR="0007006A">
              <w:t>.</w:t>
            </w:r>
          </w:p>
        </w:tc>
        <w:tc>
          <w:tcPr>
            <w:tcW w:w="2686" w:type="dxa"/>
            <w:tcBorders>
              <w:top w:val="single" w:sz="6" w:space="0" w:color="000000"/>
              <w:left w:val="single" w:sz="6" w:space="0" w:color="000000"/>
              <w:bottom w:val="single" w:sz="6" w:space="0" w:color="000000"/>
              <w:right w:val="single" w:sz="6" w:space="0" w:color="000000"/>
            </w:tcBorders>
          </w:tcPr>
          <w:p w14:paraId="7618136A" w14:textId="7ED94D7F" w:rsidR="0007006A" w:rsidRPr="000E4321" w:rsidRDefault="0007006A" w:rsidP="00A05393">
            <w:pPr>
              <w:jc w:val="both"/>
            </w:pPr>
            <w:r>
              <w:t>Anotācijas projekts.</w:t>
            </w:r>
          </w:p>
        </w:tc>
        <w:tc>
          <w:tcPr>
            <w:tcW w:w="5562" w:type="dxa"/>
            <w:gridSpan w:val="2"/>
            <w:tcBorders>
              <w:top w:val="single" w:sz="6" w:space="0" w:color="000000"/>
              <w:left w:val="single" w:sz="6" w:space="0" w:color="000000"/>
              <w:bottom w:val="single" w:sz="6" w:space="0" w:color="000000"/>
              <w:right w:val="single" w:sz="6" w:space="0" w:color="000000"/>
            </w:tcBorders>
          </w:tcPr>
          <w:p w14:paraId="455ABFE8" w14:textId="526A68E4" w:rsidR="0007006A" w:rsidRPr="0007006A" w:rsidRDefault="0007006A" w:rsidP="0007006A">
            <w:pPr>
              <w:jc w:val="both"/>
            </w:pPr>
            <w:r w:rsidRPr="0007006A">
              <w:rPr>
                <w:b/>
              </w:rPr>
              <w:t>Iekšlietu ministrija</w:t>
            </w:r>
            <w:r w:rsidRPr="0007006A">
              <w:t xml:space="preserve"> saskaņo likumprojektu “Grozījumi Likumā par budžetu un finanšu vadību”, ja vienlaikus tiek paredzēts, ka tiek izdarīti grozījumi arī gada pārskatu regulējošos normatīvajos aktos, mazinot sagatavojamo veidlapu skaitu un pārskatot tajās ietverto informāciju un tās nepieciešamību.</w:t>
            </w:r>
          </w:p>
          <w:p w14:paraId="14ADC5E4" w14:textId="77777777" w:rsidR="0007006A" w:rsidRPr="0007006A" w:rsidRDefault="0007006A" w:rsidP="00A05393">
            <w:pPr>
              <w:jc w:val="both"/>
              <w:rPr>
                <w:b/>
              </w:rPr>
            </w:pPr>
          </w:p>
        </w:tc>
        <w:tc>
          <w:tcPr>
            <w:tcW w:w="3084" w:type="dxa"/>
            <w:tcBorders>
              <w:top w:val="single" w:sz="6" w:space="0" w:color="000000"/>
              <w:left w:val="single" w:sz="6" w:space="0" w:color="000000"/>
              <w:bottom w:val="single" w:sz="6" w:space="0" w:color="000000"/>
              <w:right w:val="single" w:sz="6" w:space="0" w:color="000000"/>
            </w:tcBorders>
          </w:tcPr>
          <w:p w14:paraId="698D8362" w14:textId="2BAB1A2F" w:rsidR="0007006A" w:rsidRPr="0007006A" w:rsidRDefault="0007006A" w:rsidP="000E4321">
            <w:pPr>
              <w:pStyle w:val="naisc"/>
              <w:spacing w:before="0" w:after="0"/>
              <w:jc w:val="both"/>
              <w:rPr>
                <w:b/>
              </w:rPr>
            </w:pPr>
            <w:r w:rsidRPr="0007006A">
              <w:rPr>
                <w:b/>
              </w:rPr>
              <w:t>Ņemts vērā</w:t>
            </w:r>
          </w:p>
        </w:tc>
        <w:tc>
          <w:tcPr>
            <w:tcW w:w="3127" w:type="dxa"/>
            <w:tcBorders>
              <w:top w:val="single" w:sz="4" w:space="0" w:color="auto"/>
              <w:left w:val="single" w:sz="4" w:space="0" w:color="auto"/>
              <w:bottom w:val="single" w:sz="4" w:space="0" w:color="auto"/>
            </w:tcBorders>
          </w:tcPr>
          <w:p w14:paraId="74F63258" w14:textId="44722F6E" w:rsidR="0007006A" w:rsidRPr="0007006A" w:rsidRDefault="0007006A" w:rsidP="0007006A">
            <w:pPr>
              <w:pStyle w:val="naisc"/>
              <w:jc w:val="both"/>
            </w:pPr>
            <w:r>
              <w:t>Anotācijas projekts papildināts ar šādu tekstu: “</w:t>
            </w:r>
            <w:r w:rsidRPr="000E4321">
              <w:t>Lai mazinātu ministriju bažas par gada pārskata sagatavošanas termiņiem, kas varētu ietekmēt datu precizitāti un kvalitāti, Valsts kase pārrunājusi ar Valsts kontroli ministriju izteiktos iebildumus attiecībā uz Valsts kontroles noteiktajiem gada pārskata sniegšanas termiņiem. Valsts kontrole 2020.gada saimnieciskā g</w:t>
            </w:r>
            <w:r>
              <w:t>ada pārskata revīzijas ietvaros</w:t>
            </w:r>
            <w:r w:rsidRPr="000E4321">
              <w:t xml:space="preserve"> </w:t>
            </w:r>
            <w:r w:rsidRPr="000E4321">
              <w:lastRenderedPageBreak/>
              <w:t>plāno veikt horizontālās pārbaudes par gada pārskata sagatavošanas procesu ministrijās un centrālajās valsts iestādēs.</w:t>
            </w:r>
            <w:r>
              <w:t xml:space="preserve"> </w:t>
            </w:r>
            <w:r w:rsidRPr="000E4321">
              <w:t>Ņemot vērā Valsts kontroles revīzijās konstatēto, iespējams optimizēt gada pārskata sagatavošanas laiku.</w:t>
            </w:r>
            <w:r>
              <w:t>”</w:t>
            </w:r>
          </w:p>
        </w:tc>
      </w:tr>
      <w:tr w:rsidR="00A05393" w:rsidRPr="000E4321" w14:paraId="763458EE"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3FAA8B9" w14:textId="77777777" w:rsidR="00A05393" w:rsidRPr="000E4321" w:rsidRDefault="00A05393" w:rsidP="00A05393">
            <w:pPr>
              <w:pStyle w:val="naiskr"/>
              <w:spacing w:before="0" w:after="0"/>
              <w:jc w:val="both"/>
            </w:pPr>
          </w:p>
        </w:tc>
        <w:tc>
          <w:tcPr>
            <w:tcW w:w="6158" w:type="dxa"/>
            <w:gridSpan w:val="2"/>
          </w:tcPr>
          <w:p w14:paraId="7227A6BB" w14:textId="77777777" w:rsidR="00A05393" w:rsidRPr="000E4321" w:rsidRDefault="00A05393" w:rsidP="00A05393">
            <w:pPr>
              <w:pStyle w:val="naiskr"/>
              <w:spacing w:before="0" w:after="0"/>
              <w:ind w:firstLine="720"/>
            </w:pPr>
          </w:p>
        </w:tc>
      </w:tr>
      <w:tr w:rsidR="00A05393" w:rsidRPr="000E4321" w14:paraId="6A9C0DA3"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50FA195" w14:textId="1D0FEB24" w:rsidR="00A05393" w:rsidRPr="000E4321" w:rsidRDefault="00A05393" w:rsidP="00A05393">
            <w:pPr>
              <w:pStyle w:val="naiskr"/>
              <w:spacing w:before="0" w:after="0"/>
              <w:jc w:val="both"/>
            </w:pPr>
          </w:p>
          <w:p w14:paraId="76EABB27" w14:textId="67FA2A76" w:rsidR="00A05393" w:rsidRPr="000E4321" w:rsidRDefault="00A05393" w:rsidP="00A05393">
            <w:pPr>
              <w:pStyle w:val="naiskr"/>
              <w:spacing w:before="0" w:after="60"/>
              <w:jc w:val="both"/>
            </w:pPr>
            <w:r w:rsidRPr="000E4321">
              <w:t>Atbildīgā amatpersona</w:t>
            </w:r>
          </w:p>
        </w:tc>
        <w:tc>
          <w:tcPr>
            <w:tcW w:w="6158" w:type="dxa"/>
            <w:gridSpan w:val="2"/>
            <w:tcBorders>
              <w:bottom w:val="single" w:sz="4" w:space="0" w:color="auto"/>
            </w:tcBorders>
          </w:tcPr>
          <w:p w14:paraId="261ABB9C" w14:textId="77777777" w:rsidR="00A05393" w:rsidRPr="000E4321" w:rsidRDefault="00A05393" w:rsidP="00A05393">
            <w:pPr>
              <w:pStyle w:val="naiskr"/>
              <w:spacing w:before="0" w:after="0"/>
              <w:ind w:firstLine="720"/>
            </w:pPr>
            <w:r w:rsidRPr="000E4321">
              <w:t>  </w:t>
            </w:r>
          </w:p>
        </w:tc>
      </w:tr>
      <w:tr w:rsidR="00A05393" w:rsidRPr="000E4321" w14:paraId="7BBCD7CD"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FC4085E" w14:textId="77777777" w:rsidR="00A05393" w:rsidRPr="000E4321" w:rsidRDefault="00A05393" w:rsidP="00A05393">
            <w:pPr>
              <w:pStyle w:val="naiskr"/>
              <w:spacing w:before="0" w:after="0"/>
              <w:ind w:firstLine="720"/>
              <w:jc w:val="both"/>
            </w:pPr>
          </w:p>
        </w:tc>
        <w:tc>
          <w:tcPr>
            <w:tcW w:w="6158" w:type="dxa"/>
            <w:gridSpan w:val="2"/>
            <w:tcBorders>
              <w:top w:val="single" w:sz="4" w:space="0" w:color="auto"/>
            </w:tcBorders>
          </w:tcPr>
          <w:p w14:paraId="1E81FC68" w14:textId="77777777" w:rsidR="00A05393" w:rsidRPr="000E4321" w:rsidRDefault="00A05393" w:rsidP="00A05393">
            <w:pPr>
              <w:pStyle w:val="naisc"/>
              <w:spacing w:before="0" w:after="0"/>
              <w:ind w:firstLine="720"/>
            </w:pPr>
            <w:r w:rsidRPr="000E4321">
              <w:t>(paraksts*)</w:t>
            </w:r>
          </w:p>
        </w:tc>
      </w:tr>
    </w:tbl>
    <w:p w14:paraId="79E89246" w14:textId="7DA49CC8" w:rsidR="002D06B1" w:rsidRDefault="00840182" w:rsidP="00D65653">
      <w:pPr>
        <w:pStyle w:val="naisf"/>
        <w:spacing w:before="120" w:after="0"/>
        <w:ind w:firstLine="0"/>
        <w:rPr>
          <w:sz w:val="20"/>
          <w:szCs w:val="20"/>
        </w:rPr>
      </w:pPr>
      <w:r>
        <w:rPr>
          <w:sz w:val="20"/>
          <w:szCs w:val="20"/>
        </w:rPr>
        <w:br w:type="textWrapping" w:clear="all"/>
      </w:r>
      <w:r w:rsidR="00184479" w:rsidRPr="00F373B8">
        <w:rPr>
          <w:sz w:val="20"/>
          <w:szCs w:val="20"/>
        </w:rPr>
        <w:t>Piezīme.</w:t>
      </w:r>
      <w:r w:rsidR="00767BF3" w:rsidRPr="00F373B8">
        <w:rPr>
          <w:sz w:val="20"/>
          <w:szCs w:val="20"/>
        </w:rPr>
        <w:t> </w:t>
      </w:r>
      <w:r w:rsidR="00FB6C91" w:rsidRPr="00F373B8">
        <w:rPr>
          <w:sz w:val="20"/>
          <w:szCs w:val="20"/>
        </w:rPr>
        <w:t>*</w:t>
      </w:r>
      <w:r w:rsidR="00767BF3" w:rsidRPr="00F373B8">
        <w:rPr>
          <w:sz w:val="20"/>
          <w:szCs w:val="20"/>
        </w:rPr>
        <w:t> </w:t>
      </w:r>
      <w:r w:rsidR="00317DC7" w:rsidRPr="00F373B8">
        <w:rPr>
          <w:sz w:val="20"/>
          <w:szCs w:val="20"/>
        </w:rPr>
        <w:t xml:space="preserve">Dokumenta rekvizītu </w:t>
      </w:r>
      <w:r w:rsidR="00364BB6" w:rsidRPr="00F373B8">
        <w:rPr>
          <w:sz w:val="20"/>
          <w:szCs w:val="20"/>
        </w:rPr>
        <w:t>"</w:t>
      </w:r>
      <w:r w:rsidR="0018210A" w:rsidRPr="00F373B8">
        <w:rPr>
          <w:sz w:val="20"/>
          <w:szCs w:val="20"/>
        </w:rPr>
        <w:t>p</w:t>
      </w:r>
      <w:r w:rsidR="00317DC7" w:rsidRPr="00F373B8">
        <w:rPr>
          <w:sz w:val="20"/>
          <w:szCs w:val="20"/>
        </w:rPr>
        <w:t>araksts</w:t>
      </w:r>
      <w:r w:rsidR="00364BB6" w:rsidRPr="00F373B8">
        <w:rPr>
          <w:sz w:val="20"/>
          <w:szCs w:val="20"/>
        </w:rPr>
        <w:t>"</w:t>
      </w:r>
      <w:r w:rsidR="00317DC7" w:rsidRPr="00F373B8">
        <w:rPr>
          <w:sz w:val="20"/>
          <w:szCs w:val="20"/>
        </w:rPr>
        <w:t xml:space="preserve"> neaizpilda, ja elektroniskais dokuments ir </w:t>
      </w:r>
      <w:r w:rsidR="00184479" w:rsidRPr="00F373B8">
        <w:rPr>
          <w:sz w:val="20"/>
          <w:szCs w:val="20"/>
        </w:rPr>
        <w:t>sagatavots</w:t>
      </w:r>
      <w:r w:rsidR="00317DC7" w:rsidRPr="00F373B8">
        <w:rPr>
          <w:sz w:val="20"/>
          <w:szCs w:val="20"/>
        </w:rPr>
        <w:t xml:space="preserve"> atbilstoši </w:t>
      </w:r>
      <w:r w:rsidR="00184479" w:rsidRPr="00F373B8">
        <w:rPr>
          <w:sz w:val="20"/>
          <w:szCs w:val="20"/>
        </w:rPr>
        <w:t xml:space="preserve">normatīvajiem aktiem par </w:t>
      </w:r>
      <w:r w:rsidR="00317DC7" w:rsidRPr="00F373B8">
        <w:rPr>
          <w:sz w:val="20"/>
          <w:szCs w:val="20"/>
        </w:rPr>
        <w:t>elektronisko dokumentu noformēšan</w:t>
      </w:r>
      <w:r w:rsidR="00184479" w:rsidRPr="00F373B8">
        <w:rPr>
          <w:sz w:val="20"/>
          <w:szCs w:val="20"/>
        </w:rPr>
        <w:t>u.</w:t>
      </w:r>
    </w:p>
    <w:p w14:paraId="5892B3F4" w14:textId="1469312D" w:rsidR="00EE1D75" w:rsidRDefault="00EE1D75" w:rsidP="00F373B8">
      <w:pPr>
        <w:jc w:val="both"/>
      </w:pPr>
    </w:p>
    <w:p w14:paraId="2290486B" w14:textId="56A50D3C" w:rsidR="00FC48BF" w:rsidRDefault="00FC48BF" w:rsidP="00F373B8">
      <w:pPr>
        <w:jc w:val="both"/>
      </w:pPr>
    </w:p>
    <w:p w14:paraId="14F9ABEA" w14:textId="77777777" w:rsidR="00FC48BF" w:rsidRDefault="00FC48BF" w:rsidP="00F373B8">
      <w:pPr>
        <w:jc w:val="both"/>
      </w:pPr>
    </w:p>
    <w:p w14:paraId="77F06159" w14:textId="4ED83C6B" w:rsidR="00F373B8" w:rsidRPr="00FC48BF" w:rsidRDefault="00F373B8" w:rsidP="00F373B8">
      <w:pPr>
        <w:jc w:val="both"/>
        <w:rPr>
          <w:sz w:val="22"/>
          <w:szCs w:val="22"/>
        </w:rPr>
      </w:pPr>
      <w:r w:rsidRPr="00FC48BF">
        <w:rPr>
          <w:sz w:val="22"/>
          <w:szCs w:val="22"/>
        </w:rPr>
        <w:t>Ludmila Jevčuka</w:t>
      </w:r>
    </w:p>
    <w:p w14:paraId="5BD39A94" w14:textId="77777777" w:rsidR="00020F08" w:rsidRPr="00FC48BF" w:rsidRDefault="00F373B8" w:rsidP="00F373B8">
      <w:pPr>
        <w:jc w:val="both"/>
        <w:rPr>
          <w:sz w:val="22"/>
          <w:szCs w:val="22"/>
        </w:rPr>
      </w:pPr>
      <w:r w:rsidRPr="00FC48BF">
        <w:rPr>
          <w:sz w:val="22"/>
          <w:szCs w:val="22"/>
        </w:rPr>
        <w:t xml:space="preserve">Finanšu ministrijas </w:t>
      </w:r>
      <w:r w:rsidR="00020F08" w:rsidRPr="00FC48BF">
        <w:rPr>
          <w:sz w:val="22"/>
          <w:szCs w:val="22"/>
        </w:rPr>
        <w:t>Budžeta politikas attīstības departamenta</w:t>
      </w:r>
    </w:p>
    <w:p w14:paraId="5FDDF45C" w14:textId="77777777" w:rsidR="00F373B8" w:rsidRPr="00FC48BF" w:rsidRDefault="00F373B8" w:rsidP="00F373B8">
      <w:pPr>
        <w:jc w:val="both"/>
        <w:rPr>
          <w:sz w:val="22"/>
          <w:szCs w:val="22"/>
        </w:rPr>
      </w:pPr>
      <w:r w:rsidRPr="00FC48BF">
        <w:rPr>
          <w:sz w:val="22"/>
          <w:szCs w:val="22"/>
        </w:rPr>
        <w:t>Budžeta metodoloģijas nodaļas vadītāja</w:t>
      </w:r>
    </w:p>
    <w:p w14:paraId="4066EE81" w14:textId="20E92DC1" w:rsidR="006E4B7A" w:rsidRPr="00FC48BF" w:rsidRDefault="00F373B8" w:rsidP="000F4179">
      <w:pPr>
        <w:jc w:val="both"/>
        <w:rPr>
          <w:rStyle w:val="Hyperlink"/>
          <w:sz w:val="22"/>
          <w:szCs w:val="22"/>
        </w:rPr>
      </w:pPr>
      <w:r w:rsidRPr="00FC48BF">
        <w:rPr>
          <w:sz w:val="22"/>
          <w:szCs w:val="22"/>
        </w:rPr>
        <w:t>Tālr. 67095442,</w:t>
      </w:r>
      <w:r w:rsidR="0095063D" w:rsidRPr="00FC48BF">
        <w:rPr>
          <w:sz w:val="22"/>
          <w:szCs w:val="22"/>
        </w:rPr>
        <w:t xml:space="preserve"> </w:t>
      </w:r>
      <w:hyperlink r:id="rId12" w:history="1">
        <w:r w:rsidRPr="00FC48BF">
          <w:rPr>
            <w:rStyle w:val="Hyperlink"/>
            <w:sz w:val="22"/>
            <w:szCs w:val="22"/>
          </w:rPr>
          <w:t>ludmila.jevcuka@fm.gov.lv</w:t>
        </w:r>
      </w:hyperlink>
    </w:p>
    <w:p w14:paraId="2C8CFE36" w14:textId="77777777" w:rsidR="00FC48BF" w:rsidRPr="00FC48BF" w:rsidRDefault="00FC48BF" w:rsidP="000F4179">
      <w:pPr>
        <w:jc w:val="both"/>
        <w:rPr>
          <w:rStyle w:val="Hyperlink"/>
          <w:sz w:val="22"/>
          <w:szCs w:val="22"/>
        </w:rPr>
      </w:pPr>
    </w:p>
    <w:p w14:paraId="2B89E9A3" w14:textId="782AA94A" w:rsidR="006E4B7A" w:rsidRPr="00FC48BF" w:rsidRDefault="006E4B7A" w:rsidP="006E4B7A">
      <w:pPr>
        <w:jc w:val="both"/>
        <w:rPr>
          <w:sz w:val="22"/>
          <w:szCs w:val="22"/>
        </w:rPr>
      </w:pPr>
      <w:r w:rsidRPr="00FC48BF">
        <w:rPr>
          <w:sz w:val="22"/>
          <w:szCs w:val="22"/>
        </w:rPr>
        <w:t>Ieva Klinsone</w:t>
      </w:r>
    </w:p>
    <w:p w14:paraId="64D4DD4B" w14:textId="77777777" w:rsidR="006E4B7A" w:rsidRPr="00FC48BF" w:rsidRDefault="006E4B7A" w:rsidP="006E4B7A">
      <w:pPr>
        <w:jc w:val="both"/>
        <w:rPr>
          <w:sz w:val="22"/>
          <w:szCs w:val="22"/>
        </w:rPr>
      </w:pPr>
      <w:r w:rsidRPr="00FC48BF">
        <w:rPr>
          <w:sz w:val="22"/>
          <w:szCs w:val="22"/>
        </w:rPr>
        <w:t>Finanšu ministrijas Budžeta politikas attīstības departamenta</w:t>
      </w:r>
    </w:p>
    <w:p w14:paraId="553A603C" w14:textId="32B473E2" w:rsidR="006E4B7A" w:rsidRPr="00FC48BF" w:rsidRDefault="006E4B7A" w:rsidP="006E4B7A">
      <w:pPr>
        <w:jc w:val="both"/>
        <w:rPr>
          <w:sz w:val="22"/>
          <w:szCs w:val="22"/>
        </w:rPr>
      </w:pPr>
      <w:r w:rsidRPr="00FC48BF">
        <w:rPr>
          <w:sz w:val="22"/>
          <w:szCs w:val="22"/>
        </w:rPr>
        <w:t>Budžeta metodoloģijas nodaļas vecākā eksperte</w:t>
      </w:r>
    </w:p>
    <w:p w14:paraId="7FF6A790" w14:textId="4E753620" w:rsidR="00C47120" w:rsidRPr="00FC48BF" w:rsidRDefault="006E4B7A" w:rsidP="000F4179">
      <w:pPr>
        <w:jc w:val="both"/>
        <w:rPr>
          <w:rStyle w:val="Hyperlink"/>
          <w:sz w:val="22"/>
          <w:szCs w:val="22"/>
        </w:rPr>
      </w:pPr>
      <w:r w:rsidRPr="00FC48BF">
        <w:rPr>
          <w:sz w:val="22"/>
          <w:szCs w:val="22"/>
        </w:rPr>
        <w:t xml:space="preserve">Tālr. 67095531, </w:t>
      </w:r>
      <w:hyperlink r:id="rId13" w:history="1">
        <w:r w:rsidRPr="00FC48BF">
          <w:rPr>
            <w:rStyle w:val="Hyperlink"/>
            <w:sz w:val="22"/>
            <w:szCs w:val="22"/>
          </w:rPr>
          <w:t>ieva.klinsone@fm.gov.lv</w:t>
        </w:r>
      </w:hyperlink>
    </w:p>
    <w:p w14:paraId="01AA38AE" w14:textId="77777777" w:rsidR="00FC48BF" w:rsidRPr="00FC48BF" w:rsidRDefault="00FC48BF" w:rsidP="000F4179">
      <w:pPr>
        <w:jc w:val="both"/>
        <w:rPr>
          <w:rStyle w:val="Hyperlink"/>
          <w:sz w:val="22"/>
          <w:szCs w:val="22"/>
        </w:rPr>
      </w:pPr>
    </w:p>
    <w:p w14:paraId="745032F5" w14:textId="08835442" w:rsidR="00C47120" w:rsidRPr="00FC48BF" w:rsidRDefault="00C47120" w:rsidP="00C47120">
      <w:pPr>
        <w:jc w:val="both"/>
        <w:rPr>
          <w:sz w:val="22"/>
          <w:szCs w:val="22"/>
        </w:rPr>
      </w:pPr>
      <w:r w:rsidRPr="00FC48BF">
        <w:rPr>
          <w:sz w:val="22"/>
          <w:szCs w:val="22"/>
        </w:rPr>
        <w:t>Žanete Zvaigzne</w:t>
      </w:r>
    </w:p>
    <w:p w14:paraId="43BFC482" w14:textId="77777777" w:rsidR="00C47120" w:rsidRPr="00FC48BF" w:rsidRDefault="00C47120" w:rsidP="00C47120">
      <w:pPr>
        <w:jc w:val="both"/>
        <w:rPr>
          <w:sz w:val="22"/>
          <w:szCs w:val="22"/>
        </w:rPr>
      </w:pPr>
      <w:r w:rsidRPr="00FC48BF">
        <w:rPr>
          <w:sz w:val="22"/>
          <w:szCs w:val="22"/>
        </w:rPr>
        <w:t>Finanšu ministrijas Budžeta politikas attīstības departamenta</w:t>
      </w:r>
    </w:p>
    <w:p w14:paraId="2EE29175" w14:textId="17DFAF00" w:rsidR="00C47120" w:rsidRPr="00FC48BF" w:rsidRDefault="00C47120" w:rsidP="00C47120">
      <w:pPr>
        <w:jc w:val="both"/>
        <w:rPr>
          <w:sz w:val="22"/>
          <w:szCs w:val="22"/>
        </w:rPr>
      </w:pPr>
      <w:r w:rsidRPr="00FC48BF">
        <w:rPr>
          <w:sz w:val="22"/>
          <w:szCs w:val="22"/>
        </w:rPr>
        <w:t>Budžeta metodoloģijas nodaļas vadītāja vietniece</w:t>
      </w:r>
    </w:p>
    <w:p w14:paraId="0FB72C2B" w14:textId="7234B760" w:rsidR="00C47120" w:rsidRPr="00FC48BF" w:rsidRDefault="00C47120" w:rsidP="000F4179">
      <w:pPr>
        <w:jc w:val="both"/>
        <w:rPr>
          <w:color w:val="0000FF"/>
          <w:sz w:val="22"/>
          <w:szCs w:val="22"/>
          <w:u w:val="single"/>
        </w:rPr>
      </w:pPr>
      <w:r w:rsidRPr="00FC48BF">
        <w:rPr>
          <w:sz w:val="22"/>
          <w:szCs w:val="22"/>
        </w:rPr>
        <w:t xml:space="preserve">Tālr. 67083976, </w:t>
      </w:r>
      <w:hyperlink r:id="rId14" w:history="1">
        <w:r w:rsidRPr="00FC48BF">
          <w:rPr>
            <w:rStyle w:val="Hyperlink"/>
            <w:sz w:val="22"/>
            <w:szCs w:val="22"/>
          </w:rPr>
          <w:t>zanete.zvaigzne@fm.gov.lv</w:t>
        </w:r>
      </w:hyperlink>
    </w:p>
    <w:sectPr w:rsidR="00C47120" w:rsidRPr="00FC48BF" w:rsidSect="006C44AD">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0B23" w14:textId="77777777" w:rsidR="00D908E7" w:rsidRDefault="00D908E7">
      <w:r>
        <w:separator/>
      </w:r>
    </w:p>
  </w:endnote>
  <w:endnote w:type="continuationSeparator" w:id="0">
    <w:p w14:paraId="5EE632F7" w14:textId="77777777" w:rsidR="00D908E7" w:rsidRDefault="00D908E7">
      <w:r>
        <w:continuationSeparator/>
      </w:r>
    </w:p>
  </w:endnote>
  <w:endnote w:type="continuationNotice" w:id="1">
    <w:p w14:paraId="2636C367" w14:textId="77777777" w:rsidR="00D908E7" w:rsidRDefault="00D90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A4A1" w14:textId="77777777" w:rsidR="000E2818" w:rsidRDefault="000E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3278" w14:textId="0B0166A6" w:rsidR="00D908E7" w:rsidRPr="00AD01AA" w:rsidRDefault="000E2818" w:rsidP="00AD01AA">
    <w:pPr>
      <w:pStyle w:val="Footer"/>
      <w:rPr>
        <w:sz w:val="20"/>
        <w:szCs w:val="20"/>
      </w:rPr>
    </w:pPr>
    <w:r>
      <w:rPr>
        <w:sz w:val="20"/>
        <w:szCs w:val="20"/>
      </w:rPr>
      <w:t>FMizz_22</w:t>
    </w:r>
    <w:bookmarkStart w:id="0" w:name="_GoBack"/>
    <w:bookmarkEnd w:id="0"/>
    <w:r w:rsidR="00D908E7">
      <w:rPr>
        <w:sz w:val="20"/>
        <w:szCs w:val="20"/>
      </w:rPr>
      <w:t>0920_LBFV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B6BE" w14:textId="2522FFBD" w:rsidR="00D908E7" w:rsidRPr="00015C84" w:rsidRDefault="000E2818" w:rsidP="00364BB6">
    <w:pPr>
      <w:pStyle w:val="Footer"/>
      <w:rPr>
        <w:sz w:val="20"/>
        <w:szCs w:val="20"/>
      </w:rPr>
    </w:pPr>
    <w:r>
      <w:rPr>
        <w:sz w:val="20"/>
        <w:szCs w:val="20"/>
      </w:rPr>
      <w:t>FMizz_22</w:t>
    </w:r>
    <w:r w:rsidR="00D908E7">
      <w:rPr>
        <w:sz w:val="20"/>
        <w:szCs w:val="20"/>
      </w:rPr>
      <w:t>0920_LBFV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E8EB1" w14:textId="77777777" w:rsidR="00D908E7" w:rsidRDefault="00D908E7">
      <w:r>
        <w:separator/>
      </w:r>
    </w:p>
  </w:footnote>
  <w:footnote w:type="continuationSeparator" w:id="0">
    <w:p w14:paraId="059644DD" w14:textId="77777777" w:rsidR="00D908E7" w:rsidRDefault="00D908E7">
      <w:r>
        <w:continuationSeparator/>
      </w:r>
    </w:p>
  </w:footnote>
  <w:footnote w:type="continuationNotice" w:id="1">
    <w:p w14:paraId="56B99EE0" w14:textId="77777777" w:rsidR="00D908E7" w:rsidRDefault="00D908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9C3A" w14:textId="77777777" w:rsidR="00D908E7" w:rsidRDefault="00D908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D3590" w14:textId="77777777" w:rsidR="00D908E7" w:rsidRDefault="00D90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3CC9" w14:textId="3847176B" w:rsidR="00D908E7" w:rsidRDefault="00D908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818">
      <w:rPr>
        <w:rStyle w:val="PageNumber"/>
        <w:noProof/>
      </w:rPr>
      <w:t>2</w:t>
    </w:r>
    <w:r>
      <w:rPr>
        <w:rStyle w:val="PageNumber"/>
      </w:rPr>
      <w:fldChar w:fldCharType="end"/>
    </w:r>
  </w:p>
  <w:p w14:paraId="74C2B280" w14:textId="77777777" w:rsidR="00D908E7" w:rsidRDefault="00D90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9FEC" w14:textId="77777777" w:rsidR="000E2818" w:rsidRDefault="000E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E959FA"/>
    <w:multiLevelType w:val="hybridMultilevel"/>
    <w:tmpl w:val="830CC300"/>
    <w:lvl w:ilvl="0" w:tplc="702E1D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3"/>
  </w:num>
  <w:num w:numId="5">
    <w:abstractNumId w:val="1"/>
  </w:num>
  <w:num w:numId="6">
    <w:abstractNumId w:val="0"/>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68"/>
    <w:rsid w:val="00001F89"/>
    <w:rsid w:val="00002212"/>
    <w:rsid w:val="00002C15"/>
    <w:rsid w:val="00002E86"/>
    <w:rsid w:val="00003105"/>
    <w:rsid w:val="00003C53"/>
    <w:rsid w:val="0000456E"/>
    <w:rsid w:val="000055EA"/>
    <w:rsid w:val="00005B74"/>
    <w:rsid w:val="00006BF1"/>
    <w:rsid w:val="0001118D"/>
    <w:rsid w:val="0001131F"/>
    <w:rsid w:val="00011663"/>
    <w:rsid w:val="0001249F"/>
    <w:rsid w:val="000125C0"/>
    <w:rsid w:val="0001270C"/>
    <w:rsid w:val="000136AA"/>
    <w:rsid w:val="00013B4C"/>
    <w:rsid w:val="00013BF6"/>
    <w:rsid w:val="00013ECA"/>
    <w:rsid w:val="00014087"/>
    <w:rsid w:val="0001554C"/>
    <w:rsid w:val="00015B94"/>
    <w:rsid w:val="00015C84"/>
    <w:rsid w:val="00015DE5"/>
    <w:rsid w:val="00016128"/>
    <w:rsid w:val="0001660E"/>
    <w:rsid w:val="000172E2"/>
    <w:rsid w:val="00017449"/>
    <w:rsid w:val="00020249"/>
    <w:rsid w:val="00020F08"/>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3D4"/>
    <w:rsid w:val="000452DF"/>
    <w:rsid w:val="000459FF"/>
    <w:rsid w:val="00046075"/>
    <w:rsid w:val="00046728"/>
    <w:rsid w:val="00046CAD"/>
    <w:rsid w:val="00046F5C"/>
    <w:rsid w:val="00047385"/>
    <w:rsid w:val="00047595"/>
    <w:rsid w:val="00050554"/>
    <w:rsid w:val="00053706"/>
    <w:rsid w:val="000537D4"/>
    <w:rsid w:val="00053E04"/>
    <w:rsid w:val="00053E17"/>
    <w:rsid w:val="000541D7"/>
    <w:rsid w:val="00054811"/>
    <w:rsid w:val="00056C43"/>
    <w:rsid w:val="000579E6"/>
    <w:rsid w:val="00060E03"/>
    <w:rsid w:val="00060F70"/>
    <w:rsid w:val="00062393"/>
    <w:rsid w:val="000641CE"/>
    <w:rsid w:val="0006496C"/>
    <w:rsid w:val="00065271"/>
    <w:rsid w:val="00066176"/>
    <w:rsid w:val="0006618D"/>
    <w:rsid w:val="00066885"/>
    <w:rsid w:val="0006694E"/>
    <w:rsid w:val="00066A37"/>
    <w:rsid w:val="00066C07"/>
    <w:rsid w:val="00066F05"/>
    <w:rsid w:val="000678CE"/>
    <w:rsid w:val="0007006A"/>
    <w:rsid w:val="00070E58"/>
    <w:rsid w:val="00072628"/>
    <w:rsid w:val="000727A6"/>
    <w:rsid w:val="000728ED"/>
    <w:rsid w:val="000733F5"/>
    <w:rsid w:val="000733FF"/>
    <w:rsid w:val="00073ABB"/>
    <w:rsid w:val="0007577A"/>
    <w:rsid w:val="000775D0"/>
    <w:rsid w:val="00081B0F"/>
    <w:rsid w:val="0008283D"/>
    <w:rsid w:val="00083090"/>
    <w:rsid w:val="00083214"/>
    <w:rsid w:val="0008366A"/>
    <w:rsid w:val="00083B8F"/>
    <w:rsid w:val="000842EA"/>
    <w:rsid w:val="00084B11"/>
    <w:rsid w:val="00085322"/>
    <w:rsid w:val="0008656F"/>
    <w:rsid w:val="00086AB9"/>
    <w:rsid w:val="00086BCE"/>
    <w:rsid w:val="00086F36"/>
    <w:rsid w:val="00090168"/>
    <w:rsid w:val="00090C76"/>
    <w:rsid w:val="00091033"/>
    <w:rsid w:val="00091152"/>
    <w:rsid w:val="00091F10"/>
    <w:rsid w:val="0009302B"/>
    <w:rsid w:val="00093EC2"/>
    <w:rsid w:val="000958A2"/>
    <w:rsid w:val="000965E7"/>
    <w:rsid w:val="000A0041"/>
    <w:rsid w:val="000A06FC"/>
    <w:rsid w:val="000A0A14"/>
    <w:rsid w:val="000A1A02"/>
    <w:rsid w:val="000A30B3"/>
    <w:rsid w:val="000A351F"/>
    <w:rsid w:val="000A4035"/>
    <w:rsid w:val="000A47B9"/>
    <w:rsid w:val="000A483A"/>
    <w:rsid w:val="000A4C06"/>
    <w:rsid w:val="000A5174"/>
    <w:rsid w:val="000A55D2"/>
    <w:rsid w:val="000A55E8"/>
    <w:rsid w:val="000A5E55"/>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2555"/>
    <w:rsid w:val="000C2A47"/>
    <w:rsid w:val="000C3545"/>
    <w:rsid w:val="000C498A"/>
    <w:rsid w:val="000C4C16"/>
    <w:rsid w:val="000C56FC"/>
    <w:rsid w:val="000C7907"/>
    <w:rsid w:val="000C7A11"/>
    <w:rsid w:val="000C7F5E"/>
    <w:rsid w:val="000D00AC"/>
    <w:rsid w:val="000D0AED"/>
    <w:rsid w:val="000D2E68"/>
    <w:rsid w:val="000D2F3A"/>
    <w:rsid w:val="000D3602"/>
    <w:rsid w:val="000D3D99"/>
    <w:rsid w:val="000D4D89"/>
    <w:rsid w:val="000D6B71"/>
    <w:rsid w:val="000D6BBD"/>
    <w:rsid w:val="000D71FD"/>
    <w:rsid w:val="000D7737"/>
    <w:rsid w:val="000D7751"/>
    <w:rsid w:val="000D7C23"/>
    <w:rsid w:val="000E0A16"/>
    <w:rsid w:val="000E0F82"/>
    <w:rsid w:val="000E1BFA"/>
    <w:rsid w:val="000E2142"/>
    <w:rsid w:val="000E21D0"/>
    <w:rsid w:val="000E2818"/>
    <w:rsid w:val="000E2A38"/>
    <w:rsid w:val="000E2ACC"/>
    <w:rsid w:val="000E3035"/>
    <w:rsid w:val="000E4321"/>
    <w:rsid w:val="000E44EF"/>
    <w:rsid w:val="000E4F27"/>
    <w:rsid w:val="000E5509"/>
    <w:rsid w:val="000E585F"/>
    <w:rsid w:val="000E66F8"/>
    <w:rsid w:val="000E6C8C"/>
    <w:rsid w:val="000E70EA"/>
    <w:rsid w:val="000F054F"/>
    <w:rsid w:val="000F079D"/>
    <w:rsid w:val="000F0D9D"/>
    <w:rsid w:val="000F1B77"/>
    <w:rsid w:val="000F1D56"/>
    <w:rsid w:val="000F2534"/>
    <w:rsid w:val="000F28D9"/>
    <w:rsid w:val="000F2D43"/>
    <w:rsid w:val="000F2F9A"/>
    <w:rsid w:val="000F2FD7"/>
    <w:rsid w:val="000F3AA0"/>
    <w:rsid w:val="000F3C22"/>
    <w:rsid w:val="000F4179"/>
    <w:rsid w:val="000F4981"/>
    <w:rsid w:val="000F4AEB"/>
    <w:rsid w:val="000F4B40"/>
    <w:rsid w:val="000F4C3B"/>
    <w:rsid w:val="000F4E09"/>
    <w:rsid w:val="000F4E7B"/>
    <w:rsid w:val="000F57C3"/>
    <w:rsid w:val="000F5C37"/>
    <w:rsid w:val="000F5DF0"/>
    <w:rsid w:val="000F6A0B"/>
    <w:rsid w:val="000F7695"/>
    <w:rsid w:val="001004B0"/>
    <w:rsid w:val="0010108A"/>
    <w:rsid w:val="001012E3"/>
    <w:rsid w:val="00101EEB"/>
    <w:rsid w:val="0010375A"/>
    <w:rsid w:val="001038ED"/>
    <w:rsid w:val="00103990"/>
    <w:rsid w:val="001039FB"/>
    <w:rsid w:val="001042B0"/>
    <w:rsid w:val="0010605F"/>
    <w:rsid w:val="00106F4F"/>
    <w:rsid w:val="001071D3"/>
    <w:rsid w:val="001075A8"/>
    <w:rsid w:val="00110259"/>
    <w:rsid w:val="001106AE"/>
    <w:rsid w:val="00110AA9"/>
    <w:rsid w:val="0011100D"/>
    <w:rsid w:val="001112DD"/>
    <w:rsid w:val="0011254D"/>
    <w:rsid w:val="001139C2"/>
    <w:rsid w:val="00114559"/>
    <w:rsid w:val="00114EA9"/>
    <w:rsid w:val="00115ED0"/>
    <w:rsid w:val="0011683C"/>
    <w:rsid w:val="001179E8"/>
    <w:rsid w:val="0012021B"/>
    <w:rsid w:val="0012222D"/>
    <w:rsid w:val="00122AA1"/>
    <w:rsid w:val="00123308"/>
    <w:rsid w:val="001247E4"/>
    <w:rsid w:val="001255E6"/>
    <w:rsid w:val="0012799F"/>
    <w:rsid w:val="0013053A"/>
    <w:rsid w:val="00130571"/>
    <w:rsid w:val="0013066A"/>
    <w:rsid w:val="001315EF"/>
    <w:rsid w:val="00131F2A"/>
    <w:rsid w:val="00131F39"/>
    <w:rsid w:val="00132375"/>
    <w:rsid w:val="001329B0"/>
    <w:rsid w:val="00132E73"/>
    <w:rsid w:val="00133505"/>
    <w:rsid w:val="00134188"/>
    <w:rsid w:val="00137403"/>
    <w:rsid w:val="00137599"/>
    <w:rsid w:val="00140706"/>
    <w:rsid w:val="0014122A"/>
    <w:rsid w:val="00141E85"/>
    <w:rsid w:val="001426BC"/>
    <w:rsid w:val="0014319C"/>
    <w:rsid w:val="001436B3"/>
    <w:rsid w:val="00143976"/>
    <w:rsid w:val="00143DAC"/>
    <w:rsid w:val="00144622"/>
    <w:rsid w:val="00144781"/>
    <w:rsid w:val="00144917"/>
    <w:rsid w:val="0014702D"/>
    <w:rsid w:val="00147596"/>
    <w:rsid w:val="00150B7A"/>
    <w:rsid w:val="00152718"/>
    <w:rsid w:val="001530CF"/>
    <w:rsid w:val="00153F12"/>
    <w:rsid w:val="001543DB"/>
    <w:rsid w:val="00154A16"/>
    <w:rsid w:val="00155248"/>
    <w:rsid w:val="00155473"/>
    <w:rsid w:val="00155DC2"/>
    <w:rsid w:val="00156D90"/>
    <w:rsid w:val="00156E9F"/>
    <w:rsid w:val="001576D4"/>
    <w:rsid w:val="00157A57"/>
    <w:rsid w:val="00157DB6"/>
    <w:rsid w:val="00157EC2"/>
    <w:rsid w:val="00162A68"/>
    <w:rsid w:val="00162E08"/>
    <w:rsid w:val="001633A3"/>
    <w:rsid w:val="001633F1"/>
    <w:rsid w:val="00164160"/>
    <w:rsid w:val="00164EEF"/>
    <w:rsid w:val="0016531E"/>
    <w:rsid w:val="0016565C"/>
    <w:rsid w:val="00165D32"/>
    <w:rsid w:val="00166314"/>
    <w:rsid w:val="00166746"/>
    <w:rsid w:val="0016757E"/>
    <w:rsid w:val="00167590"/>
    <w:rsid w:val="00167918"/>
    <w:rsid w:val="00167C1E"/>
    <w:rsid w:val="0017043B"/>
    <w:rsid w:val="001706A1"/>
    <w:rsid w:val="00170914"/>
    <w:rsid w:val="00170DF2"/>
    <w:rsid w:val="00172007"/>
    <w:rsid w:val="00174841"/>
    <w:rsid w:val="001761FD"/>
    <w:rsid w:val="00176505"/>
    <w:rsid w:val="00177D61"/>
    <w:rsid w:val="00180125"/>
    <w:rsid w:val="001808CA"/>
    <w:rsid w:val="00180923"/>
    <w:rsid w:val="00180CE5"/>
    <w:rsid w:val="001815CC"/>
    <w:rsid w:val="00181BAA"/>
    <w:rsid w:val="00181D2D"/>
    <w:rsid w:val="0018210A"/>
    <w:rsid w:val="00182DE0"/>
    <w:rsid w:val="001836B8"/>
    <w:rsid w:val="0018386C"/>
    <w:rsid w:val="001842AD"/>
    <w:rsid w:val="00184479"/>
    <w:rsid w:val="0018472C"/>
    <w:rsid w:val="00184838"/>
    <w:rsid w:val="00185755"/>
    <w:rsid w:val="00187398"/>
    <w:rsid w:val="001878A2"/>
    <w:rsid w:val="00187F2F"/>
    <w:rsid w:val="00187F73"/>
    <w:rsid w:val="00187FB0"/>
    <w:rsid w:val="001902E9"/>
    <w:rsid w:val="00190327"/>
    <w:rsid w:val="00190A0A"/>
    <w:rsid w:val="001926F2"/>
    <w:rsid w:val="00193BCE"/>
    <w:rsid w:val="00194168"/>
    <w:rsid w:val="00194B87"/>
    <w:rsid w:val="0019569A"/>
    <w:rsid w:val="001957D6"/>
    <w:rsid w:val="00195962"/>
    <w:rsid w:val="00196BDE"/>
    <w:rsid w:val="00197533"/>
    <w:rsid w:val="001977E7"/>
    <w:rsid w:val="00197CCA"/>
    <w:rsid w:val="001A0BBF"/>
    <w:rsid w:val="001A0D8A"/>
    <w:rsid w:val="001A192D"/>
    <w:rsid w:val="001A19B1"/>
    <w:rsid w:val="001A1C01"/>
    <w:rsid w:val="001A7C72"/>
    <w:rsid w:val="001B0352"/>
    <w:rsid w:val="001B084B"/>
    <w:rsid w:val="001B0CEC"/>
    <w:rsid w:val="001B0FFC"/>
    <w:rsid w:val="001B1CF2"/>
    <w:rsid w:val="001B3FDC"/>
    <w:rsid w:val="001B4388"/>
    <w:rsid w:val="001B463E"/>
    <w:rsid w:val="001B49E0"/>
    <w:rsid w:val="001B5377"/>
    <w:rsid w:val="001B6553"/>
    <w:rsid w:val="001B6647"/>
    <w:rsid w:val="001B6A47"/>
    <w:rsid w:val="001B6B0A"/>
    <w:rsid w:val="001B6C3C"/>
    <w:rsid w:val="001B72AB"/>
    <w:rsid w:val="001B7B7A"/>
    <w:rsid w:val="001C0006"/>
    <w:rsid w:val="001C0824"/>
    <w:rsid w:val="001C0B83"/>
    <w:rsid w:val="001C0D42"/>
    <w:rsid w:val="001C1510"/>
    <w:rsid w:val="001C1989"/>
    <w:rsid w:val="001C28FD"/>
    <w:rsid w:val="001C2B2F"/>
    <w:rsid w:val="001C3248"/>
    <w:rsid w:val="001C3349"/>
    <w:rsid w:val="001C4ABA"/>
    <w:rsid w:val="001C4BCF"/>
    <w:rsid w:val="001C546B"/>
    <w:rsid w:val="001C5EA2"/>
    <w:rsid w:val="001C6608"/>
    <w:rsid w:val="001C6C7D"/>
    <w:rsid w:val="001D0440"/>
    <w:rsid w:val="001D1CB1"/>
    <w:rsid w:val="001D20A2"/>
    <w:rsid w:val="001D2AC0"/>
    <w:rsid w:val="001D2DBA"/>
    <w:rsid w:val="001D2FD0"/>
    <w:rsid w:val="001D3830"/>
    <w:rsid w:val="001D3BA6"/>
    <w:rsid w:val="001D5564"/>
    <w:rsid w:val="001D5D31"/>
    <w:rsid w:val="001D6FAA"/>
    <w:rsid w:val="001D70FA"/>
    <w:rsid w:val="001D72ED"/>
    <w:rsid w:val="001D7B04"/>
    <w:rsid w:val="001D7BA9"/>
    <w:rsid w:val="001E039D"/>
    <w:rsid w:val="001E0526"/>
    <w:rsid w:val="001E22E7"/>
    <w:rsid w:val="001E2714"/>
    <w:rsid w:val="001E398C"/>
    <w:rsid w:val="001E4456"/>
    <w:rsid w:val="001E4DDC"/>
    <w:rsid w:val="001E4E21"/>
    <w:rsid w:val="001E774F"/>
    <w:rsid w:val="001E7C1D"/>
    <w:rsid w:val="001F073F"/>
    <w:rsid w:val="001F26E5"/>
    <w:rsid w:val="001F3009"/>
    <w:rsid w:val="001F3358"/>
    <w:rsid w:val="001F35CB"/>
    <w:rsid w:val="001F390F"/>
    <w:rsid w:val="001F4609"/>
    <w:rsid w:val="001F5CD1"/>
    <w:rsid w:val="001F7257"/>
    <w:rsid w:val="001F7739"/>
    <w:rsid w:val="001F7E06"/>
    <w:rsid w:val="0020011B"/>
    <w:rsid w:val="0020187E"/>
    <w:rsid w:val="002018A5"/>
    <w:rsid w:val="00201DC6"/>
    <w:rsid w:val="00202375"/>
    <w:rsid w:val="002025EA"/>
    <w:rsid w:val="00202884"/>
    <w:rsid w:val="00202C54"/>
    <w:rsid w:val="00202E44"/>
    <w:rsid w:val="00203556"/>
    <w:rsid w:val="00204D0F"/>
    <w:rsid w:val="00204DB6"/>
    <w:rsid w:val="002056ED"/>
    <w:rsid w:val="00205C3A"/>
    <w:rsid w:val="00206F92"/>
    <w:rsid w:val="00210EF8"/>
    <w:rsid w:val="00211793"/>
    <w:rsid w:val="00211C11"/>
    <w:rsid w:val="00212345"/>
    <w:rsid w:val="00214260"/>
    <w:rsid w:val="00214809"/>
    <w:rsid w:val="002149A1"/>
    <w:rsid w:val="00214D9A"/>
    <w:rsid w:val="00214E7A"/>
    <w:rsid w:val="00215BFE"/>
    <w:rsid w:val="00215C44"/>
    <w:rsid w:val="00216E73"/>
    <w:rsid w:val="0021774C"/>
    <w:rsid w:val="00217FF6"/>
    <w:rsid w:val="00220AC5"/>
    <w:rsid w:val="00222386"/>
    <w:rsid w:val="00222F51"/>
    <w:rsid w:val="002230E1"/>
    <w:rsid w:val="00223361"/>
    <w:rsid w:val="002244BA"/>
    <w:rsid w:val="002247AA"/>
    <w:rsid w:val="00224DA7"/>
    <w:rsid w:val="002261CB"/>
    <w:rsid w:val="00226657"/>
    <w:rsid w:val="002268BF"/>
    <w:rsid w:val="0022719E"/>
    <w:rsid w:val="002277C7"/>
    <w:rsid w:val="00227BDE"/>
    <w:rsid w:val="00230045"/>
    <w:rsid w:val="0023014E"/>
    <w:rsid w:val="002308FA"/>
    <w:rsid w:val="0023132F"/>
    <w:rsid w:val="002318AD"/>
    <w:rsid w:val="00231AA5"/>
    <w:rsid w:val="00232F90"/>
    <w:rsid w:val="0023339B"/>
    <w:rsid w:val="0023469C"/>
    <w:rsid w:val="00234C71"/>
    <w:rsid w:val="00234FF9"/>
    <w:rsid w:val="00235511"/>
    <w:rsid w:val="00235E42"/>
    <w:rsid w:val="002366E0"/>
    <w:rsid w:val="00236DE1"/>
    <w:rsid w:val="002372EE"/>
    <w:rsid w:val="002372FD"/>
    <w:rsid w:val="0023764D"/>
    <w:rsid w:val="002415BC"/>
    <w:rsid w:val="002424AF"/>
    <w:rsid w:val="002434B2"/>
    <w:rsid w:val="002442F4"/>
    <w:rsid w:val="002445EA"/>
    <w:rsid w:val="00244ECE"/>
    <w:rsid w:val="00244FC5"/>
    <w:rsid w:val="002458C7"/>
    <w:rsid w:val="00245D1D"/>
    <w:rsid w:val="0024642E"/>
    <w:rsid w:val="00246C69"/>
    <w:rsid w:val="002474A9"/>
    <w:rsid w:val="00250B38"/>
    <w:rsid w:val="00250EDA"/>
    <w:rsid w:val="00251502"/>
    <w:rsid w:val="002518E8"/>
    <w:rsid w:val="00251C10"/>
    <w:rsid w:val="00252E1E"/>
    <w:rsid w:val="00253550"/>
    <w:rsid w:val="002538BA"/>
    <w:rsid w:val="00253FAC"/>
    <w:rsid w:val="0025469D"/>
    <w:rsid w:val="002552B1"/>
    <w:rsid w:val="00255D01"/>
    <w:rsid w:val="002569DF"/>
    <w:rsid w:val="00256E55"/>
    <w:rsid w:val="00257E0E"/>
    <w:rsid w:val="00257FF4"/>
    <w:rsid w:val="00260AEF"/>
    <w:rsid w:val="00260D67"/>
    <w:rsid w:val="00260FCB"/>
    <w:rsid w:val="002615F5"/>
    <w:rsid w:val="002616B9"/>
    <w:rsid w:val="0026217B"/>
    <w:rsid w:val="002629E4"/>
    <w:rsid w:val="0026374F"/>
    <w:rsid w:val="00263FE3"/>
    <w:rsid w:val="00265593"/>
    <w:rsid w:val="002675EA"/>
    <w:rsid w:val="00267BC5"/>
    <w:rsid w:val="00267C77"/>
    <w:rsid w:val="00267CBE"/>
    <w:rsid w:val="00267E0B"/>
    <w:rsid w:val="00270680"/>
    <w:rsid w:val="00271103"/>
    <w:rsid w:val="002721FA"/>
    <w:rsid w:val="0027230C"/>
    <w:rsid w:val="00272B11"/>
    <w:rsid w:val="00272B99"/>
    <w:rsid w:val="0027380D"/>
    <w:rsid w:val="0027468E"/>
    <w:rsid w:val="00274826"/>
    <w:rsid w:val="00275005"/>
    <w:rsid w:val="002752AB"/>
    <w:rsid w:val="002756D6"/>
    <w:rsid w:val="0027573C"/>
    <w:rsid w:val="00275E23"/>
    <w:rsid w:val="00275F2B"/>
    <w:rsid w:val="0028106A"/>
    <w:rsid w:val="002815D0"/>
    <w:rsid w:val="002820A7"/>
    <w:rsid w:val="002836F6"/>
    <w:rsid w:val="00283B82"/>
    <w:rsid w:val="00283E13"/>
    <w:rsid w:val="00286478"/>
    <w:rsid w:val="00286D02"/>
    <w:rsid w:val="002872A4"/>
    <w:rsid w:val="00287EDD"/>
    <w:rsid w:val="0029029E"/>
    <w:rsid w:val="0029141B"/>
    <w:rsid w:val="002927D3"/>
    <w:rsid w:val="00294BDE"/>
    <w:rsid w:val="00295DB6"/>
    <w:rsid w:val="0029788B"/>
    <w:rsid w:val="00297D1B"/>
    <w:rsid w:val="00297F4D"/>
    <w:rsid w:val="002A0226"/>
    <w:rsid w:val="002A0661"/>
    <w:rsid w:val="002A1CF2"/>
    <w:rsid w:val="002A2ED0"/>
    <w:rsid w:val="002A3637"/>
    <w:rsid w:val="002A3A84"/>
    <w:rsid w:val="002A3C91"/>
    <w:rsid w:val="002A4C3E"/>
    <w:rsid w:val="002A56BC"/>
    <w:rsid w:val="002A5C53"/>
    <w:rsid w:val="002A6AD6"/>
    <w:rsid w:val="002A72CC"/>
    <w:rsid w:val="002A76AB"/>
    <w:rsid w:val="002A7A4F"/>
    <w:rsid w:val="002A7AFE"/>
    <w:rsid w:val="002A7BD2"/>
    <w:rsid w:val="002A7FAC"/>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1767"/>
    <w:rsid w:val="002C222E"/>
    <w:rsid w:val="002C2892"/>
    <w:rsid w:val="002C58AB"/>
    <w:rsid w:val="002C6D84"/>
    <w:rsid w:val="002C7D21"/>
    <w:rsid w:val="002D0253"/>
    <w:rsid w:val="002D06B1"/>
    <w:rsid w:val="002D1564"/>
    <w:rsid w:val="002D18D8"/>
    <w:rsid w:val="002D1CA4"/>
    <w:rsid w:val="002D2C09"/>
    <w:rsid w:val="002D2C45"/>
    <w:rsid w:val="002D315A"/>
    <w:rsid w:val="002D384D"/>
    <w:rsid w:val="002D4969"/>
    <w:rsid w:val="002D4EE1"/>
    <w:rsid w:val="002D4F49"/>
    <w:rsid w:val="002D5964"/>
    <w:rsid w:val="002D778E"/>
    <w:rsid w:val="002E04D7"/>
    <w:rsid w:val="002E06DD"/>
    <w:rsid w:val="002E171A"/>
    <w:rsid w:val="002E176B"/>
    <w:rsid w:val="002E2A24"/>
    <w:rsid w:val="002E3D66"/>
    <w:rsid w:val="002E3F11"/>
    <w:rsid w:val="002E4B11"/>
    <w:rsid w:val="002E4F70"/>
    <w:rsid w:val="002E5845"/>
    <w:rsid w:val="002E5886"/>
    <w:rsid w:val="002E5AD3"/>
    <w:rsid w:val="002E635D"/>
    <w:rsid w:val="002E7562"/>
    <w:rsid w:val="002F071F"/>
    <w:rsid w:val="002F16D5"/>
    <w:rsid w:val="002F18C0"/>
    <w:rsid w:val="002F1A90"/>
    <w:rsid w:val="002F1C2F"/>
    <w:rsid w:val="002F3D1C"/>
    <w:rsid w:val="002F4440"/>
    <w:rsid w:val="002F47A0"/>
    <w:rsid w:val="002F4EA1"/>
    <w:rsid w:val="002F52DE"/>
    <w:rsid w:val="002F55C1"/>
    <w:rsid w:val="002F5788"/>
    <w:rsid w:val="002F5E98"/>
    <w:rsid w:val="002F797A"/>
    <w:rsid w:val="00300483"/>
    <w:rsid w:val="00301C91"/>
    <w:rsid w:val="00303ACF"/>
    <w:rsid w:val="00303F2B"/>
    <w:rsid w:val="00304607"/>
    <w:rsid w:val="0030467A"/>
    <w:rsid w:val="00304D4E"/>
    <w:rsid w:val="00304FFD"/>
    <w:rsid w:val="00305608"/>
    <w:rsid w:val="00305B4D"/>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C4B"/>
    <w:rsid w:val="0031693B"/>
    <w:rsid w:val="003169CE"/>
    <w:rsid w:val="00316F0A"/>
    <w:rsid w:val="00317DC7"/>
    <w:rsid w:val="003200F9"/>
    <w:rsid w:val="00320F38"/>
    <w:rsid w:val="00321183"/>
    <w:rsid w:val="00321694"/>
    <w:rsid w:val="00321F0A"/>
    <w:rsid w:val="003223CE"/>
    <w:rsid w:val="00322A2D"/>
    <w:rsid w:val="00322E80"/>
    <w:rsid w:val="00324AD8"/>
    <w:rsid w:val="00324D5B"/>
    <w:rsid w:val="00325045"/>
    <w:rsid w:val="003253DF"/>
    <w:rsid w:val="00325D91"/>
    <w:rsid w:val="003267B4"/>
    <w:rsid w:val="00327536"/>
    <w:rsid w:val="00327B62"/>
    <w:rsid w:val="00331193"/>
    <w:rsid w:val="003333D4"/>
    <w:rsid w:val="00334951"/>
    <w:rsid w:val="00335670"/>
    <w:rsid w:val="00335DCE"/>
    <w:rsid w:val="00336411"/>
    <w:rsid w:val="0033678D"/>
    <w:rsid w:val="0033720D"/>
    <w:rsid w:val="003373E8"/>
    <w:rsid w:val="00342BDB"/>
    <w:rsid w:val="00343DD2"/>
    <w:rsid w:val="003443DD"/>
    <w:rsid w:val="00344A15"/>
    <w:rsid w:val="00344D5A"/>
    <w:rsid w:val="00346EB6"/>
    <w:rsid w:val="0034778B"/>
    <w:rsid w:val="00347EDB"/>
    <w:rsid w:val="00350797"/>
    <w:rsid w:val="00351A85"/>
    <w:rsid w:val="00351C9E"/>
    <w:rsid w:val="003522E8"/>
    <w:rsid w:val="00353043"/>
    <w:rsid w:val="00353989"/>
    <w:rsid w:val="00355B7A"/>
    <w:rsid w:val="0035617C"/>
    <w:rsid w:val="00356E7E"/>
    <w:rsid w:val="00356EB8"/>
    <w:rsid w:val="00357B83"/>
    <w:rsid w:val="003614A8"/>
    <w:rsid w:val="0036160E"/>
    <w:rsid w:val="00362610"/>
    <w:rsid w:val="00362BBC"/>
    <w:rsid w:val="00363830"/>
    <w:rsid w:val="003639E1"/>
    <w:rsid w:val="00363D2D"/>
    <w:rsid w:val="00364BB6"/>
    <w:rsid w:val="00364D6B"/>
    <w:rsid w:val="00365351"/>
    <w:rsid w:val="00365408"/>
    <w:rsid w:val="00365CC0"/>
    <w:rsid w:val="003668DF"/>
    <w:rsid w:val="00367688"/>
    <w:rsid w:val="00371530"/>
    <w:rsid w:val="00372221"/>
    <w:rsid w:val="00372CF2"/>
    <w:rsid w:val="0037418F"/>
    <w:rsid w:val="00374891"/>
    <w:rsid w:val="00374C7E"/>
    <w:rsid w:val="00375A86"/>
    <w:rsid w:val="00376453"/>
    <w:rsid w:val="00376D81"/>
    <w:rsid w:val="00377353"/>
    <w:rsid w:val="0037736B"/>
    <w:rsid w:val="00377D7B"/>
    <w:rsid w:val="00381F57"/>
    <w:rsid w:val="0038216E"/>
    <w:rsid w:val="003822E5"/>
    <w:rsid w:val="00382CF0"/>
    <w:rsid w:val="003830B8"/>
    <w:rsid w:val="00383262"/>
    <w:rsid w:val="0038493A"/>
    <w:rsid w:val="0038535C"/>
    <w:rsid w:val="00387AA9"/>
    <w:rsid w:val="00391E53"/>
    <w:rsid w:val="003932B6"/>
    <w:rsid w:val="003947B9"/>
    <w:rsid w:val="003951E3"/>
    <w:rsid w:val="003A157A"/>
    <w:rsid w:val="003A283F"/>
    <w:rsid w:val="003A2A16"/>
    <w:rsid w:val="003A2FDD"/>
    <w:rsid w:val="003A3377"/>
    <w:rsid w:val="003A3C43"/>
    <w:rsid w:val="003A5CCC"/>
    <w:rsid w:val="003A5E35"/>
    <w:rsid w:val="003A70FF"/>
    <w:rsid w:val="003A74D2"/>
    <w:rsid w:val="003A756B"/>
    <w:rsid w:val="003A7902"/>
    <w:rsid w:val="003A7F43"/>
    <w:rsid w:val="003B1D0A"/>
    <w:rsid w:val="003B23D7"/>
    <w:rsid w:val="003B34CB"/>
    <w:rsid w:val="003B3AB4"/>
    <w:rsid w:val="003B3CA8"/>
    <w:rsid w:val="003B45D5"/>
    <w:rsid w:val="003B4D06"/>
    <w:rsid w:val="003B4F22"/>
    <w:rsid w:val="003B52FE"/>
    <w:rsid w:val="003B572A"/>
    <w:rsid w:val="003B5AB1"/>
    <w:rsid w:val="003B6325"/>
    <w:rsid w:val="003B71E0"/>
    <w:rsid w:val="003B745A"/>
    <w:rsid w:val="003B78A4"/>
    <w:rsid w:val="003B7DA8"/>
    <w:rsid w:val="003C144E"/>
    <w:rsid w:val="003C1A07"/>
    <w:rsid w:val="003C1E74"/>
    <w:rsid w:val="003C1F3A"/>
    <w:rsid w:val="003C20A2"/>
    <w:rsid w:val="003C2673"/>
    <w:rsid w:val="003C27A2"/>
    <w:rsid w:val="003C332F"/>
    <w:rsid w:val="003C5269"/>
    <w:rsid w:val="003C567C"/>
    <w:rsid w:val="003C59B8"/>
    <w:rsid w:val="003C5ED8"/>
    <w:rsid w:val="003C6809"/>
    <w:rsid w:val="003C70CF"/>
    <w:rsid w:val="003C7897"/>
    <w:rsid w:val="003D0642"/>
    <w:rsid w:val="003D0937"/>
    <w:rsid w:val="003D17E6"/>
    <w:rsid w:val="003D1A20"/>
    <w:rsid w:val="003D1AC9"/>
    <w:rsid w:val="003D2AC9"/>
    <w:rsid w:val="003D2CD8"/>
    <w:rsid w:val="003D3724"/>
    <w:rsid w:val="003D3AB2"/>
    <w:rsid w:val="003D46A7"/>
    <w:rsid w:val="003D5A36"/>
    <w:rsid w:val="003D6376"/>
    <w:rsid w:val="003D7253"/>
    <w:rsid w:val="003E1235"/>
    <w:rsid w:val="003E2A35"/>
    <w:rsid w:val="003E2B56"/>
    <w:rsid w:val="003E2CE1"/>
    <w:rsid w:val="003E2DCB"/>
    <w:rsid w:val="003E44F9"/>
    <w:rsid w:val="003E4C3F"/>
    <w:rsid w:val="003E4D7C"/>
    <w:rsid w:val="003E5FA8"/>
    <w:rsid w:val="003E608E"/>
    <w:rsid w:val="003E6252"/>
    <w:rsid w:val="003E6483"/>
    <w:rsid w:val="003E7A06"/>
    <w:rsid w:val="003F0C11"/>
    <w:rsid w:val="003F1200"/>
    <w:rsid w:val="003F1421"/>
    <w:rsid w:val="003F1844"/>
    <w:rsid w:val="003F1A8C"/>
    <w:rsid w:val="003F241E"/>
    <w:rsid w:val="003F28C0"/>
    <w:rsid w:val="003F4FCC"/>
    <w:rsid w:val="003F52B2"/>
    <w:rsid w:val="003F716E"/>
    <w:rsid w:val="00400061"/>
    <w:rsid w:val="0040068A"/>
    <w:rsid w:val="00400813"/>
    <w:rsid w:val="004013AD"/>
    <w:rsid w:val="00402215"/>
    <w:rsid w:val="00402A94"/>
    <w:rsid w:val="00402C35"/>
    <w:rsid w:val="004033EC"/>
    <w:rsid w:val="00403497"/>
    <w:rsid w:val="0040405B"/>
    <w:rsid w:val="00404195"/>
    <w:rsid w:val="00404211"/>
    <w:rsid w:val="004042A4"/>
    <w:rsid w:val="00404346"/>
    <w:rsid w:val="004043F3"/>
    <w:rsid w:val="00404DAA"/>
    <w:rsid w:val="00404DDD"/>
    <w:rsid w:val="00405303"/>
    <w:rsid w:val="0040578B"/>
    <w:rsid w:val="00405A0E"/>
    <w:rsid w:val="004065D6"/>
    <w:rsid w:val="0040687D"/>
    <w:rsid w:val="0040709D"/>
    <w:rsid w:val="0040713F"/>
    <w:rsid w:val="004075A3"/>
    <w:rsid w:val="00407DC9"/>
    <w:rsid w:val="00410C48"/>
    <w:rsid w:val="00410E55"/>
    <w:rsid w:val="00410FD9"/>
    <w:rsid w:val="00412F04"/>
    <w:rsid w:val="00413ED8"/>
    <w:rsid w:val="00416277"/>
    <w:rsid w:val="00416BF1"/>
    <w:rsid w:val="00416D1E"/>
    <w:rsid w:val="00416E24"/>
    <w:rsid w:val="00416E5F"/>
    <w:rsid w:val="0042063D"/>
    <w:rsid w:val="00420B2F"/>
    <w:rsid w:val="00421A42"/>
    <w:rsid w:val="00422B23"/>
    <w:rsid w:val="00423A60"/>
    <w:rsid w:val="0042651C"/>
    <w:rsid w:val="00426E9B"/>
    <w:rsid w:val="00427AC7"/>
    <w:rsid w:val="00427D55"/>
    <w:rsid w:val="0043233C"/>
    <w:rsid w:val="004345A6"/>
    <w:rsid w:val="00435877"/>
    <w:rsid w:val="00435B2F"/>
    <w:rsid w:val="00435E03"/>
    <w:rsid w:val="00436A45"/>
    <w:rsid w:val="004373E1"/>
    <w:rsid w:val="004374A3"/>
    <w:rsid w:val="00437A7E"/>
    <w:rsid w:val="00437B6C"/>
    <w:rsid w:val="00440144"/>
    <w:rsid w:val="0044064E"/>
    <w:rsid w:val="00440805"/>
    <w:rsid w:val="004412E1"/>
    <w:rsid w:val="00441554"/>
    <w:rsid w:val="00442E48"/>
    <w:rsid w:val="004439D4"/>
    <w:rsid w:val="00443DCD"/>
    <w:rsid w:val="00443E7E"/>
    <w:rsid w:val="00444C06"/>
    <w:rsid w:val="004454DF"/>
    <w:rsid w:val="00445F7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284"/>
    <w:rsid w:val="0046157E"/>
    <w:rsid w:val="004624AE"/>
    <w:rsid w:val="0046250E"/>
    <w:rsid w:val="00462E9C"/>
    <w:rsid w:val="00463B3E"/>
    <w:rsid w:val="00464B48"/>
    <w:rsid w:val="00465231"/>
    <w:rsid w:val="0046573E"/>
    <w:rsid w:val="00465FDA"/>
    <w:rsid w:val="004662AD"/>
    <w:rsid w:val="00466516"/>
    <w:rsid w:val="004672BF"/>
    <w:rsid w:val="00467B65"/>
    <w:rsid w:val="00471EA5"/>
    <w:rsid w:val="004720C9"/>
    <w:rsid w:val="00472257"/>
    <w:rsid w:val="00472E49"/>
    <w:rsid w:val="004732BB"/>
    <w:rsid w:val="00474C60"/>
    <w:rsid w:val="00475944"/>
    <w:rsid w:val="00475DF0"/>
    <w:rsid w:val="00476525"/>
    <w:rsid w:val="00476F3E"/>
    <w:rsid w:val="004772E2"/>
    <w:rsid w:val="0047739F"/>
    <w:rsid w:val="00477707"/>
    <w:rsid w:val="00477F97"/>
    <w:rsid w:val="00480A2D"/>
    <w:rsid w:val="00480AFB"/>
    <w:rsid w:val="00481247"/>
    <w:rsid w:val="00481695"/>
    <w:rsid w:val="004828DC"/>
    <w:rsid w:val="00482D3E"/>
    <w:rsid w:val="00482FF7"/>
    <w:rsid w:val="00483002"/>
    <w:rsid w:val="00483098"/>
    <w:rsid w:val="00483359"/>
    <w:rsid w:val="00483AFB"/>
    <w:rsid w:val="0048402B"/>
    <w:rsid w:val="0048414A"/>
    <w:rsid w:val="00484F9A"/>
    <w:rsid w:val="00485C56"/>
    <w:rsid w:val="00486B79"/>
    <w:rsid w:val="00486CA2"/>
    <w:rsid w:val="00486DDB"/>
    <w:rsid w:val="00487461"/>
    <w:rsid w:val="004906EA"/>
    <w:rsid w:val="0049086E"/>
    <w:rsid w:val="00490B25"/>
    <w:rsid w:val="00490DF9"/>
    <w:rsid w:val="00490FD6"/>
    <w:rsid w:val="004911C4"/>
    <w:rsid w:val="0049294E"/>
    <w:rsid w:val="0049490B"/>
    <w:rsid w:val="00494CC8"/>
    <w:rsid w:val="004955E7"/>
    <w:rsid w:val="0049589C"/>
    <w:rsid w:val="00495EF1"/>
    <w:rsid w:val="00496237"/>
    <w:rsid w:val="00496ED4"/>
    <w:rsid w:val="00497D4A"/>
    <w:rsid w:val="004A0441"/>
    <w:rsid w:val="004A084C"/>
    <w:rsid w:val="004A0EF4"/>
    <w:rsid w:val="004A15B3"/>
    <w:rsid w:val="004A1D01"/>
    <w:rsid w:val="004A2A54"/>
    <w:rsid w:val="004A2EF3"/>
    <w:rsid w:val="004A3A33"/>
    <w:rsid w:val="004A3B0D"/>
    <w:rsid w:val="004A453A"/>
    <w:rsid w:val="004A52F5"/>
    <w:rsid w:val="004A5D3A"/>
    <w:rsid w:val="004A6897"/>
    <w:rsid w:val="004A692B"/>
    <w:rsid w:val="004A6EB6"/>
    <w:rsid w:val="004A794C"/>
    <w:rsid w:val="004B0C03"/>
    <w:rsid w:val="004B1A6D"/>
    <w:rsid w:val="004B1AAA"/>
    <w:rsid w:val="004B3EC7"/>
    <w:rsid w:val="004B5664"/>
    <w:rsid w:val="004B6F4A"/>
    <w:rsid w:val="004C1BFD"/>
    <w:rsid w:val="004C2107"/>
    <w:rsid w:val="004C2D45"/>
    <w:rsid w:val="004C5C99"/>
    <w:rsid w:val="004C5FC6"/>
    <w:rsid w:val="004C6435"/>
    <w:rsid w:val="004C649B"/>
    <w:rsid w:val="004C7157"/>
    <w:rsid w:val="004C7B9C"/>
    <w:rsid w:val="004C7C0B"/>
    <w:rsid w:val="004C7C10"/>
    <w:rsid w:val="004C7D55"/>
    <w:rsid w:val="004D089A"/>
    <w:rsid w:val="004D2990"/>
    <w:rsid w:val="004D3184"/>
    <w:rsid w:val="004D5030"/>
    <w:rsid w:val="004D6045"/>
    <w:rsid w:val="004D7546"/>
    <w:rsid w:val="004D7EC5"/>
    <w:rsid w:val="004E02B0"/>
    <w:rsid w:val="004E085C"/>
    <w:rsid w:val="004E0B29"/>
    <w:rsid w:val="004E0E11"/>
    <w:rsid w:val="004E0F08"/>
    <w:rsid w:val="004E1546"/>
    <w:rsid w:val="004E19DC"/>
    <w:rsid w:val="004E2B39"/>
    <w:rsid w:val="004E35E8"/>
    <w:rsid w:val="004E50F0"/>
    <w:rsid w:val="004E6A03"/>
    <w:rsid w:val="004F0070"/>
    <w:rsid w:val="004F0468"/>
    <w:rsid w:val="004F0C51"/>
    <w:rsid w:val="004F23D3"/>
    <w:rsid w:val="004F263C"/>
    <w:rsid w:val="004F2BB1"/>
    <w:rsid w:val="004F2EC7"/>
    <w:rsid w:val="004F3CE8"/>
    <w:rsid w:val="004F6BFB"/>
    <w:rsid w:val="004F6ED1"/>
    <w:rsid w:val="004F7E4A"/>
    <w:rsid w:val="0050147C"/>
    <w:rsid w:val="0050182B"/>
    <w:rsid w:val="00501BD9"/>
    <w:rsid w:val="00502579"/>
    <w:rsid w:val="005028E4"/>
    <w:rsid w:val="005029F7"/>
    <w:rsid w:val="00503D4C"/>
    <w:rsid w:val="00503E0B"/>
    <w:rsid w:val="00504C0C"/>
    <w:rsid w:val="00504E48"/>
    <w:rsid w:val="005051BF"/>
    <w:rsid w:val="005070FF"/>
    <w:rsid w:val="00510235"/>
    <w:rsid w:val="00512BBC"/>
    <w:rsid w:val="0051313D"/>
    <w:rsid w:val="005134FB"/>
    <w:rsid w:val="005135FD"/>
    <w:rsid w:val="0051366C"/>
    <w:rsid w:val="0051684F"/>
    <w:rsid w:val="00516A92"/>
    <w:rsid w:val="00516B9F"/>
    <w:rsid w:val="00517693"/>
    <w:rsid w:val="005205AB"/>
    <w:rsid w:val="00523378"/>
    <w:rsid w:val="0052344A"/>
    <w:rsid w:val="00524EB2"/>
    <w:rsid w:val="0052550F"/>
    <w:rsid w:val="00525A6D"/>
    <w:rsid w:val="00526C0F"/>
    <w:rsid w:val="0052702A"/>
    <w:rsid w:val="00530397"/>
    <w:rsid w:val="00530F73"/>
    <w:rsid w:val="00533B8E"/>
    <w:rsid w:val="00535417"/>
    <w:rsid w:val="00535833"/>
    <w:rsid w:val="00535C82"/>
    <w:rsid w:val="00535D4B"/>
    <w:rsid w:val="00536B9E"/>
    <w:rsid w:val="00536D28"/>
    <w:rsid w:val="005372C5"/>
    <w:rsid w:val="00537A26"/>
    <w:rsid w:val="00540E47"/>
    <w:rsid w:val="0054309A"/>
    <w:rsid w:val="00543283"/>
    <w:rsid w:val="00543439"/>
    <w:rsid w:val="0054364C"/>
    <w:rsid w:val="00546634"/>
    <w:rsid w:val="00546747"/>
    <w:rsid w:val="00547510"/>
    <w:rsid w:val="00547ECC"/>
    <w:rsid w:val="00551D5A"/>
    <w:rsid w:val="00551EC3"/>
    <w:rsid w:val="00554A44"/>
    <w:rsid w:val="00554C53"/>
    <w:rsid w:val="00554F18"/>
    <w:rsid w:val="00555220"/>
    <w:rsid w:val="00555297"/>
    <w:rsid w:val="005555F0"/>
    <w:rsid w:val="00555739"/>
    <w:rsid w:val="00556E75"/>
    <w:rsid w:val="00556F2D"/>
    <w:rsid w:val="00557C1F"/>
    <w:rsid w:val="00560138"/>
    <w:rsid w:val="0056069A"/>
    <w:rsid w:val="00560C3B"/>
    <w:rsid w:val="00560C94"/>
    <w:rsid w:val="00561D3C"/>
    <w:rsid w:val="00561EA1"/>
    <w:rsid w:val="00562799"/>
    <w:rsid w:val="00564804"/>
    <w:rsid w:val="00565598"/>
    <w:rsid w:val="00565B5A"/>
    <w:rsid w:val="00567E8F"/>
    <w:rsid w:val="005702D6"/>
    <w:rsid w:val="00572588"/>
    <w:rsid w:val="00572E24"/>
    <w:rsid w:val="00573A50"/>
    <w:rsid w:val="005746D2"/>
    <w:rsid w:val="00574E8A"/>
    <w:rsid w:val="00577775"/>
    <w:rsid w:val="0058121A"/>
    <w:rsid w:val="00581863"/>
    <w:rsid w:val="00581EA3"/>
    <w:rsid w:val="0058205A"/>
    <w:rsid w:val="0058260B"/>
    <w:rsid w:val="00584D1E"/>
    <w:rsid w:val="00586795"/>
    <w:rsid w:val="00586B82"/>
    <w:rsid w:val="00587A82"/>
    <w:rsid w:val="00587B72"/>
    <w:rsid w:val="00587C73"/>
    <w:rsid w:val="00587E13"/>
    <w:rsid w:val="00590A7E"/>
    <w:rsid w:val="005921F6"/>
    <w:rsid w:val="005933AA"/>
    <w:rsid w:val="005940AA"/>
    <w:rsid w:val="00594614"/>
    <w:rsid w:val="00594E10"/>
    <w:rsid w:val="00595796"/>
    <w:rsid w:val="00595998"/>
    <w:rsid w:val="00596306"/>
    <w:rsid w:val="00596487"/>
    <w:rsid w:val="0059775B"/>
    <w:rsid w:val="005A0099"/>
    <w:rsid w:val="005A0809"/>
    <w:rsid w:val="005A0B91"/>
    <w:rsid w:val="005A1494"/>
    <w:rsid w:val="005A273D"/>
    <w:rsid w:val="005A2818"/>
    <w:rsid w:val="005A3195"/>
    <w:rsid w:val="005A3590"/>
    <w:rsid w:val="005A39C8"/>
    <w:rsid w:val="005A493B"/>
    <w:rsid w:val="005A4A1C"/>
    <w:rsid w:val="005A5BD8"/>
    <w:rsid w:val="005A692A"/>
    <w:rsid w:val="005A6AB8"/>
    <w:rsid w:val="005B0C29"/>
    <w:rsid w:val="005B11C2"/>
    <w:rsid w:val="005B180A"/>
    <w:rsid w:val="005B382C"/>
    <w:rsid w:val="005B3C11"/>
    <w:rsid w:val="005B40DA"/>
    <w:rsid w:val="005B4226"/>
    <w:rsid w:val="005B5AA4"/>
    <w:rsid w:val="005B656B"/>
    <w:rsid w:val="005B71B3"/>
    <w:rsid w:val="005B76A4"/>
    <w:rsid w:val="005C04A7"/>
    <w:rsid w:val="005C17A4"/>
    <w:rsid w:val="005C2391"/>
    <w:rsid w:val="005C27CC"/>
    <w:rsid w:val="005C370B"/>
    <w:rsid w:val="005C370D"/>
    <w:rsid w:val="005C3CBF"/>
    <w:rsid w:val="005C504E"/>
    <w:rsid w:val="005C6153"/>
    <w:rsid w:val="005C78B0"/>
    <w:rsid w:val="005C7B95"/>
    <w:rsid w:val="005C7FB0"/>
    <w:rsid w:val="005D010A"/>
    <w:rsid w:val="005D0148"/>
    <w:rsid w:val="005D01EB"/>
    <w:rsid w:val="005D044A"/>
    <w:rsid w:val="005D0DFB"/>
    <w:rsid w:val="005D1112"/>
    <w:rsid w:val="005D15F6"/>
    <w:rsid w:val="005D237C"/>
    <w:rsid w:val="005D25E2"/>
    <w:rsid w:val="005D25FF"/>
    <w:rsid w:val="005D2632"/>
    <w:rsid w:val="005D38E0"/>
    <w:rsid w:val="005D3F32"/>
    <w:rsid w:val="005D41E4"/>
    <w:rsid w:val="005D4E3E"/>
    <w:rsid w:val="005D667C"/>
    <w:rsid w:val="005D67F7"/>
    <w:rsid w:val="005D7D7E"/>
    <w:rsid w:val="005E0B59"/>
    <w:rsid w:val="005E1105"/>
    <w:rsid w:val="005E162F"/>
    <w:rsid w:val="005E1E9E"/>
    <w:rsid w:val="005E2C60"/>
    <w:rsid w:val="005E31F6"/>
    <w:rsid w:val="005E3622"/>
    <w:rsid w:val="005E3F85"/>
    <w:rsid w:val="005E60B3"/>
    <w:rsid w:val="005E676C"/>
    <w:rsid w:val="005E6CB9"/>
    <w:rsid w:val="005E6D7B"/>
    <w:rsid w:val="005E7F14"/>
    <w:rsid w:val="005F0154"/>
    <w:rsid w:val="005F0176"/>
    <w:rsid w:val="005F021D"/>
    <w:rsid w:val="005F042E"/>
    <w:rsid w:val="005F1EAC"/>
    <w:rsid w:val="005F2B1C"/>
    <w:rsid w:val="005F2D71"/>
    <w:rsid w:val="005F308F"/>
    <w:rsid w:val="005F3E52"/>
    <w:rsid w:val="005F4869"/>
    <w:rsid w:val="005F4BFD"/>
    <w:rsid w:val="005F5061"/>
    <w:rsid w:val="005F5748"/>
    <w:rsid w:val="005F5834"/>
    <w:rsid w:val="005F5E11"/>
    <w:rsid w:val="006003E5"/>
    <w:rsid w:val="00600C00"/>
    <w:rsid w:val="00600E63"/>
    <w:rsid w:val="00601561"/>
    <w:rsid w:val="00601E55"/>
    <w:rsid w:val="00602037"/>
    <w:rsid w:val="006025D0"/>
    <w:rsid w:val="006029DD"/>
    <w:rsid w:val="00602C6A"/>
    <w:rsid w:val="0060302B"/>
    <w:rsid w:val="00603237"/>
    <w:rsid w:val="00603AF5"/>
    <w:rsid w:val="00606C66"/>
    <w:rsid w:val="006071C7"/>
    <w:rsid w:val="00610145"/>
    <w:rsid w:val="00610D1F"/>
    <w:rsid w:val="00610EF1"/>
    <w:rsid w:val="006123C6"/>
    <w:rsid w:val="00612C02"/>
    <w:rsid w:val="00612CDD"/>
    <w:rsid w:val="00612E6F"/>
    <w:rsid w:val="0061562E"/>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3E76"/>
    <w:rsid w:val="00633EC9"/>
    <w:rsid w:val="006340F5"/>
    <w:rsid w:val="00634542"/>
    <w:rsid w:val="006350D7"/>
    <w:rsid w:val="00635E4D"/>
    <w:rsid w:val="0063620C"/>
    <w:rsid w:val="00637DB7"/>
    <w:rsid w:val="00637E18"/>
    <w:rsid w:val="0064032E"/>
    <w:rsid w:val="0064038D"/>
    <w:rsid w:val="00641A0B"/>
    <w:rsid w:val="00641D41"/>
    <w:rsid w:val="00641D5A"/>
    <w:rsid w:val="00641E06"/>
    <w:rsid w:val="006422CC"/>
    <w:rsid w:val="00643007"/>
    <w:rsid w:val="006431D0"/>
    <w:rsid w:val="006432C5"/>
    <w:rsid w:val="0064336C"/>
    <w:rsid w:val="006436FA"/>
    <w:rsid w:val="00643852"/>
    <w:rsid w:val="00643C27"/>
    <w:rsid w:val="00644940"/>
    <w:rsid w:val="0064553C"/>
    <w:rsid w:val="006455E7"/>
    <w:rsid w:val="00645758"/>
    <w:rsid w:val="00645FFF"/>
    <w:rsid w:val="006461A1"/>
    <w:rsid w:val="00647422"/>
    <w:rsid w:val="00647E6B"/>
    <w:rsid w:val="00650E84"/>
    <w:rsid w:val="0065198B"/>
    <w:rsid w:val="006525AF"/>
    <w:rsid w:val="0065266A"/>
    <w:rsid w:val="00653F9C"/>
    <w:rsid w:val="00655470"/>
    <w:rsid w:val="006566F1"/>
    <w:rsid w:val="00656FEE"/>
    <w:rsid w:val="0065758F"/>
    <w:rsid w:val="00660897"/>
    <w:rsid w:val="00660A00"/>
    <w:rsid w:val="00661028"/>
    <w:rsid w:val="0066107C"/>
    <w:rsid w:val="006617BD"/>
    <w:rsid w:val="0066194D"/>
    <w:rsid w:val="00661F54"/>
    <w:rsid w:val="00664695"/>
    <w:rsid w:val="00664840"/>
    <w:rsid w:val="00664B44"/>
    <w:rsid w:val="006652BF"/>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CC1"/>
    <w:rsid w:val="0068233B"/>
    <w:rsid w:val="00682E11"/>
    <w:rsid w:val="00683081"/>
    <w:rsid w:val="00684C95"/>
    <w:rsid w:val="006850D3"/>
    <w:rsid w:val="00685249"/>
    <w:rsid w:val="006856B9"/>
    <w:rsid w:val="00685BDE"/>
    <w:rsid w:val="00686085"/>
    <w:rsid w:val="00686DB6"/>
    <w:rsid w:val="00687C0D"/>
    <w:rsid w:val="00687DC7"/>
    <w:rsid w:val="00691237"/>
    <w:rsid w:val="006920E6"/>
    <w:rsid w:val="00692555"/>
    <w:rsid w:val="00695F52"/>
    <w:rsid w:val="00696566"/>
    <w:rsid w:val="006966BA"/>
    <w:rsid w:val="0069686C"/>
    <w:rsid w:val="006969CA"/>
    <w:rsid w:val="0069722D"/>
    <w:rsid w:val="00697E97"/>
    <w:rsid w:val="006A0052"/>
    <w:rsid w:val="006A0A9E"/>
    <w:rsid w:val="006A0D32"/>
    <w:rsid w:val="006A1759"/>
    <w:rsid w:val="006A1D15"/>
    <w:rsid w:val="006A1F1C"/>
    <w:rsid w:val="006A3155"/>
    <w:rsid w:val="006A3836"/>
    <w:rsid w:val="006A3DD3"/>
    <w:rsid w:val="006A4621"/>
    <w:rsid w:val="006A4625"/>
    <w:rsid w:val="006A47AE"/>
    <w:rsid w:val="006A5342"/>
    <w:rsid w:val="006A57AC"/>
    <w:rsid w:val="006A5B5E"/>
    <w:rsid w:val="006A67CB"/>
    <w:rsid w:val="006A7655"/>
    <w:rsid w:val="006A78E4"/>
    <w:rsid w:val="006B0368"/>
    <w:rsid w:val="006B0F6E"/>
    <w:rsid w:val="006B1D7B"/>
    <w:rsid w:val="006B27D4"/>
    <w:rsid w:val="006B2C9C"/>
    <w:rsid w:val="006B48EB"/>
    <w:rsid w:val="006B4C00"/>
    <w:rsid w:val="006B56FC"/>
    <w:rsid w:val="006B6DDA"/>
    <w:rsid w:val="006B7201"/>
    <w:rsid w:val="006B73D9"/>
    <w:rsid w:val="006B7DF0"/>
    <w:rsid w:val="006B7E74"/>
    <w:rsid w:val="006C0D75"/>
    <w:rsid w:val="006C1C48"/>
    <w:rsid w:val="006C3584"/>
    <w:rsid w:val="006C3895"/>
    <w:rsid w:val="006C3C1D"/>
    <w:rsid w:val="006C41FF"/>
    <w:rsid w:val="006C4305"/>
    <w:rsid w:val="006C44AD"/>
    <w:rsid w:val="006C5145"/>
    <w:rsid w:val="006C65A8"/>
    <w:rsid w:val="006D05AD"/>
    <w:rsid w:val="006D0EC1"/>
    <w:rsid w:val="006D16F8"/>
    <w:rsid w:val="006D1813"/>
    <w:rsid w:val="006D24A9"/>
    <w:rsid w:val="006D2AF3"/>
    <w:rsid w:val="006D40EA"/>
    <w:rsid w:val="006D4D76"/>
    <w:rsid w:val="006D4D79"/>
    <w:rsid w:val="006D4FBD"/>
    <w:rsid w:val="006D5879"/>
    <w:rsid w:val="006D5B61"/>
    <w:rsid w:val="006D619B"/>
    <w:rsid w:val="006D63FD"/>
    <w:rsid w:val="006D65B4"/>
    <w:rsid w:val="006D754A"/>
    <w:rsid w:val="006D7B9C"/>
    <w:rsid w:val="006E04C6"/>
    <w:rsid w:val="006E0A65"/>
    <w:rsid w:val="006E1B01"/>
    <w:rsid w:val="006E3E3D"/>
    <w:rsid w:val="006E47A6"/>
    <w:rsid w:val="006E4836"/>
    <w:rsid w:val="006E4B7A"/>
    <w:rsid w:val="006E5DDD"/>
    <w:rsid w:val="006E66D8"/>
    <w:rsid w:val="006E7281"/>
    <w:rsid w:val="006E7811"/>
    <w:rsid w:val="006F04DA"/>
    <w:rsid w:val="006F0557"/>
    <w:rsid w:val="006F0EA3"/>
    <w:rsid w:val="006F1B5D"/>
    <w:rsid w:val="006F1CF7"/>
    <w:rsid w:val="006F212B"/>
    <w:rsid w:val="006F37F7"/>
    <w:rsid w:val="006F4A61"/>
    <w:rsid w:val="006F4ADC"/>
    <w:rsid w:val="006F4D95"/>
    <w:rsid w:val="006F557B"/>
    <w:rsid w:val="006F643D"/>
    <w:rsid w:val="006F675C"/>
    <w:rsid w:val="006F6D13"/>
    <w:rsid w:val="006F7759"/>
    <w:rsid w:val="006F79F6"/>
    <w:rsid w:val="006F7D95"/>
    <w:rsid w:val="0070082A"/>
    <w:rsid w:val="00700D41"/>
    <w:rsid w:val="00701B21"/>
    <w:rsid w:val="00702384"/>
    <w:rsid w:val="00704601"/>
    <w:rsid w:val="00704BAE"/>
    <w:rsid w:val="00705807"/>
    <w:rsid w:val="00705C74"/>
    <w:rsid w:val="00705C78"/>
    <w:rsid w:val="007060E1"/>
    <w:rsid w:val="00706824"/>
    <w:rsid w:val="00706B85"/>
    <w:rsid w:val="007071FC"/>
    <w:rsid w:val="00707C84"/>
    <w:rsid w:val="007108C6"/>
    <w:rsid w:val="00710A59"/>
    <w:rsid w:val="00710FDE"/>
    <w:rsid w:val="007116C7"/>
    <w:rsid w:val="00711C5A"/>
    <w:rsid w:val="00712B66"/>
    <w:rsid w:val="00713824"/>
    <w:rsid w:val="00713C31"/>
    <w:rsid w:val="0071428D"/>
    <w:rsid w:val="007144C9"/>
    <w:rsid w:val="00715EBB"/>
    <w:rsid w:val="007164A6"/>
    <w:rsid w:val="00716B3C"/>
    <w:rsid w:val="007170C2"/>
    <w:rsid w:val="00717AC1"/>
    <w:rsid w:val="00717EE4"/>
    <w:rsid w:val="00717F2D"/>
    <w:rsid w:val="0072008B"/>
    <w:rsid w:val="007202C4"/>
    <w:rsid w:val="00720453"/>
    <w:rsid w:val="00720853"/>
    <w:rsid w:val="00722129"/>
    <w:rsid w:val="00724173"/>
    <w:rsid w:val="0072554B"/>
    <w:rsid w:val="00726730"/>
    <w:rsid w:val="00730598"/>
    <w:rsid w:val="00731C24"/>
    <w:rsid w:val="0073257E"/>
    <w:rsid w:val="00732A32"/>
    <w:rsid w:val="00733066"/>
    <w:rsid w:val="00733469"/>
    <w:rsid w:val="00733539"/>
    <w:rsid w:val="00734715"/>
    <w:rsid w:val="007352CF"/>
    <w:rsid w:val="00735557"/>
    <w:rsid w:val="00737108"/>
    <w:rsid w:val="007379CE"/>
    <w:rsid w:val="00740331"/>
    <w:rsid w:val="00740A0F"/>
    <w:rsid w:val="0074176B"/>
    <w:rsid w:val="007419A7"/>
    <w:rsid w:val="00741B21"/>
    <w:rsid w:val="00741DD8"/>
    <w:rsid w:val="00741E49"/>
    <w:rsid w:val="0074250D"/>
    <w:rsid w:val="007445E2"/>
    <w:rsid w:val="00744F73"/>
    <w:rsid w:val="00745496"/>
    <w:rsid w:val="007460DA"/>
    <w:rsid w:val="00746C56"/>
    <w:rsid w:val="0074705B"/>
    <w:rsid w:val="007470EC"/>
    <w:rsid w:val="0075020B"/>
    <w:rsid w:val="00751017"/>
    <w:rsid w:val="007518E5"/>
    <w:rsid w:val="00751960"/>
    <w:rsid w:val="00752379"/>
    <w:rsid w:val="007535C7"/>
    <w:rsid w:val="00754451"/>
    <w:rsid w:val="00756551"/>
    <w:rsid w:val="0075696B"/>
    <w:rsid w:val="00757769"/>
    <w:rsid w:val="0076067E"/>
    <w:rsid w:val="00761BFD"/>
    <w:rsid w:val="00761D5C"/>
    <w:rsid w:val="00761FE5"/>
    <w:rsid w:val="00762476"/>
    <w:rsid w:val="00762887"/>
    <w:rsid w:val="00762A18"/>
    <w:rsid w:val="007632F3"/>
    <w:rsid w:val="00763AE2"/>
    <w:rsid w:val="00764135"/>
    <w:rsid w:val="0076467D"/>
    <w:rsid w:val="007652F6"/>
    <w:rsid w:val="00765CED"/>
    <w:rsid w:val="00766D90"/>
    <w:rsid w:val="007670AB"/>
    <w:rsid w:val="007677C4"/>
    <w:rsid w:val="00767BF3"/>
    <w:rsid w:val="00767C19"/>
    <w:rsid w:val="00767D4E"/>
    <w:rsid w:val="00771067"/>
    <w:rsid w:val="007722ED"/>
    <w:rsid w:val="0077408B"/>
    <w:rsid w:val="00774AF6"/>
    <w:rsid w:val="00774EC8"/>
    <w:rsid w:val="00776781"/>
    <w:rsid w:val="007776CC"/>
    <w:rsid w:val="00777CE9"/>
    <w:rsid w:val="00777F51"/>
    <w:rsid w:val="00780D05"/>
    <w:rsid w:val="007825D4"/>
    <w:rsid w:val="0078285A"/>
    <w:rsid w:val="00782BCF"/>
    <w:rsid w:val="0078332F"/>
    <w:rsid w:val="00783C7B"/>
    <w:rsid w:val="00783E1D"/>
    <w:rsid w:val="0078556C"/>
    <w:rsid w:val="007855C5"/>
    <w:rsid w:val="007856D3"/>
    <w:rsid w:val="00785ABD"/>
    <w:rsid w:val="007860C6"/>
    <w:rsid w:val="00786254"/>
    <w:rsid w:val="00786DB0"/>
    <w:rsid w:val="00787D47"/>
    <w:rsid w:val="0079014E"/>
    <w:rsid w:val="007908F5"/>
    <w:rsid w:val="0079148B"/>
    <w:rsid w:val="0079231A"/>
    <w:rsid w:val="00792971"/>
    <w:rsid w:val="007935C6"/>
    <w:rsid w:val="00794129"/>
    <w:rsid w:val="00794516"/>
    <w:rsid w:val="00794878"/>
    <w:rsid w:val="007952D9"/>
    <w:rsid w:val="00795512"/>
    <w:rsid w:val="00795AB7"/>
    <w:rsid w:val="00795E18"/>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60CA"/>
    <w:rsid w:val="007A6F0F"/>
    <w:rsid w:val="007A708C"/>
    <w:rsid w:val="007A75B5"/>
    <w:rsid w:val="007A7957"/>
    <w:rsid w:val="007A7985"/>
    <w:rsid w:val="007A7ABE"/>
    <w:rsid w:val="007B0330"/>
    <w:rsid w:val="007B03C5"/>
    <w:rsid w:val="007B26E1"/>
    <w:rsid w:val="007B2959"/>
    <w:rsid w:val="007B3045"/>
    <w:rsid w:val="007B3158"/>
    <w:rsid w:val="007B4C0F"/>
    <w:rsid w:val="007B5E25"/>
    <w:rsid w:val="007B68C3"/>
    <w:rsid w:val="007B6E0E"/>
    <w:rsid w:val="007B73A7"/>
    <w:rsid w:val="007C27FB"/>
    <w:rsid w:val="007C2CBB"/>
    <w:rsid w:val="007C309C"/>
    <w:rsid w:val="007C4209"/>
    <w:rsid w:val="007C5EB9"/>
    <w:rsid w:val="007C727F"/>
    <w:rsid w:val="007C7449"/>
    <w:rsid w:val="007C7EA5"/>
    <w:rsid w:val="007D1A95"/>
    <w:rsid w:val="007D1DBF"/>
    <w:rsid w:val="007D245E"/>
    <w:rsid w:val="007D3764"/>
    <w:rsid w:val="007D3CA8"/>
    <w:rsid w:val="007D485A"/>
    <w:rsid w:val="007D51A6"/>
    <w:rsid w:val="007D54FF"/>
    <w:rsid w:val="007D57D4"/>
    <w:rsid w:val="007D6315"/>
    <w:rsid w:val="007D724A"/>
    <w:rsid w:val="007D75A3"/>
    <w:rsid w:val="007E16E2"/>
    <w:rsid w:val="007E19FE"/>
    <w:rsid w:val="007E1AAC"/>
    <w:rsid w:val="007E2084"/>
    <w:rsid w:val="007E2933"/>
    <w:rsid w:val="007E3B9C"/>
    <w:rsid w:val="007E4A2F"/>
    <w:rsid w:val="007E56C4"/>
    <w:rsid w:val="007E5C4A"/>
    <w:rsid w:val="007E6811"/>
    <w:rsid w:val="007E6915"/>
    <w:rsid w:val="007E69F2"/>
    <w:rsid w:val="007E74CA"/>
    <w:rsid w:val="007E7AD3"/>
    <w:rsid w:val="007F0070"/>
    <w:rsid w:val="007F0441"/>
    <w:rsid w:val="007F0B7E"/>
    <w:rsid w:val="007F0E99"/>
    <w:rsid w:val="007F0FA1"/>
    <w:rsid w:val="007F20F1"/>
    <w:rsid w:val="007F4224"/>
    <w:rsid w:val="007F4DD2"/>
    <w:rsid w:val="007F4FB9"/>
    <w:rsid w:val="007F66EE"/>
    <w:rsid w:val="007F7022"/>
    <w:rsid w:val="007F7690"/>
    <w:rsid w:val="008011CC"/>
    <w:rsid w:val="00801404"/>
    <w:rsid w:val="008017AA"/>
    <w:rsid w:val="00801CBA"/>
    <w:rsid w:val="00801D92"/>
    <w:rsid w:val="00801F9F"/>
    <w:rsid w:val="00802882"/>
    <w:rsid w:val="00802976"/>
    <w:rsid w:val="00804BCF"/>
    <w:rsid w:val="00804FA4"/>
    <w:rsid w:val="00805275"/>
    <w:rsid w:val="00806A62"/>
    <w:rsid w:val="00806E55"/>
    <w:rsid w:val="008075CE"/>
    <w:rsid w:val="00812179"/>
    <w:rsid w:val="008124E2"/>
    <w:rsid w:val="00812A14"/>
    <w:rsid w:val="00813928"/>
    <w:rsid w:val="00815321"/>
    <w:rsid w:val="008166DB"/>
    <w:rsid w:val="008173E0"/>
    <w:rsid w:val="008175C1"/>
    <w:rsid w:val="00817F4E"/>
    <w:rsid w:val="008200D4"/>
    <w:rsid w:val="00820370"/>
    <w:rsid w:val="00820CC6"/>
    <w:rsid w:val="00822524"/>
    <w:rsid w:val="00822610"/>
    <w:rsid w:val="00822C41"/>
    <w:rsid w:val="00824AAF"/>
    <w:rsid w:val="00825043"/>
    <w:rsid w:val="00825267"/>
    <w:rsid w:val="008264EC"/>
    <w:rsid w:val="00827C0D"/>
    <w:rsid w:val="00830642"/>
    <w:rsid w:val="00831042"/>
    <w:rsid w:val="00831250"/>
    <w:rsid w:val="00831774"/>
    <w:rsid w:val="00831D8D"/>
    <w:rsid w:val="00832957"/>
    <w:rsid w:val="008333B7"/>
    <w:rsid w:val="008334F7"/>
    <w:rsid w:val="008336EC"/>
    <w:rsid w:val="008337B9"/>
    <w:rsid w:val="00834690"/>
    <w:rsid w:val="00834FD2"/>
    <w:rsid w:val="00835084"/>
    <w:rsid w:val="00835184"/>
    <w:rsid w:val="00835569"/>
    <w:rsid w:val="00835802"/>
    <w:rsid w:val="00836295"/>
    <w:rsid w:val="00836F2B"/>
    <w:rsid w:val="008370EE"/>
    <w:rsid w:val="00837724"/>
    <w:rsid w:val="00840182"/>
    <w:rsid w:val="0084093F"/>
    <w:rsid w:val="0084098A"/>
    <w:rsid w:val="00840DB0"/>
    <w:rsid w:val="00840EDE"/>
    <w:rsid w:val="008418A5"/>
    <w:rsid w:val="00841BD3"/>
    <w:rsid w:val="00841FEF"/>
    <w:rsid w:val="00843548"/>
    <w:rsid w:val="00843612"/>
    <w:rsid w:val="0084383C"/>
    <w:rsid w:val="00843CC0"/>
    <w:rsid w:val="00844ADD"/>
    <w:rsid w:val="0084534E"/>
    <w:rsid w:val="00846062"/>
    <w:rsid w:val="008474C1"/>
    <w:rsid w:val="00847C1C"/>
    <w:rsid w:val="0085055E"/>
    <w:rsid w:val="00850C3B"/>
    <w:rsid w:val="00851605"/>
    <w:rsid w:val="00852CA0"/>
    <w:rsid w:val="00852D85"/>
    <w:rsid w:val="00852F6C"/>
    <w:rsid w:val="00853519"/>
    <w:rsid w:val="008544E5"/>
    <w:rsid w:val="0085465C"/>
    <w:rsid w:val="00854967"/>
    <w:rsid w:val="00854F9E"/>
    <w:rsid w:val="0085540B"/>
    <w:rsid w:val="00855511"/>
    <w:rsid w:val="0085582C"/>
    <w:rsid w:val="00855FD3"/>
    <w:rsid w:val="00857086"/>
    <w:rsid w:val="00857572"/>
    <w:rsid w:val="00860F4D"/>
    <w:rsid w:val="008611DE"/>
    <w:rsid w:val="00861375"/>
    <w:rsid w:val="00861C56"/>
    <w:rsid w:val="00861E33"/>
    <w:rsid w:val="00861F29"/>
    <w:rsid w:val="008620A2"/>
    <w:rsid w:val="00862741"/>
    <w:rsid w:val="00862BBD"/>
    <w:rsid w:val="0086333D"/>
    <w:rsid w:val="00863734"/>
    <w:rsid w:val="00863C9F"/>
    <w:rsid w:val="008645D6"/>
    <w:rsid w:val="0086552B"/>
    <w:rsid w:val="008655A2"/>
    <w:rsid w:val="0086584F"/>
    <w:rsid w:val="008671C7"/>
    <w:rsid w:val="00867EB8"/>
    <w:rsid w:val="00870335"/>
    <w:rsid w:val="00870AA2"/>
    <w:rsid w:val="00870D44"/>
    <w:rsid w:val="00873D88"/>
    <w:rsid w:val="00874191"/>
    <w:rsid w:val="0087433B"/>
    <w:rsid w:val="008746E2"/>
    <w:rsid w:val="00874EF9"/>
    <w:rsid w:val="00875A86"/>
    <w:rsid w:val="0087621E"/>
    <w:rsid w:val="008767B2"/>
    <w:rsid w:val="00877328"/>
    <w:rsid w:val="0087787A"/>
    <w:rsid w:val="00877E66"/>
    <w:rsid w:val="008802F0"/>
    <w:rsid w:val="00880992"/>
    <w:rsid w:val="00881692"/>
    <w:rsid w:val="00883143"/>
    <w:rsid w:val="008834E0"/>
    <w:rsid w:val="00884EC8"/>
    <w:rsid w:val="008850A2"/>
    <w:rsid w:val="00886154"/>
    <w:rsid w:val="008867E9"/>
    <w:rsid w:val="00890277"/>
    <w:rsid w:val="0089061A"/>
    <w:rsid w:val="008915C6"/>
    <w:rsid w:val="00891677"/>
    <w:rsid w:val="00892DB5"/>
    <w:rsid w:val="0089303B"/>
    <w:rsid w:val="00894B61"/>
    <w:rsid w:val="00895255"/>
    <w:rsid w:val="00895DF1"/>
    <w:rsid w:val="00896645"/>
    <w:rsid w:val="008972A9"/>
    <w:rsid w:val="008975D2"/>
    <w:rsid w:val="00897ED8"/>
    <w:rsid w:val="008A035B"/>
    <w:rsid w:val="008A0459"/>
    <w:rsid w:val="008A06C5"/>
    <w:rsid w:val="008A1218"/>
    <w:rsid w:val="008A15B6"/>
    <w:rsid w:val="008A1A6E"/>
    <w:rsid w:val="008A202A"/>
    <w:rsid w:val="008A23BC"/>
    <w:rsid w:val="008A2ABC"/>
    <w:rsid w:val="008A32EF"/>
    <w:rsid w:val="008A36C9"/>
    <w:rsid w:val="008A5AF9"/>
    <w:rsid w:val="008A6FE5"/>
    <w:rsid w:val="008B16DE"/>
    <w:rsid w:val="008B251F"/>
    <w:rsid w:val="008B2602"/>
    <w:rsid w:val="008B2727"/>
    <w:rsid w:val="008B3112"/>
    <w:rsid w:val="008B316B"/>
    <w:rsid w:val="008B42A8"/>
    <w:rsid w:val="008B5059"/>
    <w:rsid w:val="008B5BF2"/>
    <w:rsid w:val="008B6934"/>
    <w:rsid w:val="008B6CF8"/>
    <w:rsid w:val="008B72F6"/>
    <w:rsid w:val="008C0654"/>
    <w:rsid w:val="008C119E"/>
    <w:rsid w:val="008C1402"/>
    <w:rsid w:val="008C1E24"/>
    <w:rsid w:val="008C296B"/>
    <w:rsid w:val="008C2A46"/>
    <w:rsid w:val="008C4278"/>
    <w:rsid w:val="008C520E"/>
    <w:rsid w:val="008C563B"/>
    <w:rsid w:val="008C567E"/>
    <w:rsid w:val="008C5998"/>
    <w:rsid w:val="008C5DEE"/>
    <w:rsid w:val="008C6285"/>
    <w:rsid w:val="008C7182"/>
    <w:rsid w:val="008C7268"/>
    <w:rsid w:val="008C7CA5"/>
    <w:rsid w:val="008C7D9D"/>
    <w:rsid w:val="008D0416"/>
    <w:rsid w:val="008D13C6"/>
    <w:rsid w:val="008D1B04"/>
    <w:rsid w:val="008D3235"/>
    <w:rsid w:val="008D33C8"/>
    <w:rsid w:val="008D3893"/>
    <w:rsid w:val="008D45CD"/>
    <w:rsid w:val="008D4D09"/>
    <w:rsid w:val="008D55F1"/>
    <w:rsid w:val="008D5CD7"/>
    <w:rsid w:val="008D718E"/>
    <w:rsid w:val="008E09C5"/>
    <w:rsid w:val="008E0AA7"/>
    <w:rsid w:val="008E0AF5"/>
    <w:rsid w:val="008E177E"/>
    <w:rsid w:val="008E1D87"/>
    <w:rsid w:val="008E2355"/>
    <w:rsid w:val="008E3151"/>
    <w:rsid w:val="008E3386"/>
    <w:rsid w:val="008E38F0"/>
    <w:rsid w:val="008E39F9"/>
    <w:rsid w:val="008E3AF8"/>
    <w:rsid w:val="008E4DDC"/>
    <w:rsid w:val="008E5410"/>
    <w:rsid w:val="008E5A3F"/>
    <w:rsid w:val="008E7209"/>
    <w:rsid w:val="008E736D"/>
    <w:rsid w:val="008E7448"/>
    <w:rsid w:val="008F11BB"/>
    <w:rsid w:val="008F16FF"/>
    <w:rsid w:val="008F182F"/>
    <w:rsid w:val="008F1E95"/>
    <w:rsid w:val="008F2304"/>
    <w:rsid w:val="008F57DD"/>
    <w:rsid w:val="008F5AEE"/>
    <w:rsid w:val="008F62D7"/>
    <w:rsid w:val="008F64BB"/>
    <w:rsid w:val="008F6EAA"/>
    <w:rsid w:val="008F7379"/>
    <w:rsid w:val="008F7800"/>
    <w:rsid w:val="008F7BCA"/>
    <w:rsid w:val="00900CDA"/>
    <w:rsid w:val="00900F4D"/>
    <w:rsid w:val="0090167B"/>
    <w:rsid w:val="00902DEC"/>
    <w:rsid w:val="0090342E"/>
    <w:rsid w:val="00903D3A"/>
    <w:rsid w:val="009044B9"/>
    <w:rsid w:val="009047B1"/>
    <w:rsid w:val="00904C86"/>
    <w:rsid w:val="0090680D"/>
    <w:rsid w:val="0091045D"/>
    <w:rsid w:val="00910AE1"/>
    <w:rsid w:val="0091281A"/>
    <w:rsid w:val="00912B24"/>
    <w:rsid w:val="009139B5"/>
    <w:rsid w:val="00914514"/>
    <w:rsid w:val="00914549"/>
    <w:rsid w:val="00914C08"/>
    <w:rsid w:val="00914F2F"/>
    <w:rsid w:val="00916057"/>
    <w:rsid w:val="00916AD1"/>
    <w:rsid w:val="00917060"/>
    <w:rsid w:val="00917637"/>
    <w:rsid w:val="00917FBF"/>
    <w:rsid w:val="00917FEE"/>
    <w:rsid w:val="009201F3"/>
    <w:rsid w:val="0092023D"/>
    <w:rsid w:val="00920472"/>
    <w:rsid w:val="00921251"/>
    <w:rsid w:val="00921861"/>
    <w:rsid w:val="0092189E"/>
    <w:rsid w:val="009219FD"/>
    <w:rsid w:val="00921DF7"/>
    <w:rsid w:val="00924734"/>
    <w:rsid w:val="0092548B"/>
    <w:rsid w:val="009257B0"/>
    <w:rsid w:val="009258BD"/>
    <w:rsid w:val="00925967"/>
    <w:rsid w:val="00925DEB"/>
    <w:rsid w:val="00926297"/>
    <w:rsid w:val="009263C0"/>
    <w:rsid w:val="0092727B"/>
    <w:rsid w:val="009302D4"/>
    <w:rsid w:val="009307F2"/>
    <w:rsid w:val="00930CEC"/>
    <w:rsid w:val="00930F4A"/>
    <w:rsid w:val="00931099"/>
    <w:rsid w:val="009335C2"/>
    <w:rsid w:val="0093375E"/>
    <w:rsid w:val="00933BEF"/>
    <w:rsid w:val="00933FC3"/>
    <w:rsid w:val="009340EF"/>
    <w:rsid w:val="0093787E"/>
    <w:rsid w:val="009412CC"/>
    <w:rsid w:val="009423DF"/>
    <w:rsid w:val="0094323E"/>
    <w:rsid w:val="009437C8"/>
    <w:rsid w:val="0094388B"/>
    <w:rsid w:val="00943D09"/>
    <w:rsid w:val="00944826"/>
    <w:rsid w:val="009457A1"/>
    <w:rsid w:val="009466F2"/>
    <w:rsid w:val="009475B2"/>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4596"/>
    <w:rsid w:val="00955851"/>
    <w:rsid w:val="00955C63"/>
    <w:rsid w:val="00957484"/>
    <w:rsid w:val="00957E23"/>
    <w:rsid w:val="00960324"/>
    <w:rsid w:val="00961487"/>
    <w:rsid w:val="00961BA7"/>
    <w:rsid w:val="00961CC8"/>
    <w:rsid w:val="00961F01"/>
    <w:rsid w:val="00962162"/>
    <w:rsid w:val="009623BC"/>
    <w:rsid w:val="009628BE"/>
    <w:rsid w:val="00962E87"/>
    <w:rsid w:val="009631C8"/>
    <w:rsid w:val="00963AE4"/>
    <w:rsid w:val="00963C14"/>
    <w:rsid w:val="009645CD"/>
    <w:rsid w:val="00965940"/>
    <w:rsid w:val="00965A4E"/>
    <w:rsid w:val="00965CE5"/>
    <w:rsid w:val="0096662F"/>
    <w:rsid w:val="00966BE5"/>
    <w:rsid w:val="00966EB0"/>
    <w:rsid w:val="00971116"/>
    <w:rsid w:val="0097287D"/>
    <w:rsid w:val="00972E28"/>
    <w:rsid w:val="00973030"/>
    <w:rsid w:val="009733F3"/>
    <w:rsid w:val="009748E4"/>
    <w:rsid w:val="00975EC7"/>
    <w:rsid w:val="00976D65"/>
    <w:rsid w:val="00977CE6"/>
    <w:rsid w:val="00977FCD"/>
    <w:rsid w:val="0098041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62B"/>
    <w:rsid w:val="00995ADA"/>
    <w:rsid w:val="0099643A"/>
    <w:rsid w:val="00997959"/>
    <w:rsid w:val="009A0919"/>
    <w:rsid w:val="009A0A26"/>
    <w:rsid w:val="009A0BAF"/>
    <w:rsid w:val="009A1062"/>
    <w:rsid w:val="009A1431"/>
    <w:rsid w:val="009A153D"/>
    <w:rsid w:val="009A1634"/>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0B76"/>
    <w:rsid w:val="009B173B"/>
    <w:rsid w:val="009B1A1A"/>
    <w:rsid w:val="009B2608"/>
    <w:rsid w:val="009B2A71"/>
    <w:rsid w:val="009B2C87"/>
    <w:rsid w:val="009B36D5"/>
    <w:rsid w:val="009B4027"/>
    <w:rsid w:val="009B4443"/>
    <w:rsid w:val="009B4975"/>
    <w:rsid w:val="009B561F"/>
    <w:rsid w:val="009B5773"/>
    <w:rsid w:val="009B5D2D"/>
    <w:rsid w:val="009B6716"/>
    <w:rsid w:val="009C058F"/>
    <w:rsid w:val="009C2B3E"/>
    <w:rsid w:val="009C2EA2"/>
    <w:rsid w:val="009C302C"/>
    <w:rsid w:val="009C3721"/>
    <w:rsid w:val="009C4141"/>
    <w:rsid w:val="009C4B55"/>
    <w:rsid w:val="009C5FCC"/>
    <w:rsid w:val="009C61A2"/>
    <w:rsid w:val="009C6D6B"/>
    <w:rsid w:val="009C6DF6"/>
    <w:rsid w:val="009C6E92"/>
    <w:rsid w:val="009C7EF0"/>
    <w:rsid w:val="009D0109"/>
    <w:rsid w:val="009D022B"/>
    <w:rsid w:val="009D04F7"/>
    <w:rsid w:val="009D1589"/>
    <w:rsid w:val="009D2003"/>
    <w:rsid w:val="009D2DE4"/>
    <w:rsid w:val="009D38A8"/>
    <w:rsid w:val="009D38C2"/>
    <w:rsid w:val="009D417F"/>
    <w:rsid w:val="009D45E5"/>
    <w:rsid w:val="009D4B85"/>
    <w:rsid w:val="009D535B"/>
    <w:rsid w:val="009D62FA"/>
    <w:rsid w:val="009D630B"/>
    <w:rsid w:val="009D6CAA"/>
    <w:rsid w:val="009D6CF6"/>
    <w:rsid w:val="009D6E69"/>
    <w:rsid w:val="009D700C"/>
    <w:rsid w:val="009E02DC"/>
    <w:rsid w:val="009E1F2D"/>
    <w:rsid w:val="009E2040"/>
    <w:rsid w:val="009E49AE"/>
    <w:rsid w:val="009E4DC7"/>
    <w:rsid w:val="009E5B95"/>
    <w:rsid w:val="009E633A"/>
    <w:rsid w:val="009E660A"/>
    <w:rsid w:val="009E6845"/>
    <w:rsid w:val="009E6B64"/>
    <w:rsid w:val="009E72E5"/>
    <w:rsid w:val="009E79BC"/>
    <w:rsid w:val="009F46C8"/>
    <w:rsid w:val="009F4F2A"/>
    <w:rsid w:val="009F660B"/>
    <w:rsid w:val="009F671E"/>
    <w:rsid w:val="009F68BC"/>
    <w:rsid w:val="009F7ED1"/>
    <w:rsid w:val="00A0149B"/>
    <w:rsid w:val="00A01607"/>
    <w:rsid w:val="00A018D4"/>
    <w:rsid w:val="00A02F9D"/>
    <w:rsid w:val="00A03767"/>
    <w:rsid w:val="00A03DED"/>
    <w:rsid w:val="00A04834"/>
    <w:rsid w:val="00A05393"/>
    <w:rsid w:val="00A05628"/>
    <w:rsid w:val="00A07DCF"/>
    <w:rsid w:val="00A12979"/>
    <w:rsid w:val="00A131A9"/>
    <w:rsid w:val="00A1496E"/>
    <w:rsid w:val="00A14F84"/>
    <w:rsid w:val="00A16D6D"/>
    <w:rsid w:val="00A17945"/>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27CEB"/>
    <w:rsid w:val="00A30F6A"/>
    <w:rsid w:val="00A32534"/>
    <w:rsid w:val="00A32AEA"/>
    <w:rsid w:val="00A32F32"/>
    <w:rsid w:val="00A333E1"/>
    <w:rsid w:val="00A33E80"/>
    <w:rsid w:val="00A33EFE"/>
    <w:rsid w:val="00A34E56"/>
    <w:rsid w:val="00A403B1"/>
    <w:rsid w:val="00A4148D"/>
    <w:rsid w:val="00A42BA0"/>
    <w:rsid w:val="00A42FF9"/>
    <w:rsid w:val="00A43F13"/>
    <w:rsid w:val="00A44BAD"/>
    <w:rsid w:val="00A44D0E"/>
    <w:rsid w:val="00A4621D"/>
    <w:rsid w:val="00A509FB"/>
    <w:rsid w:val="00A51C19"/>
    <w:rsid w:val="00A51E04"/>
    <w:rsid w:val="00A522B5"/>
    <w:rsid w:val="00A52C31"/>
    <w:rsid w:val="00A52F37"/>
    <w:rsid w:val="00A533C5"/>
    <w:rsid w:val="00A5388C"/>
    <w:rsid w:val="00A5397B"/>
    <w:rsid w:val="00A53BE1"/>
    <w:rsid w:val="00A542EA"/>
    <w:rsid w:val="00A54644"/>
    <w:rsid w:val="00A55921"/>
    <w:rsid w:val="00A560E3"/>
    <w:rsid w:val="00A56131"/>
    <w:rsid w:val="00A5628F"/>
    <w:rsid w:val="00A564AF"/>
    <w:rsid w:val="00A566A8"/>
    <w:rsid w:val="00A56D0B"/>
    <w:rsid w:val="00A5775C"/>
    <w:rsid w:val="00A57B40"/>
    <w:rsid w:val="00A60E72"/>
    <w:rsid w:val="00A61F0C"/>
    <w:rsid w:val="00A61FF0"/>
    <w:rsid w:val="00A620E8"/>
    <w:rsid w:val="00A62580"/>
    <w:rsid w:val="00A62B10"/>
    <w:rsid w:val="00A62DC0"/>
    <w:rsid w:val="00A63AC9"/>
    <w:rsid w:val="00A64282"/>
    <w:rsid w:val="00A64502"/>
    <w:rsid w:val="00A64B5F"/>
    <w:rsid w:val="00A65EA0"/>
    <w:rsid w:val="00A66517"/>
    <w:rsid w:val="00A67B0E"/>
    <w:rsid w:val="00A67D43"/>
    <w:rsid w:val="00A718EF"/>
    <w:rsid w:val="00A72134"/>
    <w:rsid w:val="00A726A8"/>
    <w:rsid w:val="00A72951"/>
    <w:rsid w:val="00A72CFB"/>
    <w:rsid w:val="00A73505"/>
    <w:rsid w:val="00A75E02"/>
    <w:rsid w:val="00A76E79"/>
    <w:rsid w:val="00A7771B"/>
    <w:rsid w:val="00A77B53"/>
    <w:rsid w:val="00A77BE6"/>
    <w:rsid w:val="00A811F1"/>
    <w:rsid w:val="00A825AA"/>
    <w:rsid w:val="00A82887"/>
    <w:rsid w:val="00A83010"/>
    <w:rsid w:val="00A83BF5"/>
    <w:rsid w:val="00A83CED"/>
    <w:rsid w:val="00A84CD1"/>
    <w:rsid w:val="00A85E2E"/>
    <w:rsid w:val="00A861F3"/>
    <w:rsid w:val="00A8728F"/>
    <w:rsid w:val="00A8756A"/>
    <w:rsid w:val="00A87F7D"/>
    <w:rsid w:val="00A906B7"/>
    <w:rsid w:val="00A9070E"/>
    <w:rsid w:val="00A91B29"/>
    <w:rsid w:val="00A92DD4"/>
    <w:rsid w:val="00A94D0F"/>
    <w:rsid w:val="00A94F13"/>
    <w:rsid w:val="00A9568C"/>
    <w:rsid w:val="00A95BED"/>
    <w:rsid w:val="00A95D41"/>
    <w:rsid w:val="00A95EA2"/>
    <w:rsid w:val="00A9787E"/>
    <w:rsid w:val="00A97AF9"/>
    <w:rsid w:val="00AA08E8"/>
    <w:rsid w:val="00AA0DB4"/>
    <w:rsid w:val="00AA11C5"/>
    <w:rsid w:val="00AA17E2"/>
    <w:rsid w:val="00AA18D6"/>
    <w:rsid w:val="00AA21B7"/>
    <w:rsid w:val="00AA2495"/>
    <w:rsid w:val="00AA3827"/>
    <w:rsid w:val="00AA382D"/>
    <w:rsid w:val="00AA4A2C"/>
    <w:rsid w:val="00AA50A6"/>
    <w:rsid w:val="00AA59A6"/>
    <w:rsid w:val="00AA6299"/>
    <w:rsid w:val="00AA6E05"/>
    <w:rsid w:val="00AB0262"/>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42B8"/>
    <w:rsid w:val="00AC45C5"/>
    <w:rsid w:val="00AC4791"/>
    <w:rsid w:val="00AC4A4C"/>
    <w:rsid w:val="00AC4FB6"/>
    <w:rsid w:val="00AC4FD1"/>
    <w:rsid w:val="00AC5B33"/>
    <w:rsid w:val="00AC5FEF"/>
    <w:rsid w:val="00AC6036"/>
    <w:rsid w:val="00AC6F9E"/>
    <w:rsid w:val="00AC7593"/>
    <w:rsid w:val="00AD01AA"/>
    <w:rsid w:val="00AD0328"/>
    <w:rsid w:val="00AD060E"/>
    <w:rsid w:val="00AD0865"/>
    <w:rsid w:val="00AD11DC"/>
    <w:rsid w:val="00AD1966"/>
    <w:rsid w:val="00AD19E8"/>
    <w:rsid w:val="00AD1B82"/>
    <w:rsid w:val="00AD25A6"/>
    <w:rsid w:val="00AD2B03"/>
    <w:rsid w:val="00AD2E07"/>
    <w:rsid w:val="00AD2E91"/>
    <w:rsid w:val="00AD38A9"/>
    <w:rsid w:val="00AD39DA"/>
    <w:rsid w:val="00AD3A55"/>
    <w:rsid w:val="00AD4071"/>
    <w:rsid w:val="00AD44EA"/>
    <w:rsid w:val="00AD4782"/>
    <w:rsid w:val="00AD5236"/>
    <w:rsid w:val="00AD527D"/>
    <w:rsid w:val="00AD54E0"/>
    <w:rsid w:val="00AD5631"/>
    <w:rsid w:val="00AD6AAD"/>
    <w:rsid w:val="00AD6E88"/>
    <w:rsid w:val="00AD7501"/>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80"/>
    <w:rsid w:val="00AF13EA"/>
    <w:rsid w:val="00AF18E8"/>
    <w:rsid w:val="00AF1B2E"/>
    <w:rsid w:val="00AF1F58"/>
    <w:rsid w:val="00AF2EC7"/>
    <w:rsid w:val="00AF32E8"/>
    <w:rsid w:val="00AF3AC0"/>
    <w:rsid w:val="00AF4A40"/>
    <w:rsid w:val="00AF4F4A"/>
    <w:rsid w:val="00AF4FA2"/>
    <w:rsid w:val="00B00B5D"/>
    <w:rsid w:val="00B00C24"/>
    <w:rsid w:val="00B00F93"/>
    <w:rsid w:val="00B01BBE"/>
    <w:rsid w:val="00B033E3"/>
    <w:rsid w:val="00B03F92"/>
    <w:rsid w:val="00B04A89"/>
    <w:rsid w:val="00B055D8"/>
    <w:rsid w:val="00B06010"/>
    <w:rsid w:val="00B0637E"/>
    <w:rsid w:val="00B065DF"/>
    <w:rsid w:val="00B06CD6"/>
    <w:rsid w:val="00B06EBC"/>
    <w:rsid w:val="00B11B88"/>
    <w:rsid w:val="00B11C0D"/>
    <w:rsid w:val="00B11D2D"/>
    <w:rsid w:val="00B123F0"/>
    <w:rsid w:val="00B12891"/>
    <w:rsid w:val="00B12BE5"/>
    <w:rsid w:val="00B12E5E"/>
    <w:rsid w:val="00B13243"/>
    <w:rsid w:val="00B141F3"/>
    <w:rsid w:val="00B146C1"/>
    <w:rsid w:val="00B146E7"/>
    <w:rsid w:val="00B1525A"/>
    <w:rsid w:val="00B156DF"/>
    <w:rsid w:val="00B15ABB"/>
    <w:rsid w:val="00B16890"/>
    <w:rsid w:val="00B16973"/>
    <w:rsid w:val="00B1792D"/>
    <w:rsid w:val="00B2036A"/>
    <w:rsid w:val="00B20B63"/>
    <w:rsid w:val="00B21057"/>
    <w:rsid w:val="00B2202B"/>
    <w:rsid w:val="00B23422"/>
    <w:rsid w:val="00B23AA1"/>
    <w:rsid w:val="00B23D25"/>
    <w:rsid w:val="00B23E52"/>
    <w:rsid w:val="00B24948"/>
    <w:rsid w:val="00B24CBD"/>
    <w:rsid w:val="00B25292"/>
    <w:rsid w:val="00B253C6"/>
    <w:rsid w:val="00B25CA3"/>
    <w:rsid w:val="00B30028"/>
    <w:rsid w:val="00B30222"/>
    <w:rsid w:val="00B309B4"/>
    <w:rsid w:val="00B31E8D"/>
    <w:rsid w:val="00B3313B"/>
    <w:rsid w:val="00B331E8"/>
    <w:rsid w:val="00B331EA"/>
    <w:rsid w:val="00B34732"/>
    <w:rsid w:val="00B353B8"/>
    <w:rsid w:val="00B35C56"/>
    <w:rsid w:val="00B36F17"/>
    <w:rsid w:val="00B372ED"/>
    <w:rsid w:val="00B40603"/>
    <w:rsid w:val="00B40840"/>
    <w:rsid w:val="00B40AF6"/>
    <w:rsid w:val="00B41071"/>
    <w:rsid w:val="00B425C0"/>
    <w:rsid w:val="00B42DB6"/>
    <w:rsid w:val="00B46957"/>
    <w:rsid w:val="00B47B54"/>
    <w:rsid w:val="00B50E99"/>
    <w:rsid w:val="00B51926"/>
    <w:rsid w:val="00B51F9A"/>
    <w:rsid w:val="00B52448"/>
    <w:rsid w:val="00B5283E"/>
    <w:rsid w:val="00B53670"/>
    <w:rsid w:val="00B54D87"/>
    <w:rsid w:val="00B54DA7"/>
    <w:rsid w:val="00B56890"/>
    <w:rsid w:val="00B600C6"/>
    <w:rsid w:val="00B60167"/>
    <w:rsid w:val="00B60D67"/>
    <w:rsid w:val="00B60FC0"/>
    <w:rsid w:val="00B6160C"/>
    <w:rsid w:val="00B61665"/>
    <w:rsid w:val="00B63528"/>
    <w:rsid w:val="00B63DAF"/>
    <w:rsid w:val="00B63E98"/>
    <w:rsid w:val="00B6425F"/>
    <w:rsid w:val="00B65754"/>
    <w:rsid w:val="00B661AA"/>
    <w:rsid w:val="00B66242"/>
    <w:rsid w:val="00B670D3"/>
    <w:rsid w:val="00B67958"/>
    <w:rsid w:val="00B701D1"/>
    <w:rsid w:val="00B716BB"/>
    <w:rsid w:val="00B716FD"/>
    <w:rsid w:val="00B72193"/>
    <w:rsid w:val="00B72F2F"/>
    <w:rsid w:val="00B734C2"/>
    <w:rsid w:val="00B73656"/>
    <w:rsid w:val="00B73BDA"/>
    <w:rsid w:val="00B74053"/>
    <w:rsid w:val="00B765A0"/>
    <w:rsid w:val="00B76C02"/>
    <w:rsid w:val="00B77BD2"/>
    <w:rsid w:val="00B814CB"/>
    <w:rsid w:val="00B81B6A"/>
    <w:rsid w:val="00B820F4"/>
    <w:rsid w:val="00B835E0"/>
    <w:rsid w:val="00B8396D"/>
    <w:rsid w:val="00B8552E"/>
    <w:rsid w:val="00B86174"/>
    <w:rsid w:val="00B90331"/>
    <w:rsid w:val="00B903ED"/>
    <w:rsid w:val="00B9095B"/>
    <w:rsid w:val="00B90B2D"/>
    <w:rsid w:val="00B92E22"/>
    <w:rsid w:val="00B935A1"/>
    <w:rsid w:val="00B94AB0"/>
    <w:rsid w:val="00B94E78"/>
    <w:rsid w:val="00B95515"/>
    <w:rsid w:val="00B95DAD"/>
    <w:rsid w:val="00B96C0C"/>
    <w:rsid w:val="00B96CAC"/>
    <w:rsid w:val="00B9728B"/>
    <w:rsid w:val="00B9734D"/>
    <w:rsid w:val="00B97732"/>
    <w:rsid w:val="00B9779D"/>
    <w:rsid w:val="00BA0D9F"/>
    <w:rsid w:val="00BA27F4"/>
    <w:rsid w:val="00BA2E40"/>
    <w:rsid w:val="00BA3CB7"/>
    <w:rsid w:val="00BA41DE"/>
    <w:rsid w:val="00BA45F1"/>
    <w:rsid w:val="00BA556C"/>
    <w:rsid w:val="00BA76A3"/>
    <w:rsid w:val="00BB0F31"/>
    <w:rsid w:val="00BB15AB"/>
    <w:rsid w:val="00BB189B"/>
    <w:rsid w:val="00BB1D21"/>
    <w:rsid w:val="00BB2E51"/>
    <w:rsid w:val="00BB3C5F"/>
    <w:rsid w:val="00BB487B"/>
    <w:rsid w:val="00BB4BEA"/>
    <w:rsid w:val="00BB4C1A"/>
    <w:rsid w:val="00BB50AB"/>
    <w:rsid w:val="00BB5FD3"/>
    <w:rsid w:val="00BB6157"/>
    <w:rsid w:val="00BB6664"/>
    <w:rsid w:val="00BC01FC"/>
    <w:rsid w:val="00BC1F79"/>
    <w:rsid w:val="00BC2201"/>
    <w:rsid w:val="00BC3C7A"/>
    <w:rsid w:val="00BC55D2"/>
    <w:rsid w:val="00BC7DC6"/>
    <w:rsid w:val="00BD1039"/>
    <w:rsid w:val="00BD13B5"/>
    <w:rsid w:val="00BD22AF"/>
    <w:rsid w:val="00BD2EFC"/>
    <w:rsid w:val="00BD340E"/>
    <w:rsid w:val="00BD4B94"/>
    <w:rsid w:val="00BD60AD"/>
    <w:rsid w:val="00BD6C02"/>
    <w:rsid w:val="00BE02FB"/>
    <w:rsid w:val="00BE0D84"/>
    <w:rsid w:val="00BE1244"/>
    <w:rsid w:val="00BE165D"/>
    <w:rsid w:val="00BE2394"/>
    <w:rsid w:val="00BE2702"/>
    <w:rsid w:val="00BE4326"/>
    <w:rsid w:val="00BE568A"/>
    <w:rsid w:val="00BE5F4F"/>
    <w:rsid w:val="00BE60DB"/>
    <w:rsid w:val="00BF0191"/>
    <w:rsid w:val="00BF13EC"/>
    <w:rsid w:val="00BF1C07"/>
    <w:rsid w:val="00BF2EE1"/>
    <w:rsid w:val="00BF3949"/>
    <w:rsid w:val="00BF3DEE"/>
    <w:rsid w:val="00BF54AC"/>
    <w:rsid w:val="00BF54BD"/>
    <w:rsid w:val="00BF5BCE"/>
    <w:rsid w:val="00BF6B8E"/>
    <w:rsid w:val="00C013D8"/>
    <w:rsid w:val="00C025A5"/>
    <w:rsid w:val="00C038A2"/>
    <w:rsid w:val="00C03C78"/>
    <w:rsid w:val="00C04FD3"/>
    <w:rsid w:val="00C061E9"/>
    <w:rsid w:val="00C065A2"/>
    <w:rsid w:val="00C069C3"/>
    <w:rsid w:val="00C07919"/>
    <w:rsid w:val="00C103F9"/>
    <w:rsid w:val="00C104AC"/>
    <w:rsid w:val="00C110E1"/>
    <w:rsid w:val="00C1198F"/>
    <w:rsid w:val="00C11FA1"/>
    <w:rsid w:val="00C129B4"/>
    <w:rsid w:val="00C12E21"/>
    <w:rsid w:val="00C12E65"/>
    <w:rsid w:val="00C13C20"/>
    <w:rsid w:val="00C13DF4"/>
    <w:rsid w:val="00C13F74"/>
    <w:rsid w:val="00C146D3"/>
    <w:rsid w:val="00C16010"/>
    <w:rsid w:val="00C16BE0"/>
    <w:rsid w:val="00C21C39"/>
    <w:rsid w:val="00C2325C"/>
    <w:rsid w:val="00C239ED"/>
    <w:rsid w:val="00C248B4"/>
    <w:rsid w:val="00C24D9D"/>
    <w:rsid w:val="00C252EE"/>
    <w:rsid w:val="00C25CF3"/>
    <w:rsid w:val="00C263E9"/>
    <w:rsid w:val="00C27238"/>
    <w:rsid w:val="00C2775A"/>
    <w:rsid w:val="00C3063A"/>
    <w:rsid w:val="00C30BAD"/>
    <w:rsid w:val="00C31E8F"/>
    <w:rsid w:val="00C32BF6"/>
    <w:rsid w:val="00C33411"/>
    <w:rsid w:val="00C335DA"/>
    <w:rsid w:val="00C33D3E"/>
    <w:rsid w:val="00C362E0"/>
    <w:rsid w:val="00C36ED4"/>
    <w:rsid w:val="00C3704B"/>
    <w:rsid w:val="00C376CC"/>
    <w:rsid w:val="00C400F7"/>
    <w:rsid w:val="00C40EC6"/>
    <w:rsid w:val="00C419AD"/>
    <w:rsid w:val="00C41B5F"/>
    <w:rsid w:val="00C424BF"/>
    <w:rsid w:val="00C42AA9"/>
    <w:rsid w:val="00C437BA"/>
    <w:rsid w:val="00C438B7"/>
    <w:rsid w:val="00C441EA"/>
    <w:rsid w:val="00C44395"/>
    <w:rsid w:val="00C443B3"/>
    <w:rsid w:val="00C45254"/>
    <w:rsid w:val="00C45CE8"/>
    <w:rsid w:val="00C46EFE"/>
    <w:rsid w:val="00C46F06"/>
    <w:rsid w:val="00C47120"/>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869"/>
    <w:rsid w:val="00C57C2F"/>
    <w:rsid w:val="00C61B81"/>
    <w:rsid w:val="00C61F3A"/>
    <w:rsid w:val="00C629CB"/>
    <w:rsid w:val="00C62B75"/>
    <w:rsid w:val="00C638A5"/>
    <w:rsid w:val="00C657B5"/>
    <w:rsid w:val="00C661E1"/>
    <w:rsid w:val="00C66686"/>
    <w:rsid w:val="00C678C4"/>
    <w:rsid w:val="00C67D00"/>
    <w:rsid w:val="00C71215"/>
    <w:rsid w:val="00C7216B"/>
    <w:rsid w:val="00C72584"/>
    <w:rsid w:val="00C727BE"/>
    <w:rsid w:val="00C732A9"/>
    <w:rsid w:val="00C73448"/>
    <w:rsid w:val="00C73E2E"/>
    <w:rsid w:val="00C73E3A"/>
    <w:rsid w:val="00C74546"/>
    <w:rsid w:val="00C748E2"/>
    <w:rsid w:val="00C75977"/>
    <w:rsid w:val="00C759A7"/>
    <w:rsid w:val="00C75B5A"/>
    <w:rsid w:val="00C776D3"/>
    <w:rsid w:val="00C7776C"/>
    <w:rsid w:val="00C81D7F"/>
    <w:rsid w:val="00C8398D"/>
    <w:rsid w:val="00C840B3"/>
    <w:rsid w:val="00C84BC2"/>
    <w:rsid w:val="00C85139"/>
    <w:rsid w:val="00C85657"/>
    <w:rsid w:val="00C868EC"/>
    <w:rsid w:val="00C90094"/>
    <w:rsid w:val="00C9053A"/>
    <w:rsid w:val="00C91572"/>
    <w:rsid w:val="00C91C88"/>
    <w:rsid w:val="00C91E06"/>
    <w:rsid w:val="00C939C3"/>
    <w:rsid w:val="00C93B46"/>
    <w:rsid w:val="00C94228"/>
    <w:rsid w:val="00C96D56"/>
    <w:rsid w:val="00C977E6"/>
    <w:rsid w:val="00CA0020"/>
    <w:rsid w:val="00CA09E1"/>
    <w:rsid w:val="00CA0B2E"/>
    <w:rsid w:val="00CA18CA"/>
    <w:rsid w:val="00CA2557"/>
    <w:rsid w:val="00CA2A12"/>
    <w:rsid w:val="00CA2BDA"/>
    <w:rsid w:val="00CA3F33"/>
    <w:rsid w:val="00CA5413"/>
    <w:rsid w:val="00CA5674"/>
    <w:rsid w:val="00CA5BDA"/>
    <w:rsid w:val="00CA5C1A"/>
    <w:rsid w:val="00CA633F"/>
    <w:rsid w:val="00CA641E"/>
    <w:rsid w:val="00CA7558"/>
    <w:rsid w:val="00CA785F"/>
    <w:rsid w:val="00CA792A"/>
    <w:rsid w:val="00CA7949"/>
    <w:rsid w:val="00CB0400"/>
    <w:rsid w:val="00CB0C13"/>
    <w:rsid w:val="00CB0C6E"/>
    <w:rsid w:val="00CB0C89"/>
    <w:rsid w:val="00CB1D39"/>
    <w:rsid w:val="00CB226B"/>
    <w:rsid w:val="00CB229B"/>
    <w:rsid w:val="00CB242C"/>
    <w:rsid w:val="00CB33B4"/>
    <w:rsid w:val="00CB36B1"/>
    <w:rsid w:val="00CB3D93"/>
    <w:rsid w:val="00CB4441"/>
    <w:rsid w:val="00CB4B1A"/>
    <w:rsid w:val="00CB4E1F"/>
    <w:rsid w:val="00CB5E3B"/>
    <w:rsid w:val="00CC0BCF"/>
    <w:rsid w:val="00CC152E"/>
    <w:rsid w:val="00CC2493"/>
    <w:rsid w:val="00CC3222"/>
    <w:rsid w:val="00CC35F1"/>
    <w:rsid w:val="00CC35FF"/>
    <w:rsid w:val="00CC585C"/>
    <w:rsid w:val="00CC586C"/>
    <w:rsid w:val="00CC79B2"/>
    <w:rsid w:val="00CD0E6E"/>
    <w:rsid w:val="00CD23AE"/>
    <w:rsid w:val="00CD27DF"/>
    <w:rsid w:val="00CD2D8A"/>
    <w:rsid w:val="00CD3BAC"/>
    <w:rsid w:val="00CD3FF2"/>
    <w:rsid w:val="00CD4A65"/>
    <w:rsid w:val="00CD50EC"/>
    <w:rsid w:val="00CD531F"/>
    <w:rsid w:val="00CD5EC1"/>
    <w:rsid w:val="00CD605B"/>
    <w:rsid w:val="00CD6DA8"/>
    <w:rsid w:val="00CD6F4D"/>
    <w:rsid w:val="00CD6FA3"/>
    <w:rsid w:val="00CD730F"/>
    <w:rsid w:val="00CE2184"/>
    <w:rsid w:val="00CE24A5"/>
    <w:rsid w:val="00CE3B7F"/>
    <w:rsid w:val="00CE3FA2"/>
    <w:rsid w:val="00CE41A0"/>
    <w:rsid w:val="00CE4958"/>
    <w:rsid w:val="00CE5783"/>
    <w:rsid w:val="00CE6038"/>
    <w:rsid w:val="00CE68E2"/>
    <w:rsid w:val="00CE706E"/>
    <w:rsid w:val="00CE70B1"/>
    <w:rsid w:val="00CE7AE4"/>
    <w:rsid w:val="00CF07C2"/>
    <w:rsid w:val="00CF0A4C"/>
    <w:rsid w:val="00CF150A"/>
    <w:rsid w:val="00CF1D11"/>
    <w:rsid w:val="00CF2225"/>
    <w:rsid w:val="00CF25E7"/>
    <w:rsid w:val="00CF2B78"/>
    <w:rsid w:val="00CF385B"/>
    <w:rsid w:val="00CF3C77"/>
    <w:rsid w:val="00CF3D22"/>
    <w:rsid w:val="00CF45A2"/>
    <w:rsid w:val="00CF4CAD"/>
    <w:rsid w:val="00CF52E7"/>
    <w:rsid w:val="00CF6068"/>
    <w:rsid w:val="00CF64B5"/>
    <w:rsid w:val="00CF74DE"/>
    <w:rsid w:val="00CF7853"/>
    <w:rsid w:val="00D004ED"/>
    <w:rsid w:val="00D00D27"/>
    <w:rsid w:val="00D0102A"/>
    <w:rsid w:val="00D021EE"/>
    <w:rsid w:val="00D0260F"/>
    <w:rsid w:val="00D03708"/>
    <w:rsid w:val="00D03ED6"/>
    <w:rsid w:val="00D04D51"/>
    <w:rsid w:val="00D063F1"/>
    <w:rsid w:val="00D06776"/>
    <w:rsid w:val="00D06E46"/>
    <w:rsid w:val="00D06F95"/>
    <w:rsid w:val="00D10DF6"/>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582"/>
    <w:rsid w:val="00D23930"/>
    <w:rsid w:val="00D23A23"/>
    <w:rsid w:val="00D2423E"/>
    <w:rsid w:val="00D24D8A"/>
    <w:rsid w:val="00D24DA4"/>
    <w:rsid w:val="00D25235"/>
    <w:rsid w:val="00D25383"/>
    <w:rsid w:val="00D25670"/>
    <w:rsid w:val="00D301FF"/>
    <w:rsid w:val="00D30B6E"/>
    <w:rsid w:val="00D3257F"/>
    <w:rsid w:val="00D32DB2"/>
    <w:rsid w:val="00D33CCB"/>
    <w:rsid w:val="00D340E2"/>
    <w:rsid w:val="00D35DBC"/>
    <w:rsid w:val="00D36887"/>
    <w:rsid w:val="00D37563"/>
    <w:rsid w:val="00D379EB"/>
    <w:rsid w:val="00D400B8"/>
    <w:rsid w:val="00D4022C"/>
    <w:rsid w:val="00D406BE"/>
    <w:rsid w:val="00D41023"/>
    <w:rsid w:val="00D4141D"/>
    <w:rsid w:val="00D41891"/>
    <w:rsid w:val="00D41C6C"/>
    <w:rsid w:val="00D42465"/>
    <w:rsid w:val="00D42E5B"/>
    <w:rsid w:val="00D439D1"/>
    <w:rsid w:val="00D43C68"/>
    <w:rsid w:val="00D444B2"/>
    <w:rsid w:val="00D449AD"/>
    <w:rsid w:val="00D453E4"/>
    <w:rsid w:val="00D47226"/>
    <w:rsid w:val="00D47C9B"/>
    <w:rsid w:val="00D50197"/>
    <w:rsid w:val="00D50B21"/>
    <w:rsid w:val="00D51349"/>
    <w:rsid w:val="00D52129"/>
    <w:rsid w:val="00D527AF"/>
    <w:rsid w:val="00D529E1"/>
    <w:rsid w:val="00D534C2"/>
    <w:rsid w:val="00D5410F"/>
    <w:rsid w:val="00D564DF"/>
    <w:rsid w:val="00D576DD"/>
    <w:rsid w:val="00D57CB4"/>
    <w:rsid w:val="00D61477"/>
    <w:rsid w:val="00D619E2"/>
    <w:rsid w:val="00D62036"/>
    <w:rsid w:val="00D620CC"/>
    <w:rsid w:val="00D62313"/>
    <w:rsid w:val="00D62E3F"/>
    <w:rsid w:val="00D634B8"/>
    <w:rsid w:val="00D63EF3"/>
    <w:rsid w:val="00D64441"/>
    <w:rsid w:val="00D64859"/>
    <w:rsid w:val="00D64FB0"/>
    <w:rsid w:val="00D65497"/>
    <w:rsid w:val="00D654DA"/>
    <w:rsid w:val="00D65653"/>
    <w:rsid w:val="00D65EE2"/>
    <w:rsid w:val="00D6609E"/>
    <w:rsid w:val="00D66C1E"/>
    <w:rsid w:val="00D67589"/>
    <w:rsid w:val="00D67A9F"/>
    <w:rsid w:val="00D67C20"/>
    <w:rsid w:val="00D70C1B"/>
    <w:rsid w:val="00D70E5C"/>
    <w:rsid w:val="00D7146C"/>
    <w:rsid w:val="00D718CD"/>
    <w:rsid w:val="00D72EC0"/>
    <w:rsid w:val="00D7416F"/>
    <w:rsid w:val="00D755F2"/>
    <w:rsid w:val="00D762AC"/>
    <w:rsid w:val="00D775E7"/>
    <w:rsid w:val="00D776BF"/>
    <w:rsid w:val="00D77B9E"/>
    <w:rsid w:val="00D77D1D"/>
    <w:rsid w:val="00D81CA9"/>
    <w:rsid w:val="00D839D8"/>
    <w:rsid w:val="00D83F9E"/>
    <w:rsid w:val="00D840C2"/>
    <w:rsid w:val="00D84562"/>
    <w:rsid w:val="00D85587"/>
    <w:rsid w:val="00D855EE"/>
    <w:rsid w:val="00D8562E"/>
    <w:rsid w:val="00D85C16"/>
    <w:rsid w:val="00D86169"/>
    <w:rsid w:val="00D86ACE"/>
    <w:rsid w:val="00D8732E"/>
    <w:rsid w:val="00D908E7"/>
    <w:rsid w:val="00D90C75"/>
    <w:rsid w:val="00D91294"/>
    <w:rsid w:val="00D91486"/>
    <w:rsid w:val="00D916F6"/>
    <w:rsid w:val="00D9186A"/>
    <w:rsid w:val="00D92D47"/>
    <w:rsid w:val="00D94213"/>
    <w:rsid w:val="00D946D9"/>
    <w:rsid w:val="00D94BEB"/>
    <w:rsid w:val="00D94EA5"/>
    <w:rsid w:val="00D95F32"/>
    <w:rsid w:val="00DA024A"/>
    <w:rsid w:val="00DA07EE"/>
    <w:rsid w:val="00DA0A58"/>
    <w:rsid w:val="00DA1C85"/>
    <w:rsid w:val="00DA1CC9"/>
    <w:rsid w:val="00DA2E58"/>
    <w:rsid w:val="00DA328E"/>
    <w:rsid w:val="00DA3AA6"/>
    <w:rsid w:val="00DA3D0E"/>
    <w:rsid w:val="00DA3D24"/>
    <w:rsid w:val="00DA46C1"/>
    <w:rsid w:val="00DA70DD"/>
    <w:rsid w:val="00DB088F"/>
    <w:rsid w:val="00DB0B4A"/>
    <w:rsid w:val="00DB1487"/>
    <w:rsid w:val="00DB19B4"/>
    <w:rsid w:val="00DB19F1"/>
    <w:rsid w:val="00DB26AE"/>
    <w:rsid w:val="00DB2823"/>
    <w:rsid w:val="00DB43B3"/>
    <w:rsid w:val="00DB4411"/>
    <w:rsid w:val="00DB466D"/>
    <w:rsid w:val="00DB4FFD"/>
    <w:rsid w:val="00DB5FD0"/>
    <w:rsid w:val="00DB7395"/>
    <w:rsid w:val="00DB75C2"/>
    <w:rsid w:val="00DB7E2C"/>
    <w:rsid w:val="00DC027B"/>
    <w:rsid w:val="00DC0A64"/>
    <w:rsid w:val="00DC0AC2"/>
    <w:rsid w:val="00DC0FC4"/>
    <w:rsid w:val="00DC10F9"/>
    <w:rsid w:val="00DC1B9A"/>
    <w:rsid w:val="00DC2344"/>
    <w:rsid w:val="00DC2BC3"/>
    <w:rsid w:val="00DC2E4F"/>
    <w:rsid w:val="00DC31AF"/>
    <w:rsid w:val="00DC31C0"/>
    <w:rsid w:val="00DC384C"/>
    <w:rsid w:val="00DC3910"/>
    <w:rsid w:val="00DC40C4"/>
    <w:rsid w:val="00DC47B7"/>
    <w:rsid w:val="00DC4AFD"/>
    <w:rsid w:val="00DC4D87"/>
    <w:rsid w:val="00DC4D8A"/>
    <w:rsid w:val="00DC5500"/>
    <w:rsid w:val="00DC6DF6"/>
    <w:rsid w:val="00DC7BFE"/>
    <w:rsid w:val="00DC7EB1"/>
    <w:rsid w:val="00DD08C7"/>
    <w:rsid w:val="00DD1545"/>
    <w:rsid w:val="00DD1A10"/>
    <w:rsid w:val="00DD200D"/>
    <w:rsid w:val="00DD2990"/>
    <w:rsid w:val="00DD2FE9"/>
    <w:rsid w:val="00DD3430"/>
    <w:rsid w:val="00DD3A7E"/>
    <w:rsid w:val="00DD4082"/>
    <w:rsid w:val="00DD434E"/>
    <w:rsid w:val="00DD4402"/>
    <w:rsid w:val="00DD446F"/>
    <w:rsid w:val="00DD60D0"/>
    <w:rsid w:val="00DD6200"/>
    <w:rsid w:val="00DD686C"/>
    <w:rsid w:val="00DD6C08"/>
    <w:rsid w:val="00DD6E86"/>
    <w:rsid w:val="00DE04AF"/>
    <w:rsid w:val="00DE0E5D"/>
    <w:rsid w:val="00DE1DEA"/>
    <w:rsid w:val="00DE447F"/>
    <w:rsid w:val="00DE48F0"/>
    <w:rsid w:val="00DE4A77"/>
    <w:rsid w:val="00DE68EE"/>
    <w:rsid w:val="00DE6D24"/>
    <w:rsid w:val="00DE7285"/>
    <w:rsid w:val="00DE7C40"/>
    <w:rsid w:val="00DF0EA5"/>
    <w:rsid w:val="00DF1F1D"/>
    <w:rsid w:val="00DF23A5"/>
    <w:rsid w:val="00DF4C6E"/>
    <w:rsid w:val="00DF5F23"/>
    <w:rsid w:val="00DF6666"/>
    <w:rsid w:val="00DF745E"/>
    <w:rsid w:val="00DF746C"/>
    <w:rsid w:val="00DF762E"/>
    <w:rsid w:val="00E0044E"/>
    <w:rsid w:val="00E0075D"/>
    <w:rsid w:val="00E00816"/>
    <w:rsid w:val="00E016CC"/>
    <w:rsid w:val="00E0239F"/>
    <w:rsid w:val="00E0267B"/>
    <w:rsid w:val="00E04441"/>
    <w:rsid w:val="00E05F03"/>
    <w:rsid w:val="00E06370"/>
    <w:rsid w:val="00E06B7B"/>
    <w:rsid w:val="00E06E20"/>
    <w:rsid w:val="00E07DD9"/>
    <w:rsid w:val="00E102F8"/>
    <w:rsid w:val="00E1132D"/>
    <w:rsid w:val="00E12FCF"/>
    <w:rsid w:val="00E131EB"/>
    <w:rsid w:val="00E13273"/>
    <w:rsid w:val="00E13379"/>
    <w:rsid w:val="00E1348D"/>
    <w:rsid w:val="00E139EE"/>
    <w:rsid w:val="00E14D83"/>
    <w:rsid w:val="00E14FA6"/>
    <w:rsid w:val="00E15A0D"/>
    <w:rsid w:val="00E15BEF"/>
    <w:rsid w:val="00E16640"/>
    <w:rsid w:val="00E16A1C"/>
    <w:rsid w:val="00E16CC9"/>
    <w:rsid w:val="00E1740F"/>
    <w:rsid w:val="00E200CF"/>
    <w:rsid w:val="00E24287"/>
    <w:rsid w:val="00E2451F"/>
    <w:rsid w:val="00E25B3D"/>
    <w:rsid w:val="00E25C62"/>
    <w:rsid w:val="00E25F67"/>
    <w:rsid w:val="00E26C1D"/>
    <w:rsid w:val="00E31367"/>
    <w:rsid w:val="00E3181C"/>
    <w:rsid w:val="00E32EF3"/>
    <w:rsid w:val="00E33E21"/>
    <w:rsid w:val="00E343B1"/>
    <w:rsid w:val="00E34BC4"/>
    <w:rsid w:val="00E3540C"/>
    <w:rsid w:val="00E36187"/>
    <w:rsid w:val="00E36332"/>
    <w:rsid w:val="00E36C9B"/>
    <w:rsid w:val="00E37638"/>
    <w:rsid w:val="00E37E9D"/>
    <w:rsid w:val="00E41B71"/>
    <w:rsid w:val="00E42569"/>
    <w:rsid w:val="00E43063"/>
    <w:rsid w:val="00E434A0"/>
    <w:rsid w:val="00E441D5"/>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6EBB"/>
    <w:rsid w:val="00E5774E"/>
    <w:rsid w:val="00E57EEB"/>
    <w:rsid w:val="00E60318"/>
    <w:rsid w:val="00E60BA8"/>
    <w:rsid w:val="00E61E25"/>
    <w:rsid w:val="00E61E28"/>
    <w:rsid w:val="00E61F32"/>
    <w:rsid w:val="00E628E4"/>
    <w:rsid w:val="00E647F7"/>
    <w:rsid w:val="00E65FF5"/>
    <w:rsid w:val="00E66273"/>
    <w:rsid w:val="00E66857"/>
    <w:rsid w:val="00E67556"/>
    <w:rsid w:val="00E71FB2"/>
    <w:rsid w:val="00E7252F"/>
    <w:rsid w:val="00E72D1F"/>
    <w:rsid w:val="00E73FC2"/>
    <w:rsid w:val="00E74481"/>
    <w:rsid w:val="00E74517"/>
    <w:rsid w:val="00E745F0"/>
    <w:rsid w:val="00E755D7"/>
    <w:rsid w:val="00E7566D"/>
    <w:rsid w:val="00E76E91"/>
    <w:rsid w:val="00E774B4"/>
    <w:rsid w:val="00E778F5"/>
    <w:rsid w:val="00E800E2"/>
    <w:rsid w:val="00E80E7C"/>
    <w:rsid w:val="00E81779"/>
    <w:rsid w:val="00E8205B"/>
    <w:rsid w:val="00E82444"/>
    <w:rsid w:val="00E82716"/>
    <w:rsid w:val="00E8341C"/>
    <w:rsid w:val="00E8602B"/>
    <w:rsid w:val="00E86B5F"/>
    <w:rsid w:val="00E87D05"/>
    <w:rsid w:val="00E91F96"/>
    <w:rsid w:val="00E92E99"/>
    <w:rsid w:val="00E93515"/>
    <w:rsid w:val="00E968FD"/>
    <w:rsid w:val="00E96D55"/>
    <w:rsid w:val="00E97993"/>
    <w:rsid w:val="00EA07C2"/>
    <w:rsid w:val="00EA0D5D"/>
    <w:rsid w:val="00EA1192"/>
    <w:rsid w:val="00EA153F"/>
    <w:rsid w:val="00EA2147"/>
    <w:rsid w:val="00EA2788"/>
    <w:rsid w:val="00EA2C6E"/>
    <w:rsid w:val="00EA4964"/>
    <w:rsid w:val="00EA4F1A"/>
    <w:rsid w:val="00EA5B95"/>
    <w:rsid w:val="00EA7459"/>
    <w:rsid w:val="00EB02DE"/>
    <w:rsid w:val="00EB0A07"/>
    <w:rsid w:val="00EB16F2"/>
    <w:rsid w:val="00EB1B69"/>
    <w:rsid w:val="00EB1C78"/>
    <w:rsid w:val="00EB3B46"/>
    <w:rsid w:val="00EB3C78"/>
    <w:rsid w:val="00EB4F08"/>
    <w:rsid w:val="00EB5F54"/>
    <w:rsid w:val="00EB6120"/>
    <w:rsid w:val="00EB6ABE"/>
    <w:rsid w:val="00EB737D"/>
    <w:rsid w:val="00EC0197"/>
    <w:rsid w:val="00EC0734"/>
    <w:rsid w:val="00EC2E07"/>
    <w:rsid w:val="00EC43C7"/>
    <w:rsid w:val="00EC465D"/>
    <w:rsid w:val="00EC4AEF"/>
    <w:rsid w:val="00EC5C89"/>
    <w:rsid w:val="00EC6656"/>
    <w:rsid w:val="00EC66D2"/>
    <w:rsid w:val="00EC67E7"/>
    <w:rsid w:val="00EC7FA0"/>
    <w:rsid w:val="00ED0A1B"/>
    <w:rsid w:val="00ED203C"/>
    <w:rsid w:val="00ED21BC"/>
    <w:rsid w:val="00ED2FEC"/>
    <w:rsid w:val="00ED34B5"/>
    <w:rsid w:val="00ED3F67"/>
    <w:rsid w:val="00ED440A"/>
    <w:rsid w:val="00ED7971"/>
    <w:rsid w:val="00EE0439"/>
    <w:rsid w:val="00EE0748"/>
    <w:rsid w:val="00EE0A4D"/>
    <w:rsid w:val="00EE1A85"/>
    <w:rsid w:val="00EE1D75"/>
    <w:rsid w:val="00EE29A0"/>
    <w:rsid w:val="00EE2CEA"/>
    <w:rsid w:val="00EE3365"/>
    <w:rsid w:val="00EE48DF"/>
    <w:rsid w:val="00EE4AB3"/>
    <w:rsid w:val="00EE6852"/>
    <w:rsid w:val="00EE7405"/>
    <w:rsid w:val="00EF033E"/>
    <w:rsid w:val="00EF06EC"/>
    <w:rsid w:val="00EF14FF"/>
    <w:rsid w:val="00EF282E"/>
    <w:rsid w:val="00EF2BFE"/>
    <w:rsid w:val="00EF2D85"/>
    <w:rsid w:val="00EF402C"/>
    <w:rsid w:val="00EF45E0"/>
    <w:rsid w:val="00EF473A"/>
    <w:rsid w:val="00EF4E6F"/>
    <w:rsid w:val="00EF5C82"/>
    <w:rsid w:val="00EF61F8"/>
    <w:rsid w:val="00EF730D"/>
    <w:rsid w:val="00EF7A15"/>
    <w:rsid w:val="00F01F8C"/>
    <w:rsid w:val="00F022ED"/>
    <w:rsid w:val="00F024B0"/>
    <w:rsid w:val="00F02B5C"/>
    <w:rsid w:val="00F02DE6"/>
    <w:rsid w:val="00F035A6"/>
    <w:rsid w:val="00F04655"/>
    <w:rsid w:val="00F04AD0"/>
    <w:rsid w:val="00F04E77"/>
    <w:rsid w:val="00F06F70"/>
    <w:rsid w:val="00F10033"/>
    <w:rsid w:val="00F10848"/>
    <w:rsid w:val="00F10B68"/>
    <w:rsid w:val="00F111DB"/>
    <w:rsid w:val="00F11703"/>
    <w:rsid w:val="00F11F55"/>
    <w:rsid w:val="00F1216B"/>
    <w:rsid w:val="00F12DEC"/>
    <w:rsid w:val="00F13151"/>
    <w:rsid w:val="00F140F2"/>
    <w:rsid w:val="00F15523"/>
    <w:rsid w:val="00F15935"/>
    <w:rsid w:val="00F15E1C"/>
    <w:rsid w:val="00F16391"/>
    <w:rsid w:val="00F17FD8"/>
    <w:rsid w:val="00F2062B"/>
    <w:rsid w:val="00F20D7E"/>
    <w:rsid w:val="00F21A18"/>
    <w:rsid w:val="00F21E61"/>
    <w:rsid w:val="00F220EA"/>
    <w:rsid w:val="00F222CD"/>
    <w:rsid w:val="00F23579"/>
    <w:rsid w:val="00F245F1"/>
    <w:rsid w:val="00F2494F"/>
    <w:rsid w:val="00F24EA4"/>
    <w:rsid w:val="00F2625A"/>
    <w:rsid w:val="00F31A03"/>
    <w:rsid w:val="00F3283C"/>
    <w:rsid w:val="00F32D0F"/>
    <w:rsid w:val="00F34354"/>
    <w:rsid w:val="00F343F0"/>
    <w:rsid w:val="00F34620"/>
    <w:rsid w:val="00F34AAB"/>
    <w:rsid w:val="00F34C4D"/>
    <w:rsid w:val="00F350CF"/>
    <w:rsid w:val="00F35582"/>
    <w:rsid w:val="00F37004"/>
    <w:rsid w:val="00F373B8"/>
    <w:rsid w:val="00F376A1"/>
    <w:rsid w:val="00F37B8E"/>
    <w:rsid w:val="00F413A1"/>
    <w:rsid w:val="00F41746"/>
    <w:rsid w:val="00F41E79"/>
    <w:rsid w:val="00F4315F"/>
    <w:rsid w:val="00F445F6"/>
    <w:rsid w:val="00F4512F"/>
    <w:rsid w:val="00F45486"/>
    <w:rsid w:val="00F45763"/>
    <w:rsid w:val="00F45BCF"/>
    <w:rsid w:val="00F45BEA"/>
    <w:rsid w:val="00F45CFE"/>
    <w:rsid w:val="00F46877"/>
    <w:rsid w:val="00F47957"/>
    <w:rsid w:val="00F47F3E"/>
    <w:rsid w:val="00F523D7"/>
    <w:rsid w:val="00F530E6"/>
    <w:rsid w:val="00F532C7"/>
    <w:rsid w:val="00F53CAE"/>
    <w:rsid w:val="00F53CAF"/>
    <w:rsid w:val="00F54EE5"/>
    <w:rsid w:val="00F55358"/>
    <w:rsid w:val="00F5603C"/>
    <w:rsid w:val="00F5605C"/>
    <w:rsid w:val="00F564B9"/>
    <w:rsid w:val="00F567E1"/>
    <w:rsid w:val="00F57909"/>
    <w:rsid w:val="00F609F6"/>
    <w:rsid w:val="00F612D6"/>
    <w:rsid w:val="00F63325"/>
    <w:rsid w:val="00F63400"/>
    <w:rsid w:val="00F636C6"/>
    <w:rsid w:val="00F6433D"/>
    <w:rsid w:val="00F64647"/>
    <w:rsid w:val="00F6573E"/>
    <w:rsid w:val="00F662EB"/>
    <w:rsid w:val="00F66E9C"/>
    <w:rsid w:val="00F67606"/>
    <w:rsid w:val="00F70327"/>
    <w:rsid w:val="00F70FEF"/>
    <w:rsid w:val="00F72633"/>
    <w:rsid w:val="00F72FA8"/>
    <w:rsid w:val="00F7496B"/>
    <w:rsid w:val="00F74E43"/>
    <w:rsid w:val="00F74EFA"/>
    <w:rsid w:val="00F75415"/>
    <w:rsid w:val="00F7632A"/>
    <w:rsid w:val="00F773F9"/>
    <w:rsid w:val="00F775A6"/>
    <w:rsid w:val="00F8101C"/>
    <w:rsid w:val="00F817B9"/>
    <w:rsid w:val="00F81CB7"/>
    <w:rsid w:val="00F82280"/>
    <w:rsid w:val="00F8235F"/>
    <w:rsid w:val="00F83A22"/>
    <w:rsid w:val="00F83A97"/>
    <w:rsid w:val="00F844F0"/>
    <w:rsid w:val="00F84895"/>
    <w:rsid w:val="00F849F9"/>
    <w:rsid w:val="00F84E9D"/>
    <w:rsid w:val="00F85EF9"/>
    <w:rsid w:val="00F8659E"/>
    <w:rsid w:val="00F86CE4"/>
    <w:rsid w:val="00F86F42"/>
    <w:rsid w:val="00F90E80"/>
    <w:rsid w:val="00F91941"/>
    <w:rsid w:val="00F92E3F"/>
    <w:rsid w:val="00F938D2"/>
    <w:rsid w:val="00F9430F"/>
    <w:rsid w:val="00F955DD"/>
    <w:rsid w:val="00F96389"/>
    <w:rsid w:val="00F9650E"/>
    <w:rsid w:val="00F9651F"/>
    <w:rsid w:val="00F96B73"/>
    <w:rsid w:val="00F97639"/>
    <w:rsid w:val="00F977C7"/>
    <w:rsid w:val="00F978AD"/>
    <w:rsid w:val="00FA087C"/>
    <w:rsid w:val="00FA0890"/>
    <w:rsid w:val="00FA164A"/>
    <w:rsid w:val="00FA3F3E"/>
    <w:rsid w:val="00FA4272"/>
    <w:rsid w:val="00FA4855"/>
    <w:rsid w:val="00FA4A92"/>
    <w:rsid w:val="00FA4ACD"/>
    <w:rsid w:val="00FA6428"/>
    <w:rsid w:val="00FA6880"/>
    <w:rsid w:val="00FA7144"/>
    <w:rsid w:val="00FA7184"/>
    <w:rsid w:val="00FB1D9D"/>
    <w:rsid w:val="00FB3304"/>
    <w:rsid w:val="00FB46B8"/>
    <w:rsid w:val="00FB4B38"/>
    <w:rsid w:val="00FB54BB"/>
    <w:rsid w:val="00FB5AC0"/>
    <w:rsid w:val="00FB6024"/>
    <w:rsid w:val="00FB66B9"/>
    <w:rsid w:val="00FB6C91"/>
    <w:rsid w:val="00FB74E8"/>
    <w:rsid w:val="00FC0263"/>
    <w:rsid w:val="00FC0348"/>
    <w:rsid w:val="00FC0FB5"/>
    <w:rsid w:val="00FC102A"/>
    <w:rsid w:val="00FC154C"/>
    <w:rsid w:val="00FC1DBC"/>
    <w:rsid w:val="00FC2637"/>
    <w:rsid w:val="00FC2DB5"/>
    <w:rsid w:val="00FC3361"/>
    <w:rsid w:val="00FC393B"/>
    <w:rsid w:val="00FC4052"/>
    <w:rsid w:val="00FC48BF"/>
    <w:rsid w:val="00FC5252"/>
    <w:rsid w:val="00FC581F"/>
    <w:rsid w:val="00FC5ED8"/>
    <w:rsid w:val="00FC6356"/>
    <w:rsid w:val="00FC7D01"/>
    <w:rsid w:val="00FD0130"/>
    <w:rsid w:val="00FD0171"/>
    <w:rsid w:val="00FD0373"/>
    <w:rsid w:val="00FD0582"/>
    <w:rsid w:val="00FD0C93"/>
    <w:rsid w:val="00FD1062"/>
    <w:rsid w:val="00FD2589"/>
    <w:rsid w:val="00FD4876"/>
    <w:rsid w:val="00FD52A3"/>
    <w:rsid w:val="00FD68D4"/>
    <w:rsid w:val="00FD6933"/>
    <w:rsid w:val="00FE00D9"/>
    <w:rsid w:val="00FE1186"/>
    <w:rsid w:val="00FE177A"/>
    <w:rsid w:val="00FE1816"/>
    <w:rsid w:val="00FE240A"/>
    <w:rsid w:val="00FE2FD6"/>
    <w:rsid w:val="00FE3AC4"/>
    <w:rsid w:val="00FE3E3C"/>
    <w:rsid w:val="00FE43E7"/>
    <w:rsid w:val="00FE4B66"/>
    <w:rsid w:val="00FE4F6E"/>
    <w:rsid w:val="00FE583F"/>
    <w:rsid w:val="00FE5CC4"/>
    <w:rsid w:val="00FE6B13"/>
    <w:rsid w:val="00FE6E07"/>
    <w:rsid w:val="00FE7575"/>
    <w:rsid w:val="00FE7F85"/>
    <w:rsid w:val="00FF0245"/>
    <w:rsid w:val="00FF1070"/>
    <w:rsid w:val="00FF13E2"/>
    <w:rsid w:val="00FF2237"/>
    <w:rsid w:val="00FF4953"/>
    <w:rsid w:val="00FF5FA3"/>
    <w:rsid w:val="00FF5FCE"/>
    <w:rsid w:val="00FF6177"/>
    <w:rsid w:val="00FF648E"/>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0EC6990"/>
  <w15:chartTrackingRefBased/>
  <w15:docId w15:val="{8A655C5E-EABA-4704-9473-4A63A8A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paragraph" w:styleId="PlainText">
    <w:name w:val="Plain Text"/>
    <w:basedOn w:val="Normal"/>
    <w:link w:val="PlainTextChar"/>
    <w:uiPriority w:val="99"/>
    <w:unhideWhenUsed/>
    <w:rsid w:val="00A17945"/>
    <w:rPr>
      <w:rFonts w:ascii="Consolas" w:eastAsia="Calibri" w:hAnsi="Consolas"/>
      <w:sz w:val="21"/>
      <w:szCs w:val="21"/>
      <w:lang w:eastAsia="en-US"/>
    </w:rPr>
  </w:style>
  <w:style w:type="character" w:customStyle="1" w:styleId="PlainTextChar">
    <w:name w:val="Plain Text Char"/>
    <w:link w:val="PlainText"/>
    <w:uiPriority w:val="99"/>
    <w:rsid w:val="00A17945"/>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C13DF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13DF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13DF4"/>
    <w:rPr>
      <w:vertAlign w:val="superscript"/>
    </w:rPr>
  </w:style>
  <w:style w:type="paragraph" w:styleId="EndnoteText">
    <w:name w:val="endnote text"/>
    <w:basedOn w:val="Normal"/>
    <w:link w:val="EndnoteTextChar"/>
    <w:uiPriority w:val="99"/>
    <w:semiHidden/>
    <w:unhideWhenUsed/>
    <w:rsid w:val="005A2818"/>
    <w:rPr>
      <w:sz w:val="20"/>
      <w:szCs w:val="20"/>
    </w:rPr>
  </w:style>
  <w:style w:type="character" w:customStyle="1" w:styleId="EndnoteTextChar">
    <w:name w:val="Endnote Text Char"/>
    <w:basedOn w:val="DefaultParagraphFont"/>
    <w:link w:val="EndnoteText"/>
    <w:uiPriority w:val="99"/>
    <w:semiHidden/>
    <w:rsid w:val="005A2818"/>
  </w:style>
  <w:style w:type="character" w:styleId="EndnoteReference">
    <w:name w:val="endnote reference"/>
    <w:basedOn w:val="DefaultParagraphFont"/>
    <w:uiPriority w:val="99"/>
    <w:semiHidden/>
    <w:unhideWhenUsed/>
    <w:rsid w:val="005A2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8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108886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757539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85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va.klinsone@f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udmila.jevcuka@f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3862-kartiba-kada-valsts-kase-nodrosina-elektronisko-informacijas-apmain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eva.klinsone@f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2020-09-04T12:35:00+00:00</PublishingStartDat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268F-F6D5-4C87-B047-5192905ADF8F}">
  <ds:schemaRefs>
    <ds:schemaRef ds:uri="http://schemas.microsoft.com/sharepoint/v3/contenttype/forms"/>
  </ds:schemaRefs>
</ds:datastoreItem>
</file>

<file path=customXml/itemProps2.xml><?xml version="1.0" encoding="utf-8"?>
<ds:datastoreItem xmlns:ds="http://schemas.openxmlformats.org/officeDocument/2006/customXml" ds:itemID="{58720A2C-48D0-44DB-B720-F6794E8A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30B6A-BA67-4939-A8E4-A3EB0DE745F6}">
  <ds:schemaRefs>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7048371a-c377-4617-a558-28bad1ac8a6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8611B3D-8843-44A5-BEFE-609868C7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45</Pages>
  <Words>11920</Words>
  <Characters>86057</Characters>
  <Application>Microsoft Office Word</Application>
  <DocSecurity>0</DocSecurity>
  <Lines>717</Lines>
  <Paragraphs>195</Paragraphs>
  <ScaleCrop>false</ScaleCrop>
  <HeadingPairs>
    <vt:vector size="2" baseType="variant">
      <vt:variant>
        <vt:lpstr>Title</vt:lpstr>
      </vt:variant>
      <vt:variant>
        <vt:i4>1</vt:i4>
      </vt:variant>
    </vt:vector>
  </HeadingPairs>
  <TitlesOfParts>
    <vt:vector size="1" baseType="lpstr">
      <vt:lpstr>Likumprojekta "Grozījumi Likumā par budžetu un finanšu vadību" izziņa</vt:lpstr>
    </vt:vector>
  </TitlesOfParts>
  <Company>Finanšu ministrija, BPAD</Company>
  <LinksUpToDate>false</LinksUpToDate>
  <CharactersWithSpaces>97782</CharactersWithSpaces>
  <SharedDoc>false</SharedDoc>
  <HLinks>
    <vt:vector size="12" baseType="variant">
      <vt:variant>
        <vt:i4>1376301</vt:i4>
      </vt:variant>
      <vt:variant>
        <vt:i4>3</vt:i4>
      </vt:variant>
      <vt:variant>
        <vt:i4>0</vt:i4>
      </vt:variant>
      <vt:variant>
        <vt:i4>5</vt:i4>
      </vt:variant>
      <vt:variant>
        <vt:lpwstr>mailto:ludmila.jevcuka@fm.gov.lv</vt:lpwstr>
      </vt:variant>
      <vt:variant>
        <vt:lpwstr/>
      </vt: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budžetu un finanšu vadību" izziņa</dc:title>
  <dc:subject>Izziņa par atzinumos sniegtajiem iebildumiem</dc:subject>
  <dc:creator>Ieva Klinsone, Žanete Zvaigzne</dc:creator>
  <cp:keywords/>
  <dc:description>67095531, ieva.klinsone@fm.gov.lv, zanete.zvaigzne@fm.gov.lv, 67083976</dc:description>
  <cp:lastModifiedBy>Žanete Zvaigzne</cp:lastModifiedBy>
  <cp:revision>26</cp:revision>
  <cp:lastPrinted>2018-09-19T12:30:00Z</cp:lastPrinted>
  <dcterms:created xsi:type="dcterms:W3CDTF">2020-09-11T13:08:00Z</dcterms:created>
  <dcterms:modified xsi:type="dcterms:W3CDTF">2020-09-22T10:04:00Z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