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5.xml" ContentType="application/vnd.openxmlformats-officedocument.themeOverride+xml"/>
  <Override PartName="/word/charts/chart36.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drawings/drawing3.xml" ContentType="application/vnd.openxmlformats-officedocument.drawingml.chartshapes+xml"/>
  <Override PartName="/word/charts/chart38.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38.xml" ContentType="application/vnd.openxmlformats-officedocument.themeOverride+xml"/>
  <Override PartName="/word/charts/chart39.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39.xml" ContentType="application/vnd.openxmlformats-officedocument.themeOverride+xml"/>
  <Override PartName="/word/charts/chart40.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42.xml" ContentType="application/vnd.openxmlformats-officedocument.themeOverride+xml"/>
  <Override PartName="/word/charts/chart43.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43.xml" ContentType="application/vnd.openxmlformats-officedocument.themeOverride+xml"/>
  <Override PartName="/word/charts/chart44.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44.xml" ContentType="application/vnd.openxmlformats-officedocument.themeOverride+xml"/>
  <Override PartName="/word/drawings/drawing4.xml" ContentType="application/vnd.openxmlformats-officedocument.drawingml.chartshapes+xml"/>
  <Override PartName="/word/charts/chart45.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45.xml" ContentType="application/vnd.openxmlformats-officedocument.themeOverride+xml"/>
  <Override PartName="/word/charts/chart46.xml" ContentType="application/vnd.openxmlformats-officedocument.drawingml.chart+xml"/>
  <Override PartName="/word/charts/style39.xml" ContentType="application/vnd.ms-office.chartstyle+xml"/>
  <Override PartName="/word/charts/colors39.xml" ContentType="application/vnd.ms-office.chartcolorstyle+xml"/>
  <Override PartName="/word/theme/themeOverride46.xml" ContentType="application/vnd.openxmlformats-officedocument.themeOverride+xml"/>
  <Override PartName="/word/charts/chart47.xml" ContentType="application/vnd.openxmlformats-officedocument.drawingml.chart+xml"/>
  <Override PartName="/word/theme/themeOverride47.xml" ContentType="application/vnd.openxmlformats-officedocument.themeOverride+xml"/>
  <Override PartName="/word/drawings/drawing5.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74" w:rsidRPr="00EF1D74" w:rsidRDefault="00EF1D74" w:rsidP="00EF1D74">
      <w:pPr>
        <w:keepNext/>
        <w:keepLines/>
        <w:spacing w:after="0"/>
        <w:ind w:firstLine="0"/>
        <w:jc w:val="center"/>
        <w:outlineLvl w:val="0"/>
        <w:rPr>
          <w:b/>
          <w:sz w:val="44"/>
          <w:szCs w:val="44"/>
        </w:rPr>
      </w:pPr>
      <w:bookmarkStart w:id="0" w:name="_Toc279341936"/>
      <w:r w:rsidRPr="00EF1D74">
        <w:rPr>
          <w:b/>
          <w:sz w:val="44"/>
          <w:szCs w:val="44"/>
        </w:rPr>
        <w:t>1. Makroekonomiskās attīstības apraksts</w:t>
      </w:r>
      <w:bookmarkEnd w:id="0"/>
      <w:r w:rsidRPr="00EF1D74">
        <w:rPr>
          <w:b/>
          <w:sz w:val="32"/>
          <w:szCs w:val="32"/>
          <w:vertAlign w:val="superscript"/>
        </w:rPr>
        <w:footnoteReference w:id="1"/>
      </w:r>
    </w:p>
    <w:p w:rsidR="00EF1D74" w:rsidRPr="00EF1D74" w:rsidRDefault="00EF1D74" w:rsidP="00EF1D74">
      <w:pPr>
        <w:keepNext/>
        <w:keepLines/>
        <w:spacing w:before="240" w:after="240" w:line="259" w:lineRule="auto"/>
        <w:ind w:firstLine="0"/>
        <w:jc w:val="center"/>
        <w:outlineLvl w:val="1"/>
        <w:rPr>
          <w:b/>
          <w:sz w:val="36"/>
          <w:szCs w:val="36"/>
        </w:rPr>
      </w:pPr>
      <w:bookmarkStart w:id="1" w:name="_Toc279341937"/>
      <w:bookmarkStart w:id="2" w:name="_Toc279341938"/>
      <w:bookmarkStart w:id="3" w:name="_Toc279341940"/>
      <w:r w:rsidRPr="00EF1D74">
        <w:rPr>
          <w:b/>
          <w:sz w:val="36"/>
          <w:szCs w:val="36"/>
        </w:rPr>
        <w:t>1.1. Ārējā ekonomiskā vide</w:t>
      </w:r>
      <w:bookmarkEnd w:id="1"/>
    </w:p>
    <w:p w:rsidR="00EF1D74" w:rsidRPr="00EF1D74" w:rsidRDefault="00EF1D74" w:rsidP="00EF1D74">
      <w:pPr>
        <w:ind w:firstLine="720"/>
        <w:rPr>
          <w:rFonts w:eastAsia="Calibri"/>
          <w:szCs w:val="22"/>
        </w:rPr>
      </w:pPr>
      <w:r w:rsidRPr="00EF1D74">
        <w:rPr>
          <w:rFonts w:eastAsia="Calibri"/>
          <w:szCs w:val="22"/>
        </w:rPr>
        <w:t xml:space="preserve">Latvijas ekonomikas attīstību visbūtiskāk ietekmē situācija </w:t>
      </w:r>
      <w:proofErr w:type="spellStart"/>
      <w:r w:rsidRPr="00EF1D74">
        <w:rPr>
          <w:rFonts w:eastAsia="Calibri"/>
          <w:szCs w:val="22"/>
        </w:rPr>
        <w:t>eirozonā</w:t>
      </w:r>
      <w:proofErr w:type="spellEnd"/>
      <w:r w:rsidRPr="00EF1D74">
        <w:rPr>
          <w:rFonts w:eastAsia="Calibri"/>
          <w:szCs w:val="22"/>
        </w:rPr>
        <w:t xml:space="preserve"> un atsevišķās tās galvenajās ārējās tirdzniecības partnervalstīs. Pēc EK jūlija prognozēm, </w:t>
      </w:r>
      <w:proofErr w:type="spellStart"/>
      <w:r w:rsidRPr="00EF1D74">
        <w:rPr>
          <w:rFonts w:eastAsia="Calibri"/>
          <w:szCs w:val="22"/>
        </w:rPr>
        <w:t>eirozonas</w:t>
      </w:r>
      <w:proofErr w:type="spellEnd"/>
      <w:r w:rsidRPr="00EF1D74">
        <w:rPr>
          <w:rFonts w:eastAsia="Calibri"/>
          <w:szCs w:val="22"/>
        </w:rPr>
        <w:t xml:space="preserve"> ekonomika šogad varētu piedzīvot  8,7% kritumu, kamēr Latvijas lielākajām tirdzniecības partnervalstīm prognozētie IKP kritumi kopumā ir mazāki - attiecīgi 7,1% Lietuvai, 7,7% Igaunijai, 6,3% Vācijai, 5,3% Zviedrijai, 9,7% Lielbritānijai, 5,2% Dānijai un 4,6% Polijai. Krievijai, kas ir trešā lielākā Latvijas ārējās tirdzniecības partnervalsts, SVF šim gadam prognozējis IKP samazinājumu par 6,6% (1.1. tabula).</w:t>
      </w:r>
    </w:p>
    <w:p w:rsidR="00EF1D74" w:rsidRPr="00EF1D74" w:rsidRDefault="00EF1D74" w:rsidP="00EF1D74">
      <w:pPr>
        <w:ind w:firstLine="720"/>
        <w:rPr>
          <w:rFonts w:eastAsia="Calibri"/>
          <w:szCs w:val="22"/>
        </w:rPr>
      </w:pPr>
      <w:r w:rsidRPr="00EF1D74">
        <w:rPr>
          <w:rFonts w:eastAsia="Calibri"/>
          <w:szCs w:val="22"/>
        </w:rPr>
        <w:t xml:space="preserve">Jaunākie dati rāda, ka Covid-19 krīzes zemākais punkts ir bijis otrajā ceturksnī, kad pasaules attīstīto valstu ekonomika ar </w:t>
      </w:r>
      <w:proofErr w:type="spellStart"/>
      <w:r w:rsidRPr="00EF1D74">
        <w:rPr>
          <w:rFonts w:eastAsia="Calibri"/>
          <w:szCs w:val="22"/>
        </w:rPr>
        <w:t>koronavīrusa</w:t>
      </w:r>
      <w:proofErr w:type="spellEnd"/>
      <w:r w:rsidRPr="00EF1D74">
        <w:rPr>
          <w:rFonts w:eastAsia="Calibri"/>
          <w:szCs w:val="22"/>
        </w:rPr>
        <w:t xml:space="preserve"> izplatības ierobežošanai noteiktajiem pasākumiem piedzīvojusi nepieredzēti strauju kritumu, bet pēc tam apsteidzošie indikatori norāda uz ekonomiskās izaugsmes atjaunošanos. ES valstu ekonomika šā gada otrajā ceturksnī, salīdzinot ar attiecīgo ceturksni pirms gada, samazinājusies par 13,9%, bet ASV ekonomikā, pēc provizoriskiem datiem bijis 9,1% kritums.</w:t>
      </w:r>
    </w:p>
    <w:p w:rsidR="00EF1D74" w:rsidRPr="00EF1D74" w:rsidRDefault="00EF1D74" w:rsidP="00EF1D74">
      <w:pPr>
        <w:ind w:firstLine="720"/>
        <w:rPr>
          <w:rFonts w:eastAsia="Calibri"/>
          <w:szCs w:val="22"/>
        </w:rPr>
      </w:pPr>
      <w:r w:rsidRPr="00EF1D74">
        <w:rPr>
          <w:rFonts w:eastAsia="Calibri"/>
          <w:szCs w:val="22"/>
        </w:rPr>
        <w:t xml:space="preserve">Otrā ceturkšņa dati pa atsevišķām ES valstīm liecina, ka Latvijas lielākajās tirdzniecības partnervalstīs ekonomiskā situācija Covid-19 krīzes laikā bijusi labāka nekā ES kopumā, un arī ekonomikas kritums Eiropā un pasaulē izrādījies ne tik dziļš, kā sākotnēji sagaidīts. Visās nozīmīgākajās Latvijas ārējās tirdzniecības partnervalstīs, izņemot vienīgi Lielbritāniju, ekonomikas kritums gada pirmajā pusē bijis būtiski zemāks nekā </w:t>
      </w:r>
      <w:proofErr w:type="spellStart"/>
      <w:r w:rsidRPr="00EF1D74">
        <w:rPr>
          <w:rFonts w:eastAsia="Calibri"/>
          <w:szCs w:val="22"/>
        </w:rPr>
        <w:t>eirozonā</w:t>
      </w:r>
      <w:proofErr w:type="spellEnd"/>
      <w:r w:rsidRPr="00EF1D74">
        <w:rPr>
          <w:rFonts w:eastAsia="Calibri"/>
          <w:szCs w:val="22"/>
        </w:rPr>
        <w:t xml:space="preserve"> (1.1. tabula).</w:t>
      </w:r>
    </w:p>
    <w:p w:rsidR="00EF1D74" w:rsidRPr="00EF1D74" w:rsidRDefault="00EF1D74" w:rsidP="00EF1D74">
      <w:pPr>
        <w:spacing w:after="0"/>
        <w:ind w:firstLine="0"/>
        <w:jc w:val="center"/>
        <w:rPr>
          <w:rFonts w:eastAsia="Calibri"/>
          <w:sz w:val="28"/>
          <w:szCs w:val="22"/>
        </w:rPr>
      </w:pPr>
      <w:r w:rsidRPr="00EF1D74">
        <w:rPr>
          <w:b/>
          <w:i/>
          <w:szCs w:val="24"/>
        </w:rPr>
        <w:t xml:space="preserve">1.1. tabula </w:t>
      </w:r>
      <w:r w:rsidRPr="00EF1D74">
        <w:rPr>
          <w:b/>
          <w:szCs w:val="24"/>
        </w:rPr>
        <w:t>IKP pieauguma prognozes 2020. un 2021. gadam un IKP izmaiņas 2020. gada pirmajā pusē</w:t>
      </w:r>
    </w:p>
    <w:tbl>
      <w:tblPr>
        <w:tblW w:w="7797" w:type="dxa"/>
        <w:jc w:val="center"/>
        <w:tblLook w:val="04A0" w:firstRow="1" w:lastRow="0" w:firstColumn="1" w:lastColumn="0" w:noHBand="0" w:noVBand="1"/>
      </w:tblPr>
      <w:tblGrid>
        <w:gridCol w:w="1593"/>
        <w:gridCol w:w="1649"/>
        <w:gridCol w:w="1559"/>
        <w:gridCol w:w="1436"/>
        <w:gridCol w:w="1560"/>
      </w:tblGrid>
      <w:tr w:rsidR="00EF1D74" w:rsidRPr="00EF1D74" w:rsidTr="0057436F">
        <w:trPr>
          <w:trHeight w:val="839"/>
          <w:jc w:val="center"/>
        </w:trPr>
        <w:tc>
          <w:tcPr>
            <w:tcW w:w="15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 xml:space="preserve">Valsts </w:t>
            </w:r>
          </w:p>
        </w:tc>
        <w:tc>
          <w:tcPr>
            <w:tcW w:w="16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Īpatsvars kopējā Latvijas eksportā 2019. gadā</w:t>
            </w:r>
          </w:p>
        </w:tc>
        <w:tc>
          <w:tcPr>
            <w:tcW w:w="2995" w:type="dxa"/>
            <w:gridSpan w:val="2"/>
            <w:tcBorders>
              <w:top w:val="single" w:sz="8" w:space="0" w:color="auto"/>
              <w:left w:val="nil"/>
              <w:bottom w:val="single" w:sz="8" w:space="0" w:color="auto"/>
              <w:right w:val="single" w:sz="8" w:space="0" w:color="000000"/>
            </w:tcBorders>
            <w:shd w:val="clear" w:color="auto" w:fill="auto"/>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 xml:space="preserve">IKP pieauguma prognoze salīdzināmās cenās, g/g, %, </w:t>
            </w:r>
          </w:p>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EK, 2020. gada jūnijs </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IKP pieaugums 2020. gada pirmajā pusē, g/g, %</w:t>
            </w:r>
          </w:p>
        </w:tc>
      </w:tr>
      <w:tr w:rsidR="00EF1D74" w:rsidRPr="00EF1D74" w:rsidTr="0057436F">
        <w:trPr>
          <w:trHeight w:val="268"/>
          <w:jc w:val="center"/>
        </w:trPr>
        <w:tc>
          <w:tcPr>
            <w:tcW w:w="1593" w:type="dxa"/>
            <w:vMerge/>
            <w:tcBorders>
              <w:top w:val="single" w:sz="8" w:space="0" w:color="auto"/>
              <w:left w:val="single" w:sz="8" w:space="0" w:color="auto"/>
              <w:bottom w:val="single" w:sz="8" w:space="0" w:color="000000"/>
              <w:right w:val="single" w:sz="8" w:space="0" w:color="auto"/>
            </w:tcBorders>
            <w:vAlign w:val="center"/>
            <w:hideMark/>
          </w:tcPr>
          <w:p w:rsidR="00EF1D74" w:rsidRPr="00EF1D74" w:rsidRDefault="00EF1D74" w:rsidP="00EF1D74">
            <w:pPr>
              <w:spacing w:after="0"/>
              <w:ind w:firstLine="0"/>
              <w:jc w:val="center"/>
              <w:rPr>
                <w:rFonts w:eastAsia="Calibri"/>
                <w:sz w:val="18"/>
                <w:szCs w:val="18"/>
                <w:lang w:eastAsia="lv-LV"/>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rsidR="00EF1D74" w:rsidRPr="00EF1D74" w:rsidRDefault="00EF1D74" w:rsidP="00EF1D74">
            <w:pPr>
              <w:spacing w:after="0"/>
              <w:ind w:firstLine="0"/>
              <w:jc w:val="center"/>
              <w:rPr>
                <w:rFonts w:eastAsia="Calibri"/>
                <w:sz w:val="18"/>
                <w:szCs w:val="18"/>
                <w:lang w:eastAsia="lv-LV"/>
              </w:rPr>
            </w:pPr>
          </w:p>
        </w:tc>
        <w:tc>
          <w:tcPr>
            <w:tcW w:w="1559"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2020</w:t>
            </w:r>
          </w:p>
        </w:tc>
        <w:tc>
          <w:tcPr>
            <w:tcW w:w="1436"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 2021</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EF1D74" w:rsidRPr="00EF1D74" w:rsidRDefault="00EF1D74" w:rsidP="00EF1D74">
            <w:pPr>
              <w:spacing w:after="0"/>
              <w:ind w:firstLine="0"/>
              <w:jc w:val="center"/>
              <w:rPr>
                <w:rFonts w:eastAsia="Calibri"/>
                <w:sz w:val="18"/>
                <w:szCs w:val="18"/>
                <w:lang w:eastAsia="lv-LV"/>
              </w:rPr>
            </w:pPr>
          </w:p>
        </w:tc>
      </w:tr>
      <w:tr w:rsidR="00EF1D74" w:rsidRPr="00EF1D74" w:rsidTr="0057436F">
        <w:trPr>
          <w:trHeight w:val="179"/>
          <w:jc w:val="center"/>
        </w:trPr>
        <w:tc>
          <w:tcPr>
            <w:tcW w:w="1593" w:type="dxa"/>
            <w:tcBorders>
              <w:top w:val="nil"/>
              <w:left w:val="single" w:sz="8" w:space="0" w:color="auto"/>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Lietuva</w:t>
            </w:r>
          </w:p>
        </w:tc>
        <w:tc>
          <w:tcPr>
            <w:tcW w:w="1649"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14,5%</w:t>
            </w:r>
          </w:p>
        </w:tc>
        <w:tc>
          <w:tcPr>
            <w:tcW w:w="1559"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-7,1</w:t>
            </w:r>
          </w:p>
        </w:tc>
        <w:tc>
          <w:tcPr>
            <w:tcW w:w="1436"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6,7</w:t>
            </w:r>
          </w:p>
        </w:tc>
        <w:tc>
          <w:tcPr>
            <w:tcW w:w="1560"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-1,0</w:t>
            </w:r>
          </w:p>
        </w:tc>
      </w:tr>
      <w:tr w:rsidR="00EF1D74" w:rsidRPr="00EF1D74" w:rsidTr="0057436F">
        <w:trPr>
          <w:trHeight w:val="225"/>
          <w:jc w:val="center"/>
        </w:trPr>
        <w:tc>
          <w:tcPr>
            <w:tcW w:w="1593" w:type="dxa"/>
            <w:tcBorders>
              <w:top w:val="nil"/>
              <w:left w:val="single" w:sz="8" w:space="0" w:color="auto"/>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Igaunija</w:t>
            </w:r>
          </w:p>
        </w:tc>
        <w:tc>
          <w:tcPr>
            <w:tcW w:w="1649"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10,1%</w:t>
            </w:r>
          </w:p>
        </w:tc>
        <w:tc>
          <w:tcPr>
            <w:tcW w:w="1559"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-7,7</w:t>
            </w:r>
          </w:p>
        </w:tc>
        <w:tc>
          <w:tcPr>
            <w:tcW w:w="1436"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6,2</w:t>
            </w:r>
          </w:p>
        </w:tc>
        <w:tc>
          <w:tcPr>
            <w:tcW w:w="1560"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-3,9</w:t>
            </w:r>
          </w:p>
        </w:tc>
      </w:tr>
      <w:tr w:rsidR="00EF1D74" w:rsidRPr="00EF1D74" w:rsidTr="0057436F">
        <w:trPr>
          <w:trHeight w:val="115"/>
          <w:jc w:val="center"/>
        </w:trPr>
        <w:tc>
          <w:tcPr>
            <w:tcW w:w="1593" w:type="dxa"/>
            <w:tcBorders>
              <w:top w:val="nil"/>
              <w:left w:val="single" w:sz="8" w:space="0" w:color="auto"/>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Krievija</w:t>
            </w:r>
          </w:p>
        </w:tc>
        <w:tc>
          <w:tcPr>
            <w:tcW w:w="1649"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9,3%</w:t>
            </w:r>
          </w:p>
        </w:tc>
        <w:tc>
          <w:tcPr>
            <w:tcW w:w="1559"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-6,6</w:t>
            </w:r>
          </w:p>
        </w:tc>
        <w:tc>
          <w:tcPr>
            <w:tcW w:w="1436"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1,6</w:t>
            </w:r>
          </w:p>
        </w:tc>
        <w:tc>
          <w:tcPr>
            <w:tcW w:w="1560"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-3,2</w:t>
            </w:r>
          </w:p>
        </w:tc>
      </w:tr>
      <w:tr w:rsidR="00EF1D74" w:rsidRPr="00EF1D74" w:rsidTr="0057436F">
        <w:trPr>
          <w:trHeight w:val="175"/>
          <w:jc w:val="center"/>
        </w:trPr>
        <w:tc>
          <w:tcPr>
            <w:tcW w:w="1593" w:type="dxa"/>
            <w:tcBorders>
              <w:top w:val="nil"/>
              <w:left w:val="single" w:sz="8" w:space="0" w:color="auto"/>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Vācija</w:t>
            </w:r>
          </w:p>
        </w:tc>
        <w:tc>
          <w:tcPr>
            <w:tcW w:w="1649"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7,3%</w:t>
            </w:r>
          </w:p>
        </w:tc>
        <w:tc>
          <w:tcPr>
            <w:tcW w:w="1559"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-6,3</w:t>
            </w:r>
          </w:p>
        </w:tc>
        <w:tc>
          <w:tcPr>
            <w:tcW w:w="1436"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5,3</w:t>
            </w:r>
          </w:p>
        </w:tc>
        <w:tc>
          <w:tcPr>
            <w:tcW w:w="1560"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-6,5</w:t>
            </w:r>
          </w:p>
        </w:tc>
      </w:tr>
      <w:tr w:rsidR="00EF1D74" w:rsidRPr="00EF1D74" w:rsidTr="0057436F">
        <w:trPr>
          <w:trHeight w:val="94"/>
          <w:jc w:val="center"/>
        </w:trPr>
        <w:tc>
          <w:tcPr>
            <w:tcW w:w="1593" w:type="dxa"/>
            <w:tcBorders>
              <w:top w:val="nil"/>
              <w:left w:val="single" w:sz="8" w:space="0" w:color="auto"/>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Zviedrija</w:t>
            </w:r>
          </w:p>
        </w:tc>
        <w:tc>
          <w:tcPr>
            <w:tcW w:w="1649"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7,8%</w:t>
            </w:r>
          </w:p>
        </w:tc>
        <w:tc>
          <w:tcPr>
            <w:tcW w:w="1559"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-5,3</w:t>
            </w:r>
          </w:p>
        </w:tc>
        <w:tc>
          <w:tcPr>
            <w:tcW w:w="1436"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3,1</w:t>
            </w:r>
          </w:p>
        </w:tc>
        <w:tc>
          <w:tcPr>
            <w:tcW w:w="1560"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-3,4</w:t>
            </w:r>
          </w:p>
        </w:tc>
      </w:tr>
      <w:tr w:rsidR="00EF1D74" w:rsidRPr="00EF1D74" w:rsidTr="0057436F">
        <w:trPr>
          <w:trHeight w:val="437"/>
          <w:jc w:val="center"/>
        </w:trPr>
        <w:tc>
          <w:tcPr>
            <w:tcW w:w="1593" w:type="dxa"/>
            <w:tcBorders>
              <w:top w:val="nil"/>
              <w:left w:val="single" w:sz="8" w:space="0" w:color="auto"/>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Apvienotā Karaliste</w:t>
            </w:r>
          </w:p>
        </w:tc>
        <w:tc>
          <w:tcPr>
            <w:tcW w:w="1649"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5,8%</w:t>
            </w:r>
          </w:p>
        </w:tc>
        <w:tc>
          <w:tcPr>
            <w:tcW w:w="1559"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-9,7</w:t>
            </w:r>
          </w:p>
        </w:tc>
        <w:tc>
          <w:tcPr>
            <w:tcW w:w="1436"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6,0</w:t>
            </w:r>
          </w:p>
        </w:tc>
        <w:tc>
          <w:tcPr>
            <w:tcW w:w="1560"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-12,6</w:t>
            </w:r>
          </w:p>
        </w:tc>
      </w:tr>
      <w:tr w:rsidR="00EF1D74" w:rsidRPr="00EF1D74" w:rsidTr="0057436F">
        <w:trPr>
          <w:trHeight w:val="117"/>
          <w:jc w:val="center"/>
        </w:trPr>
        <w:tc>
          <w:tcPr>
            <w:tcW w:w="1593" w:type="dxa"/>
            <w:tcBorders>
              <w:top w:val="nil"/>
              <w:left w:val="single" w:sz="8" w:space="0" w:color="auto"/>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Dānija</w:t>
            </w:r>
          </w:p>
        </w:tc>
        <w:tc>
          <w:tcPr>
            <w:tcW w:w="1649"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3,7%</w:t>
            </w:r>
          </w:p>
        </w:tc>
        <w:tc>
          <w:tcPr>
            <w:tcW w:w="1559"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-5,2</w:t>
            </w:r>
          </w:p>
        </w:tc>
        <w:tc>
          <w:tcPr>
            <w:tcW w:w="1436"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4,3</w:t>
            </w:r>
          </w:p>
        </w:tc>
        <w:tc>
          <w:tcPr>
            <w:tcW w:w="1560"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-4,2</w:t>
            </w:r>
          </w:p>
        </w:tc>
      </w:tr>
      <w:tr w:rsidR="00EF1D74" w:rsidRPr="00EF1D74" w:rsidTr="0057436F">
        <w:trPr>
          <w:trHeight w:val="177"/>
          <w:jc w:val="center"/>
        </w:trPr>
        <w:tc>
          <w:tcPr>
            <w:tcW w:w="1593" w:type="dxa"/>
            <w:tcBorders>
              <w:top w:val="nil"/>
              <w:left w:val="single" w:sz="8" w:space="0" w:color="auto"/>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Polija</w:t>
            </w:r>
          </w:p>
        </w:tc>
        <w:tc>
          <w:tcPr>
            <w:tcW w:w="1649"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3,1%</w:t>
            </w:r>
          </w:p>
        </w:tc>
        <w:tc>
          <w:tcPr>
            <w:tcW w:w="1559"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-4,6</w:t>
            </w:r>
          </w:p>
        </w:tc>
        <w:tc>
          <w:tcPr>
            <w:tcW w:w="1436"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4,3</w:t>
            </w:r>
          </w:p>
        </w:tc>
        <w:tc>
          <w:tcPr>
            <w:tcW w:w="1560"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-3,2</w:t>
            </w:r>
          </w:p>
        </w:tc>
      </w:tr>
      <w:tr w:rsidR="00EF1D74" w:rsidRPr="00EF1D74" w:rsidTr="0057436F">
        <w:trPr>
          <w:trHeight w:val="96"/>
          <w:jc w:val="center"/>
        </w:trPr>
        <w:tc>
          <w:tcPr>
            <w:tcW w:w="1593" w:type="dxa"/>
            <w:tcBorders>
              <w:top w:val="nil"/>
              <w:left w:val="single" w:sz="8" w:space="0" w:color="auto"/>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Nīderlande</w:t>
            </w:r>
          </w:p>
        </w:tc>
        <w:tc>
          <w:tcPr>
            <w:tcW w:w="1649"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2,7%</w:t>
            </w:r>
          </w:p>
        </w:tc>
        <w:tc>
          <w:tcPr>
            <w:tcW w:w="1559"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-6,8</w:t>
            </w:r>
          </w:p>
        </w:tc>
        <w:tc>
          <w:tcPr>
            <w:tcW w:w="1436"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4,6</w:t>
            </w:r>
          </w:p>
        </w:tc>
        <w:tc>
          <w:tcPr>
            <w:tcW w:w="1560"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-4,8</w:t>
            </w:r>
          </w:p>
        </w:tc>
      </w:tr>
      <w:tr w:rsidR="00EF1D74" w:rsidRPr="00EF1D74" w:rsidTr="0057436F">
        <w:trPr>
          <w:trHeight w:val="141"/>
          <w:jc w:val="center"/>
        </w:trPr>
        <w:tc>
          <w:tcPr>
            <w:tcW w:w="1593" w:type="dxa"/>
            <w:tcBorders>
              <w:top w:val="nil"/>
              <w:left w:val="single" w:sz="8" w:space="0" w:color="auto"/>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Norvēģija</w:t>
            </w:r>
          </w:p>
        </w:tc>
        <w:tc>
          <w:tcPr>
            <w:tcW w:w="1649"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2,6%</w:t>
            </w:r>
          </w:p>
        </w:tc>
        <w:tc>
          <w:tcPr>
            <w:tcW w:w="1559"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-5,5</w:t>
            </w:r>
          </w:p>
        </w:tc>
        <w:tc>
          <w:tcPr>
            <w:tcW w:w="1436"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3,0</w:t>
            </w:r>
          </w:p>
        </w:tc>
        <w:tc>
          <w:tcPr>
            <w:tcW w:w="1560"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sz w:val="18"/>
                <w:szCs w:val="18"/>
                <w:lang w:eastAsia="lv-LV"/>
              </w:rPr>
            </w:pPr>
            <w:r w:rsidRPr="00EF1D74">
              <w:rPr>
                <w:rFonts w:eastAsia="Calibri"/>
                <w:sz w:val="18"/>
                <w:szCs w:val="18"/>
                <w:lang w:eastAsia="lv-LV"/>
              </w:rPr>
              <w:t>-1,9</w:t>
            </w:r>
          </w:p>
        </w:tc>
      </w:tr>
      <w:tr w:rsidR="00EF1D74" w:rsidRPr="00EF1D74" w:rsidTr="0057436F">
        <w:trPr>
          <w:trHeight w:val="484"/>
          <w:jc w:val="center"/>
        </w:trPr>
        <w:tc>
          <w:tcPr>
            <w:tcW w:w="1593" w:type="dxa"/>
            <w:tcBorders>
              <w:top w:val="nil"/>
              <w:left w:val="single" w:sz="8" w:space="0" w:color="auto"/>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left"/>
              <w:rPr>
                <w:rFonts w:eastAsia="Calibri"/>
                <w:b/>
                <w:sz w:val="18"/>
                <w:szCs w:val="18"/>
                <w:lang w:eastAsia="lv-LV"/>
              </w:rPr>
            </w:pPr>
            <w:r w:rsidRPr="00EF1D74">
              <w:rPr>
                <w:rFonts w:eastAsia="Calibri"/>
                <w:b/>
                <w:sz w:val="18"/>
                <w:szCs w:val="18"/>
                <w:lang w:eastAsia="lv-LV"/>
              </w:rPr>
              <w:t>Kopā vidēji svērtais 10 valstīm</w:t>
            </w:r>
          </w:p>
        </w:tc>
        <w:tc>
          <w:tcPr>
            <w:tcW w:w="1649"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66,9%</w:t>
            </w:r>
          </w:p>
        </w:tc>
        <w:tc>
          <w:tcPr>
            <w:tcW w:w="1559"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-6,5</w:t>
            </w:r>
          </w:p>
        </w:tc>
        <w:tc>
          <w:tcPr>
            <w:tcW w:w="1436"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4,8</w:t>
            </w:r>
          </w:p>
        </w:tc>
        <w:tc>
          <w:tcPr>
            <w:tcW w:w="1560"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-4,1</w:t>
            </w:r>
          </w:p>
        </w:tc>
      </w:tr>
      <w:tr w:rsidR="00EF1D74" w:rsidRPr="00EF1D74" w:rsidTr="0057436F">
        <w:trPr>
          <w:trHeight w:val="60"/>
          <w:jc w:val="center"/>
        </w:trPr>
        <w:tc>
          <w:tcPr>
            <w:tcW w:w="1593" w:type="dxa"/>
            <w:tcBorders>
              <w:top w:val="nil"/>
              <w:left w:val="single" w:sz="8" w:space="0" w:color="auto"/>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left"/>
              <w:rPr>
                <w:rFonts w:eastAsia="Calibri"/>
                <w:b/>
                <w:sz w:val="18"/>
                <w:szCs w:val="18"/>
                <w:lang w:eastAsia="lv-LV"/>
              </w:rPr>
            </w:pPr>
            <w:proofErr w:type="spellStart"/>
            <w:r w:rsidRPr="00EF1D74">
              <w:rPr>
                <w:rFonts w:eastAsia="Calibri"/>
                <w:b/>
                <w:sz w:val="18"/>
                <w:szCs w:val="18"/>
                <w:lang w:eastAsia="lv-LV"/>
              </w:rPr>
              <w:t>Eirozona</w:t>
            </w:r>
            <w:proofErr w:type="spellEnd"/>
          </w:p>
        </w:tc>
        <w:tc>
          <w:tcPr>
            <w:tcW w:w="1649" w:type="dxa"/>
            <w:tcBorders>
              <w:top w:val="nil"/>
              <w:left w:val="nil"/>
              <w:bottom w:val="single" w:sz="8" w:space="0" w:color="auto"/>
              <w:right w:val="single" w:sz="8" w:space="0" w:color="auto"/>
            </w:tcBorders>
            <w:shd w:val="clear" w:color="auto" w:fill="auto"/>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49,8%</w:t>
            </w:r>
          </w:p>
        </w:tc>
        <w:tc>
          <w:tcPr>
            <w:tcW w:w="1559"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-8,7</w:t>
            </w:r>
          </w:p>
        </w:tc>
        <w:tc>
          <w:tcPr>
            <w:tcW w:w="1436"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6,1</w:t>
            </w:r>
          </w:p>
        </w:tc>
        <w:tc>
          <w:tcPr>
            <w:tcW w:w="1560" w:type="dxa"/>
            <w:tcBorders>
              <w:top w:val="nil"/>
              <w:left w:val="nil"/>
              <w:bottom w:val="single" w:sz="8" w:space="0" w:color="auto"/>
              <w:right w:val="single" w:sz="8" w:space="0" w:color="auto"/>
            </w:tcBorders>
            <w:shd w:val="clear" w:color="auto" w:fill="auto"/>
            <w:noWrap/>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-9,0</w:t>
            </w:r>
          </w:p>
        </w:tc>
      </w:tr>
    </w:tbl>
    <w:p w:rsidR="00EF1D74" w:rsidRPr="00EF1D74" w:rsidRDefault="00EF1D74" w:rsidP="00EF1D74">
      <w:pPr>
        <w:spacing w:after="0"/>
        <w:ind w:firstLine="720"/>
        <w:rPr>
          <w:rFonts w:eastAsia="Calibri"/>
          <w:sz w:val="28"/>
          <w:szCs w:val="22"/>
        </w:rPr>
      </w:pPr>
    </w:p>
    <w:p w:rsidR="00EF1D74" w:rsidRPr="00EF1D74" w:rsidRDefault="00EF1D74" w:rsidP="00EF1D74">
      <w:pPr>
        <w:ind w:firstLine="720"/>
        <w:rPr>
          <w:rFonts w:eastAsia="Calibri"/>
          <w:szCs w:val="22"/>
        </w:rPr>
      </w:pPr>
      <w:r w:rsidRPr="00EF1D74">
        <w:rPr>
          <w:rFonts w:eastAsia="Calibri"/>
          <w:szCs w:val="22"/>
        </w:rPr>
        <w:t xml:space="preserve">Arī ES kopējais ekonomikas kritums gada pirmajā pusē izrādījies mazāks par EK iepriekš prognozēto, un pēdējā mēneša laikā, pēc otrā ceturkšņa datu publiskošanas, vairākās institūcijas jau ir sākušas uzlabot savas ekonomiskās attīstības prognozes šim gadam. Kā pēdējā septembrī savas prognozes paaugstinājusi ESAO, kas uzlabojusi prognozes gan pasaules ekonomikai kopumā, gan ASV, gan </w:t>
      </w:r>
      <w:proofErr w:type="spellStart"/>
      <w:r w:rsidRPr="00EF1D74">
        <w:rPr>
          <w:rFonts w:eastAsia="Calibri"/>
          <w:szCs w:val="22"/>
        </w:rPr>
        <w:t>eirozonai</w:t>
      </w:r>
      <w:proofErr w:type="spellEnd"/>
      <w:r w:rsidRPr="00EF1D74">
        <w:rPr>
          <w:rFonts w:eastAsia="Calibri"/>
          <w:szCs w:val="22"/>
        </w:rPr>
        <w:t xml:space="preserve">. Pēc ESAO prognozēm, pasaules ekonomika </w:t>
      </w:r>
      <w:r w:rsidRPr="00EF1D74">
        <w:rPr>
          <w:rFonts w:eastAsia="Calibri"/>
          <w:szCs w:val="22"/>
        </w:rPr>
        <w:lastRenderedPageBreak/>
        <w:t xml:space="preserve">šogad saruks par 4,5%, kas ir par 1,5 procentpunktiem mazāk, nekā organizācija bija prognozējusi šā gada jūnijā. Būtiskākais uzlabojums ir ASV ekonomikai, kuras prognozētais kritums samazināts par 3,5 procentpunktiem līdz 3,8%, bet </w:t>
      </w:r>
      <w:proofErr w:type="spellStart"/>
      <w:r w:rsidRPr="00EF1D74">
        <w:rPr>
          <w:rFonts w:eastAsia="Calibri"/>
          <w:szCs w:val="22"/>
        </w:rPr>
        <w:t>eirozonas</w:t>
      </w:r>
      <w:proofErr w:type="spellEnd"/>
      <w:r w:rsidRPr="00EF1D74">
        <w:rPr>
          <w:rFonts w:eastAsia="Calibri"/>
          <w:szCs w:val="22"/>
        </w:rPr>
        <w:t xml:space="preserve"> prognoze uzlabota par 1,2 procentpunktiem līdz 7,9% kritumam. </w:t>
      </w:r>
    </w:p>
    <w:p w:rsidR="00EF1D74" w:rsidRPr="00EF1D74" w:rsidRDefault="00EF1D74" w:rsidP="00EF1D74">
      <w:pPr>
        <w:ind w:firstLine="720"/>
        <w:rPr>
          <w:rFonts w:eastAsia="Calibri"/>
          <w:szCs w:val="22"/>
        </w:rPr>
      </w:pPr>
      <w:r w:rsidRPr="00EF1D74">
        <w:rPr>
          <w:rFonts w:eastAsia="Calibri"/>
          <w:szCs w:val="22"/>
        </w:rPr>
        <w:t>Jau pieejamie makroekonomiskie rādītāji, dati par iedzīvotāju pārvietošanos, kā arī ekonomikas sentimenta indeksi parāda, ka zemākais punkts ekonomikā ir bijis šā gada aprīlī, bet līdz ar Covid-19 saistīto ierobežojumu pakāpenisku mazināšanu situācija ir visai strauji uzlabojusies. Tas atspoguļojies gan EK veidotajā ekonomikas sentimenta indeksā ESI, kas ES valstīm kopš aprīlī sasniegtā 63,8 minimuma ir pieaudzis jau ceturto mēnesi pēc kārtas, augustā sasniedzot 86,9 (1.1. attēls), gan privātā sektora ražošanas un pakalpojumu aktivitāti raksturojošajā PMI indeksā.</w:t>
      </w:r>
    </w:p>
    <w:p w:rsidR="00EF1D74" w:rsidRPr="00EF1D74" w:rsidRDefault="00EF1D74" w:rsidP="00EF1D74">
      <w:pPr>
        <w:spacing w:before="120"/>
        <w:ind w:firstLine="0"/>
        <w:jc w:val="center"/>
        <w:rPr>
          <w:b/>
          <w:szCs w:val="24"/>
        </w:rPr>
      </w:pPr>
      <w:r w:rsidRPr="00EF1D74">
        <w:rPr>
          <w:b/>
          <w:i/>
          <w:szCs w:val="24"/>
        </w:rPr>
        <w:t xml:space="preserve">1.1. attēls </w:t>
      </w:r>
      <w:r w:rsidRPr="00EF1D74">
        <w:rPr>
          <w:b/>
          <w:szCs w:val="24"/>
        </w:rPr>
        <w:t>EK ekonomikas sentimenta indekss (ESI) ES valstīm, pa komponentēm</w:t>
      </w:r>
    </w:p>
    <w:p w:rsidR="00EF1D74" w:rsidRPr="00EF1D74" w:rsidRDefault="00EF1D74" w:rsidP="00EF1D74">
      <w:pPr>
        <w:ind w:firstLine="0"/>
        <w:jc w:val="center"/>
        <w:rPr>
          <w:rFonts w:eastAsia="Calibri"/>
          <w:sz w:val="28"/>
          <w:szCs w:val="22"/>
        </w:rPr>
      </w:pPr>
      <w:r w:rsidRPr="00EF1D74">
        <w:rPr>
          <w:rFonts w:eastAsia="Calibri"/>
          <w:noProof/>
          <w:szCs w:val="24"/>
          <w:lang w:eastAsia="lv-LV"/>
        </w:rPr>
        <w:drawing>
          <wp:inline distT="0" distB="0" distL="0" distR="0" wp14:anchorId="34C124C9" wp14:editId="70ACF9D3">
            <wp:extent cx="5274310" cy="3170555"/>
            <wp:effectExtent l="0" t="0" r="254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1D74" w:rsidRPr="00EF1D74" w:rsidRDefault="00EF1D74" w:rsidP="00EF1D74">
      <w:pPr>
        <w:ind w:firstLine="720"/>
        <w:rPr>
          <w:rFonts w:eastAsia="Calibri"/>
          <w:szCs w:val="24"/>
        </w:rPr>
      </w:pPr>
      <w:r w:rsidRPr="00EF1D74">
        <w:rPr>
          <w:rFonts w:eastAsia="Calibri"/>
          <w:szCs w:val="24"/>
        </w:rPr>
        <w:t xml:space="preserve">Tomēr pēc ekonomikas visai straujās atgūšanās pēc pirmā </w:t>
      </w:r>
      <w:proofErr w:type="spellStart"/>
      <w:r w:rsidRPr="00EF1D74">
        <w:rPr>
          <w:rFonts w:eastAsia="Calibri"/>
          <w:szCs w:val="24"/>
        </w:rPr>
        <w:t>koronavīrusa</w:t>
      </w:r>
      <w:proofErr w:type="spellEnd"/>
      <w:r w:rsidRPr="00EF1D74">
        <w:rPr>
          <w:rFonts w:eastAsia="Calibri"/>
          <w:szCs w:val="24"/>
        </w:rPr>
        <w:t xml:space="preserve"> viļņa, izaugsmes atjaunošanās lielā daļā pasaules valstu kopš augusta ir kļuvusi lēnāka vai pat apstājusies, un septembrī </w:t>
      </w:r>
      <w:proofErr w:type="spellStart"/>
      <w:r w:rsidRPr="00EF1D74">
        <w:rPr>
          <w:rFonts w:eastAsia="Calibri"/>
          <w:szCs w:val="24"/>
        </w:rPr>
        <w:t>eirozonas</w:t>
      </w:r>
      <w:proofErr w:type="spellEnd"/>
      <w:r w:rsidRPr="00EF1D74">
        <w:rPr>
          <w:rFonts w:eastAsia="Calibri"/>
          <w:szCs w:val="24"/>
        </w:rPr>
        <w:t xml:space="preserve"> kopējais PMI indekss atkal piedzīvojis kritumu, noslīdot līdz trīs mēnešu zemākajam rādītājam. Apstrādes rūpniecības aktivitāte Eiropā turpina palielināties, bet kopējo aktivitātes kritumu nosaka pakalpojumu sektors, kur piedzīvots lielākais izlaides kritums kopš šā gada maija, kas gan bijis daudz lēnāks nekā pandēmijas mēnešos pavasarī. Uz lēnāku ekonomikas izaugsmi septembrī norāda arī Lielbritānijas un ASV PMI indeksi, bet Japānas ekonomika joprojām turpina samazināties, gan lēnākos tempos nekā iepriekšējos mēnešos.</w:t>
      </w:r>
    </w:p>
    <w:p w:rsidR="00EF1D74" w:rsidRPr="00EF1D74" w:rsidRDefault="00EF1D74" w:rsidP="00EF1D74">
      <w:pPr>
        <w:ind w:firstLine="720"/>
        <w:rPr>
          <w:rFonts w:eastAsia="Calibri"/>
          <w:szCs w:val="24"/>
        </w:rPr>
      </w:pPr>
      <w:r w:rsidRPr="00EF1D74">
        <w:rPr>
          <w:rFonts w:eastAsia="Calibri"/>
          <w:szCs w:val="24"/>
        </w:rPr>
        <w:t xml:space="preserve">2021. gadam gan pasaulei kopumā, gan </w:t>
      </w:r>
      <w:proofErr w:type="spellStart"/>
      <w:r w:rsidRPr="00EF1D74">
        <w:rPr>
          <w:rFonts w:eastAsia="Calibri"/>
          <w:szCs w:val="24"/>
        </w:rPr>
        <w:t>eirozonai</w:t>
      </w:r>
      <w:proofErr w:type="spellEnd"/>
      <w:r w:rsidRPr="00EF1D74">
        <w:rPr>
          <w:rFonts w:eastAsia="Calibri"/>
          <w:szCs w:val="24"/>
        </w:rPr>
        <w:t xml:space="preserve"> tiek prognozēta ekonomiskās izaugsmes atjaunošanās un IKP pieaugums, pēc ESAO prognozēm, pasaulē varētu sasniegt 5,0% un </w:t>
      </w:r>
      <w:proofErr w:type="spellStart"/>
      <w:r w:rsidRPr="00EF1D74">
        <w:rPr>
          <w:rFonts w:eastAsia="Calibri"/>
          <w:szCs w:val="24"/>
        </w:rPr>
        <w:t>eirozonā</w:t>
      </w:r>
      <w:proofErr w:type="spellEnd"/>
      <w:r w:rsidRPr="00EF1D74">
        <w:rPr>
          <w:rFonts w:eastAsia="Calibri"/>
          <w:szCs w:val="24"/>
        </w:rPr>
        <w:t xml:space="preserve"> – 5,1%. Tomēr ESAO norāda, ka straujāka vīrusa izplatība un stingrāku tā ierobežošanas pasākumu ieviešana šos pieauguma tempus var pazemināt par 2-3 procentpunktiem. </w:t>
      </w:r>
    </w:p>
    <w:p w:rsidR="00EF1D74" w:rsidRPr="00EF1D74" w:rsidRDefault="00EF1D74" w:rsidP="00EF1D74">
      <w:pPr>
        <w:ind w:firstLine="720"/>
        <w:rPr>
          <w:rFonts w:eastAsia="Calibri"/>
          <w:szCs w:val="24"/>
        </w:rPr>
      </w:pPr>
      <w:r w:rsidRPr="00EF1D74">
        <w:rPr>
          <w:rFonts w:eastAsia="Calibri"/>
          <w:szCs w:val="24"/>
        </w:rPr>
        <w:t xml:space="preserve">Attiecībā uz inflāciju, </w:t>
      </w:r>
      <w:proofErr w:type="spellStart"/>
      <w:r w:rsidRPr="00EF1D74">
        <w:rPr>
          <w:rFonts w:eastAsia="Calibri"/>
          <w:szCs w:val="24"/>
        </w:rPr>
        <w:t>eirozonai</w:t>
      </w:r>
      <w:proofErr w:type="spellEnd"/>
      <w:r w:rsidRPr="00EF1D74">
        <w:rPr>
          <w:rFonts w:eastAsia="Calibri"/>
          <w:szCs w:val="24"/>
        </w:rPr>
        <w:t xml:space="preserve"> šogad līdz ar straujo ekonomikas kritumu un izejvielu cenu samazināšanos EK šogad prognozējusi inflācijas pazemināšanos līdz 0,3%. Nākamajā gadā, izaugsmei atjaunojoties un valstīm aktīvi realizējot fiskālās un monetārās stimulēšanas pasākumus, EK sagaida inflācijas palielināšanos līdz 1,1%.</w:t>
      </w:r>
    </w:p>
    <w:p w:rsidR="00EF1D74" w:rsidRPr="00EF1D74" w:rsidRDefault="00EF1D74" w:rsidP="00EF1D74">
      <w:pPr>
        <w:ind w:firstLine="720"/>
        <w:rPr>
          <w:rFonts w:eastAsia="Calibri"/>
          <w:szCs w:val="24"/>
        </w:rPr>
      </w:pPr>
      <w:r w:rsidRPr="00EF1D74">
        <w:rPr>
          <w:rFonts w:eastAsia="Calibri"/>
          <w:szCs w:val="24"/>
        </w:rPr>
        <w:lastRenderedPageBreak/>
        <w:t>Vienlaikus jāpiebilst, ka pasaulē joprojām saglabājas ļoti augsta nenoteiktība par Covid-19 saslimstības turpmāko gaitu. Vīrusa izplatība Eiropā un pasaulē jau kopš augusta arvien palielinās, īpaši strauji inficēto cilvēku skaitam pieaugot pēdējās nedēļās, kamēr vīrusa izraisīto nāves gadījumu skaits bijis būtiski zemāks nekā pirmā uzliesmojuma laikā šā gada pavasarī. Situācijai strauji mainoties, gan pasaules, gan Latvijas galveno eksporta partnervalstu ekonomiskās attīstības prognozes arī turpmāk var piedzīvot visai krasas korekcijas, līdzīgi kā tas noticis jau visa 2020. gada laikā.</w:t>
      </w:r>
    </w:p>
    <w:p w:rsidR="00EF1D74" w:rsidRPr="00EF1D74" w:rsidRDefault="00EF1D74" w:rsidP="00EF1D74">
      <w:pPr>
        <w:keepNext/>
        <w:keepLines/>
        <w:spacing w:before="240" w:after="240" w:line="259" w:lineRule="auto"/>
        <w:ind w:firstLine="0"/>
        <w:jc w:val="center"/>
        <w:outlineLvl w:val="1"/>
        <w:rPr>
          <w:b/>
          <w:sz w:val="36"/>
          <w:szCs w:val="36"/>
        </w:rPr>
      </w:pPr>
      <w:r w:rsidRPr="00EF1D74">
        <w:rPr>
          <w:b/>
          <w:sz w:val="36"/>
          <w:szCs w:val="36"/>
        </w:rPr>
        <w:t>1.2. Latvijas tautsaimniecības attīstība</w:t>
      </w:r>
    </w:p>
    <w:bookmarkEnd w:id="2"/>
    <w:bookmarkEnd w:id="3"/>
    <w:p w:rsidR="00EF1D74" w:rsidRPr="00EF1D74" w:rsidRDefault="00EF1D74" w:rsidP="00EF1D74">
      <w:pPr>
        <w:keepNext/>
        <w:keepLines/>
        <w:spacing w:before="240" w:after="240" w:line="259" w:lineRule="auto"/>
        <w:ind w:firstLine="0"/>
        <w:jc w:val="center"/>
        <w:outlineLvl w:val="2"/>
        <w:rPr>
          <w:b/>
          <w:bCs/>
          <w:sz w:val="32"/>
          <w:szCs w:val="32"/>
        </w:rPr>
      </w:pPr>
      <w:r w:rsidRPr="00EF1D74">
        <w:rPr>
          <w:b/>
          <w:bCs/>
          <w:sz w:val="32"/>
          <w:szCs w:val="32"/>
        </w:rPr>
        <w:t>1.2.1. Iekšzemes kopprodukts</w:t>
      </w:r>
    </w:p>
    <w:p w:rsidR="00EF1D74" w:rsidRPr="00EF1D74" w:rsidRDefault="00EF1D74" w:rsidP="00EF1D74">
      <w:pPr>
        <w:ind w:firstLine="720"/>
        <w:rPr>
          <w:rFonts w:eastAsia="Calibri"/>
          <w:szCs w:val="24"/>
        </w:rPr>
      </w:pPr>
      <w:r w:rsidRPr="00EF1D74">
        <w:rPr>
          <w:rFonts w:eastAsia="Calibri"/>
          <w:szCs w:val="24"/>
        </w:rPr>
        <w:t>Pēc Latvijas ekonomiskās izaugsmes paātrināšanās 2017. un 2018. gadā līdz attiecīgi 3,3% un 4,0%, ko noteica augošais ārējais pieprasījums un investīciju plūsmas atjaunošanās, 2019. gadā ekonomikas pieauguma temps atkal kļuva lēnāks. Pērn Latvijas IKP salīdzināmās cenās palielinājās par 2,1%.</w:t>
      </w:r>
    </w:p>
    <w:p w:rsidR="00EF1D74" w:rsidRPr="00EF1D74" w:rsidRDefault="00EF1D74" w:rsidP="00EF1D74">
      <w:pPr>
        <w:spacing w:before="120"/>
        <w:ind w:firstLine="720"/>
        <w:rPr>
          <w:rFonts w:eastAsia="Calibri"/>
          <w:szCs w:val="24"/>
        </w:rPr>
      </w:pPr>
      <w:r w:rsidRPr="00EF1D74">
        <w:rPr>
          <w:rFonts w:eastAsia="Calibri"/>
          <w:szCs w:val="24"/>
        </w:rPr>
        <w:t>Izaugsmes tempu sabremzēšanos 2019. gadā noteica gan ārējās vides pasliktināšanās, gan vairāki vienreizēji iekšēji faktori – enerģētikas nozarei nelabvēlīgie laika apstākļi gada pirmajā pusē, apjomu kritums tranzītā, kā arī finanšu pakalpojumu eksporta samazināšanās. Savukārt Latvijas ekonomikas izaugsmi 2019. gadā nodrošināja iekšzemes pieprasījuma pieaugums, galvenokārt privātais patēriņš. Tas salīdzinājumā ar 2018. gadu palielinājās par 2,2%, ko veicināja joprojām strauji augošā darba samaksa un bezdarba līmeņa samazināšanās. Stabilizējoties ES fondu investīciju plūsmai, ieguldījumi bruto pamatkapitālā pērn palielinājās par 2,1%, kas ir ievērojami lēnāks kāpums nekā 2018. gadā. Savukārt straujāku eksporta pieaugumu kavēja pasaules ekonomiskās izaugsmes un globālās tirdzniecības sabremzēšanās, kā arī preču reeksporta apjomu straujš kritums. Tā rezultātā 2019. gadā kopējais preču un pakalpojumu eksports bija vien par 2,1% augstāks nekā 2018. gadā. Tajā pašā laikā preču un pakalpojumu importa kāpums bija straujāks par eksportu, pieaugumam veidojot 3,0%, tādējādi neto eksporta devums Latvijas ekonomiskajā izaugsmē pērn bija negatīvs.</w:t>
      </w:r>
    </w:p>
    <w:p w:rsidR="00EF1D74" w:rsidRPr="00EF1D74" w:rsidRDefault="00EF1D74" w:rsidP="00EF1D74">
      <w:pPr>
        <w:spacing w:before="120" w:line="259" w:lineRule="auto"/>
        <w:ind w:firstLine="720"/>
        <w:rPr>
          <w:b/>
          <w:i/>
          <w:szCs w:val="24"/>
        </w:rPr>
      </w:pPr>
      <w:r w:rsidRPr="00EF1D74">
        <w:rPr>
          <w:rFonts w:eastAsia="Calibri"/>
          <w:szCs w:val="24"/>
        </w:rPr>
        <w:t xml:space="preserve">Savukārt 2020. gadā, kad ierasto ikdienas ritmu pasaulē iedragāja </w:t>
      </w:r>
      <w:proofErr w:type="spellStart"/>
      <w:r w:rsidRPr="00EF1D74">
        <w:rPr>
          <w:rFonts w:eastAsia="Calibri"/>
          <w:szCs w:val="24"/>
        </w:rPr>
        <w:t>koronavīrusa</w:t>
      </w:r>
      <w:proofErr w:type="spellEnd"/>
      <w:r w:rsidRPr="00EF1D74">
        <w:rPr>
          <w:rFonts w:eastAsia="Calibri"/>
          <w:szCs w:val="24"/>
        </w:rPr>
        <w:t xml:space="preserve"> slimības Covid-19 straujā izplatība, kura tiešā ietekme Latvijā bija jūtama no marta vidus, ekonomiskā aktivitāte strauji pasliktinājās un IKP pirmo reizi kopš 2010. gada uzrādīja sarukumu. Jau šā gada pirmajā ceturksnī salīdzinājumā ar pagājušā gada attiecīgo ceturksni Latvijas IKP samazinājās par 1,0%, neskatoties uz to, ka Covid-19 krīze Latvijas ekonomiku sasniedza vien ceturkšņa beigās (1.2. attēls).</w:t>
      </w:r>
      <w:r w:rsidRPr="00EF1D74">
        <w:rPr>
          <w:b/>
          <w:i/>
          <w:szCs w:val="24"/>
        </w:rPr>
        <w:t xml:space="preserve"> </w:t>
      </w:r>
    </w:p>
    <w:p w:rsidR="00EF1D74" w:rsidRPr="00EF1D74" w:rsidRDefault="00EF1D74" w:rsidP="00EF1D74">
      <w:pPr>
        <w:spacing w:before="120" w:line="259" w:lineRule="auto"/>
        <w:ind w:firstLine="720"/>
        <w:rPr>
          <w:b/>
          <w:i/>
          <w:szCs w:val="24"/>
        </w:rPr>
      </w:pPr>
    </w:p>
    <w:p w:rsidR="00EF1D74" w:rsidRPr="00EF1D74" w:rsidRDefault="00EF1D74" w:rsidP="00EF1D74">
      <w:pPr>
        <w:spacing w:before="120" w:line="259" w:lineRule="auto"/>
        <w:ind w:firstLine="720"/>
        <w:rPr>
          <w:b/>
          <w:i/>
          <w:szCs w:val="24"/>
        </w:rPr>
      </w:pPr>
    </w:p>
    <w:p w:rsidR="00EF1D74" w:rsidRPr="00EF1D74" w:rsidRDefault="00EF1D74" w:rsidP="00EF1D74">
      <w:pPr>
        <w:spacing w:before="120" w:line="259" w:lineRule="auto"/>
        <w:ind w:firstLine="720"/>
        <w:rPr>
          <w:b/>
          <w:i/>
          <w:szCs w:val="24"/>
        </w:rPr>
      </w:pPr>
    </w:p>
    <w:p w:rsidR="00EF1D74" w:rsidRPr="00EF1D74" w:rsidRDefault="00EF1D74" w:rsidP="00EF1D74">
      <w:pPr>
        <w:spacing w:before="120" w:line="259" w:lineRule="auto"/>
        <w:ind w:firstLine="720"/>
        <w:rPr>
          <w:b/>
          <w:i/>
          <w:szCs w:val="24"/>
        </w:rPr>
      </w:pPr>
    </w:p>
    <w:p w:rsidR="00EF1D74" w:rsidRPr="00EF1D74" w:rsidRDefault="00EF1D74" w:rsidP="00EF1D74">
      <w:pPr>
        <w:spacing w:before="120" w:line="259" w:lineRule="auto"/>
        <w:ind w:firstLine="720"/>
        <w:rPr>
          <w:b/>
          <w:i/>
          <w:szCs w:val="24"/>
        </w:rPr>
      </w:pPr>
    </w:p>
    <w:p w:rsidR="00EF1D74" w:rsidRPr="00EF1D74" w:rsidRDefault="00EF1D74" w:rsidP="00EF1D74">
      <w:pPr>
        <w:spacing w:before="120" w:line="259" w:lineRule="auto"/>
        <w:ind w:firstLine="720"/>
        <w:rPr>
          <w:b/>
          <w:i/>
          <w:szCs w:val="24"/>
        </w:rPr>
      </w:pPr>
    </w:p>
    <w:p w:rsidR="00EF1D74" w:rsidRPr="00EF1D74" w:rsidRDefault="00EF1D74" w:rsidP="00EF1D74">
      <w:pPr>
        <w:spacing w:before="120" w:line="259" w:lineRule="auto"/>
        <w:ind w:firstLine="720"/>
        <w:rPr>
          <w:b/>
          <w:i/>
          <w:szCs w:val="24"/>
        </w:rPr>
      </w:pPr>
    </w:p>
    <w:p w:rsidR="00EF1D74" w:rsidRPr="00EF1D74" w:rsidRDefault="00EF1D74" w:rsidP="00EF1D74">
      <w:pPr>
        <w:spacing w:before="120" w:line="259" w:lineRule="auto"/>
        <w:ind w:firstLine="720"/>
        <w:rPr>
          <w:b/>
          <w:i/>
          <w:szCs w:val="24"/>
        </w:rPr>
      </w:pPr>
    </w:p>
    <w:p w:rsidR="00EF1D74" w:rsidRPr="00EF1D74" w:rsidRDefault="00EF1D74" w:rsidP="00EF1D74">
      <w:pPr>
        <w:spacing w:before="120" w:line="259" w:lineRule="auto"/>
        <w:ind w:firstLine="720"/>
        <w:rPr>
          <w:b/>
          <w:i/>
          <w:szCs w:val="24"/>
        </w:rPr>
      </w:pPr>
    </w:p>
    <w:p w:rsidR="00EF1D74" w:rsidRPr="00EF1D74" w:rsidRDefault="00EF1D74" w:rsidP="00EF1D74">
      <w:pPr>
        <w:spacing w:before="120" w:after="0" w:line="259" w:lineRule="auto"/>
        <w:ind w:firstLine="720"/>
        <w:jc w:val="center"/>
        <w:rPr>
          <w:rFonts w:eastAsia="Calibri"/>
          <w:szCs w:val="24"/>
        </w:rPr>
      </w:pPr>
      <w:r w:rsidRPr="00EF1D74">
        <w:rPr>
          <w:b/>
          <w:i/>
          <w:szCs w:val="24"/>
        </w:rPr>
        <w:lastRenderedPageBreak/>
        <w:t xml:space="preserve">1.2. attēls </w:t>
      </w:r>
      <w:r w:rsidRPr="00EF1D74">
        <w:rPr>
          <w:b/>
          <w:szCs w:val="24"/>
        </w:rPr>
        <w:t>IKP pieaugums pa ceturkšņiem, %</w:t>
      </w:r>
    </w:p>
    <w:p w:rsidR="00EF1D74" w:rsidRPr="00EF1D74" w:rsidRDefault="00EF1D74" w:rsidP="00EF1D74">
      <w:pPr>
        <w:spacing w:before="60"/>
        <w:ind w:firstLine="0"/>
        <w:rPr>
          <w:rFonts w:eastAsia="Calibri"/>
          <w:szCs w:val="24"/>
        </w:rPr>
      </w:pPr>
      <w:r w:rsidRPr="00EF1D74">
        <w:rPr>
          <w:rFonts w:eastAsia="Calibri"/>
          <w:noProof/>
          <w:szCs w:val="24"/>
          <w:lang w:eastAsia="lv-LV"/>
        </w:rPr>
        <w:drawing>
          <wp:inline distT="0" distB="0" distL="0" distR="0" wp14:anchorId="36F90672" wp14:editId="0A790162">
            <wp:extent cx="5457825" cy="3128645"/>
            <wp:effectExtent l="0" t="0" r="9525"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1D74" w:rsidRPr="00EF1D74" w:rsidRDefault="00EF1D74" w:rsidP="00EF1D74">
      <w:pPr>
        <w:spacing w:before="60"/>
        <w:ind w:firstLine="720"/>
        <w:rPr>
          <w:rFonts w:eastAsia="Calibri"/>
          <w:szCs w:val="24"/>
        </w:rPr>
      </w:pPr>
      <w:proofErr w:type="spellStart"/>
      <w:r w:rsidRPr="00EF1D74">
        <w:rPr>
          <w:rFonts w:eastAsia="Calibri"/>
          <w:szCs w:val="24"/>
        </w:rPr>
        <w:t>Koronavīrusa</w:t>
      </w:r>
      <w:proofErr w:type="spellEnd"/>
      <w:r w:rsidRPr="00EF1D74">
        <w:rPr>
          <w:rFonts w:eastAsia="Calibri"/>
          <w:szCs w:val="24"/>
        </w:rPr>
        <w:t xml:space="preserve"> izplatība un tā ierobežošanai noteiktie pasākumi jau pirmajā ceturksnī būtiski ietekmēja privāto patēriņu un vairākās krīzes tieši skartajās pakalpojumu nozarēs tika fiksēts visai krass apjomu kritums. Tādējādi privātais patēriņš pirmajā ceturksnī, salīdzinot ar pagājušā gada pirmo ceturksni, samazinājās par 3,1%, kas noteica kopējo ekonomisko izaugsmes tempu sarukumu. Tajā pašā laikā laba attīstība pirmajā ceturksnī bijusi investīcijās, ieguldījumiem bruto pamatkapitālā  pieaugot par 4,7%, uzrādot straujāku kāpumu nekā pērn kopumā. Labāki rezultāti nekā 2019. gadā tika reģistrēti arī sabiedriskajā patēriņā, šā gada pirmajā ceturksnī palielinoties par 3,2%. Tāpat pirmajā ceturksnī par 2,9% palielinājās preču un pakalpojumu eksports, kamēr importa kāpums bija straujāks par eksportu, pieaugumam sasniedzot 3,8%.</w:t>
      </w:r>
    </w:p>
    <w:p w:rsidR="00EF1D74" w:rsidRPr="00EF1D74" w:rsidRDefault="00EF1D74" w:rsidP="00EF1D74">
      <w:pPr>
        <w:spacing w:before="60"/>
        <w:ind w:firstLine="720"/>
        <w:rPr>
          <w:rFonts w:eastAsia="Calibri"/>
          <w:szCs w:val="24"/>
        </w:rPr>
      </w:pPr>
      <w:r w:rsidRPr="00EF1D74">
        <w:rPr>
          <w:rFonts w:eastAsia="Calibri"/>
          <w:szCs w:val="24"/>
        </w:rPr>
        <w:t>No nozaru puses pievienotās vērtības sarukumu pirmajā ceturksnī uzrādīja ne tikai ar privāto patēriņu saistītās nozares, piemēram, māksla, izklaide un atpūta (-8,7% gada griezumā), izmitināšana un ēdināšanas pakalpojumi (-6,4%), bet arī uz ārējo pieprasījumu balstītā apstrādes rūpniecība. Salīdzinājumā ar 2019. gada pirmo ceturksni apstrādes rūpniecībā radītā pievienotā vērtība samazinājās par 1,1%. Pirmajā ceturksnī negaidītu  kritumu uzrādīja informācijas un komunikācijas pakalpojumi, kamēr visai prognozēts sarukums reģistrēts transporta un uzglabāšanas nozarē, tās pievienotajai vērtībai gada griezumā samazinoties par 6,0% . Tajā pašā laikā spēcīgu pieaugumu uzrādīja būvniecība, nozares pievienotajai vērtībai pirmajā ceturksnī palielinoties par 14,7%, kas Latvijas ekonomiku pasargāja no vēl dziļāka krituma. Mēreni pieaugumi tika fiksēti operācijās ar nekustamo īpašumu, profesionālo, zinātnisko un tehnisko pakalpojumu nozarē, kā arī sabiedrisko pakalpojumu nozarēs.</w:t>
      </w:r>
    </w:p>
    <w:p w:rsidR="00EF1D74" w:rsidRPr="00EF1D74" w:rsidRDefault="00EF1D74" w:rsidP="00EF1D74">
      <w:pPr>
        <w:spacing w:before="60"/>
        <w:ind w:firstLine="720"/>
        <w:rPr>
          <w:rFonts w:eastAsia="Calibri"/>
          <w:szCs w:val="24"/>
        </w:rPr>
      </w:pPr>
      <w:r w:rsidRPr="00EF1D74">
        <w:rPr>
          <w:rFonts w:eastAsia="Calibri"/>
          <w:szCs w:val="24"/>
        </w:rPr>
        <w:t>Savukārt Covid-19 krīzes augstākais punkts ir bijis otrajā ceturksnī, īpaši aprīlī, kad slimības izplatības kontrolēšanai ieviestie ierobežojumi būtiski ietekmēja ekonomisko aktivitāti praktiski visās nozarēs un mainīja iedzīvotāju paradumus. Turklāt vīrusa radītā vispārējā nenoteiktība rosināja piesardzību attiecībā uz patērētāju un uzņēmumu finansiālo situāciju un radīja nedrošību par nākotni. Tādējādi Latvijas IKP salīdzinājumā ar 2019. gada otro ceturksni samazinājās par 8,9%. Lai gan tas ir straujākais kritums kopš 2010. gada, ekonomikas sarukums bijis pat nedaudz mazāks nekā sākotnēji prognozēts.</w:t>
      </w:r>
    </w:p>
    <w:p w:rsidR="00EF1D74" w:rsidRPr="00EF1D74" w:rsidRDefault="00EF1D74" w:rsidP="00EF1D74">
      <w:pPr>
        <w:spacing w:before="60"/>
        <w:ind w:firstLine="720"/>
        <w:rPr>
          <w:rFonts w:eastAsia="Calibri"/>
          <w:szCs w:val="24"/>
        </w:rPr>
      </w:pPr>
      <w:r w:rsidRPr="00EF1D74">
        <w:rPr>
          <w:rFonts w:eastAsia="Calibri"/>
          <w:szCs w:val="24"/>
        </w:rPr>
        <w:t xml:space="preserve">Kā liecina dati par IKP no izlietojuma puses, visbūtiskākā ietekme ekonomikas lejupslīdē otrajā ceturksnī bijusi privātā patēriņa kritumam, kas sasniedza 20,8%, kamēr </w:t>
      </w:r>
      <w:r w:rsidRPr="00EF1D74">
        <w:rPr>
          <w:rFonts w:eastAsia="Calibri"/>
          <w:szCs w:val="24"/>
        </w:rPr>
        <w:lastRenderedPageBreak/>
        <w:t>investīcijas pamatkapitālā samazinājušās par 4,9%. Importam samazinoties straujāk nekā eksportam – attiecīgi par 15,8% un 13,1%, – ārējās tirdzniecības izmaiņu ietekmei bijis pozitīvs devums IKP dinamikā. Pateicoties valdības atbalsta pasākumiem Covid-19 krīzes pārvarēšanai un ekonomikas atlabšanas veicināšanai, kopējo ekonomikas kritumu otrajā ceturksnī nedaudz mīkstinājis arī sabiedriskā patēriņa pieaugums par 1,7%, salīdzinot ar iepriekšējā gada otro ceturksni.</w:t>
      </w:r>
    </w:p>
    <w:p w:rsidR="00EF1D74" w:rsidRPr="00EF1D74" w:rsidRDefault="00EF1D74" w:rsidP="00EF1D74">
      <w:pPr>
        <w:spacing w:before="60"/>
        <w:ind w:firstLine="720"/>
        <w:rPr>
          <w:rFonts w:eastAsia="Calibri"/>
          <w:szCs w:val="24"/>
        </w:rPr>
      </w:pPr>
      <w:r w:rsidRPr="00EF1D74">
        <w:rPr>
          <w:rFonts w:eastAsia="Calibri"/>
          <w:szCs w:val="24"/>
        </w:rPr>
        <w:t xml:space="preserve">Analizējot nozaru attīstību, straujākie kritumi otrajā ceturksnī reģistrēti Covid-19 krīzes tieši skartajās pakalpojumu nozarēs – izmitināšanas un ēdināšanas nozares pievienotā vērtība gada griezumā sarukusi par 62,7% un mākslas, izklaides un atpūtas nozares – par 47,4%. Tomēr vislielākā loma ekonomikas lejupslīdē otrajā ceturksnī bijusi transporta nozarei, kuru vienlaikus ar Covid-19 krīzes rezultātā ierobežotajiem pasažieru pārvadājumiem </w:t>
      </w:r>
      <w:proofErr w:type="spellStart"/>
      <w:r w:rsidRPr="00EF1D74">
        <w:rPr>
          <w:rFonts w:eastAsia="Calibri"/>
          <w:szCs w:val="24"/>
        </w:rPr>
        <w:t>skāris</w:t>
      </w:r>
      <w:proofErr w:type="spellEnd"/>
      <w:r w:rsidRPr="00EF1D74">
        <w:rPr>
          <w:rFonts w:eastAsia="Calibri"/>
          <w:szCs w:val="24"/>
        </w:rPr>
        <w:t xml:space="preserve"> arī būtisks Krievijas kravu tranzīta apjoma kritums caur Latvijas ostām, nozarei kopumā sarūkot par 23,7%. Tāpat samazinājumus, lai gan mērenākus, piedzīvojušas arī profesionālo, zinātnisko un administratīvo pakalpojumu nozares, apstrādes rūpniecība un tirdzniecība. Divreiz straujāku kritumu nekā pirmajā ceturksnī uzrādīja arī IKT pakalpojumu nozare. Savukārt būvniecības nozarē, pārējās rūpniecības nozarēs, kā arī valsts pārvaldē un aizsardzībā būtiskas izmaiņas nav notikušas un tās praktiski saglabājušas pagājušā gada līmeņus.</w:t>
      </w:r>
    </w:p>
    <w:p w:rsidR="00EF1D74" w:rsidRPr="00EF1D74" w:rsidRDefault="00EF1D74" w:rsidP="00EF1D74">
      <w:pPr>
        <w:spacing w:before="60"/>
        <w:ind w:firstLine="720"/>
        <w:rPr>
          <w:rFonts w:eastAsia="Calibri"/>
          <w:szCs w:val="24"/>
        </w:rPr>
      </w:pPr>
      <w:r w:rsidRPr="00EF1D74">
        <w:rPr>
          <w:rFonts w:eastAsia="Calibri"/>
          <w:szCs w:val="24"/>
        </w:rPr>
        <w:t>Līdz ar to 2020. gada pirmajā pusgadā kopā Latvijas IKP bija par 5,2% zemāks nekā pirms gada (1.3. attēls).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4017"/>
        <w:gridCol w:w="4949"/>
      </w:tblGrid>
      <w:tr w:rsidR="00EF1D74" w:rsidRPr="00EF1D74" w:rsidTr="0057436F">
        <w:trPr>
          <w:trHeight w:val="719"/>
        </w:trPr>
        <w:tc>
          <w:tcPr>
            <w:tcW w:w="8966" w:type="dxa"/>
            <w:gridSpan w:val="2"/>
          </w:tcPr>
          <w:p w:rsidR="00EF1D74" w:rsidRPr="00EF1D74" w:rsidRDefault="00EF1D74" w:rsidP="00EF1D74">
            <w:pPr>
              <w:spacing w:before="120"/>
              <w:ind w:firstLine="0"/>
              <w:jc w:val="center"/>
            </w:pPr>
            <w:r w:rsidRPr="00EF1D74">
              <w:rPr>
                <w:b/>
                <w:i/>
              </w:rPr>
              <w:t xml:space="preserve">1.3. attēls </w:t>
            </w:r>
            <w:r w:rsidRPr="00EF1D74">
              <w:rPr>
                <w:b/>
              </w:rPr>
              <w:t>IKP izmaiņas no izlietojuma puses un IKP pievienotās vērtības izmaiņas tautsaimniecības nozarēs, salīdzinot ar iepriekšējā gada attiecīgo laika periodu, %</w:t>
            </w:r>
          </w:p>
        </w:tc>
      </w:tr>
      <w:tr w:rsidR="00EF1D74" w:rsidRPr="00EF1D74" w:rsidTr="0057436F">
        <w:trPr>
          <w:trHeight w:val="4697"/>
        </w:trPr>
        <w:tc>
          <w:tcPr>
            <w:tcW w:w="4017" w:type="dxa"/>
          </w:tcPr>
          <w:p w:rsidR="00EF1D74" w:rsidRPr="00EF1D74" w:rsidRDefault="00EF1D74" w:rsidP="00EF1D74">
            <w:pPr>
              <w:spacing w:before="120"/>
              <w:ind w:firstLine="0"/>
              <w:jc w:val="left"/>
            </w:pPr>
            <w:r w:rsidRPr="00EF1D74">
              <w:rPr>
                <w:noProof/>
                <w:lang w:eastAsia="lv-LV"/>
              </w:rPr>
              <w:drawing>
                <wp:inline distT="0" distB="0" distL="0" distR="0" wp14:anchorId="5F36C865" wp14:editId="53B2A295">
                  <wp:extent cx="2343150" cy="3134360"/>
                  <wp:effectExtent l="0" t="0" r="0" b="889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949" w:type="dxa"/>
          </w:tcPr>
          <w:p w:rsidR="00EF1D74" w:rsidRPr="00EF1D74" w:rsidRDefault="00EF1D74" w:rsidP="00EF1D74">
            <w:pPr>
              <w:spacing w:before="120"/>
              <w:ind w:firstLine="0"/>
              <w:jc w:val="left"/>
            </w:pPr>
            <w:r w:rsidRPr="00EF1D74">
              <w:rPr>
                <w:noProof/>
                <w:lang w:eastAsia="lv-LV"/>
              </w:rPr>
              <w:drawing>
                <wp:inline distT="0" distB="0" distL="0" distR="0" wp14:anchorId="07140A72" wp14:editId="26E16280">
                  <wp:extent cx="2950210" cy="3134360"/>
                  <wp:effectExtent l="0" t="0" r="2540" b="889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EF1D74" w:rsidRPr="00EF1D74" w:rsidRDefault="00EF1D74" w:rsidP="00EF1D74">
      <w:pPr>
        <w:spacing w:before="120"/>
        <w:ind w:firstLine="720"/>
        <w:rPr>
          <w:rFonts w:eastAsia="Calibri"/>
          <w:szCs w:val="24"/>
        </w:rPr>
      </w:pPr>
      <w:r w:rsidRPr="00EF1D74">
        <w:rPr>
          <w:rFonts w:eastAsia="Calibri"/>
          <w:szCs w:val="24"/>
        </w:rPr>
        <w:t>Neskatoties uz straujo IKP kritumu, Latvija uzrādījusi labākus rezultātus nekā lielākā daļa ES dalībvalstu, kur Covid-19 slimības izplatība bijusi daudz straujāka un tās kontrolēšanai ieviestie ierobežojumi bijuši stingrāki (1.4. attēls). ES ekonomika kopumā šā gada pirmajā pusgadā saruka par 8,3%.</w:t>
      </w:r>
    </w:p>
    <w:p w:rsidR="00EF1D74" w:rsidRPr="00EF1D74" w:rsidRDefault="00EF1D74" w:rsidP="00EF1D74">
      <w:pPr>
        <w:spacing w:before="120"/>
        <w:ind w:firstLine="0"/>
        <w:jc w:val="center"/>
        <w:rPr>
          <w:b/>
          <w:i/>
          <w:szCs w:val="24"/>
        </w:rPr>
      </w:pPr>
    </w:p>
    <w:p w:rsidR="00EF1D74" w:rsidRPr="00EF1D74" w:rsidRDefault="00EF1D74" w:rsidP="00EF1D74">
      <w:pPr>
        <w:spacing w:before="120"/>
        <w:ind w:firstLine="0"/>
        <w:jc w:val="center"/>
        <w:rPr>
          <w:b/>
          <w:i/>
          <w:szCs w:val="24"/>
        </w:rPr>
      </w:pPr>
    </w:p>
    <w:p w:rsidR="00EF1D74" w:rsidRPr="00EF1D74" w:rsidRDefault="00EF1D74" w:rsidP="00EF1D74">
      <w:pPr>
        <w:spacing w:before="120"/>
        <w:ind w:firstLine="0"/>
        <w:jc w:val="center"/>
        <w:rPr>
          <w:b/>
          <w:i/>
          <w:szCs w:val="24"/>
        </w:rPr>
      </w:pPr>
    </w:p>
    <w:p w:rsidR="00EF1D74" w:rsidRPr="00EF1D74" w:rsidRDefault="00EF1D74" w:rsidP="00EF1D74">
      <w:pPr>
        <w:spacing w:before="120"/>
        <w:ind w:firstLine="0"/>
        <w:jc w:val="center"/>
        <w:rPr>
          <w:b/>
          <w:i/>
          <w:szCs w:val="24"/>
        </w:rPr>
      </w:pPr>
      <w:r w:rsidRPr="00EF1D74">
        <w:rPr>
          <w:b/>
          <w:i/>
          <w:szCs w:val="24"/>
        </w:rPr>
        <w:lastRenderedPageBreak/>
        <w:t xml:space="preserve">1.4. attēls </w:t>
      </w:r>
      <w:r w:rsidRPr="00EF1D74">
        <w:rPr>
          <w:b/>
          <w:szCs w:val="24"/>
        </w:rPr>
        <w:t>IKP izmaiņas 2020. gada 1. pusgadā, salīdzinot ar 2019. gada 1. pusgadu, % (sezonāli un kalendāri neizlīdzināti dati)</w:t>
      </w:r>
    </w:p>
    <w:p w:rsidR="00EF1D74" w:rsidRPr="00EF1D74" w:rsidRDefault="00EF1D74" w:rsidP="000D24B7">
      <w:pPr>
        <w:ind w:firstLine="0"/>
        <w:jc w:val="center"/>
        <w:rPr>
          <w:rFonts w:eastAsia="Calibri"/>
          <w:szCs w:val="24"/>
        </w:rPr>
      </w:pPr>
      <w:r w:rsidRPr="00EF1D74">
        <w:rPr>
          <w:rFonts w:eastAsia="Calibri"/>
          <w:noProof/>
          <w:szCs w:val="24"/>
          <w:lang w:eastAsia="lv-LV"/>
        </w:rPr>
        <w:drawing>
          <wp:inline distT="0" distB="0" distL="0" distR="0" wp14:anchorId="2F8C8CFC" wp14:editId="3E097A23">
            <wp:extent cx="5274310" cy="2549525"/>
            <wp:effectExtent l="0" t="0" r="2540" b="317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1D74" w:rsidRPr="00EF1D74" w:rsidRDefault="00EF1D74" w:rsidP="00EF1D74">
      <w:pPr>
        <w:spacing w:before="60"/>
        <w:ind w:firstLine="720"/>
        <w:rPr>
          <w:rFonts w:eastAsia="Calibri"/>
          <w:szCs w:val="24"/>
        </w:rPr>
      </w:pPr>
      <w:r w:rsidRPr="00EF1D74">
        <w:rPr>
          <w:rFonts w:eastAsia="Calibri"/>
          <w:szCs w:val="24"/>
        </w:rPr>
        <w:t>Latvijas tautsaimniecības struktūrā lielākās nozares ir tirdzniecība, rūpniecība un transports, kuras pēdējo desmit gadu laikā ir saglabājušas diezgan nemainīgu īpatsvaru (1.5. attēls). Savukārt ievērojamas izmaiņas ir notikušas citās nozarēs, piemēram, nekustamā īpašuma nozares īpatsvars pērn, salīdzinot ar 2008. gadu, ir pieaudzis par 2,9 procentpunktiem. Pēdējos gados uzrādot strauju izaugsmi, aizvien pieaug informācijas un komunikācijas pakalpojumu nozares īpatsvars, 2019. gadā veidojot jau 5,2%. Tajā pašā laikā būvniecības īpatsvars, kas pārmērīgas kreditēšanas rezultātā 2008. gadā bija sasniedzis ļoti augstus apmērus, 2019. gadā ir samazinājies līdz 6,5%. Kā arī par 2,0 procentpunktiem samazinājās jau tā nelielās finanšu pakalpojumu nozares īpatsvars, ko noteica tās pievienotās vērtības kritums pēdējo gadu laikā saistībā ar nerezidentus apkalpojošo banku darbības sašaurināšanos.</w:t>
      </w:r>
    </w:p>
    <w:p w:rsidR="00EF1D74" w:rsidRPr="00EF1D74" w:rsidRDefault="00EF1D74" w:rsidP="00EF1D74">
      <w:pPr>
        <w:spacing w:after="0"/>
        <w:ind w:firstLine="0"/>
        <w:jc w:val="center"/>
        <w:rPr>
          <w:b/>
          <w:i/>
          <w:szCs w:val="24"/>
        </w:rPr>
      </w:pPr>
      <w:r w:rsidRPr="00EF1D74">
        <w:rPr>
          <w:b/>
          <w:i/>
          <w:szCs w:val="24"/>
        </w:rPr>
        <w:t xml:space="preserve">1.5. attēls Pievienotās vērtības struktūras salīdzinājums pa nozaru grupām </w:t>
      </w:r>
    </w:p>
    <w:p w:rsidR="00EF1D74" w:rsidRPr="00EF1D74" w:rsidRDefault="00EF1D74" w:rsidP="00EF1D74">
      <w:pPr>
        <w:spacing w:after="0"/>
        <w:ind w:firstLine="0"/>
        <w:jc w:val="center"/>
        <w:rPr>
          <w:rFonts w:eastAsia="Calibri"/>
          <w:szCs w:val="24"/>
        </w:rPr>
      </w:pPr>
      <w:r w:rsidRPr="00EF1D74">
        <w:rPr>
          <w:b/>
          <w:i/>
          <w:szCs w:val="24"/>
        </w:rPr>
        <w:t>2008. un 2019. gadā, % (2015. g. salīdzināmajās cenās)</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0"/>
      </w:tblGrid>
      <w:tr w:rsidR="00EF1D74" w:rsidRPr="00EF1D74" w:rsidTr="0057436F">
        <w:trPr>
          <w:jc w:val="center"/>
        </w:trPr>
        <w:tc>
          <w:tcPr>
            <w:tcW w:w="4086" w:type="dxa"/>
          </w:tcPr>
          <w:p w:rsidR="00EF1D74" w:rsidRPr="00EF1D74" w:rsidRDefault="00EF1D74" w:rsidP="00EF1D74">
            <w:pPr>
              <w:ind w:firstLine="0"/>
              <w:jc w:val="left"/>
            </w:pPr>
            <w:r w:rsidRPr="00EF1D74">
              <w:rPr>
                <w:noProof/>
                <w:lang w:eastAsia="lv-LV"/>
              </w:rPr>
              <w:drawing>
                <wp:inline distT="0" distB="0" distL="0" distR="0" wp14:anchorId="0C9F5B59" wp14:editId="58801582">
                  <wp:extent cx="2809875" cy="21812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220" w:type="dxa"/>
          </w:tcPr>
          <w:p w:rsidR="00EF1D74" w:rsidRPr="00EF1D74" w:rsidRDefault="00EF1D74" w:rsidP="00EF1D74">
            <w:pPr>
              <w:ind w:firstLine="0"/>
              <w:jc w:val="left"/>
            </w:pPr>
            <w:r w:rsidRPr="00EF1D74">
              <w:rPr>
                <w:noProof/>
                <w:lang w:eastAsia="lv-LV"/>
              </w:rPr>
              <w:drawing>
                <wp:inline distT="0" distB="0" distL="0" distR="0" wp14:anchorId="44C61490" wp14:editId="7E0FA735">
                  <wp:extent cx="2828925" cy="22098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EF1D74" w:rsidRPr="00EF1D74" w:rsidRDefault="00EF1D74" w:rsidP="00EF1D74">
      <w:pPr>
        <w:spacing w:before="60"/>
        <w:ind w:firstLine="720"/>
        <w:rPr>
          <w:rFonts w:eastAsia="Calibri"/>
          <w:szCs w:val="24"/>
        </w:rPr>
      </w:pPr>
      <w:r w:rsidRPr="00EF1D74">
        <w:rPr>
          <w:rFonts w:eastAsia="Calibri"/>
          <w:szCs w:val="24"/>
        </w:rPr>
        <w:t xml:space="preserve">Latvijas un arī pasaules ekonomiskās attīstības sniegums šogad galvenokārt ir pakļauts Covid-19, kas Latvijas ekonomiku negatīvi ietekmē jau kopš pirmā ceturkšņa beigām, taču smagākie ekonomiskās aktivitātes zaudējumi tika piedzīvoti aprīlī un maijā. Un, lai arī jaunākie ekonomiku raksturojošie rādītāji apstiprina, ka ekonomikas izaugsme no krīzes zemākā punkta ir visai spēcīgi atsākusies un trešajā un ceturtajā ceturksnī ekonomikas samazinājums gada griezumā būs būtiski mazāks nekā otrajā ceturksnī, attīstības perspektīvas ir joprojām neskaidras un nenoteiktība ir salīdzinoši augsta. EK veidotais ESI indekss gan Latvijā, gan ES kopumā, septembrī ir paaugstinājies jau piekto mēnesi pēc kārtas, lai gan joprojām vēl nav </w:t>
      </w:r>
      <w:r w:rsidRPr="00EF1D74">
        <w:rPr>
          <w:rFonts w:eastAsia="Calibri"/>
          <w:szCs w:val="24"/>
        </w:rPr>
        <w:lastRenderedPageBreak/>
        <w:t xml:space="preserve">atgriezies ilgtermiņa vidējā līmenī (1.6. attēls). Vasaras nogalē atkal būtiski pieauguši ar </w:t>
      </w:r>
      <w:proofErr w:type="spellStart"/>
      <w:r w:rsidRPr="00EF1D74">
        <w:rPr>
          <w:rFonts w:eastAsia="Calibri"/>
          <w:szCs w:val="24"/>
        </w:rPr>
        <w:t>koronavīrusa</w:t>
      </w:r>
      <w:proofErr w:type="spellEnd"/>
      <w:r w:rsidRPr="00EF1D74">
        <w:rPr>
          <w:rFonts w:eastAsia="Calibri"/>
          <w:szCs w:val="24"/>
        </w:rPr>
        <w:t xml:space="preserve"> izplatību saistītie riski, vīrusa infekcijas gadījumiem strauji augot, īpaši Eiropas valstīs, tajā skaitā arī Latvijas kaimiņvalstīs, un sekmīga vīrusa ierobežošana arī turpmāk būs galvenais faktors, no kā būs atkarīga Latvijas ekonomikas attīstība tuvāko mēnešu un ceturkšņu laikā.</w:t>
      </w:r>
    </w:p>
    <w:p w:rsidR="00EF1D74" w:rsidRPr="00EF1D74" w:rsidRDefault="00EF1D74" w:rsidP="00EF1D74">
      <w:pPr>
        <w:spacing w:after="0"/>
        <w:ind w:firstLine="0"/>
        <w:jc w:val="center"/>
        <w:rPr>
          <w:b/>
          <w:szCs w:val="24"/>
        </w:rPr>
      </w:pPr>
      <w:r w:rsidRPr="00EF1D74">
        <w:rPr>
          <w:b/>
          <w:i/>
          <w:szCs w:val="24"/>
        </w:rPr>
        <w:t xml:space="preserve">1.6. attēls </w:t>
      </w:r>
      <w:r w:rsidRPr="00EF1D74">
        <w:rPr>
          <w:b/>
          <w:szCs w:val="24"/>
        </w:rPr>
        <w:t>ES-27 un Latvijas ekonomiskā sentimenta indekss</w:t>
      </w:r>
    </w:p>
    <w:p w:rsidR="00EF1D74" w:rsidRPr="00EF1D74" w:rsidRDefault="00EF1D74" w:rsidP="00EF1D74">
      <w:pPr>
        <w:spacing w:before="60" w:after="60"/>
        <w:ind w:firstLine="0"/>
        <w:jc w:val="center"/>
        <w:rPr>
          <w:rFonts w:eastAsia="Calibri"/>
          <w:sz w:val="28"/>
        </w:rPr>
      </w:pPr>
      <w:r w:rsidRPr="00EF1D74">
        <w:rPr>
          <w:rFonts w:eastAsia="Calibri"/>
          <w:noProof/>
          <w:szCs w:val="24"/>
          <w:lang w:eastAsia="lv-LV"/>
        </w:rPr>
        <w:drawing>
          <wp:inline distT="0" distB="0" distL="0" distR="0" wp14:anchorId="398EA6B9" wp14:editId="309ED476">
            <wp:extent cx="5274310" cy="2650490"/>
            <wp:effectExtent l="0" t="0" r="2540" b="1651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1D74" w:rsidRPr="00EF1D74" w:rsidRDefault="00EF1D74" w:rsidP="00EF1D74">
      <w:pPr>
        <w:keepNext/>
        <w:keepLines/>
        <w:spacing w:before="240" w:after="240"/>
        <w:ind w:firstLine="0"/>
        <w:jc w:val="center"/>
        <w:outlineLvl w:val="2"/>
        <w:rPr>
          <w:b/>
          <w:bCs/>
          <w:sz w:val="32"/>
          <w:szCs w:val="32"/>
        </w:rPr>
      </w:pPr>
      <w:r w:rsidRPr="00EF1D74">
        <w:rPr>
          <w:b/>
          <w:bCs/>
          <w:sz w:val="32"/>
          <w:szCs w:val="32"/>
        </w:rPr>
        <w:t>1.2.2. Tautsaimniecības nozaru attīstība</w:t>
      </w:r>
    </w:p>
    <w:p w:rsidR="00EF1D74" w:rsidRPr="00EF1D74" w:rsidRDefault="00EF1D74" w:rsidP="00EF1D74">
      <w:pPr>
        <w:ind w:firstLine="720"/>
        <w:rPr>
          <w:rFonts w:eastAsia="Calibri"/>
          <w:szCs w:val="24"/>
        </w:rPr>
      </w:pPr>
      <w:r w:rsidRPr="00EF1D74">
        <w:rPr>
          <w:rFonts w:eastAsia="Calibri"/>
          <w:szCs w:val="24"/>
        </w:rPr>
        <w:t>Pievienotās vērtības struktūrā rūpniecība 2019. gadā veidoja 15,4%, tādējādi ierindojoties kā viena no lielākajām Latvijas tautsaimniecības nozarēm. Pērn salīdzinājumā ar 2018. gadu rūpniecības īpatsvars samazinājās par 0,2 procentpunktiem, ko noteica spēcīgāka izaugsme citās nozarēs, kamēr pieaugums rūpniecībā bija zems. Apstrādes rūpniecība veido nedaudz vairāk kā 80% no rūpniecībā saražotās pievienotās vērtības, savukārt pārējo rada ieguves rūpniecība un karjeru izstrāde (3,2%), elektroenerģijas un gāzes apgāde (9,3%), kā arī ūdens apgāde (5,2%).</w:t>
      </w:r>
    </w:p>
    <w:p w:rsidR="00EF1D74" w:rsidRPr="00EF1D74" w:rsidRDefault="00EF1D74" w:rsidP="00EF1D74">
      <w:pPr>
        <w:ind w:firstLine="720"/>
        <w:rPr>
          <w:rFonts w:eastAsia="Calibri"/>
          <w:szCs w:val="24"/>
        </w:rPr>
      </w:pPr>
      <w:r w:rsidRPr="00EF1D74">
        <w:rPr>
          <w:rFonts w:eastAsia="Calibri"/>
          <w:szCs w:val="24"/>
        </w:rPr>
        <w:t>Rūpniecībai ir svarīga nozīme darba tirgū, 2019. gadā nodrošinot darba vietas 134,4 tūkst. cilvēku, no kuriem izteikti lielākā daļa jeb 115,1 tūkst. bija nodarbināti tieši apstrādes rūpniecībā. Rūpniecībā pērn bija nodarbināti 14,6% no visu nodarbināto iedzīvotāju skaita valsts tautsaimniecībā. Tomēr jau trešo gadu pēc kārtas nodarbināto skaits rūpniecībā samazinās, un 2019. gadā nozarē strādājošo skaits bija par 4,1% zemāks nekā pirms gada. Tā kā rūpniecībā radītā pievienotā vērtība pieaug, bet strādājošo skaits samazinājās, nozarē strauji pieaug produktivitāte – 2019. gadā salīdzinājumā ar iepriekšējo gadu pievienotā vērtība nozarē uz nodarbināto palielinājās par 5,4%, kā rezultātā nozare uzrāda augstāko produktivitātes līmeni pēdējā desmitgadē.</w:t>
      </w:r>
    </w:p>
    <w:p w:rsidR="00EF1D74" w:rsidRPr="00EF1D74" w:rsidRDefault="00EF1D74" w:rsidP="00EF1D74">
      <w:pPr>
        <w:ind w:firstLine="720"/>
        <w:rPr>
          <w:rFonts w:eastAsia="Calibri"/>
          <w:szCs w:val="24"/>
        </w:rPr>
      </w:pPr>
      <w:r w:rsidRPr="00EF1D74">
        <w:rPr>
          <w:rFonts w:eastAsia="Calibri"/>
          <w:szCs w:val="24"/>
        </w:rPr>
        <w:t xml:space="preserve">Pērn rūpniecībā tika reģistrēta vāja izaugsme, salīdzinājumā ar 2018. gadu ražošanas apjomiem palielinoties vien par 1,0% (salīdzināmās cenās). Tik zemu nozares izaugsmi noteica sarukums ieguves rūpniecībā, kā arī elektroenerģijas un gāzes apgādes apjomu kritums. Savukārt apstrādes rūpniecība 2019. gadā uzrādīja mērenu pieaugumu, ražošanas apjomiem palielinoties par 2,1%. Lielākajā apstrādes rūpniecības </w:t>
      </w:r>
      <w:proofErr w:type="spellStart"/>
      <w:r w:rsidRPr="00EF1D74">
        <w:rPr>
          <w:rFonts w:eastAsia="Calibri"/>
          <w:szCs w:val="24"/>
        </w:rPr>
        <w:t>apakšnozarē</w:t>
      </w:r>
      <w:proofErr w:type="spellEnd"/>
      <w:r w:rsidRPr="00EF1D74">
        <w:rPr>
          <w:rFonts w:eastAsia="Calibri"/>
          <w:szCs w:val="24"/>
        </w:rPr>
        <w:t xml:space="preserve">, kokrūpniecībā, pērn ražošanas apjomi saglabājās iepriekšējā gada līmenī, un pārtikas produktu ražošanā tika reģistrēts neliels izlaides sarukums (-1,0%). Tajā pašā laikā, neskatoties uz pasaules ekonomiskās izaugsmes sabremzēšanos, vairākas uz eksportu orientētas apstrādes rūpniecības </w:t>
      </w:r>
      <w:proofErr w:type="spellStart"/>
      <w:r w:rsidRPr="00EF1D74">
        <w:rPr>
          <w:rFonts w:eastAsia="Calibri"/>
          <w:szCs w:val="24"/>
        </w:rPr>
        <w:lastRenderedPageBreak/>
        <w:t>apakšnozares</w:t>
      </w:r>
      <w:proofErr w:type="spellEnd"/>
      <w:r w:rsidRPr="00EF1D74">
        <w:rPr>
          <w:rFonts w:eastAsia="Calibri"/>
          <w:szCs w:val="24"/>
        </w:rPr>
        <w:t xml:space="preserve">, īpaši metālapstrāde un elektrisko iekārtu ražošanas </w:t>
      </w:r>
      <w:proofErr w:type="spellStart"/>
      <w:r w:rsidRPr="00EF1D74">
        <w:rPr>
          <w:rFonts w:eastAsia="Calibri"/>
          <w:szCs w:val="24"/>
        </w:rPr>
        <w:t>apakšnozare</w:t>
      </w:r>
      <w:proofErr w:type="spellEnd"/>
      <w:r w:rsidRPr="00EF1D74">
        <w:rPr>
          <w:rFonts w:eastAsia="Calibri"/>
          <w:szCs w:val="24"/>
        </w:rPr>
        <w:t xml:space="preserve">, pērn uzrādījušas visai spēcīgus izaugsmes tempus. </w:t>
      </w:r>
    </w:p>
    <w:p w:rsidR="00EF1D74" w:rsidRPr="00EF1D74" w:rsidRDefault="00EF1D74" w:rsidP="00EF1D74">
      <w:pPr>
        <w:ind w:firstLine="720"/>
        <w:rPr>
          <w:rFonts w:eastAsia="Calibri"/>
          <w:szCs w:val="24"/>
        </w:rPr>
      </w:pPr>
      <w:r w:rsidRPr="00EF1D74">
        <w:rPr>
          <w:rFonts w:eastAsia="Calibri"/>
          <w:szCs w:val="24"/>
        </w:rPr>
        <w:t>Savukārt šogad rūpniecības attīstības tendences pasliktinājās, un 2020. gada pirmajos septiņos mēnešos nozarē reģistrēts apjomu kritums par 3,2% (1.7. attēls), ko pamatā noteica apstrādes rūpniecības izlaides samazinājums par 3,5%. Tāpat, kritumu uzrādīja elektroenerģijas un gāzes apgādes apjomi – arī par 3,5%, ko noteica straujais saražotās elektroenerģijas apjomu sarukums koģenerācijas stacijās (-32,3%), kamēr hidroelektrostacijās saražotās enerģijas apjomi septiņos mēnešos bija vairāk nekā uz pusi augstāki nekā pērn. Tikmēr ieguves rūpniecībā šā gada janvārī-jūlijā, salīdzinot ar pērnā gada attiecīgo laika periodu, reģistrēts apjomu kāpums par 4,9%.</w:t>
      </w:r>
    </w:p>
    <w:p w:rsidR="00EF1D74" w:rsidRPr="00EF1D74" w:rsidRDefault="00EF1D74" w:rsidP="00EF1D74">
      <w:pPr>
        <w:spacing w:before="120" w:after="0"/>
        <w:ind w:firstLine="0"/>
        <w:jc w:val="center"/>
        <w:rPr>
          <w:rFonts w:eastAsia="Calibri"/>
          <w:b/>
          <w:szCs w:val="24"/>
        </w:rPr>
      </w:pPr>
      <w:r w:rsidRPr="00EF1D74">
        <w:rPr>
          <w:rFonts w:eastAsia="Calibri"/>
          <w:b/>
          <w:i/>
          <w:szCs w:val="24"/>
        </w:rPr>
        <w:t xml:space="preserve">1.7. attēls </w:t>
      </w:r>
      <w:r w:rsidRPr="00EF1D74">
        <w:rPr>
          <w:rFonts w:eastAsia="Calibri"/>
          <w:b/>
          <w:szCs w:val="24"/>
        </w:rPr>
        <w:t>Rūpniecības</w:t>
      </w:r>
      <w:r w:rsidRPr="00EF1D74">
        <w:rPr>
          <w:b/>
          <w:szCs w:val="24"/>
        </w:rPr>
        <w:t xml:space="preserve"> </w:t>
      </w:r>
      <w:r w:rsidRPr="00EF1D74">
        <w:rPr>
          <w:rFonts w:eastAsia="Calibri"/>
          <w:b/>
          <w:szCs w:val="24"/>
        </w:rPr>
        <w:t>produkcijas apjoma indekss (sezonāli izlīdzināti dati), 2015 = 100</w:t>
      </w:r>
    </w:p>
    <w:p w:rsidR="00EF1D74" w:rsidRPr="00EF1D74" w:rsidRDefault="00EF1D74" w:rsidP="00EF1D74">
      <w:pPr>
        <w:spacing w:before="60" w:after="60"/>
        <w:ind w:firstLine="0"/>
        <w:jc w:val="center"/>
        <w:rPr>
          <w:rFonts w:eastAsia="Calibri"/>
          <w:szCs w:val="24"/>
        </w:rPr>
      </w:pPr>
      <w:r w:rsidRPr="00EF1D74">
        <w:rPr>
          <w:rFonts w:eastAsia="Calibri"/>
          <w:noProof/>
          <w:szCs w:val="24"/>
          <w:lang w:eastAsia="lv-LV"/>
        </w:rPr>
        <w:drawing>
          <wp:inline distT="0" distB="0" distL="0" distR="0" wp14:anchorId="584970C2" wp14:editId="14779DAB">
            <wp:extent cx="5274310" cy="2726055"/>
            <wp:effectExtent l="0" t="0" r="254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t xml:space="preserve">Apstrādes rūpniecības izlaides struktūra (1.8. attēls) parāda, ka lielākā </w:t>
      </w:r>
      <w:proofErr w:type="spellStart"/>
      <w:r w:rsidRPr="00EF1D74">
        <w:rPr>
          <w:rFonts w:eastAsia="Calibri"/>
          <w:szCs w:val="24"/>
        </w:rPr>
        <w:t>apakšnozare</w:t>
      </w:r>
      <w:proofErr w:type="spellEnd"/>
      <w:r w:rsidRPr="00EF1D74">
        <w:rPr>
          <w:rFonts w:eastAsia="Calibri"/>
          <w:szCs w:val="24"/>
        </w:rPr>
        <w:t xml:space="preserve"> ir kokrūpniecība, taču pērn, kokapstrādes izlaides apjomiem saglabājoties iepriekšējā gada līmenī un straujāk augot citām </w:t>
      </w:r>
      <w:proofErr w:type="spellStart"/>
      <w:r w:rsidRPr="00EF1D74">
        <w:rPr>
          <w:rFonts w:eastAsia="Calibri"/>
          <w:szCs w:val="24"/>
        </w:rPr>
        <w:t>apakšnozarēm</w:t>
      </w:r>
      <w:proofErr w:type="spellEnd"/>
      <w:r w:rsidRPr="00EF1D74">
        <w:rPr>
          <w:rFonts w:eastAsia="Calibri"/>
          <w:szCs w:val="24"/>
        </w:rPr>
        <w:t>, tās īpatsvars, salīdzinot ar 2018. gadu, ir samazinājies par 1,5 procentpunktu.</w:t>
      </w:r>
    </w:p>
    <w:p w:rsidR="00EF1D74" w:rsidRPr="00EF1D74" w:rsidRDefault="00EF1D74" w:rsidP="00EF1D74">
      <w:pPr>
        <w:spacing w:before="120" w:after="0"/>
        <w:ind w:firstLine="0"/>
        <w:jc w:val="center"/>
        <w:rPr>
          <w:b/>
          <w:szCs w:val="24"/>
        </w:rPr>
      </w:pPr>
      <w:r w:rsidRPr="00EF1D74">
        <w:rPr>
          <w:b/>
          <w:i/>
          <w:szCs w:val="24"/>
        </w:rPr>
        <w:t xml:space="preserve">1.8. attēls </w:t>
      </w:r>
      <w:r w:rsidRPr="00EF1D74">
        <w:rPr>
          <w:b/>
          <w:szCs w:val="24"/>
        </w:rPr>
        <w:t xml:space="preserve">Apstrādes rūpniecības nozaru izlaides struktūra 2019. gadā </w:t>
      </w:r>
    </w:p>
    <w:p w:rsidR="00EF1D74" w:rsidRPr="00EF1D74" w:rsidRDefault="00EF1D74" w:rsidP="00EF1D74">
      <w:pPr>
        <w:ind w:firstLine="0"/>
        <w:jc w:val="center"/>
        <w:rPr>
          <w:b/>
          <w:szCs w:val="24"/>
        </w:rPr>
      </w:pPr>
      <w:r w:rsidRPr="00EF1D74">
        <w:rPr>
          <w:b/>
          <w:szCs w:val="24"/>
        </w:rPr>
        <w:t>(faktiskajās cenās, %)</w:t>
      </w:r>
    </w:p>
    <w:p w:rsidR="00EF1D74" w:rsidRPr="00EF1D74" w:rsidRDefault="00EF1D74" w:rsidP="00EF1D74">
      <w:pPr>
        <w:spacing w:before="60" w:after="60"/>
        <w:ind w:firstLine="0"/>
        <w:jc w:val="center"/>
        <w:rPr>
          <w:rFonts w:eastAsia="Calibri"/>
          <w:szCs w:val="24"/>
        </w:rPr>
      </w:pPr>
      <w:r w:rsidRPr="00EF1D74">
        <w:rPr>
          <w:rFonts w:eastAsia="Calibri"/>
          <w:noProof/>
          <w:szCs w:val="24"/>
          <w:lang w:eastAsia="lv-LV"/>
        </w:rPr>
        <w:drawing>
          <wp:inline distT="0" distB="0" distL="0" distR="0" wp14:anchorId="4BE85EC5" wp14:editId="2C888781">
            <wp:extent cx="5238750" cy="28575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lastRenderedPageBreak/>
        <w:t xml:space="preserve">Otra lielākā </w:t>
      </w:r>
      <w:proofErr w:type="spellStart"/>
      <w:r w:rsidRPr="00EF1D74">
        <w:rPr>
          <w:rFonts w:eastAsia="Calibri"/>
          <w:szCs w:val="24"/>
        </w:rPr>
        <w:t>apakšnozare</w:t>
      </w:r>
      <w:proofErr w:type="spellEnd"/>
      <w:r w:rsidRPr="00EF1D74">
        <w:rPr>
          <w:rFonts w:eastAsia="Calibri"/>
          <w:szCs w:val="24"/>
        </w:rPr>
        <w:t xml:space="preserve"> ir pārtikas produktu un dzērienu ražošana, no kā izteikti lielāko daļu jeb 19,2% veido pārtika, kuras īpatsvars gada laikā nedaudz palielinājās – par 0,3 procentpunktiem. Citas salīdzinoši lielas apstrādes rūpniecības </w:t>
      </w:r>
      <w:proofErr w:type="spellStart"/>
      <w:r w:rsidRPr="00EF1D74">
        <w:rPr>
          <w:rFonts w:eastAsia="Calibri"/>
          <w:szCs w:val="24"/>
        </w:rPr>
        <w:t>apakšnozares</w:t>
      </w:r>
      <w:proofErr w:type="spellEnd"/>
      <w:r w:rsidRPr="00EF1D74">
        <w:rPr>
          <w:rFonts w:eastAsia="Calibri"/>
          <w:szCs w:val="24"/>
        </w:rPr>
        <w:t xml:space="preserve"> ir gatavo metālizstrādājumu un nemetālisko minerālu izstrādājumu ražošana, kuras veido attiecīgi 8,0% un 5,8%. Pozitīvi, ka piektā lielākā Latvijas apstrādes rūpniecības </w:t>
      </w:r>
      <w:proofErr w:type="spellStart"/>
      <w:r w:rsidRPr="00EF1D74">
        <w:rPr>
          <w:rFonts w:eastAsia="Calibri"/>
          <w:szCs w:val="24"/>
        </w:rPr>
        <w:t>apakšnozare</w:t>
      </w:r>
      <w:proofErr w:type="spellEnd"/>
      <w:r w:rsidRPr="00EF1D74">
        <w:rPr>
          <w:rFonts w:eastAsia="Calibri"/>
          <w:szCs w:val="24"/>
        </w:rPr>
        <w:t xml:space="preserve"> ir datoru, elektronisko un optisko iekārtu ražošana, kurā tiek ražoti augstas pievienotās vērtības produkti, un tās īpatsvars apstrādes rūpniecības izlaides struktūrā pērn, salīdzinot ar iepriekšējo gadu, pieaudzis par 0,4 procentpunktiem.</w:t>
      </w:r>
    </w:p>
    <w:p w:rsidR="00EF1D74" w:rsidRPr="00EF1D74" w:rsidRDefault="00EF1D74" w:rsidP="00EF1D74">
      <w:pPr>
        <w:spacing w:before="120"/>
        <w:ind w:firstLine="720"/>
        <w:rPr>
          <w:rFonts w:eastAsia="Calibri"/>
          <w:szCs w:val="24"/>
        </w:rPr>
      </w:pPr>
      <w:r w:rsidRPr="00EF1D74">
        <w:rPr>
          <w:rFonts w:eastAsia="Calibri"/>
          <w:szCs w:val="24"/>
        </w:rPr>
        <w:t xml:space="preserve">Apstrādes rūpniecības izlaides kritumu šogad noteica ne tikai Covid-19 krīze, bet arī gada pirmajos mēnešos reģistrētais ražošanas apjomu samazinājums kokrūpniecībā saistībā ar pērnā gada bāzes efektiem, kā arī apjomu kritums atsevišķās mašīnbūves </w:t>
      </w:r>
      <w:proofErr w:type="spellStart"/>
      <w:r w:rsidRPr="00EF1D74">
        <w:rPr>
          <w:rFonts w:eastAsia="Calibri"/>
          <w:szCs w:val="24"/>
        </w:rPr>
        <w:t>apakšnozarēs</w:t>
      </w:r>
      <w:proofErr w:type="spellEnd"/>
      <w:r w:rsidRPr="00EF1D74">
        <w:rPr>
          <w:rFonts w:eastAsia="Calibri"/>
          <w:szCs w:val="24"/>
        </w:rPr>
        <w:t xml:space="preserve"> saistībā ar ārējā pieprasījuma vājināšanos. Tādējādi 2020. gada pirmajos septiņos mēnešos apstrādes rūpniecības izlaide bijusi par 3,5% zemāka nekā pirms gada (1.9. attēls). Straujākais ražošanas apjomu kritums tika reģistrēts aprīlī, kad gada griezumā apstrādes rūpniecības izlaide, reaģējot uz Covid-19 straujo izplatību, bija samazinājusies par 8,9%, kam sekoja ražošanas apjomu kritums par 7,0% maijā. Jūnijā, kad Covid-19 slimība uzrādīja atkāpšanās pazīmes, saslimstības rādītāji bija kļuvuši ievērojami zemāki un Latvijā, kā arī lielā daļā tirdzniecības partnervalstu Covid-19 izplatības ierobežošanai paredzētie pasākumi tika būtiski mīkstināti, apstrādes rūpniecības izlaide samazinājās vairs tikai par 2,3% un jau jūlijā nozarē tika reģistrēta neliela izaugsme – par 1,8%, ko noteica negaidīti spēcīgs ražošanas apjomu kāpums kokrūpniecībā. </w:t>
      </w:r>
    </w:p>
    <w:p w:rsidR="00EF1D74" w:rsidRPr="00EF1D74" w:rsidRDefault="00EF1D74" w:rsidP="00EF1D74">
      <w:pPr>
        <w:tabs>
          <w:tab w:val="left" w:pos="3686"/>
        </w:tabs>
        <w:spacing w:after="0"/>
        <w:ind w:firstLine="0"/>
        <w:jc w:val="center"/>
        <w:rPr>
          <w:b/>
          <w:szCs w:val="24"/>
        </w:rPr>
      </w:pPr>
      <w:r w:rsidRPr="00EF1D74">
        <w:rPr>
          <w:b/>
          <w:i/>
          <w:szCs w:val="24"/>
        </w:rPr>
        <w:t>1.9. attēls</w:t>
      </w:r>
      <w:r w:rsidRPr="00EF1D74">
        <w:rPr>
          <w:b/>
          <w:szCs w:val="24"/>
        </w:rPr>
        <w:t xml:space="preserve"> Rūpniecības nozaru izlaides apjoma izmaiņas 2019. gadā un 2020. g. septiņos mēnešos, salīdzinot ar iepriekšējā gada attiecīgo laika periodu (kalendāri izlīdzināti dati,%)</w:t>
      </w:r>
    </w:p>
    <w:p w:rsidR="00EF1D74" w:rsidRPr="00EF1D74" w:rsidRDefault="00EF1D74" w:rsidP="00EF1D74">
      <w:pPr>
        <w:tabs>
          <w:tab w:val="left" w:pos="3686"/>
        </w:tabs>
        <w:spacing w:before="60" w:after="60" w:line="259" w:lineRule="auto"/>
        <w:ind w:firstLine="0"/>
        <w:jc w:val="center"/>
        <w:rPr>
          <w:rFonts w:eastAsia="Calibri"/>
          <w:szCs w:val="24"/>
        </w:rPr>
      </w:pPr>
      <w:r w:rsidRPr="00EF1D74">
        <w:rPr>
          <w:rFonts w:eastAsia="Calibri"/>
          <w:noProof/>
          <w:szCs w:val="24"/>
          <w:lang w:eastAsia="lv-LV"/>
        </w:rPr>
        <w:drawing>
          <wp:anchor distT="0" distB="0" distL="114300" distR="114300" simplePos="0" relativeHeight="251659264" behindDoc="0" locked="0" layoutInCell="1" allowOverlap="1" wp14:anchorId="0CC334D6" wp14:editId="37CEA878">
            <wp:simplePos x="1143000" y="1362075"/>
            <wp:positionH relativeFrom="column">
              <wp:align>left</wp:align>
            </wp:positionH>
            <wp:positionV relativeFrom="paragraph">
              <wp:align>top</wp:align>
            </wp:positionV>
            <wp:extent cx="5274310" cy="2886075"/>
            <wp:effectExtent l="0" t="0" r="2540"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EF1D74" w:rsidRPr="00EF1D74" w:rsidRDefault="00EF1D74" w:rsidP="00EF1D74">
      <w:pPr>
        <w:spacing w:before="120"/>
        <w:ind w:firstLine="720"/>
        <w:rPr>
          <w:rFonts w:eastAsia="Calibri"/>
          <w:szCs w:val="24"/>
        </w:rPr>
      </w:pPr>
      <w:r w:rsidRPr="00EF1D74">
        <w:rPr>
          <w:rFonts w:eastAsia="Calibri"/>
          <w:szCs w:val="24"/>
        </w:rPr>
        <w:t xml:space="preserve">Šā gada septiņos mēnešos kopā apjomu samazinājumu uzrādījušas gandrīz vai visas apstrādes rūpniecības </w:t>
      </w:r>
      <w:proofErr w:type="spellStart"/>
      <w:r w:rsidRPr="00EF1D74">
        <w:rPr>
          <w:rFonts w:eastAsia="Calibri"/>
          <w:szCs w:val="24"/>
        </w:rPr>
        <w:t>apakšnozares</w:t>
      </w:r>
      <w:proofErr w:type="spellEnd"/>
      <w:r w:rsidRPr="00EF1D74">
        <w:rPr>
          <w:rFonts w:eastAsia="Calibri"/>
          <w:szCs w:val="24"/>
        </w:rPr>
        <w:t xml:space="preserve">, taču lielāko negatīvo ietekmi uz nozares rezultātiem septiņos mēnešos radīja iekārtu un ierīču remonta un uzstādīšanas apjomu sarukums par 27,6% un automobiļu, piekabju un puspiekabju ražošanas samazināšanās par 25,1%, kur izlaides apjomi sāka kristies jau pērnā gada vidū. Līdzīgi kā automobiļu un piekabju ražošanā kopš 2019. gada jūnija ārējā pieprasījuma vājināšanās rezultātā samazinājušies arī iekārtu, mehānismu un darba mašīnu ražošanas apjomi, un 2020. gada septiņos mēnešos tie bija par 9,1% zemāki nekā pirms gada, lai gan tieši jūlijā </w:t>
      </w:r>
      <w:proofErr w:type="spellStart"/>
      <w:r w:rsidRPr="00EF1D74">
        <w:rPr>
          <w:rFonts w:eastAsia="Calibri"/>
          <w:szCs w:val="24"/>
        </w:rPr>
        <w:t>apakšnozarē</w:t>
      </w:r>
      <w:proofErr w:type="spellEnd"/>
      <w:r w:rsidRPr="00EF1D74">
        <w:rPr>
          <w:rFonts w:eastAsia="Calibri"/>
          <w:szCs w:val="24"/>
        </w:rPr>
        <w:t xml:space="preserve"> reģistrēts samērā spēcīgs apjomu pieaugums – par 11,9%. Mašīnbūvi veidojošajām </w:t>
      </w:r>
      <w:proofErr w:type="spellStart"/>
      <w:r w:rsidRPr="00EF1D74">
        <w:rPr>
          <w:rFonts w:eastAsia="Calibri"/>
          <w:szCs w:val="24"/>
        </w:rPr>
        <w:t>apakšnozarēm</w:t>
      </w:r>
      <w:proofErr w:type="spellEnd"/>
      <w:r w:rsidRPr="00EF1D74">
        <w:rPr>
          <w:rFonts w:eastAsia="Calibri"/>
          <w:szCs w:val="24"/>
        </w:rPr>
        <w:t xml:space="preserve"> īpaši svarīgs ir ārējā pieprasījuma noturīgums, jo vairāk nekā 80% no mašīnbūvē saražotās produkcijas tiek eksportēti. Tādējādi liela nozīme ir ekonomiskajai situācijai pasaulē, kura nebija spēcīga arī </w:t>
      </w:r>
      <w:r w:rsidRPr="00EF1D74">
        <w:rPr>
          <w:rFonts w:eastAsia="Calibri"/>
          <w:szCs w:val="24"/>
        </w:rPr>
        <w:lastRenderedPageBreak/>
        <w:t xml:space="preserve">pirms to negaidīti satricināja Covid-19 pandēmija. Kopš šā gada marta samazinās arī gatavo metālizstrādājumu ražošanas apjomi, un septiņos mēnešos kopā </w:t>
      </w:r>
      <w:proofErr w:type="spellStart"/>
      <w:r w:rsidRPr="00EF1D74">
        <w:rPr>
          <w:rFonts w:eastAsia="Calibri"/>
          <w:szCs w:val="24"/>
        </w:rPr>
        <w:t>apakšnozares</w:t>
      </w:r>
      <w:proofErr w:type="spellEnd"/>
      <w:r w:rsidRPr="00EF1D74">
        <w:rPr>
          <w:rFonts w:eastAsia="Calibri"/>
          <w:szCs w:val="24"/>
        </w:rPr>
        <w:t xml:space="preserve"> izlaide ir sarukusi par 4,2%. Iepriekšējos četrus gadus metālizstrādājumu ražošana bija uzrādījusi spēcīgu izaugsmi, ko 2016. un 2017. gadā noteica pieprasījuma pieaugums, savukārt 2018. un 2019. gadā, kad ārējā ekonomiskā vide jau bija pasliktinājusies, ārējais pieprasījums pēc metālapstrādes produkcijas joprojām saglabājās stabils. Jāatzīmē, ka 2/3 no gatavo metālizstrādājumu produkcijas tiek eksportētas. Būtiski ražošanas apjomu kritumi šogad reģistrēti vieglās rūpniecības </w:t>
      </w:r>
      <w:proofErr w:type="spellStart"/>
      <w:r w:rsidRPr="00EF1D74">
        <w:rPr>
          <w:rFonts w:eastAsia="Calibri"/>
          <w:szCs w:val="24"/>
        </w:rPr>
        <w:t>apakšnozarēs</w:t>
      </w:r>
      <w:proofErr w:type="spellEnd"/>
      <w:r w:rsidRPr="00EF1D74">
        <w:rPr>
          <w:rFonts w:eastAsia="Calibri"/>
          <w:szCs w:val="24"/>
        </w:rPr>
        <w:t>, tekstilizstrādājumu ražošanai septiņos mēnešos sarūkot par 12,9% un apģērbu ražošanai – par 13,3%. Par 7,3% samazinājās dzērienu ražošanas apjomi, ja tos salīdzina ar pērnā gada janvāra-jūlija līmeni.</w:t>
      </w:r>
    </w:p>
    <w:p w:rsidR="00EF1D74" w:rsidRPr="00EF1D74" w:rsidRDefault="00EF1D74" w:rsidP="00EF1D74">
      <w:pPr>
        <w:spacing w:before="60" w:after="60"/>
        <w:ind w:firstLine="720"/>
        <w:rPr>
          <w:rFonts w:eastAsia="Calibri"/>
          <w:szCs w:val="24"/>
        </w:rPr>
      </w:pPr>
      <w:r w:rsidRPr="00EF1D74">
        <w:rPr>
          <w:rFonts w:eastAsia="Calibri"/>
          <w:szCs w:val="24"/>
        </w:rPr>
        <w:t xml:space="preserve"> Lielāko apstrādes rūpniecības </w:t>
      </w:r>
      <w:proofErr w:type="spellStart"/>
      <w:r w:rsidRPr="00EF1D74">
        <w:rPr>
          <w:rFonts w:eastAsia="Calibri"/>
          <w:szCs w:val="24"/>
        </w:rPr>
        <w:t>apakšnozaru</w:t>
      </w:r>
      <w:proofErr w:type="spellEnd"/>
      <w:r w:rsidRPr="00EF1D74">
        <w:rPr>
          <w:rFonts w:eastAsia="Calibri"/>
          <w:szCs w:val="24"/>
        </w:rPr>
        <w:t xml:space="preserve"> izlaide 2020. gada septiņos mēnešos saglabājusies tuva iepriekšējā gada attiecīgā laika perioda līmenim. Kokrūpniecības </w:t>
      </w:r>
      <w:proofErr w:type="spellStart"/>
      <w:r w:rsidRPr="00EF1D74">
        <w:rPr>
          <w:rFonts w:eastAsia="Calibri"/>
          <w:szCs w:val="24"/>
        </w:rPr>
        <w:t>apakšnozarē</w:t>
      </w:r>
      <w:proofErr w:type="spellEnd"/>
      <w:r w:rsidRPr="00EF1D74">
        <w:rPr>
          <w:rFonts w:eastAsia="Calibri"/>
          <w:szCs w:val="24"/>
        </w:rPr>
        <w:t xml:space="preserve">, kurā šogad izaugsmes mēneši ir mijušies ar izlaides sarukumiem,  vidēji septiņos mēnešos  ražošanas apjomi bija nedaudz zem pagājušā gada izlaides līmeņa, tiem samazinoties vien par 0,2%. Kokrūpniecības nozari šogad negatīvi ietekmēja ne tikai Covid-19 izplatības sekas un noteiktie ierobežojumi noieta tirgos, bet arī straujš ražošanas apjomu kritums gada pirmajā mēnesī saistībā ar pērnā gada sākumā sasniegto augsto izlaides līmeni, kad </w:t>
      </w:r>
      <w:proofErr w:type="spellStart"/>
      <w:r w:rsidRPr="00EF1D74">
        <w:rPr>
          <w:rFonts w:eastAsia="Calibri"/>
          <w:i/>
          <w:szCs w:val="24"/>
        </w:rPr>
        <w:t>Brexit</w:t>
      </w:r>
      <w:proofErr w:type="spellEnd"/>
      <w:r w:rsidRPr="00EF1D74">
        <w:rPr>
          <w:rFonts w:eastAsia="Calibri"/>
          <w:szCs w:val="24"/>
        </w:rPr>
        <w:t xml:space="preserve"> gaidās nozīmīgas produkcijas piegādes tika izpildītas uz Apvienoto Karalisti. Savukārt šā gada jūlijā kokrūpniecībā tika reģistrēta ļoti spēcīga izaugsme, 12,5% apmērā, pateicoties kam apstrādes rūpniecībā pirmo reizi šogad tika reģistrēts apjomu pieaugums. </w:t>
      </w:r>
    </w:p>
    <w:p w:rsidR="00EF1D74" w:rsidRPr="00EF1D74" w:rsidRDefault="00EF1D74" w:rsidP="00EF1D74">
      <w:pPr>
        <w:spacing w:before="60" w:after="60"/>
        <w:ind w:firstLine="720"/>
        <w:rPr>
          <w:rFonts w:eastAsia="Calibri"/>
          <w:szCs w:val="24"/>
        </w:rPr>
      </w:pPr>
      <w:r w:rsidRPr="00EF1D74">
        <w:rPr>
          <w:rFonts w:eastAsia="Calibri"/>
          <w:szCs w:val="24"/>
        </w:rPr>
        <w:t>Pārtikas produktu ražošanas izmaiņu dinamika šogad bijusi visai vienmērīga, pieauguma vai krituma tempiem svārstoties ap nulli, izņemot aprīļa mēnesi, kad pārtikas produktu ražošanas apjomi gada griezumā saruka par 7,7%. Tā rezultātā septiņos mēnešos kopā saražotie pārtikas produktu apjomi bija par 1,0% zemāki nekā pirms gada. To galvenokārt noteica ražošanas apjomu sarukums zivrūpniecībā, kā arī gaļas un gaļas produktu ražošanā un pārstrādē. Tikmēr augļu un dārzeņu pārstrāde un konservēšana septiņos mēnešos uzrādījusi kāpumu un neliels pieaugums reģistrēts arī piena produktu ražošanā.</w:t>
      </w:r>
    </w:p>
    <w:p w:rsidR="00EF1D74" w:rsidRPr="00EF1D74" w:rsidRDefault="00EF1D74" w:rsidP="00EF1D74">
      <w:pPr>
        <w:spacing w:before="60" w:after="60"/>
        <w:ind w:firstLine="720"/>
        <w:rPr>
          <w:rFonts w:eastAsia="Calibri"/>
          <w:szCs w:val="24"/>
        </w:rPr>
      </w:pPr>
      <w:r w:rsidRPr="00EF1D74">
        <w:rPr>
          <w:rFonts w:eastAsia="Calibri"/>
          <w:szCs w:val="24"/>
        </w:rPr>
        <w:t xml:space="preserve">Tikmēr dažas apstrādes rūpniecības </w:t>
      </w:r>
      <w:proofErr w:type="spellStart"/>
      <w:r w:rsidRPr="00EF1D74">
        <w:rPr>
          <w:rFonts w:eastAsia="Calibri"/>
          <w:szCs w:val="24"/>
        </w:rPr>
        <w:t>apakšnozares</w:t>
      </w:r>
      <w:proofErr w:type="spellEnd"/>
      <w:r w:rsidRPr="00EF1D74">
        <w:rPr>
          <w:rFonts w:eastAsia="Calibri"/>
          <w:szCs w:val="24"/>
        </w:rPr>
        <w:t xml:space="preserve"> Covid-19 krīzi pārcietušas visai veiksmīgi. Tā, piemēram, pieaugot pieprasījumam pēc roku un virsmu dezinfekcijas līdzekļiem, ķīmisko vielu un produktu ražošanas apjomi 2020. gada septiņos mēnešos palielinājušies par 10,1%. Pieaugumu 4,5% apmērā uzrādīja elektrisko iekārtu ražošana par spīti sarežģījumiem ārējos tirgos, kas atspoguļojas citu mašīnbūves </w:t>
      </w:r>
      <w:proofErr w:type="spellStart"/>
      <w:r w:rsidRPr="00EF1D74">
        <w:rPr>
          <w:rFonts w:eastAsia="Calibri"/>
          <w:szCs w:val="24"/>
        </w:rPr>
        <w:t>apakšnozaru</w:t>
      </w:r>
      <w:proofErr w:type="spellEnd"/>
      <w:r w:rsidRPr="00EF1D74">
        <w:rPr>
          <w:rFonts w:eastAsia="Calibri"/>
          <w:szCs w:val="24"/>
        </w:rPr>
        <w:t xml:space="preserve"> datos, lai gan arī šeit pieauguma tempi ir kļuvuši vājāki, ja tos salīdzina ar 2019. gada rezultātiem. Apjomu kāpums 2020. gada pirmajos septiņos mēnešos tika reģistrēts arī papīra un papīra izstrādājumu ražošanā, kā arī poligrāfijā un ierakstu reproducēšanā – attiecīgi par 2,5% un 3,3%. </w:t>
      </w:r>
    </w:p>
    <w:p w:rsidR="00EF1D74" w:rsidRPr="00EF1D74" w:rsidRDefault="00EF1D74" w:rsidP="00EF1D74">
      <w:pPr>
        <w:spacing w:before="60" w:after="60"/>
        <w:ind w:firstLine="720"/>
        <w:rPr>
          <w:rFonts w:eastAsia="Calibri"/>
          <w:szCs w:val="24"/>
        </w:rPr>
      </w:pPr>
      <w:r w:rsidRPr="00EF1D74">
        <w:rPr>
          <w:rFonts w:eastAsia="Calibri"/>
          <w:szCs w:val="24"/>
        </w:rPr>
        <w:t>Pērn apstrādes rūpniecības produkcijas apgrozījums (faktiskajās cenās) salīdzinājumā ar 2018. gadu bija audzis par 3,4%, ko vairāk veicināja apgrozījuma pieaugums vietējā tirgū (+4,5%), kamēr produkcijas realizācija eksportā palielinājās lēnāk (+2,8%) (1.10. attēls). Ja vēl 2019. gada sākumā apstrādes rūpniecības apgrozījuma pieaugums vidēji bija tikpat spēcīgs kā iepriekšējos divus gadus – ap 10%, tad maijā izaugsmes tempi sākuši bremzēties. Arī šogad apstrādes rūpniecības produkcijas apgrozījuma pieauguma tempi bijuši vāji, turklāt no šā gada marta līdz jūnijam apgrozījums uzrādīja samazinājumu, kā rezultātā arī 2020. gada septiņos mēnešos kopā nozares apgrozījumā tika reģistrēts neliels kritums – par 0,4%. To noteica apgrozījuma sarukums vietējā tirgū – par 2,2%, kamēr eksportā apstrādes rūpniecības realizācija uzrādīja nelielu pieaugumu – par 0,5%.</w:t>
      </w:r>
    </w:p>
    <w:p w:rsidR="00EF1D74" w:rsidRPr="00EF1D74" w:rsidRDefault="00EF1D74" w:rsidP="00EF1D74">
      <w:pPr>
        <w:spacing w:before="60" w:after="60"/>
        <w:ind w:firstLine="720"/>
        <w:rPr>
          <w:rFonts w:eastAsia="Calibri"/>
          <w:szCs w:val="24"/>
        </w:rPr>
      </w:pPr>
    </w:p>
    <w:p w:rsidR="00EF1D74" w:rsidRPr="00EF1D74" w:rsidRDefault="00EF1D74" w:rsidP="00EF1D74">
      <w:pPr>
        <w:spacing w:before="60" w:after="60"/>
        <w:ind w:firstLine="720"/>
        <w:rPr>
          <w:rFonts w:eastAsia="Calibri"/>
          <w:szCs w:val="24"/>
        </w:rPr>
      </w:pPr>
    </w:p>
    <w:p w:rsidR="00EF1D74" w:rsidRPr="00EF1D74" w:rsidRDefault="00EF1D74" w:rsidP="00EF1D74">
      <w:pPr>
        <w:spacing w:before="60" w:after="60"/>
        <w:ind w:firstLine="720"/>
        <w:rPr>
          <w:rFonts w:eastAsia="Calibri"/>
          <w:szCs w:val="24"/>
        </w:rPr>
      </w:pPr>
    </w:p>
    <w:p w:rsidR="00EF1D74" w:rsidRPr="00EF1D74" w:rsidRDefault="00EF1D74" w:rsidP="00EF1D74">
      <w:pPr>
        <w:spacing w:before="60" w:after="60"/>
        <w:ind w:firstLine="720"/>
        <w:rPr>
          <w:rFonts w:eastAsia="Calibri"/>
          <w:szCs w:val="24"/>
        </w:rPr>
      </w:pPr>
    </w:p>
    <w:p w:rsidR="00EF1D74" w:rsidRPr="00EF1D74" w:rsidRDefault="00EF1D74" w:rsidP="00EF1D74">
      <w:pPr>
        <w:ind w:firstLine="0"/>
        <w:jc w:val="center"/>
        <w:rPr>
          <w:rFonts w:eastAsia="Calibri"/>
          <w:b/>
          <w:i/>
          <w:szCs w:val="24"/>
        </w:rPr>
      </w:pPr>
      <w:r w:rsidRPr="00EF1D74">
        <w:rPr>
          <w:rFonts w:eastAsia="Calibri"/>
          <w:b/>
          <w:i/>
          <w:szCs w:val="24"/>
        </w:rPr>
        <w:lastRenderedPageBreak/>
        <w:t xml:space="preserve">1.10. attēls </w:t>
      </w:r>
      <w:r w:rsidRPr="00EF1D74">
        <w:rPr>
          <w:rFonts w:eastAsia="Calibri"/>
          <w:b/>
          <w:szCs w:val="24"/>
        </w:rPr>
        <w:t>Apstrādes rūpniecības apgrozījuma pārmaiņas</w:t>
      </w:r>
      <w:r w:rsidRPr="00EF1D74">
        <w:rPr>
          <w:szCs w:val="24"/>
        </w:rPr>
        <w:t xml:space="preserve"> </w:t>
      </w:r>
      <w:r w:rsidRPr="00EF1D74">
        <w:rPr>
          <w:rFonts w:eastAsia="Calibri"/>
          <w:b/>
          <w:szCs w:val="24"/>
        </w:rPr>
        <w:t>pret iepriekšējā gada attiecīgo mēnesi (kalendāri izlīdzināti dati, %)</w:t>
      </w:r>
    </w:p>
    <w:p w:rsidR="00EF1D74" w:rsidRPr="00EF1D74" w:rsidRDefault="00EF1D74" w:rsidP="00EF1D74">
      <w:pPr>
        <w:spacing w:before="60" w:after="60"/>
        <w:ind w:firstLine="0"/>
        <w:jc w:val="center"/>
        <w:rPr>
          <w:rFonts w:eastAsia="Calibri"/>
          <w:szCs w:val="24"/>
        </w:rPr>
      </w:pPr>
      <w:r w:rsidRPr="00EF1D74">
        <w:rPr>
          <w:rFonts w:eastAsia="Calibri"/>
          <w:noProof/>
          <w:szCs w:val="24"/>
          <w:lang w:eastAsia="lv-LV"/>
        </w:rPr>
        <w:drawing>
          <wp:inline distT="0" distB="0" distL="0" distR="0" wp14:anchorId="0E21DC50" wp14:editId="440D9EF0">
            <wp:extent cx="5274310" cy="2449195"/>
            <wp:effectExtent l="0" t="0" r="254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t xml:space="preserve">Starp apstrādes rūpniecības </w:t>
      </w:r>
      <w:proofErr w:type="spellStart"/>
      <w:r w:rsidRPr="00EF1D74">
        <w:rPr>
          <w:rFonts w:eastAsia="Calibri"/>
          <w:szCs w:val="24"/>
        </w:rPr>
        <w:t>apakšnozarēm</w:t>
      </w:r>
      <w:proofErr w:type="spellEnd"/>
      <w:r w:rsidRPr="00EF1D74">
        <w:rPr>
          <w:rFonts w:eastAsia="Calibri"/>
          <w:szCs w:val="24"/>
        </w:rPr>
        <w:t xml:space="preserve"> apgrozījums šogad visstraujāk palielinājies ķīmisko vielu un ķīmisko produktu ražošanā – par 25,5% salīdzinājumā ar iepriekšējā gada janvāra-jūlija periodu, metālu ražošanā – par 24,2%, par 6,2% palielinājās gatavo metālizstrādājumu apgrozījums.  Tikmēr apgrozījuma kritums fiksēts automobiļu, piekabju un puspiekabju ražošanā – par 21,3% gada griezumā, iekārtu un ierīču remontā un uzstādīšanā – par 10,5%, apģērbu ražošanā – par 10,3%. Lielākās apstrādes rūpniecības </w:t>
      </w:r>
      <w:proofErr w:type="spellStart"/>
      <w:r w:rsidRPr="00EF1D74">
        <w:rPr>
          <w:rFonts w:eastAsia="Calibri"/>
          <w:szCs w:val="24"/>
        </w:rPr>
        <w:t>apakšnozares</w:t>
      </w:r>
      <w:proofErr w:type="spellEnd"/>
      <w:r w:rsidRPr="00EF1D74">
        <w:rPr>
          <w:rFonts w:eastAsia="Calibri"/>
          <w:szCs w:val="24"/>
        </w:rPr>
        <w:t>, t.i., kokrūpniecības, apgrozījums šā gada septiņos mēnešos ir sarucis par 4,3%, kamēr pārtikas produktu realizācija ir palielinājusies par 1,1%. Jāatzīmē, ka jūlijā negaidīti strauju pieaugumu uzrādīja apstrādes rūpniecības produkcijas apgrozījums eksportā – par 9,8% gada griezumā. To visbūtiskāk veicināja kokrūpniecības eksporta apgrozījuma kāpums, kā arī ķīmiskās rūpniecības produkcijas un mēbeļu eksporta pieaugums.</w:t>
      </w:r>
    </w:p>
    <w:p w:rsidR="00EF1D74" w:rsidRPr="00EF1D74" w:rsidRDefault="00EF1D74" w:rsidP="00EF1D74">
      <w:pPr>
        <w:spacing w:before="120"/>
        <w:ind w:firstLine="720"/>
        <w:rPr>
          <w:rFonts w:eastAsia="Calibri"/>
          <w:szCs w:val="24"/>
        </w:rPr>
      </w:pPr>
      <w:r w:rsidRPr="00EF1D74">
        <w:rPr>
          <w:rFonts w:eastAsia="Calibri"/>
          <w:szCs w:val="24"/>
        </w:rPr>
        <w:t xml:space="preserve">EK apkopotais ekonomiskās konfidences indekss kopš šā gada sākuma ir bijis ļoti svārstīgs - martā un aprīlī uzrādot būtisku kritumu, Latvijas apstrādes rūpniecības noskaņojums kopš maija ir uzrādījis uzlabojumus, pieaugot uzņēmēju vērtējumam par pasūtījumu apjomiem turpmākajos mēnešos, kā arī par gaidāmajām produkcijas cenu un nodarbinātības pārmaiņām. Tomēr augustā apstrādes rūpniecības konfidences indekss salīdzinājumā ar iepriekšējo mēnesi nedaudz samazinājās, norādot uz nozarē valdošo piesardzību, ko lielā mērā nosaka Covid-19 saslimstības rādītāju pieaugums Eiropā pēdējo nedēļu laikā un bažas par ierobežojumu pastiprināšanu tirdzniecības partnervalstīs, kas ietekmēs ārējo pieprasījumu un preču tirdzniecības plūsmu. </w:t>
      </w:r>
    </w:p>
    <w:p w:rsidR="00EF1D74" w:rsidRPr="00EF1D74" w:rsidRDefault="00EF1D74" w:rsidP="00EF1D74">
      <w:pPr>
        <w:spacing w:before="120"/>
        <w:ind w:firstLine="720"/>
        <w:rPr>
          <w:rFonts w:eastAsia="Calibri"/>
          <w:szCs w:val="24"/>
        </w:rPr>
      </w:pPr>
      <w:r w:rsidRPr="00EF1D74">
        <w:rPr>
          <w:rFonts w:eastAsia="Calibri"/>
          <w:szCs w:val="24"/>
        </w:rPr>
        <w:t xml:space="preserve">Uzņēmēju aptaujās ražotāji norādījuši, ka galvenais uzņēmējdarbību kavējošais faktors ir pieprasījuma trūkums – tā šā gada trešajā ceturksnī uzskatījuši 38,2% aptaujāto nozares pārstāvju, kas ir par 3,9 procentpunktiem augstāks līmenis nekā pirms gada. Covid-19 krīzes iespaidā daudzi uzņēmumi </w:t>
      </w:r>
      <w:proofErr w:type="spellStart"/>
      <w:r w:rsidRPr="00EF1D74">
        <w:rPr>
          <w:rFonts w:eastAsia="Calibri"/>
          <w:szCs w:val="24"/>
        </w:rPr>
        <w:t>saskārušies</w:t>
      </w:r>
      <w:proofErr w:type="spellEnd"/>
      <w:r w:rsidRPr="00EF1D74">
        <w:rPr>
          <w:rFonts w:eastAsia="Calibri"/>
          <w:szCs w:val="24"/>
        </w:rPr>
        <w:t xml:space="preserve"> ar apgrozāmo līdzekļu pieejamības un finanšu plūsmas problēmām, līdz ar to par finanšu grūtībām trešajā ceturksnī ziņojuši vairāk nekā četras reizes lielāks rūpnieku īpatsvars jeb 18,6% no aptaujātajiem ražotājiem. </w:t>
      </w:r>
    </w:p>
    <w:p w:rsidR="00EF1D74" w:rsidRPr="00EF1D74" w:rsidRDefault="00EF1D74" w:rsidP="00EF1D74">
      <w:pPr>
        <w:spacing w:before="120"/>
        <w:ind w:firstLine="720"/>
        <w:rPr>
          <w:rFonts w:eastAsia="Calibri"/>
          <w:szCs w:val="24"/>
        </w:rPr>
      </w:pPr>
      <w:r w:rsidRPr="00EF1D74">
        <w:rPr>
          <w:rFonts w:eastAsia="Calibri"/>
          <w:szCs w:val="24"/>
        </w:rPr>
        <w:t>Tajā pašā laikā strauji saruka to apstrādes rūpnieku īpatsvars, kuri atzinuši, ka uzņēmējdarbības izaugsmi kavē darbaspēka pieejamības problēmas – trešajā ceturksnī par to satraucās 7,4% aptaujāto ražotāju (salīdzinājumam – gadu iepriekš šis īpatsvars bija 27%). Tajā pašā laikā tikai 6,7% aptaujāto rūpnieku atzīmējuši materiālu un/vai atbilstošo iekārtu pieejamības problēmas, kas liecina vai nu par iepriekš veikto investīciju rezultātiem, vai atspoguļo pieprasījuma trūkuma sekas, savukārt 36,3% nesaskata ierobežojumus, veicot uzņēmējdarbību.</w:t>
      </w:r>
    </w:p>
    <w:p w:rsidR="00EF1D74" w:rsidRPr="00EF1D74" w:rsidRDefault="00EF1D74" w:rsidP="00EF1D74">
      <w:pPr>
        <w:spacing w:before="120"/>
        <w:ind w:firstLine="720"/>
        <w:rPr>
          <w:rFonts w:eastAsia="Calibri"/>
          <w:szCs w:val="24"/>
        </w:rPr>
      </w:pPr>
      <w:r w:rsidRPr="00EF1D74">
        <w:rPr>
          <w:rFonts w:eastAsia="Calibri"/>
          <w:szCs w:val="24"/>
        </w:rPr>
        <w:lastRenderedPageBreak/>
        <w:t>Šis gads apstrādes rūpniecībā ir sarežģīts un izaicinājumu pilns, tajā pašā laikā dati apstiprina, ka Latvijas ražotāji pārcietuši Covid-19 krīzi daudz veiksmīgāk nekā citas ES valstis, kur aprīlī un maijā ražošanas apjomi kritušies pat vairāk nekā par 20% un 2020. gada pirmajā pusgadā kopā ES vidēji apstrādes rūpniecībā reģistrēts ražošanas apjomu kritums par 13,2%. Turklāt 2020. gada otrajā ceturksnī apstrādes rūpniecības apjomu kritums Latvijā bija viens no zemākajiem ES (1.11. attēls).</w:t>
      </w:r>
    </w:p>
    <w:p w:rsidR="00EF1D74" w:rsidRPr="00EF1D74" w:rsidRDefault="00EF1D74" w:rsidP="00EF1D74">
      <w:pPr>
        <w:ind w:firstLine="0"/>
        <w:jc w:val="center"/>
        <w:rPr>
          <w:rFonts w:eastAsia="Calibri"/>
          <w:b/>
          <w:szCs w:val="24"/>
        </w:rPr>
      </w:pPr>
      <w:r w:rsidRPr="00EF1D74">
        <w:rPr>
          <w:rFonts w:eastAsia="Calibri"/>
          <w:b/>
          <w:i/>
          <w:szCs w:val="24"/>
        </w:rPr>
        <w:t xml:space="preserve">1.11. attēls </w:t>
      </w:r>
      <w:r w:rsidRPr="00EF1D74">
        <w:rPr>
          <w:rFonts w:eastAsia="Calibri"/>
          <w:b/>
          <w:szCs w:val="24"/>
        </w:rPr>
        <w:t>Apstrādes rūpniecības produkcijas apjoma pārmaiņas ES dalībvalstīs 2020. gada otrajā ceturksnī, salīdzinot ar 2019. gada otro ceturksni, % (kalendāri izlīdzināti dati)</w:t>
      </w:r>
    </w:p>
    <w:p w:rsidR="00EF1D74" w:rsidRPr="00EF1D74" w:rsidRDefault="00EF1D74" w:rsidP="00EF1D74">
      <w:pPr>
        <w:spacing w:after="160" w:line="259" w:lineRule="auto"/>
        <w:ind w:firstLine="0"/>
        <w:jc w:val="center"/>
        <w:rPr>
          <w:rFonts w:eastAsia="Calibri"/>
          <w:szCs w:val="24"/>
        </w:rPr>
      </w:pPr>
      <w:r w:rsidRPr="00EF1D74">
        <w:rPr>
          <w:rFonts w:eastAsia="Calibri"/>
          <w:noProof/>
          <w:szCs w:val="24"/>
          <w:lang w:eastAsia="lv-LV"/>
        </w:rPr>
        <w:drawing>
          <wp:inline distT="0" distB="0" distL="0" distR="0" wp14:anchorId="599727AA" wp14:editId="16D993BB">
            <wp:extent cx="5086350" cy="2363470"/>
            <wp:effectExtent l="0" t="0" r="0" b="1778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t>Savukārt turpmākā apstrādes rūpniecības attīstība lielā mērā būs atkarīga no tā, cik veiksmīgi Eiropai izdosies apturēt atkārtoto Covid</w:t>
      </w:r>
      <w:r w:rsidRPr="00EF1D74">
        <w:rPr>
          <w:rFonts w:eastAsia="Calibri"/>
          <w:szCs w:val="24"/>
        </w:rPr>
        <w:noBreakHyphen/>
        <w:t xml:space="preserve">19 saslimstības uzplaiksnījumu un vai spēkā stāsies stingrāki ekonomisko aktivitāti ietekmējošie ierobežojumi. </w:t>
      </w:r>
    </w:p>
    <w:p w:rsidR="00EF1D74" w:rsidRPr="00EF1D74" w:rsidRDefault="00EF1D74" w:rsidP="00EF1D74">
      <w:pPr>
        <w:spacing w:before="120"/>
        <w:ind w:firstLine="0"/>
        <w:jc w:val="center"/>
        <w:rPr>
          <w:rFonts w:eastAsia="Calibri"/>
          <w:szCs w:val="24"/>
        </w:rPr>
      </w:pPr>
      <w:r w:rsidRPr="00EF1D74">
        <w:rPr>
          <w:rFonts w:eastAsia="Calibri"/>
          <w:b/>
          <w:szCs w:val="24"/>
        </w:rPr>
        <w:t>Tirdzniecība</w:t>
      </w:r>
    </w:p>
    <w:p w:rsidR="00EF1D74" w:rsidRPr="00EF1D74" w:rsidRDefault="00EF1D74" w:rsidP="00EF1D74">
      <w:pPr>
        <w:spacing w:before="120"/>
        <w:ind w:firstLine="720"/>
        <w:rPr>
          <w:rFonts w:eastAsia="Calibri"/>
          <w:szCs w:val="24"/>
        </w:rPr>
      </w:pPr>
      <w:r w:rsidRPr="00EF1D74">
        <w:rPr>
          <w:rFonts w:eastAsia="Calibri"/>
          <w:szCs w:val="24"/>
        </w:rPr>
        <w:t xml:space="preserve">Tirdzniecība, apvienojot mazum- un vairumtirdzniecību, kā arī automobiļu un motociklu tirdzniecību un remontu, ir starp lielākajām Latvijas tautsaimniecības nozarēm. 2019. gadā tās daļa Latvijas IKP pievienotās vērtības struktūrā veidoja 15,4% (neskaitot izmitināšanas un ēdināšanas nozari), kas salīdzinājumā ar iepriekšējo gadu ir nedaudz palielinājusies – par 0,3 procentpunktiem. </w:t>
      </w:r>
    </w:p>
    <w:p w:rsidR="00EF1D74" w:rsidRPr="00EF1D74" w:rsidRDefault="00EF1D74" w:rsidP="00EF1D74">
      <w:pPr>
        <w:spacing w:before="120"/>
        <w:ind w:firstLine="720"/>
        <w:rPr>
          <w:rFonts w:eastAsia="Calibri"/>
          <w:szCs w:val="24"/>
        </w:rPr>
      </w:pPr>
      <w:r w:rsidRPr="00EF1D74">
        <w:rPr>
          <w:rFonts w:eastAsia="Calibri"/>
          <w:szCs w:val="24"/>
        </w:rPr>
        <w:t>Tirdzniecībā nodarbināto skaits ir augstākais starp visām nozarēm un 2019. gadā šajā nozarē strādāja 137,6 tūkstoši cilvēku jeb 15,1% no visiem tautsaimniecībā nodarbinātajiem iedzīvotājiem. Tomēr pērn tirdzniecībā strādājošo skaits nedaudz samazinājās – par 1,7 tūkstoti cilvēku jeb par 1,2%, salīdzinot ar 2018. gadu. Tas cita starpā varētu būt skaidrojams ar e-komercijas attīstību un pašapkalpošanās kašu lielveikalos pieaugumu.</w:t>
      </w: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0"/>
        <w:jc w:val="center"/>
        <w:rPr>
          <w:b/>
          <w:i/>
          <w:szCs w:val="24"/>
        </w:rPr>
      </w:pPr>
      <w:r w:rsidRPr="00EF1D74">
        <w:rPr>
          <w:b/>
          <w:i/>
          <w:szCs w:val="24"/>
        </w:rPr>
        <w:lastRenderedPageBreak/>
        <w:t xml:space="preserve">1.12. attēls </w:t>
      </w:r>
      <w:r w:rsidRPr="00EF1D74">
        <w:rPr>
          <w:b/>
          <w:szCs w:val="24"/>
        </w:rPr>
        <w:t>Tirdzniecības pievienotās vērtības struktūra 2019. gadā, %</w:t>
      </w:r>
    </w:p>
    <w:p w:rsidR="00EF1D74" w:rsidRPr="00EF1D74" w:rsidRDefault="00EF1D74" w:rsidP="00EF1D74">
      <w:pPr>
        <w:spacing w:before="120"/>
        <w:ind w:firstLine="720"/>
        <w:rPr>
          <w:rFonts w:eastAsia="Calibri"/>
          <w:szCs w:val="24"/>
        </w:rPr>
      </w:pPr>
    </w:p>
    <w:p w:rsidR="00EF1D74" w:rsidRPr="00EF1D74" w:rsidRDefault="00EF1D74" w:rsidP="00EF1D74">
      <w:pPr>
        <w:tabs>
          <w:tab w:val="left" w:pos="6932"/>
        </w:tabs>
        <w:spacing w:before="120"/>
        <w:ind w:firstLine="0"/>
        <w:jc w:val="center"/>
        <w:rPr>
          <w:szCs w:val="24"/>
        </w:rPr>
      </w:pPr>
      <w:r w:rsidRPr="00EF1D74">
        <w:rPr>
          <w:rFonts w:eastAsia="Calibri"/>
          <w:noProof/>
          <w:szCs w:val="24"/>
          <w:lang w:eastAsia="lv-LV"/>
        </w:rPr>
        <w:drawing>
          <wp:inline distT="0" distB="0" distL="0" distR="0" wp14:anchorId="340520C9" wp14:editId="43C78D2B">
            <wp:extent cx="4572000" cy="21717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t xml:space="preserve">Tirdzniecības struktūrā mazumtirdzniecība un vairumtirdzniecība veido lielāko nozares pievienotās vērtības īpatsvaru un tā sadalījums tradicionāli ir līdzīgs – ap 45% katrai </w:t>
      </w:r>
      <w:proofErr w:type="spellStart"/>
      <w:r w:rsidRPr="00EF1D74">
        <w:rPr>
          <w:rFonts w:eastAsia="Calibri"/>
          <w:szCs w:val="24"/>
        </w:rPr>
        <w:t>apakšnozarei</w:t>
      </w:r>
      <w:proofErr w:type="spellEnd"/>
      <w:r w:rsidRPr="00EF1D74">
        <w:rPr>
          <w:rFonts w:eastAsia="Calibri"/>
          <w:szCs w:val="24"/>
        </w:rPr>
        <w:t xml:space="preserve">, savukārt automobiļu un motociklu tirdzniecība un remonts veido atlikušo 1/10 daļu (1.12. attēls). Kopš 2011. gada tirdzniecība uzrāda pievienotās vērtības kāpumu, turklāt pērn nozares izaugsme bija straujākā kopš 2016. gada, veidojot 4,2% (salīdzināmajās cenās), ko īpaši veicināja vairumtirdzniecības apjomu kāpums, kā arī automobiļu un motociklu tirdzniecības un remonta pieaugums. Savukārt šogad tirdzniecības nozari  ir smagi </w:t>
      </w:r>
      <w:proofErr w:type="spellStart"/>
      <w:r w:rsidRPr="00EF1D74">
        <w:rPr>
          <w:rFonts w:eastAsia="Calibri"/>
          <w:szCs w:val="24"/>
        </w:rPr>
        <w:t>skārusi</w:t>
      </w:r>
      <w:proofErr w:type="spellEnd"/>
      <w:r w:rsidRPr="00EF1D74">
        <w:rPr>
          <w:rFonts w:eastAsia="Calibri"/>
          <w:szCs w:val="24"/>
        </w:rPr>
        <w:t xml:space="preserve"> Covid-19 krīze, līdz ar to salīdzinājumā ar pērnā gada pirmo pusgadu tirdzniecības pievienotā vērtība šā gada pirmajā pusgadā ir uzrādījusi kritumu par 5,5%, ko galvenokārt noteica nozares otrā ceturkšņa rezultāti. Ja pirmajā ceturksnī tirdzniecības nozarē radītā pievienotā bija par 0,8% mazāka nekā pirms gada, tad otrajā ceturksnī šis kritums pastiprinājās, sasniedzot 9,4%, kas ir līdzvērtīgi ekonomikas kopējam kritumam 2020. gada otrajā ceturksnī. </w:t>
      </w:r>
    </w:p>
    <w:p w:rsidR="00EF1D74" w:rsidRPr="00EF1D74" w:rsidRDefault="00EF1D74" w:rsidP="00EF1D74">
      <w:pPr>
        <w:spacing w:before="120"/>
        <w:ind w:firstLine="720"/>
        <w:rPr>
          <w:rFonts w:eastAsia="Calibri"/>
          <w:szCs w:val="24"/>
        </w:rPr>
      </w:pPr>
      <w:r w:rsidRPr="00EF1D74">
        <w:rPr>
          <w:rFonts w:eastAsia="Calibri"/>
          <w:szCs w:val="24"/>
        </w:rPr>
        <w:t xml:space="preserve">Mazumtirdzniecības attīstība šogad bijusi ļoti svārstīga gan preču grupu dalījumā, gan atsevišķi pa mēnešiem. Rezultātā šā gada pirmajos astoņos mēnešos mazumtirdzniecības kopējie apjomi ir bijuši tikai nedaudz augstāki par 2019. gada janvāra-augusta līmeni, apgrozījumam palielinoties par 1,1% (1.13. attēls). Covid-19 slimībai sasniedzot Latviju, martā strauji palielinājās mazumtirdzniecības apjomi pārtikas preču veikalos (+6,9%), iedzīvotājiem steidzoties veidot ilgstoši lietojamās pārtikas produktu rezerves, tikmēr tirdzniecība nepārtikas preču veikalos saruka. Savukārt jau aprīlī samazinājās gan pārtikas, gan nepārtikas preču tirdzniecības apgrozījums, kopējiem mazumtirdzniecības apjomiem gada griezumā sarūkot par 8,9%, kas bija straujākais nozares kritums kopš 2010. gada. Taču jau maijā mazumtirdzniecībā reģistrētais samazinājums ievērojami palēninājās, savukārt nākamajos mēnešos nozarē jau bija vērojams veselīgs mazumtirdzniecības apgrozījuma pieaugums, ko noteica pārdošanas apjomu kāpums gan pārtikas, gan nepārtikas produktu veikalos. Tādējādi šā gada astoņos mēnešos kopā mazumtirdzniecība pārtikas veikalos ir pieaugusi par 2,9%, bet nepārtikas preču mazumtirdzniecība, atskaitot auto degvielu, samazinājās par 1,2%. </w:t>
      </w: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0"/>
        <w:jc w:val="center"/>
        <w:rPr>
          <w:rFonts w:eastAsia="Calibri"/>
          <w:b/>
          <w:szCs w:val="24"/>
        </w:rPr>
      </w:pPr>
      <w:r w:rsidRPr="00EF1D74">
        <w:rPr>
          <w:rFonts w:eastAsia="Calibri"/>
          <w:b/>
          <w:i/>
          <w:szCs w:val="24"/>
        </w:rPr>
        <w:lastRenderedPageBreak/>
        <w:t xml:space="preserve">1.13. attēls </w:t>
      </w:r>
      <w:r w:rsidRPr="00EF1D74">
        <w:rPr>
          <w:rFonts w:eastAsia="Calibri"/>
          <w:b/>
          <w:szCs w:val="24"/>
        </w:rPr>
        <w:t>Mazumtirdzniecības apgrozījuma pārmaiņas pret iepriekšējā gada attiecīgo mēnesi, %</w:t>
      </w:r>
    </w:p>
    <w:p w:rsidR="00EF1D74" w:rsidRPr="00EF1D74" w:rsidRDefault="00EF1D74" w:rsidP="00EF1D74">
      <w:pPr>
        <w:spacing w:before="120"/>
        <w:ind w:firstLine="0"/>
        <w:jc w:val="center"/>
        <w:rPr>
          <w:rFonts w:eastAsia="Calibri"/>
          <w:szCs w:val="24"/>
        </w:rPr>
      </w:pPr>
      <w:r w:rsidRPr="00EF1D74">
        <w:rPr>
          <w:rFonts w:eastAsia="Calibri"/>
          <w:noProof/>
          <w:szCs w:val="24"/>
          <w:lang w:eastAsia="lv-LV"/>
        </w:rPr>
        <w:drawing>
          <wp:inline distT="0" distB="0" distL="0" distR="0" wp14:anchorId="597F95C4" wp14:editId="0EA176AB">
            <wp:extent cx="5274310" cy="2793365"/>
            <wp:effectExtent l="0" t="0" r="2540" b="698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t xml:space="preserve">Arī autodegvielas mazumtirdzniecības dinamika 2020. gadā bijusi visai svārstīga – to no vienas puses pozitīvi ietekmēja krītošās naftas cenas pasaules tirgos, kas atspoguļojās zemākās degvielas cenās arī vietējā tirgū – 2020. gada pirmajos astoņos mēnešos vidējā degvielas cena Latvijas degvielas </w:t>
      </w:r>
      <w:proofErr w:type="spellStart"/>
      <w:r w:rsidRPr="00EF1D74">
        <w:rPr>
          <w:rFonts w:eastAsia="Calibri"/>
          <w:szCs w:val="24"/>
        </w:rPr>
        <w:t>uzpildes</w:t>
      </w:r>
      <w:proofErr w:type="spellEnd"/>
      <w:r w:rsidRPr="00EF1D74">
        <w:rPr>
          <w:rFonts w:eastAsia="Calibri"/>
          <w:szCs w:val="24"/>
        </w:rPr>
        <w:t xml:space="preserve"> stacijās bija par 9,5% zemāka nekā pirms gada, aprīlī un maijā cenu kritumam pārsniedzot 20%. Taču no otras puses degvielas patēriņu ierobežoja zemāks pieprasījums saistībā ar martā noteiktajiem Covid-19 ierobežojumiem, kuru rezultātā tika ietekmēta iedzīvotāju pārvietošanās nepieciešamība, savukārt vasaras mēnešos degvielas pārdošanas apjomi auga salīdzinoši strauji, jo Latvijas iedzīvotāji biežāk nekā citus gadus izvēlējušies ceļot pa Latviju, ņemot vērā ceļošanas ierobežojumus uz citām valstīm un ievērojot piesardzību saistībā ar Covid-19. Līdz ar to 2020. gada astoņos mēnešos kopā degvielas tirdzniecības apjomi palielinājās par 3,5%, spēcīgāku pieaugumu uzrādot tieši pēdējo trīs mēnešu laikā, kad Latvijā tika atcelta ārkārtas situācija un mīkstināti ar Covid-19 izplatību saistītie ierobežojumi. </w:t>
      </w:r>
    </w:p>
    <w:p w:rsidR="00EF1D74" w:rsidRPr="00EF1D74" w:rsidRDefault="00EF1D74" w:rsidP="00EF1D74">
      <w:pPr>
        <w:spacing w:before="120"/>
        <w:ind w:firstLine="720"/>
        <w:rPr>
          <w:rFonts w:eastAsia="Calibri"/>
          <w:szCs w:val="24"/>
        </w:rPr>
      </w:pPr>
      <w:r w:rsidRPr="00EF1D74">
        <w:rPr>
          <w:rFonts w:eastAsia="Calibri"/>
          <w:szCs w:val="24"/>
        </w:rPr>
        <w:t>Vairumtirdzniecība šā gada pirmajā pusgadā atšķirībā no 2019. gada, kad nozares pievienotā vērtība gadā kopumā pieauga par 5,3%, uzrādīja kritumu par 7,8% (pirmajā un otrajā ceturksnī atsevišķi attiecīgi par 2,7% un 11,7%). Starp vairumtirdzniecības kategorijām šā gada pirmajā pusē straujākos samazinājumus uzrādīja mašīnu, iekārtu un to piederumu vairumtirdzniecība, kā arī lauksaimniecības izejvielu un dzīvu lopu vairumtirdzniecība. Tajā pašā laikā spēcīgi vairumtirdzniecības apjomu pieaugumi tika reģistrēti vairumtirdzniecībā uz līguma pamata vai par atlīdzību un informācijas un komunikāciju tehnoloģiju iekārtu vairumtirdzniecībā.</w:t>
      </w:r>
    </w:p>
    <w:p w:rsidR="00EF1D74" w:rsidRPr="00EF1D74" w:rsidRDefault="00EF1D74" w:rsidP="00EF1D74">
      <w:pPr>
        <w:spacing w:before="120"/>
        <w:ind w:firstLine="720"/>
        <w:rPr>
          <w:rFonts w:eastAsia="Calibri"/>
          <w:szCs w:val="24"/>
        </w:rPr>
      </w:pPr>
      <w:r w:rsidRPr="00EF1D74">
        <w:rPr>
          <w:rFonts w:eastAsia="Calibri"/>
          <w:szCs w:val="24"/>
        </w:rPr>
        <w:t>Savukārt uz Covid-19 krīzi viskrasāk ir reaģējusi automobiļu un motociklu tirdzniecība (gan mazumtirdzniecībā, gan vairumtirdzniecībā, gan to remonts). Ja pērn starp visām tirdzniecības nozarēm tā bija uzrādījusi straujāko pieaugumu, izaugsmei sasniedzot 6,2%, tad šā gada pirmajā pusē automobiļu un motociklu tirdzniecībā tika reģistrēts spēcīgākais sarukums – par 17,3% gada griezumā, otrajā ceturksnī pievienotās vērtības kritumam sasniedzot pat 30%.</w:t>
      </w:r>
    </w:p>
    <w:p w:rsidR="00EF1D74" w:rsidRPr="00EF1D74" w:rsidRDefault="00EF1D74" w:rsidP="00EF1D74">
      <w:pPr>
        <w:spacing w:before="120"/>
        <w:ind w:firstLine="720"/>
        <w:rPr>
          <w:rFonts w:eastAsia="Calibri"/>
          <w:szCs w:val="24"/>
        </w:rPr>
      </w:pPr>
      <w:r w:rsidRPr="00EF1D74">
        <w:rPr>
          <w:rFonts w:eastAsia="Calibri"/>
          <w:szCs w:val="24"/>
        </w:rPr>
        <w:t xml:space="preserve">Tirdzniecības attīstības dinamiku šogad ietekmēja cilvēku nedrošība par savu finansiālo situāciju, ar Covid-19 slimības ierobežošanu saistīto noteikumu ievērošana, bezdarba pieaugums un darba samaksas lēnāks kāpums šā gada otrajā ceturksnī Covid-19 krīzes ietekmē. Šogad Covid-19 krīzes rezultātā turpināja palielināties iedzīvotāju uzkrājumi – saskaņā ar Latvijas Bankas apkopotajiem datiem 2020. gada augusta beigās kopējie mājsaimniecību </w:t>
      </w:r>
      <w:r w:rsidRPr="00EF1D74">
        <w:rPr>
          <w:rFonts w:eastAsia="Calibri"/>
          <w:szCs w:val="24"/>
        </w:rPr>
        <w:lastRenderedPageBreak/>
        <w:t xml:space="preserve">noguldījumi gada laikā bija palielinājušies par 8,4%. Tāpat šogad ir strauji sarukuši no jauna izsniegtie patēriņa kredīti, šā gada astoņos mēnešos </w:t>
      </w:r>
      <w:proofErr w:type="spellStart"/>
      <w:r w:rsidRPr="00EF1D74">
        <w:rPr>
          <w:rFonts w:eastAsia="Calibri"/>
          <w:szCs w:val="24"/>
        </w:rPr>
        <w:t>jaunizsniegto</w:t>
      </w:r>
      <w:proofErr w:type="spellEnd"/>
      <w:r w:rsidRPr="00EF1D74">
        <w:rPr>
          <w:rFonts w:eastAsia="Calibri"/>
          <w:szCs w:val="24"/>
        </w:rPr>
        <w:t xml:space="preserve"> patēriņa kredītu apjomam samazinoties par 10,8%. Šie faktori, kā arī Covid-19 slimības turpmākā attīstība un tās ierobežošana ietekmēs nozares rezultātus arī nākamajos šā gada mēnešos.</w:t>
      </w:r>
    </w:p>
    <w:p w:rsidR="00EF1D74" w:rsidRPr="00EF1D74" w:rsidRDefault="00EF1D74" w:rsidP="00EF1D74">
      <w:pPr>
        <w:spacing w:before="120"/>
        <w:ind w:firstLine="720"/>
        <w:rPr>
          <w:rFonts w:eastAsia="Calibri"/>
          <w:szCs w:val="24"/>
        </w:rPr>
      </w:pPr>
      <w:r w:rsidRPr="00EF1D74">
        <w:rPr>
          <w:rFonts w:eastAsia="Calibri"/>
          <w:szCs w:val="24"/>
        </w:rPr>
        <w:t>Patērētāju konfidences līmenis joprojām ir zems, turklāt septembrī patērētāju noskaņojums atkal nedaudz pasliktinājās, norādot uz iedzīvotāju vidū joprojām valdošo nedrošību un nenoteiktību. Savukārt mazumtirgotāju konfidences rādītājs jau ir tuvs līmenim, kāds tas bija gada sākumā. Tas nozīmē, ka epidemioloģiskajai situācijai valstī saglabājoties stabilai, privātais patēriņš varētu kļūt spēcīgāks un arī tirdzniecības nozare uzrādīs labākus rezultātus, ko jau apliecina jaunākie dati par mazumtirdzniecības apgrozījumu.</w:t>
      </w:r>
    </w:p>
    <w:p w:rsidR="00EF1D74" w:rsidRPr="00EF1D74" w:rsidRDefault="00EF1D74" w:rsidP="00EF1D74">
      <w:pPr>
        <w:keepNext/>
        <w:spacing w:before="120"/>
        <w:ind w:firstLine="0"/>
        <w:jc w:val="center"/>
        <w:rPr>
          <w:rFonts w:eastAsia="Calibri"/>
          <w:b/>
          <w:szCs w:val="24"/>
        </w:rPr>
      </w:pPr>
      <w:r w:rsidRPr="00EF1D74">
        <w:rPr>
          <w:rFonts w:eastAsia="Calibri"/>
          <w:b/>
          <w:szCs w:val="24"/>
        </w:rPr>
        <w:t>Transports</w:t>
      </w:r>
    </w:p>
    <w:p w:rsidR="00EF1D74" w:rsidRPr="00EF1D74" w:rsidRDefault="00EF1D74" w:rsidP="00EF1D74">
      <w:pPr>
        <w:spacing w:before="120"/>
        <w:rPr>
          <w:szCs w:val="24"/>
        </w:rPr>
      </w:pPr>
      <w:r w:rsidRPr="00EF1D74">
        <w:rPr>
          <w:szCs w:val="24"/>
        </w:rPr>
        <w:t>Pateicoties izdevīgajam ģeogrāfiskajam stāvoklim un labi attīstītajai infrastruktūrai, transporta un uzglabāšanas nozarei vēsturiski bijusi būtiska loma Latvijas ekonomikā un tās īpatsvars kopējā pievienotajā vērtībā ir viens no augstākajiem starp ES valstīm. 2019. gadā transporta nozare veidoja 9,3% no kopējās pievienotās vērtības un bija ceturtā lielākā Latvijas tautsaimniecības nozare pēc tirdzniecības, apstrādes rūpniecības un nekustamā īpašuma nozares. Pēdējo desmit gadu laikā transporta nozares īpatsvars tautsaimniecībā bijis samērā stabils, pēdējā gada laikā nedaudz samazinoties, ko noteica Krievijas tranzītpārvadājumu apjoma samazināšanās. Transporta nozarē 2019. gadā strādāja 74,3 tūkstoši cilvēku jeb 8,2% no visiem ekonomikā nodarbinātajiem.</w:t>
      </w:r>
    </w:p>
    <w:p w:rsidR="00EF1D74" w:rsidRPr="00EF1D74" w:rsidRDefault="00EF1D74" w:rsidP="00EF1D74">
      <w:pPr>
        <w:spacing w:before="120"/>
        <w:rPr>
          <w:szCs w:val="24"/>
        </w:rPr>
      </w:pPr>
      <w:r w:rsidRPr="00EF1D74">
        <w:rPr>
          <w:szCs w:val="24"/>
        </w:rPr>
        <w:t>Nozares struktūrā lielāko daļu veido sauszemes transports un cauruļvadu transports, kur būtiska daļa ir kravu dzelzceļa un autopārvadājumiem, kā arī uzglabāšanas un transporta palīgdarbības, tajā skaitā kravu pārkraušana ostās (1.14. attēls):</w:t>
      </w:r>
    </w:p>
    <w:p w:rsidR="00EF1D74" w:rsidRPr="00EF1D74" w:rsidRDefault="00EF1D74" w:rsidP="00EF1D74">
      <w:pPr>
        <w:spacing w:before="120"/>
        <w:ind w:firstLine="0"/>
        <w:jc w:val="center"/>
        <w:rPr>
          <w:b/>
          <w:szCs w:val="24"/>
        </w:rPr>
      </w:pPr>
      <w:r w:rsidRPr="00EF1D74">
        <w:rPr>
          <w:b/>
          <w:i/>
          <w:szCs w:val="24"/>
        </w:rPr>
        <w:t xml:space="preserve">1.14. attēls </w:t>
      </w:r>
      <w:r w:rsidRPr="00EF1D74">
        <w:rPr>
          <w:b/>
          <w:szCs w:val="24"/>
        </w:rPr>
        <w:t>Transporta un uzglabāšanas nozares struktūra, faktiskajās cenās (%)</w:t>
      </w:r>
    </w:p>
    <w:p w:rsidR="00EF1D74" w:rsidRPr="00EF1D74" w:rsidRDefault="00EF1D74" w:rsidP="00EF1D74">
      <w:pPr>
        <w:spacing w:before="120"/>
        <w:jc w:val="center"/>
        <w:rPr>
          <w:szCs w:val="24"/>
        </w:rPr>
      </w:pPr>
      <w:r w:rsidRPr="00EF1D74">
        <w:rPr>
          <w:rFonts w:ascii="Calibri" w:hAnsi="Calibri"/>
          <w:noProof/>
          <w:szCs w:val="24"/>
          <w:lang w:eastAsia="lv-LV"/>
        </w:rPr>
        <w:drawing>
          <wp:inline distT="0" distB="0" distL="0" distR="0" wp14:anchorId="63523843" wp14:editId="644560BE">
            <wp:extent cx="4105275" cy="2200275"/>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F1D74" w:rsidRPr="00EF1D74" w:rsidRDefault="00EF1D74" w:rsidP="00EF1D74">
      <w:pPr>
        <w:spacing w:before="120"/>
        <w:ind w:firstLine="720"/>
        <w:rPr>
          <w:szCs w:val="24"/>
        </w:rPr>
      </w:pPr>
      <w:r w:rsidRPr="00EF1D74">
        <w:rPr>
          <w:szCs w:val="24"/>
        </w:rPr>
        <w:t xml:space="preserve">2019. gadā transporta un tranzīta nozarē tika piedzīvots kritums par 2,7%. To noteica kravu tranzīta samazinājums caur Latvijas ostām, Krievijai pārorientējot kravas uz savām Baltijas jūras ostām un krītoties pieprasījumam pēc Krievijas oglēm pasaules tirgos. Tā rezultātā kravu apgrozījums Latvijas ostās 2019. gadā bija par 5,7% zemāks nekā  2018. gadā, savukārt pa dzelzceļu pārvadāto kravu apjoms pērn saruka par 15,8%. Kravu apgrozība autopārvadājumos saglabājās iepriekšējā gada līmenī, bet pozitīvu dinamiku 2019. gadā uzrādīja aviopārvadājumi, lidostā </w:t>
      </w:r>
      <w:r w:rsidRPr="00EF1D74">
        <w:rPr>
          <w:i/>
          <w:szCs w:val="24"/>
        </w:rPr>
        <w:t>Rīga</w:t>
      </w:r>
      <w:r w:rsidRPr="00EF1D74">
        <w:rPr>
          <w:szCs w:val="24"/>
        </w:rPr>
        <w:t xml:space="preserve"> apkalpoto pasažieru skaitam palielinoties par 10,5%.</w:t>
      </w:r>
    </w:p>
    <w:p w:rsidR="00EF1D74" w:rsidRPr="00EF1D74" w:rsidRDefault="00EF1D74" w:rsidP="00EF1D74">
      <w:pPr>
        <w:spacing w:before="120"/>
        <w:ind w:firstLine="720"/>
        <w:rPr>
          <w:szCs w:val="24"/>
        </w:rPr>
      </w:pPr>
      <w:r w:rsidRPr="00EF1D74">
        <w:rPr>
          <w:szCs w:val="24"/>
        </w:rPr>
        <w:t xml:space="preserve">Tranzīta nozarē līdzīga situācija saglabājās arī 2020. gadā, kad Krievijas kravu tranzīts turpināja samazināties, bet transporta nozares kopējo situāciju vēl papildus krasi pasliktināja starptautisko pasažieru pārvadājumu apturēšana Covid-19 izplatības ierobežošanai. Gada pirmajā pusē transporta un uzglabāšanas nozare piedzīvoja 15,2% kritumu salīdzinājumā ar </w:t>
      </w:r>
      <w:r w:rsidRPr="00EF1D74">
        <w:rPr>
          <w:szCs w:val="24"/>
        </w:rPr>
        <w:lastRenderedPageBreak/>
        <w:t>2019. gada attiecīgo periodu, bet otrajā ceturksnī, Covid-19 krīzes kulminācijas brīdī nozares lejupslīde sasniedza pat 23,7%.</w:t>
      </w:r>
    </w:p>
    <w:p w:rsidR="00EF1D74" w:rsidRPr="00EF1D74" w:rsidRDefault="00EF1D74" w:rsidP="00EF1D74">
      <w:pPr>
        <w:spacing w:before="120"/>
        <w:ind w:firstLine="720"/>
        <w:rPr>
          <w:szCs w:val="24"/>
        </w:rPr>
      </w:pPr>
      <w:r w:rsidRPr="00EF1D74">
        <w:rPr>
          <w:szCs w:val="24"/>
        </w:rPr>
        <w:t xml:space="preserve">Kravu apgrozījums ostās šā gada pirmajos astoņos mēnešos bija 29,7 milj. tonnu - par 29,7% mazāks nekā pirms gada, īpaši strauji krītoties ogļu un naftas kravu apjomiem, - attiecīgi par 77,3% un 15,1%, bet dzelzceļā pārvadāto kravu apjoms gada pirmajos astoņos mēnešos samazinājies par 45,8% līdz 15,4 milj. tonnu. Pa maģistrālo naftas produktu vadu </w:t>
      </w:r>
      <w:proofErr w:type="spellStart"/>
      <w:r w:rsidRPr="00EF1D74">
        <w:rPr>
          <w:szCs w:val="24"/>
        </w:rPr>
        <w:t>Polocka</w:t>
      </w:r>
      <w:proofErr w:type="spellEnd"/>
      <w:r w:rsidRPr="00EF1D74">
        <w:rPr>
          <w:szCs w:val="24"/>
        </w:rPr>
        <w:t>–Ventspils</w:t>
      </w:r>
      <w:r w:rsidRPr="00EF1D74">
        <w:rPr>
          <w:rFonts w:ascii="Arial" w:hAnsi="Arial" w:cs="Arial"/>
          <w:color w:val="3E3E3E"/>
          <w:szCs w:val="24"/>
        </w:rPr>
        <w:t xml:space="preserve"> </w:t>
      </w:r>
      <w:r w:rsidRPr="00EF1D74">
        <w:rPr>
          <w:szCs w:val="24"/>
        </w:rPr>
        <w:t>transportētais dīzeļdegvielas apjoms gada pirmajā pusē bijis par 44,0% mazāks nekā 2019. gada pirmajā pusē un veidojis 0,8 milj. tonnu.</w:t>
      </w:r>
    </w:p>
    <w:p w:rsidR="00EF1D74" w:rsidRPr="00EF1D74" w:rsidRDefault="00EF1D74" w:rsidP="00EF1D74">
      <w:pPr>
        <w:spacing w:after="0"/>
        <w:ind w:firstLine="0"/>
        <w:jc w:val="center"/>
        <w:rPr>
          <w:b/>
          <w:szCs w:val="24"/>
        </w:rPr>
      </w:pPr>
      <w:r w:rsidRPr="00EF1D74">
        <w:rPr>
          <w:b/>
          <w:i/>
          <w:szCs w:val="24"/>
        </w:rPr>
        <w:t xml:space="preserve">1.15. attēls </w:t>
      </w:r>
      <w:r w:rsidRPr="00EF1D74">
        <w:rPr>
          <w:b/>
          <w:szCs w:val="24"/>
        </w:rPr>
        <w:t xml:space="preserve">Kravu apgrozījums Latvijas ostās un pārvadājumu apjoms dzelzceļā </w:t>
      </w:r>
    </w:p>
    <w:p w:rsidR="00EF1D74" w:rsidRPr="00EF1D74" w:rsidRDefault="00EF1D74" w:rsidP="00EF1D74">
      <w:pPr>
        <w:spacing w:after="0"/>
        <w:ind w:firstLine="0"/>
        <w:jc w:val="center"/>
        <w:rPr>
          <w:b/>
          <w:szCs w:val="24"/>
        </w:rPr>
      </w:pPr>
      <w:r w:rsidRPr="00EF1D74">
        <w:rPr>
          <w:b/>
          <w:szCs w:val="24"/>
        </w:rPr>
        <w:t>(tūkst. tonnu), 2010.-2020. gada pirmajos astoņos mēnešos</w:t>
      </w:r>
    </w:p>
    <w:p w:rsidR="00EF1D74" w:rsidRPr="00EF1D74" w:rsidRDefault="00EF1D74" w:rsidP="00EF1D74">
      <w:pPr>
        <w:spacing w:before="120"/>
        <w:ind w:firstLine="0"/>
        <w:jc w:val="center"/>
        <w:rPr>
          <w:szCs w:val="24"/>
        </w:rPr>
      </w:pPr>
      <w:r w:rsidRPr="00EF1D74">
        <w:rPr>
          <w:rFonts w:ascii="Calibri" w:hAnsi="Calibri"/>
          <w:noProof/>
          <w:szCs w:val="24"/>
          <w:lang w:eastAsia="lv-LV"/>
        </w:rPr>
        <w:drawing>
          <wp:inline distT="0" distB="0" distL="0" distR="0" wp14:anchorId="549D4345" wp14:editId="302A9DA3">
            <wp:extent cx="4944110" cy="2209800"/>
            <wp:effectExtent l="0" t="0" r="889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F1D74" w:rsidRPr="00EF1D74" w:rsidRDefault="00EF1D74" w:rsidP="00EF1D74">
      <w:pPr>
        <w:spacing w:before="120"/>
        <w:rPr>
          <w:szCs w:val="24"/>
        </w:rPr>
      </w:pPr>
      <w:r w:rsidRPr="00EF1D74">
        <w:rPr>
          <w:szCs w:val="24"/>
        </w:rPr>
        <w:t xml:space="preserve">Dati par kravu apgrozījuma izmaiņām gan Latvijas ostās un dzelzceļā, gan pārējās Baltijas jūras </w:t>
      </w:r>
      <w:proofErr w:type="spellStart"/>
      <w:r w:rsidRPr="00EF1D74">
        <w:rPr>
          <w:szCs w:val="24"/>
        </w:rPr>
        <w:t>austrumkrasta</w:t>
      </w:r>
      <w:proofErr w:type="spellEnd"/>
      <w:r w:rsidRPr="00EF1D74">
        <w:rPr>
          <w:szCs w:val="24"/>
        </w:rPr>
        <w:t xml:space="preserve"> ostās apstiprina, ka Krievija turpina pārorientēt kravu plūsmu uz savām Baltijas jūras ostām. Krievijas ostās šogad, Covid-19 apstākļos, kravu apgrozījuma samazinājums bijis daudz mazāks nekā Latvijas ostās, kamēr mazākus kritumus Igaunijas un Lietuvas ostās nodrošinājis augstāks vietējo kravu īpatsvars. Krievijas </w:t>
      </w:r>
      <w:proofErr w:type="spellStart"/>
      <w:r w:rsidRPr="00EF1D74">
        <w:rPr>
          <w:szCs w:val="24"/>
        </w:rPr>
        <w:t>Ustjlugas</w:t>
      </w:r>
      <w:proofErr w:type="spellEnd"/>
      <w:r w:rsidRPr="00EF1D74">
        <w:rPr>
          <w:szCs w:val="24"/>
        </w:rPr>
        <w:t xml:space="preserve"> ostā, kur galvenās kravas ir ogles un naftas produkti, kravu apgrozījums 2020. gada astoņos mēnešos palielinājies par 0,1%, bet </w:t>
      </w:r>
      <w:proofErr w:type="spellStart"/>
      <w:r w:rsidRPr="00EF1D74">
        <w:rPr>
          <w:szCs w:val="24"/>
        </w:rPr>
        <w:t>Primorskas</w:t>
      </w:r>
      <w:proofErr w:type="spellEnd"/>
      <w:r w:rsidRPr="00EF1D74">
        <w:rPr>
          <w:szCs w:val="24"/>
        </w:rPr>
        <w:t xml:space="preserve"> ostā, kas specializējas naftas kravu pārkraušanā, kravu apgrozījums bijis par 16,3% mazāks nekā pirms gada. Visās Krievijas Baltijas jūras </w:t>
      </w:r>
      <w:proofErr w:type="spellStart"/>
      <w:r w:rsidRPr="00EF1D74">
        <w:rPr>
          <w:szCs w:val="24"/>
        </w:rPr>
        <w:t>austrumkrasta</w:t>
      </w:r>
      <w:proofErr w:type="spellEnd"/>
      <w:r w:rsidRPr="00EF1D74">
        <w:rPr>
          <w:szCs w:val="24"/>
        </w:rPr>
        <w:t xml:space="preserve"> ostās kopā kravu apgrozījums 2020. gada astoņos mēnešos bijis par 8,7 miljonu tonnu jeb 5,1% mazāks nekā pirms gada, kamēr Baltijas valstu ostās kopā kritums bijis daudz straujāks – par 14,3 miljoniem tonnu jeb 13,9%.</w:t>
      </w:r>
    </w:p>
    <w:p w:rsidR="00EF1D74" w:rsidRPr="00EF1D74" w:rsidRDefault="00EF1D74" w:rsidP="00EF1D74">
      <w:pPr>
        <w:keepNext/>
        <w:ind w:firstLine="0"/>
        <w:jc w:val="center"/>
        <w:rPr>
          <w:b/>
          <w:szCs w:val="24"/>
        </w:rPr>
      </w:pPr>
      <w:r w:rsidRPr="00EF1D74">
        <w:rPr>
          <w:b/>
          <w:i/>
          <w:szCs w:val="24"/>
        </w:rPr>
        <w:t>1.2. tabula</w:t>
      </w:r>
      <w:r w:rsidRPr="00EF1D74">
        <w:rPr>
          <w:b/>
          <w:szCs w:val="24"/>
        </w:rPr>
        <w:t xml:space="preserve"> Kravu apgrozījums Baltijas jūras </w:t>
      </w:r>
      <w:proofErr w:type="spellStart"/>
      <w:r w:rsidRPr="00EF1D74">
        <w:rPr>
          <w:b/>
          <w:szCs w:val="24"/>
        </w:rPr>
        <w:t>austrumkrasta</w:t>
      </w:r>
      <w:proofErr w:type="spellEnd"/>
      <w:r w:rsidRPr="00EF1D74">
        <w:rPr>
          <w:b/>
          <w:szCs w:val="24"/>
        </w:rPr>
        <w:t xml:space="preserve"> ostās, milj. t</w:t>
      </w:r>
      <w:r w:rsidRPr="00EF1D74">
        <w:rPr>
          <w:b/>
          <w:szCs w:val="24"/>
          <w:vertAlign w:val="superscript"/>
        </w:rPr>
        <w:footnoteReference w:id="2"/>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3"/>
        <w:gridCol w:w="2576"/>
        <w:gridCol w:w="2576"/>
        <w:gridCol w:w="1263"/>
      </w:tblGrid>
      <w:tr w:rsidR="00EF1D74" w:rsidRPr="00EF1D74" w:rsidTr="0057436F">
        <w:trPr>
          <w:jc w:val="center"/>
        </w:trPr>
        <w:tc>
          <w:tcPr>
            <w:tcW w:w="1893" w:type="dxa"/>
            <w:shd w:val="clear" w:color="auto" w:fill="9CC2E5"/>
            <w:tcMar>
              <w:top w:w="0" w:type="dxa"/>
              <w:left w:w="108" w:type="dxa"/>
              <w:bottom w:w="0" w:type="dxa"/>
              <w:right w:w="108" w:type="dxa"/>
            </w:tcMar>
            <w:vAlign w:val="center"/>
            <w:hideMark/>
          </w:tcPr>
          <w:p w:rsidR="00EF1D74" w:rsidRPr="00EF1D74" w:rsidRDefault="00EF1D74" w:rsidP="00EF1D74">
            <w:pPr>
              <w:spacing w:after="0"/>
              <w:ind w:firstLine="0"/>
              <w:jc w:val="center"/>
              <w:rPr>
                <w:b/>
                <w:sz w:val="18"/>
                <w:szCs w:val="24"/>
              </w:rPr>
            </w:pPr>
            <w:r w:rsidRPr="00EF1D74">
              <w:rPr>
                <w:b/>
                <w:sz w:val="18"/>
                <w:szCs w:val="24"/>
              </w:rPr>
              <w:t>Osta</w:t>
            </w:r>
          </w:p>
        </w:tc>
        <w:tc>
          <w:tcPr>
            <w:tcW w:w="2576" w:type="dxa"/>
            <w:shd w:val="clear" w:color="auto" w:fill="9CC2E5"/>
            <w:tcMar>
              <w:top w:w="0" w:type="dxa"/>
              <w:left w:w="108" w:type="dxa"/>
              <w:bottom w:w="0" w:type="dxa"/>
              <w:right w:w="108" w:type="dxa"/>
            </w:tcMar>
            <w:vAlign w:val="center"/>
          </w:tcPr>
          <w:p w:rsidR="00EF1D74" w:rsidRPr="00EF1D74" w:rsidRDefault="00EF1D74" w:rsidP="00EF1D74">
            <w:pPr>
              <w:spacing w:after="0"/>
              <w:ind w:firstLine="0"/>
              <w:jc w:val="center"/>
              <w:rPr>
                <w:b/>
                <w:sz w:val="18"/>
                <w:szCs w:val="24"/>
              </w:rPr>
            </w:pPr>
            <w:r w:rsidRPr="00EF1D74">
              <w:rPr>
                <w:b/>
                <w:sz w:val="18"/>
                <w:szCs w:val="24"/>
              </w:rPr>
              <w:t>2019. gada</w:t>
            </w:r>
          </w:p>
          <w:p w:rsidR="00EF1D74" w:rsidRPr="00EF1D74" w:rsidRDefault="00EF1D74" w:rsidP="00EF1D74">
            <w:pPr>
              <w:spacing w:after="0"/>
              <w:ind w:firstLine="0"/>
              <w:jc w:val="center"/>
              <w:rPr>
                <w:b/>
                <w:sz w:val="18"/>
                <w:szCs w:val="24"/>
              </w:rPr>
            </w:pPr>
            <w:r w:rsidRPr="00EF1D74">
              <w:rPr>
                <w:b/>
                <w:sz w:val="18"/>
                <w:szCs w:val="24"/>
              </w:rPr>
              <w:t>8 mēneši</w:t>
            </w:r>
          </w:p>
        </w:tc>
        <w:tc>
          <w:tcPr>
            <w:tcW w:w="2576" w:type="dxa"/>
            <w:shd w:val="clear" w:color="auto" w:fill="9CC2E5"/>
            <w:vAlign w:val="center"/>
          </w:tcPr>
          <w:p w:rsidR="00EF1D74" w:rsidRPr="00EF1D74" w:rsidRDefault="00EF1D74" w:rsidP="00EF1D74">
            <w:pPr>
              <w:spacing w:after="0"/>
              <w:ind w:firstLine="0"/>
              <w:jc w:val="center"/>
              <w:rPr>
                <w:b/>
                <w:sz w:val="18"/>
                <w:szCs w:val="24"/>
              </w:rPr>
            </w:pPr>
            <w:r w:rsidRPr="00EF1D74">
              <w:rPr>
                <w:b/>
                <w:sz w:val="18"/>
                <w:szCs w:val="24"/>
              </w:rPr>
              <w:t>2020. gada</w:t>
            </w:r>
          </w:p>
          <w:p w:rsidR="00EF1D74" w:rsidRPr="00EF1D74" w:rsidRDefault="00EF1D74" w:rsidP="00EF1D74">
            <w:pPr>
              <w:spacing w:after="0"/>
              <w:ind w:firstLine="0"/>
              <w:jc w:val="center"/>
              <w:rPr>
                <w:b/>
                <w:sz w:val="18"/>
                <w:szCs w:val="24"/>
              </w:rPr>
            </w:pPr>
            <w:r w:rsidRPr="00EF1D74">
              <w:rPr>
                <w:b/>
                <w:sz w:val="18"/>
                <w:szCs w:val="24"/>
              </w:rPr>
              <w:t>8 mēneši</w:t>
            </w:r>
          </w:p>
        </w:tc>
        <w:tc>
          <w:tcPr>
            <w:tcW w:w="1263" w:type="dxa"/>
            <w:shd w:val="clear" w:color="auto" w:fill="9CC2E5"/>
            <w:tcMar>
              <w:top w:w="0" w:type="dxa"/>
              <w:left w:w="108" w:type="dxa"/>
              <w:bottom w:w="0" w:type="dxa"/>
              <w:right w:w="108" w:type="dxa"/>
            </w:tcMar>
            <w:vAlign w:val="center"/>
            <w:hideMark/>
          </w:tcPr>
          <w:p w:rsidR="00EF1D74" w:rsidRPr="00EF1D74" w:rsidRDefault="00EF1D74" w:rsidP="00EF1D74">
            <w:pPr>
              <w:spacing w:after="0"/>
              <w:ind w:firstLine="0"/>
              <w:jc w:val="center"/>
              <w:rPr>
                <w:b/>
                <w:sz w:val="18"/>
                <w:szCs w:val="24"/>
              </w:rPr>
            </w:pPr>
            <w:r w:rsidRPr="00EF1D74">
              <w:rPr>
                <w:b/>
                <w:sz w:val="18"/>
                <w:szCs w:val="24"/>
              </w:rPr>
              <w:t>Izmaiņas, %</w:t>
            </w:r>
          </w:p>
        </w:tc>
      </w:tr>
      <w:tr w:rsidR="00EF1D74" w:rsidRPr="00EF1D74" w:rsidTr="0057436F">
        <w:trPr>
          <w:jc w:val="center"/>
        </w:trPr>
        <w:tc>
          <w:tcPr>
            <w:tcW w:w="1893" w:type="dxa"/>
            <w:shd w:val="clear" w:color="auto" w:fill="auto"/>
            <w:tcMar>
              <w:top w:w="0" w:type="dxa"/>
              <w:left w:w="108" w:type="dxa"/>
              <w:bottom w:w="0" w:type="dxa"/>
              <w:right w:w="108" w:type="dxa"/>
            </w:tcMar>
            <w:hideMark/>
          </w:tcPr>
          <w:p w:rsidR="00EF1D74" w:rsidRPr="00EF1D74" w:rsidRDefault="00EF1D74" w:rsidP="00EF1D74">
            <w:pPr>
              <w:spacing w:after="0"/>
              <w:ind w:firstLine="0"/>
              <w:jc w:val="left"/>
              <w:rPr>
                <w:sz w:val="18"/>
                <w:szCs w:val="24"/>
              </w:rPr>
            </w:pPr>
            <w:proofErr w:type="spellStart"/>
            <w:r w:rsidRPr="00EF1D74">
              <w:rPr>
                <w:sz w:val="18"/>
                <w:szCs w:val="24"/>
              </w:rPr>
              <w:t>Ustjluga</w:t>
            </w:r>
            <w:proofErr w:type="spellEnd"/>
          </w:p>
        </w:tc>
        <w:tc>
          <w:tcPr>
            <w:tcW w:w="2576" w:type="dxa"/>
            <w:shd w:val="clear" w:color="auto" w:fill="auto"/>
            <w:tcMar>
              <w:top w:w="0" w:type="dxa"/>
              <w:left w:w="108" w:type="dxa"/>
              <w:bottom w:w="0" w:type="dxa"/>
              <w:right w:w="108" w:type="dxa"/>
            </w:tcMar>
            <w:vAlign w:val="bottom"/>
            <w:hideMark/>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69,0</w:t>
            </w:r>
          </w:p>
        </w:tc>
        <w:tc>
          <w:tcPr>
            <w:tcW w:w="2576" w:type="dxa"/>
            <w:shd w:val="clear" w:color="auto" w:fill="auto"/>
            <w:tcMar>
              <w:top w:w="0" w:type="dxa"/>
              <w:left w:w="108" w:type="dxa"/>
              <w:bottom w:w="0" w:type="dxa"/>
              <w:right w:w="108" w:type="dxa"/>
            </w:tcMar>
            <w:vAlign w:val="bottom"/>
            <w:hideMark/>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69,1</w:t>
            </w:r>
          </w:p>
        </w:tc>
        <w:tc>
          <w:tcPr>
            <w:tcW w:w="1263" w:type="dxa"/>
            <w:shd w:val="clear" w:color="auto" w:fill="auto"/>
            <w:tcMar>
              <w:top w:w="0" w:type="dxa"/>
              <w:left w:w="108" w:type="dxa"/>
              <w:bottom w:w="0" w:type="dxa"/>
              <w:right w:w="108" w:type="dxa"/>
            </w:tcMar>
            <w:vAlign w:val="bottom"/>
            <w:hideMark/>
          </w:tcPr>
          <w:p w:rsidR="00EF1D74" w:rsidRPr="00EF1D74" w:rsidRDefault="00EF1D74" w:rsidP="00EF1D74">
            <w:pPr>
              <w:spacing w:after="0"/>
              <w:ind w:firstLine="0"/>
              <w:jc w:val="center"/>
              <w:rPr>
                <w:sz w:val="18"/>
                <w:szCs w:val="24"/>
                <w:lang w:eastAsia="lv-LV"/>
              </w:rPr>
            </w:pPr>
            <w:r w:rsidRPr="00EF1D74">
              <w:rPr>
                <w:sz w:val="18"/>
                <w:szCs w:val="24"/>
                <w:lang w:eastAsia="lv-LV"/>
              </w:rPr>
              <w:t>+0,1</w:t>
            </w:r>
          </w:p>
        </w:tc>
      </w:tr>
      <w:tr w:rsidR="00EF1D74" w:rsidRPr="00EF1D74" w:rsidTr="0057436F">
        <w:trPr>
          <w:jc w:val="center"/>
        </w:trPr>
        <w:tc>
          <w:tcPr>
            <w:tcW w:w="1893" w:type="dxa"/>
            <w:shd w:val="clear" w:color="auto" w:fill="auto"/>
            <w:tcMar>
              <w:top w:w="0" w:type="dxa"/>
              <w:left w:w="108" w:type="dxa"/>
              <w:bottom w:w="0" w:type="dxa"/>
              <w:right w:w="108" w:type="dxa"/>
            </w:tcMar>
          </w:tcPr>
          <w:p w:rsidR="00EF1D74" w:rsidRPr="00EF1D74" w:rsidRDefault="00EF1D74" w:rsidP="00EF1D74">
            <w:pPr>
              <w:spacing w:after="0"/>
              <w:ind w:firstLine="0"/>
              <w:jc w:val="left"/>
              <w:rPr>
                <w:sz w:val="18"/>
                <w:szCs w:val="24"/>
              </w:rPr>
            </w:pPr>
            <w:proofErr w:type="spellStart"/>
            <w:r w:rsidRPr="00EF1D74">
              <w:rPr>
                <w:sz w:val="18"/>
                <w:szCs w:val="24"/>
              </w:rPr>
              <w:t>Primorska</w:t>
            </w:r>
            <w:proofErr w:type="spellEnd"/>
          </w:p>
        </w:tc>
        <w:tc>
          <w:tcPr>
            <w:tcW w:w="2576"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41,6</w:t>
            </w:r>
          </w:p>
        </w:tc>
        <w:tc>
          <w:tcPr>
            <w:tcW w:w="2576"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34,8</w:t>
            </w:r>
          </w:p>
        </w:tc>
        <w:tc>
          <w:tcPr>
            <w:tcW w:w="1263"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sz w:val="18"/>
                <w:szCs w:val="24"/>
                <w:lang w:eastAsia="lv-LV"/>
              </w:rPr>
            </w:pPr>
            <w:r w:rsidRPr="00EF1D74">
              <w:rPr>
                <w:sz w:val="18"/>
                <w:szCs w:val="24"/>
                <w:lang w:eastAsia="lv-LV"/>
              </w:rPr>
              <w:t>-16,3</w:t>
            </w:r>
          </w:p>
        </w:tc>
      </w:tr>
      <w:tr w:rsidR="00EF1D74" w:rsidRPr="00EF1D74" w:rsidTr="0057436F">
        <w:trPr>
          <w:jc w:val="center"/>
        </w:trPr>
        <w:tc>
          <w:tcPr>
            <w:tcW w:w="1893" w:type="dxa"/>
            <w:shd w:val="clear" w:color="auto" w:fill="auto"/>
            <w:tcMar>
              <w:top w:w="0" w:type="dxa"/>
              <w:left w:w="108" w:type="dxa"/>
              <w:bottom w:w="0" w:type="dxa"/>
              <w:right w:w="108" w:type="dxa"/>
            </w:tcMar>
            <w:hideMark/>
          </w:tcPr>
          <w:p w:rsidR="00EF1D74" w:rsidRPr="00EF1D74" w:rsidRDefault="00EF1D74" w:rsidP="00EF1D74">
            <w:pPr>
              <w:spacing w:after="0"/>
              <w:ind w:firstLine="0"/>
              <w:jc w:val="left"/>
              <w:rPr>
                <w:sz w:val="18"/>
                <w:szCs w:val="24"/>
              </w:rPr>
            </w:pPr>
            <w:r w:rsidRPr="00EF1D74">
              <w:rPr>
                <w:sz w:val="18"/>
                <w:szCs w:val="24"/>
              </w:rPr>
              <w:t>Sanktpēterburga</w:t>
            </w:r>
          </w:p>
        </w:tc>
        <w:tc>
          <w:tcPr>
            <w:tcW w:w="2576" w:type="dxa"/>
            <w:shd w:val="clear" w:color="auto" w:fill="auto"/>
            <w:tcMar>
              <w:top w:w="0" w:type="dxa"/>
              <w:left w:w="108" w:type="dxa"/>
              <w:bottom w:w="0" w:type="dxa"/>
              <w:right w:w="108" w:type="dxa"/>
            </w:tcMar>
            <w:vAlign w:val="bottom"/>
            <w:hideMark/>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40,1</w:t>
            </w:r>
          </w:p>
        </w:tc>
        <w:tc>
          <w:tcPr>
            <w:tcW w:w="2576" w:type="dxa"/>
            <w:shd w:val="clear" w:color="auto" w:fill="auto"/>
            <w:tcMar>
              <w:top w:w="0" w:type="dxa"/>
              <w:left w:w="108" w:type="dxa"/>
              <w:bottom w:w="0" w:type="dxa"/>
              <w:right w:w="108" w:type="dxa"/>
            </w:tcMar>
            <w:vAlign w:val="bottom"/>
            <w:hideMark/>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39,5</w:t>
            </w:r>
          </w:p>
        </w:tc>
        <w:tc>
          <w:tcPr>
            <w:tcW w:w="1263" w:type="dxa"/>
            <w:shd w:val="clear" w:color="auto" w:fill="auto"/>
            <w:tcMar>
              <w:top w:w="0" w:type="dxa"/>
              <w:left w:w="108" w:type="dxa"/>
              <w:bottom w:w="0" w:type="dxa"/>
              <w:right w:w="108" w:type="dxa"/>
            </w:tcMar>
            <w:vAlign w:val="bottom"/>
            <w:hideMark/>
          </w:tcPr>
          <w:p w:rsidR="00EF1D74" w:rsidRPr="00EF1D74" w:rsidRDefault="00EF1D74" w:rsidP="00EF1D74">
            <w:pPr>
              <w:spacing w:after="0"/>
              <w:ind w:firstLine="0"/>
              <w:jc w:val="center"/>
              <w:rPr>
                <w:sz w:val="18"/>
                <w:szCs w:val="24"/>
                <w:lang w:eastAsia="lv-LV"/>
              </w:rPr>
            </w:pPr>
            <w:r w:rsidRPr="00EF1D74">
              <w:rPr>
                <w:sz w:val="18"/>
                <w:szCs w:val="24"/>
                <w:lang w:eastAsia="lv-LV"/>
              </w:rPr>
              <w:t>-1,6</w:t>
            </w:r>
          </w:p>
        </w:tc>
      </w:tr>
      <w:tr w:rsidR="00EF1D74" w:rsidRPr="00EF1D74" w:rsidTr="0057436F">
        <w:trPr>
          <w:jc w:val="center"/>
        </w:trPr>
        <w:tc>
          <w:tcPr>
            <w:tcW w:w="1893" w:type="dxa"/>
            <w:shd w:val="clear" w:color="auto" w:fill="auto"/>
            <w:tcMar>
              <w:top w:w="0" w:type="dxa"/>
              <w:left w:w="108" w:type="dxa"/>
              <w:bottom w:w="0" w:type="dxa"/>
              <w:right w:w="108" w:type="dxa"/>
            </w:tcMar>
            <w:hideMark/>
          </w:tcPr>
          <w:p w:rsidR="00EF1D74" w:rsidRPr="00EF1D74" w:rsidRDefault="00EF1D74" w:rsidP="00EF1D74">
            <w:pPr>
              <w:spacing w:after="0"/>
              <w:ind w:firstLine="0"/>
              <w:jc w:val="left"/>
              <w:rPr>
                <w:sz w:val="18"/>
                <w:szCs w:val="24"/>
              </w:rPr>
            </w:pPr>
            <w:r w:rsidRPr="00EF1D74">
              <w:rPr>
                <w:sz w:val="18"/>
                <w:szCs w:val="24"/>
              </w:rPr>
              <w:t>Klaipēda</w:t>
            </w:r>
          </w:p>
        </w:tc>
        <w:tc>
          <w:tcPr>
            <w:tcW w:w="2576" w:type="dxa"/>
            <w:shd w:val="clear" w:color="auto" w:fill="auto"/>
            <w:tcMar>
              <w:top w:w="0" w:type="dxa"/>
              <w:left w:w="108" w:type="dxa"/>
              <w:bottom w:w="0" w:type="dxa"/>
              <w:right w:w="108" w:type="dxa"/>
            </w:tcMar>
            <w:hideMark/>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31,3</w:t>
            </w:r>
          </w:p>
        </w:tc>
        <w:tc>
          <w:tcPr>
            <w:tcW w:w="2576" w:type="dxa"/>
            <w:shd w:val="clear" w:color="auto" w:fill="auto"/>
            <w:tcMar>
              <w:top w:w="0" w:type="dxa"/>
              <w:left w:w="108" w:type="dxa"/>
              <w:bottom w:w="0" w:type="dxa"/>
              <w:right w:w="108" w:type="dxa"/>
            </w:tcMar>
            <w:hideMark/>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29,9</w:t>
            </w:r>
          </w:p>
        </w:tc>
        <w:tc>
          <w:tcPr>
            <w:tcW w:w="1263" w:type="dxa"/>
            <w:shd w:val="clear" w:color="auto" w:fill="auto"/>
            <w:tcMar>
              <w:top w:w="0" w:type="dxa"/>
              <w:left w:w="108" w:type="dxa"/>
              <w:bottom w:w="0" w:type="dxa"/>
              <w:right w:w="108" w:type="dxa"/>
            </w:tcMar>
            <w:vAlign w:val="bottom"/>
            <w:hideMark/>
          </w:tcPr>
          <w:p w:rsidR="00EF1D74" w:rsidRPr="00EF1D74" w:rsidRDefault="00EF1D74" w:rsidP="00EF1D74">
            <w:pPr>
              <w:spacing w:after="0"/>
              <w:ind w:firstLine="0"/>
              <w:jc w:val="center"/>
              <w:rPr>
                <w:sz w:val="18"/>
                <w:szCs w:val="24"/>
                <w:lang w:eastAsia="lv-LV"/>
              </w:rPr>
            </w:pPr>
            <w:r w:rsidRPr="00EF1D74">
              <w:rPr>
                <w:sz w:val="18"/>
                <w:szCs w:val="24"/>
                <w:lang w:eastAsia="lv-LV"/>
              </w:rPr>
              <w:t>-4,7</w:t>
            </w:r>
          </w:p>
        </w:tc>
      </w:tr>
      <w:tr w:rsidR="00EF1D74" w:rsidRPr="00EF1D74" w:rsidTr="0057436F">
        <w:trPr>
          <w:jc w:val="center"/>
        </w:trPr>
        <w:tc>
          <w:tcPr>
            <w:tcW w:w="1893" w:type="dxa"/>
            <w:shd w:val="clear" w:color="auto" w:fill="auto"/>
            <w:tcMar>
              <w:top w:w="0" w:type="dxa"/>
              <w:left w:w="108" w:type="dxa"/>
              <w:bottom w:w="0" w:type="dxa"/>
              <w:right w:w="108" w:type="dxa"/>
            </w:tcMar>
          </w:tcPr>
          <w:p w:rsidR="00EF1D74" w:rsidRPr="00EF1D74" w:rsidRDefault="00EF1D74" w:rsidP="00EF1D74">
            <w:pPr>
              <w:spacing w:after="0"/>
              <w:ind w:firstLine="0"/>
              <w:jc w:val="left"/>
              <w:rPr>
                <w:sz w:val="18"/>
                <w:szCs w:val="24"/>
              </w:rPr>
            </w:pPr>
            <w:r w:rsidRPr="00EF1D74">
              <w:rPr>
                <w:sz w:val="18"/>
                <w:szCs w:val="24"/>
              </w:rPr>
              <w:t>Igaunijas ostas</w:t>
            </w:r>
          </w:p>
        </w:tc>
        <w:tc>
          <w:tcPr>
            <w:tcW w:w="2576"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24,6</w:t>
            </w:r>
          </w:p>
        </w:tc>
        <w:tc>
          <w:tcPr>
            <w:tcW w:w="2576"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24,5</w:t>
            </w:r>
          </w:p>
        </w:tc>
        <w:tc>
          <w:tcPr>
            <w:tcW w:w="1263"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sz w:val="18"/>
                <w:szCs w:val="24"/>
                <w:lang w:eastAsia="lv-LV"/>
              </w:rPr>
            </w:pPr>
            <w:r w:rsidRPr="00EF1D74">
              <w:rPr>
                <w:sz w:val="18"/>
                <w:szCs w:val="24"/>
                <w:lang w:eastAsia="lv-LV"/>
              </w:rPr>
              <w:t>-0,1</w:t>
            </w:r>
          </w:p>
        </w:tc>
      </w:tr>
      <w:tr w:rsidR="00EF1D74" w:rsidRPr="00EF1D74" w:rsidTr="0057436F">
        <w:trPr>
          <w:trHeight w:val="135"/>
          <w:jc w:val="center"/>
        </w:trPr>
        <w:tc>
          <w:tcPr>
            <w:tcW w:w="1893" w:type="dxa"/>
            <w:shd w:val="clear" w:color="auto" w:fill="auto"/>
            <w:tcMar>
              <w:top w:w="0" w:type="dxa"/>
              <w:left w:w="108" w:type="dxa"/>
              <w:bottom w:w="0" w:type="dxa"/>
              <w:right w:w="108" w:type="dxa"/>
            </w:tcMar>
          </w:tcPr>
          <w:p w:rsidR="00EF1D74" w:rsidRPr="00EF1D74" w:rsidRDefault="00EF1D74" w:rsidP="00EF1D74">
            <w:pPr>
              <w:spacing w:after="0"/>
              <w:ind w:firstLine="0"/>
              <w:jc w:val="left"/>
              <w:rPr>
                <w:b/>
                <w:sz w:val="18"/>
                <w:szCs w:val="24"/>
              </w:rPr>
            </w:pPr>
            <w:r w:rsidRPr="00EF1D74">
              <w:rPr>
                <w:b/>
                <w:sz w:val="18"/>
                <w:szCs w:val="24"/>
              </w:rPr>
              <w:t>Rīga</w:t>
            </w:r>
          </w:p>
        </w:tc>
        <w:tc>
          <w:tcPr>
            <w:tcW w:w="2576"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b/>
                <w:sz w:val="18"/>
                <w:szCs w:val="24"/>
                <w:lang w:val="lt-LT" w:eastAsia="lv-LV"/>
              </w:rPr>
            </w:pPr>
            <w:r w:rsidRPr="00EF1D74">
              <w:rPr>
                <w:b/>
                <w:sz w:val="18"/>
                <w:szCs w:val="24"/>
                <w:lang w:val="lt-LT" w:eastAsia="lv-LV"/>
              </w:rPr>
              <w:t>21,4</w:t>
            </w:r>
          </w:p>
        </w:tc>
        <w:tc>
          <w:tcPr>
            <w:tcW w:w="2576"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b/>
                <w:sz w:val="18"/>
                <w:szCs w:val="24"/>
                <w:lang w:val="lt-LT" w:eastAsia="lv-LV"/>
              </w:rPr>
            </w:pPr>
            <w:r w:rsidRPr="00EF1D74">
              <w:rPr>
                <w:b/>
                <w:sz w:val="18"/>
                <w:szCs w:val="24"/>
                <w:lang w:val="lt-LT" w:eastAsia="lv-LV"/>
              </w:rPr>
              <w:t>15,8</w:t>
            </w:r>
          </w:p>
        </w:tc>
        <w:tc>
          <w:tcPr>
            <w:tcW w:w="1263"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b/>
                <w:sz w:val="18"/>
                <w:szCs w:val="24"/>
                <w:lang w:eastAsia="lv-LV"/>
              </w:rPr>
            </w:pPr>
            <w:r w:rsidRPr="00EF1D74">
              <w:rPr>
                <w:b/>
                <w:sz w:val="18"/>
                <w:szCs w:val="24"/>
                <w:lang w:eastAsia="lv-LV"/>
              </w:rPr>
              <w:t>-26,0</w:t>
            </w:r>
          </w:p>
        </w:tc>
      </w:tr>
      <w:tr w:rsidR="00EF1D74" w:rsidRPr="00EF1D74" w:rsidTr="0057436F">
        <w:trPr>
          <w:jc w:val="center"/>
        </w:trPr>
        <w:tc>
          <w:tcPr>
            <w:tcW w:w="1893" w:type="dxa"/>
            <w:shd w:val="clear" w:color="auto" w:fill="auto"/>
            <w:tcMar>
              <w:top w:w="0" w:type="dxa"/>
              <w:left w:w="108" w:type="dxa"/>
              <w:bottom w:w="0" w:type="dxa"/>
              <w:right w:w="108" w:type="dxa"/>
            </w:tcMar>
            <w:hideMark/>
          </w:tcPr>
          <w:p w:rsidR="00EF1D74" w:rsidRPr="00EF1D74" w:rsidRDefault="00EF1D74" w:rsidP="00EF1D74">
            <w:pPr>
              <w:spacing w:after="0"/>
              <w:ind w:firstLine="0"/>
              <w:jc w:val="left"/>
              <w:rPr>
                <w:b/>
                <w:sz w:val="18"/>
                <w:szCs w:val="24"/>
              </w:rPr>
            </w:pPr>
            <w:r w:rsidRPr="00EF1D74">
              <w:rPr>
                <w:b/>
                <w:sz w:val="18"/>
                <w:szCs w:val="24"/>
              </w:rPr>
              <w:t>Ventspils</w:t>
            </w:r>
          </w:p>
        </w:tc>
        <w:tc>
          <w:tcPr>
            <w:tcW w:w="2576" w:type="dxa"/>
            <w:shd w:val="clear" w:color="auto" w:fill="auto"/>
            <w:tcMar>
              <w:top w:w="0" w:type="dxa"/>
              <w:left w:w="108" w:type="dxa"/>
              <w:bottom w:w="0" w:type="dxa"/>
              <w:right w:w="108" w:type="dxa"/>
            </w:tcMar>
            <w:vAlign w:val="bottom"/>
            <w:hideMark/>
          </w:tcPr>
          <w:p w:rsidR="00EF1D74" w:rsidRPr="00EF1D74" w:rsidRDefault="00EF1D74" w:rsidP="00EF1D74">
            <w:pPr>
              <w:spacing w:after="0"/>
              <w:ind w:firstLine="0"/>
              <w:jc w:val="center"/>
              <w:rPr>
                <w:b/>
                <w:sz w:val="18"/>
                <w:szCs w:val="24"/>
                <w:lang w:val="lt-LT" w:eastAsia="lv-LV"/>
              </w:rPr>
            </w:pPr>
            <w:r w:rsidRPr="00EF1D74">
              <w:rPr>
                <w:b/>
                <w:sz w:val="18"/>
                <w:szCs w:val="24"/>
                <w:lang w:val="lt-LT" w:eastAsia="lv-LV"/>
              </w:rPr>
              <w:t>15,0</w:t>
            </w:r>
          </w:p>
        </w:tc>
        <w:tc>
          <w:tcPr>
            <w:tcW w:w="2576" w:type="dxa"/>
            <w:shd w:val="clear" w:color="auto" w:fill="auto"/>
            <w:tcMar>
              <w:top w:w="0" w:type="dxa"/>
              <w:left w:w="108" w:type="dxa"/>
              <w:bottom w:w="0" w:type="dxa"/>
              <w:right w:w="108" w:type="dxa"/>
            </w:tcMar>
            <w:vAlign w:val="bottom"/>
            <w:hideMark/>
          </w:tcPr>
          <w:p w:rsidR="00EF1D74" w:rsidRPr="00EF1D74" w:rsidRDefault="00EF1D74" w:rsidP="00EF1D74">
            <w:pPr>
              <w:spacing w:after="0"/>
              <w:ind w:firstLine="0"/>
              <w:jc w:val="center"/>
              <w:rPr>
                <w:b/>
                <w:sz w:val="18"/>
                <w:szCs w:val="24"/>
                <w:lang w:val="lt-LT" w:eastAsia="lv-LV"/>
              </w:rPr>
            </w:pPr>
            <w:r w:rsidRPr="00EF1D74">
              <w:rPr>
                <w:b/>
                <w:sz w:val="18"/>
                <w:szCs w:val="24"/>
                <w:lang w:val="lt-LT" w:eastAsia="lv-LV"/>
              </w:rPr>
              <w:t>8,8</w:t>
            </w:r>
          </w:p>
        </w:tc>
        <w:tc>
          <w:tcPr>
            <w:tcW w:w="1263" w:type="dxa"/>
            <w:shd w:val="clear" w:color="auto" w:fill="auto"/>
            <w:tcMar>
              <w:top w:w="0" w:type="dxa"/>
              <w:left w:w="108" w:type="dxa"/>
              <w:bottom w:w="0" w:type="dxa"/>
              <w:right w:w="108" w:type="dxa"/>
            </w:tcMar>
            <w:vAlign w:val="bottom"/>
            <w:hideMark/>
          </w:tcPr>
          <w:p w:rsidR="00EF1D74" w:rsidRPr="00EF1D74" w:rsidRDefault="00EF1D74" w:rsidP="00EF1D74">
            <w:pPr>
              <w:spacing w:after="0"/>
              <w:ind w:firstLine="0"/>
              <w:jc w:val="center"/>
              <w:rPr>
                <w:b/>
                <w:sz w:val="18"/>
                <w:szCs w:val="24"/>
                <w:lang w:eastAsia="lv-LV"/>
              </w:rPr>
            </w:pPr>
            <w:r w:rsidRPr="00EF1D74">
              <w:rPr>
                <w:b/>
                <w:sz w:val="18"/>
                <w:szCs w:val="24"/>
                <w:lang w:eastAsia="lv-LV"/>
              </w:rPr>
              <w:t>-41,5</w:t>
            </w:r>
          </w:p>
        </w:tc>
      </w:tr>
      <w:tr w:rsidR="00EF1D74" w:rsidRPr="00EF1D74" w:rsidTr="0057436F">
        <w:trPr>
          <w:trHeight w:val="70"/>
          <w:jc w:val="center"/>
        </w:trPr>
        <w:tc>
          <w:tcPr>
            <w:tcW w:w="1893" w:type="dxa"/>
            <w:shd w:val="clear" w:color="auto" w:fill="auto"/>
            <w:tcMar>
              <w:top w:w="0" w:type="dxa"/>
              <w:left w:w="108" w:type="dxa"/>
              <w:bottom w:w="0" w:type="dxa"/>
              <w:right w:w="108" w:type="dxa"/>
            </w:tcMar>
            <w:hideMark/>
          </w:tcPr>
          <w:p w:rsidR="00EF1D74" w:rsidRPr="00EF1D74" w:rsidRDefault="00EF1D74" w:rsidP="00EF1D74">
            <w:pPr>
              <w:spacing w:after="0"/>
              <w:ind w:firstLine="0"/>
              <w:jc w:val="left"/>
              <w:rPr>
                <w:sz w:val="18"/>
                <w:szCs w:val="24"/>
              </w:rPr>
            </w:pPr>
            <w:r w:rsidRPr="00EF1D74">
              <w:rPr>
                <w:sz w:val="18"/>
                <w:szCs w:val="24"/>
              </w:rPr>
              <w:t>Visocka</w:t>
            </w:r>
          </w:p>
        </w:tc>
        <w:tc>
          <w:tcPr>
            <w:tcW w:w="2576" w:type="dxa"/>
            <w:shd w:val="clear" w:color="auto" w:fill="auto"/>
            <w:tcMar>
              <w:top w:w="0" w:type="dxa"/>
              <w:left w:w="108" w:type="dxa"/>
              <w:bottom w:w="0" w:type="dxa"/>
              <w:right w:w="108" w:type="dxa"/>
            </w:tcMar>
            <w:vAlign w:val="bottom"/>
            <w:hideMark/>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12,8</w:t>
            </w:r>
          </w:p>
        </w:tc>
        <w:tc>
          <w:tcPr>
            <w:tcW w:w="2576" w:type="dxa"/>
            <w:shd w:val="clear" w:color="auto" w:fill="auto"/>
            <w:tcMar>
              <w:top w:w="0" w:type="dxa"/>
              <w:left w:w="108" w:type="dxa"/>
              <w:bottom w:w="0" w:type="dxa"/>
              <w:right w:w="108" w:type="dxa"/>
            </w:tcMar>
            <w:vAlign w:val="bottom"/>
            <w:hideMark/>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12,0</w:t>
            </w:r>
          </w:p>
        </w:tc>
        <w:tc>
          <w:tcPr>
            <w:tcW w:w="1263" w:type="dxa"/>
            <w:shd w:val="clear" w:color="auto" w:fill="auto"/>
            <w:tcMar>
              <w:top w:w="0" w:type="dxa"/>
              <w:left w:w="108" w:type="dxa"/>
              <w:bottom w:w="0" w:type="dxa"/>
              <w:right w:w="108" w:type="dxa"/>
            </w:tcMar>
            <w:vAlign w:val="bottom"/>
            <w:hideMark/>
          </w:tcPr>
          <w:p w:rsidR="00EF1D74" w:rsidRPr="00EF1D74" w:rsidRDefault="00EF1D74" w:rsidP="00EF1D74">
            <w:pPr>
              <w:spacing w:after="0"/>
              <w:ind w:firstLine="0"/>
              <w:jc w:val="center"/>
              <w:rPr>
                <w:sz w:val="18"/>
                <w:szCs w:val="24"/>
                <w:lang w:eastAsia="lv-LV"/>
              </w:rPr>
            </w:pPr>
            <w:r w:rsidRPr="00EF1D74">
              <w:rPr>
                <w:sz w:val="18"/>
                <w:szCs w:val="24"/>
                <w:lang w:eastAsia="lv-LV"/>
              </w:rPr>
              <w:t>-6,1</w:t>
            </w:r>
          </w:p>
        </w:tc>
      </w:tr>
      <w:tr w:rsidR="00EF1D74" w:rsidRPr="00EF1D74" w:rsidTr="0057436F">
        <w:trPr>
          <w:jc w:val="center"/>
        </w:trPr>
        <w:tc>
          <w:tcPr>
            <w:tcW w:w="1893" w:type="dxa"/>
            <w:shd w:val="clear" w:color="auto" w:fill="auto"/>
            <w:tcMar>
              <w:top w:w="0" w:type="dxa"/>
              <w:left w:w="108" w:type="dxa"/>
              <w:bottom w:w="0" w:type="dxa"/>
              <w:right w:w="108" w:type="dxa"/>
            </w:tcMar>
          </w:tcPr>
          <w:p w:rsidR="00EF1D74" w:rsidRPr="00EF1D74" w:rsidRDefault="00EF1D74" w:rsidP="00EF1D74">
            <w:pPr>
              <w:spacing w:after="0"/>
              <w:ind w:firstLine="0"/>
              <w:jc w:val="left"/>
              <w:rPr>
                <w:sz w:val="18"/>
                <w:szCs w:val="24"/>
              </w:rPr>
            </w:pPr>
            <w:r w:rsidRPr="00EF1D74">
              <w:rPr>
                <w:sz w:val="18"/>
                <w:szCs w:val="24"/>
              </w:rPr>
              <w:t>Kaļiņingrada</w:t>
            </w:r>
          </w:p>
        </w:tc>
        <w:tc>
          <w:tcPr>
            <w:tcW w:w="2576"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7,7</w:t>
            </w:r>
          </w:p>
        </w:tc>
        <w:tc>
          <w:tcPr>
            <w:tcW w:w="2576"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sz w:val="18"/>
                <w:szCs w:val="24"/>
                <w:lang w:val="lt-LT" w:eastAsia="lv-LV"/>
              </w:rPr>
            </w:pPr>
            <w:r w:rsidRPr="00EF1D74">
              <w:rPr>
                <w:sz w:val="18"/>
                <w:szCs w:val="24"/>
                <w:lang w:val="lt-LT" w:eastAsia="lv-LV"/>
              </w:rPr>
              <w:t>7,1</w:t>
            </w:r>
          </w:p>
        </w:tc>
        <w:tc>
          <w:tcPr>
            <w:tcW w:w="1263"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sz w:val="18"/>
                <w:szCs w:val="24"/>
                <w:lang w:eastAsia="lv-LV"/>
              </w:rPr>
            </w:pPr>
            <w:r w:rsidRPr="00EF1D74">
              <w:rPr>
                <w:sz w:val="18"/>
                <w:szCs w:val="24"/>
                <w:lang w:eastAsia="lv-LV"/>
              </w:rPr>
              <w:t>-7,2</w:t>
            </w:r>
          </w:p>
        </w:tc>
      </w:tr>
      <w:tr w:rsidR="00EF1D74" w:rsidRPr="00EF1D74" w:rsidTr="0057436F">
        <w:trPr>
          <w:jc w:val="center"/>
        </w:trPr>
        <w:tc>
          <w:tcPr>
            <w:tcW w:w="1893" w:type="dxa"/>
            <w:shd w:val="clear" w:color="auto" w:fill="auto"/>
            <w:tcMar>
              <w:top w:w="0" w:type="dxa"/>
              <w:left w:w="108" w:type="dxa"/>
              <w:bottom w:w="0" w:type="dxa"/>
              <w:right w:w="108" w:type="dxa"/>
            </w:tcMar>
          </w:tcPr>
          <w:p w:rsidR="00EF1D74" w:rsidRPr="00EF1D74" w:rsidRDefault="00EF1D74" w:rsidP="00EF1D74">
            <w:pPr>
              <w:spacing w:after="0"/>
              <w:ind w:firstLine="0"/>
              <w:jc w:val="left"/>
              <w:rPr>
                <w:b/>
                <w:sz w:val="18"/>
                <w:szCs w:val="24"/>
              </w:rPr>
            </w:pPr>
            <w:r w:rsidRPr="00EF1D74">
              <w:rPr>
                <w:b/>
                <w:sz w:val="18"/>
                <w:szCs w:val="24"/>
              </w:rPr>
              <w:t>Liepāja</w:t>
            </w:r>
          </w:p>
        </w:tc>
        <w:tc>
          <w:tcPr>
            <w:tcW w:w="2576"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b/>
                <w:sz w:val="18"/>
                <w:szCs w:val="24"/>
                <w:lang w:val="lt-LT" w:eastAsia="lv-LV"/>
              </w:rPr>
            </w:pPr>
            <w:r w:rsidRPr="00EF1D74">
              <w:rPr>
                <w:b/>
                <w:sz w:val="18"/>
                <w:szCs w:val="24"/>
                <w:lang w:val="lt-LT" w:eastAsia="lv-LV"/>
              </w:rPr>
              <w:t>4,6</w:t>
            </w:r>
          </w:p>
        </w:tc>
        <w:tc>
          <w:tcPr>
            <w:tcW w:w="2576"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b/>
                <w:sz w:val="18"/>
                <w:szCs w:val="24"/>
                <w:lang w:val="lt-LT" w:eastAsia="lv-LV"/>
              </w:rPr>
            </w:pPr>
            <w:r w:rsidRPr="00EF1D74">
              <w:rPr>
                <w:b/>
                <w:sz w:val="18"/>
                <w:szCs w:val="24"/>
                <w:lang w:val="lt-LT" w:eastAsia="lv-LV"/>
              </w:rPr>
              <w:t>4,0</w:t>
            </w:r>
          </w:p>
        </w:tc>
        <w:tc>
          <w:tcPr>
            <w:tcW w:w="1263" w:type="dxa"/>
            <w:shd w:val="clear" w:color="auto" w:fill="auto"/>
            <w:tcMar>
              <w:top w:w="0" w:type="dxa"/>
              <w:left w:w="108" w:type="dxa"/>
              <w:bottom w:w="0" w:type="dxa"/>
              <w:right w:w="108" w:type="dxa"/>
            </w:tcMar>
            <w:vAlign w:val="bottom"/>
          </w:tcPr>
          <w:p w:rsidR="00EF1D74" w:rsidRPr="00EF1D74" w:rsidRDefault="00EF1D74" w:rsidP="00EF1D74">
            <w:pPr>
              <w:spacing w:after="0"/>
              <w:ind w:firstLine="0"/>
              <w:jc w:val="center"/>
              <w:rPr>
                <w:b/>
                <w:sz w:val="18"/>
                <w:szCs w:val="24"/>
                <w:lang w:eastAsia="lv-LV"/>
              </w:rPr>
            </w:pPr>
            <w:r w:rsidRPr="00EF1D74">
              <w:rPr>
                <w:b/>
                <w:sz w:val="18"/>
                <w:szCs w:val="24"/>
                <w:lang w:eastAsia="lv-LV"/>
              </w:rPr>
              <w:t>-14,0</w:t>
            </w:r>
          </w:p>
        </w:tc>
      </w:tr>
    </w:tbl>
    <w:p w:rsidR="00EF1D74" w:rsidRPr="00EF1D74" w:rsidRDefault="00EF1D74" w:rsidP="00EF1D74">
      <w:pPr>
        <w:spacing w:before="120"/>
        <w:rPr>
          <w:szCs w:val="24"/>
        </w:rPr>
      </w:pPr>
      <w:r w:rsidRPr="00EF1D74">
        <w:rPr>
          <w:szCs w:val="24"/>
        </w:rPr>
        <w:t xml:space="preserve">Aviopārvadājumu nozarē, pēc spēcīga pieauguma gada pirmajos divos mēnešos pasažieru skaits lidostā </w:t>
      </w:r>
      <w:r w:rsidRPr="00EF1D74">
        <w:rPr>
          <w:i/>
          <w:szCs w:val="24"/>
        </w:rPr>
        <w:t>Rīga</w:t>
      </w:r>
      <w:r w:rsidRPr="00EF1D74">
        <w:rPr>
          <w:szCs w:val="24"/>
        </w:rPr>
        <w:t xml:space="preserve"> pēc ārkārtas stāvokļa ieviešanas martā samazinājās par 55,7%, bet </w:t>
      </w:r>
      <w:r w:rsidRPr="00EF1D74">
        <w:rPr>
          <w:szCs w:val="24"/>
        </w:rPr>
        <w:lastRenderedPageBreak/>
        <w:t>otrajā ceturksnī kritās jau par 96,8%, salīdzinot ar iepriekšējā gada attiecīgo ceturksni. Arī jūlijā, aviopārvadājumiem uz Eiropas valstīm pakāpeniski atjaunojoties, kopējais lidostā apkalpoto pasažieru skaits joprojām bija par 77,5% mazāks nekā attiecīgajā mēnesī pirms gada. Starptautisko pasažieru pārvadājumu ierobežošana skāra arī jūras ostas, kur apkalpoto pasažieru skaits gada pirmajā pusē bija par 59,6% mazāks nekā 2019. gada attiecīgajā laika posmā, bet otrajā ceturksnī kritums pat bija sasniedzis 85,7%.</w:t>
      </w:r>
    </w:p>
    <w:p w:rsidR="00EF1D74" w:rsidRPr="00EF1D74" w:rsidRDefault="00EF1D74" w:rsidP="00EF1D74">
      <w:pPr>
        <w:spacing w:before="120"/>
        <w:rPr>
          <w:szCs w:val="24"/>
        </w:rPr>
      </w:pPr>
      <w:r w:rsidRPr="00EF1D74">
        <w:rPr>
          <w:szCs w:val="24"/>
        </w:rPr>
        <w:t>Ārkārtas situācijas laikā no marta līdz jūnijam, krītoties mobilitātei un pieprasījumam pēc pārvietošanās arī Latvijas robežās, krasi samazinājās arī sauszemes pasažieru transportā pārvadāto pasažieru skaits. Gada pirmajā pusē kopā pasažieru skaits dzelzceļā kritās par 31,8%, autobusos – par 40,0%, tramvajos – par 45% un trolejbusos – par 31,5%. Pasažieru skaita dinamika galvenajos transporta veidos laikā no 2010. gada parādīta 1.16. attēlā.</w:t>
      </w:r>
    </w:p>
    <w:p w:rsidR="00EF1D74" w:rsidRPr="00EF1D74" w:rsidRDefault="00EF1D74" w:rsidP="00EF1D74">
      <w:pPr>
        <w:spacing w:after="0"/>
        <w:ind w:firstLine="0"/>
        <w:jc w:val="center"/>
        <w:rPr>
          <w:b/>
          <w:szCs w:val="24"/>
        </w:rPr>
      </w:pPr>
      <w:r w:rsidRPr="00EF1D74">
        <w:rPr>
          <w:b/>
          <w:i/>
          <w:szCs w:val="24"/>
        </w:rPr>
        <w:t xml:space="preserve">1.16. attēls </w:t>
      </w:r>
      <w:r w:rsidRPr="00EF1D74">
        <w:rPr>
          <w:b/>
          <w:szCs w:val="24"/>
        </w:rPr>
        <w:t xml:space="preserve">Pasažieru skaita indekss galvenajos transporta veidos </w:t>
      </w:r>
    </w:p>
    <w:p w:rsidR="00EF1D74" w:rsidRPr="00EF1D74" w:rsidRDefault="00EF1D74" w:rsidP="00EF1D74">
      <w:pPr>
        <w:spacing w:after="0"/>
        <w:ind w:firstLine="0"/>
        <w:jc w:val="center"/>
        <w:rPr>
          <w:b/>
          <w:szCs w:val="24"/>
        </w:rPr>
      </w:pPr>
      <w:r w:rsidRPr="00EF1D74">
        <w:rPr>
          <w:b/>
          <w:szCs w:val="24"/>
        </w:rPr>
        <w:t>(2010. gada 1.pusgads=1)</w:t>
      </w:r>
    </w:p>
    <w:p w:rsidR="00EF1D74" w:rsidRPr="00EF1D74" w:rsidRDefault="00EF1D74" w:rsidP="00EF1D74">
      <w:pPr>
        <w:spacing w:after="0"/>
        <w:ind w:firstLine="0"/>
        <w:jc w:val="center"/>
        <w:rPr>
          <w:szCs w:val="24"/>
        </w:rPr>
      </w:pPr>
      <w:r w:rsidRPr="00EF1D74">
        <w:rPr>
          <w:rFonts w:ascii="Calibri" w:hAnsi="Calibri"/>
          <w:noProof/>
          <w:szCs w:val="24"/>
          <w:lang w:eastAsia="lv-LV"/>
        </w:rPr>
        <w:drawing>
          <wp:inline distT="0" distB="0" distL="0" distR="0" wp14:anchorId="6DEE3B72" wp14:editId="676B7E52">
            <wp:extent cx="5267325" cy="2590165"/>
            <wp:effectExtent l="0" t="0" r="0" b="63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F1D74" w:rsidRPr="00EF1D74" w:rsidRDefault="00EF1D74" w:rsidP="00EF1D74">
      <w:pPr>
        <w:spacing w:before="120"/>
        <w:ind w:firstLine="720"/>
        <w:rPr>
          <w:szCs w:val="24"/>
        </w:rPr>
      </w:pPr>
      <w:r w:rsidRPr="00EF1D74">
        <w:rPr>
          <w:szCs w:val="24"/>
        </w:rPr>
        <w:t>Covid-19 krīzes ietekmē šogad samazinājies arī kravu autopārvadājumu apjoms, kur kritums gan nav bijis tik dramatisks kā pasažieru pārvadājumos. Kravu apgrozība autotransportā gada pirmajos sešos mēnešos salīdzinājumā ar pagājušā gada attiecīgo periodu samazinājusies par 12,6% līdz 6,6 miljardiem tonnkilometru, ko noteicis kritums pārvadājumos ārvalstīs par 17,6%, kamēr iekšzemes pārvadājumi auguši par 12,6%.</w:t>
      </w:r>
    </w:p>
    <w:p w:rsidR="00EF1D74" w:rsidRPr="00EF1D74" w:rsidRDefault="00EF1D74" w:rsidP="00EF1D74">
      <w:pPr>
        <w:spacing w:before="120"/>
        <w:ind w:firstLine="720"/>
        <w:rPr>
          <w:szCs w:val="24"/>
        </w:rPr>
      </w:pPr>
      <w:r w:rsidRPr="00EF1D74">
        <w:rPr>
          <w:szCs w:val="24"/>
        </w:rPr>
        <w:t>Sagaidāms, ka gada otrajā pusē pasažieru pārvadājumu apjomi Latvijā pakāpeniski sāks atgriezties agrākajā līmenī, kamēr kravu tranzīta pārvadājumus turpinās negatīvi ietekmēt Krievijas kravu pārorientācijas politika, un kopumā transporta nozare 2020. gadā līdzās izmitināšanai un ēdināšanai, kā arī mākslai, izklaidei un atpūtai būs viena no tām nozarēm, kas būs noteikusi Latvijas ekonomikas kopējo kritumu. Augstais transporta un uzglabāšanas nozares īpatsvars ekonomikā un Krievijas tranzīta kravu krituma ietekme arī ir bijis viens no iemesliem, kāpēc Latvijas ekonomikas lejupslīde šā gada pirmajā pusē bijusi straujāka nekā Baltijas kaimiņvalstīs, kur transporta nozarē kritums bijis daudz mazāks, tajā skaitā Igaunijā transporta nozare gada pirmajā pusē samazinājusies tikai par 2,7%.</w:t>
      </w:r>
    </w:p>
    <w:p w:rsidR="00EF1D74" w:rsidRPr="00EF1D74" w:rsidRDefault="00EF1D74" w:rsidP="00EF1D74">
      <w:pPr>
        <w:spacing w:before="120"/>
        <w:ind w:firstLine="720"/>
        <w:rPr>
          <w:szCs w:val="24"/>
        </w:rPr>
      </w:pPr>
      <w:r w:rsidRPr="00EF1D74">
        <w:rPr>
          <w:szCs w:val="24"/>
        </w:rPr>
        <w:t>Arī nākamajā gadā pievienotās vērtības apjoms Latvijas transporta nozarē vēl neatgriezīsies 2019. gada līmenī, saglabājoties zemākiem aviopārvadājumu apjomiem un negatīvajām tendencēm sauszemes pasažieru pārvadājumos un kravu tranzītā caur ostām.</w:t>
      </w:r>
    </w:p>
    <w:p w:rsidR="00EF1D74" w:rsidRPr="00EF1D74" w:rsidRDefault="00EF1D74" w:rsidP="00EF1D74">
      <w:pPr>
        <w:spacing w:before="120"/>
        <w:ind w:firstLine="720"/>
        <w:rPr>
          <w:szCs w:val="24"/>
        </w:rPr>
      </w:pPr>
    </w:p>
    <w:p w:rsidR="00EF1D74" w:rsidRPr="00EF1D74" w:rsidRDefault="00EF1D74" w:rsidP="00EF1D74">
      <w:pPr>
        <w:spacing w:before="120"/>
        <w:ind w:firstLine="0"/>
        <w:jc w:val="center"/>
        <w:rPr>
          <w:rFonts w:eastAsia="Calibri"/>
          <w:b/>
          <w:szCs w:val="24"/>
        </w:rPr>
      </w:pPr>
    </w:p>
    <w:p w:rsidR="00EF1D74" w:rsidRPr="00EF1D74" w:rsidRDefault="00EF1D74" w:rsidP="00EF1D74">
      <w:pPr>
        <w:spacing w:before="120"/>
        <w:ind w:firstLine="0"/>
        <w:jc w:val="center"/>
        <w:rPr>
          <w:rFonts w:eastAsia="Calibri"/>
          <w:b/>
          <w:szCs w:val="24"/>
        </w:rPr>
      </w:pPr>
    </w:p>
    <w:p w:rsidR="00EF1D74" w:rsidRPr="00EF1D74" w:rsidRDefault="00EF1D74" w:rsidP="00EF1D74">
      <w:pPr>
        <w:spacing w:before="120"/>
        <w:ind w:firstLine="0"/>
        <w:jc w:val="center"/>
        <w:rPr>
          <w:rFonts w:eastAsia="Calibri"/>
          <w:b/>
          <w:szCs w:val="24"/>
        </w:rPr>
      </w:pPr>
      <w:r w:rsidRPr="00EF1D74">
        <w:rPr>
          <w:rFonts w:eastAsia="Calibri"/>
          <w:b/>
          <w:szCs w:val="24"/>
        </w:rPr>
        <w:lastRenderedPageBreak/>
        <w:t>Būvniecība</w:t>
      </w:r>
    </w:p>
    <w:p w:rsidR="00EF1D74" w:rsidRPr="00EF1D74" w:rsidRDefault="00EF1D74" w:rsidP="00EF1D74">
      <w:pPr>
        <w:spacing w:before="120"/>
        <w:ind w:firstLine="720"/>
        <w:rPr>
          <w:szCs w:val="24"/>
        </w:rPr>
      </w:pPr>
      <w:r w:rsidRPr="00EF1D74">
        <w:rPr>
          <w:szCs w:val="24"/>
        </w:rPr>
        <w:t xml:space="preserve">Pērn, būvniecībai uzrādot samērā vāju izaugsmi, salīdzinot ar iepriekšējiem diviem gadiem, kad nozarē tika reģistrēts </w:t>
      </w:r>
      <w:proofErr w:type="spellStart"/>
      <w:r w:rsidRPr="00EF1D74">
        <w:rPr>
          <w:szCs w:val="24"/>
        </w:rPr>
        <w:t>divciparu</w:t>
      </w:r>
      <w:proofErr w:type="spellEnd"/>
      <w:r w:rsidRPr="00EF1D74">
        <w:rPr>
          <w:szCs w:val="24"/>
        </w:rPr>
        <w:t xml:space="preserve"> pieaugums, nozares īpatsvars IKP pievienotās vērtības struktūrā saglabājās nemainīgs, veidojot 6,5%. Tajā pašā laikā 2019. gadā būtiski pieauga nozarē nodarbināto skaits – par 8,7%, salīdzinot ar 2018. gadu. Tādējādi būvniecības nozarē strādāja 81,1 tūkst. cilvēku jeb 8,9% no visiem tautsaimniecībā nodarbinātajiem.</w:t>
      </w:r>
    </w:p>
    <w:p w:rsidR="00EF1D74" w:rsidRPr="00EF1D74" w:rsidRDefault="00EF1D74" w:rsidP="00EF1D74">
      <w:pPr>
        <w:spacing w:before="120"/>
        <w:ind w:firstLine="720"/>
        <w:rPr>
          <w:szCs w:val="24"/>
        </w:rPr>
      </w:pPr>
      <w:r w:rsidRPr="00EF1D74">
        <w:rPr>
          <w:szCs w:val="24"/>
        </w:rPr>
        <w:t xml:space="preserve">2019. gadā būvniecības sektora izaugsme sabremzējās, uzrādot pieaugumu 2,9% apmērā (salīdzināmās cenās), ko noteica vājais </w:t>
      </w:r>
      <w:proofErr w:type="spellStart"/>
      <w:r w:rsidRPr="00EF1D74">
        <w:rPr>
          <w:szCs w:val="24"/>
        </w:rPr>
        <w:t>inženierbūvniecības</w:t>
      </w:r>
      <w:proofErr w:type="spellEnd"/>
      <w:r w:rsidRPr="00EF1D74">
        <w:rPr>
          <w:szCs w:val="24"/>
        </w:rPr>
        <w:t xml:space="preserve"> apjomu kāpums (+1,0%), ES fondu finansējumam nostabilizējoties iepriekšējā gada līmenī. Tikmēr ēku būvniecībā tika reģistrēts salīdzinoši spēcīgs pieaugums – par 7,8% gada griezumā, lai gan arī tas bija apmēram trīs reizes zemāks kāpums nekā 2017. un 2018. gadā.</w:t>
      </w:r>
    </w:p>
    <w:p w:rsidR="00EF1D74" w:rsidRPr="00EF1D74" w:rsidRDefault="00EF1D74" w:rsidP="00EF1D74">
      <w:pPr>
        <w:spacing w:before="120"/>
        <w:ind w:firstLine="720"/>
        <w:rPr>
          <w:szCs w:val="24"/>
        </w:rPr>
      </w:pPr>
      <w:r w:rsidRPr="00EF1D74">
        <w:rPr>
          <w:szCs w:val="24"/>
        </w:rPr>
        <w:t xml:space="preserve">Savukārt šā gada pirmajā pusgadā būvniecības sektora izaugsme bija spēcīgāka nekā pērn kopumā, salīdzinājumā ar 2019. gada pirmo pusgadu nozares apjomiem palielinoties par 5,5%. Tajā pašā laikā jāatzīmē, ka šādu būvniecības pieaugumu vidēji pusgadā noteica atšķirīgs nozares sniegums pirmajā un otrajā ceturksnī. </w:t>
      </w:r>
    </w:p>
    <w:p w:rsidR="00EF1D74" w:rsidRPr="00EF1D74" w:rsidRDefault="00EF1D74" w:rsidP="00EF1D74">
      <w:pPr>
        <w:spacing w:before="120"/>
        <w:ind w:firstLine="720"/>
        <w:rPr>
          <w:szCs w:val="24"/>
        </w:rPr>
      </w:pPr>
      <w:r w:rsidRPr="00EF1D74">
        <w:rPr>
          <w:szCs w:val="24"/>
        </w:rPr>
        <w:t xml:space="preserve">2020. gada pirmajā ceturksnī būvniecības izlaide bija palielinājusies par 14,8%, kas arī noteica augsto  nozares izaugsmi pusgadā kopumā. Būvniecības pieaugumu pirmajā ceturksnī visvairāk veicinājis ēku celtniecības apjomu kāpums par 16,5%, pieaugot gan dzīvojamo, gan nedzīvojamo ēku celtniecībai. Pirmajā ceturksnī strauji palielinājās izaugsmes tempi  arī </w:t>
      </w:r>
      <w:proofErr w:type="spellStart"/>
      <w:r w:rsidRPr="00EF1D74">
        <w:rPr>
          <w:szCs w:val="24"/>
        </w:rPr>
        <w:t>inženierbūvniecībā</w:t>
      </w:r>
      <w:proofErr w:type="spellEnd"/>
      <w:r w:rsidRPr="00EF1D74">
        <w:rPr>
          <w:szCs w:val="24"/>
        </w:rPr>
        <w:t>, salīdzinājumā ar pērnā gada attiecīgo periodu tās apjomiem pieaugot par 15,9%. Īpaši strauji pieauga ceļu un maģistrāļu būvniecība, kā arī ūdensapgādes sistēmu būvniecība. Specializēto būvdarbu apjomi šajā periodā bija par 9,7% augstāki nekā pirms gada.</w:t>
      </w:r>
    </w:p>
    <w:p w:rsidR="00EF1D74" w:rsidRPr="00EF1D74" w:rsidRDefault="00EF1D74" w:rsidP="00EF1D74">
      <w:pPr>
        <w:spacing w:before="120"/>
        <w:ind w:firstLine="720"/>
        <w:rPr>
          <w:szCs w:val="24"/>
        </w:rPr>
      </w:pPr>
      <w:r w:rsidRPr="00EF1D74">
        <w:rPr>
          <w:szCs w:val="24"/>
        </w:rPr>
        <w:t xml:space="preserve">Toties šā gada otrajā ceturksnī būvniecības apjomi gada griezumā nedaudz samazinājās – par 0,6%. To noteica gan ēku celtniecības, gan </w:t>
      </w:r>
      <w:proofErr w:type="spellStart"/>
      <w:r w:rsidRPr="00EF1D74">
        <w:rPr>
          <w:szCs w:val="24"/>
        </w:rPr>
        <w:t>inženierbūvniecības</w:t>
      </w:r>
      <w:proofErr w:type="spellEnd"/>
      <w:r w:rsidRPr="00EF1D74">
        <w:rPr>
          <w:szCs w:val="24"/>
        </w:rPr>
        <w:t xml:space="preserve"> apjomu kritums attiecīgi par 5,0% un 7,7%. No ēku veidiem būvniecības apjomu sarukums tika reģistrēts dzīvojamo ēku, viesnīcu un tam līdzīga lietojuma ēku, kā arī rūpnieciskās ražošanas ēku un noliktavu celtniecībā. Tikmēr palielinājās biroja ēku un </w:t>
      </w:r>
      <w:proofErr w:type="spellStart"/>
      <w:r w:rsidRPr="00EF1D74">
        <w:rPr>
          <w:szCs w:val="24"/>
        </w:rPr>
        <w:t>plašizklaides</w:t>
      </w:r>
      <w:proofErr w:type="spellEnd"/>
      <w:r w:rsidRPr="00EF1D74">
        <w:rPr>
          <w:szCs w:val="24"/>
        </w:rPr>
        <w:t xml:space="preserve"> pasākumu, sporta ēku, muzeju un bibliotēku, izglītības iestāžu ēku būvniecības apjomi. Nozari no straujāka krituma otrajā ceturksnī pasargāja specializēto būvdarbu apjomu kāpums par 12,3%, palielinoties elektroinstalāciju ierīkošanas, cauruļvadu uzstādīšanas, kā arī ēku nojaukšanas un būvlaukuma sagatavošanas darbiem.</w:t>
      </w:r>
    </w:p>
    <w:p w:rsidR="00EF1D74" w:rsidRPr="00EF1D74" w:rsidRDefault="00EF1D74" w:rsidP="00EF1D74">
      <w:pPr>
        <w:spacing w:before="120"/>
        <w:ind w:firstLine="720"/>
        <w:rPr>
          <w:szCs w:val="24"/>
        </w:rPr>
      </w:pPr>
      <w:r w:rsidRPr="00EF1D74">
        <w:rPr>
          <w:szCs w:val="24"/>
        </w:rPr>
        <w:t>Būvniecības struktūrā (1.17. attēls) aizvien samazinās inženierbūvju celtniecības īpatsvars – ja 2015. gadā tas sasniedza 39% no kopējās būvniecības izlaides faktiskajās cenās, tad pērn tas veidoja 34% un šā gada pirmajā pusē noslīdēja līdz 28%. Savukārt kopējā nozares struktūrā savu daļu aizvien kāpina ēku būvniecība – no 29% 2015. gadā tā ir pieaugusi līdz 37% pērn un šā gada pirmajā pusgadā jau sasniedza 40%. Jāatzīmē, ka ¾ no kopējiem ēku būvniecības apjomiem veido nedzīvojamās ēkas, ieskaitot viesnīcas, biroju ēkas, rūpnieciskās ražošanas ēkas u.tml. Specializēto būvdarbu īpatsvars būvniecības struktūrā pēdējo gadu laikā bijis samērā stabils, pērn veidojot 30%.</w:t>
      </w:r>
    </w:p>
    <w:p w:rsidR="00EF1D74" w:rsidRPr="00EF1D74" w:rsidRDefault="00EF1D74" w:rsidP="00EF1D74">
      <w:pPr>
        <w:spacing w:after="160" w:line="259" w:lineRule="auto"/>
        <w:ind w:firstLine="0"/>
        <w:jc w:val="left"/>
        <w:rPr>
          <w:szCs w:val="24"/>
        </w:rPr>
      </w:pPr>
    </w:p>
    <w:p w:rsidR="00EF1D74" w:rsidRPr="00EF1D74" w:rsidRDefault="00EF1D74" w:rsidP="00EF1D74">
      <w:pPr>
        <w:spacing w:after="160" w:line="259" w:lineRule="auto"/>
        <w:ind w:firstLine="0"/>
        <w:jc w:val="left"/>
        <w:rPr>
          <w:szCs w:val="24"/>
        </w:rPr>
      </w:pPr>
    </w:p>
    <w:p w:rsidR="00EF1D74" w:rsidRPr="00EF1D74" w:rsidRDefault="00EF1D74" w:rsidP="00EF1D74">
      <w:pPr>
        <w:spacing w:after="160" w:line="259" w:lineRule="auto"/>
        <w:ind w:firstLine="0"/>
        <w:jc w:val="left"/>
        <w:rPr>
          <w:szCs w:val="24"/>
        </w:rPr>
      </w:pPr>
    </w:p>
    <w:p w:rsidR="00EF1D74" w:rsidRPr="00EF1D74" w:rsidRDefault="00EF1D74" w:rsidP="00EF1D74">
      <w:pPr>
        <w:spacing w:after="160" w:line="259" w:lineRule="auto"/>
        <w:ind w:firstLine="0"/>
        <w:jc w:val="left"/>
        <w:rPr>
          <w:szCs w:val="24"/>
        </w:rPr>
      </w:pPr>
    </w:p>
    <w:p w:rsidR="00EF1D74" w:rsidRPr="00EF1D74" w:rsidRDefault="00EF1D74" w:rsidP="00EF1D74">
      <w:pPr>
        <w:tabs>
          <w:tab w:val="left" w:pos="2385"/>
        </w:tabs>
        <w:spacing w:after="160" w:line="259" w:lineRule="auto"/>
        <w:ind w:firstLine="0"/>
        <w:jc w:val="left"/>
        <w:rPr>
          <w:szCs w:val="24"/>
        </w:rPr>
      </w:pPr>
      <w:r w:rsidRPr="00EF1D74">
        <w:rPr>
          <w:szCs w:val="24"/>
        </w:rPr>
        <w:tab/>
      </w:r>
    </w:p>
    <w:p w:rsidR="00EF1D74" w:rsidRPr="00EF1D74" w:rsidRDefault="00EF1D74" w:rsidP="00EF1D74">
      <w:pPr>
        <w:tabs>
          <w:tab w:val="left" w:pos="2385"/>
        </w:tabs>
        <w:spacing w:after="160" w:line="259" w:lineRule="auto"/>
        <w:ind w:firstLine="0"/>
        <w:jc w:val="left"/>
        <w:rPr>
          <w:szCs w:val="24"/>
        </w:rPr>
      </w:pPr>
    </w:p>
    <w:p w:rsidR="00EF1D74" w:rsidRPr="00EF1D74" w:rsidRDefault="00EF1D74" w:rsidP="00EF1D74">
      <w:pPr>
        <w:ind w:firstLine="0"/>
        <w:jc w:val="center"/>
        <w:rPr>
          <w:b/>
          <w:i/>
          <w:szCs w:val="24"/>
        </w:rPr>
      </w:pPr>
      <w:r w:rsidRPr="00EF1D74">
        <w:rPr>
          <w:b/>
          <w:i/>
          <w:szCs w:val="24"/>
        </w:rPr>
        <w:lastRenderedPageBreak/>
        <w:t xml:space="preserve">1.17. attēls </w:t>
      </w:r>
      <w:r w:rsidRPr="00EF1D74">
        <w:rPr>
          <w:b/>
          <w:szCs w:val="24"/>
        </w:rPr>
        <w:t xml:space="preserve">Būvniecības nozares izlaides apjoms </w:t>
      </w:r>
      <w:r w:rsidRPr="00EF1D74">
        <w:rPr>
          <w:b/>
          <w:color w:val="000000"/>
          <w:szCs w:val="24"/>
        </w:rPr>
        <w:t xml:space="preserve">pa celtniecības darbu veidiem </w:t>
      </w:r>
      <w:r w:rsidRPr="00EF1D74">
        <w:rPr>
          <w:b/>
          <w:szCs w:val="24"/>
        </w:rPr>
        <w:t xml:space="preserve">faktiskajās cenās pa ceturkšņiem, milj. </w:t>
      </w:r>
      <w:proofErr w:type="spellStart"/>
      <w:r w:rsidRPr="00EF1D74">
        <w:rPr>
          <w:b/>
          <w:i/>
          <w:szCs w:val="24"/>
        </w:rPr>
        <w:t>euro</w:t>
      </w:r>
      <w:proofErr w:type="spellEnd"/>
    </w:p>
    <w:p w:rsidR="00EF1D74" w:rsidRPr="00EF1D74" w:rsidRDefault="00EF1D74" w:rsidP="00EF1D74">
      <w:pPr>
        <w:spacing w:after="160" w:line="259" w:lineRule="auto"/>
        <w:ind w:firstLine="0"/>
        <w:jc w:val="center"/>
        <w:rPr>
          <w:rFonts w:eastAsia="Calibri"/>
          <w:szCs w:val="24"/>
        </w:rPr>
      </w:pPr>
      <w:r w:rsidRPr="00EF1D74">
        <w:rPr>
          <w:rFonts w:eastAsia="Calibri"/>
          <w:noProof/>
          <w:szCs w:val="24"/>
          <w:lang w:eastAsia="lv-LV"/>
        </w:rPr>
        <w:drawing>
          <wp:inline distT="0" distB="0" distL="0" distR="0" wp14:anchorId="21D9FE03" wp14:editId="42F273FC">
            <wp:extent cx="5274310" cy="2657475"/>
            <wp:effectExtent l="0" t="0" r="2540" b="952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F1D74" w:rsidRPr="00EF1D74" w:rsidRDefault="00EF1D74" w:rsidP="00EF1D74">
      <w:pPr>
        <w:spacing w:before="120"/>
        <w:ind w:firstLine="720"/>
        <w:rPr>
          <w:szCs w:val="24"/>
        </w:rPr>
      </w:pPr>
      <w:r w:rsidRPr="00EF1D74">
        <w:rPr>
          <w:szCs w:val="24"/>
        </w:rPr>
        <w:t>Šā gada pirmajā ceturksnī, palielinoties dzīvojamo ēku būvniecības apjomiem, kas norāda uz augošo pieprasījuma pēc dzīvojamā fonda, dzīvojamo māju cenas palielinājās līdzīgi kā pērn kopumā. 2019. gadā mājokļu cenu pieaugums sasniedza 9,0%, līdzīgos tempos augot gan jauno, gan lietoto mājokļu cenām, un šā gada pirmajā ceturksnī mājokļu cenu pieaugums veidoja 8,8% (1.18. attēls). Tomēr otrajā ceturksnī Covid-19 krīzes seku rezultātā, kad pēkšņi pasliktinājās valsts ekonomiskās attīstības perspektīvas un iedzīvotāju finansiālā situācija, kā arī radās vispārējā nenoteiktība, mājokļu cenu pieaugums krasi sabremzējās  līdz 1,6% gada griezumā. Tādējādi 2020. gada pirmajā pusgadā kopā dzīvojamo māju cenas bija par 5,1% augstākas nekā pirms gada, straujāk pieaugot jauno mājokļu cenām – par 12,3%. Tikmēr lietoto mājokļu cenu pārmaiņas vēsturiski ir bijušas mazāk svārstīgas un šā gada pirmajā pusgadā kopā palielinājās par 3,5%.</w:t>
      </w:r>
    </w:p>
    <w:p w:rsidR="00EF1D74" w:rsidRPr="00EF1D74" w:rsidRDefault="00EF1D74" w:rsidP="00EF1D74">
      <w:pPr>
        <w:ind w:firstLine="0"/>
        <w:jc w:val="center"/>
        <w:rPr>
          <w:rFonts w:eastAsia="Calibri"/>
          <w:b/>
          <w:szCs w:val="24"/>
        </w:rPr>
      </w:pPr>
      <w:r w:rsidRPr="00EF1D74">
        <w:rPr>
          <w:rFonts w:eastAsia="Calibri"/>
          <w:b/>
          <w:i/>
          <w:szCs w:val="24"/>
        </w:rPr>
        <w:t xml:space="preserve">1.18. attēls </w:t>
      </w:r>
      <w:r w:rsidRPr="00EF1D74">
        <w:rPr>
          <w:rFonts w:eastAsia="Calibri"/>
          <w:b/>
          <w:szCs w:val="24"/>
        </w:rPr>
        <w:t>Mājokļu cenu pārmaiņas pret iepriekšējā gada attiecīgo ceturksni, %</w:t>
      </w:r>
    </w:p>
    <w:p w:rsidR="00EF1D74" w:rsidRPr="00EF1D74" w:rsidRDefault="00EF1D74" w:rsidP="00EF1D74">
      <w:pPr>
        <w:spacing w:after="160" w:line="259" w:lineRule="auto"/>
        <w:ind w:firstLine="0"/>
        <w:jc w:val="center"/>
        <w:rPr>
          <w:rFonts w:eastAsia="Calibri"/>
          <w:szCs w:val="24"/>
        </w:rPr>
      </w:pPr>
      <w:r w:rsidRPr="00EF1D74">
        <w:rPr>
          <w:rFonts w:eastAsia="Calibri"/>
          <w:noProof/>
          <w:szCs w:val="24"/>
          <w:lang w:eastAsia="lv-LV"/>
        </w:rPr>
        <w:drawing>
          <wp:inline distT="0" distB="0" distL="0" distR="0" wp14:anchorId="6A585B8B" wp14:editId="5ABCCAE5">
            <wp:extent cx="4572000" cy="24955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F1D74" w:rsidRPr="00EF1D74" w:rsidRDefault="00EF1D74" w:rsidP="00EF1D74">
      <w:pPr>
        <w:spacing w:before="120"/>
        <w:ind w:firstLine="720"/>
        <w:rPr>
          <w:szCs w:val="24"/>
        </w:rPr>
      </w:pPr>
      <w:r w:rsidRPr="00EF1D74">
        <w:rPr>
          <w:szCs w:val="24"/>
        </w:rPr>
        <w:t xml:space="preserve">Savukārt būvniecības izmaksas, kas ietver būvmateriālu izmaksas, strādnieku darba algu, kā arī darba mašīnu un iekārtu uzturēšanas izmaksas, uzrāda pieaugumu kopš 2017. gada. Pērn salīdzinājumā ar iepriekšējo gadu kopējās būvniecības izmaksas palielinājās par 4,1%, ko noteica sektorā strādājošo darba samaksas kāpums (1.19. attēls). Šā gada pirmajā pusē būvniecības izmaksas turpināja palielināties, taču pieauguma temps kļuva aizvien vājāks – ja </w:t>
      </w:r>
      <w:r w:rsidRPr="00EF1D74">
        <w:rPr>
          <w:szCs w:val="24"/>
        </w:rPr>
        <w:lastRenderedPageBreak/>
        <w:t>pirmajā ceturksnī būvniecības kopējās izmaksas bija par 2,5% augstākas nekā pirms gada, tad otrajā ceturksnī šis pieaugums palēninājās līdz 1,5%. Līdz ar to pusgadā kopumā celtniecības izmaksas pieauga vidēji par 2,0%, būvmateriālu izmaksu pieaugumam palēninoties līdz 0,3% un mašīnu un mehānismu uzturēšanas un ekspluatācijas izmaksām – līdz 0,7%. Tajā pašā laikā darba algu izmaksas palielinājās tikpat strauji cik pērn – par 7,6%, turklāt otrajā ceturksnī būvnieku darba algas izmaksu pieauguma temps praktiski nepalēninājās.</w:t>
      </w:r>
    </w:p>
    <w:p w:rsidR="00EF1D74" w:rsidRPr="00EF1D74" w:rsidRDefault="00EF1D74" w:rsidP="00EF1D74">
      <w:pPr>
        <w:spacing w:after="0"/>
        <w:ind w:firstLine="0"/>
        <w:jc w:val="center"/>
        <w:rPr>
          <w:rFonts w:eastAsia="Calibri"/>
          <w:b/>
          <w:szCs w:val="24"/>
        </w:rPr>
      </w:pPr>
      <w:r w:rsidRPr="00EF1D74">
        <w:rPr>
          <w:rFonts w:eastAsia="Calibri"/>
          <w:b/>
          <w:i/>
          <w:szCs w:val="24"/>
        </w:rPr>
        <w:t xml:space="preserve">1.19. attēls </w:t>
      </w:r>
      <w:r w:rsidRPr="00EF1D74">
        <w:rPr>
          <w:rFonts w:eastAsia="Calibri"/>
          <w:b/>
          <w:szCs w:val="24"/>
        </w:rPr>
        <w:t>Būvniecības izmaksu</w:t>
      </w:r>
      <w:r w:rsidRPr="00EF1D74">
        <w:rPr>
          <w:rFonts w:eastAsia="Calibri"/>
          <w:szCs w:val="24"/>
        </w:rPr>
        <w:t xml:space="preserve"> </w:t>
      </w:r>
      <w:r w:rsidRPr="00EF1D74">
        <w:rPr>
          <w:rFonts w:eastAsia="Calibri"/>
          <w:b/>
          <w:szCs w:val="24"/>
        </w:rPr>
        <w:t>pārmaiņas pret iepriekšējā gada attiecīgo ceturksni, %</w:t>
      </w:r>
    </w:p>
    <w:p w:rsidR="00EF1D74" w:rsidRPr="00EF1D74" w:rsidRDefault="00EF1D74" w:rsidP="00EF1D74">
      <w:pPr>
        <w:ind w:firstLine="0"/>
        <w:jc w:val="center"/>
        <w:rPr>
          <w:rFonts w:eastAsia="Calibri"/>
          <w:b/>
          <w:i/>
          <w:szCs w:val="24"/>
        </w:rPr>
      </w:pPr>
      <w:r w:rsidRPr="00EF1D74">
        <w:rPr>
          <w:rFonts w:eastAsia="Calibri"/>
          <w:noProof/>
          <w:szCs w:val="24"/>
          <w:lang w:eastAsia="lv-LV"/>
        </w:rPr>
        <w:drawing>
          <wp:inline distT="0" distB="0" distL="0" distR="0" wp14:anchorId="17C0A682" wp14:editId="54C0919B">
            <wp:extent cx="4572000" cy="238125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F1D74" w:rsidRPr="00EF1D74" w:rsidRDefault="00EF1D74" w:rsidP="00EF1D74">
      <w:pPr>
        <w:spacing w:before="120"/>
        <w:ind w:firstLine="720"/>
        <w:rPr>
          <w:szCs w:val="24"/>
        </w:rPr>
      </w:pPr>
      <w:r w:rsidRPr="00EF1D74">
        <w:rPr>
          <w:szCs w:val="24"/>
        </w:rPr>
        <w:t xml:space="preserve">Par ēku celtniecības turpmākajām perspektīvām liecina izsniegto būvatļauju dinamika. Atšķirībā no iepriekšējos periodos uzrādītā kāpuma izsniegtajās būvatļaujās paredzamā platība šā gada pirmajā pusgadā uzrādīja kritumu, pirmajā ceturksnī samazinoties par 5,7%, bet otrajā ceturksnī sarūkot jau par 20,9% (1.20. attēls). </w:t>
      </w:r>
    </w:p>
    <w:p w:rsidR="00EF1D74" w:rsidRPr="00EF1D74" w:rsidRDefault="00EF1D74" w:rsidP="00EF1D74">
      <w:pPr>
        <w:ind w:firstLine="0"/>
        <w:jc w:val="center"/>
        <w:rPr>
          <w:rFonts w:eastAsia="Calibri"/>
          <w:b/>
          <w:szCs w:val="24"/>
          <w:vertAlign w:val="superscript"/>
        </w:rPr>
      </w:pPr>
      <w:r w:rsidRPr="00EF1D74">
        <w:rPr>
          <w:rFonts w:eastAsia="Calibri"/>
          <w:b/>
          <w:i/>
          <w:szCs w:val="24"/>
        </w:rPr>
        <w:t xml:space="preserve">1.20. attēls </w:t>
      </w:r>
      <w:r w:rsidRPr="00EF1D74">
        <w:rPr>
          <w:rFonts w:eastAsia="Calibri"/>
          <w:b/>
          <w:szCs w:val="24"/>
        </w:rPr>
        <w:t>Izdotajās būvatļaujās paredzamā platība pa ēku veidiem, tūkst. km</w:t>
      </w:r>
      <w:r w:rsidRPr="00EF1D74">
        <w:rPr>
          <w:rFonts w:eastAsia="Calibri"/>
          <w:b/>
          <w:szCs w:val="24"/>
          <w:vertAlign w:val="superscript"/>
        </w:rPr>
        <w:t>2</w:t>
      </w:r>
    </w:p>
    <w:p w:rsidR="00EF1D74" w:rsidRPr="00EF1D74" w:rsidRDefault="00EF1D74" w:rsidP="00EF1D74">
      <w:pPr>
        <w:spacing w:before="60" w:after="60"/>
        <w:ind w:firstLine="0"/>
        <w:jc w:val="center"/>
        <w:rPr>
          <w:rFonts w:eastAsia="Calibri"/>
          <w:szCs w:val="24"/>
        </w:rPr>
      </w:pPr>
      <w:r w:rsidRPr="00EF1D74">
        <w:rPr>
          <w:rFonts w:eastAsia="Calibri"/>
          <w:noProof/>
          <w:szCs w:val="24"/>
          <w:lang w:eastAsia="lv-LV"/>
        </w:rPr>
        <w:drawing>
          <wp:inline distT="0" distB="0" distL="0" distR="0" wp14:anchorId="7A9ED2FA" wp14:editId="3A10C1B3">
            <wp:extent cx="5274310" cy="3109595"/>
            <wp:effectExtent l="0" t="0" r="2540" b="1460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t xml:space="preserve">Plānotās būvniecības platības samazināšanos gada pirmajā pusgadā noteica rūpnieciskās ražošanas ēku un noliktavu paredzamās būvniecības platības kritums saistībā ar pērn uzrādīto augsto bāzi šajā ēku segmentā. Pirmajā pusgadā samazinājās arī tirdzniecības ēku, privātmāju, kā arī </w:t>
      </w:r>
      <w:proofErr w:type="spellStart"/>
      <w:r w:rsidRPr="00EF1D74">
        <w:rPr>
          <w:rFonts w:eastAsia="Calibri"/>
          <w:szCs w:val="24"/>
        </w:rPr>
        <w:t>plašizklaides</w:t>
      </w:r>
      <w:proofErr w:type="spellEnd"/>
      <w:r w:rsidRPr="00EF1D74">
        <w:rPr>
          <w:rFonts w:eastAsia="Calibri"/>
          <w:szCs w:val="24"/>
        </w:rPr>
        <w:t xml:space="preserve"> pasākumu, izglītības, veselības aprūpes iestāžu ēku paredzamā būvniecības platība, kas norādīta izsniegtajās būvatļaujās. Tas liecina par būvniecības izaugsmes tempu palēnināšanos vai pat samazinājumu turpmākajos periodos. Turklāt </w:t>
      </w:r>
      <w:r w:rsidRPr="00EF1D74">
        <w:rPr>
          <w:rFonts w:eastAsia="Calibri"/>
          <w:szCs w:val="24"/>
        </w:rPr>
        <w:lastRenderedPageBreak/>
        <w:t xml:space="preserve">būvniecības nozares perspektīvas šogad apdraud arī nenoteiktība saistībā ar Covid-19 krīzi, ko apstiprina sarukušais būvniecības konfidences rādītājs. </w:t>
      </w:r>
    </w:p>
    <w:p w:rsidR="00EF1D74" w:rsidRPr="00EF1D74" w:rsidRDefault="00EF1D74" w:rsidP="00EF1D74">
      <w:pPr>
        <w:spacing w:before="120"/>
        <w:ind w:firstLine="720"/>
        <w:rPr>
          <w:rFonts w:eastAsia="Calibri"/>
          <w:szCs w:val="24"/>
        </w:rPr>
      </w:pPr>
      <w:r w:rsidRPr="00EF1D74">
        <w:rPr>
          <w:rFonts w:eastAsia="Calibri"/>
          <w:szCs w:val="24"/>
        </w:rPr>
        <w:t xml:space="preserve">Tajā pašā laikā atsevišķos ēku segmentos, piemēram, biroju ēku, dzīvokļu māju, kā arī vasarnīcu un dārza māju, paredzamā būvniecības platība šā gada pirmajā pusgadā pieauga, kas nozīmē par šāda tipa ēku celtniecības apjomu potenciālo pieaugumu. Turklāt daļa valsts atbalsta pasākumu cīņai ar Covid-19 krīzes sekām ir publiskās investīcijas, tajā skaitā būvniecības sektorā. Arī liela daļa no jaunā ES fondu plānošanas perioda Latvijai pieejamā finansējuma, kas pārsniedz 10 miljardus eiro, tiks novirzīta infrastruktūras projektiem. Turpmākajos periodos tiks īstenoti arī citi lieli infrastruktūras projekti, kas stimulēs nozares attīstību, piemēram, </w:t>
      </w:r>
      <w:r w:rsidRPr="00EF1D74">
        <w:rPr>
          <w:rFonts w:eastAsia="Calibri"/>
          <w:i/>
          <w:szCs w:val="24"/>
        </w:rPr>
        <w:t xml:space="preserve">Rail </w:t>
      </w:r>
      <w:proofErr w:type="spellStart"/>
      <w:r w:rsidRPr="00EF1D74">
        <w:rPr>
          <w:rFonts w:eastAsia="Calibri"/>
          <w:i/>
          <w:szCs w:val="24"/>
        </w:rPr>
        <w:t>Baltica</w:t>
      </w:r>
      <w:proofErr w:type="spellEnd"/>
      <w:r w:rsidRPr="00EF1D74">
        <w:rPr>
          <w:rFonts w:eastAsia="Calibri"/>
          <w:i/>
          <w:szCs w:val="24"/>
        </w:rPr>
        <w:t>,</w:t>
      </w:r>
      <w:r w:rsidRPr="00EF1D74">
        <w:rPr>
          <w:rFonts w:eastAsia="Calibri"/>
          <w:szCs w:val="24"/>
        </w:rPr>
        <w:t xml:space="preserve"> tādējādi, lai arī šā gada otrajai pusei būvniecības attīstības prognozes ir mazāk optimistiskas, nākamajos gados sektora izaugsmei atkal jākļūst straujākai.</w:t>
      </w:r>
    </w:p>
    <w:p w:rsidR="00EF1D74" w:rsidRPr="00EF1D74" w:rsidRDefault="00EF1D74" w:rsidP="00EF1D74">
      <w:pPr>
        <w:spacing w:before="60" w:after="60" w:line="259" w:lineRule="auto"/>
        <w:ind w:firstLine="0"/>
        <w:jc w:val="center"/>
        <w:rPr>
          <w:rFonts w:eastAsia="Calibri"/>
          <w:b/>
          <w:szCs w:val="24"/>
        </w:rPr>
      </w:pPr>
      <w:r w:rsidRPr="00EF1D74">
        <w:rPr>
          <w:rFonts w:eastAsia="Calibri"/>
          <w:b/>
          <w:szCs w:val="24"/>
        </w:rPr>
        <w:t>Finanšu un apdrošināšanas nozare</w:t>
      </w:r>
    </w:p>
    <w:p w:rsidR="00EF1D74" w:rsidRPr="00EF1D74" w:rsidRDefault="00EF1D74" w:rsidP="00EF1D74">
      <w:pPr>
        <w:spacing w:before="120"/>
        <w:ind w:firstLine="720"/>
        <w:rPr>
          <w:szCs w:val="24"/>
        </w:rPr>
      </w:pPr>
      <w:r w:rsidRPr="00EF1D74">
        <w:rPr>
          <w:szCs w:val="24"/>
        </w:rPr>
        <w:t>Finanšu un apdrošināšanas nozarē vērojams pievienotās vērtības kritums kopš 2017. gada, 2018. gadā tā samazinājās par 3,1%, bet 2019. gadā par 15,2%, savukārt 2020. gada 1.pusgadā samazinājās par 0,9% gada izteiksmē. Ja iepriekšējo gadu lejupslīdi nozarē noteica strukturālās izmaiņas, tad 2020. gadā tāpat kā citas nozares arī finanšu nozari skāra Covid-19 izraisītā krīze. Kopumā nozares īpatsvars kopējā pievienotajā vērtībā tautsaimniecībā ir samazinājies gandrīz divas reizes no 4,8% 2015. gadā līdz 2,9% 2019. gadā. Savukārt nodarbināto skaits pēc iepriekšējo gadu krituma, samazinoties nerezidentu apkalpošanai, 2019. gadā ir uzrādījis pieauguma tendenci, tomēr 2020. gadā Covid-19 krīzes ietekmē nozarē strādājošo skaits atkal sācis samazināties.</w:t>
      </w:r>
    </w:p>
    <w:p w:rsidR="00EF1D74" w:rsidRPr="00EF1D74" w:rsidRDefault="00EF1D74" w:rsidP="00EF1D74">
      <w:pPr>
        <w:spacing w:before="120"/>
        <w:ind w:firstLine="720"/>
        <w:rPr>
          <w:szCs w:val="24"/>
        </w:rPr>
      </w:pPr>
      <w:r w:rsidRPr="00EF1D74">
        <w:rPr>
          <w:szCs w:val="24"/>
        </w:rPr>
        <w:t xml:space="preserve">Nozares strukturālās izmaiņas saistībā ar uzraudzības prasību izmaiņām pamatā noslēdzās 2019. gadā. Līdz ar to Latvijas banku nozare 2020. gadu iesāka ar jauno Finanšu un kapitāla tirgus komisijā saskaņoto biznesa modeļu īstenošanu dzīvē. Šīs pārmaiņas rezultējās ar riskantu nerezidentu noguldījumu aizplūdi (kopš 2016. gada, kad nerezidentu depozītu apjoms bija vislielākais, to apjoms līdz 2020. gada augustam ir samazinājies par 77%) un līdz ar to arī ar kopējo aktīvu samazinājumu. 2020. gads sākās ar samērā noturīgu stabilitāti. Tajā pašā laikā rezidentu depozītu atlikumi ir vienmērīgi pieauguši kopš 2016. gada ar vidējo tempu 6% gadā. </w:t>
      </w:r>
    </w:p>
    <w:p w:rsidR="00EF1D74" w:rsidRPr="00EF1D74" w:rsidRDefault="00EF1D74" w:rsidP="00EF1D74">
      <w:pPr>
        <w:spacing w:before="60" w:after="0"/>
        <w:ind w:firstLine="720"/>
        <w:rPr>
          <w:rFonts w:eastAsia="Calibri"/>
          <w:b/>
          <w:szCs w:val="24"/>
        </w:rPr>
      </w:pPr>
      <w:r w:rsidRPr="00EF1D74">
        <w:rPr>
          <w:rFonts w:eastAsia="Calibri"/>
          <w:b/>
          <w:i/>
          <w:szCs w:val="24"/>
        </w:rPr>
        <w:t xml:space="preserve">1.21. attēls </w:t>
      </w:r>
      <w:r w:rsidRPr="00EF1D74">
        <w:rPr>
          <w:rFonts w:eastAsia="Calibri"/>
          <w:b/>
          <w:szCs w:val="24"/>
        </w:rPr>
        <w:t xml:space="preserve">Nerezidentu un rezidentu noguldījumi Latvijas bankās, milj. </w:t>
      </w:r>
      <w:proofErr w:type="spellStart"/>
      <w:r w:rsidRPr="00EF1D74">
        <w:rPr>
          <w:rFonts w:eastAsia="Calibri"/>
          <w:b/>
          <w:szCs w:val="24"/>
        </w:rPr>
        <w:t>euro</w:t>
      </w:r>
      <w:proofErr w:type="spellEnd"/>
    </w:p>
    <w:p w:rsidR="00EF1D74" w:rsidRPr="00EF1D74" w:rsidRDefault="00EF1D74" w:rsidP="00EF1D74">
      <w:pPr>
        <w:spacing w:before="60" w:after="0"/>
        <w:ind w:firstLine="0"/>
        <w:rPr>
          <w:szCs w:val="24"/>
        </w:rPr>
      </w:pPr>
      <w:r w:rsidRPr="00EF1D74">
        <w:rPr>
          <w:rFonts w:eastAsia="Calibri"/>
          <w:bCs/>
          <w:noProof/>
          <w:szCs w:val="24"/>
          <w:lang w:eastAsia="lv-LV"/>
        </w:rPr>
        <w:drawing>
          <wp:inline distT="0" distB="0" distL="0" distR="0" wp14:anchorId="2FE3B3B0" wp14:editId="4D71419A">
            <wp:extent cx="5274310" cy="2861310"/>
            <wp:effectExtent l="0" t="0" r="254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F1D74" w:rsidRPr="00EF1D74" w:rsidRDefault="00EF1D74" w:rsidP="00EF1D74">
      <w:pPr>
        <w:spacing w:before="120"/>
        <w:ind w:firstLine="720"/>
        <w:rPr>
          <w:szCs w:val="24"/>
        </w:rPr>
      </w:pPr>
      <w:r w:rsidRPr="00EF1D74">
        <w:rPr>
          <w:szCs w:val="24"/>
        </w:rPr>
        <w:t xml:space="preserve">Attiecībā uz kreditēšanu jānorāda, ka kopējo izsniegto kredītu apjoms turpina samazināties. 2019. gadā rezidentiem izsniegto kredītu apjoms samazinājās par 1,5%, un līdz 2020. gada augustam līdz ar kopējās ekonomiskas aktivitātes sarukumu samazinājuma temps </w:t>
      </w:r>
      <w:r w:rsidRPr="00EF1D74">
        <w:rPr>
          <w:szCs w:val="24"/>
        </w:rPr>
        <w:lastRenderedPageBreak/>
        <w:t>pieauga līdz 5,3%. Tajā pašā laikā nelielu, taču noturīgu pieaugumu uzrādīja Latvijas mājsaimniecībām izsniegtie kredīti, kas nodrošināti ar nekustamā īpašuma ķīlu. Saskaņā ar Latvijas Bankas datiem, mājokļa iegādei kredītu apjoms 2019. gadā ir audzis par 1,8%, un mājsaimniecībām izsniegtie patēriņa kredīti pieauga par 3,6%, kamēr uzņēmumiem izsniegto kredītu apjoms samazinājās par 3,3%. Savukārt 2020. gada 8 mēnešos Covid-19 izraisītās krīzes dēļ rezidentiem izsniegto kredītu apjoms gada griezumā jau ir samazinājies par 5,3%, no tiem mājsaimniecībām par 0,5%, bet uzņēmumiem par 9%.</w:t>
      </w:r>
    </w:p>
    <w:p w:rsidR="00EF1D74" w:rsidRPr="00EF1D74" w:rsidRDefault="00EF1D74" w:rsidP="00EF1D74">
      <w:pPr>
        <w:spacing w:before="120"/>
        <w:ind w:firstLine="720"/>
        <w:rPr>
          <w:szCs w:val="24"/>
        </w:rPr>
      </w:pPr>
      <w:r w:rsidRPr="00EF1D74">
        <w:rPr>
          <w:szCs w:val="24"/>
        </w:rPr>
        <w:t xml:space="preserve">Jāatzīmē, ka kopš 2015. gada </w:t>
      </w:r>
      <w:proofErr w:type="spellStart"/>
      <w:r w:rsidRPr="00EF1D74">
        <w:rPr>
          <w:szCs w:val="24"/>
        </w:rPr>
        <w:t>jaunizsniegto</w:t>
      </w:r>
      <w:proofErr w:type="spellEnd"/>
      <w:r w:rsidRPr="00EF1D74">
        <w:rPr>
          <w:szCs w:val="24"/>
        </w:rPr>
        <w:t xml:space="preserve"> kredītu apjoms Latvijas mājsaimniecībām veido aptuveni 4,4 miljardus </w:t>
      </w:r>
      <w:proofErr w:type="spellStart"/>
      <w:r w:rsidRPr="00EF1D74">
        <w:rPr>
          <w:i/>
          <w:szCs w:val="24"/>
        </w:rPr>
        <w:t>euro</w:t>
      </w:r>
      <w:proofErr w:type="spellEnd"/>
      <w:r w:rsidRPr="00EF1D74">
        <w:rPr>
          <w:szCs w:val="24"/>
        </w:rPr>
        <w:t xml:space="preserve">, no kuriem 2,8 miljardi </w:t>
      </w:r>
      <w:proofErr w:type="spellStart"/>
      <w:r w:rsidRPr="00EF1D74">
        <w:rPr>
          <w:szCs w:val="24"/>
        </w:rPr>
        <w:t>euro</w:t>
      </w:r>
      <w:proofErr w:type="spellEnd"/>
      <w:r w:rsidRPr="00EF1D74">
        <w:rPr>
          <w:szCs w:val="24"/>
        </w:rPr>
        <w:t xml:space="preserve"> ir mājokļa iegādei. Turklāt kredīti 1,1 miljarda </w:t>
      </w:r>
      <w:proofErr w:type="spellStart"/>
      <w:r w:rsidRPr="00EF1D74">
        <w:rPr>
          <w:i/>
          <w:szCs w:val="24"/>
        </w:rPr>
        <w:t>euro</w:t>
      </w:r>
      <w:proofErr w:type="spellEnd"/>
      <w:r w:rsidRPr="00EF1D74">
        <w:rPr>
          <w:szCs w:val="24"/>
        </w:rPr>
        <w:t xml:space="preserve"> apmērā mājokļu iegādei tika sniegti ar valsts attīstības finanšu institūcijas </w:t>
      </w:r>
      <w:r w:rsidRPr="00EF1D74">
        <w:rPr>
          <w:i/>
          <w:szCs w:val="24"/>
        </w:rPr>
        <w:t>ALTUM</w:t>
      </w:r>
      <w:r w:rsidRPr="00EF1D74">
        <w:rPr>
          <w:szCs w:val="24"/>
        </w:rPr>
        <w:t xml:space="preserve"> atbalstu ģimenēm ar bērniem un jauniem speciālistiem. Tomēr no jauna izsniegto kredītu apjoms mājsaimniecībām mājokļa iegādei 2019. gadā uzrādīja 3,7% samazinājumu.</w:t>
      </w:r>
    </w:p>
    <w:p w:rsidR="00EF1D74" w:rsidRPr="00EF1D74" w:rsidRDefault="00EF1D74" w:rsidP="00EF1D74">
      <w:pPr>
        <w:spacing w:before="120"/>
        <w:ind w:firstLine="720"/>
        <w:rPr>
          <w:szCs w:val="24"/>
        </w:rPr>
      </w:pPr>
      <w:r w:rsidRPr="00EF1D74">
        <w:rPr>
          <w:szCs w:val="24"/>
        </w:rPr>
        <w:t xml:space="preserve">Covid-19 ieviestie ierobežojumi un nenoteiktība jūtami mazināja mājsaimniecību vēlmi kreditēties. 2020. gada 6 mēnešos no jauna izsniegto kredītu apjoms mājoklim ir par 20% mazāks, nekā šajā periodā pērn. Arī uzņēmumiem no jauna uzsniegto kredītu apjoms š.g. 6 mēnešos ir par 5,8% mazāks, nekā šajā periodā pērn. Arī ar </w:t>
      </w:r>
      <w:r w:rsidRPr="00EF1D74">
        <w:rPr>
          <w:i/>
          <w:szCs w:val="24"/>
        </w:rPr>
        <w:t>ALTUM</w:t>
      </w:r>
      <w:r w:rsidRPr="00EF1D74">
        <w:rPr>
          <w:szCs w:val="24"/>
        </w:rPr>
        <w:t xml:space="preserve"> atbalstu izsniegto kredītu apjoms gan jaunajām ģimenēm, gan jaunajiem speciālistiem š.g. 6 mēnešos samazinājās. Kopējais ar </w:t>
      </w:r>
      <w:r w:rsidRPr="00EF1D74">
        <w:rPr>
          <w:i/>
          <w:szCs w:val="24"/>
        </w:rPr>
        <w:t>ALTUM</w:t>
      </w:r>
      <w:r w:rsidRPr="00EF1D74">
        <w:rPr>
          <w:szCs w:val="24"/>
        </w:rPr>
        <w:t xml:space="preserve"> atbalstu izsniegto kredītu apjoms 2020. gada 6 mēnešos bija 19% mazāks nekā attiecīgajā periodā pirms gada. Kreditēšanas aktivitāte īpaši kritās pandēmijas uzliesmojuma laikā, kad 2020. gada 2.ceturksnī izsniegto kredītu apjoms jaunajām ģimenēm saruka pat par 37% pret šo pašu periodu pērn.</w:t>
      </w:r>
    </w:p>
    <w:p w:rsidR="00EF1D74" w:rsidRPr="00EF1D74" w:rsidRDefault="00EF1D74" w:rsidP="00EF1D74">
      <w:pPr>
        <w:spacing w:before="60" w:after="0"/>
        <w:ind w:firstLine="0"/>
        <w:jc w:val="center"/>
        <w:rPr>
          <w:rFonts w:eastAsia="Calibri"/>
          <w:b/>
          <w:szCs w:val="24"/>
        </w:rPr>
      </w:pPr>
      <w:r w:rsidRPr="00EF1D74">
        <w:rPr>
          <w:rFonts w:eastAsia="Calibri"/>
          <w:b/>
          <w:i/>
          <w:szCs w:val="24"/>
        </w:rPr>
        <w:t xml:space="preserve">1.22. attēls </w:t>
      </w:r>
      <w:r w:rsidRPr="00EF1D74">
        <w:rPr>
          <w:rFonts w:eastAsia="Calibri"/>
          <w:b/>
          <w:szCs w:val="24"/>
        </w:rPr>
        <w:t xml:space="preserve">Rezidentiem izsniegtie jaunie kredīti (bez refinansētiem kredītiem), </w:t>
      </w:r>
      <w:r w:rsidRPr="00EF1D74">
        <w:rPr>
          <w:rFonts w:eastAsia="Calibri"/>
          <w:b/>
          <w:szCs w:val="24"/>
        </w:rPr>
        <w:br/>
        <w:t xml:space="preserve">milj. </w:t>
      </w:r>
      <w:proofErr w:type="spellStart"/>
      <w:r w:rsidRPr="00EF1D74">
        <w:rPr>
          <w:rFonts w:eastAsia="Calibri"/>
          <w:b/>
          <w:i/>
          <w:szCs w:val="24"/>
        </w:rPr>
        <w:t>euro</w:t>
      </w:r>
      <w:proofErr w:type="spellEnd"/>
    </w:p>
    <w:p w:rsidR="00EF1D74" w:rsidRPr="00EF1D74" w:rsidRDefault="00EF1D74" w:rsidP="00EF1D74">
      <w:pPr>
        <w:spacing w:before="60" w:after="0"/>
        <w:ind w:firstLine="720"/>
        <w:rPr>
          <w:rFonts w:eastAsia="Calibri"/>
          <w:b/>
          <w:bCs/>
          <w:vanish/>
          <w:szCs w:val="24"/>
        </w:rPr>
      </w:pPr>
    </w:p>
    <w:p w:rsidR="00EF1D74" w:rsidRPr="00EF1D74" w:rsidRDefault="00EF1D74" w:rsidP="00EF1D74">
      <w:pPr>
        <w:spacing w:before="60" w:after="0"/>
        <w:ind w:firstLine="720"/>
        <w:rPr>
          <w:rFonts w:eastAsia="Calibri"/>
          <w:bCs/>
          <w:szCs w:val="24"/>
        </w:rPr>
      </w:pPr>
      <w:r w:rsidRPr="00EF1D74">
        <w:rPr>
          <w:rFonts w:eastAsia="Calibri"/>
          <w:bCs/>
          <w:noProof/>
          <w:szCs w:val="24"/>
          <w:lang w:eastAsia="lv-LV"/>
        </w:rPr>
        <w:drawing>
          <wp:inline distT="0" distB="0" distL="0" distR="0" wp14:anchorId="0CEE828C" wp14:editId="3512E0EB">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F1D74" w:rsidRPr="00EF1D74" w:rsidRDefault="00EF1D74" w:rsidP="00EF1D74">
      <w:pPr>
        <w:spacing w:before="120"/>
        <w:ind w:firstLine="720"/>
        <w:rPr>
          <w:szCs w:val="24"/>
        </w:rPr>
      </w:pPr>
      <w:r w:rsidRPr="00EF1D74">
        <w:rPr>
          <w:szCs w:val="24"/>
        </w:rPr>
        <w:t xml:space="preserve">Kopumā 2019. gadā banku sektors darbojās ar 113,6 milj. </w:t>
      </w:r>
      <w:proofErr w:type="spellStart"/>
      <w:r w:rsidRPr="00EF1D74">
        <w:rPr>
          <w:i/>
          <w:szCs w:val="24"/>
        </w:rPr>
        <w:t>euro</w:t>
      </w:r>
      <w:proofErr w:type="spellEnd"/>
      <w:r w:rsidRPr="00EF1D74">
        <w:rPr>
          <w:i/>
          <w:szCs w:val="24"/>
        </w:rPr>
        <w:t xml:space="preserve"> </w:t>
      </w:r>
      <w:r w:rsidRPr="00EF1D74">
        <w:rPr>
          <w:szCs w:val="24"/>
        </w:rPr>
        <w:t xml:space="preserve">pelņu, kas ir par 60% mazāk nekā 2018. gadā. Savukārt 2020. gada pirmajā pusgadā peļņa sastādīja 40,3 milj. </w:t>
      </w:r>
      <w:proofErr w:type="spellStart"/>
      <w:r w:rsidRPr="00EF1D74">
        <w:rPr>
          <w:i/>
          <w:szCs w:val="24"/>
        </w:rPr>
        <w:t>euro</w:t>
      </w:r>
      <w:proofErr w:type="spellEnd"/>
      <w:r w:rsidRPr="00EF1D74">
        <w:rPr>
          <w:szCs w:val="24"/>
        </w:rPr>
        <w:t xml:space="preserve">, kas ir par 66% mazāk nekā pērn šajā periodā. Covid-19 krīze mazināja arī banku kapitāla </w:t>
      </w:r>
      <w:proofErr w:type="spellStart"/>
      <w:r w:rsidRPr="00EF1D74">
        <w:rPr>
          <w:szCs w:val="24"/>
        </w:rPr>
        <w:t>atdeves</w:t>
      </w:r>
      <w:proofErr w:type="spellEnd"/>
      <w:r w:rsidRPr="00EF1D74">
        <w:rPr>
          <w:szCs w:val="24"/>
        </w:rPr>
        <w:t xml:space="preserve"> rādītāju (ROE). 2020. gada 1. pusgadā ROE bija 3,2% līmenī, kas, salīdzinot ar 2019. gada vidējo rādītāju (9,9%), ir jūtams samazinājums. Tomēr kredītportfeļa kvalitāte 2020. gadā ir uzlabojusies, ienākumus nenesošo kredītu īpatsvars ir 5,3%, kas ir 1,8 procentpunktu uzlabojums salīdzinājumā ar 2019. gada beigām.</w:t>
      </w:r>
    </w:p>
    <w:p w:rsidR="00EF1D74" w:rsidRPr="00EF1D74" w:rsidRDefault="00EF1D74" w:rsidP="00EF1D74">
      <w:pPr>
        <w:spacing w:before="120"/>
        <w:ind w:firstLine="720"/>
        <w:rPr>
          <w:szCs w:val="24"/>
        </w:rPr>
      </w:pPr>
      <w:r w:rsidRPr="00EF1D74">
        <w:rPr>
          <w:szCs w:val="24"/>
        </w:rPr>
        <w:t xml:space="preserve">Citi finanšu sektora tirgus dalībnieki arī 2020. gadā turpināja uzrādīt stabilu, mērenu izaugsmi. Saskaņā ar FKTK apkopotajiem datiem, palēninoties ekonomikas izaugsmes </w:t>
      </w:r>
      <w:r w:rsidRPr="00EF1D74">
        <w:rPr>
          <w:szCs w:val="24"/>
        </w:rPr>
        <w:lastRenderedPageBreak/>
        <w:t xml:space="preserve">tempam, kopējais apdrošināšanas sabiedrību parakstīto bruto prēmiju apmērs 2020. gada 1.ceturksnī pieauga par 8,6% salīdzinājumā ar iepriekšējā gada attiecīgo periodu, sasniedzot 143 milj. </w:t>
      </w:r>
      <w:proofErr w:type="spellStart"/>
      <w:r w:rsidRPr="00EF1D74">
        <w:rPr>
          <w:i/>
          <w:szCs w:val="24"/>
        </w:rPr>
        <w:t>euro</w:t>
      </w:r>
      <w:proofErr w:type="spellEnd"/>
      <w:r w:rsidRPr="00EF1D74">
        <w:rPr>
          <w:szCs w:val="24"/>
        </w:rPr>
        <w:t xml:space="preserve">, no kuriem 80% ir </w:t>
      </w:r>
      <w:proofErr w:type="spellStart"/>
      <w:r w:rsidRPr="00EF1D74">
        <w:rPr>
          <w:szCs w:val="24"/>
        </w:rPr>
        <w:t>nedzīvības</w:t>
      </w:r>
      <w:proofErr w:type="spellEnd"/>
      <w:r w:rsidRPr="00EF1D74">
        <w:rPr>
          <w:szCs w:val="24"/>
        </w:rPr>
        <w:t xml:space="preserve"> apdrošināšana. Toties dzīvības apdrošināšanas parakstīto bruto prēmiju apmērs gandrīz trīskāršojās.</w:t>
      </w:r>
    </w:p>
    <w:p w:rsidR="00EF1D74" w:rsidRPr="00EF1D74" w:rsidRDefault="00EF1D74" w:rsidP="00EF1D74">
      <w:pPr>
        <w:spacing w:before="120"/>
        <w:ind w:firstLine="720"/>
        <w:rPr>
          <w:szCs w:val="24"/>
        </w:rPr>
      </w:pPr>
      <w:r w:rsidRPr="00EF1D74">
        <w:rPr>
          <w:szCs w:val="24"/>
        </w:rPr>
        <w:t xml:space="preserve">Apdrošināšanas sabiedrības 2020. gada 1. ceturksnī kopumā strādāja ar 3,5 milj. </w:t>
      </w:r>
      <w:proofErr w:type="spellStart"/>
      <w:r w:rsidRPr="00EF1D74">
        <w:rPr>
          <w:szCs w:val="24"/>
        </w:rPr>
        <w:t>euro</w:t>
      </w:r>
      <w:proofErr w:type="spellEnd"/>
      <w:r w:rsidRPr="00EF1D74">
        <w:rPr>
          <w:szCs w:val="24"/>
        </w:rPr>
        <w:t xml:space="preserve"> zaudējumiem pretstatā 4,8 milj. </w:t>
      </w:r>
      <w:proofErr w:type="spellStart"/>
      <w:r w:rsidRPr="00EF1D74">
        <w:rPr>
          <w:i/>
          <w:szCs w:val="24"/>
        </w:rPr>
        <w:t>euro</w:t>
      </w:r>
      <w:proofErr w:type="spellEnd"/>
      <w:r w:rsidRPr="00EF1D74">
        <w:rPr>
          <w:szCs w:val="24"/>
        </w:rPr>
        <w:t xml:space="preserve"> peļņai 2019. gada 1. ceturksnī. Zaudējumi bija dzīvības apdrošināšanas sabiedrībām (11,4 milj. </w:t>
      </w:r>
      <w:proofErr w:type="spellStart"/>
      <w:r w:rsidRPr="00EF1D74">
        <w:rPr>
          <w:i/>
          <w:szCs w:val="24"/>
        </w:rPr>
        <w:t>euro</w:t>
      </w:r>
      <w:proofErr w:type="spellEnd"/>
      <w:r w:rsidRPr="00EF1D74">
        <w:rPr>
          <w:szCs w:val="24"/>
        </w:rPr>
        <w:t xml:space="preserve">), kas radās no ieguldījumu pārvērtēšanas. Savukārt </w:t>
      </w:r>
      <w:proofErr w:type="spellStart"/>
      <w:r w:rsidRPr="00EF1D74">
        <w:rPr>
          <w:szCs w:val="24"/>
        </w:rPr>
        <w:t>nedzīvības</w:t>
      </w:r>
      <w:proofErr w:type="spellEnd"/>
      <w:r w:rsidRPr="00EF1D74">
        <w:rPr>
          <w:szCs w:val="24"/>
        </w:rPr>
        <w:t xml:space="preserve"> apdrošināšanas sabiedrībām peļņa sasniedza 7,8 milj. </w:t>
      </w:r>
      <w:proofErr w:type="spellStart"/>
      <w:r w:rsidRPr="00EF1D74">
        <w:rPr>
          <w:i/>
          <w:szCs w:val="24"/>
        </w:rPr>
        <w:t>euro</w:t>
      </w:r>
      <w:proofErr w:type="spellEnd"/>
      <w:r w:rsidRPr="00EF1D74">
        <w:rPr>
          <w:szCs w:val="24"/>
        </w:rPr>
        <w:t xml:space="preserve">, kas bija par 4,1 milj. </w:t>
      </w:r>
      <w:proofErr w:type="spellStart"/>
      <w:r w:rsidRPr="00EF1D74">
        <w:rPr>
          <w:i/>
          <w:szCs w:val="24"/>
        </w:rPr>
        <w:t>euro</w:t>
      </w:r>
      <w:proofErr w:type="spellEnd"/>
      <w:r w:rsidRPr="00EF1D74">
        <w:rPr>
          <w:szCs w:val="24"/>
        </w:rPr>
        <w:t xml:space="preserve"> vairāk nekā 2019. gada attiecīgajā ceturksnī.</w:t>
      </w:r>
    </w:p>
    <w:p w:rsidR="00EF1D74" w:rsidRPr="00EF1D74" w:rsidRDefault="00EF1D74" w:rsidP="00EF1D74">
      <w:pPr>
        <w:spacing w:before="120" w:line="259" w:lineRule="auto"/>
        <w:ind w:firstLine="0"/>
        <w:jc w:val="center"/>
        <w:rPr>
          <w:rFonts w:eastAsia="Calibri"/>
          <w:b/>
          <w:szCs w:val="24"/>
        </w:rPr>
      </w:pPr>
      <w:r w:rsidRPr="00EF1D74">
        <w:rPr>
          <w:rFonts w:eastAsia="Calibri"/>
          <w:b/>
          <w:szCs w:val="24"/>
        </w:rPr>
        <w:t>Lauksaimniecība</w:t>
      </w:r>
    </w:p>
    <w:p w:rsidR="00EF1D74" w:rsidRPr="00EF1D74" w:rsidRDefault="00EF1D74" w:rsidP="00EF1D74">
      <w:pPr>
        <w:spacing w:before="120"/>
        <w:ind w:firstLine="720"/>
        <w:rPr>
          <w:rFonts w:eastAsia="Calibri"/>
          <w:szCs w:val="24"/>
        </w:rPr>
      </w:pPr>
      <w:r w:rsidRPr="00EF1D74">
        <w:rPr>
          <w:rFonts w:eastAsia="Calibri"/>
          <w:szCs w:val="24"/>
        </w:rPr>
        <w:t xml:space="preserve">Latvijas tautsaimniecības nozaru struktūrā lauksaimniecība, apvienojot mežsaimniecības, lauksaimniecības (lopkopība, augkopība) un zivsaimniecības </w:t>
      </w:r>
      <w:proofErr w:type="spellStart"/>
      <w:r w:rsidRPr="00EF1D74">
        <w:rPr>
          <w:rFonts w:eastAsia="Calibri"/>
          <w:szCs w:val="24"/>
        </w:rPr>
        <w:t>apakšnozares</w:t>
      </w:r>
      <w:proofErr w:type="spellEnd"/>
      <w:r w:rsidRPr="00EF1D74">
        <w:rPr>
          <w:rFonts w:eastAsia="Calibri"/>
          <w:szCs w:val="24"/>
        </w:rPr>
        <w:t>, pērn veidoja 3,8%, kas bija viens no augstākajiem nozares īpatsvariem pēdējo piecpadsmit gadu laikā. Salīdzinot ar 2018. gadu, lauksaimniecības daļa Latvijas ekonomikā pērn ir palielinājusies par 0,4 procentpunktiem, ko nodrošināja spēcīgā nozares izaugsme 2019. gadā.</w:t>
      </w:r>
    </w:p>
    <w:p w:rsidR="00EF1D74" w:rsidRPr="00EF1D74" w:rsidRDefault="00EF1D74" w:rsidP="00EF1D74">
      <w:pPr>
        <w:spacing w:before="120"/>
        <w:ind w:firstLine="720"/>
        <w:rPr>
          <w:rFonts w:eastAsia="Calibri"/>
          <w:szCs w:val="24"/>
        </w:rPr>
      </w:pPr>
      <w:r w:rsidRPr="00EF1D74">
        <w:rPr>
          <w:rFonts w:eastAsia="Calibri"/>
          <w:szCs w:val="24"/>
        </w:rPr>
        <w:t xml:space="preserve">Lai arī nozares īpatsvars kopējā Latvijas tautsaimniecības struktūrā ir neliels, lauksaimniecībā nodarbināto skaits ir salīdzinoši augsts. 2019. gadā nozarē strādāja 66,3 tūkstoši cilvēku, kas ir 7,3% no kopējā tautsaimniecībā nodarbināto iedzīvotāju skaita. Pērn lauksaimniecībā strādājošo skaits pieauga par 4,7%, tomēr kopumā kopš 2008-2009. gada finanšu krīzes nozarē ir vērojama </w:t>
      </w:r>
      <w:proofErr w:type="spellStart"/>
      <w:r w:rsidRPr="00EF1D74">
        <w:rPr>
          <w:rFonts w:eastAsia="Calibri"/>
          <w:szCs w:val="24"/>
        </w:rPr>
        <w:t>lejupslīdoša</w:t>
      </w:r>
      <w:proofErr w:type="spellEnd"/>
      <w:r w:rsidRPr="00EF1D74">
        <w:rPr>
          <w:rFonts w:eastAsia="Calibri"/>
          <w:szCs w:val="24"/>
        </w:rPr>
        <w:t xml:space="preserve"> nodarbināto skaita tendence. Savukārt, pieaugot nozares pievienotajai vērtībai, uzlabojas lauksaimniecības produktivitātes rādītāji – pērn, salīdzinot ar 2018. gadu, pievienotā vērtība nozarē uz nodarbināto palielinājusies par 7,2%, bet salīdzinājumā ar 2008. gadu tā pieaugusi par 61%. </w:t>
      </w:r>
    </w:p>
    <w:p w:rsidR="00EF1D74" w:rsidRPr="00EF1D74" w:rsidRDefault="00EF1D74" w:rsidP="00EF1D74">
      <w:pPr>
        <w:spacing w:before="120"/>
        <w:ind w:firstLine="720"/>
        <w:rPr>
          <w:rFonts w:eastAsia="Calibri"/>
          <w:szCs w:val="24"/>
        </w:rPr>
      </w:pPr>
      <w:r w:rsidRPr="00EF1D74">
        <w:rPr>
          <w:rFonts w:eastAsia="Calibri"/>
          <w:szCs w:val="24"/>
        </w:rPr>
        <w:t>2019. gadā lauksaimniecība uzrādīja straujāko izaugsmi pēdējo desmit gadu laikā, salīdzinājumā ar 2018. gadu nozarē radītajai pievienotajai vērtībai palielinoties par 12,3%. Tik spēcīgu nozares izaugsmi nodrošināja lopkopības un augkopības apjomu straujais pieaugums, kā arī mērenāks pievienotās vērtības kāpums mežsaimniecībā un mežizstrādē. Savukārt šogad lauksaimniecības nozare uzrāda vājus rezultātus, šā gada pirmajā pusgadā salīdzinājumā ar attiecīgo laika posmu 2019. gadā nozarē radītajai pievienotajai vērtībai samazinoties par 1,1%, ko izraisīja kritums gan mežsaimniecībā, gan zivsaimniecībā.</w:t>
      </w:r>
    </w:p>
    <w:p w:rsidR="00EF1D74" w:rsidRPr="00EF1D74" w:rsidRDefault="00EF1D74" w:rsidP="00EF1D74">
      <w:pPr>
        <w:spacing w:before="120"/>
        <w:ind w:firstLine="720"/>
        <w:jc w:val="center"/>
        <w:rPr>
          <w:rFonts w:eastAsia="Calibri"/>
          <w:szCs w:val="24"/>
        </w:rPr>
      </w:pPr>
      <w:r w:rsidRPr="00EF1D74">
        <w:rPr>
          <w:rFonts w:eastAsia="Calibri"/>
          <w:b/>
          <w:i/>
          <w:szCs w:val="24"/>
        </w:rPr>
        <w:t xml:space="preserve">1.23. attēls </w:t>
      </w:r>
      <w:r w:rsidRPr="00EF1D74">
        <w:rPr>
          <w:rFonts w:eastAsia="Calibri"/>
          <w:b/>
          <w:szCs w:val="24"/>
        </w:rPr>
        <w:t>Lauksaimniecības nozares pievienotās vērtības struktūra 2019. gadā (%)</w:t>
      </w:r>
    </w:p>
    <w:p w:rsidR="00EF1D74" w:rsidRPr="00EF1D74" w:rsidRDefault="00EF1D74" w:rsidP="00EF1D74">
      <w:pPr>
        <w:ind w:firstLine="0"/>
        <w:jc w:val="center"/>
        <w:rPr>
          <w:szCs w:val="24"/>
        </w:rPr>
      </w:pPr>
      <w:r w:rsidRPr="00EF1D74">
        <w:rPr>
          <w:rFonts w:eastAsia="Calibri"/>
          <w:noProof/>
          <w:szCs w:val="24"/>
          <w:lang w:eastAsia="lv-LV"/>
        </w:rPr>
        <w:drawing>
          <wp:inline distT="0" distB="0" distL="0" distR="0" wp14:anchorId="304B69B8" wp14:editId="58238338">
            <wp:extent cx="3810000" cy="1914525"/>
            <wp:effectExtent l="0" t="0" r="0" b="952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F1D74" w:rsidRPr="00EF1D74" w:rsidRDefault="00EF1D74" w:rsidP="00EF1D74">
      <w:pPr>
        <w:ind w:firstLine="0"/>
        <w:jc w:val="center"/>
        <w:rPr>
          <w:rFonts w:eastAsia="Calibri"/>
          <w:b/>
          <w:i/>
          <w:szCs w:val="24"/>
        </w:rPr>
      </w:pPr>
    </w:p>
    <w:p w:rsidR="00EF1D74" w:rsidRPr="00EF1D74" w:rsidRDefault="00EF1D74" w:rsidP="00EF1D74">
      <w:pPr>
        <w:spacing w:before="120"/>
        <w:ind w:firstLine="720"/>
        <w:rPr>
          <w:rFonts w:eastAsia="Calibri"/>
          <w:szCs w:val="24"/>
        </w:rPr>
      </w:pPr>
      <w:r w:rsidRPr="00EF1D74">
        <w:rPr>
          <w:rFonts w:eastAsia="Calibri"/>
          <w:szCs w:val="24"/>
        </w:rPr>
        <w:t xml:space="preserve">Lielākā lauksaimniecības </w:t>
      </w:r>
      <w:proofErr w:type="spellStart"/>
      <w:r w:rsidRPr="00EF1D74">
        <w:rPr>
          <w:rFonts w:eastAsia="Calibri"/>
          <w:szCs w:val="24"/>
        </w:rPr>
        <w:t>apakšnozare</w:t>
      </w:r>
      <w:proofErr w:type="spellEnd"/>
      <w:r w:rsidRPr="00EF1D74">
        <w:rPr>
          <w:rFonts w:eastAsia="Calibri"/>
          <w:szCs w:val="24"/>
        </w:rPr>
        <w:t xml:space="preserve">, kura apvieno lopkopību un augkopību, 2019. gadā veidoja pusi no visa lauksaimniecības sektora kopējās pievienotās vērtības un pērn uzrādīja izaugsmi 23,8% apmērā (1.24. attēls). To nodrošināja straujais augkopības apjomu </w:t>
      </w:r>
      <w:r w:rsidRPr="00EF1D74">
        <w:rPr>
          <w:rFonts w:eastAsia="Calibri"/>
          <w:szCs w:val="24"/>
        </w:rPr>
        <w:lastRenderedPageBreak/>
        <w:t>pieaugums (+42,7%), ko noteica vēsturiski augstākā graudaugu kopraža Latvijā. Tajā pašā laikā lopkopības apjomi pēdējo gadu laikā bijuši salīdzinoši stabili un 2019. gadā uzrādīja nelielu apjomu kritumu – par 1,4%.</w:t>
      </w:r>
    </w:p>
    <w:p w:rsidR="00EF1D74" w:rsidRPr="00EF1D74" w:rsidRDefault="00EF1D74" w:rsidP="00EF1D74">
      <w:pPr>
        <w:ind w:firstLine="0"/>
        <w:jc w:val="center"/>
        <w:rPr>
          <w:rFonts w:eastAsia="Calibri"/>
          <w:b/>
          <w:szCs w:val="24"/>
        </w:rPr>
      </w:pPr>
      <w:r w:rsidRPr="00EF1D74">
        <w:rPr>
          <w:rFonts w:eastAsia="Calibri"/>
          <w:b/>
          <w:i/>
          <w:szCs w:val="24"/>
        </w:rPr>
        <w:t xml:space="preserve">1.24. attēls </w:t>
      </w:r>
      <w:r w:rsidRPr="00EF1D74">
        <w:rPr>
          <w:rFonts w:eastAsia="Calibri"/>
          <w:b/>
          <w:szCs w:val="24"/>
        </w:rPr>
        <w:t>Lauksaimniecības produkcijas indeksi (salīdzināmajās cenās), 2010=100</w:t>
      </w:r>
    </w:p>
    <w:p w:rsidR="00EF1D74" w:rsidRPr="00EF1D74" w:rsidRDefault="00EF1D74" w:rsidP="00EF1D74">
      <w:pPr>
        <w:spacing w:before="60" w:after="60"/>
        <w:ind w:firstLine="720"/>
        <w:rPr>
          <w:rFonts w:eastAsia="Calibri"/>
          <w:szCs w:val="24"/>
        </w:rPr>
      </w:pPr>
    </w:p>
    <w:p w:rsidR="00EF1D74" w:rsidRPr="00EF1D74" w:rsidRDefault="00EF1D74" w:rsidP="00EF1D74">
      <w:pPr>
        <w:ind w:firstLine="0"/>
        <w:jc w:val="center"/>
        <w:rPr>
          <w:szCs w:val="24"/>
        </w:rPr>
      </w:pPr>
      <w:r w:rsidRPr="00EF1D74">
        <w:rPr>
          <w:rFonts w:eastAsia="Calibri"/>
          <w:noProof/>
          <w:szCs w:val="24"/>
          <w:lang w:eastAsia="lv-LV"/>
        </w:rPr>
        <w:drawing>
          <wp:inline distT="0" distB="0" distL="0" distR="0" wp14:anchorId="656DF134" wp14:editId="45CB4D61">
            <wp:extent cx="4572000" cy="235267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t>Savukārt šā gada pirmajā pusē lauksaimniecība attīstās daudz mērenāk, salīdzinot ar 2019. gada pirmo pusgadu augkopības un lopkopības pievienotajai vērtībai kopā palielinoties tikai par 1,4%. Nozares pārstāvji šovasar ir norādījuši, ka laika apstākļi graudaugu audzēšanai šogad nav bijuši ideāli saistībā ar ilgstošo sausumu pavasarī un vasaras sākumā, kā arī vētrām un krusu atsevišķos valsts reģionos, kas daudzviet sagāza labību veldrē un pamatīgi bojāja labības laukus. Tajā pašā laikā ražas novākšanas periodā laikapstākļi bijuši ļoti labi. Tādējādi, lai arī iepriekš cerētā rekordraža šogad visticamāk ievākta netiks, ko papildus apgrūtina pērn sasniegtais augstais ražas līmenis, kopumā situācija graudkopībā vērtējama pozitīvi. Tomēr šā gada pirmajā pusē samazinājušies lopkopības produkcijas, proti, gaļas, piena un olu, ražošanas apjomi.</w:t>
      </w:r>
    </w:p>
    <w:p w:rsidR="00EF1D74" w:rsidRPr="00EF1D74" w:rsidRDefault="00EF1D74" w:rsidP="00EF1D74">
      <w:pPr>
        <w:spacing w:before="120"/>
        <w:ind w:firstLine="720"/>
        <w:rPr>
          <w:rFonts w:eastAsia="Calibri"/>
          <w:szCs w:val="24"/>
        </w:rPr>
      </w:pPr>
      <w:r w:rsidRPr="00EF1D74">
        <w:rPr>
          <w:rFonts w:eastAsia="Calibri"/>
          <w:szCs w:val="24"/>
        </w:rPr>
        <w:t xml:space="preserve">Lauksaimniecības produkcijas cenas 2019. gadā salīdzinājumā ar 2018. gadu pieauga par 4,6%, straujāku pieaugumu uzrādot augkopības produkcijas cenām (+8,8% gada griezumā), kamēr lopkopības produkcijas cenas palielinājās par 5,0%, tajā skaitā piena cenas – par 3,6% (1.25. attēls). Savukārt šogad lauksaimniecības produkcijas cenas samazinās, 2020. gada pirmajā pusgadā salīdzinājumā ar attiecīgo laika periodu pērn cenu kritumam sasniedzot 4,1%. Graudu cenas bija par 2,8% zemākas nekā 2019. gada pirmajā pusgadā, un, atsaucoties uz nozares pārstāvju vērtējumu, šogad graudaugu cenas visdrīzāk nepieaugs, ņemot vērā, ka šogad pasaulē gaidāma rekordraža un līdz ar to </w:t>
      </w:r>
      <w:proofErr w:type="spellStart"/>
      <w:r w:rsidRPr="00EF1D74">
        <w:rPr>
          <w:rFonts w:eastAsia="Calibri"/>
          <w:szCs w:val="24"/>
        </w:rPr>
        <w:t>rekordaugsti</w:t>
      </w:r>
      <w:proofErr w:type="spellEnd"/>
      <w:r w:rsidRPr="00EF1D74">
        <w:rPr>
          <w:rFonts w:eastAsia="Calibri"/>
          <w:szCs w:val="24"/>
        </w:rPr>
        <w:t xml:space="preserve"> graudu krājumi. Savukārt starp visām augkopības kultūrām straujākais cenu kritums šā gada pirmajā pusē reģistrēts kartupeļiem – to cenas gada griezumā sarukušas par 30,0%. Lopkopības produkcijas cenas 2020. gada pirmajā pusē samazinājās par 2,5%, ko visbūtiskāk noteica zemākas liellopu un piena produkcijas cenas.</w:t>
      </w:r>
    </w:p>
    <w:p w:rsidR="00EF1D74" w:rsidRPr="00EF1D74" w:rsidRDefault="00EF1D74" w:rsidP="00EF1D74">
      <w:pPr>
        <w:spacing w:after="160" w:line="259" w:lineRule="auto"/>
        <w:ind w:firstLine="0"/>
        <w:jc w:val="left"/>
        <w:rPr>
          <w:rFonts w:eastAsia="Calibri"/>
          <w:szCs w:val="24"/>
        </w:rPr>
      </w:pPr>
    </w:p>
    <w:p w:rsidR="00EF1D74" w:rsidRPr="00EF1D74" w:rsidRDefault="00EF1D74" w:rsidP="00EF1D74">
      <w:pPr>
        <w:spacing w:after="160" w:line="259" w:lineRule="auto"/>
        <w:ind w:firstLine="0"/>
        <w:jc w:val="left"/>
        <w:rPr>
          <w:rFonts w:eastAsia="Calibri"/>
          <w:szCs w:val="24"/>
        </w:rPr>
      </w:pPr>
    </w:p>
    <w:p w:rsidR="00EF1D74" w:rsidRPr="00EF1D74" w:rsidRDefault="00EF1D74" w:rsidP="00EF1D74">
      <w:pPr>
        <w:spacing w:after="160" w:line="259" w:lineRule="auto"/>
        <w:ind w:firstLine="0"/>
        <w:jc w:val="left"/>
        <w:rPr>
          <w:rFonts w:eastAsia="Calibri"/>
          <w:szCs w:val="24"/>
        </w:rPr>
      </w:pPr>
    </w:p>
    <w:p w:rsidR="00EF1D74" w:rsidRPr="00EF1D74" w:rsidRDefault="00EF1D74" w:rsidP="00EF1D74">
      <w:pPr>
        <w:spacing w:after="160" w:line="259" w:lineRule="auto"/>
        <w:ind w:firstLine="0"/>
        <w:jc w:val="left"/>
        <w:rPr>
          <w:rFonts w:eastAsia="Calibri"/>
          <w:szCs w:val="24"/>
        </w:rPr>
      </w:pPr>
    </w:p>
    <w:p w:rsidR="00EF1D74" w:rsidRPr="00EF1D74" w:rsidRDefault="00EF1D74" w:rsidP="00EF1D74">
      <w:pPr>
        <w:tabs>
          <w:tab w:val="left" w:pos="2205"/>
        </w:tabs>
        <w:spacing w:after="160" w:line="259" w:lineRule="auto"/>
        <w:ind w:firstLine="0"/>
        <w:jc w:val="left"/>
        <w:rPr>
          <w:rFonts w:eastAsia="Calibri"/>
          <w:szCs w:val="24"/>
        </w:rPr>
      </w:pPr>
      <w:r w:rsidRPr="00EF1D74">
        <w:rPr>
          <w:rFonts w:eastAsia="Calibri"/>
          <w:szCs w:val="24"/>
        </w:rPr>
        <w:tab/>
      </w:r>
    </w:p>
    <w:p w:rsidR="00EF1D74" w:rsidRPr="00EF1D74" w:rsidRDefault="00EF1D74" w:rsidP="00EF1D74">
      <w:pPr>
        <w:tabs>
          <w:tab w:val="left" w:pos="2205"/>
        </w:tabs>
        <w:spacing w:after="160" w:line="259" w:lineRule="auto"/>
        <w:ind w:firstLine="0"/>
        <w:jc w:val="left"/>
        <w:rPr>
          <w:rFonts w:eastAsia="Calibri"/>
          <w:szCs w:val="24"/>
        </w:rPr>
      </w:pPr>
    </w:p>
    <w:p w:rsidR="00EF1D74" w:rsidRPr="00EF1D74" w:rsidRDefault="00EF1D74" w:rsidP="00EF1D74">
      <w:pPr>
        <w:ind w:firstLine="0"/>
        <w:jc w:val="center"/>
        <w:rPr>
          <w:szCs w:val="24"/>
        </w:rPr>
      </w:pPr>
      <w:r w:rsidRPr="00EF1D74">
        <w:rPr>
          <w:b/>
          <w:i/>
          <w:szCs w:val="24"/>
          <w:lang w:eastAsia="lv-LV"/>
        </w:rPr>
        <w:lastRenderedPageBreak/>
        <w:t xml:space="preserve">1.25. attēls </w:t>
      </w:r>
      <w:r w:rsidRPr="00EF1D74">
        <w:rPr>
          <w:b/>
          <w:szCs w:val="24"/>
          <w:lang w:eastAsia="lv-LV"/>
        </w:rPr>
        <w:t xml:space="preserve">Lauksaimniecības produkcijas cenas, </w:t>
      </w:r>
      <w:proofErr w:type="spellStart"/>
      <w:r w:rsidRPr="00EF1D74">
        <w:rPr>
          <w:b/>
          <w:i/>
          <w:szCs w:val="24"/>
          <w:lang w:eastAsia="lv-LV"/>
        </w:rPr>
        <w:t>euro</w:t>
      </w:r>
      <w:proofErr w:type="spellEnd"/>
      <w:r w:rsidRPr="00EF1D74">
        <w:rPr>
          <w:b/>
          <w:i/>
          <w:szCs w:val="24"/>
          <w:lang w:eastAsia="lv-LV"/>
        </w:rPr>
        <w:t xml:space="preserve"> </w:t>
      </w:r>
      <w:r w:rsidRPr="00EF1D74">
        <w:rPr>
          <w:b/>
          <w:szCs w:val="24"/>
          <w:lang w:eastAsia="lv-LV"/>
        </w:rPr>
        <w:t>par 1 tonnu</w:t>
      </w:r>
    </w:p>
    <w:p w:rsidR="00EF1D74" w:rsidRPr="00EF1D74" w:rsidRDefault="00EF1D74" w:rsidP="00EF1D74">
      <w:pPr>
        <w:ind w:firstLine="0"/>
        <w:jc w:val="center"/>
        <w:rPr>
          <w:rFonts w:eastAsia="Calibri"/>
          <w:szCs w:val="24"/>
        </w:rPr>
      </w:pPr>
      <w:r w:rsidRPr="00EF1D74">
        <w:rPr>
          <w:rFonts w:eastAsia="Calibri"/>
          <w:noProof/>
          <w:szCs w:val="24"/>
          <w:lang w:eastAsia="lv-LV"/>
        </w:rPr>
        <w:drawing>
          <wp:inline distT="0" distB="0" distL="0" distR="0" wp14:anchorId="236454E3" wp14:editId="5B19495A">
            <wp:extent cx="4769485" cy="2400300"/>
            <wp:effectExtent l="0" t="0" r="1206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t xml:space="preserve">Mežsaimniecība un mežizstrāde, kura veido gandrīz vai pusi no lauksaimniecības sektora, pērn uzrādīja pievienotās vērtības kāpumu par 5,9%, ko nodrošināja mežizstrādes darbu veikšanai labvēlīgie laikapstākļi. Arī kokmateriālu cenas, lai arī zemākas nekā 2018. gadā, joprojām bija salīdzinoši augstas, īpaši gada pirmajā pusē. Toties 2020. gada pirmajā pusgadā mežsaimniecībā vērojams kritums, salīdzinot ar pērnā gada pirmo pusgadu </w:t>
      </w:r>
      <w:proofErr w:type="spellStart"/>
      <w:r w:rsidRPr="00EF1D74">
        <w:rPr>
          <w:rFonts w:eastAsia="Calibri"/>
          <w:szCs w:val="24"/>
        </w:rPr>
        <w:t>apakšnozares</w:t>
      </w:r>
      <w:proofErr w:type="spellEnd"/>
      <w:r w:rsidRPr="00EF1D74">
        <w:rPr>
          <w:rFonts w:eastAsia="Calibri"/>
          <w:szCs w:val="24"/>
        </w:rPr>
        <w:t xml:space="preserve"> pievienotajai vērtībai samazinoties par 2,8%. Turklāt šā gada pirmajā pusē lielai daļai apaļkoku samazinājās vidējās iepirkumu cenas, nelabvēlīgi ietekmējot mežsaimnieku finansiālo situāciju.</w:t>
      </w:r>
    </w:p>
    <w:p w:rsidR="00EF1D74" w:rsidRPr="00EF1D74" w:rsidRDefault="00EF1D74" w:rsidP="00EF1D74">
      <w:pPr>
        <w:spacing w:before="120"/>
        <w:ind w:firstLine="720"/>
        <w:rPr>
          <w:rFonts w:eastAsia="Calibri"/>
          <w:szCs w:val="24"/>
        </w:rPr>
      </w:pPr>
      <w:r w:rsidRPr="00EF1D74">
        <w:rPr>
          <w:rFonts w:eastAsia="Calibri"/>
          <w:szCs w:val="24"/>
        </w:rPr>
        <w:t>Savukārt zivsaimniecība, kas veido tikai 3% no kopējais lauksaimniecības nozares pievienotās vērtības, pērn uzrādīja sarukumu par 22,9%. Tas sakrīt ar datiem par zivju nozveju, kuri uzrāda kopējās nozvejas samazinājumu 2019. gadā par 18,3%. Arī šogad zivsaimniecības nozarē turpinās kritums, pirmajā pusgadā nozares pievienotajai vērtībai samazinoties tikpat strauji kā pērn kopumā – par 22,6%. Attiecīgi – šajā laika periodā par 26,5% ir samazinājusies zivju nozveja un jūras produktu ieguve.</w:t>
      </w:r>
    </w:p>
    <w:p w:rsidR="00EF1D74" w:rsidRPr="00EF1D74" w:rsidRDefault="00EF1D74" w:rsidP="00EF1D74">
      <w:pPr>
        <w:spacing w:before="120"/>
        <w:ind w:firstLine="720"/>
        <w:rPr>
          <w:rFonts w:eastAsia="Calibri"/>
          <w:szCs w:val="24"/>
        </w:rPr>
      </w:pPr>
      <w:r w:rsidRPr="00EF1D74">
        <w:rPr>
          <w:rFonts w:eastAsia="Calibri"/>
          <w:szCs w:val="24"/>
        </w:rPr>
        <w:t>Kopumā lauksaimniecības perspektīvas šim gadam ir vājākas nekā pērn, ko cita starpā netieši ietekmējusi arī Covid-19 krīze. Šogad gaidāma laba graudaugu raža, taču tā visdrīzāk nepārspēs pagājušā gada augsto līmeni. Šogad samazinās arī atsevišķu lopkopības kultūru ražošanas apjomi, kā arī sarūk lauksaimniecības produkcijas cenas. Turklāt maz ticams, ka kopējos lauksaimniecības rezultātus šogad varētu pozitīvi ietekmēt mežsaimniecības sniegums.</w:t>
      </w:r>
    </w:p>
    <w:p w:rsidR="00EF1D74" w:rsidRPr="00EF1D74" w:rsidRDefault="00EF1D74" w:rsidP="00EF1D74">
      <w:pPr>
        <w:keepNext/>
        <w:keepLines/>
        <w:spacing w:before="240" w:after="240"/>
        <w:ind w:firstLine="0"/>
        <w:jc w:val="center"/>
        <w:outlineLvl w:val="2"/>
        <w:rPr>
          <w:b/>
          <w:bCs/>
          <w:sz w:val="32"/>
          <w:szCs w:val="32"/>
        </w:rPr>
      </w:pPr>
      <w:r w:rsidRPr="00EF1D74">
        <w:rPr>
          <w:b/>
          <w:bCs/>
          <w:sz w:val="32"/>
          <w:szCs w:val="32"/>
        </w:rPr>
        <w:t>1.2.3. Inflācija</w:t>
      </w:r>
    </w:p>
    <w:p w:rsidR="00EF1D74" w:rsidRPr="00EF1D74" w:rsidRDefault="00EF1D74" w:rsidP="00EF1D74">
      <w:pPr>
        <w:spacing w:before="120"/>
        <w:ind w:firstLine="720"/>
        <w:rPr>
          <w:rFonts w:eastAsia="Calibri"/>
          <w:szCs w:val="24"/>
        </w:rPr>
      </w:pPr>
      <w:r w:rsidRPr="00EF1D74">
        <w:rPr>
          <w:rFonts w:eastAsia="Calibri"/>
          <w:szCs w:val="24"/>
        </w:rPr>
        <w:t xml:space="preserve">2019. gadā salīdzinājumā ar iepriekšējo gadu patēriņa cenas Latvijā pieauga par 2,8%, palielinoties gan preču, gan pakalpojumu cenām attiecīgi par 2,7% un 3,0%. Patēriņa cenu kāpumu noteica izejvielu cenu pieaugums pasaules biržās, kas atspoguļojās augstākās pārtikas, gāzes un cietā kurināmā cenās. Papildus tam, noturīgā ekonomikas izaugsme un darba samaksas kāpums veicināja iedzīvotāju pirktspēju, kas tiešā veidā stimulēja pakalpojumu cenu pieaugumu, it īpaši veselības un personīgo aprūpes pakalpojumu, ēdināšanas un izmitināšanas pakalpojumu, kā arī atpūtas un kultūras pakalpojumu cenas.  </w:t>
      </w:r>
    </w:p>
    <w:p w:rsidR="00EF1D74" w:rsidRPr="00EF1D74" w:rsidRDefault="00EF1D74" w:rsidP="00EF1D74">
      <w:pPr>
        <w:spacing w:before="120"/>
        <w:ind w:firstLine="720"/>
        <w:rPr>
          <w:rFonts w:eastAsia="Calibri"/>
          <w:szCs w:val="24"/>
        </w:rPr>
      </w:pPr>
      <w:r w:rsidRPr="00EF1D74">
        <w:rPr>
          <w:rFonts w:eastAsia="Calibri"/>
          <w:szCs w:val="24"/>
        </w:rPr>
        <w:t xml:space="preserve">Patēriņa cenu kāpums 2019. gadā bija fiksēts visās ES dalībvalstīs, kamēr vidējā </w:t>
      </w:r>
      <w:proofErr w:type="spellStart"/>
      <w:r w:rsidRPr="00EF1D74">
        <w:rPr>
          <w:rFonts w:eastAsia="Calibri"/>
          <w:szCs w:val="24"/>
        </w:rPr>
        <w:t>eirozonas</w:t>
      </w:r>
      <w:proofErr w:type="spellEnd"/>
      <w:r w:rsidRPr="00EF1D74">
        <w:rPr>
          <w:rFonts w:eastAsia="Calibri"/>
          <w:szCs w:val="24"/>
        </w:rPr>
        <w:t xml:space="preserve"> un ES inflācija attiecīgi bija 1,2% un 1,5%. Salīdzinājumā ar ES augstāka inflācija Latvijā skaidrojama ar vairākiem faktoriem. Pirmkārt, inflācijas atšķirību nosaka dažāds ekonomikas attīstības temps. Ja Latvijas nominālais IKP 2019. gadā palielinājās par 4,9%, tad ES vidēji ekonomikas izaugsme bija zemāka un veidoja 3,4%. Otrkārt, patēriņa groza atšķirīgā </w:t>
      </w:r>
      <w:r w:rsidRPr="00EF1D74">
        <w:rPr>
          <w:rFonts w:eastAsia="Calibri"/>
          <w:szCs w:val="24"/>
        </w:rPr>
        <w:lastRenderedPageBreak/>
        <w:t xml:space="preserve">struktūra. Ekonomiski attīstītākajās valstīs tādu preču kā pārtikas, degvielas, alkoholisko dzērienu un tabakas īpatsvars kopējā patēriņa grozā ir zemāks, tādējādi pat pie vienāda šo preču cenu kāpuma ietekme uz inflāciju dažādās valstīs var ievērojami atšķirties. Piemēram, pārtikas produktu īpatsvars Latvijas patēriņa grozā sasniedz gandrīz 22%, bet ES vidēji ir ap 15%, un šo preču cena 2019. gadā Latvijā pieauga par 2,9%, bet ES vidēji par 2,0%. Tieši pārtikas cenu pieaugums Latvijā 2019. gadā nodrošināja lielāko devumu kopējā patēriņa cenu kāpumā. Treškārt, atšķirīga nodokļu politika. 2019. gadā Latvijā tika palielināta akcīzes nodokļa likme alkoholiskajiem dzērieniem un tabakai, kā arī dabas resursu nodokļa likme, kā rezultātā alkoholiskie dzērieni, tabakas izstrādājumi un atkritumu savākšanas pakalpojumi 2019. gadā sadārdzinājās attiecīgi par 4,9%, 6,7% un 17,0%. Tādejādi, nodokļu likmju izmaiņas 2019. gadā palielināja patēriņa cenu kāpumu vidēji par 0,3 procentpunktiem. Savukārt, pamatinflācija jeb patēriņa cenu izmaiņas, kas raksturo ekonomikas attīstību iekšējā tirgū, palielināja vidējo inflāciju par 1,7 procentpunktiem. </w:t>
      </w:r>
    </w:p>
    <w:p w:rsidR="00EF1D74" w:rsidRPr="00EF1D74" w:rsidRDefault="00EF1D74" w:rsidP="00EF1D74">
      <w:pPr>
        <w:spacing w:before="120"/>
        <w:ind w:firstLine="720"/>
        <w:rPr>
          <w:rFonts w:eastAsia="Calibri"/>
          <w:color w:val="000000"/>
          <w:szCs w:val="24"/>
        </w:rPr>
      </w:pPr>
      <w:r w:rsidRPr="00EF1D74">
        <w:rPr>
          <w:rFonts w:eastAsia="Calibri"/>
          <w:szCs w:val="24"/>
        </w:rPr>
        <w:t xml:space="preserve">2020. gada pirmajos astoņos mēnešos patēriņa cenu līmenis Latvijā salīdzinājumā ar attiecīgo periodu iepriekšējā gadā pieauga par 0,6%. Lai arī patēriņa cenas kopumā palielinājās, cenu pieauguma diapazons pa mēnešiem bija plašs un kopš gada sākuma kopējā inflācijas aina Latvijā ir būtiski mainījusies Covid-19 pandēmijas ietekmē, kas galvenokārt izpaudās kā naftas cenu samazinājums pasaules tirgos un straujš pieprasījuma kritums ar tūrisma nozari saistītajiem pakalpojumiem, piemēram, aviopārvadājumiem un izmitināšanas pakalpojumiem. Ja vēl janvārī un februārī gada inflācija pārsniedza 2%, tad maijā un jūnijā pirmo reizi kopš 2016. gada vidus Latvijā bija fiksēta deflācija un  cenas samazinājās attiecīgi par 0,6% un 0,7% salīdzinājumā ar attiecīgajiem mēnešiem iepriekšējā gadā. </w:t>
      </w:r>
      <w:r w:rsidRPr="00EF1D74">
        <w:rPr>
          <w:rFonts w:eastAsia="Calibri"/>
          <w:color w:val="000000"/>
          <w:szCs w:val="24"/>
        </w:rPr>
        <w:t xml:space="preserve">Jūlijā atgriezās inflācija, kad patēriņa cenas pieauga par 0,5% salīdzinājumā ar iepriekšējā gada attiecīgo periodu, ko lielā mērā ietekmēja straujāks pārtikas cenu pieaugums. Savukārt augustā jau atkal tika fiksēta deflācija 0,2% apmērā. Detalizētāka patēriņa cenu izmaiņu dinamika pa mēnešiem ir atspoguļota 1.26. attēlā. </w:t>
      </w:r>
    </w:p>
    <w:p w:rsidR="00EF1D74" w:rsidRPr="00EF1D74" w:rsidRDefault="00EF1D74" w:rsidP="00EF1D74">
      <w:pPr>
        <w:spacing w:before="120" w:after="0"/>
        <w:ind w:firstLine="0"/>
        <w:jc w:val="center"/>
        <w:rPr>
          <w:rFonts w:eastAsia="Calibri"/>
          <w:b/>
          <w:color w:val="000000"/>
          <w:szCs w:val="24"/>
        </w:rPr>
      </w:pPr>
      <w:r w:rsidRPr="00EF1D74">
        <w:rPr>
          <w:rFonts w:eastAsia="Calibri"/>
          <w:b/>
          <w:i/>
          <w:color w:val="000000"/>
          <w:szCs w:val="24"/>
        </w:rPr>
        <w:t>1.26. att</w:t>
      </w:r>
      <w:r w:rsidRPr="00EF1D74">
        <w:rPr>
          <w:rFonts w:eastAsia="Calibri"/>
          <w:b/>
          <w:i/>
          <w:szCs w:val="24"/>
        </w:rPr>
        <w:t>ēls</w:t>
      </w:r>
      <w:r w:rsidRPr="00EF1D74">
        <w:rPr>
          <w:rFonts w:eastAsia="Calibri"/>
          <w:b/>
          <w:szCs w:val="24"/>
        </w:rPr>
        <w:t xml:space="preserve"> Patēriņa cenu indeksa (PCI) izmaiņas (%) un komponenšu devums (</w:t>
      </w:r>
      <w:proofErr w:type="spellStart"/>
      <w:r w:rsidRPr="00EF1D74">
        <w:rPr>
          <w:rFonts w:eastAsia="Calibri"/>
          <w:b/>
          <w:szCs w:val="24"/>
        </w:rPr>
        <w:t>pp</w:t>
      </w:r>
      <w:proofErr w:type="spellEnd"/>
      <w:r w:rsidRPr="00EF1D74">
        <w:rPr>
          <w:rFonts w:eastAsia="Calibri"/>
          <w:b/>
          <w:szCs w:val="24"/>
        </w:rPr>
        <w:t>)</w:t>
      </w:r>
    </w:p>
    <w:p w:rsidR="00EF1D74" w:rsidRPr="00EF1D74" w:rsidRDefault="00EF1D74" w:rsidP="00EF1D74">
      <w:pPr>
        <w:spacing w:before="120"/>
        <w:ind w:firstLine="0"/>
        <w:jc w:val="center"/>
        <w:rPr>
          <w:rFonts w:eastAsia="Calibri"/>
          <w:b/>
          <w:szCs w:val="24"/>
        </w:rPr>
      </w:pPr>
      <w:r w:rsidRPr="00EF1D74">
        <w:rPr>
          <w:rFonts w:eastAsia="Calibri"/>
          <w:noProof/>
          <w:szCs w:val="24"/>
          <w:lang w:eastAsia="lv-LV"/>
        </w:rPr>
        <w:drawing>
          <wp:inline distT="0" distB="0" distL="0" distR="0" wp14:anchorId="741FE712" wp14:editId="06F09487">
            <wp:extent cx="5372100" cy="341947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F1D74" w:rsidRPr="00EF1D74" w:rsidRDefault="00EF1D74" w:rsidP="00EF1D74">
      <w:pPr>
        <w:spacing w:before="120"/>
        <w:ind w:firstLine="567"/>
        <w:rPr>
          <w:rFonts w:eastAsia="Calibri"/>
          <w:szCs w:val="24"/>
        </w:rPr>
      </w:pPr>
      <w:r w:rsidRPr="00EF1D74">
        <w:rPr>
          <w:rFonts w:eastAsia="Calibri"/>
          <w:szCs w:val="24"/>
        </w:rPr>
        <w:t>Kopumā preču cenas astoņos mēnešos samazinājās par 0,1%, ko lielā mērā ietekmēja energoresursu cenu kritums, kamēr pakalpojumu cenas turpināja palielināties un bija par 2,1% augstākas nekā pērnā gada astoņos mēnešos. Tomēr jau no šā gada aprīļa bija vērojama Covid-</w:t>
      </w:r>
      <w:r w:rsidRPr="00EF1D74">
        <w:rPr>
          <w:rFonts w:eastAsia="Calibri"/>
          <w:szCs w:val="24"/>
        </w:rPr>
        <w:lastRenderedPageBreak/>
        <w:t>19 pandēmijas ietekme. Tā, š.g. maijā un jūnijā preču cenu kritums vidēji bija 1,6% salīdzinājumā ar attiecīgo periodu pērn, bet pakalpojumu cenu pieaugums vidēji bija vien 1,5% salīdzinājumā ar iepriekšējā gada maiju un jūniju.</w:t>
      </w:r>
    </w:p>
    <w:p w:rsidR="00EF1D74" w:rsidRPr="00EF1D74" w:rsidRDefault="00EF1D74" w:rsidP="00EF1D74">
      <w:pPr>
        <w:spacing w:before="120"/>
        <w:ind w:firstLine="720"/>
        <w:rPr>
          <w:rFonts w:eastAsia="Calibri"/>
          <w:szCs w:val="24"/>
        </w:rPr>
      </w:pPr>
      <w:r w:rsidRPr="00EF1D74">
        <w:rPr>
          <w:rFonts w:eastAsia="Calibri"/>
          <w:szCs w:val="24"/>
        </w:rPr>
        <w:t xml:space="preserve">Zemo inflācijas līmeni kopš šī gada aprīļa noteica gan ārējie, gan iekšējie faktori. Tomēr lielāko negatīvo devumu patēriņa cenu izmaiņās nodrošināja tieši ārējie faktori jeb naftas cenu kritums pasaules biržās. Vidējā degvielas cena Latvijas benzīntankos laikā periodā no aprīļa līdz augustam bija par 16,6%  zemāka nekā iepriekšējā gada attiecīgajā periodā. Savukārt, aprīlī un maijā kritums pārsniedza 20%, kas bija straujākais kritums kopš 1998. gada. Kopumā degvielas cena Latvijā š.g. astoņos mēnešos bija par 9,5% zemāka nekā pagājušā gada attiecīgajā periodā. </w:t>
      </w:r>
    </w:p>
    <w:p w:rsidR="00EF1D74" w:rsidRPr="00EF1D74" w:rsidRDefault="00EF1D74" w:rsidP="00EF1D74">
      <w:pPr>
        <w:spacing w:before="120"/>
        <w:ind w:firstLine="720"/>
        <w:rPr>
          <w:rFonts w:eastAsia="Calibri"/>
          <w:szCs w:val="24"/>
        </w:rPr>
      </w:pPr>
      <w:r w:rsidRPr="00EF1D74">
        <w:rPr>
          <w:rFonts w:eastAsia="Calibri"/>
          <w:szCs w:val="24"/>
        </w:rPr>
        <w:t xml:space="preserve">Naftas cenu kritums sākās vēl šā gada sākumā, ko ietekmēja gan ekonomikas sentimenta pasliktināšanās pasaulē saistībā ar straujo Covid-19 izplatību Ķīnā, gan OPEC eksportētājvalstu un Krievijas nespēja vienoties par naftas ieguves apjomu samazināšanu marta sākumā, lai stabilizētu naftas piedāvājumu. Pēc OPEC+ sanāksmes Saūda Arābija paziņoja, ka samazinās savu naftas cenu aprīļa piegādēm līdz 25 ASV dolāriem par barelu un vienlaicīgi palielinās naftas ieguvi, tādējādi vienas dienas laikā naftas cena samazinājās par 25%. Tomēr jau aprīļa vidū OPEC+ valstis vienojās par naftas ieguves apjomu samazinājumu par aptuveni 10 milj. barelu dienā sākot jau no š.g. maija, noslēdzot vienošanos tikai uz diviem mēnešiem. Neskatoties uz būtisku naftas ieguves apjomu samazinājumu, tas nav bijis pietiekoši, lai pilnībā kompensētu naftas pieprasījuma kritumu pasaulē, kas vērtējams 20-30 milj. barelu dienā apmērā. </w:t>
      </w:r>
    </w:p>
    <w:p w:rsidR="00EF1D74" w:rsidRPr="00EF1D74" w:rsidRDefault="00EF1D74" w:rsidP="00EF1D74">
      <w:pPr>
        <w:spacing w:before="120"/>
        <w:ind w:firstLine="720"/>
        <w:rPr>
          <w:rFonts w:eastAsia="Calibri"/>
          <w:szCs w:val="24"/>
        </w:rPr>
      </w:pPr>
      <w:r w:rsidRPr="00EF1D74">
        <w:rPr>
          <w:rFonts w:eastAsia="Calibri"/>
          <w:szCs w:val="24"/>
        </w:rPr>
        <w:t xml:space="preserve">Jūnija sākumā OPEC+ valstis vienojās pagarināt naftas ieguves apjomu samazinājuma periodu līdz jūlija beigām. Ņemot vērā šo vienošanos, kā arī to, ka valstis pakāpeniski atviegloja </w:t>
      </w:r>
      <w:proofErr w:type="spellStart"/>
      <w:r w:rsidRPr="00EF1D74">
        <w:rPr>
          <w:rFonts w:eastAsia="Calibri"/>
          <w:szCs w:val="24"/>
        </w:rPr>
        <w:t>koronavīrusa</w:t>
      </w:r>
      <w:proofErr w:type="spellEnd"/>
      <w:r w:rsidRPr="00EF1D74">
        <w:rPr>
          <w:rFonts w:eastAsia="Calibri"/>
          <w:szCs w:val="24"/>
        </w:rPr>
        <w:t xml:space="preserve"> izplatības ierobežošanai noteiktos noteikumus un palielinājās energoresursu patēriņš, it īpaši Ķīnā, naftas cenas pieauga līdz 45 ASV dolāriem par barelu. Pašreiz naftas cenu samazinājumam nav pamata, un, visticamāk, naftas cena līdz ziemai saglabāsies diezgan stabila zem 50 ASV dolāru par barelu. Savukārt pēc tam naftas cenu ietekmēs pasaules valstu ekonomikas atgūšanās temps, it īpaši to valstu, kuras visvairāk patērē naftu, proti, ASV, Ķīna, Indija, Japāna un ES. Neskatoties uz to, ka kopš marta naftas cena ir vairāk nekā dubultojusies, tā joprojām ir būtiski zemāka par pagājušā gada vidējo līmeni. Tādējādi līdz š.g. beigām degvielas cena Latvijā būs zemāka nekā pērnajā gadā. </w:t>
      </w:r>
    </w:p>
    <w:p w:rsidR="00EF1D74" w:rsidRPr="00EF1D74" w:rsidRDefault="00EF1D74" w:rsidP="00EF1D74">
      <w:pPr>
        <w:spacing w:before="120"/>
        <w:ind w:firstLine="720"/>
        <w:rPr>
          <w:rFonts w:eastAsia="Calibri"/>
          <w:szCs w:val="24"/>
        </w:rPr>
      </w:pPr>
      <w:r w:rsidRPr="00EF1D74">
        <w:rPr>
          <w:rFonts w:eastAsia="Calibri"/>
          <w:szCs w:val="24"/>
        </w:rPr>
        <w:t xml:space="preserve">No naftas cenām ir atkarīgas arī administratīvi regulējamās cenas dabasgāzei un siltumenerģijai. 2020. gada astoņos mēnešos dabasgāze bija par 17,0% lētāka nekā attiecīgajā periodā pirms gada, bet siltumenerģija bija par 0,3% dārgāka. Vairāki siltumenerģijas uzņēmumi paziņojuši par siltumenerģijas tarifa samazināšanu līdz ar naftas cenu kritumu. Tā, AS </w:t>
      </w:r>
      <w:r w:rsidRPr="00EF1D74">
        <w:rPr>
          <w:rFonts w:eastAsia="Calibri"/>
          <w:i/>
          <w:szCs w:val="24"/>
        </w:rPr>
        <w:t>Rīgas Siltums</w:t>
      </w:r>
      <w:r w:rsidRPr="00EF1D74">
        <w:rPr>
          <w:rFonts w:eastAsia="Calibri"/>
          <w:szCs w:val="24"/>
        </w:rPr>
        <w:t xml:space="preserve"> kopš š.g. sākuma jau trīs reizes samazināja siltumenerģijas tarifus, tomēr bāzes efektu dēļ siltumenerģijas cenu kritums š.g. astoņos mēnešos kopumā inflācijas datos nav novērots. Tomēr tieši š.g. augustā, kad stājas spēkā jauns tarifs,  </w:t>
      </w:r>
      <w:r w:rsidRPr="00EF1D74">
        <w:rPr>
          <w:rFonts w:eastAsia="Calibri"/>
          <w:color w:val="000000"/>
          <w:szCs w:val="24"/>
        </w:rPr>
        <w:t xml:space="preserve">siltumenerģijas cena bija jau par 10,9% lētāka nekā pirms gada. Savukārt, no š.g. 1. oktobra AS </w:t>
      </w:r>
      <w:r w:rsidRPr="00EF1D74">
        <w:rPr>
          <w:rFonts w:eastAsia="Calibri"/>
          <w:i/>
          <w:color w:val="000000"/>
          <w:szCs w:val="24"/>
        </w:rPr>
        <w:t xml:space="preserve">Rīgas Siltums </w:t>
      </w:r>
      <w:r w:rsidRPr="00EF1D74">
        <w:rPr>
          <w:rFonts w:eastAsia="Calibri"/>
          <w:color w:val="000000"/>
          <w:szCs w:val="24"/>
        </w:rPr>
        <w:t xml:space="preserve">vēlreiz samazinās siltumenerģijas tarifu. Sabiedrisko pakalpojumu regulēšanas komisija jau apstiprināja sagatavoto tarifa izmaiņas projektu. Līdz ar to siltumenerģijas cenu kritums turpmākajos š.g. mēnešos gada griezumā saglabāsies ap 11%, tādējādi 2020. gadā vidēji siltumenerģijas cena būs par aptuveni 3,8% zemāka nekā 2019. gadā. </w:t>
      </w:r>
    </w:p>
    <w:p w:rsidR="00EF1D74" w:rsidRPr="00EF1D74" w:rsidRDefault="00EF1D74" w:rsidP="00EF1D74">
      <w:pPr>
        <w:spacing w:before="120"/>
        <w:ind w:firstLine="720"/>
        <w:rPr>
          <w:rFonts w:eastAsia="Calibri"/>
          <w:szCs w:val="24"/>
        </w:rPr>
      </w:pPr>
      <w:r w:rsidRPr="00EF1D74">
        <w:rPr>
          <w:rFonts w:eastAsia="Calibri"/>
          <w:szCs w:val="24"/>
        </w:rPr>
        <w:t xml:space="preserve">Cenu kritums vērojams arī elektroenerģijai, kas š.g. astoņos mēnešos bija par 2,8% lētāka nekā 2019. gada attiecīgajā periodā. Cenu kritumu noteica elektroenerģijas patēriņa kritums silto laika apstākļu dēļ ziemas mēnešos, kā arī zemāka ekonomiskā aktivitāte ārkārtas situācijas laikā. Ņemot vērā, ka lielākajai daļai mājsaimniecību ir uz ilgāku laiku fiksētie elektrības tarifi, tās mazākā mērā izjūt elektrības cenu kritumu nekā tās mājsaimniecības, kurām ir dinamiskie tarifi, kas regulāri mainās atkarībā no elektroenerģijas cenas biržā. Svarīgi </w:t>
      </w:r>
      <w:r w:rsidRPr="00EF1D74">
        <w:rPr>
          <w:rFonts w:eastAsia="Calibri"/>
          <w:szCs w:val="24"/>
        </w:rPr>
        <w:lastRenderedPageBreak/>
        <w:t xml:space="preserve">atzīmēt, ka lētāka degviela un cenu kritums ar mājokli saistīto energoresursu precēm un pakalpojumiem, kam ir liels īpatsvars tieši mazāk turīgo iedzīvotāju patēriņā, pašreizējos pandēmijas apstākļos vērtējams pozitīvi, jo mazina iedzīvotāju ikmēneša izmaksas. </w:t>
      </w:r>
    </w:p>
    <w:p w:rsidR="00EF1D74" w:rsidRPr="00EF1D74" w:rsidRDefault="00EF1D74" w:rsidP="00EF1D74">
      <w:pPr>
        <w:spacing w:before="120"/>
        <w:ind w:firstLine="720"/>
        <w:rPr>
          <w:rFonts w:eastAsia="Calibri"/>
          <w:szCs w:val="24"/>
        </w:rPr>
      </w:pPr>
      <w:r w:rsidRPr="00EF1D74">
        <w:rPr>
          <w:rFonts w:eastAsia="Calibri"/>
          <w:szCs w:val="24"/>
        </w:rPr>
        <w:t>Robežu slēgšana un ārvalstu tūristu skaita būtisks kritums negatīvi ietekmēja to pakalpojumu cenu dinamiku, kuri izteikti bija orientēti uz ārvalstu tūristiem. Tā, izmitināšanas pakalpojumu cenas š.g. astoņos mēnešos samazinājās par 7,7%, bet ārkārtas situācijas laikā šo pakalpojumu cenu kritums pārsniedza 10%. Arī īres tirgū, kur toni galvenokārt nosaka aktivitāte Rīgā, ietekmēja pandēmiju ierobežojošie pasākumi. Mazāks pieprasījums pēc īres dzīvokļiem Vecrīgā un Rīgas centrā, kurus izīrē galvenokārt ārvalstu viesiem, mazināja mājokļa īres cenu par 1,6% š.g. astoņos mēnešos kopumā, bet kopš š.g. aprīļa mājokļa īres maksas kritums pārsniedz 5%.</w:t>
      </w:r>
    </w:p>
    <w:p w:rsidR="00EF1D74" w:rsidRPr="00EF1D74" w:rsidRDefault="00EF1D74" w:rsidP="00EF1D74">
      <w:pPr>
        <w:spacing w:before="120"/>
        <w:ind w:firstLine="720"/>
        <w:rPr>
          <w:rFonts w:eastAsia="Calibri"/>
          <w:szCs w:val="24"/>
        </w:rPr>
      </w:pPr>
      <w:r w:rsidRPr="00EF1D74">
        <w:rPr>
          <w:rFonts w:eastAsia="Calibri"/>
          <w:szCs w:val="24"/>
        </w:rPr>
        <w:t xml:space="preserve">Slēgtās robežas ārkārtas situācijas periodā un ieviestie ierobežojumi negatīvi ietekmēja ne tikai iebraucošo tūristu skaitu no ārvalstīm, bet ierobežoja arī Latvijas iedzīvotāju iespēju doties uz  ārvalstīm. Tādējādi, pasažieru aviopārvadājumu cenas š.g. astoņos mēnešos kopumā samazinājās par 0,2%, bet vasaras mēnešos jeb atvaļinājumu laikā aviobiļešu cenu kritums nedaudz pārsniedza 5%. Kopš marta ārvalstu tūristu skaits Latvijā ir samazinājies vairāk nekā par 80%. Tikpat būtisks iebraukušo ārvalstu tūristu kritums visticamāk saglabāsies līdz gada beigām. Ar tūrismu saistītas nozares šajā krīzē cieta visvairāk un atgūšanos varētu sagaidīt tikai tad, kad būs rasts risinājums Covid-19 vīrusa izplatības apturēšanai. Tāpēc arī iepriekšminētajiem pakalpojumiem līdz gada beigām saglabāsies cenu kritums gada izteiksmē.   </w:t>
      </w:r>
    </w:p>
    <w:p w:rsidR="00EF1D74" w:rsidRPr="00EF1D74" w:rsidRDefault="00EF1D74" w:rsidP="00EF1D74">
      <w:pPr>
        <w:spacing w:before="120"/>
        <w:ind w:firstLine="720"/>
        <w:rPr>
          <w:rFonts w:eastAsia="Calibri"/>
          <w:szCs w:val="24"/>
        </w:rPr>
      </w:pPr>
      <w:r w:rsidRPr="00EF1D74">
        <w:rPr>
          <w:rFonts w:eastAsia="Calibri"/>
          <w:szCs w:val="24"/>
        </w:rPr>
        <w:t>Augstākminēto preču un pakalpojumu cenu kritumu kompensēja pārtikas un bezalkoholisko dzērienu cenu pieaugums par 2,8%. Izteikti augsts cenu kāpums fiksēts svaigiem augļiem (+19,6% gada griezumā), gaļai un gaļas izstrādājumiem (+7,6%), maizei un graudaugiem (+2,7%), cukuram (+3,4%), ko lielā mērā noteica ārējie faktori. Augļu un graudaugu cenu palielinājumu ietekmēja pērnā gada sliktā raža Eiropā. Savukārt gaļas un gaļas izstrādājumu cenu pieaugumu ietekmēja Āfrikas cūku mēra uzliesmojums Ķīnā pērnā gada vidū, būtiski samazinot cūkgaļas piedāvājumu pasaulē kopumā.</w:t>
      </w:r>
    </w:p>
    <w:p w:rsidR="00EF1D74" w:rsidRPr="00EF1D74" w:rsidRDefault="00EF1D74" w:rsidP="00EF1D74">
      <w:pPr>
        <w:spacing w:before="120"/>
        <w:ind w:firstLine="720"/>
        <w:rPr>
          <w:rFonts w:eastAsia="Calibri"/>
          <w:szCs w:val="24"/>
        </w:rPr>
      </w:pPr>
      <w:r w:rsidRPr="00EF1D74">
        <w:rPr>
          <w:rFonts w:eastAsia="Calibri"/>
          <w:szCs w:val="24"/>
        </w:rPr>
        <w:t xml:space="preserve">Pandēmijas apstākļos grūti prognozēt pārtikas cenu izmaiņas. Š.g. otrajā ceturksnī pārtikas cenu pieaugums pasaulē piebremzējies, ko lielā mērā ietekmēja vājš pieprasījums lopbarības un biodīzeļdegvielas nozarēs, kā arī augsti atsevišķu kultūru eksporta krājumi. Savukārt, š.g. trešajā ceturksnī pārtikas cenas uzrāda jau </w:t>
      </w:r>
      <w:proofErr w:type="spellStart"/>
      <w:r w:rsidRPr="00EF1D74">
        <w:rPr>
          <w:rFonts w:eastAsia="Calibri"/>
          <w:szCs w:val="24"/>
        </w:rPr>
        <w:t>augšupvērstu</w:t>
      </w:r>
      <w:proofErr w:type="spellEnd"/>
      <w:r w:rsidRPr="00EF1D74">
        <w:rPr>
          <w:rFonts w:eastAsia="Calibri"/>
          <w:szCs w:val="24"/>
        </w:rPr>
        <w:t xml:space="preserve"> dinamiku, ko visticamāk ietekmēja patērētāju un uzņēmēju sentimenta uzlabošanās un labāki nekā prognozēts ekonomikas rādītāji pasaulē š.g. otrajā ceturksnī. Jāatzīmē arī, ka tieši pārtikas preču grupas cenu pieauguma dēļ šogad kopumā Latvijā nebūs deflācijas. </w:t>
      </w:r>
    </w:p>
    <w:p w:rsidR="00EF1D74" w:rsidRPr="00EF1D74" w:rsidRDefault="00EF1D74" w:rsidP="00EF1D74">
      <w:pPr>
        <w:tabs>
          <w:tab w:val="left" w:pos="5055"/>
        </w:tabs>
        <w:spacing w:after="0"/>
        <w:ind w:firstLine="0"/>
        <w:jc w:val="center"/>
        <w:rPr>
          <w:rFonts w:eastAsia="Calibri"/>
          <w:b/>
          <w:i/>
          <w:szCs w:val="24"/>
        </w:rPr>
      </w:pPr>
      <w:r w:rsidRPr="00EF1D74">
        <w:rPr>
          <w:rFonts w:eastAsia="Calibri"/>
          <w:b/>
          <w:i/>
          <w:color w:val="000000"/>
          <w:szCs w:val="24"/>
        </w:rPr>
        <w:t xml:space="preserve">1.27. </w:t>
      </w:r>
      <w:r w:rsidRPr="00EF1D74">
        <w:rPr>
          <w:rFonts w:eastAsia="Calibri"/>
          <w:b/>
          <w:i/>
          <w:szCs w:val="24"/>
        </w:rPr>
        <w:t xml:space="preserve">attēls </w:t>
      </w:r>
      <w:r w:rsidRPr="00EF1D74">
        <w:rPr>
          <w:rFonts w:eastAsia="Calibri"/>
          <w:b/>
          <w:szCs w:val="24"/>
        </w:rPr>
        <w:t>Saskaņotā patēriņa cenu indeksa izmaiņas 2020. gada astoņos mēnešos salīdzinājumā ar 2019. gada astoņiem mēnešiem, ES dalībvalstīs, %</w:t>
      </w:r>
    </w:p>
    <w:p w:rsidR="00EF1D74" w:rsidRPr="00EF1D74" w:rsidRDefault="00EF1D74" w:rsidP="00EF1D74">
      <w:pPr>
        <w:spacing w:before="120"/>
        <w:ind w:firstLine="0"/>
        <w:jc w:val="center"/>
        <w:rPr>
          <w:rFonts w:eastAsia="Calibri"/>
          <w:szCs w:val="24"/>
        </w:rPr>
      </w:pPr>
      <w:r w:rsidRPr="00EF1D74">
        <w:rPr>
          <w:rFonts w:eastAsia="Calibri"/>
          <w:noProof/>
          <w:szCs w:val="24"/>
          <w:lang w:eastAsia="lv-LV"/>
        </w:rPr>
        <w:drawing>
          <wp:inline distT="0" distB="0" distL="0" distR="0" wp14:anchorId="567EC39A" wp14:editId="5822CC80">
            <wp:extent cx="5867400" cy="23050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F1D74" w:rsidRPr="00EF1D74" w:rsidRDefault="00EF1D74" w:rsidP="00EF1D74">
      <w:pPr>
        <w:tabs>
          <w:tab w:val="left" w:pos="5055"/>
        </w:tabs>
        <w:spacing w:before="120"/>
        <w:ind w:firstLine="567"/>
        <w:rPr>
          <w:rFonts w:eastAsia="Calibri"/>
          <w:szCs w:val="24"/>
        </w:rPr>
      </w:pPr>
      <w:r w:rsidRPr="00EF1D74">
        <w:rPr>
          <w:rFonts w:eastAsia="Calibri"/>
          <w:szCs w:val="24"/>
        </w:rPr>
        <w:lastRenderedPageBreak/>
        <w:t xml:space="preserve">Saskaņotais patēriņa cenu indekss Latvijā š.g. astoņos mēnešos palielinājās par 0,4% salīdzinājumā ar pērnā gada attiecīgo periodu. Patēriņa cenu indeksa pieaugums š.g. astoņos mēnešos bija nedaudz augstāks nekā saskaņotā patēriņa cenu indeksa pieaugums, ko lielā mērā nosaka atšķirīgs preču un pakalpojumu īpatsvars abos indeksos. Saskaņotā patēriņa cenu indeksa kāpums ES un vidēji </w:t>
      </w:r>
      <w:proofErr w:type="spellStart"/>
      <w:r w:rsidRPr="00EF1D74">
        <w:rPr>
          <w:rFonts w:eastAsia="Calibri"/>
          <w:szCs w:val="24"/>
        </w:rPr>
        <w:t>eirozonā</w:t>
      </w:r>
      <w:proofErr w:type="spellEnd"/>
      <w:r w:rsidRPr="00EF1D74">
        <w:rPr>
          <w:rFonts w:eastAsia="Calibri"/>
          <w:szCs w:val="24"/>
        </w:rPr>
        <w:t xml:space="preserve"> ir augstāks nekā Latvijā, tomēr inflācijas tendences ES kopumā ir līdzīgas. Kopš šā gada sākuma gan ES, gan </w:t>
      </w:r>
      <w:proofErr w:type="spellStart"/>
      <w:r w:rsidRPr="00EF1D74">
        <w:rPr>
          <w:rFonts w:eastAsia="Calibri"/>
          <w:szCs w:val="24"/>
        </w:rPr>
        <w:t>eirozonā</w:t>
      </w:r>
      <w:proofErr w:type="spellEnd"/>
      <w:r w:rsidRPr="00EF1D74">
        <w:rPr>
          <w:rFonts w:eastAsia="Calibri"/>
          <w:szCs w:val="24"/>
        </w:rPr>
        <w:t xml:space="preserve"> saskaņotā patēriņa cenu kāpums būtiski piebremzējās, ko galvenokārt ietekmēja straujš energoresursu cenu un ekonomiskās aktivitātes samazinājums. </w:t>
      </w:r>
    </w:p>
    <w:p w:rsidR="00EF1D74" w:rsidRPr="00EF1D74" w:rsidRDefault="00EF1D74" w:rsidP="00EF1D74">
      <w:pPr>
        <w:keepNext/>
        <w:keepLines/>
        <w:spacing w:before="240" w:after="240"/>
        <w:ind w:firstLine="0"/>
        <w:jc w:val="center"/>
        <w:outlineLvl w:val="2"/>
        <w:rPr>
          <w:b/>
          <w:bCs/>
          <w:sz w:val="32"/>
          <w:szCs w:val="32"/>
        </w:rPr>
      </w:pPr>
      <w:r w:rsidRPr="00EF1D74">
        <w:rPr>
          <w:b/>
          <w:bCs/>
          <w:sz w:val="32"/>
          <w:szCs w:val="32"/>
        </w:rPr>
        <w:t>1.2.4. Nodarbinātība un bezdarbs</w:t>
      </w:r>
    </w:p>
    <w:p w:rsidR="00EF1D74" w:rsidRPr="00EF1D74" w:rsidRDefault="00EF1D74" w:rsidP="00EF1D74">
      <w:pPr>
        <w:spacing w:before="120"/>
        <w:rPr>
          <w:szCs w:val="24"/>
          <w:lang w:eastAsia="lv-LV"/>
        </w:rPr>
      </w:pPr>
      <w:r w:rsidRPr="00EF1D74">
        <w:rPr>
          <w:szCs w:val="24"/>
          <w:lang w:eastAsia="lv-LV"/>
        </w:rPr>
        <w:t xml:space="preserve">Līdz ar straujo ekonomikas izaugsmi pēdējos trijos gados Latvijā bija vērojama visai strauja bezdarba līmeņa samazināšanās, kas atsevišķās nozarēs un profesijās jau robežojās ar darbaspēka trūkumu, līdz 2020. gadā to pārtrauca jaunā </w:t>
      </w:r>
      <w:proofErr w:type="spellStart"/>
      <w:r w:rsidRPr="00EF1D74">
        <w:rPr>
          <w:szCs w:val="24"/>
          <w:lang w:eastAsia="lv-LV"/>
        </w:rPr>
        <w:t>koronavīrusa</w:t>
      </w:r>
      <w:proofErr w:type="spellEnd"/>
      <w:r w:rsidRPr="00EF1D74">
        <w:rPr>
          <w:szCs w:val="24"/>
          <w:lang w:eastAsia="lv-LV"/>
        </w:rPr>
        <w:t xml:space="preserve"> izraisītā krīze. Vienlaikus tautsaimniecībā nodarbināto iedzīvotāju skaita pieaugums pēdējos gados bija tikai mērens, ko noteica ierobežotais darbspējas vecuma iedzīvotāju skaits.</w:t>
      </w:r>
    </w:p>
    <w:p w:rsidR="00EF1D74" w:rsidRPr="00EF1D74" w:rsidRDefault="00EF1D74" w:rsidP="00EF1D74">
      <w:pPr>
        <w:spacing w:before="120"/>
        <w:rPr>
          <w:szCs w:val="24"/>
          <w:lang w:eastAsia="lv-LV"/>
        </w:rPr>
      </w:pPr>
      <w:r w:rsidRPr="00EF1D74">
        <w:rPr>
          <w:szCs w:val="24"/>
          <w:lang w:eastAsia="lv-LV"/>
        </w:rPr>
        <w:t xml:space="preserve">2019. gadā bezdarba līmenis pēc darbaspēka </w:t>
      </w:r>
      <w:proofErr w:type="spellStart"/>
      <w:r w:rsidRPr="00EF1D74">
        <w:rPr>
          <w:szCs w:val="24"/>
          <w:lang w:eastAsia="lv-LV"/>
        </w:rPr>
        <w:t>apsekojuma</w:t>
      </w:r>
      <w:proofErr w:type="spellEnd"/>
      <w:r w:rsidRPr="00EF1D74">
        <w:rPr>
          <w:szCs w:val="24"/>
          <w:lang w:eastAsia="lv-LV"/>
        </w:rPr>
        <w:t xml:space="preserve"> bija samazinājies par 1,1 procentpunktu līdz 6,3% no ekonomiski aktīvajiem iedzīvotājiem. Savukārt jau 2020. gada pirmajā ceturksnī, kad Covid-19 krīze vēl tikai sāka ietekmēt ekonomiku, bezdarba līmenis pēc darbaspēka </w:t>
      </w:r>
      <w:proofErr w:type="spellStart"/>
      <w:r w:rsidRPr="00EF1D74">
        <w:rPr>
          <w:szCs w:val="24"/>
          <w:lang w:eastAsia="lv-LV"/>
        </w:rPr>
        <w:t>apsekojuma</w:t>
      </w:r>
      <w:proofErr w:type="spellEnd"/>
      <w:r w:rsidRPr="00EF1D74">
        <w:rPr>
          <w:szCs w:val="24"/>
          <w:lang w:eastAsia="lv-LV"/>
        </w:rPr>
        <w:t>, salīdzinot ar 2019. gada pirmo ceturksni, palielinājās par 0,5 procentpunktiem, sasniedzot 7,4%. Vēl straujāks bezdarba pieaugums sekoja otrajā ceturksnī, kad bezdarba līmenis palielinājās līdz 8,6% un bija par 2,2 procentpunktiem augstāks nekā pirms gada. Neskatoties uz salīdzinoši straujo kāpumu ceturkšņa laikā, bezdarba līmenis bija atgriezies 2017. gada līmenī, un tālu atpalika no iepriekšējās finanšu krīzes laika rādītājiem, kad 2010. gada pirmajā ceturksnī bezdarba līmenis bija sasniedzis maksimumu - 21,3% no ekonomiski aktīvajiem iedzīvotājiem.</w:t>
      </w:r>
    </w:p>
    <w:p w:rsidR="00EF1D74" w:rsidRPr="00EF1D74" w:rsidRDefault="00EF1D74" w:rsidP="00EF1D74">
      <w:pPr>
        <w:spacing w:before="120"/>
        <w:rPr>
          <w:szCs w:val="24"/>
          <w:lang w:eastAsia="lv-LV"/>
        </w:rPr>
      </w:pPr>
      <w:r w:rsidRPr="00EF1D74">
        <w:rPr>
          <w:szCs w:val="24"/>
          <w:lang w:eastAsia="lv-LV"/>
        </w:rPr>
        <w:t>Līdzīgu bezdarba pieauguma dinamiku, bet ietverot jau arī jūlija un augusta situāciju, parāda Nodarbinātības valsts aģentūras (NVA) dati par reģistrēto bezdarbnieku skaitu un reģistrētā bezdarba līmeni. Laikā no februāra beigām līdz jūnija beigām reģistrēto bezdarbnieku skaits palielinājās par 20 tūkstošiem jeb 34,4%, reģistrētā bezdarba līmenim pieaugot no 6,3% līdz 8,6%. Savukārt jūlijā bezdarba pieaugums jau bija apstājies, bet augustā jau bija vērojams salīdzinoši straujš bezdarbnieku skaita samazinājums – par 2,8 tūkstošiem un mēneša beigās bezdarba līmenis bija samazinājies līdz 8,2% no ekonomiski aktīvajiem iedzīvotājiem.</w:t>
      </w:r>
    </w:p>
    <w:p w:rsidR="00EF1D74" w:rsidRPr="00EF1D74" w:rsidRDefault="00EF1D74" w:rsidP="00EF1D74">
      <w:pPr>
        <w:spacing w:before="120"/>
        <w:rPr>
          <w:szCs w:val="24"/>
        </w:rPr>
      </w:pPr>
      <w:r w:rsidRPr="00EF1D74">
        <w:rPr>
          <w:szCs w:val="24"/>
          <w:lang w:eastAsia="lv-LV"/>
        </w:rPr>
        <w:t xml:space="preserve">Krīzē darbu zaudējot pirmām kārtām izmitināšanā un ēdināšanā, transportā, kā arī mākslas, izklaides un atpūtas nozarē strādājošajiem, bezdarba līmenis visstraujāk auga Rīgā un Rīgas apkārtnē, kamēr Latvijas reģionos, kur bezdarba līmenis jau iepriekš bija augstāks, Covid-19 ietekme darba tirgū bija daudz mazāk jūtama. Rīgas reģionā bezdarba līmenis laikā no februāra beigām līdz jūnija beigām palielinājās par 2,6 procentpunktiem, kamēr Zemgalē un Kurzemē pieaugums bijis tikai 1,7-1,9 procentpunktu apmērā. Bezdarbnieku skaits Rīgas reģionā šajā laikā auga par 62,6% jeb 13,3 tūkstošiem, kamēr Latgalē bezdarbnieku skaita pieaugums bijis tikai 10,9% jeb 1,8 tūkstoši. Tomēr, neskatoties uz atšķirīgo dinamiku šā gada laikā, bezdarba līmenis Rīgas reģionā joprojām ir ievērojami zemāks – 6,6% augusta beigās, kamēr Latgalē tas sasniedz 15,8% no ekonomiski aktīvajiem iedzīvotājiem </w:t>
      </w:r>
      <w:r w:rsidRPr="00EF1D74">
        <w:rPr>
          <w:szCs w:val="24"/>
        </w:rPr>
        <w:t>(1.28. attēls).</w:t>
      </w:r>
    </w:p>
    <w:p w:rsidR="00EF1D74" w:rsidRPr="00EF1D74" w:rsidRDefault="00EF1D74" w:rsidP="00EF1D74">
      <w:pPr>
        <w:spacing w:before="120"/>
        <w:rPr>
          <w:szCs w:val="24"/>
        </w:rPr>
      </w:pPr>
    </w:p>
    <w:p w:rsidR="00EF1D74" w:rsidRPr="00EF1D74" w:rsidRDefault="00EF1D74" w:rsidP="00EF1D74">
      <w:pPr>
        <w:spacing w:before="120"/>
        <w:rPr>
          <w:szCs w:val="24"/>
        </w:rPr>
      </w:pPr>
    </w:p>
    <w:p w:rsidR="00EF1D74" w:rsidRPr="00EF1D74" w:rsidRDefault="00EF1D74" w:rsidP="00EF1D74">
      <w:pPr>
        <w:spacing w:before="120"/>
        <w:rPr>
          <w:szCs w:val="24"/>
        </w:rPr>
      </w:pPr>
    </w:p>
    <w:p w:rsidR="00EF1D74" w:rsidRPr="00EF1D74" w:rsidRDefault="00EF1D74" w:rsidP="00EF1D74">
      <w:pPr>
        <w:spacing w:before="120"/>
        <w:rPr>
          <w:szCs w:val="24"/>
        </w:rPr>
      </w:pPr>
    </w:p>
    <w:p w:rsidR="00EF1D74" w:rsidRPr="00EF1D74" w:rsidRDefault="00EF1D74" w:rsidP="00EF1D74">
      <w:pPr>
        <w:spacing w:before="120"/>
        <w:rPr>
          <w:szCs w:val="24"/>
        </w:rPr>
      </w:pPr>
    </w:p>
    <w:p w:rsidR="00EF1D74" w:rsidRPr="00EF1D74" w:rsidRDefault="00EF1D74" w:rsidP="00EF1D74">
      <w:pPr>
        <w:spacing w:after="0"/>
        <w:jc w:val="center"/>
        <w:rPr>
          <w:b/>
          <w:szCs w:val="24"/>
        </w:rPr>
      </w:pPr>
      <w:r w:rsidRPr="00EF1D74">
        <w:rPr>
          <w:b/>
          <w:i/>
          <w:color w:val="000000"/>
          <w:szCs w:val="24"/>
        </w:rPr>
        <w:lastRenderedPageBreak/>
        <w:t>1.28. att</w:t>
      </w:r>
      <w:r w:rsidRPr="00EF1D74">
        <w:rPr>
          <w:b/>
          <w:i/>
          <w:szCs w:val="24"/>
        </w:rPr>
        <w:t xml:space="preserve">ēls </w:t>
      </w:r>
      <w:r w:rsidRPr="00EF1D74">
        <w:rPr>
          <w:b/>
          <w:szCs w:val="24"/>
        </w:rPr>
        <w:t>Reģistrētā bezdarba līmenis Latvijas reģionos</w:t>
      </w:r>
    </w:p>
    <w:p w:rsidR="00EF1D74" w:rsidRPr="00EF1D74" w:rsidRDefault="00EF1D74" w:rsidP="00EF1D74">
      <w:pPr>
        <w:spacing w:after="0"/>
        <w:jc w:val="center"/>
        <w:rPr>
          <w:szCs w:val="24"/>
        </w:rPr>
      </w:pPr>
      <w:r w:rsidRPr="00EF1D74">
        <w:rPr>
          <w:b/>
          <w:szCs w:val="24"/>
        </w:rPr>
        <w:t>(% no ekonomiski aktīvajiem iedzīvotājiem) perioda beigās</w:t>
      </w:r>
    </w:p>
    <w:p w:rsidR="00EF1D74" w:rsidRPr="00EF1D74" w:rsidRDefault="00EF1D74" w:rsidP="00EF1D74">
      <w:pPr>
        <w:spacing w:after="0"/>
        <w:ind w:firstLine="0"/>
        <w:jc w:val="center"/>
        <w:rPr>
          <w:szCs w:val="24"/>
          <w:lang w:eastAsia="lv-LV"/>
        </w:rPr>
      </w:pPr>
      <w:r w:rsidRPr="00EF1D74">
        <w:rPr>
          <w:noProof/>
          <w:szCs w:val="24"/>
          <w:lang w:eastAsia="lv-LV"/>
        </w:rPr>
        <w:drawing>
          <wp:inline distT="0" distB="0" distL="0" distR="0" wp14:anchorId="4A0C375F" wp14:editId="51B50E6E">
            <wp:extent cx="5219700" cy="3133725"/>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F1D74" w:rsidRPr="00EF1D74" w:rsidRDefault="00EF1D74" w:rsidP="00EF1D74">
      <w:pPr>
        <w:spacing w:before="120"/>
        <w:rPr>
          <w:szCs w:val="24"/>
          <w:lang w:eastAsia="lv-LV"/>
        </w:rPr>
      </w:pPr>
      <w:r w:rsidRPr="00EF1D74">
        <w:rPr>
          <w:szCs w:val="24"/>
          <w:lang w:eastAsia="lv-LV"/>
        </w:rPr>
        <w:t>Darbu zaudējot vispirms tieši krīzes skartajās nozarēs nodarbinātajiem, procentuāli straujākais bezdarbnieku skaita pieaugums 2020. gada otrajā ceturksnī bija 20-24 gadu vecuma grupā. Arī pēc izglītības līmeņa visstraujākais bezdarba pieaugums bijis starp vispārējo vidējo izglītību ieguvušajiem, kamēr cilvēkus ar augstāko izglītību vai tikai pamatizglītību ieguvušos krīze skāra salīdzinoši mazāk.</w:t>
      </w:r>
    </w:p>
    <w:p w:rsidR="00EF1D74" w:rsidRPr="00EF1D74" w:rsidRDefault="00EF1D74" w:rsidP="00EF1D74">
      <w:pPr>
        <w:spacing w:before="120"/>
        <w:ind w:firstLine="0"/>
        <w:rPr>
          <w:szCs w:val="24"/>
          <w:lang w:eastAsia="lv-LV"/>
        </w:rPr>
      </w:pPr>
      <w:r w:rsidRPr="00EF1D74">
        <w:rPr>
          <w:szCs w:val="24"/>
          <w:lang w:eastAsia="lv-LV"/>
        </w:rPr>
        <w:tab/>
        <w:t>Jāatzīmē arī, ka kopējo bezdarba līmeni valstī laikā no šā gada marta līdz jūnijam palīdzēja ierobežot dīkstāves pabalstu piešķiršana to uzņēmumu darbiniekiem, kuriem krīzes laikā bija būtiski kritušies darbības apjomi. Laikā no marta līdz jūnijam dīkstāves pabalstus vidēji mēnesī saņēma 31,7 tūkstoši cilvēku. Vislielākais dīkstāves pabalstu saņēmēju skaits bija aprīlī  - 42,4 tūkstoši, bet līdz jūnijam līdz ar krīzes mazināšanos pabalstu saņēmēju skaits saruka līdz 25,6 tūkstošiem. Bez šiem dīkstāves pabalstiem reģistrētā bezdarba līmenis aprīlī un maijā būtu pietuvojies jau 12,5% - līmenim, kādā tas bija 2011.-2012. gadā īsi pēc globālās finanšu krīzes pārvarēšanas.</w:t>
      </w:r>
    </w:p>
    <w:p w:rsidR="00EF1D74" w:rsidRPr="00EF1D74" w:rsidRDefault="00EF1D74" w:rsidP="00EF1D74">
      <w:pPr>
        <w:spacing w:before="120"/>
        <w:rPr>
          <w:szCs w:val="24"/>
          <w:lang w:eastAsia="lv-LV"/>
        </w:rPr>
      </w:pPr>
      <w:r w:rsidRPr="00EF1D74">
        <w:rPr>
          <w:szCs w:val="24"/>
          <w:lang w:eastAsia="lv-LV"/>
        </w:rPr>
        <w:t xml:space="preserve">Tautsaimniecībā nodarbināto iedzīvotāju skaits 2019. gadā palielinājās tikai par 0,1% līdz 910 tūkstošiem, un nodarbinātības pieaugumu bremzēja galvenokārt sarūkošais darbspējas vecuma iedzīvotāju skaits. Kā liecina dati par aizņemtajām darba vietām, visstraujāk jaunas darba vietas pagājušā gada laikā veidojās administratīvo pakalpojumu, izmitināšanas un ēdināšanas, kā arī veselības un sociālās aprūpes nozarēs, kur aizņemto darba vietu skaits 2019. gadā bija attiecīgi par 4,7%, 3,9% un 3,3% lielāks nekā iepriekšējā gadā. Savukārt lielākais darba vietu skaita samazinājums 2019. gadā bija energoapgādes un valsts pārvaldes nozarēs. </w:t>
      </w:r>
    </w:p>
    <w:p w:rsidR="00EF1D74" w:rsidRPr="00EF1D74" w:rsidRDefault="00EF1D74" w:rsidP="00EF1D74">
      <w:pPr>
        <w:spacing w:before="120"/>
        <w:rPr>
          <w:szCs w:val="24"/>
          <w:lang w:eastAsia="lv-LV"/>
        </w:rPr>
      </w:pPr>
      <w:r w:rsidRPr="00EF1D74">
        <w:rPr>
          <w:szCs w:val="24"/>
          <w:lang w:eastAsia="lv-LV"/>
        </w:rPr>
        <w:t xml:space="preserve">2020. gada pirmajā pusē tautsaimniecībā nodarbināto iedzīvotāju skaits Covid-19 krīzes ietekmē kritās un gada pirmajā ceturksnī, pēc darbaspēka </w:t>
      </w:r>
      <w:proofErr w:type="spellStart"/>
      <w:r w:rsidRPr="00EF1D74">
        <w:rPr>
          <w:szCs w:val="24"/>
          <w:lang w:eastAsia="lv-LV"/>
        </w:rPr>
        <w:t>apsekojuma</w:t>
      </w:r>
      <w:proofErr w:type="spellEnd"/>
      <w:r w:rsidRPr="00EF1D74">
        <w:rPr>
          <w:szCs w:val="24"/>
          <w:lang w:eastAsia="lv-LV"/>
        </w:rPr>
        <w:t xml:space="preserve"> datiem, strādājošo iedzīvotāju skaits bija par 0,2% mazāks nekā pirms gada. Gada otrajā ceturksnī nodarbināto skaita samazinājums gada griezumā sasniedza jau 1,5%.</w:t>
      </w:r>
    </w:p>
    <w:p w:rsidR="00EF1D74" w:rsidRPr="00EF1D74" w:rsidRDefault="00EF1D74" w:rsidP="00EF1D74">
      <w:pPr>
        <w:spacing w:before="120"/>
        <w:rPr>
          <w:szCs w:val="24"/>
          <w:lang w:eastAsia="lv-LV"/>
        </w:rPr>
      </w:pPr>
      <w:r w:rsidRPr="00EF1D74">
        <w:rPr>
          <w:szCs w:val="24"/>
          <w:lang w:eastAsia="lv-LV"/>
        </w:rPr>
        <w:t xml:space="preserve">Atšķirībā no darbaspēka </w:t>
      </w:r>
      <w:proofErr w:type="spellStart"/>
      <w:r w:rsidRPr="00EF1D74">
        <w:rPr>
          <w:szCs w:val="24"/>
          <w:lang w:eastAsia="lv-LV"/>
        </w:rPr>
        <w:t>apsekojuma</w:t>
      </w:r>
      <w:proofErr w:type="spellEnd"/>
      <w:r w:rsidRPr="00EF1D74">
        <w:rPr>
          <w:szCs w:val="24"/>
          <w:lang w:eastAsia="lv-LV"/>
        </w:rPr>
        <w:t xml:space="preserve">, kas balstās uz iedzīvotāju aptauju datiem un ietver visus nodarbinātības veidus, tajā skaitā darba ņēmējus, darba devējus, </w:t>
      </w:r>
      <w:proofErr w:type="spellStart"/>
      <w:r w:rsidRPr="00EF1D74">
        <w:rPr>
          <w:szCs w:val="24"/>
          <w:lang w:eastAsia="lv-LV"/>
        </w:rPr>
        <w:t>pašnodarbinātos</w:t>
      </w:r>
      <w:proofErr w:type="spellEnd"/>
      <w:r w:rsidRPr="00EF1D74">
        <w:rPr>
          <w:szCs w:val="24"/>
          <w:lang w:eastAsia="lv-LV"/>
        </w:rPr>
        <w:t xml:space="preserve"> iedzīvotājus, uzņēmumu dati šogad uzrāda krietni straujāku aizņemto darba vietu skaita samazināšanos. 2020. gada otrā ceturkšņa beigās aizņemto darba vietu skaits bijis par 41,8 </w:t>
      </w:r>
      <w:r w:rsidRPr="00EF1D74">
        <w:rPr>
          <w:szCs w:val="24"/>
          <w:lang w:eastAsia="lv-LV"/>
        </w:rPr>
        <w:lastRenderedPageBreak/>
        <w:t>tūkstošiem jeb 4,5% mazāks nekā pirms gada, tajā skaitā darba vietu skaits privātajā sektorā samazinājies par 5,6% un sabiedriskajā sektorā - par 2,0%.</w:t>
      </w:r>
    </w:p>
    <w:p w:rsidR="00EF1D74" w:rsidRPr="00EF1D74" w:rsidRDefault="00EF1D74" w:rsidP="00EF1D74">
      <w:pPr>
        <w:spacing w:before="120"/>
        <w:rPr>
          <w:szCs w:val="24"/>
        </w:rPr>
      </w:pPr>
      <w:r w:rsidRPr="00EF1D74">
        <w:rPr>
          <w:szCs w:val="24"/>
          <w:lang w:eastAsia="lv-LV"/>
        </w:rPr>
        <w:t>Vislielākais aizņemto darba vietu skaita kritums bijis Covid-19 krīzes tieši skartajās nozarēs – izmitināšanā un ēdināšanā darba vietu skaits samazinājies par 10,1 tūkstoti jeb 26,6%, tirdzniecībā – par 8,1 tūkstoti jeb 5,5% un transportā – par 6,6 tūkstošiem jeb 8,6%. Procentuāli ļoti straujš darba vietu samazinājums bijis arī mākslas, izlaides un atpūtas nozarē – par 11,1%. Neliels darba vietu skaita pieaugums šogad bijis tikai veselības, informācijas un komunikāciju tehnoloģiju, izglītības un ieguves rūpniecības nozarēs (</w:t>
      </w:r>
      <w:r w:rsidRPr="00EF1D74">
        <w:rPr>
          <w:szCs w:val="24"/>
        </w:rPr>
        <w:t>1.29. attēls).</w:t>
      </w:r>
    </w:p>
    <w:p w:rsidR="00EF1D74" w:rsidRPr="00EF1D74" w:rsidRDefault="00EF1D74" w:rsidP="00EF1D74">
      <w:pPr>
        <w:spacing w:before="120"/>
        <w:ind w:firstLine="0"/>
        <w:jc w:val="center"/>
        <w:rPr>
          <w:b/>
          <w:i/>
          <w:szCs w:val="24"/>
        </w:rPr>
      </w:pPr>
      <w:r w:rsidRPr="00EF1D74">
        <w:rPr>
          <w:b/>
          <w:i/>
          <w:szCs w:val="24"/>
        </w:rPr>
        <w:t xml:space="preserve">1.29. attēls </w:t>
      </w:r>
      <w:r w:rsidRPr="00EF1D74">
        <w:rPr>
          <w:b/>
          <w:szCs w:val="24"/>
        </w:rPr>
        <w:t>Aizņemto darba vietu skaita izmaiņas gada laikā, 2020. gada 2.ceturkšņa beigas/2019. gada 2.ceturkšņa beigas</w:t>
      </w:r>
    </w:p>
    <w:p w:rsidR="00EF1D74" w:rsidRPr="00EF1D74" w:rsidRDefault="00EF1D74" w:rsidP="00EF1D74">
      <w:pPr>
        <w:spacing w:before="120"/>
        <w:ind w:firstLine="0"/>
        <w:jc w:val="center"/>
        <w:rPr>
          <w:szCs w:val="24"/>
          <w:lang w:eastAsia="lv-LV"/>
        </w:rPr>
      </w:pPr>
      <w:r w:rsidRPr="00EF1D74">
        <w:rPr>
          <w:rFonts w:ascii="Calibri" w:hAnsi="Calibri"/>
          <w:noProof/>
          <w:szCs w:val="24"/>
          <w:lang w:eastAsia="lv-LV"/>
        </w:rPr>
        <w:drawing>
          <wp:inline distT="0" distB="0" distL="0" distR="0" wp14:anchorId="29F7606A" wp14:editId="123A7CCE">
            <wp:extent cx="5715000" cy="2809875"/>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F1D74" w:rsidRPr="00EF1D74" w:rsidRDefault="00EF1D74" w:rsidP="00EF1D74">
      <w:pPr>
        <w:spacing w:before="120"/>
        <w:rPr>
          <w:szCs w:val="24"/>
          <w:lang w:eastAsia="lv-LV"/>
        </w:rPr>
      </w:pPr>
      <w:r w:rsidRPr="00EF1D74">
        <w:rPr>
          <w:szCs w:val="24"/>
          <w:lang w:eastAsia="lv-LV"/>
        </w:rPr>
        <w:t>Kopumā situācija darba tirgū visās Baltijas valstīs šogad attīstījusies līdzīgi un bezdarbs visās valstīs palielinājies gandrīz vienādi. Igaunijā bezdarba līmenis šā gada otrajā ceturksnī, salīdzinot ar attiecīgo ceturksni pirms gada, palielinājies par 2,0 procentpunktiem līdz 7,1%, Latvijā – par 2,2 procentpunktiem līdz 8,6%  un  Lietuvā – par 2,4 procentpunktiem līdz 8,6%. Vienlaikus bezdarba līmenis Igaunijā joprojām ir būtiski zemāks nekā Latvijā un Lietuvā, kur tas pēdējos ceturkšņos bijis praktiski vienāds, tuvu ES vidējam līmenim (1.30. attēls).</w:t>
      </w:r>
    </w:p>
    <w:p w:rsidR="00EF1D74" w:rsidRPr="00EF1D74" w:rsidRDefault="00EF1D74" w:rsidP="00EF1D74">
      <w:pPr>
        <w:spacing w:before="120"/>
        <w:ind w:firstLine="0"/>
        <w:jc w:val="center"/>
        <w:rPr>
          <w:b/>
          <w:i/>
          <w:szCs w:val="24"/>
        </w:rPr>
      </w:pPr>
      <w:r w:rsidRPr="00EF1D74">
        <w:rPr>
          <w:b/>
          <w:i/>
          <w:szCs w:val="24"/>
        </w:rPr>
        <w:t xml:space="preserve">1.30. attēls </w:t>
      </w:r>
      <w:r w:rsidRPr="00EF1D74">
        <w:rPr>
          <w:b/>
          <w:szCs w:val="24"/>
        </w:rPr>
        <w:t>Bezdarba līmenis Baltijas valstīs un ES vidēji, pa ceturkšņiem, % no ekonomiski aktīvajiem iedzīvotājiem</w:t>
      </w:r>
    </w:p>
    <w:p w:rsidR="00EF1D74" w:rsidRPr="00EF1D74" w:rsidRDefault="00EF1D74" w:rsidP="00EF1D74">
      <w:pPr>
        <w:spacing w:before="120"/>
        <w:ind w:firstLine="0"/>
        <w:jc w:val="center"/>
        <w:rPr>
          <w:b/>
          <w:i/>
          <w:szCs w:val="24"/>
        </w:rPr>
      </w:pPr>
      <w:r w:rsidRPr="00EF1D74">
        <w:rPr>
          <w:b/>
          <w:i/>
          <w:noProof/>
          <w:szCs w:val="24"/>
          <w:lang w:eastAsia="lv-LV"/>
        </w:rPr>
        <w:drawing>
          <wp:inline distT="0" distB="0" distL="0" distR="0" wp14:anchorId="68D2AA73" wp14:editId="74E1DFC8">
            <wp:extent cx="5153025" cy="2486025"/>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F1D74" w:rsidRPr="00EF1D74" w:rsidRDefault="00EF1D74" w:rsidP="00EF1D74">
      <w:pPr>
        <w:keepNext/>
        <w:keepLines/>
        <w:spacing w:before="240" w:after="240" w:line="259" w:lineRule="auto"/>
        <w:ind w:firstLine="0"/>
        <w:jc w:val="center"/>
        <w:outlineLvl w:val="2"/>
        <w:rPr>
          <w:b/>
          <w:bCs/>
          <w:sz w:val="32"/>
          <w:szCs w:val="32"/>
        </w:rPr>
      </w:pPr>
      <w:r w:rsidRPr="00EF1D74">
        <w:rPr>
          <w:b/>
          <w:bCs/>
          <w:sz w:val="32"/>
          <w:szCs w:val="32"/>
        </w:rPr>
        <w:lastRenderedPageBreak/>
        <w:t>1.2.5. Iedzīvotāju ienākumi</w:t>
      </w:r>
    </w:p>
    <w:p w:rsidR="00EF1D74" w:rsidRPr="00EF1D74" w:rsidRDefault="00EF1D74" w:rsidP="00EF1D74">
      <w:pPr>
        <w:spacing w:before="120"/>
        <w:rPr>
          <w:szCs w:val="28"/>
        </w:rPr>
      </w:pPr>
      <w:r w:rsidRPr="00EF1D74">
        <w:rPr>
          <w:sz w:val="22"/>
          <w:szCs w:val="24"/>
        </w:rPr>
        <w:t xml:space="preserve"> </w:t>
      </w:r>
      <w:r w:rsidRPr="00EF1D74">
        <w:rPr>
          <w:szCs w:val="28"/>
        </w:rPr>
        <w:t>Līdz ar straujo ekonomikas izaugsmi un augošo pieprasījumu pēc darbiniekiem pēdējos gados Latvijā bija vērojams visai straujš mēneša vidējās darba samaksas pieaugums, kas turpinājās vēl šā gada pirmajā ceturksnī, Covid-19 krīzes ietekmē būtiskāk palēninoties tikai nākamajos trīs mēnešos.</w:t>
      </w:r>
    </w:p>
    <w:p w:rsidR="00EF1D74" w:rsidRPr="00EF1D74" w:rsidRDefault="00EF1D74" w:rsidP="00EF1D74">
      <w:pPr>
        <w:spacing w:before="120"/>
        <w:rPr>
          <w:szCs w:val="28"/>
        </w:rPr>
      </w:pPr>
      <w:r w:rsidRPr="00EF1D74">
        <w:rPr>
          <w:szCs w:val="28"/>
        </w:rPr>
        <w:t xml:space="preserve">2019. gadā mēneša vidējā bruto darba samaksa palielinājās par 7,2%, vidējai algai sasniedzot 1 076 </w:t>
      </w:r>
      <w:proofErr w:type="spellStart"/>
      <w:r w:rsidRPr="00EF1D74">
        <w:rPr>
          <w:i/>
          <w:szCs w:val="28"/>
        </w:rPr>
        <w:t>euro</w:t>
      </w:r>
      <w:proofErr w:type="spellEnd"/>
      <w:r w:rsidRPr="00EF1D74">
        <w:rPr>
          <w:szCs w:val="28"/>
        </w:rPr>
        <w:t xml:space="preserve">. Pagājušajā gadā kopumā straujāks darba samaksas pieaugums bija privātajā sektorā, kur mēneša vidējā bruto darba samaksa palielinājās par 7,6%, kamēr sabiedriskajā sektorā tā auga par 6,8%. Tomēr vēl joprojām augstāks darba samaksas līmenis saglabājās sabiedriskajā sektorā, kur vidējā alga bija 1 103 </w:t>
      </w:r>
      <w:proofErr w:type="spellStart"/>
      <w:r w:rsidRPr="00EF1D74">
        <w:rPr>
          <w:i/>
          <w:szCs w:val="28"/>
        </w:rPr>
        <w:t>euro</w:t>
      </w:r>
      <w:proofErr w:type="spellEnd"/>
      <w:r w:rsidRPr="00EF1D74">
        <w:rPr>
          <w:szCs w:val="28"/>
        </w:rPr>
        <w:t xml:space="preserve">, kamēr privātajā sektorā tā veidoja 1 067 </w:t>
      </w:r>
      <w:proofErr w:type="spellStart"/>
      <w:r w:rsidRPr="00EF1D74">
        <w:rPr>
          <w:i/>
          <w:szCs w:val="28"/>
        </w:rPr>
        <w:t>euro</w:t>
      </w:r>
      <w:proofErr w:type="spellEnd"/>
      <w:r w:rsidRPr="00EF1D74">
        <w:rPr>
          <w:szCs w:val="28"/>
        </w:rPr>
        <w:t>.</w:t>
      </w:r>
    </w:p>
    <w:p w:rsidR="00EF1D74" w:rsidRPr="00EF1D74" w:rsidRDefault="00EF1D74" w:rsidP="00EF1D74">
      <w:pPr>
        <w:spacing w:before="120"/>
        <w:rPr>
          <w:szCs w:val="28"/>
        </w:rPr>
      </w:pPr>
      <w:r w:rsidRPr="00EF1D74">
        <w:rPr>
          <w:szCs w:val="28"/>
        </w:rPr>
        <w:t xml:space="preserve">2020. gada pirmajā ceturksnī inerces rezultātā vēl saglabājās visai spēcīgs darba samaksas pieaugums, mēneša vidējai bruto darba samaksai, salīdzinot ar pagājušā gada pirmo ceturksni palielinoties par 6,6% līdz 1 100 </w:t>
      </w:r>
      <w:proofErr w:type="spellStart"/>
      <w:r w:rsidRPr="00EF1D74">
        <w:rPr>
          <w:i/>
          <w:szCs w:val="28"/>
        </w:rPr>
        <w:t>euro</w:t>
      </w:r>
      <w:proofErr w:type="spellEnd"/>
      <w:r w:rsidRPr="00EF1D74">
        <w:rPr>
          <w:szCs w:val="28"/>
        </w:rPr>
        <w:t>. Otrajā ceturksnī darba samaksas pieaugums palēninājās līdz 3,9%, taču mēnešu dati rāda, ka pēc sabremzēšanās aprīlī un maijā, jūnijā darba samaksas pieaugums atkal kļuvis straujāks. Aprīlī, salīdzinot ar 2019. gada aprīli, vidējā mēneša bruto darba samaksa pieauga par 3,6%, maijā gada pieauguma temps bija viszemākais - 2,5%, bet jūnijā tas atkal palielinājās līdz 5,6%.</w:t>
      </w:r>
    </w:p>
    <w:p w:rsidR="00EF1D74" w:rsidRPr="00EF1D74" w:rsidRDefault="00EF1D74" w:rsidP="00EF1D74">
      <w:pPr>
        <w:spacing w:before="120"/>
        <w:rPr>
          <w:szCs w:val="28"/>
        </w:rPr>
      </w:pPr>
      <w:r w:rsidRPr="00EF1D74">
        <w:rPr>
          <w:szCs w:val="28"/>
        </w:rPr>
        <w:t xml:space="preserve">Kopumā vidējā darba samaksa otrajā ceturksnī bija 1 118 </w:t>
      </w:r>
      <w:proofErr w:type="spellStart"/>
      <w:r w:rsidRPr="00EF1D74">
        <w:rPr>
          <w:i/>
          <w:szCs w:val="28"/>
        </w:rPr>
        <w:t>euro</w:t>
      </w:r>
      <w:proofErr w:type="spellEnd"/>
      <w:r w:rsidRPr="00EF1D74">
        <w:rPr>
          <w:szCs w:val="28"/>
        </w:rPr>
        <w:t xml:space="preserve">, augstākajai darba samaksai joprojām saglabājoties sabiedriskajā sektorā, kur tā bija 1 138 </w:t>
      </w:r>
      <w:proofErr w:type="spellStart"/>
      <w:r w:rsidRPr="00EF1D74">
        <w:rPr>
          <w:i/>
          <w:szCs w:val="28"/>
        </w:rPr>
        <w:t>euro</w:t>
      </w:r>
      <w:proofErr w:type="spellEnd"/>
      <w:r w:rsidRPr="00EF1D74">
        <w:rPr>
          <w:szCs w:val="28"/>
        </w:rPr>
        <w:t xml:space="preserve">, bet privātajā sektorā vidējā alga veidoja 1 108 </w:t>
      </w:r>
      <w:proofErr w:type="spellStart"/>
      <w:r w:rsidRPr="00EF1D74">
        <w:rPr>
          <w:i/>
          <w:szCs w:val="28"/>
        </w:rPr>
        <w:t>euro</w:t>
      </w:r>
      <w:proofErr w:type="spellEnd"/>
      <w:r w:rsidRPr="00EF1D74">
        <w:rPr>
          <w:szCs w:val="28"/>
        </w:rPr>
        <w:t>. Algu pieaugums otrajā ceturksnī sabiedriskajā un privātajā sektorā bija vienāds un veidoja 3,8%. Nozaru griezumā straujākie algu pieaugumi otrajā ceturksnī bija citu pakalpojumu nozarē - par 14,3% un profesionālo pakalpojumu nozarē - par 8,0%, savukārt krīzes visvairāk skartajā izmitināšanās un ēdināšanas nozarē vidējā alga samazinājās par 16,5% un transporta nozarē - par 5,1%.</w:t>
      </w:r>
    </w:p>
    <w:p w:rsidR="00EF1D74" w:rsidRPr="00EF1D74" w:rsidRDefault="00EF1D74" w:rsidP="00EF1D74">
      <w:pPr>
        <w:spacing w:before="120"/>
        <w:rPr>
          <w:szCs w:val="28"/>
        </w:rPr>
      </w:pPr>
      <w:r w:rsidRPr="00EF1D74">
        <w:rPr>
          <w:szCs w:val="28"/>
        </w:rPr>
        <w:t xml:space="preserve">Augstākā darba samaksa joprojām saglabājās finanšu pakalpojumu un informācijas un komunikācijas pakalpojumu nozarēs, kur vidējā alga 2020. gada otrajā ceturksnī bija attiecīgi 2 160 </w:t>
      </w:r>
      <w:proofErr w:type="spellStart"/>
      <w:r w:rsidRPr="00EF1D74">
        <w:rPr>
          <w:i/>
          <w:szCs w:val="28"/>
        </w:rPr>
        <w:t>euro</w:t>
      </w:r>
      <w:proofErr w:type="spellEnd"/>
      <w:r w:rsidRPr="00EF1D74">
        <w:rPr>
          <w:szCs w:val="28"/>
        </w:rPr>
        <w:t xml:space="preserve"> un 1 813 </w:t>
      </w:r>
      <w:proofErr w:type="spellStart"/>
      <w:r w:rsidRPr="00EF1D74">
        <w:rPr>
          <w:i/>
          <w:szCs w:val="28"/>
        </w:rPr>
        <w:t>euro</w:t>
      </w:r>
      <w:proofErr w:type="spellEnd"/>
      <w:r w:rsidRPr="00EF1D74">
        <w:rPr>
          <w:szCs w:val="28"/>
        </w:rPr>
        <w:t xml:space="preserve">, bet zemākā darba samaksa bija izmitināšanas un ēdināšanas nozarē – 646 </w:t>
      </w:r>
      <w:proofErr w:type="spellStart"/>
      <w:r w:rsidRPr="00EF1D74">
        <w:rPr>
          <w:i/>
          <w:szCs w:val="28"/>
        </w:rPr>
        <w:t>euro</w:t>
      </w:r>
      <w:proofErr w:type="spellEnd"/>
      <w:r w:rsidRPr="00EF1D74">
        <w:rPr>
          <w:i/>
          <w:szCs w:val="28"/>
        </w:rPr>
        <w:t xml:space="preserve"> </w:t>
      </w:r>
      <w:r w:rsidRPr="00EF1D74">
        <w:rPr>
          <w:szCs w:val="28"/>
        </w:rPr>
        <w:t>(1.31. attēls).</w:t>
      </w:r>
    </w:p>
    <w:p w:rsidR="00EF1D74" w:rsidRPr="00EF1D74" w:rsidRDefault="00EF1D74" w:rsidP="00EF1D74">
      <w:pPr>
        <w:spacing w:after="0"/>
        <w:ind w:firstLine="0"/>
        <w:jc w:val="center"/>
        <w:rPr>
          <w:b/>
          <w:i/>
          <w:szCs w:val="24"/>
        </w:rPr>
      </w:pPr>
      <w:r w:rsidRPr="00EF1D74">
        <w:rPr>
          <w:b/>
          <w:i/>
          <w:szCs w:val="24"/>
        </w:rPr>
        <w:t xml:space="preserve">1.31. attēls </w:t>
      </w:r>
      <w:r w:rsidRPr="00EF1D74">
        <w:rPr>
          <w:b/>
          <w:szCs w:val="24"/>
        </w:rPr>
        <w:t>Strādājošo mēneša vidējā bruto darba samaksa valstī, pa nozarēm</w:t>
      </w:r>
      <w:r w:rsidRPr="00EF1D74">
        <w:rPr>
          <w:b/>
          <w:i/>
          <w:szCs w:val="24"/>
        </w:rPr>
        <w:t xml:space="preserve">, </w:t>
      </w:r>
      <w:proofErr w:type="spellStart"/>
      <w:r w:rsidRPr="00EF1D74">
        <w:rPr>
          <w:b/>
          <w:i/>
          <w:szCs w:val="24"/>
        </w:rPr>
        <w:t>euro</w:t>
      </w:r>
      <w:proofErr w:type="spellEnd"/>
    </w:p>
    <w:p w:rsidR="00EF1D74" w:rsidRPr="00EF1D74" w:rsidRDefault="00EF1D74" w:rsidP="00EF1D74">
      <w:pPr>
        <w:spacing w:after="0"/>
        <w:rPr>
          <w:szCs w:val="28"/>
        </w:rPr>
      </w:pPr>
    </w:p>
    <w:p w:rsidR="00EF1D74" w:rsidRPr="00EF1D74" w:rsidRDefault="00EF1D74" w:rsidP="00EF1D74">
      <w:pPr>
        <w:spacing w:after="0"/>
        <w:ind w:firstLine="0"/>
        <w:jc w:val="left"/>
        <w:rPr>
          <w:sz w:val="28"/>
          <w:szCs w:val="28"/>
        </w:rPr>
      </w:pPr>
      <w:r w:rsidRPr="00EF1D74">
        <w:rPr>
          <w:rFonts w:ascii="Calibri" w:hAnsi="Calibri"/>
          <w:noProof/>
          <w:sz w:val="22"/>
          <w:szCs w:val="22"/>
          <w:lang w:eastAsia="lv-LV"/>
        </w:rPr>
        <w:drawing>
          <wp:inline distT="0" distB="0" distL="0" distR="0" wp14:anchorId="1852EBFA" wp14:editId="40339416">
            <wp:extent cx="5274310" cy="2865755"/>
            <wp:effectExtent l="0" t="0" r="254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F1D74" w:rsidRPr="00EF1D74" w:rsidRDefault="00EF1D74" w:rsidP="00EF1D74">
      <w:pPr>
        <w:spacing w:before="120"/>
        <w:rPr>
          <w:szCs w:val="28"/>
        </w:rPr>
      </w:pPr>
      <w:r w:rsidRPr="00EF1D74">
        <w:rPr>
          <w:szCs w:val="28"/>
        </w:rPr>
        <w:lastRenderedPageBreak/>
        <w:t xml:space="preserve">Būtiskas darba samaksas atšķirības saglabājas arī starp Latvijas reģioniem un joprojām ievērojami augstāka darba samaksa ir Rīgas reģionā, kur tā šā gada otrajā ceturksnī bija 1 308 </w:t>
      </w:r>
      <w:proofErr w:type="spellStart"/>
      <w:r w:rsidRPr="00EF1D74">
        <w:rPr>
          <w:i/>
          <w:szCs w:val="28"/>
        </w:rPr>
        <w:t>euro</w:t>
      </w:r>
      <w:proofErr w:type="spellEnd"/>
      <w:r w:rsidRPr="00EF1D74">
        <w:rPr>
          <w:szCs w:val="28"/>
        </w:rPr>
        <w:t xml:space="preserve">. Latgales reģionā mēneša vidējā bruto darba samaksa otrajā ceturksnī bija 845 </w:t>
      </w:r>
      <w:proofErr w:type="spellStart"/>
      <w:r w:rsidRPr="00EF1D74">
        <w:rPr>
          <w:i/>
          <w:szCs w:val="28"/>
        </w:rPr>
        <w:t>euro</w:t>
      </w:r>
      <w:proofErr w:type="spellEnd"/>
      <w:r w:rsidRPr="00EF1D74">
        <w:rPr>
          <w:szCs w:val="28"/>
        </w:rPr>
        <w:t xml:space="preserve">, Vidzemes reģionā – 1 017 </w:t>
      </w:r>
      <w:proofErr w:type="spellStart"/>
      <w:r w:rsidRPr="00EF1D74">
        <w:rPr>
          <w:i/>
          <w:szCs w:val="28"/>
        </w:rPr>
        <w:t>euro</w:t>
      </w:r>
      <w:proofErr w:type="spellEnd"/>
      <w:r w:rsidRPr="00EF1D74">
        <w:rPr>
          <w:szCs w:val="28"/>
        </w:rPr>
        <w:t xml:space="preserve">, Kurzemes reģionā – 1 107 </w:t>
      </w:r>
      <w:proofErr w:type="spellStart"/>
      <w:r w:rsidRPr="00EF1D74">
        <w:rPr>
          <w:i/>
          <w:szCs w:val="28"/>
        </w:rPr>
        <w:t>eur</w:t>
      </w:r>
      <w:r w:rsidRPr="00EF1D74">
        <w:rPr>
          <w:szCs w:val="28"/>
        </w:rPr>
        <w:t>o</w:t>
      </w:r>
      <w:proofErr w:type="spellEnd"/>
      <w:r w:rsidRPr="00EF1D74">
        <w:rPr>
          <w:szCs w:val="28"/>
        </w:rPr>
        <w:t xml:space="preserve"> un Zemgales reģionā 1 112 </w:t>
      </w:r>
      <w:proofErr w:type="spellStart"/>
      <w:r w:rsidRPr="00EF1D74">
        <w:rPr>
          <w:i/>
          <w:szCs w:val="28"/>
        </w:rPr>
        <w:t>euro</w:t>
      </w:r>
      <w:proofErr w:type="spellEnd"/>
      <w:r w:rsidRPr="00EF1D74">
        <w:rPr>
          <w:szCs w:val="28"/>
        </w:rPr>
        <w:t>. Tajā pašā laikā, Covid-19 krīzei vairāk skarot Rīgā strādājošos uzņēmumus, šogad algu pieaugums Rīgas reģionā bijis mazāks nekā citviet Latvijā. Mēneša vidējā darba samaksa otrajā ceturksnī, salīdzinot ar pagājušā gada otro ceturksni, palielinājusies par 2,9%, kamēr Latgales reģionā vidējās darba samaksas pieaugums veidojis 4,6%.</w:t>
      </w:r>
    </w:p>
    <w:p w:rsidR="00EF1D74" w:rsidRPr="00EF1D74" w:rsidRDefault="00EF1D74" w:rsidP="00EF1D74">
      <w:pPr>
        <w:spacing w:before="120"/>
        <w:rPr>
          <w:szCs w:val="28"/>
        </w:rPr>
      </w:pPr>
      <w:r w:rsidRPr="00EF1D74">
        <w:rPr>
          <w:szCs w:val="28"/>
        </w:rPr>
        <w:t>Neskatoties zemākiem bruto darba samaksas pieauguma tempiem, reālā darba samaksa, kas ietver patēriņa cenu un nodokļu izmaiņas un precīzāk raksturo strādājošo pirktspējas izmaiņas, šogad augusi tikpat strauji kā pagājušajā gadā, atspoguļojot zemāku patēriņa cenu pieaugumu un otrajā ceturksnī arī deflāciju. Gan pirmajā, gan otrajā ceturksnī reālā darba samaksa, salīdzinot ar pagājušā gada attiecīgo periodu, palielinājusies par 4,3%, kamēr 2019. gadā kopumā reālā darba samaksa bija augusi par 3,9%.</w:t>
      </w:r>
    </w:p>
    <w:p w:rsidR="00EF1D74" w:rsidRPr="00EF1D74" w:rsidRDefault="00EF1D74" w:rsidP="00EF1D74">
      <w:pPr>
        <w:spacing w:before="120"/>
        <w:rPr>
          <w:szCs w:val="28"/>
        </w:rPr>
      </w:pPr>
      <w:r w:rsidRPr="00EF1D74">
        <w:rPr>
          <w:szCs w:val="28"/>
        </w:rPr>
        <w:t xml:space="preserve">Ja mēneša vidējā bruto darba samaksa Latvijā visai strauji palielinājās jau kopš 2011. gada, reālā darba samaksa straujāku kāpumu sāka uzrādīt tikai ar 2014. gadu (1.32. attēls). Reālo ienākumu būtisko pieaugumu pēdējos gados noteicis gan bruto algas straujš kāpums, gan mērenais inflācijas līmenis, gan darbaspēka nodokļu pazemināšana, paaugstinot ar iedzīvotāju ienākuma nodokli neapliekamo diferencēto minimumu un pazeminot nodokļa likmes. Savukārt 2019. gadā, kad nodokļu izmaiņas netika veiktas, reālo ienākumu pieaugums kļuva lēnāks. </w:t>
      </w:r>
    </w:p>
    <w:p w:rsidR="00EF1D74" w:rsidRPr="00EF1D74" w:rsidRDefault="00EF1D74" w:rsidP="00EF1D74">
      <w:pPr>
        <w:spacing w:after="0"/>
        <w:ind w:firstLine="0"/>
        <w:jc w:val="center"/>
        <w:rPr>
          <w:b/>
          <w:i/>
          <w:szCs w:val="24"/>
        </w:rPr>
      </w:pPr>
      <w:r w:rsidRPr="00EF1D74">
        <w:rPr>
          <w:b/>
          <w:i/>
          <w:szCs w:val="24"/>
        </w:rPr>
        <w:t xml:space="preserve">1.32 attēls </w:t>
      </w:r>
      <w:r w:rsidRPr="00EF1D74">
        <w:rPr>
          <w:b/>
          <w:szCs w:val="24"/>
        </w:rPr>
        <w:t>Strādājošo reālās un bruto darba samaksas izmaiņas pret iepriekšējā gada attiecīgo ceturksni, %</w:t>
      </w:r>
    </w:p>
    <w:p w:rsidR="00EF1D74" w:rsidRPr="00EF1D74" w:rsidRDefault="00EF1D74" w:rsidP="00EF1D74">
      <w:pPr>
        <w:spacing w:after="0"/>
        <w:ind w:firstLine="0"/>
        <w:jc w:val="center"/>
        <w:rPr>
          <w:b/>
          <w:sz w:val="28"/>
          <w:szCs w:val="28"/>
        </w:rPr>
      </w:pPr>
      <w:r w:rsidRPr="00EF1D74">
        <w:rPr>
          <w:rFonts w:ascii="Calibri" w:hAnsi="Calibri"/>
          <w:noProof/>
          <w:sz w:val="22"/>
          <w:szCs w:val="22"/>
          <w:lang w:eastAsia="lv-LV"/>
        </w:rPr>
        <w:drawing>
          <wp:inline distT="0" distB="0" distL="0" distR="0" wp14:anchorId="15C4E7A9" wp14:editId="3DF805CD">
            <wp:extent cx="5200650" cy="2543175"/>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F1D74" w:rsidRPr="00EF1D74" w:rsidRDefault="00EF1D74" w:rsidP="00EF1D74">
      <w:pPr>
        <w:spacing w:after="0"/>
        <w:rPr>
          <w:sz w:val="28"/>
          <w:szCs w:val="28"/>
        </w:rPr>
      </w:pPr>
    </w:p>
    <w:p w:rsidR="00EF1D74" w:rsidRPr="00EF1D74" w:rsidRDefault="00EF1D74" w:rsidP="00EF1D74">
      <w:pPr>
        <w:spacing w:before="120"/>
        <w:rPr>
          <w:szCs w:val="28"/>
        </w:rPr>
      </w:pPr>
      <w:r w:rsidRPr="00EF1D74">
        <w:rPr>
          <w:szCs w:val="28"/>
        </w:rPr>
        <w:t xml:space="preserve">Līdzās darba samaksai, kas ir galvenais ienākumu avots ap 40% jeb 768 tūkstošiem iedzīvotāju, nozīmīgai iedzīvotāju daļai galveno ienākumu daļu veido pensija. 2020. gada otrajā ceturksnī valstī bija 546,8 tūkstoši pensionāru (28,8% no visiem iedzīvotājiem), un, salīdzinot ar 2019. gada otro ceturksni, pensionāru skaits ir samazinājies par 0,4%. Vidējais vecuma pensijas apmērs šā gada otrajā ceturksnī bija 363 </w:t>
      </w:r>
      <w:proofErr w:type="spellStart"/>
      <w:r w:rsidRPr="00EF1D74">
        <w:rPr>
          <w:i/>
          <w:szCs w:val="28"/>
        </w:rPr>
        <w:t>euro</w:t>
      </w:r>
      <w:proofErr w:type="spellEnd"/>
      <w:r w:rsidRPr="00EF1D74">
        <w:rPr>
          <w:szCs w:val="28"/>
        </w:rPr>
        <w:t xml:space="preserve">, un pēdējā gada laikā tas ir palielinājies par 9,1%. Iepriekšējās ekonomiskās krīzes laikā pensiju indeksācija bija apturēta, bet atšķirībā no citiem iedzīvotāju ienākumu veidiem pensiju ieņēmumi arī nepiedzīvoja būtisku kritumu. No 2013. gada atsākās pensiju indeksācija, paaugstinot mazās pensijas. Savukārt no 2017. gada pensiju indeksācija tiek veikta, palielinot sociālās apdrošināšanas iemaksu algas pieauguma īpatsvaru indeksā līdz 50%, kas nodrošina straujāku pensiju pieaugumu nekā iepriekšējos gados, kad pensiju indeksā lielāks īpatsvars bija patēriņa cenu indeksa pieaugumam. Kopumā </w:t>
      </w:r>
      <w:r w:rsidRPr="00EF1D74">
        <w:rPr>
          <w:szCs w:val="28"/>
        </w:rPr>
        <w:lastRenderedPageBreak/>
        <w:t>vidējā vecuma pensija laikā kopš 2008. gada beigām ir palielinājusies par 58,1%, kamēr strādājošo mēneša vidējā bruto darba samaksa tajā pašā periodā ir pieaugusi par 57 procentiem.</w:t>
      </w:r>
    </w:p>
    <w:p w:rsidR="00EF1D74" w:rsidRPr="00EF1D74" w:rsidRDefault="00EF1D74" w:rsidP="00EF1D74">
      <w:pPr>
        <w:spacing w:before="120"/>
        <w:rPr>
          <w:szCs w:val="28"/>
        </w:rPr>
      </w:pPr>
      <w:r w:rsidRPr="00EF1D74">
        <w:rPr>
          <w:szCs w:val="28"/>
        </w:rPr>
        <w:t xml:space="preserve">Bezdarbnieka pabalstus 2020. gada otrajā ceturksnī saņēma 45,6 tūkstoši cilvēku un salīdzinājumā ar 2019. gada otro ceturksni bezdarbnieka pabalstu saņēmēju skaits ir palielinājies par 41,8%. Pabalstu saņēmēju īpatsvars starp visiem reģistrētajiem bezdarbniekiem pēdējā gada laikā ir pieaudzis līdz 60,3%, salīdzinot ar 57,0% pagājušā gada otrajā ceturksnī, ko noteica no jauna reģistrēto bezdarbnieku skaita būtiskais pieaugums Covid-19 krīzes laikā. Vidējais bezdarbnieka pabalsta apmērs 2020. gada otrajā ceturksnī bija 351 </w:t>
      </w:r>
      <w:proofErr w:type="spellStart"/>
      <w:r w:rsidRPr="00EF1D74">
        <w:rPr>
          <w:i/>
          <w:szCs w:val="28"/>
        </w:rPr>
        <w:t>euro</w:t>
      </w:r>
      <w:proofErr w:type="spellEnd"/>
      <w:r w:rsidRPr="00EF1D74">
        <w:rPr>
          <w:i/>
          <w:szCs w:val="28"/>
        </w:rPr>
        <w:t xml:space="preserve"> </w:t>
      </w:r>
      <w:r w:rsidRPr="00EF1D74">
        <w:rPr>
          <w:szCs w:val="28"/>
        </w:rPr>
        <w:t>un pēdējā gada laikā tas ir palielinājies par 7,7%, liecina Valsts sociālās apdrošināšanas aģentūras dati.</w:t>
      </w:r>
    </w:p>
    <w:p w:rsidR="00EF1D74" w:rsidRPr="00EF1D74" w:rsidRDefault="00EF1D74" w:rsidP="00EF1D74">
      <w:pPr>
        <w:spacing w:before="120"/>
        <w:rPr>
          <w:szCs w:val="28"/>
        </w:rPr>
      </w:pPr>
      <w:r w:rsidRPr="00EF1D74">
        <w:rPr>
          <w:szCs w:val="28"/>
        </w:rPr>
        <w:t xml:space="preserve">Covid-19 krīzes laikā no marta līdz jūnijam darba ņēmēji, kuriem tika saglabātas darba vietas, varēja saņemt arī dīkstāves pabalstus. Vidējais dīkstāves pabalstu saņēmēju skaits šajā laikā bija 31,7 tūkstoši un pabalsta vidējais lielums sasniedza 388 </w:t>
      </w:r>
      <w:proofErr w:type="spellStart"/>
      <w:r w:rsidRPr="00EF1D74">
        <w:rPr>
          <w:i/>
          <w:szCs w:val="28"/>
        </w:rPr>
        <w:t>euro</w:t>
      </w:r>
      <w:proofErr w:type="spellEnd"/>
      <w:r w:rsidRPr="00EF1D74">
        <w:rPr>
          <w:szCs w:val="28"/>
        </w:rPr>
        <w:t>.</w:t>
      </w:r>
    </w:p>
    <w:p w:rsidR="00EF1D74" w:rsidRPr="00EF1D74" w:rsidRDefault="00EF1D74" w:rsidP="00EF1D74">
      <w:pPr>
        <w:spacing w:before="120"/>
        <w:rPr>
          <w:szCs w:val="28"/>
        </w:rPr>
      </w:pPr>
      <w:r w:rsidRPr="00EF1D74">
        <w:rPr>
          <w:szCs w:val="28"/>
        </w:rPr>
        <w:t>Iedzīvotāju ienākumu galveno veidu – vidējās algas, pensiju, bezdarbnieku pabalstu salīdzinošā dinamika parādīta 1.33. attēlā.</w:t>
      </w:r>
    </w:p>
    <w:p w:rsidR="00EF1D74" w:rsidRPr="00EF1D74" w:rsidRDefault="00EF1D74" w:rsidP="00EF1D74">
      <w:pPr>
        <w:spacing w:before="120" w:after="0"/>
        <w:ind w:firstLine="0"/>
        <w:jc w:val="center"/>
        <w:rPr>
          <w:b/>
          <w:i/>
          <w:szCs w:val="24"/>
        </w:rPr>
      </w:pPr>
      <w:r w:rsidRPr="00EF1D74">
        <w:rPr>
          <w:b/>
          <w:i/>
          <w:szCs w:val="24"/>
        </w:rPr>
        <w:t xml:space="preserve">1.33. attēls </w:t>
      </w:r>
      <w:r w:rsidRPr="00EF1D74">
        <w:rPr>
          <w:b/>
          <w:szCs w:val="24"/>
        </w:rPr>
        <w:t xml:space="preserve">Vidējā neto darba samaksa, vidējā vecuma pensija, vidējais bezdarbnieka pabalsts un sociālās apdrošināšanas vidējā iemaksu alga, </w:t>
      </w:r>
      <w:proofErr w:type="spellStart"/>
      <w:r w:rsidRPr="00EF1D74">
        <w:rPr>
          <w:b/>
          <w:szCs w:val="24"/>
        </w:rPr>
        <w:t>euro</w:t>
      </w:r>
      <w:proofErr w:type="spellEnd"/>
      <w:r w:rsidRPr="00EF1D74">
        <w:rPr>
          <w:b/>
          <w:szCs w:val="24"/>
        </w:rPr>
        <w:t xml:space="preserve"> un izmaiņas pret iepriekšējā gada attiecīgo ceturksni, %</w:t>
      </w:r>
    </w:p>
    <w:p w:rsidR="00EF1D74" w:rsidRPr="00EF1D74" w:rsidRDefault="00EF1D74" w:rsidP="00EF1D74">
      <w:pPr>
        <w:spacing w:after="0"/>
        <w:ind w:firstLine="0"/>
        <w:rPr>
          <w:b/>
          <w:i/>
          <w:sz w:val="28"/>
          <w:szCs w:val="28"/>
        </w:rPr>
      </w:pPr>
      <w:r w:rsidRPr="00EF1D74">
        <w:rPr>
          <w:rFonts w:ascii="Calibri" w:hAnsi="Calibri"/>
          <w:noProof/>
          <w:sz w:val="22"/>
          <w:szCs w:val="22"/>
          <w:lang w:eastAsia="lv-LV"/>
        </w:rPr>
        <w:drawing>
          <wp:inline distT="0" distB="0" distL="0" distR="0" wp14:anchorId="6F036748" wp14:editId="709E1EE1">
            <wp:extent cx="5810250" cy="33909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F1D74" w:rsidRPr="00EF1D74" w:rsidRDefault="00EF1D74" w:rsidP="00EF1D74">
      <w:pPr>
        <w:spacing w:after="0"/>
        <w:rPr>
          <w:sz w:val="28"/>
          <w:szCs w:val="28"/>
        </w:rPr>
      </w:pPr>
    </w:p>
    <w:p w:rsidR="00EF1D74" w:rsidRPr="00EF1D74" w:rsidRDefault="00EF1D74" w:rsidP="00EF1D74">
      <w:pPr>
        <w:spacing w:before="120"/>
        <w:rPr>
          <w:szCs w:val="28"/>
        </w:rPr>
      </w:pPr>
      <w:r w:rsidRPr="00EF1D74">
        <w:rPr>
          <w:szCs w:val="28"/>
        </w:rPr>
        <w:t>Līdz ar atšķirīgu dinamiku dažādiem iedzīvotāju ienākumu veidiem pēdējo gadu laikā ir mainījušies arī materiālo nevienlīdzību raksturojošie rādītāji. Džini koeficients, kas laikā pēc pagājušās finanšu krīzes bija nedaudz pazeminājies, 2016. gadā sasniedzot 34,5, 2017. gadā atkal pieauga līdz 35,6 un 2018. gadā stabilizējās 35,2 līmenī. Kopumā nevienlīdzības līmenis Latvijā laikā pēc pagājušās finanšu krīzes nav būtiski mainījies un pēc šī rādītāja Latvija aizvien ir trešā nevienlīdzīgākā valsts Eiropas Savienībā aiz Bulgārijas un Lietuvas.</w:t>
      </w:r>
    </w:p>
    <w:p w:rsidR="00EF1D74" w:rsidRPr="00EF1D74" w:rsidRDefault="00EF1D74" w:rsidP="00EF1D74">
      <w:pPr>
        <w:spacing w:before="120"/>
        <w:rPr>
          <w:szCs w:val="28"/>
        </w:rPr>
      </w:pPr>
      <w:r w:rsidRPr="00EF1D74">
        <w:rPr>
          <w:szCs w:val="28"/>
        </w:rPr>
        <w:t xml:space="preserve">Līdzīga dinamika bijusi arī S80/S20 </w:t>
      </w:r>
      <w:proofErr w:type="spellStart"/>
      <w:r w:rsidRPr="00EF1D74">
        <w:rPr>
          <w:szCs w:val="28"/>
        </w:rPr>
        <w:t>kvintiļu</w:t>
      </w:r>
      <w:proofErr w:type="spellEnd"/>
      <w:r w:rsidRPr="00EF1D74">
        <w:rPr>
          <w:szCs w:val="28"/>
        </w:rPr>
        <w:t xml:space="preserve"> attiecības indeksam, kas parāda attiecību rīcībā esošo ienākumu summu, ko saņem 20% valsts iedzīvotāju ar augstākajiem ienākumiem, pret ienākumu summu, ko saņem 20% valsts iedzīvotāju ar zemākajiem ienākumiem. Šī attiecība 2018. gadā samazinājusies līdz 6,5, salīdzinot ar 6,8 iepriekšējā gadā, bet kopumā </w:t>
      </w:r>
      <w:r w:rsidRPr="00EF1D74">
        <w:rPr>
          <w:szCs w:val="28"/>
        </w:rPr>
        <w:lastRenderedPageBreak/>
        <w:t>situācija pēdējo desmit gadu laikā praktiski nav mainījusies un arī pēc šī rādītāja Latvija ierindojas starp nevienlīdzīgākajām valstīm ES.</w:t>
      </w:r>
    </w:p>
    <w:p w:rsidR="00EF1D74" w:rsidRPr="00EF1D74" w:rsidRDefault="00EF1D74" w:rsidP="00EF1D74">
      <w:pPr>
        <w:spacing w:before="120"/>
        <w:rPr>
          <w:szCs w:val="28"/>
        </w:rPr>
      </w:pPr>
      <w:r w:rsidRPr="00EF1D74">
        <w:rPr>
          <w:szCs w:val="28"/>
        </w:rPr>
        <w:t>Pastāvot augstai ienākumu nevienlīdzībai, Latvijā arī saglabājas augsts nabadzības riskam pakļauto iedzīvotāju īpatsvars. Līdzīgi kā nevienlīdzību tieši raksturojošie rādītāji, arī šis rādītājs 2018. gadā ir parādījis nelielu nabadzības riskam pakļauto iedzīvotāju īpatsvara samazinājumu, tomēr joprojām ir būtiski augstāks nekā ES vidēji. Skatoties pēc nodarbošanās statusa, nabadzības riskam visvairāk Latvijā pakļauti ir pensionāri un jaunākie pieejamie dati rāda, ka Latvijā nabadzības riskam ir pakļauti vairāk nekā 50% pensionāru, kamēr ES vidēji – tikai 18,7%. Arī bezdarbniekiem nabadzības risks Latvijā ir nedaudz augstāks nekā vidēji ES, bet strādājošajiem iedzīvotājiem tas praktiski neatšķiras no ES vidējiem rādītājiem (1.34. attēls).</w:t>
      </w:r>
    </w:p>
    <w:p w:rsidR="00EF1D74" w:rsidRPr="00EF1D74" w:rsidRDefault="00EF1D74" w:rsidP="00EF1D74">
      <w:pPr>
        <w:spacing w:after="0"/>
        <w:ind w:firstLine="0"/>
        <w:jc w:val="center"/>
        <w:rPr>
          <w:b/>
          <w:i/>
          <w:szCs w:val="24"/>
        </w:rPr>
      </w:pPr>
      <w:r w:rsidRPr="00EF1D74">
        <w:rPr>
          <w:b/>
          <w:i/>
          <w:szCs w:val="24"/>
        </w:rPr>
        <w:t xml:space="preserve">1.34. attēls </w:t>
      </w:r>
      <w:r w:rsidRPr="00EF1D74">
        <w:rPr>
          <w:b/>
          <w:szCs w:val="24"/>
        </w:rPr>
        <w:t>Nabadzības riskam pakļautie iedzīvotāji, pēc statusa, %</w:t>
      </w:r>
    </w:p>
    <w:p w:rsidR="00EF1D74" w:rsidRPr="00EF1D74" w:rsidRDefault="00EF1D74" w:rsidP="00EF1D74">
      <w:pPr>
        <w:spacing w:after="0"/>
        <w:ind w:firstLine="0"/>
        <w:jc w:val="center"/>
        <w:rPr>
          <w:sz w:val="28"/>
          <w:szCs w:val="28"/>
        </w:rPr>
      </w:pPr>
      <w:r w:rsidRPr="00EF1D74">
        <w:rPr>
          <w:noProof/>
          <w:sz w:val="28"/>
          <w:szCs w:val="28"/>
          <w:lang w:eastAsia="lv-LV"/>
        </w:rPr>
        <w:drawing>
          <wp:inline distT="0" distB="0" distL="0" distR="0" wp14:anchorId="7D1382F7" wp14:editId="709426DA">
            <wp:extent cx="4638675" cy="2364105"/>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F1D74" w:rsidRPr="00EF1D74" w:rsidRDefault="00EF1D74" w:rsidP="00EF1D74">
      <w:pPr>
        <w:spacing w:after="0"/>
        <w:rPr>
          <w:szCs w:val="28"/>
        </w:rPr>
      </w:pPr>
      <w:r w:rsidRPr="00EF1D74">
        <w:rPr>
          <w:szCs w:val="28"/>
        </w:rPr>
        <w:t xml:space="preserve">Pēdējo gadu laikā, kopējam iedzīvotāju ienākumu līmenim palielinoties, - augot gan darba samaksai, gan pensijām, kā arī samazinoties bezdarba līmenim, pastāvīgi palielinājušies iedzīvotāju uzkrājumi komercbankās. Šā gada pirmajā pusē, neskatoties uz lēnāku darba samaksas pieaugumu un bezdarba kāpumu, kopējais iedzīvotāju noguldījumu apjoms komercbankās ir palielinājies vēl straujāk nekā iepriekšējos gados, ko noteikusi krasā patēriņa samazināšanās Covid-19 krīzes ietekmē. 2020. gada jūnija beigās Latvijas iedzīvotāju noguldījumi komercbankās bija sasnieguši 7,8 miljardus </w:t>
      </w:r>
      <w:proofErr w:type="spellStart"/>
      <w:r w:rsidRPr="00EF1D74">
        <w:rPr>
          <w:i/>
          <w:szCs w:val="28"/>
        </w:rPr>
        <w:t>euro</w:t>
      </w:r>
      <w:proofErr w:type="spellEnd"/>
      <w:r w:rsidRPr="00EF1D74">
        <w:rPr>
          <w:szCs w:val="28"/>
        </w:rPr>
        <w:t>, pēdējā gada laikā palielinoties par 10%. Kopš šā gada sākuma iedzīvotāju noguldījumi ir auguši par 357 miljoniem jeb 4,7%, kamēr pagājušā gada pirmajā pusē noguldījumu pieaugums bija 163 miljoni jeb 2,3%. Šāds noguldījumu pieaugums laikā, kad pieaudzis bezdarba līmenis un daļai iedzīvotāju ienākumi ir kritušies, vienlaikus arī norāda uz potenciālu nevienlīdzības pieaugumu strādājošo iedzīvotāju vidū.</w:t>
      </w:r>
    </w:p>
    <w:p w:rsidR="00EF1D74" w:rsidRPr="00EF1D74" w:rsidRDefault="00EF1D74" w:rsidP="00EF1D74">
      <w:pPr>
        <w:spacing w:after="0"/>
        <w:ind w:firstLine="0"/>
        <w:rPr>
          <w:szCs w:val="28"/>
        </w:rPr>
      </w:pPr>
      <w:r w:rsidRPr="00EF1D74">
        <w:rPr>
          <w:szCs w:val="28"/>
        </w:rPr>
        <w:tab/>
        <w:t>Kopumā, līdz ar ekonomikas izaugsmi Latvijas iedzīvotāju ienākumi pēdējo gadu laikā ir tuvinājušies ES vidējam līmenim, bet joprojām no tā būtiski atpaliek. Laikā no 2008. līdz 2018. gadam mājsaimniecību vidējie rīcībā esošie ienākumi uz vienu iedzīvotāju pēc pirktspējas paritātes standarta ir palielinājušies no 59% no ES vidējā līdz 66% no ES vidējā, tomēr joprojām ir ceturtie zemākie ES, apsteidzot tikai Bulgāriju, Horvātiju un Ungāriju (1.35. attēls).</w:t>
      </w:r>
    </w:p>
    <w:p w:rsidR="00EF1D74" w:rsidRPr="00EF1D74" w:rsidRDefault="00EF1D74" w:rsidP="00EF1D74">
      <w:pPr>
        <w:spacing w:after="0"/>
        <w:ind w:firstLine="0"/>
        <w:jc w:val="center"/>
        <w:rPr>
          <w:b/>
          <w:i/>
          <w:szCs w:val="24"/>
        </w:rPr>
      </w:pPr>
    </w:p>
    <w:p w:rsidR="00EF1D74" w:rsidRPr="00EF1D74" w:rsidRDefault="00EF1D74" w:rsidP="00EF1D74">
      <w:pPr>
        <w:spacing w:after="0"/>
        <w:ind w:firstLine="0"/>
        <w:jc w:val="center"/>
        <w:rPr>
          <w:b/>
          <w:i/>
          <w:szCs w:val="24"/>
        </w:rPr>
      </w:pPr>
    </w:p>
    <w:p w:rsidR="00EF1D74" w:rsidRPr="00EF1D74" w:rsidRDefault="00EF1D74" w:rsidP="00EF1D74">
      <w:pPr>
        <w:spacing w:after="0"/>
        <w:ind w:firstLine="0"/>
        <w:jc w:val="center"/>
        <w:rPr>
          <w:b/>
          <w:i/>
          <w:szCs w:val="24"/>
        </w:rPr>
      </w:pPr>
    </w:p>
    <w:p w:rsidR="00EF1D74" w:rsidRPr="00EF1D74" w:rsidRDefault="00EF1D74" w:rsidP="00EF1D74">
      <w:pPr>
        <w:spacing w:after="0"/>
        <w:ind w:firstLine="0"/>
        <w:jc w:val="center"/>
        <w:rPr>
          <w:b/>
          <w:i/>
          <w:szCs w:val="24"/>
        </w:rPr>
      </w:pPr>
    </w:p>
    <w:p w:rsidR="00EF1D74" w:rsidRPr="00EF1D74" w:rsidRDefault="00EF1D74" w:rsidP="00EF1D74">
      <w:pPr>
        <w:spacing w:after="0"/>
        <w:ind w:firstLine="0"/>
        <w:jc w:val="center"/>
        <w:rPr>
          <w:b/>
          <w:i/>
          <w:szCs w:val="24"/>
        </w:rPr>
      </w:pPr>
    </w:p>
    <w:p w:rsidR="00EF1D74" w:rsidRPr="00EF1D74" w:rsidRDefault="00EF1D74" w:rsidP="00EF1D74">
      <w:pPr>
        <w:spacing w:after="0"/>
        <w:ind w:firstLine="0"/>
        <w:jc w:val="center"/>
        <w:rPr>
          <w:b/>
          <w:i/>
          <w:szCs w:val="24"/>
        </w:rPr>
      </w:pPr>
    </w:p>
    <w:p w:rsidR="00EF1D74" w:rsidRPr="00EF1D74" w:rsidRDefault="00EF1D74" w:rsidP="00EF1D74">
      <w:pPr>
        <w:spacing w:after="0"/>
        <w:ind w:firstLine="0"/>
        <w:jc w:val="center"/>
        <w:rPr>
          <w:b/>
          <w:i/>
          <w:szCs w:val="24"/>
        </w:rPr>
      </w:pPr>
      <w:r w:rsidRPr="00EF1D74">
        <w:rPr>
          <w:b/>
          <w:i/>
          <w:szCs w:val="24"/>
        </w:rPr>
        <w:lastRenderedPageBreak/>
        <w:t xml:space="preserve">1.35. attēls </w:t>
      </w:r>
      <w:r w:rsidRPr="00EF1D74">
        <w:rPr>
          <w:b/>
          <w:szCs w:val="24"/>
        </w:rPr>
        <w:t>Mājsaimniecību rīcībā esošie ienākumi uz vienu iedzīvotāju pēc pirktspējas paritātes standarta ES valstīs, 2018. gadā, % no ES vidējā</w:t>
      </w:r>
    </w:p>
    <w:p w:rsidR="00EF1D74" w:rsidRPr="00EF1D74" w:rsidRDefault="00EF1D74" w:rsidP="00EF1D74">
      <w:pPr>
        <w:spacing w:after="0"/>
        <w:ind w:firstLine="0"/>
        <w:jc w:val="center"/>
        <w:rPr>
          <w:sz w:val="28"/>
          <w:szCs w:val="28"/>
        </w:rPr>
      </w:pPr>
      <w:r w:rsidRPr="00EF1D74">
        <w:rPr>
          <w:rFonts w:ascii="Calibri" w:hAnsi="Calibri"/>
          <w:noProof/>
          <w:sz w:val="22"/>
          <w:szCs w:val="22"/>
          <w:lang w:eastAsia="lv-LV"/>
        </w:rPr>
        <w:drawing>
          <wp:inline distT="0" distB="0" distL="0" distR="0" wp14:anchorId="7EA37366" wp14:editId="5F8F1A25">
            <wp:extent cx="5274310" cy="2978785"/>
            <wp:effectExtent l="0" t="0" r="254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F1D74" w:rsidRPr="00EF1D74" w:rsidRDefault="00EF1D74" w:rsidP="00EF1D74">
      <w:pPr>
        <w:keepNext/>
        <w:keepLines/>
        <w:spacing w:before="240" w:after="240"/>
        <w:ind w:firstLine="0"/>
        <w:jc w:val="center"/>
        <w:outlineLvl w:val="2"/>
        <w:rPr>
          <w:b/>
          <w:bCs/>
          <w:sz w:val="32"/>
          <w:szCs w:val="32"/>
        </w:rPr>
      </w:pPr>
      <w:r w:rsidRPr="00EF1D74">
        <w:rPr>
          <w:b/>
          <w:bCs/>
          <w:sz w:val="32"/>
          <w:szCs w:val="32"/>
        </w:rPr>
        <w:t>1.2.6. Ārējā tirdzniecība un maksājumu bilance</w:t>
      </w:r>
    </w:p>
    <w:p w:rsidR="00EF1D74" w:rsidRPr="00EF1D74" w:rsidRDefault="00EF1D74" w:rsidP="00EF1D74">
      <w:pPr>
        <w:spacing w:before="120"/>
        <w:ind w:firstLine="720"/>
        <w:rPr>
          <w:rFonts w:eastAsia="Calibri"/>
          <w:szCs w:val="24"/>
        </w:rPr>
      </w:pPr>
      <w:r w:rsidRPr="00EF1D74">
        <w:rPr>
          <w:rFonts w:eastAsia="Calibri"/>
          <w:szCs w:val="24"/>
        </w:rPr>
        <w:t xml:space="preserve"> </w:t>
      </w:r>
      <w:r w:rsidRPr="00EF1D74">
        <w:rPr>
          <w:color w:val="000000"/>
          <w:szCs w:val="24"/>
          <w:lang w:eastAsia="lv-LV"/>
        </w:rPr>
        <w:t xml:space="preserve">2019. gads Latvijas eksportētājiem ir bijis izaicinājumu pilns, jo nenoteiktība saistībā ar Lielbritānijas izstāšanos no ES, koksnes cenu kritumu pasaules tirgos, mehānisko ierīču reeksporta apjomu samazinājums un straujš finanšu pakalpojumu eksporta kritums ir bremzējuši Latvijas eksporta attīstību. </w:t>
      </w:r>
      <w:r w:rsidRPr="00EF1D74">
        <w:rPr>
          <w:rFonts w:eastAsia="Calibri"/>
          <w:szCs w:val="24"/>
        </w:rPr>
        <w:t xml:space="preserve">Latvijas </w:t>
      </w:r>
      <w:r w:rsidRPr="00EF1D74">
        <w:rPr>
          <w:rFonts w:eastAsia="Calibri"/>
          <w:b/>
          <w:szCs w:val="24"/>
        </w:rPr>
        <w:t>preču un pakalpojumu eksports</w:t>
      </w:r>
      <w:r w:rsidRPr="00EF1D74">
        <w:rPr>
          <w:rFonts w:eastAsia="Calibri"/>
          <w:szCs w:val="24"/>
        </w:rPr>
        <w:t xml:space="preserve"> salīdzināmās cenās 2019. gadā pieauga par 2,1%, kas bija vājākais kāpums kopš 2014. gada. Ņemot vērā, ka arī Latvijas reālā IKP pieauguma temps pērn sabremzējās līdz 2,1%, eksporta īpatsvars IKP palika praktiski nemainīgs salīdzinājumā ar iepriekšējiem gadiem un bija 63,3%.</w:t>
      </w:r>
    </w:p>
    <w:p w:rsidR="00EF1D74" w:rsidRPr="00EF1D74" w:rsidRDefault="00EF1D74" w:rsidP="00EF1D74">
      <w:pPr>
        <w:spacing w:before="120"/>
        <w:ind w:firstLine="720"/>
        <w:rPr>
          <w:rFonts w:eastAsia="Calibri"/>
          <w:szCs w:val="24"/>
        </w:rPr>
      </w:pPr>
      <w:r w:rsidRPr="00EF1D74">
        <w:rPr>
          <w:rFonts w:eastAsia="Calibri"/>
          <w:szCs w:val="24"/>
        </w:rPr>
        <w:t>Eksporta attīstību 2019. gadā negatīvi ietekmēja arī vājāks ārējais pieprasījums, kas ir saistīts ar divu pasaules lielāko ekonomiku jeb ASV un Ķīnas tirdzniecības saspīlējumu un savstarpējo importa tarifu ieviešanu, kas radīja negatīvu efektu uz globālo tirdzniecību un pasaules ekonomisko izaugsmi. Tādējādi pasaules IKP pērn uzrādīja vājāko pieaugumu pēdējās desmitgades laikā, kamēr ES izaugsme bija zemākajā līmenī kopš 2014. gada.</w:t>
      </w:r>
    </w:p>
    <w:p w:rsidR="00EF1D74" w:rsidRPr="00EF1D74" w:rsidRDefault="00EF1D74" w:rsidP="00EF1D74">
      <w:pPr>
        <w:spacing w:before="120"/>
        <w:ind w:firstLine="720"/>
        <w:rPr>
          <w:rFonts w:eastAsia="Calibri"/>
          <w:szCs w:val="24"/>
        </w:rPr>
      </w:pPr>
      <w:r w:rsidRPr="00EF1D74">
        <w:rPr>
          <w:rFonts w:eastAsia="Calibri"/>
          <w:szCs w:val="24"/>
        </w:rPr>
        <w:t xml:space="preserve">ES ir lielākais Latvijas preču un pakalpojumu eksporta tirgus. 2019. gadā uz ES tika eksportēti 72,2% no Latvijas kopējā preču eksporta un 65,9% no kopējā pakalpojumu eksporta. Tādējādi, palēninoties ES iekšējam patēriņam, Latvijas eksporta pieauguma tempi arī sāka mazināties. Piemēram, preču eksporta vērtības pieaugums faktiskajās cenās 2019. gadā uz ES palēninājās līdz 3,1%, kamēr 2018. gadā pieaugums veidoja 9,8%. Savukārt pakalpojumu eksporta vērtības pieaugums uz ES 2019. gadā palēninājās līdz 4,2%, kamēr 2018. gadā pieaugums bija 9,3%. </w:t>
      </w:r>
    </w:p>
    <w:p w:rsidR="00EF1D74" w:rsidRPr="00EF1D74" w:rsidRDefault="00EF1D74" w:rsidP="00EF1D74">
      <w:pPr>
        <w:spacing w:before="120"/>
        <w:ind w:firstLine="720"/>
        <w:rPr>
          <w:rFonts w:eastAsia="Calibri"/>
          <w:szCs w:val="24"/>
        </w:rPr>
      </w:pPr>
      <w:r w:rsidRPr="00EF1D74">
        <w:rPr>
          <w:rFonts w:eastAsia="Calibri"/>
          <w:szCs w:val="24"/>
        </w:rPr>
        <w:t>Neskatoties uz to, ka kopš pērnā gada vidus pasaules ekonomikas izaugsme un ārējais pieprasījums sāka bremzēties, Latvijas preču un pakalpojumu eksports š.g. sākumā turpināja palielināties. 2020. gada pirmajā ceturksnī kopējā eksporta vērtība salīdzināmās cenās bija par 2,9% augstāka nekā pērnā gada pirmajā ceturksnī. Tomēr š.g. otrajā ceturksnī Latvijas preču un pakalpojumu eksports gada laikā ir samazinājies par 13,1%, uzrādot straujāko kritumu kopš 2009. gada vidus.</w:t>
      </w:r>
    </w:p>
    <w:p w:rsidR="00EF1D74" w:rsidRPr="00EF1D74" w:rsidRDefault="00EF1D74" w:rsidP="00EF1D74">
      <w:pPr>
        <w:spacing w:before="120"/>
        <w:ind w:firstLine="720"/>
        <w:rPr>
          <w:rFonts w:eastAsia="Calibri"/>
          <w:szCs w:val="24"/>
        </w:rPr>
      </w:pPr>
      <w:r w:rsidRPr="00EF1D74">
        <w:rPr>
          <w:rFonts w:eastAsia="Calibri"/>
          <w:szCs w:val="24"/>
        </w:rPr>
        <w:t xml:space="preserve">Būtisko eksporta samazinājumu noteica Covid-19 pandēmija. Svarīgi norādīt, ka š.g. otrajā ceturksnī eksporta kritums bija fiksēts pilnīgi visām ES dalībvalstīm. Tomēr Latvijas </w:t>
      </w:r>
      <w:r w:rsidRPr="00EF1D74">
        <w:rPr>
          <w:rFonts w:eastAsia="Calibri"/>
          <w:szCs w:val="24"/>
        </w:rPr>
        <w:lastRenderedPageBreak/>
        <w:t xml:space="preserve">gadījumā eksporta samazinājums bija viens no mazākiem ES un gandrīz uz pusi zemāks nekā ES vidēji (-21,1%). Zemāku eksporta kritumu Latvijā nekā ES vidēji var skaidrot ar labāku epidemioloģisku situāciju, kas ļāva neieviest tik stingrus pasākumus </w:t>
      </w:r>
      <w:proofErr w:type="spellStart"/>
      <w:r w:rsidRPr="00EF1D74">
        <w:rPr>
          <w:rFonts w:eastAsia="Calibri"/>
          <w:szCs w:val="24"/>
        </w:rPr>
        <w:t>koronovīrusa</w:t>
      </w:r>
      <w:proofErr w:type="spellEnd"/>
      <w:r w:rsidRPr="00EF1D74">
        <w:rPr>
          <w:rFonts w:eastAsia="Calibri"/>
          <w:szCs w:val="24"/>
        </w:rPr>
        <w:t xml:space="preserve"> izplatības mazināšanai, tādējādi ļaujot strādāt rūpniecības uzņēmumiem uz pilnu slodzi.</w:t>
      </w:r>
    </w:p>
    <w:p w:rsidR="00EF1D74" w:rsidRPr="00EF1D74" w:rsidRDefault="00EF1D74" w:rsidP="00EF1D74">
      <w:pPr>
        <w:spacing w:before="120"/>
        <w:ind w:firstLine="0"/>
        <w:jc w:val="center"/>
        <w:rPr>
          <w:rFonts w:eastAsia="Calibri"/>
          <w:b/>
          <w:i/>
          <w:szCs w:val="24"/>
        </w:rPr>
      </w:pPr>
      <w:r w:rsidRPr="00EF1D74">
        <w:rPr>
          <w:rFonts w:eastAsia="Calibri"/>
          <w:b/>
          <w:i/>
          <w:color w:val="000000"/>
          <w:szCs w:val="24"/>
        </w:rPr>
        <w:t xml:space="preserve">1.36. attēls </w:t>
      </w:r>
      <w:r w:rsidRPr="00EF1D74">
        <w:rPr>
          <w:rFonts w:eastAsia="Calibri"/>
          <w:b/>
          <w:color w:val="000000"/>
          <w:szCs w:val="24"/>
        </w:rPr>
        <w:t xml:space="preserve">Preču </w:t>
      </w:r>
      <w:r w:rsidRPr="00EF1D74">
        <w:rPr>
          <w:rFonts w:eastAsia="Calibri"/>
          <w:b/>
          <w:szCs w:val="24"/>
        </w:rPr>
        <w:t>un pakalpojumu eksporta izmaiņas salīdzināmajās cenās 2020. gada pirmajā pusgadā salīdzinājumā ar 2019. gada pirmo pusi ES dalībvalstis, %</w:t>
      </w:r>
    </w:p>
    <w:p w:rsidR="00EF1D74" w:rsidRPr="00EF1D74" w:rsidRDefault="00EF1D74" w:rsidP="00EF1D74">
      <w:pPr>
        <w:spacing w:before="120"/>
        <w:ind w:firstLine="0"/>
        <w:jc w:val="center"/>
        <w:rPr>
          <w:rFonts w:eastAsia="Calibri"/>
          <w:szCs w:val="24"/>
        </w:rPr>
      </w:pPr>
      <w:r w:rsidRPr="00EF1D74">
        <w:rPr>
          <w:rFonts w:eastAsia="Calibri"/>
          <w:noProof/>
          <w:szCs w:val="24"/>
          <w:lang w:eastAsia="lv-LV"/>
        </w:rPr>
        <w:drawing>
          <wp:inline distT="0" distB="0" distL="0" distR="0" wp14:anchorId="0FEAF4A8" wp14:editId="43B88422">
            <wp:extent cx="5334000" cy="30575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t>2020. gads sākās ar negaidīti strauju preču eksporta izaugsmi. Šā gada janvārī un februārī preču eksporta vērtība bija par attiecīgi 4,9% un 7,3% augstāka salīdzinājumā ar iepriekšējā gada attiecīgo periodu. Tik strauju preču eksporta izaugsmi gada sākumā pozitīvi ietekmēja graudaugu eksporta kāpums un mehānismu un mehānisko ierīču, kā arī elektroierīču un elektroiekārtu reeksporta pieaugums.</w:t>
      </w:r>
    </w:p>
    <w:p w:rsidR="00EF1D74" w:rsidRPr="00EF1D74" w:rsidRDefault="00EF1D74" w:rsidP="00EF1D74">
      <w:pPr>
        <w:spacing w:before="120"/>
        <w:ind w:firstLine="720"/>
        <w:rPr>
          <w:rFonts w:eastAsia="Calibri"/>
          <w:szCs w:val="24"/>
        </w:rPr>
      </w:pPr>
      <w:r w:rsidRPr="00EF1D74">
        <w:rPr>
          <w:rFonts w:eastAsia="Calibri"/>
          <w:szCs w:val="24"/>
        </w:rPr>
        <w:t xml:space="preserve">Savukārt martā preču eksports samazinājās par 0,7% gada griezumā, ko lielā mērā negatīvi ietekmēja bāzes efekti, lai arī kopumā marta datos vēl neiezīmējās Covid-19 pandēmijas negatīvā ietekme uz Latvijas eksportu. Tomēr, jau sākot ar aprīli, situācija mainījās un ārējās tirdzniecības aktivitātes kritums visā pasaulē saistībā ar Covid-19 pandēmiju negatīvi ietekmēja arī Latvijas preču eksportu. </w:t>
      </w:r>
    </w:p>
    <w:p w:rsidR="00EF1D74" w:rsidRPr="00EF1D74" w:rsidRDefault="00EF1D74" w:rsidP="00EF1D74">
      <w:pPr>
        <w:spacing w:before="120"/>
        <w:ind w:firstLine="720"/>
        <w:rPr>
          <w:rFonts w:eastAsia="Calibri"/>
          <w:color w:val="000000"/>
          <w:szCs w:val="24"/>
        </w:rPr>
      </w:pPr>
      <w:r w:rsidRPr="00EF1D74">
        <w:rPr>
          <w:rFonts w:eastAsia="Calibri"/>
          <w:szCs w:val="24"/>
        </w:rPr>
        <w:t xml:space="preserve">Aprīlī un maijā Latvijas preču eksports samazinājās attiecīgi par 13,9% un 16,8% salīdzinājumā ar attiecīgo periodu pagājušajā gadā. Šajos mēnešos fiksētais eksporta kritums bija straujākais kopš 2009. gada oktobra. Jūnijā un jūlijā preču eksporta vērtība samazinājās attiecīgi par 1,4% un 0,3%. </w:t>
      </w:r>
      <w:r w:rsidRPr="00EF1D74">
        <w:rPr>
          <w:rFonts w:eastAsia="Calibri"/>
          <w:color w:val="000000"/>
          <w:szCs w:val="24"/>
        </w:rPr>
        <w:t xml:space="preserve">Pašreizējos </w:t>
      </w:r>
      <w:r w:rsidRPr="00EF1D74">
        <w:rPr>
          <w:rFonts w:eastAsia="Calibri"/>
          <w:szCs w:val="24"/>
        </w:rPr>
        <w:t>Covid-19</w:t>
      </w:r>
      <w:r w:rsidRPr="00EF1D74">
        <w:rPr>
          <w:rFonts w:eastAsia="Calibri"/>
          <w:color w:val="000000"/>
          <w:szCs w:val="24"/>
        </w:rPr>
        <w:t xml:space="preserve"> pandēmijas apstākļos, kad ārējā tirdzniecība un ekonomiskā aktivitāte visā pasaulē ir būtiski sarukusi, šādu Latvijas preču eksporta sniegumu jūnijā un jūlijā var vērtēt kā apmierinošu. Turklāt mēneša griezumā Latvijas preču eksporta vērtība pēdējos divos mēnešos uzrāda būtisku pieaugumu – salīdzinājumā ar iepriekšējo mēnesi jūnijā eksportam palielinoties par 8,0%, bet jūlijā – par 7,3%. Tas nozīmē, ka</w:t>
      </w:r>
      <w:r w:rsidRPr="00EF1D74">
        <w:rPr>
          <w:rFonts w:eastAsia="Calibri"/>
          <w:szCs w:val="24"/>
        </w:rPr>
        <w:t xml:space="preserve"> Covid-19 </w:t>
      </w:r>
      <w:r w:rsidRPr="00EF1D74">
        <w:rPr>
          <w:rFonts w:eastAsia="Calibri"/>
          <w:color w:val="000000"/>
          <w:szCs w:val="24"/>
        </w:rPr>
        <w:t xml:space="preserve">krīzes dziļākais punkts ir aiz muguras un būtisks preču eksporta samazinājums turpmākajos mēnešos nav gaidāms. Kopumā preču eksporta vērtība š.g. pirmajos septiņos mēnešos samazinājusies par 3,2% salīdzinājumā ar pērnā gada attiecīgo periodu. </w:t>
      </w:r>
    </w:p>
    <w:p w:rsidR="00EF1D74" w:rsidRPr="00EF1D74" w:rsidRDefault="00EF1D74" w:rsidP="00EF1D74">
      <w:pPr>
        <w:spacing w:after="160" w:line="259" w:lineRule="auto"/>
        <w:ind w:firstLine="0"/>
        <w:jc w:val="left"/>
        <w:rPr>
          <w:rFonts w:eastAsia="Calibri"/>
          <w:szCs w:val="24"/>
        </w:rPr>
      </w:pPr>
    </w:p>
    <w:p w:rsidR="00EF1D74" w:rsidRPr="00EF1D74" w:rsidRDefault="00EF1D74" w:rsidP="00EF1D74">
      <w:pPr>
        <w:tabs>
          <w:tab w:val="left" w:pos="2850"/>
        </w:tabs>
        <w:spacing w:after="160" w:line="259" w:lineRule="auto"/>
        <w:ind w:firstLine="0"/>
        <w:jc w:val="left"/>
        <w:rPr>
          <w:rFonts w:eastAsia="Calibri"/>
          <w:szCs w:val="24"/>
        </w:rPr>
      </w:pPr>
      <w:r w:rsidRPr="00EF1D74">
        <w:rPr>
          <w:rFonts w:eastAsia="Calibri"/>
          <w:szCs w:val="24"/>
        </w:rPr>
        <w:tab/>
      </w:r>
    </w:p>
    <w:p w:rsidR="00EF1D74" w:rsidRPr="00EF1D74" w:rsidRDefault="00EF1D74" w:rsidP="00EF1D74">
      <w:pPr>
        <w:tabs>
          <w:tab w:val="left" w:pos="2850"/>
        </w:tabs>
        <w:spacing w:after="160" w:line="259" w:lineRule="auto"/>
        <w:ind w:firstLine="0"/>
        <w:jc w:val="left"/>
        <w:rPr>
          <w:rFonts w:eastAsia="Calibri"/>
          <w:szCs w:val="24"/>
        </w:rPr>
      </w:pPr>
    </w:p>
    <w:p w:rsidR="00EF1D74" w:rsidRPr="00EF1D74" w:rsidRDefault="00EF1D74" w:rsidP="00EF1D74">
      <w:pPr>
        <w:spacing w:before="120"/>
        <w:ind w:firstLine="0"/>
        <w:jc w:val="center"/>
        <w:rPr>
          <w:rFonts w:eastAsia="Calibri"/>
          <w:b/>
          <w:i/>
          <w:szCs w:val="24"/>
        </w:rPr>
      </w:pPr>
      <w:r w:rsidRPr="00EF1D74">
        <w:rPr>
          <w:rFonts w:eastAsia="Calibri"/>
          <w:b/>
          <w:i/>
          <w:color w:val="000000"/>
          <w:szCs w:val="24"/>
        </w:rPr>
        <w:lastRenderedPageBreak/>
        <w:t xml:space="preserve">1.37. attēls </w:t>
      </w:r>
      <w:r w:rsidRPr="00EF1D74">
        <w:rPr>
          <w:rFonts w:eastAsia="Calibri"/>
          <w:b/>
          <w:szCs w:val="24"/>
        </w:rPr>
        <w:t>Latvijas preču ārējās tirdzniecība, faktiskajās cenās pa ceturkšņiem, milj.</w:t>
      </w:r>
      <w:r w:rsidRPr="00EF1D74">
        <w:rPr>
          <w:rFonts w:eastAsia="Calibri"/>
          <w:b/>
          <w:i/>
          <w:szCs w:val="24"/>
        </w:rPr>
        <w:t xml:space="preserve"> </w:t>
      </w:r>
      <w:proofErr w:type="spellStart"/>
      <w:r w:rsidRPr="00EF1D74">
        <w:rPr>
          <w:rFonts w:eastAsia="Calibri"/>
          <w:b/>
          <w:i/>
          <w:szCs w:val="24"/>
        </w:rPr>
        <w:t>euro</w:t>
      </w:r>
      <w:proofErr w:type="spellEnd"/>
    </w:p>
    <w:p w:rsidR="00EF1D74" w:rsidRPr="00EF1D74" w:rsidRDefault="00EF1D74" w:rsidP="00EF1D74">
      <w:pPr>
        <w:spacing w:before="120"/>
        <w:ind w:firstLine="0"/>
        <w:jc w:val="center"/>
        <w:rPr>
          <w:rFonts w:eastAsia="Calibri"/>
          <w:color w:val="000000"/>
          <w:szCs w:val="24"/>
        </w:rPr>
      </w:pPr>
      <w:r w:rsidRPr="00EF1D74">
        <w:rPr>
          <w:rFonts w:eastAsia="Calibri"/>
          <w:noProof/>
          <w:szCs w:val="24"/>
          <w:lang w:eastAsia="lv-LV"/>
        </w:rPr>
        <w:drawing>
          <wp:inline distT="0" distB="0" distL="0" distR="0" wp14:anchorId="18B1E18C" wp14:editId="7B267F7D">
            <wp:extent cx="5274310" cy="3371850"/>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t xml:space="preserve">Būtisks ārējā pieprasījuma kritums, it īpaši š.g. otrajā ceturksnī bija paredzams. Uz to norādīja gan ekonomikas sentimenta rādītāji ES, ASV un Ķīnā, gan starptautisko organizāciju prognozes par pasaules ekonomikas attīstību un ārējo tirdzniecību. Daudzām pasaules valstīm jau martā bija izsludināts ārkārtējais stāvoklis un slēgtas robežas, bet starptautiskajai preču kustībai nebija noteikti tādi ierobežojumi kā cilvēku kustībai. Tomēr </w:t>
      </w:r>
      <w:proofErr w:type="spellStart"/>
      <w:r w:rsidRPr="00EF1D74">
        <w:rPr>
          <w:rFonts w:eastAsia="Calibri"/>
          <w:szCs w:val="24"/>
        </w:rPr>
        <w:t>pašizolācija</w:t>
      </w:r>
      <w:proofErr w:type="spellEnd"/>
      <w:r w:rsidRPr="00EF1D74">
        <w:rPr>
          <w:rFonts w:eastAsia="Calibri"/>
          <w:szCs w:val="24"/>
        </w:rPr>
        <w:t xml:space="preserve"> un karantīnas ieviešana, it īpaši Eiropas Savienības valstīs jeb lielākajā Latvijas eksporta tirgū, būtiski mazināja ekonomisko aktivitāti, kā rezultātā mazinājās arī pieprasījums pēc Latvijā ražotajām precēm.</w:t>
      </w:r>
    </w:p>
    <w:p w:rsidR="00EF1D74" w:rsidRPr="00EF1D74" w:rsidRDefault="00EF1D74" w:rsidP="00EF1D74">
      <w:pPr>
        <w:spacing w:before="120"/>
        <w:ind w:firstLine="720"/>
        <w:rPr>
          <w:rFonts w:eastAsia="Calibri"/>
          <w:szCs w:val="24"/>
        </w:rPr>
      </w:pPr>
      <w:r w:rsidRPr="00EF1D74">
        <w:rPr>
          <w:rFonts w:eastAsia="Calibri"/>
          <w:szCs w:val="24"/>
        </w:rPr>
        <w:t xml:space="preserve">EK dati par patērētāju noskaņojumu un turpmāko ekonomikas attīstību ES, pēc spēcīga krituma š.g. aprīlī, kopš jūnija uzrāda noturīgu </w:t>
      </w:r>
      <w:proofErr w:type="spellStart"/>
      <w:r w:rsidRPr="00EF1D74">
        <w:rPr>
          <w:rFonts w:eastAsia="Calibri"/>
          <w:szCs w:val="24"/>
        </w:rPr>
        <w:t>augšupvērstu</w:t>
      </w:r>
      <w:proofErr w:type="spellEnd"/>
      <w:r w:rsidRPr="00EF1D74">
        <w:rPr>
          <w:rFonts w:eastAsia="Calibri"/>
          <w:szCs w:val="24"/>
        </w:rPr>
        <w:t xml:space="preserve"> dinamiku. Tas norāda uz to, ka ES ekonomikā zemākais punkts tika sasniegts aprīlī un šobrīd vērojama pakāpeniska ekonomiskās aktivitātes atjaunošanās.</w:t>
      </w:r>
    </w:p>
    <w:p w:rsidR="00EF1D74" w:rsidRPr="00EF1D74" w:rsidRDefault="00EF1D74" w:rsidP="00EF1D74">
      <w:pPr>
        <w:spacing w:before="120"/>
        <w:ind w:firstLine="720"/>
        <w:rPr>
          <w:rFonts w:eastAsia="Calibri"/>
          <w:color w:val="000000"/>
          <w:szCs w:val="24"/>
        </w:rPr>
      </w:pPr>
      <w:r w:rsidRPr="00EF1D74">
        <w:rPr>
          <w:rFonts w:eastAsia="Calibri"/>
          <w:szCs w:val="24"/>
        </w:rPr>
        <w:t xml:space="preserve">Tomēr ES uzņēmēju un patērētāju noskaņojums nav vēl sasniedzis š.g. marta līmeni, kas bija pirmais mēnesis, kad daudzas valstis izsludināja ārkārtējo stāvokli un tika ieviesti stingri ierobežojumi saistībā ar </w:t>
      </w:r>
      <w:proofErr w:type="spellStart"/>
      <w:r w:rsidRPr="00EF1D74">
        <w:rPr>
          <w:rFonts w:eastAsia="Calibri"/>
          <w:szCs w:val="24"/>
        </w:rPr>
        <w:t>koronavīrusa</w:t>
      </w:r>
      <w:proofErr w:type="spellEnd"/>
      <w:r w:rsidRPr="00EF1D74">
        <w:rPr>
          <w:rFonts w:eastAsia="Calibri"/>
          <w:szCs w:val="24"/>
        </w:rPr>
        <w:t xml:space="preserve"> infekcijas uzliesmojumu. Lai arī ekonomikas konfidence gan Latvijā, gan ES pakāpeniski uzlabojas, tā joprojām ir būtiski zemāka nekā pirms šīs krīzes. Uzlabojies ir arī Latvijas rūpnieku novērtējums par preču eksporta pasūtījumiem š.g. trešajam ceturksnim, tomēr indeksa vērtība joprojām atrodas negatīvajā teritorijā, kas nozīmē, ka ražotāji neredz pamatu straujam ārējā pieprasījuma kāpumam, bet vienlaicīgi nesagaida arī situācijas pasliktināšanos līdzīgi kā š.g. otrajā ceturksnī. Ir svarīgi norādīt, </w:t>
      </w:r>
      <w:r w:rsidRPr="00EF1D74">
        <w:rPr>
          <w:rFonts w:eastAsia="Calibri"/>
          <w:color w:val="000000"/>
          <w:szCs w:val="24"/>
        </w:rPr>
        <w:t>ka situācija ar Covid-19 izplatību attīstās dinamiski un š.g. septembrī ES dalībvalstīs palielinās saslimušo cilvēku skaits, kas norāda uz iespējamu pandēmijas otro vilni.</w:t>
      </w:r>
    </w:p>
    <w:p w:rsidR="00EF1D74" w:rsidRPr="00EF1D74" w:rsidRDefault="00EF1D74" w:rsidP="00EF1D74">
      <w:pPr>
        <w:spacing w:before="120"/>
        <w:ind w:firstLine="720"/>
        <w:rPr>
          <w:rFonts w:eastAsia="Calibri"/>
          <w:szCs w:val="24"/>
        </w:rPr>
      </w:pPr>
      <w:r w:rsidRPr="00EF1D74">
        <w:rPr>
          <w:rFonts w:eastAsia="Calibri"/>
          <w:color w:val="000000"/>
          <w:szCs w:val="24"/>
        </w:rPr>
        <w:t xml:space="preserve">Š.g. otrajā ceturksnī preču eksporta kritums bija fiksēts visām preču grupām </w:t>
      </w:r>
      <w:r w:rsidRPr="00EF1D74">
        <w:rPr>
          <w:rFonts w:eastAsia="Calibri"/>
          <w:szCs w:val="24"/>
        </w:rPr>
        <w:t xml:space="preserve">un uz lielāko daļu noieta tirgu, bet visvairāk samazinājās eksports uz ES. Š.g. septembrī kļuva zināmi IKP dati par visām ES dalībvalstīm, un kopumā ES IKP faktiskajās cenās š.g. otrajā ceturksnī ir samazinājies par 12,3% salīdzinājumā ar pērnā gada attiecīgo ceturksni. Savukārt, ES preču importa vērtība saruka par 22,6%. Ņemot vērā, ka aptuveni trīs ceturtdaļas no Latvijas preču </w:t>
      </w:r>
      <w:r w:rsidRPr="00EF1D74">
        <w:rPr>
          <w:rFonts w:eastAsia="Calibri"/>
          <w:szCs w:val="24"/>
        </w:rPr>
        <w:lastRenderedPageBreak/>
        <w:t xml:space="preserve">eksporta veido eksports uz ES, tas izskaidro straujo eksporta kritumu š.g. otrajā ceturksnī un septiņos mēnešos kopumā. </w:t>
      </w:r>
    </w:p>
    <w:p w:rsidR="00EF1D74" w:rsidRPr="00EF1D74" w:rsidRDefault="00EF1D74" w:rsidP="00EF1D74">
      <w:pPr>
        <w:spacing w:before="120"/>
        <w:ind w:firstLine="720"/>
        <w:rPr>
          <w:rFonts w:eastAsia="Calibri"/>
          <w:szCs w:val="24"/>
        </w:rPr>
      </w:pPr>
      <w:r w:rsidRPr="00EF1D74">
        <w:rPr>
          <w:rFonts w:eastAsia="Calibri"/>
          <w:szCs w:val="24"/>
        </w:rPr>
        <w:t xml:space="preserve">Lielākais preču eksporta kritums š.g. septiņos mēnešos ir fiksēts satiksmes līdzekļu preču grupai, kopumā par 27,7% salīdzinājumā ar pirmajiem septiņiem mēnešiem pagājušajā gadā. Eksporta kritums šajā preču grupā tiešā veidā ir saistīts ar pandēmijas sekām un fiksēts visiem satiksmes līdzekļu veidiem. Tomēr lielākais samazinājums ir fiksēts automobiļu un to detaļu eksportam – kopumā par 110 milj. </w:t>
      </w:r>
      <w:proofErr w:type="spellStart"/>
      <w:r w:rsidRPr="00EF1D74">
        <w:rPr>
          <w:rFonts w:eastAsia="Calibri"/>
          <w:i/>
          <w:szCs w:val="24"/>
        </w:rPr>
        <w:t>euro</w:t>
      </w:r>
      <w:proofErr w:type="spellEnd"/>
      <w:r w:rsidRPr="00EF1D74">
        <w:rPr>
          <w:rFonts w:eastAsia="Calibri"/>
          <w:szCs w:val="24"/>
        </w:rPr>
        <w:t xml:space="preserve">. Savukārt automobiļu un to detaļu imports samazinājies par 237 milj. </w:t>
      </w:r>
      <w:proofErr w:type="spellStart"/>
      <w:r w:rsidRPr="00EF1D74">
        <w:rPr>
          <w:rFonts w:eastAsia="Calibri"/>
          <w:i/>
          <w:szCs w:val="24"/>
        </w:rPr>
        <w:t>euro</w:t>
      </w:r>
      <w:proofErr w:type="spellEnd"/>
      <w:r w:rsidRPr="00EF1D74">
        <w:rPr>
          <w:rFonts w:eastAsia="Calibri"/>
          <w:szCs w:val="24"/>
        </w:rPr>
        <w:t xml:space="preserve">. Latvija importē automobiļus galvenokārt no Vācijas, Polijas un Igaunijas, bet </w:t>
      </w:r>
      <w:proofErr w:type="spellStart"/>
      <w:r w:rsidRPr="00EF1D74">
        <w:rPr>
          <w:rFonts w:eastAsia="Calibri"/>
          <w:szCs w:val="24"/>
        </w:rPr>
        <w:t>reeksportē</w:t>
      </w:r>
      <w:proofErr w:type="spellEnd"/>
      <w:r w:rsidRPr="00EF1D74">
        <w:rPr>
          <w:rFonts w:eastAsia="Calibri"/>
          <w:szCs w:val="24"/>
        </w:rPr>
        <w:t xml:space="preserve"> galvenokārt uz Lietuvu. Ārējās tirdzniecības kritums šajā preču grupā ir fiksēts tieši ar augstākminētajam valstīm. Ņemot vērā, ka Latvija importē automobiļus arī iekšējam patēriņam, eksporta kritums ir mazāks par importa samazinājumu. Jāatzīmē, ka pirmoreiz reģistrēto vieglo automobiļu skaits Latvijā š.g. septiņos mēnešos kopumā ir samazinājies par 24,0% salīdzinājumā ar attiecīgo periodu 2019. gadā, bet tieši š.g. aprīlī un maijā kritums pārsniedza 50%. Savukārt, š.g. jūlijā pirmoreiz reģistrēto vieglo automobiļu skaita kritums gada griezumā bija tikai 3,1%, liecinot par ekonomikas aktivitātes atjaunošanos. </w:t>
      </w:r>
    </w:p>
    <w:p w:rsidR="00EF1D74" w:rsidRPr="00EF1D74" w:rsidRDefault="00EF1D74" w:rsidP="00EF1D74">
      <w:pPr>
        <w:spacing w:before="120"/>
        <w:ind w:firstLine="0"/>
        <w:jc w:val="center"/>
        <w:rPr>
          <w:rFonts w:eastAsia="Calibri"/>
          <w:szCs w:val="24"/>
        </w:rPr>
      </w:pPr>
      <w:r w:rsidRPr="00EF1D74">
        <w:rPr>
          <w:rFonts w:eastAsia="Calibri"/>
          <w:b/>
          <w:bCs/>
          <w:i/>
          <w:color w:val="000000"/>
          <w:szCs w:val="24"/>
        </w:rPr>
        <w:t xml:space="preserve">1.38. attēls </w:t>
      </w:r>
      <w:r w:rsidRPr="00EF1D74">
        <w:rPr>
          <w:rFonts w:eastAsia="Calibri"/>
          <w:b/>
          <w:bCs/>
          <w:szCs w:val="24"/>
        </w:rPr>
        <w:t>Latvijas preču eksports faktiskajās cenās pa grupām, devumi (</w:t>
      </w:r>
      <w:proofErr w:type="spellStart"/>
      <w:r w:rsidRPr="00EF1D74">
        <w:rPr>
          <w:rFonts w:eastAsia="Calibri"/>
          <w:b/>
          <w:bCs/>
          <w:szCs w:val="24"/>
        </w:rPr>
        <w:t>pp</w:t>
      </w:r>
      <w:proofErr w:type="spellEnd"/>
      <w:r w:rsidRPr="00EF1D74">
        <w:rPr>
          <w:rFonts w:eastAsia="Calibri"/>
          <w:b/>
          <w:bCs/>
          <w:szCs w:val="24"/>
        </w:rPr>
        <w:t>) un kopējais pieaugums (%)</w:t>
      </w:r>
    </w:p>
    <w:p w:rsidR="00EF1D74" w:rsidRPr="00EF1D74" w:rsidRDefault="00EF1D74" w:rsidP="00EF1D74">
      <w:pPr>
        <w:spacing w:before="120"/>
        <w:ind w:firstLine="0"/>
        <w:jc w:val="center"/>
        <w:rPr>
          <w:rFonts w:eastAsia="Calibri"/>
          <w:szCs w:val="24"/>
        </w:rPr>
      </w:pPr>
      <w:r w:rsidRPr="00EF1D74">
        <w:rPr>
          <w:rFonts w:eastAsia="Calibri"/>
          <w:noProof/>
          <w:szCs w:val="24"/>
          <w:lang w:eastAsia="lv-LV"/>
        </w:rPr>
        <w:drawing>
          <wp:inline distT="0" distB="0" distL="0" distR="0" wp14:anchorId="0EF5D121" wp14:editId="07649610">
            <wp:extent cx="5467350" cy="46005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t>Būtiski samazinājās koka un koka izstrādājumu eksporta vērtība, kopumā par 9,3%, salīdzinājumā ar septiņiem mēnešiem 2019. gadā. Koksnes eksporta kritumu negatīvi ietekmēja gan bāzes efekti, gan Covid</w:t>
      </w:r>
      <w:r w:rsidRPr="00EF1D74">
        <w:rPr>
          <w:rFonts w:eastAsia="Calibri"/>
          <w:szCs w:val="24"/>
        </w:rPr>
        <w:noBreakHyphen/>
        <w:t xml:space="preserve">19 pandēmija. Pagājušā gada sākumā koksnes eksports palielinājās, ko labvēlīgi ietekmēja augstais koka un koka izstrādājumu eksporta apjoms uz Lielbritāniju, kad </w:t>
      </w:r>
      <w:proofErr w:type="spellStart"/>
      <w:r w:rsidRPr="00EF1D74">
        <w:rPr>
          <w:rFonts w:eastAsia="Calibri"/>
          <w:i/>
          <w:szCs w:val="24"/>
        </w:rPr>
        <w:t>Brexit</w:t>
      </w:r>
      <w:proofErr w:type="spellEnd"/>
      <w:r w:rsidRPr="00EF1D74">
        <w:rPr>
          <w:rFonts w:eastAsia="Calibri"/>
          <w:szCs w:val="24"/>
        </w:rPr>
        <w:t xml:space="preserve"> gaidās tika papildinātas šīs valsts noliktavas. Taču šī faktora pozitīvā ietekme pērnā gada maijā izzuda un gada otrajā pusē kopējā koksnes eksporta vērtība sāka samazināties, </w:t>
      </w:r>
      <w:r w:rsidRPr="00EF1D74">
        <w:rPr>
          <w:rFonts w:eastAsia="Calibri"/>
          <w:szCs w:val="24"/>
        </w:rPr>
        <w:lastRenderedPageBreak/>
        <w:t>atsevišķos mēnešos kritumam sasniedzot 15%. Papildus tam, pērn bija straujš koksnes cenu kritums pasaules tirgos, kas tikai paātrināja koksnes eksporta kritumu.</w:t>
      </w:r>
    </w:p>
    <w:p w:rsidR="00EF1D74" w:rsidRPr="00EF1D74" w:rsidRDefault="00EF1D74" w:rsidP="00EF1D74">
      <w:pPr>
        <w:spacing w:before="120"/>
        <w:ind w:firstLine="720"/>
        <w:rPr>
          <w:rFonts w:eastAsia="Calibri"/>
          <w:szCs w:val="24"/>
        </w:rPr>
      </w:pPr>
      <w:r w:rsidRPr="00EF1D74">
        <w:rPr>
          <w:rFonts w:eastAsia="Calibri"/>
          <w:szCs w:val="24"/>
        </w:rPr>
        <w:t>Kopš š.g. aprīļa koka un koka izstrādājumu eksportu sāka negatīvi ietekmēt Covid-19 pandēmija. Tomēr š.g. jūlijā koksnes eksporta vērtība palielinājās par 4,4% salīdzinājumā ar pērnā gada jūliju, kas bija pirmais eksporta pieaugums šajā preču grupā pēdējo 15 mēnešu laikā. Koksnes eksporta pieaugumu veicināja straujš koksnes un koka izstrādājumu ražošanas apjoma pieaugums š.g. jūlijā, par 12,5% salīdzinājumā ar pērnā gada jūliju. Tik straujš koksnes rūpniecības pieaugums nebija sasniegts kopš pagājušā gada sākuma, kad nozari sāka skart koksnes cenu kritums pasaules biržās.</w:t>
      </w:r>
    </w:p>
    <w:p w:rsidR="00EF1D74" w:rsidRPr="00EF1D74" w:rsidRDefault="00EF1D74" w:rsidP="00EF1D74">
      <w:pPr>
        <w:spacing w:before="120"/>
        <w:ind w:firstLine="720"/>
        <w:rPr>
          <w:rFonts w:eastAsia="Calibri"/>
          <w:szCs w:val="24"/>
        </w:rPr>
      </w:pPr>
      <w:r w:rsidRPr="00EF1D74">
        <w:rPr>
          <w:rFonts w:eastAsia="Calibri"/>
          <w:szCs w:val="24"/>
        </w:rPr>
        <w:t xml:space="preserve">Lai arī jūlijā bija fiksēts straujš koksnes ražošanas apjomu kāpums un koksnes eksporta pieaugums jūlijā bija diversificēts un fiksēts uz daudzām valstīm, tomēr pašreiz nav pamata uzskatīt, ka krīze ir pārvarēta un turpmāk koksnes eksports uzrādīs tikai pieaugumus. Drīzāk eksporta datus jūlijā var skaidrot kā situācijas stabilizēšanos un turpmāko koksnes eksporta attīstību ietekmēs ES ekonomikas atgūšanās temps, it īpaši būvniecības un apstrādes rūpniecības nozarēs, kā arī Lielbritānijas un ES vienošanās par tirdzniecības nosacījumiem. </w:t>
      </w:r>
    </w:p>
    <w:p w:rsidR="00EF1D74" w:rsidRPr="00EF1D74" w:rsidRDefault="00EF1D74" w:rsidP="00EF1D74">
      <w:pPr>
        <w:spacing w:before="120"/>
        <w:ind w:firstLine="720"/>
        <w:rPr>
          <w:rFonts w:eastAsia="Calibri"/>
          <w:szCs w:val="24"/>
        </w:rPr>
      </w:pPr>
      <w:r w:rsidRPr="00EF1D74">
        <w:rPr>
          <w:rFonts w:eastAsia="Calibri"/>
          <w:szCs w:val="24"/>
        </w:rPr>
        <w:t xml:space="preserve">Par 23,4% š.g. septiņos mēnešos ir samazinājies </w:t>
      </w:r>
      <w:proofErr w:type="spellStart"/>
      <w:r w:rsidRPr="00EF1D74">
        <w:rPr>
          <w:rFonts w:eastAsia="Calibri"/>
          <w:szCs w:val="24"/>
        </w:rPr>
        <w:t>minerālproduktu</w:t>
      </w:r>
      <w:proofErr w:type="spellEnd"/>
      <w:r w:rsidRPr="00EF1D74">
        <w:rPr>
          <w:rFonts w:eastAsia="Calibri"/>
          <w:szCs w:val="24"/>
        </w:rPr>
        <w:t xml:space="preserve"> eksports. Eksporta kritumu šajā preču grupā noteica elektroenerģijas eksporta samazinājums par 50,9%, kā arī naftas pārstrādes produktu eksporta samazinājums par 40,5%. Elektroenerģijas eksportu negatīvi ietekmēja elektroenerģijas patēriņa samazinājums Lietuvā saistībā ar siltajiem laika apstākļiem 2020. gada ziemā, kā arī ar zemāku ekonomisko aktivitāti ārkārtas situācijas laikā. Savukārt naftas pārstrādes produktu eksporta kritumu noteica gan naftas cenu kritums pasaules biržās, gan naftas produktu pieprasījuma samazinājums pandēmijas laikā vairākās ES valstīs. </w:t>
      </w:r>
    </w:p>
    <w:p w:rsidR="00EF1D74" w:rsidRPr="00EF1D74" w:rsidRDefault="00EF1D74" w:rsidP="00EF1D74">
      <w:pPr>
        <w:spacing w:before="120"/>
        <w:ind w:firstLine="720"/>
        <w:rPr>
          <w:rFonts w:eastAsia="Calibri"/>
          <w:szCs w:val="24"/>
        </w:rPr>
      </w:pPr>
      <w:r w:rsidRPr="00EF1D74">
        <w:rPr>
          <w:rFonts w:eastAsia="Calibri"/>
          <w:szCs w:val="24"/>
        </w:rPr>
        <w:t>Preču eksporta kritums fiksēts arī tādām preču grupām kā metāli un to izstrādājumi, būvniecības, poligrāfijas un tekstilmateriāli. Tomēr eksporta samazinājums šajās preču grupās nebija būtisks un mērāms dažos procentos.</w:t>
      </w:r>
    </w:p>
    <w:p w:rsidR="00EF1D74" w:rsidRPr="00EF1D74" w:rsidRDefault="00EF1D74" w:rsidP="00EF1D74">
      <w:pPr>
        <w:spacing w:before="120"/>
        <w:ind w:firstLine="720"/>
        <w:rPr>
          <w:rFonts w:eastAsia="Calibri"/>
          <w:szCs w:val="24"/>
        </w:rPr>
      </w:pPr>
      <w:r w:rsidRPr="00EF1D74">
        <w:rPr>
          <w:rFonts w:eastAsia="Calibri"/>
          <w:szCs w:val="24"/>
        </w:rPr>
        <w:t>Eksporta kritumu š.g. septiņos mēnešos nedaudz mazināja lauksaimniecības un pārtikas preču, kā arī mehānisko un elektroierīču eksporta pieaugums. Lauksaimniecības un pārtikas preču eksporta kāpumu par 2,4% noteica eļļas augu sēklu, gaļas un zivju izstrādājumu, labības un miltu izstrādājumu, kā arī tabakas izstrādājumu eksporta pieaugums. Šo preču eksporta pieaugumu daļēji veicināja arī reeksporta apjomu kāpums. Lauksaimniecības un pārtikas preču eksports kopumā uzrādīja pieaugumu tikai š.g. pirmajā ceturksnī, bet kopš aprīļa eksporta vērtība šajā preču grupā samazinās. Būtiska loma šīs preču eksporta grupas attīstībā ir graudaugiem, kuru eksports septiņos mēnešos samazinājās par 2,0%. Tradicionāli lielākā graudaugu eksporta vērtība ir rudens mēnešos, līdz ar to lauksaimniecības un pārtikas preču kopējo eksportu turpmākajos mēnešos lielā mērā noteiks graudaugu eksports.</w:t>
      </w:r>
    </w:p>
    <w:p w:rsidR="00EF1D74" w:rsidRPr="00EF1D74" w:rsidRDefault="00EF1D74" w:rsidP="00EF1D74">
      <w:pPr>
        <w:spacing w:before="120"/>
        <w:ind w:firstLine="720"/>
        <w:rPr>
          <w:color w:val="FF0000"/>
          <w:szCs w:val="24"/>
        </w:rPr>
      </w:pPr>
      <w:r w:rsidRPr="00EF1D74">
        <w:rPr>
          <w:rFonts w:eastAsia="Calibri"/>
          <w:szCs w:val="24"/>
        </w:rPr>
        <w:t xml:space="preserve">Mehānisko un elektroierīču eksporta vērtība 2020. gada septiņos mēnešos palielinājās par 10,2% salīdzinājumā ar pērnā gada attiecīgo periodu. Detalizētāka analīze rāda, ka šīs grupas pieaugumu noteica reeksports, jo straujāki eksporta kāpumi ir fiksēti tādām precēm kā mobilie telefoni, monitori, projektori, datu uzglabāšanas ierīces, automātiskās datu apstrādes iekārtas jeb tās preces, kas Latvijā netiek ražotas. Augstākminētās precēs tiek importētas galvenokārt no </w:t>
      </w:r>
      <w:proofErr w:type="spellStart"/>
      <w:r w:rsidRPr="00EF1D74">
        <w:rPr>
          <w:rFonts w:eastAsia="Calibri"/>
          <w:szCs w:val="24"/>
        </w:rPr>
        <w:t>Austrumāzijas</w:t>
      </w:r>
      <w:proofErr w:type="spellEnd"/>
      <w:r w:rsidRPr="00EF1D74">
        <w:rPr>
          <w:rFonts w:eastAsia="Calibri"/>
          <w:szCs w:val="24"/>
        </w:rPr>
        <w:t xml:space="preserve"> reģiona un pēc tam </w:t>
      </w:r>
      <w:proofErr w:type="spellStart"/>
      <w:r w:rsidRPr="00EF1D74">
        <w:rPr>
          <w:rFonts w:eastAsia="Calibri"/>
          <w:szCs w:val="24"/>
        </w:rPr>
        <w:t>reeksportētas</w:t>
      </w:r>
      <w:proofErr w:type="spellEnd"/>
      <w:r w:rsidRPr="00EF1D74">
        <w:rPr>
          <w:rFonts w:eastAsia="Calibri"/>
          <w:szCs w:val="24"/>
        </w:rPr>
        <w:t xml:space="preserve"> uz ES dalībvalstīm. Pandēmijas un karantīnas ieviešana gan </w:t>
      </w:r>
      <w:proofErr w:type="spellStart"/>
      <w:r w:rsidRPr="00EF1D74">
        <w:rPr>
          <w:rFonts w:eastAsia="Calibri"/>
          <w:szCs w:val="24"/>
        </w:rPr>
        <w:t>Austrumāzijas</w:t>
      </w:r>
      <w:proofErr w:type="spellEnd"/>
      <w:r w:rsidRPr="00EF1D74">
        <w:rPr>
          <w:rFonts w:eastAsia="Calibri"/>
          <w:szCs w:val="24"/>
        </w:rPr>
        <w:t xml:space="preserve"> valstīs, gan ES nebija šķērslis samērā būtiskam mehānisko un elektroierīču eksporta kāpumam. </w:t>
      </w:r>
      <w:r w:rsidRPr="00EF1D74">
        <w:rPr>
          <w:color w:val="000000"/>
          <w:szCs w:val="24"/>
        </w:rPr>
        <w:t>Detalizēta informācija par eksporta vērtību un izmaiņām preču grupu griezumā ir atspoguļota tabulā 1.3.</w:t>
      </w:r>
    </w:p>
    <w:p w:rsidR="00EF1D74" w:rsidRPr="00EF1D74" w:rsidRDefault="00EF1D74" w:rsidP="00EF1D74">
      <w:pPr>
        <w:spacing w:before="120"/>
        <w:ind w:firstLine="720"/>
        <w:rPr>
          <w:color w:val="FF0000"/>
          <w:szCs w:val="24"/>
        </w:rPr>
      </w:pPr>
    </w:p>
    <w:p w:rsidR="00EF1D74" w:rsidRPr="00EF1D74" w:rsidRDefault="00EF1D74" w:rsidP="00EF1D74">
      <w:pPr>
        <w:spacing w:before="120"/>
        <w:ind w:firstLine="720"/>
        <w:rPr>
          <w:color w:val="FF0000"/>
          <w:szCs w:val="24"/>
        </w:rPr>
      </w:pPr>
    </w:p>
    <w:p w:rsidR="00EF1D74" w:rsidRPr="00EF1D74" w:rsidRDefault="00EF1D74" w:rsidP="00EF1D74">
      <w:pPr>
        <w:spacing w:before="120"/>
        <w:ind w:firstLine="0"/>
        <w:jc w:val="center"/>
        <w:rPr>
          <w:rFonts w:eastAsia="Calibri"/>
          <w:szCs w:val="24"/>
        </w:rPr>
      </w:pPr>
      <w:r w:rsidRPr="00EF1D74">
        <w:rPr>
          <w:rFonts w:eastAsia="Calibri"/>
          <w:b/>
          <w:i/>
          <w:szCs w:val="24"/>
        </w:rPr>
        <w:lastRenderedPageBreak/>
        <w:t xml:space="preserve">1.3. tabula </w:t>
      </w:r>
      <w:r w:rsidRPr="00EF1D74">
        <w:rPr>
          <w:rFonts w:eastAsia="Calibri"/>
          <w:b/>
          <w:szCs w:val="24"/>
        </w:rPr>
        <w:t>Preču eksporta vērtība septiņos mēnešos 2019. gadā un 2020. gadā, tās izmaiņas un preču grupu īpatsvars 2020. gada septiņos mēnešos</w:t>
      </w:r>
    </w:p>
    <w:tbl>
      <w:tblPr>
        <w:tblW w:w="8642" w:type="dxa"/>
        <w:jc w:val="center"/>
        <w:tblLook w:val="04A0" w:firstRow="1" w:lastRow="0" w:firstColumn="1" w:lastColumn="0" w:noHBand="0" w:noVBand="1"/>
      </w:tblPr>
      <w:tblGrid>
        <w:gridCol w:w="2689"/>
        <w:gridCol w:w="1275"/>
        <w:gridCol w:w="1276"/>
        <w:gridCol w:w="1134"/>
        <w:gridCol w:w="1134"/>
        <w:gridCol w:w="1134"/>
      </w:tblGrid>
      <w:tr w:rsidR="00EF1D74" w:rsidRPr="00EF1D74" w:rsidTr="0057436F">
        <w:trPr>
          <w:trHeight w:val="315"/>
          <w:jc w:val="center"/>
        </w:trPr>
        <w:tc>
          <w:tcPr>
            <w:tcW w:w="2689"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Preču grupa</w:t>
            </w:r>
          </w:p>
        </w:tc>
        <w:tc>
          <w:tcPr>
            <w:tcW w:w="1275" w:type="dxa"/>
            <w:tcBorders>
              <w:top w:val="single" w:sz="4" w:space="0" w:color="auto"/>
              <w:left w:val="nil"/>
              <w:bottom w:val="single" w:sz="4" w:space="0" w:color="auto"/>
              <w:right w:val="single" w:sz="4" w:space="0" w:color="auto"/>
            </w:tcBorders>
            <w:shd w:val="clear" w:color="auto" w:fill="BDD6EE"/>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 xml:space="preserve">I-VII 2019 milj. </w:t>
            </w:r>
            <w:proofErr w:type="spellStart"/>
            <w:r w:rsidRPr="00EF1D74">
              <w:rPr>
                <w:b/>
                <w:i/>
                <w:color w:val="000000"/>
                <w:sz w:val="18"/>
                <w:szCs w:val="18"/>
                <w:lang w:eastAsia="lv-LV"/>
              </w:rPr>
              <w:t>euro</w:t>
            </w:r>
            <w:proofErr w:type="spellEnd"/>
          </w:p>
        </w:tc>
        <w:tc>
          <w:tcPr>
            <w:tcW w:w="1276" w:type="dxa"/>
            <w:tcBorders>
              <w:top w:val="single" w:sz="4" w:space="0" w:color="auto"/>
              <w:left w:val="nil"/>
              <w:bottom w:val="single" w:sz="4" w:space="0" w:color="auto"/>
              <w:right w:val="single" w:sz="4" w:space="0" w:color="auto"/>
            </w:tcBorders>
            <w:shd w:val="clear" w:color="auto" w:fill="BDD6EE"/>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 xml:space="preserve">I-VII 2020 milj. </w:t>
            </w:r>
            <w:proofErr w:type="spellStart"/>
            <w:r w:rsidRPr="00EF1D74">
              <w:rPr>
                <w:b/>
                <w:i/>
                <w:color w:val="000000"/>
                <w:sz w:val="18"/>
                <w:szCs w:val="18"/>
                <w:lang w:eastAsia="lv-LV"/>
              </w:rPr>
              <w:t>euro</w:t>
            </w:r>
            <w:proofErr w:type="spellEnd"/>
          </w:p>
        </w:tc>
        <w:tc>
          <w:tcPr>
            <w:tcW w:w="1134" w:type="dxa"/>
            <w:tcBorders>
              <w:top w:val="single" w:sz="4" w:space="0" w:color="auto"/>
              <w:left w:val="nil"/>
              <w:bottom w:val="single" w:sz="4" w:space="0" w:color="auto"/>
              <w:right w:val="single" w:sz="4" w:space="0" w:color="auto"/>
            </w:tcBorders>
            <w:shd w:val="clear" w:color="auto" w:fill="BDD6EE"/>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Preču grupu īpatsvars %</w:t>
            </w:r>
          </w:p>
        </w:tc>
        <w:tc>
          <w:tcPr>
            <w:tcW w:w="1134" w:type="dxa"/>
            <w:tcBorders>
              <w:top w:val="single" w:sz="4" w:space="0" w:color="auto"/>
              <w:left w:val="nil"/>
              <w:bottom w:val="single" w:sz="4" w:space="0" w:color="auto"/>
              <w:right w:val="single" w:sz="4" w:space="0" w:color="auto"/>
            </w:tcBorders>
            <w:shd w:val="clear" w:color="auto" w:fill="BDD6EE"/>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 xml:space="preserve">Izmaiņas, milj. </w:t>
            </w:r>
            <w:proofErr w:type="spellStart"/>
            <w:r w:rsidRPr="00EF1D74">
              <w:rPr>
                <w:b/>
                <w:i/>
                <w:color w:val="000000"/>
                <w:sz w:val="18"/>
                <w:szCs w:val="18"/>
                <w:lang w:eastAsia="lv-LV"/>
              </w:rPr>
              <w:t>euro</w:t>
            </w:r>
            <w:proofErr w:type="spellEnd"/>
          </w:p>
        </w:tc>
        <w:tc>
          <w:tcPr>
            <w:tcW w:w="1134" w:type="dxa"/>
            <w:tcBorders>
              <w:top w:val="single" w:sz="4" w:space="0" w:color="auto"/>
              <w:left w:val="nil"/>
              <w:bottom w:val="single" w:sz="4" w:space="0" w:color="auto"/>
              <w:right w:val="single" w:sz="4" w:space="0" w:color="auto"/>
            </w:tcBorders>
            <w:shd w:val="clear" w:color="auto" w:fill="BDD6EE"/>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Izmaiņas, %</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Lauksaimniecības preces un pārtika</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1335</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1367</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19.2%</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32</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2.4%</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Mehānismi un ierīces, t.sk. elektroierīces</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1322</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18.6%</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122</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10.2%</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Koks un koka izstrādājumi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1379</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1251</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17.6%</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-129</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-9.3%</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Metāli un to izstrādājumi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673</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640</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9.0%</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-33</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-4.9%</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Ķīmiskās rūpniecības ražojumi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562</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576</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8.1%</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13</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2.4%</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 xml:space="preserve">Satiksmes līdzekļi </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496</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359</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5.1%</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-137</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-27.7%</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F1D74" w:rsidRPr="00EF1D74" w:rsidRDefault="00EF1D74" w:rsidP="00EF1D74">
            <w:pPr>
              <w:spacing w:after="0"/>
              <w:ind w:firstLine="0"/>
              <w:jc w:val="left"/>
              <w:rPr>
                <w:color w:val="000000"/>
                <w:sz w:val="18"/>
                <w:szCs w:val="18"/>
                <w:lang w:eastAsia="lv-LV"/>
              </w:rPr>
            </w:pPr>
            <w:proofErr w:type="spellStart"/>
            <w:r w:rsidRPr="00EF1D74">
              <w:rPr>
                <w:color w:val="000000"/>
                <w:sz w:val="18"/>
                <w:szCs w:val="18"/>
                <w:lang w:eastAsia="lv-LV"/>
              </w:rPr>
              <w:t>Minerālprodukti</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402</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308</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4.3%</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-94</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-23.4%</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Plastmasas, kaučuks un to izstrādājumi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253</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253</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3.6%</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0</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0.1%</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Tekstilmateriāli un tekstilizstrādājumi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217</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214</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3.0%</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-1.3%</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Būvniecības izstrādājumi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188</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183</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2.6%</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-4</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-2.2%</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Papīrs, kartons un poligrāfijas izstrādājumi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161</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156</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2.2%</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-5</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-2.8%</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 xml:space="preserve">Pārējās preces </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469</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472</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6.6%</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0.6%</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EF1D74" w:rsidRPr="00EF1D74" w:rsidRDefault="00EF1D74" w:rsidP="00EF1D74">
            <w:pPr>
              <w:spacing w:after="0"/>
              <w:ind w:firstLine="0"/>
              <w:jc w:val="left"/>
              <w:rPr>
                <w:b/>
                <w:color w:val="000000"/>
                <w:sz w:val="18"/>
                <w:szCs w:val="18"/>
                <w:lang w:eastAsia="lv-LV"/>
              </w:rPr>
            </w:pPr>
            <w:r w:rsidRPr="00EF1D74">
              <w:rPr>
                <w:b/>
                <w:color w:val="000000"/>
                <w:sz w:val="18"/>
                <w:szCs w:val="18"/>
                <w:lang w:eastAsia="lv-LV"/>
              </w:rPr>
              <w:t>Kopējais preču eksports</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7335</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7101</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-234</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-3.2%</w:t>
            </w:r>
          </w:p>
        </w:tc>
      </w:tr>
    </w:tbl>
    <w:p w:rsidR="00EF1D74" w:rsidRPr="00EF1D74" w:rsidRDefault="00EF1D74" w:rsidP="00EF1D74">
      <w:pPr>
        <w:spacing w:before="120"/>
        <w:ind w:firstLine="720"/>
        <w:rPr>
          <w:rFonts w:eastAsia="Calibri"/>
          <w:szCs w:val="24"/>
        </w:rPr>
      </w:pPr>
      <w:r w:rsidRPr="00EF1D74">
        <w:rPr>
          <w:rFonts w:eastAsia="Calibri"/>
          <w:szCs w:val="24"/>
        </w:rPr>
        <w:t xml:space="preserve">Ja Covid-19 pandēmijas negatīvā ietekme uz preču eksportu ir atspoguļojusies ar nelielu novēlošanos, tad </w:t>
      </w:r>
      <w:r w:rsidRPr="00EF1D74">
        <w:rPr>
          <w:rFonts w:eastAsia="Calibri"/>
          <w:b/>
          <w:szCs w:val="24"/>
        </w:rPr>
        <w:t>pakalpojumu eksports</w:t>
      </w:r>
      <w:r w:rsidRPr="00EF1D74">
        <w:rPr>
          <w:rFonts w:eastAsia="Calibri"/>
          <w:szCs w:val="24"/>
        </w:rPr>
        <w:t xml:space="preserve"> tika skarts jau š.g. martā, jo </w:t>
      </w:r>
      <w:proofErr w:type="spellStart"/>
      <w:r w:rsidRPr="00EF1D74">
        <w:rPr>
          <w:rFonts w:eastAsia="Calibri"/>
          <w:szCs w:val="24"/>
        </w:rPr>
        <w:t>koronavīrusa</w:t>
      </w:r>
      <w:proofErr w:type="spellEnd"/>
      <w:r w:rsidRPr="00EF1D74">
        <w:rPr>
          <w:rFonts w:eastAsia="Calibri"/>
          <w:szCs w:val="24"/>
        </w:rPr>
        <w:t xml:space="preserve"> izplatība pirmām kārtām ietekmēja pakalpojumu sektorus, it īpaši pasažieru pārvadājumus, izmitināšanas, ēdināšanas un izklaides pakalpojumus. Kopumā pakalpojumu eksporta vērtība š.g. septiņos mēnešos samazinājās par 19,5% salīdzinājumā ar pērnā gada attiecīgo periodu. Š.g. martā, kad jau vairākās pasaules valstīs bija noteikti stingri ierobežojumi </w:t>
      </w:r>
      <w:proofErr w:type="spellStart"/>
      <w:r w:rsidRPr="00EF1D74">
        <w:rPr>
          <w:rFonts w:eastAsia="Calibri"/>
          <w:szCs w:val="24"/>
        </w:rPr>
        <w:t>koronavīrusa</w:t>
      </w:r>
      <w:proofErr w:type="spellEnd"/>
      <w:r w:rsidRPr="00EF1D74">
        <w:rPr>
          <w:rFonts w:eastAsia="Calibri"/>
          <w:szCs w:val="24"/>
        </w:rPr>
        <w:t xml:space="preserve"> izplatības mazināšanai, Latvijas pakalpojumu eksports gada griezumā samazinājās par 13,2%, kritumam palielinoties līdz 29,5% š.g. aprīlī. Kritums tuvu 30% ir saglabājies arī turpmākajos mēnešos. </w:t>
      </w:r>
    </w:p>
    <w:p w:rsidR="00EF1D74" w:rsidRPr="00EF1D74" w:rsidRDefault="00EF1D74" w:rsidP="00EF1D74">
      <w:pPr>
        <w:spacing w:before="120"/>
        <w:ind w:firstLine="0"/>
        <w:jc w:val="center"/>
        <w:rPr>
          <w:rFonts w:eastAsia="Calibri"/>
          <w:b/>
          <w:bCs/>
          <w:i/>
          <w:color w:val="000000"/>
          <w:szCs w:val="24"/>
        </w:rPr>
      </w:pPr>
    </w:p>
    <w:p w:rsidR="00EF1D74" w:rsidRPr="00EF1D74" w:rsidRDefault="00EF1D74" w:rsidP="00EF1D74">
      <w:pPr>
        <w:spacing w:before="120"/>
        <w:ind w:firstLine="0"/>
        <w:jc w:val="center"/>
        <w:rPr>
          <w:rFonts w:eastAsia="Calibri"/>
          <w:b/>
          <w:bCs/>
          <w:i/>
          <w:color w:val="000000"/>
          <w:szCs w:val="24"/>
        </w:rPr>
      </w:pPr>
    </w:p>
    <w:p w:rsidR="00EF1D74" w:rsidRPr="00EF1D74" w:rsidRDefault="00EF1D74" w:rsidP="00EF1D74">
      <w:pPr>
        <w:spacing w:before="120"/>
        <w:ind w:firstLine="0"/>
        <w:jc w:val="center"/>
        <w:rPr>
          <w:rFonts w:eastAsia="Calibri"/>
          <w:b/>
          <w:bCs/>
          <w:i/>
          <w:color w:val="000000"/>
          <w:szCs w:val="24"/>
        </w:rPr>
      </w:pPr>
    </w:p>
    <w:p w:rsidR="00EF1D74" w:rsidRPr="00EF1D74" w:rsidRDefault="00EF1D74" w:rsidP="00EF1D74">
      <w:pPr>
        <w:spacing w:before="120"/>
        <w:ind w:firstLine="0"/>
        <w:jc w:val="center"/>
        <w:rPr>
          <w:rFonts w:eastAsia="Calibri"/>
          <w:b/>
          <w:bCs/>
          <w:i/>
          <w:color w:val="000000"/>
          <w:szCs w:val="24"/>
        </w:rPr>
      </w:pPr>
    </w:p>
    <w:p w:rsidR="00EF1D74" w:rsidRPr="00EF1D74" w:rsidRDefault="00EF1D74" w:rsidP="00EF1D74">
      <w:pPr>
        <w:spacing w:before="120"/>
        <w:ind w:firstLine="0"/>
        <w:jc w:val="center"/>
        <w:rPr>
          <w:rFonts w:eastAsia="Calibri"/>
          <w:b/>
          <w:bCs/>
          <w:i/>
          <w:color w:val="000000"/>
          <w:szCs w:val="24"/>
        </w:rPr>
      </w:pPr>
    </w:p>
    <w:p w:rsidR="00EF1D74" w:rsidRPr="00EF1D74" w:rsidRDefault="00EF1D74" w:rsidP="00EF1D74">
      <w:pPr>
        <w:spacing w:before="120"/>
        <w:ind w:firstLine="0"/>
        <w:jc w:val="center"/>
        <w:rPr>
          <w:rFonts w:eastAsia="Calibri"/>
          <w:b/>
          <w:bCs/>
          <w:i/>
          <w:color w:val="000000"/>
          <w:szCs w:val="24"/>
        </w:rPr>
      </w:pPr>
    </w:p>
    <w:p w:rsidR="00EF1D74" w:rsidRPr="00EF1D74" w:rsidRDefault="00EF1D74" w:rsidP="00EF1D74">
      <w:pPr>
        <w:spacing w:before="120"/>
        <w:ind w:firstLine="0"/>
        <w:jc w:val="center"/>
        <w:rPr>
          <w:rFonts w:eastAsia="Calibri"/>
          <w:b/>
          <w:bCs/>
          <w:i/>
          <w:color w:val="000000"/>
          <w:szCs w:val="24"/>
        </w:rPr>
      </w:pPr>
    </w:p>
    <w:p w:rsidR="00EF1D74" w:rsidRPr="00EF1D74" w:rsidRDefault="00EF1D74" w:rsidP="00EF1D74">
      <w:pPr>
        <w:spacing w:before="120"/>
        <w:ind w:firstLine="0"/>
        <w:jc w:val="center"/>
        <w:rPr>
          <w:rFonts w:eastAsia="Calibri"/>
          <w:b/>
          <w:bCs/>
          <w:i/>
          <w:color w:val="000000"/>
          <w:szCs w:val="24"/>
        </w:rPr>
      </w:pPr>
    </w:p>
    <w:p w:rsidR="00EF1D74" w:rsidRPr="00EF1D74" w:rsidRDefault="00EF1D74" w:rsidP="00EF1D74">
      <w:pPr>
        <w:spacing w:before="120"/>
        <w:ind w:firstLine="0"/>
        <w:jc w:val="center"/>
        <w:rPr>
          <w:rFonts w:eastAsia="Calibri"/>
          <w:b/>
          <w:bCs/>
          <w:i/>
          <w:color w:val="000000"/>
          <w:szCs w:val="24"/>
        </w:rPr>
      </w:pPr>
    </w:p>
    <w:p w:rsidR="00EF1D74" w:rsidRPr="00EF1D74" w:rsidRDefault="00EF1D74" w:rsidP="00EF1D74">
      <w:pPr>
        <w:spacing w:before="120"/>
        <w:ind w:firstLine="0"/>
        <w:jc w:val="center"/>
        <w:rPr>
          <w:rFonts w:eastAsia="Calibri"/>
          <w:b/>
          <w:bCs/>
          <w:i/>
          <w:color w:val="000000"/>
          <w:szCs w:val="24"/>
        </w:rPr>
      </w:pPr>
    </w:p>
    <w:p w:rsidR="00EF1D74" w:rsidRPr="00EF1D74" w:rsidRDefault="00EF1D74" w:rsidP="00EF1D74">
      <w:pPr>
        <w:spacing w:before="120"/>
        <w:ind w:firstLine="0"/>
        <w:jc w:val="center"/>
        <w:rPr>
          <w:rFonts w:eastAsia="Calibri"/>
          <w:b/>
          <w:bCs/>
          <w:i/>
          <w:color w:val="000000"/>
          <w:szCs w:val="24"/>
        </w:rPr>
      </w:pPr>
    </w:p>
    <w:p w:rsidR="00EF1D74" w:rsidRPr="00EF1D74" w:rsidRDefault="00EF1D74" w:rsidP="00EF1D74">
      <w:pPr>
        <w:spacing w:before="120"/>
        <w:ind w:firstLine="0"/>
        <w:jc w:val="center"/>
        <w:rPr>
          <w:rFonts w:eastAsia="Calibri"/>
          <w:b/>
          <w:bCs/>
          <w:i/>
          <w:color w:val="000000"/>
          <w:szCs w:val="24"/>
        </w:rPr>
      </w:pPr>
    </w:p>
    <w:p w:rsidR="00EF1D74" w:rsidRPr="00EF1D74" w:rsidRDefault="00EF1D74" w:rsidP="00EF1D74">
      <w:pPr>
        <w:spacing w:before="120"/>
        <w:ind w:firstLine="0"/>
        <w:jc w:val="center"/>
        <w:rPr>
          <w:rFonts w:eastAsia="Calibri"/>
          <w:b/>
          <w:bCs/>
          <w:i/>
          <w:color w:val="000000"/>
          <w:szCs w:val="24"/>
        </w:rPr>
      </w:pPr>
    </w:p>
    <w:p w:rsidR="00EF1D74" w:rsidRPr="00EF1D74" w:rsidRDefault="00EF1D74" w:rsidP="00EF1D74">
      <w:pPr>
        <w:spacing w:before="120" w:after="0"/>
        <w:ind w:firstLine="0"/>
        <w:jc w:val="center"/>
        <w:rPr>
          <w:rFonts w:eastAsia="Calibri"/>
          <w:b/>
          <w:bCs/>
          <w:i/>
          <w:szCs w:val="24"/>
        </w:rPr>
      </w:pPr>
      <w:r w:rsidRPr="00EF1D74">
        <w:rPr>
          <w:rFonts w:eastAsia="Calibri"/>
          <w:b/>
          <w:bCs/>
          <w:i/>
          <w:color w:val="000000"/>
          <w:szCs w:val="24"/>
        </w:rPr>
        <w:lastRenderedPageBreak/>
        <w:t xml:space="preserve">1.39. attēls </w:t>
      </w:r>
      <w:r w:rsidRPr="00EF1D74">
        <w:rPr>
          <w:rFonts w:eastAsia="Calibri"/>
          <w:b/>
          <w:bCs/>
          <w:szCs w:val="24"/>
        </w:rPr>
        <w:t>Latvijas pakalpojumu eksports faktiskajās cenās pa grupām, devumi (</w:t>
      </w:r>
      <w:proofErr w:type="spellStart"/>
      <w:r w:rsidRPr="00EF1D74">
        <w:rPr>
          <w:rFonts w:eastAsia="Calibri"/>
          <w:b/>
          <w:bCs/>
          <w:szCs w:val="24"/>
        </w:rPr>
        <w:t>pp</w:t>
      </w:r>
      <w:proofErr w:type="spellEnd"/>
      <w:r w:rsidRPr="00EF1D74">
        <w:rPr>
          <w:rFonts w:eastAsia="Calibri"/>
          <w:b/>
          <w:bCs/>
          <w:szCs w:val="24"/>
        </w:rPr>
        <w:t>) un kopējais pieaugums (%)</w:t>
      </w:r>
    </w:p>
    <w:p w:rsidR="00EF1D74" w:rsidRPr="00EF1D74" w:rsidRDefault="00EF1D74" w:rsidP="00EF1D74">
      <w:pPr>
        <w:spacing w:before="120"/>
        <w:ind w:firstLine="0"/>
        <w:jc w:val="center"/>
        <w:rPr>
          <w:rFonts w:eastAsia="Calibri"/>
          <w:szCs w:val="24"/>
        </w:rPr>
      </w:pPr>
      <w:r w:rsidRPr="00EF1D74">
        <w:rPr>
          <w:rFonts w:eastAsia="Calibri"/>
          <w:noProof/>
          <w:szCs w:val="24"/>
          <w:lang w:eastAsia="lv-LV"/>
        </w:rPr>
        <w:drawing>
          <wp:inline distT="0" distB="0" distL="0" distR="0" wp14:anchorId="38DDAAB2" wp14:editId="2AEA4210">
            <wp:extent cx="5274310" cy="3371850"/>
            <wp:effectExtent l="0" t="0" r="25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t xml:space="preserve">Spēcīgākā ietekme vērojama transporta pakalpojumu eksportā, jo tā vērtība š.g. septiņos mēnešos saruka par 34,5% salīdzinājumā ar 2019. gada attiecīgo periodu, tādējādi izskaidrojot vairāk nekā divas trešdaļas no kopējā pakalpojumu eksporta krituma. Transporta pakalpojumu eksports sāka samazināties vēl pērnā gada nogalē, ko negatīvi ietekmēja spēcīgs kritums jūras un dzelzceļa transporta pakalpojumos saistībā ar ogļu un naftas produktu kravu samazināšanos no Krievijas. </w:t>
      </w:r>
    </w:p>
    <w:p w:rsidR="00EF1D74" w:rsidRPr="00EF1D74" w:rsidRDefault="00EF1D74" w:rsidP="00EF1D74">
      <w:pPr>
        <w:spacing w:before="120"/>
        <w:ind w:firstLine="720"/>
        <w:rPr>
          <w:rFonts w:eastAsia="Calibri"/>
          <w:szCs w:val="24"/>
        </w:rPr>
      </w:pPr>
      <w:r w:rsidRPr="00EF1D74">
        <w:rPr>
          <w:rFonts w:eastAsia="Calibri"/>
          <w:szCs w:val="24"/>
        </w:rPr>
        <w:t xml:space="preserve">Jūras un dzelzceļa transporta pakalpojumu eksports turpināja samazināties arī š.g. pirmajā pusgadā (izvērstie dati ir pieejami tikai par pirmajiem sešiem mēnešiem). Š.g. pirmajā pusē jūras un dzelzceļa transporta pakalpojumu eksports ir samazinājies attiecīgi par 35,7% un 50,3% salīdzinājumā ar iepriekšējā gada pirmo pusgadu. Savukārt, no š.g. marta negatīvo ietekmi uz transporta pakalpojumu eksporta attīstību pastiprināja būtisks gaisa transporta pakalpojumu eksporta kritums saistībā ar pandēmiju un izsludināto ārkārtējo stāvoklī gan Latvijā, gan citās pasaules valstīs. </w:t>
      </w:r>
    </w:p>
    <w:p w:rsidR="00EF1D74" w:rsidRPr="00EF1D74" w:rsidRDefault="00EF1D74" w:rsidP="00EF1D74">
      <w:pPr>
        <w:spacing w:before="120"/>
        <w:ind w:firstLine="720"/>
        <w:rPr>
          <w:rFonts w:eastAsia="Calibri"/>
          <w:szCs w:val="24"/>
        </w:rPr>
      </w:pPr>
      <w:r w:rsidRPr="00EF1D74">
        <w:rPr>
          <w:rFonts w:eastAsia="Calibri"/>
          <w:szCs w:val="24"/>
        </w:rPr>
        <w:t xml:space="preserve">Tūrisma nozare ir visvairāk cietusī nozare visā pasaulē pandēmijas dēļ. Būtiski samazinoties iebraucošo tūristu skaitam, pieprasījums pēc gaisa transporta pakalpojumiem saruka. Tā, Latvijas gaisa transporta pakalpojumu eksporta vērtība š.g. otrajā ceturksnī – periodā, kad valstī bija izsludināts ārkārtējas stāvoklis, bija vien 6 milj. </w:t>
      </w:r>
      <w:proofErr w:type="spellStart"/>
      <w:r w:rsidRPr="00EF1D74">
        <w:rPr>
          <w:rFonts w:eastAsia="Calibri"/>
          <w:i/>
          <w:szCs w:val="24"/>
        </w:rPr>
        <w:t>euro</w:t>
      </w:r>
      <w:proofErr w:type="spellEnd"/>
      <w:r w:rsidRPr="00EF1D74">
        <w:rPr>
          <w:rFonts w:eastAsia="Calibri"/>
          <w:szCs w:val="24"/>
        </w:rPr>
        <w:t xml:space="preserve"> pretstatā 162 milj. </w:t>
      </w:r>
      <w:proofErr w:type="spellStart"/>
      <w:r w:rsidRPr="00EF1D74">
        <w:rPr>
          <w:rFonts w:eastAsia="Calibri"/>
          <w:i/>
          <w:szCs w:val="24"/>
        </w:rPr>
        <w:t>euro</w:t>
      </w:r>
      <w:proofErr w:type="spellEnd"/>
      <w:r w:rsidRPr="00EF1D74">
        <w:rPr>
          <w:rFonts w:eastAsia="Calibri"/>
          <w:i/>
          <w:szCs w:val="24"/>
        </w:rPr>
        <w:t xml:space="preserve"> </w:t>
      </w:r>
      <w:r w:rsidRPr="00EF1D74">
        <w:rPr>
          <w:rFonts w:eastAsia="Calibri"/>
          <w:szCs w:val="24"/>
        </w:rPr>
        <w:t>2019. gada otrajā ceturksnī, kas ir 96,3% kritums. Š.g. pirmajā pusgadā kopumā gaisa transporta pakalpojumu eksporta vērtības kritums ir mazāks nekā gada otrajā ceturksni, bet joprojām ir būtisks – 69,9%.</w:t>
      </w:r>
    </w:p>
    <w:p w:rsidR="00EF1D74" w:rsidRPr="00EF1D74" w:rsidRDefault="00EF1D74" w:rsidP="00EF1D74">
      <w:pPr>
        <w:spacing w:before="120"/>
        <w:ind w:firstLine="720"/>
        <w:rPr>
          <w:rFonts w:eastAsia="Calibri"/>
          <w:szCs w:val="24"/>
        </w:rPr>
      </w:pPr>
      <w:r w:rsidRPr="00EF1D74">
        <w:rPr>
          <w:rFonts w:eastAsia="Calibri"/>
          <w:szCs w:val="24"/>
        </w:rPr>
        <w:t xml:space="preserve">Analizējot aktuālākus datus par Rīgas lidostas darbību š.g. jūlijā un augustā, jāsecina, ka pasažieru plūsmas kritums vasaras nogalē bija mazāks nekā laikā no š.g. marta līdz jūnijam, tomēr kritums ir saglabājies augsts. Š.g. jūlijā un augustā Rīgas lidosta apkalpoja attiecīgi par 77,6% un 77,0% mazāk pasažieru nekā pērn attiecīgajā periodā, kamēr ārkārtējā stāvokļa lakā kritums bija tuvu 100%. Svarīgi atzīmēt arī to, ka apkalpoto lidmašīnu skaits pēc ārkārtas situācijas atcelšanas atjaunojās ātrāk nekā apkalpoto pasažieru skaits, liecinot par ārvalstu tūristu piesardzīgumu. Kopumā jāsecina, ka gaisa satiksmes un citu ar tūrisma saistīto nozaru </w:t>
      </w:r>
      <w:r w:rsidRPr="00EF1D74">
        <w:rPr>
          <w:rFonts w:eastAsia="Calibri"/>
          <w:szCs w:val="24"/>
        </w:rPr>
        <w:lastRenderedPageBreak/>
        <w:t xml:space="preserve">apjomi atjaunosies tikai tad, kad būs atrasts efektīvs līdzeklis </w:t>
      </w:r>
      <w:proofErr w:type="spellStart"/>
      <w:r w:rsidRPr="00EF1D74">
        <w:rPr>
          <w:rFonts w:eastAsia="Calibri"/>
          <w:szCs w:val="24"/>
        </w:rPr>
        <w:t>koronovīrusa</w:t>
      </w:r>
      <w:proofErr w:type="spellEnd"/>
      <w:r w:rsidRPr="00EF1D74">
        <w:rPr>
          <w:rFonts w:eastAsia="Calibri"/>
          <w:szCs w:val="24"/>
        </w:rPr>
        <w:t xml:space="preserve"> izplatības novēršanai. </w:t>
      </w:r>
    </w:p>
    <w:p w:rsidR="00EF1D74" w:rsidRPr="00EF1D74" w:rsidRDefault="00EF1D74" w:rsidP="00EF1D74">
      <w:pPr>
        <w:spacing w:before="120"/>
        <w:ind w:firstLine="720"/>
        <w:rPr>
          <w:rFonts w:eastAsia="Calibri"/>
          <w:szCs w:val="24"/>
        </w:rPr>
      </w:pPr>
      <w:r w:rsidRPr="00EF1D74">
        <w:rPr>
          <w:rFonts w:eastAsia="Calibri"/>
          <w:szCs w:val="24"/>
        </w:rPr>
        <w:t xml:space="preserve">Autotransporta pakalpojumu eksports cieta vismazāk pandēmijas dēļ, š.g. pirmajā pusē samazinoties par 4,9%. Mazāks autotransporta eksporta kritums salīdzinājumā ar pārējiem transporta pakalpojumu veidiem varētu būt saistīts ar to, ka kravu pārvadājumiem nebija ieviesti tik strikti ierobežojumi kā pasažieru pārvadājumiem. </w:t>
      </w:r>
    </w:p>
    <w:p w:rsidR="00EF1D74" w:rsidRPr="00EF1D74" w:rsidRDefault="00EF1D74" w:rsidP="00EF1D74">
      <w:pPr>
        <w:spacing w:before="120"/>
        <w:ind w:firstLine="720"/>
        <w:rPr>
          <w:rFonts w:eastAsia="Calibri"/>
          <w:szCs w:val="24"/>
        </w:rPr>
      </w:pPr>
      <w:r w:rsidRPr="00EF1D74">
        <w:rPr>
          <w:rFonts w:eastAsia="Calibri"/>
          <w:szCs w:val="24"/>
        </w:rPr>
        <w:t>Robežu slēgšana, karantīnas ieviešana un cilvēku pulcēšanās ierobežojumi būtiski ietekmēja iebraukušo ārvalstu tūristu skaitu Latvijā. Kopš marta ārvalstu tūristu skaits Latvijā ir samazinājies vairāk nekā par 80%. Tādējādi ārvalstu tūristu izdevumi š.g. septiņos mēnešos samazinājās par 44,0% salīdzinājumā ar pērnā gada attiecīgo periodu. Tikmēr ārvalstu tūristu izdevumu kritums laikā periodā no aprīļa līdz jūlijam bija 68,4% salīdzinājumā ar 2019. gada attiecīgo periodu.</w:t>
      </w:r>
    </w:p>
    <w:p w:rsidR="00EF1D74" w:rsidRPr="00EF1D74" w:rsidRDefault="00EF1D74" w:rsidP="00EF1D74">
      <w:pPr>
        <w:spacing w:before="120"/>
        <w:ind w:firstLine="567"/>
        <w:rPr>
          <w:rFonts w:eastAsia="Calibri"/>
          <w:szCs w:val="24"/>
        </w:rPr>
      </w:pPr>
      <w:r w:rsidRPr="00EF1D74">
        <w:rPr>
          <w:rFonts w:eastAsia="Calibri"/>
          <w:szCs w:val="24"/>
        </w:rPr>
        <w:t xml:space="preserve">Neskatoties uz kopējo ekonomikas sentimenta pasliktināšanos un ārējā pieprasījuma kritumu, pārējo pakalpojumu eksports pirmajos septiņos mēnešos pat nedaudz palielinājās, kopumā par 2,3%, ko veicināja būvniecības, kā arī informācijas un </w:t>
      </w:r>
      <w:proofErr w:type="spellStart"/>
      <w:r w:rsidRPr="00EF1D74">
        <w:rPr>
          <w:rFonts w:eastAsia="Calibri"/>
          <w:szCs w:val="24"/>
        </w:rPr>
        <w:t>datorpakalpojumu</w:t>
      </w:r>
      <w:proofErr w:type="spellEnd"/>
      <w:r w:rsidRPr="00EF1D74">
        <w:rPr>
          <w:rFonts w:eastAsia="Calibri"/>
          <w:szCs w:val="24"/>
        </w:rPr>
        <w:t xml:space="preserve"> eksporta pieaugums. Tomēr tas ir būtiski vājāks pieaugums nekā vidēji 2019. gadā, kad pārējo pakalpojumu eksports palielinājās par 10,2%.</w:t>
      </w:r>
    </w:p>
    <w:p w:rsidR="00EF1D74" w:rsidRPr="00EF1D74" w:rsidRDefault="00EF1D74" w:rsidP="00EF1D74">
      <w:pPr>
        <w:spacing w:before="120"/>
        <w:ind w:firstLine="567"/>
        <w:rPr>
          <w:rFonts w:eastAsia="Calibri"/>
          <w:szCs w:val="24"/>
        </w:rPr>
      </w:pPr>
      <w:r w:rsidRPr="00EF1D74">
        <w:rPr>
          <w:rFonts w:eastAsia="Calibri"/>
          <w:szCs w:val="24"/>
        </w:rPr>
        <w:t xml:space="preserve">Tāpat kā eksporta, arī </w:t>
      </w:r>
      <w:r w:rsidRPr="00EF1D74">
        <w:rPr>
          <w:rFonts w:eastAsia="Calibri"/>
          <w:b/>
          <w:szCs w:val="24"/>
        </w:rPr>
        <w:t>preču un pakalpojumu importa</w:t>
      </w:r>
      <w:r w:rsidRPr="00EF1D74">
        <w:rPr>
          <w:rFonts w:eastAsia="Calibri"/>
          <w:szCs w:val="24"/>
        </w:rPr>
        <w:t xml:space="preserve"> izaugsme 2019. gadā ir bremzējusies. Palēninoties Latvijas ekonomikas izaugsmei, mazinājās arī pieprasījums pēc importa precēm, galvenokārt starppatēriņa precēm, kas tiek izmantotas ražošanas procesā. Kopējā preču un pakalpojumu importa vērtība salīdzināmās cenās 2019. gadā pieauga par 3,0%, kas ir nedaudz straujāk nekā eksporta kāpums, tādējādi neto eksporta devums reālā IKP pieaugumā pērn bija negatīvs, proti, -0,7 procentpunkti.</w:t>
      </w:r>
    </w:p>
    <w:p w:rsidR="00EF1D74" w:rsidRPr="00EF1D74" w:rsidRDefault="00EF1D74" w:rsidP="00EF1D74">
      <w:pPr>
        <w:spacing w:before="120"/>
        <w:ind w:firstLine="720"/>
        <w:rPr>
          <w:rFonts w:eastAsia="Calibri"/>
          <w:szCs w:val="24"/>
        </w:rPr>
      </w:pPr>
      <w:r w:rsidRPr="00EF1D74">
        <w:rPr>
          <w:rFonts w:eastAsia="Calibri"/>
          <w:szCs w:val="24"/>
        </w:rPr>
        <w:t xml:space="preserve">Bremzējoties Latvijas iekšējam patēriņam un samazinoties reeksporta apjomiem, Covid-19 pandēmijas ietekme uz preču un pakalpojumu importu ir lielāka nekā uz eksportu. Š.g. pirmajā pusgadā kopējais imports salīdzināmās cenās bija par 6,3% zemāks nekā 2019. gada pirmajā pusē. Savukārt, preču un pakalpojumu eksports attiecīgajā periodā ir samazinājies par 5,3%. Ņemot vērā, ka importa samazinājums bija straujāks par eksporta kritumu, būtiski saruka Latvijas preču un pakalpojumu ārējās tirdzniecības deficīts, no 595 milj. </w:t>
      </w:r>
      <w:proofErr w:type="spellStart"/>
      <w:r w:rsidRPr="00EF1D74">
        <w:rPr>
          <w:rFonts w:eastAsia="Calibri"/>
          <w:i/>
          <w:szCs w:val="24"/>
        </w:rPr>
        <w:t>euro</w:t>
      </w:r>
      <w:proofErr w:type="spellEnd"/>
      <w:r w:rsidRPr="00EF1D74">
        <w:rPr>
          <w:rFonts w:eastAsia="Calibri"/>
          <w:szCs w:val="24"/>
        </w:rPr>
        <w:t xml:space="preserve"> 2019. gada pirmajā pusgadā līdz 473 milj. </w:t>
      </w:r>
      <w:proofErr w:type="spellStart"/>
      <w:r w:rsidRPr="00EF1D74">
        <w:rPr>
          <w:rFonts w:eastAsia="Calibri"/>
          <w:i/>
          <w:szCs w:val="24"/>
        </w:rPr>
        <w:t>euro</w:t>
      </w:r>
      <w:proofErr w:type="spellEnd"/>
      <w:r w:rsidRPr="00EF1D74">
        <w:rPr>
          <w:rFonts w:eastAsia="Calibri"/>
          <w:szCs w:val="24"/>
        </w:rPr>
        <w:t xml:space="preserve"> š.g. pirmajā pusē. </w:t>
      </w:r>
    </w:p>
    <w:p w:rsidR="00EF1D74" w:rsidRPr="00EF1D74" w:rsidRDefault="00EF1D74" w:rsidP="00EF1D74">
      <w:pPr>
        <w:spacing w:before="120"/>
        <w:ind w:firstLine="720"/>
        <w:rPr>
          <w:rFonts w:eastAsia="Calibri"/>
          <w:szCs w:val="24"/>
        </w:rPr>
      </w:pPr>
      <w:r w:rsidRPr="00EF1D74">
        <w:rPr>
          <w:rFonts w:eastAsia="Calibri"/>
          <w:szCs w:val="24"/>
        </w:rPr>
        <w:t xml:space="preserve">Lielāko daļu jeb 85% no kopējā preču un pakalpojumu importa veidoja tieši preču imports, tādējādi importa kritumu š.g. pirmajā pusē lielā mērā ietekmēja preču importa samazinājums. Nacionālo kontu dati rāda, ka lielākais preču importa kritums ir fiksēts </w:t>
      </w:r>
      <w:proofErr w:type="spellStart"/>
      <w:r w:rsidRPr="00EF1D74">
        <w:rPr>
          <w:rFonts w:eastAsia="Calibri"/>
          <w:szCs w:val="24"/>
        </w:rPr>
        <w:t>kapitālprecēm</w:t>
      </w:r>
      <w:proofErr w:type="spellEnd"/>
      <w:r w:rsidRPr="00EF1D74">
        <w:rPr>
          <w:rFonts w:eastAsia="Calibri"/>
          <w:szCs w:val="24"/>
        </w:rPr>
        <w:t xml:space="preserve"> un starppatēriņa precēm - attiecīgi par 34,1% un 13,4%. Šo preču imports raksturo tautsaimniecības ekonomisko aktivitāti, jo starppatēriņa preces tiek izmantotas apstrādes rūpniecībā, bet </w:t>
      </w:r>
      <w:proofErr w:type="spellStart"/>
      <w:r w:rsidRPr="00EF1D74">
        <w:rPr>
          <w:rFonts w:eastAsia="Calibri"/>
          <w:szCs w:val="24"/>
        </w:rPr>
        <w:t>kapitālpreču</w:t>
      </w:r>
      <w:proofErr w:type="spellEnd"/>
      <w:r w:rsidRPr="00EF1D74">
        <w:rPr>
          <w:rFonts w:eastAsia="Calibri"/>
          <w:szCs w:val="24"/>
        </w:rPr>
        <w:t xml:space="preserve"> imports atspoguļo investīciju apjomu. Kopumā Latvijas nominālais IKP 2020. gadā pirmajā pusē bija 5,2% zemāks nekā pērnā gadā attiecīgajā periodā. </w:t>
      </w:r>
    </w:p>
    <w:p w:rsidR="00EF1D74" w:rsidRPr="00EF1D74" w:rsidRDefault="00EF1D74" w:rsidP="00EF1D74">
      <w:pPr>
        <w:spacing w:before="120"/>
        <w:ind w:firstLine="720"/>
        <w:rPr>
          <w:rFonts w:eastAsia="Calibri"/>
          <w:szCs w:val="24"/>
        </w:rPr>
      </w:pPr>
      <w:r w:rsidRPr="00EF1D74">
        <w:rPr>
          <w:rFonts w:eastAsia="Calibri"/>
          <w:szCs w:val="24"/>
        </w:rPr>
        <w:t xml:space="preserve">Preču importa vērtība š.g. septiņos mēnešos samazinājās par 10,7% salīdzinājumā ar pērnā gada attiecīgo periodu. Zīmīgi, ka lielākie importa kritumi ir fiksēti tām pašām preču grupām kā eksportā, izņemot koksnes un koka izstrādājumu preču grupu. Lielāko negatīvo devumu preču importa kritumā noteica satiksmes līdzekļu samazinājums par 48,8%, ko noteica automobiļu un gaisa kuģu importa samazinājums attiecīgi par 29,2% un 93,1%, tādējādi izskaidrojot gandrīz divas trešdaļas no kopējā preču importa krituma. </w:t>
      </w:r>
    </w:p>
    <w:p w:rsidR="00EF1D74" w:rsidRPr="00EF1D74" w:rsidRDefault="00EF1D74" w:rsidP="00EF1D74">
      <w:pPr>
        <w:spacing w:before="120"/>
        <w:ind w:firstLine="720"/>
        <w:rPr>
          <w:rFonts w:eastAsia="Calibri"/>
          <w:szCs w:val="24"/>
        </w:rPr>
      </w:pPr>
      <w:r w:rsidRPr="00EF1D74">
        <w:rPr>
          <w:rFonts w:eastAsia="Calibri"/>
          <w:szCs w:val="24"/>
        </w:rPr>
        <w:t xml:space="preserve">Būtisks importa kritums fiksēts arī </w:t>
      </w:r>
      <w:proofErr w:type="spellStart"/>
      <w:r w:rsidRPr="00EF1D74">
        <w:rPr>
          <w:rFonts w:eastAsia="Calibri"/>
          <w:szCs w:val="24"/>
        </w:rPr>
        <w:t>minerālproduktiem</w:t>
      </w:r>
      <w:proofErr w:type="spellEnd"/>
      <w:r w:rsidRPr="00EF1D74">
        <w:rPr>
          <w:rFonts w:eastAsia="Calibri"/>
          <w:szCs w:val="24"/>
        </w:rPr>
        <w:t xml:space="preserve">, kopumā par 35,3%. Šajā preču grupā importa samazinājumu noteica elektroenerģijas un naftas produktu importa samazinājums no Baltijas valstīm un Krievijas. </w:t>
      </w:r>
    </w:p>
    <w:p w:rsidR="00EF1D74" w:rsidRPr="00EF1D74" w:rsidRDefault="00EF1D74" w:rsidP="00EF1D74">
      <w:pPr>
        <w:spacing w:before="120"/>
        <w:ind w:firstLine="720"/>
        <w:rPr>
          <w:rFonts w:eastAsia="Calibri"/>
          <w:szCs w:val="24"/>
        </w:rPr>
      </w:pPr>
      <w:r w:rsidRPr="00EF1D74">
        <w:rPr>
          <w:rFonts w:eastAsia="Calibri"/>
          <w:szCs w:val="24"/>
        </w:rPr>
        <w:lastRenderedPageBreak/>
        <w:t xml:space="preserve">Pārējās preču grupās importa kritums ir daudz mazāks. Tā, metālu un to izstrādājumu imports ir samazinājies par 7,1%, ko noteica dzelzs un neleģētā tērauda importa samazinājums no Krievijas, kā arī alumīnija importa samazinājums no vairākām ES dalībvalstīm. Būvmateriālu importa vērtība samazinājās par 10,8% salīdzinājumā ar pērnā gada pirmajiem septiņiem mēnešiem, ko noteica ģipša, cementa, akmens un stikla importa samazinājums. Metālu un būvniecības izstrādājumu importa samazinājums fiksēts sākot no š.g. aprīļa, kamēr gada pirmajā ceturksnī kopumā būvniecības preču imports bija vēl augošs, bet metālu imports bija pērnā gada līmenī. Šo preču importa tendence norāda uz to, ka būvniecības aktivitāte Latvijā sākot no š.g. aprīļa ir mazinājusies. Tā, būvniecības produkcijas apjoms š.g. otrajā ceturksnī gada griezumā samazinājās par 0,6%. Tajā pašā laikā metālu un būvniecības materiālu importa samazinājumu š.g. otrajā ceturksnī varēja izraisīt šo preču piegādes traucējumi saistībā ar karantīnas ieviešanu un ražošanas jaudas samazināšanos tirdzniecības partnervalstīs. </w:t>
      </w:r>
    </w:p>
    <w:p w:rsidR="00EF1D74" w:rsidRPr="00EF1D74" w:rsidRDefault="00EF1D74" w:rsidP="00EF1D74">
      <w:pPr>
        <w:spacing w:before="120"/>
        <w:ind w:firstLine="720"/>
        <w:rPr>
          <w:rFonts w:eastAsia="Calibri"/>
          <w:szCs w:val="24"/>
        </w:rPr>
      </w:pPr>
      <w:r w:rsidRPr="00EF1D74">
        <w:rPr>
          <w:rFonts w:eastAsia="Calibri"/>
          <w:szCs w:val="24"/>
        </w:rPr>
        <w:t>Preču importa kritumu nedaudz mazināja lauksaimniecības un pārtikas preču importa pieaugums par 1,3% salīdzinājumā ar pērnā gada pirmajiem septiņiem mēnešiem. Šo preču importa grupas pieaugumu veicināja tabakas izstrādājumu, augļu, eļļu, kafijas un tējas importa palielinājums</w:t>
      </w:r>
      <w:r w:rsidRPr="00EF1D74">
        <w:rPr>
          <w:rFonts w:eastAsia="Calibri"/>
          <w:color w:val="000000"/>
          <w:szCs w:val="24"/>
        </w:rPr>
        <w:t xml:space="preserve">. </w:t>
      </w:r>
      <w:r w:rsidRPr="00EF1D74">
        <w:rPr>
          <w:color w:val="000000"/>
          <w:szCs w:val="24"/>
        </w:rPr>
        <w:t>Detalizēta informācija par importa vērtību un izmaiņām preču grupu griezumā ir atspoguļota tabulā 1.4.</w:t>
      </w:r>
    </w:p>
    <w:p w:rsidR="00EF1D74" w:rsidRPr="00EF1D74" w:rsidRDefault="00EF1D74" w:rsidP="00EF1D74">
      <w:pPr>
        <w:spacing w:before="120"/>
        <w:ind w:firstLine="0"/>
        <w:jc w:val="center"/>
        <w:rPr>
          <w:rFonts w:eastAsia="Calibri"/>
          <w:szCs w:val="24"/>
        </w:rPr>
      </w:pPr>
      <w:r w:rsidRPr="00EF1D74">
        <w:rPr>
          <w:rFonts w:eastAsia="Calibri"/>
          <w:b/>
          <w:i/>
          <w:szCs w:val="24"/>
        </w:rPr>
        <w:t xml:space="preserve">1.4. tabula </w:t>
      </w:r>
      <w:r w:rsidRPr="00EF1D74">
        <w:rPr>
          <w:rFonts w:eastAsia="Calibri"/>
          <w:b/>
          <w:szCs w:val="24"/>
        </w:rPr>
        <w:t>Preču importa vērtība septiņos mēnešos 2019. gadā un 2020. gadā, tas izmaiņas un preču grupu īpatsvars 2020.gada septiņos mēnešos</w:t>
      </w:r>
    </w:p>
    <w:tbl>
      <w:tblPr>
        <w:tblW w:w="8359" w:type="dxa"/>
        <w:jc w:val="center"/>
        <w:tblLook w:val="04A0" w:firstRow="1" w:lastRow="0" w:firstColumn="1" w:lastColumn="0" w:noHBand="0" w:noVBand="1"/>
      </w:tblPr>
      <w:tblGrid>
        <w:gridCol w:w="2689"/>
        <w:gridCol w:w="1275"/>
        <w:gridCol w:w="1276"/>
        <w:gridCol w:w="1134"/>
        <w:gridCol w:w="1134"/>
        <w:gridCol w:w="962"/>
      </w:tblGrid>
      <w:tr w:rsidR="00EF1D74" w:rsidRPr="00EF1D74" w:rsidTr="0057436F">
        <w:trPr>
          <w:trHeight w:val="315"/>
          <w:jc w:val="center"/>
        </w:trPr>
        <w:tc>
          <w:tcPr>
            <w:tcW w:w="2689"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Preču grupa</w:t>
            </w:r>
          </w:p>
        </w:tc>
        <w:tc>
          <w:tcPr>
            <w:tcW w:w="1275" w:type="dxa"/>
            <w:tcBorders>
              <w:top w:val="single" w:sz="4" w:space="0" w:color="auto"/>
              <w:left w:val="nil"/>
              <w:bottom w:val="single" w:sz="4" w:space="0" w:color="auto"/>
              <w:right w:val="single" w:sz="4" w:space="0" w:color="auto"/>
            </w:tcBorders>
            <w:shd w:val="clear" w:color="auto" w:fill="BDD6EE"/>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 xml:space="preserve">I-VII 2019 milj. </w:t>
            </w:r>
            <w:proofErr w:type="spellStart"/>
            <w:r w:rsidRPr="00EF1D74">
              <w:rPr>
                <w:b/>
                <w:i/>
                <w:color w:val="000000"/>
                <w:sz w:val="18"/>
                <w:szCs w:val="18"/>
                <w:lang w:eastAsia="lv-LV"/>
              </w:rPr>
              <w:t>euro</w:t>
            </w:r>
            <w:proofErr w:type="spellEnd"/>
          </w:p>
        </w:tc>
        <w:tc>
          <w:tcPr>
            <w:tcW w:w="1276" w:type="dxa"/>
            <w:tcBorders>
              <w:top w:val="single" w:sz="4" w:space="0" w:color="auto"/>
              <w:left w:val="nil"/>
              <w:bottom w:val="single" w:sz="4" w:space="0" w:color="auto"/>
              <w:right w:val="single" w:sz="4" w:space="0" w:color="auto"/>
            </w:tcBorders>
            <w:shd w:val="clear" w:color="auto" w:fill="BDD6EE"/>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 xml:space="preserve">I-VII 2020 milj. </w:t>
            </w:r>
            <w:proofErr w:type="spellStart"/>
            <w:r w:rsidRPr="00EF1D74">
              <w:rPr>
                <w:b/>
                <w:i/>
                <w:color w:val="000000"/>
                <w:sz w:val="18"/>
                <w:szCs w:val="18"/>
                <w:lang w:eastAsia="lv-LV"/>
              </w:rPr>
              <w:t>euro</w:t>
            </w:r>
            <w:proofErr w:type="spellEnd"/>
          </w:p>
        </w:tc>
        <w:tc>
          <w:tcPr>
            <w:tcW w:w="1134" w:type="dxa"/>
            <w:tcBorders>
              <w:top w:val="single" w:sz="4" w:space="0" w:color="auto"/>
              <w:left w:val="nil"/>
              <w:bottom w:val="single" w:sz="4" w:space="0" w:color="auto"/>
              <w:right w:val="single" w:sz="4" w:space="0" w:color="auto"/>
            </w:tcBorders>
            <w:shd w:val="clear" w:color="auto" w:fill="BDD6EE"/>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Preču grupu īpatsvars, %</w:t>
            </w:r>
          </w:p>
        </w:tc>
        <w:tc>
          <w:tcPr>
            <w:tcW w:w="1134" w:type="dxa"/>
            <w:tcBorders>
              <w:top w:val="single" w:sz="4" w:space="0" w:color="auto"/>
              <w:left w:val="nil"/>
              <w:bottom w:val="single" w:sz="4" w:space="0" w:color="auto"/>
              <w:right w:val="single" w:sz="4" w:space="0" w:color="auto"/>
            </w:tcBorders>
            <w:shd w:val="clear" w:color="auto" w:fill="BDD6EE"/>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 xml:space="preserve">Izmaiņas, milj. </w:t>
            </w:r>
            <w:proofErr w:type="spellStart"/>
            <w:r w:rsidRPr="00EF1D74">
              <w:rPr>
                <w:b/>
                <w:i/>
                <w:color w:val="000000"/>
                <w:sz w:val="18"/>
                <w:szCs w:val="18"/>
                <w:lang w:eastAsia="lv-LV"/>
              </w:rPr>
              <w:t>euro</w:t>
            </w:r>
            <w:proofErr w:type="spellEnd"/>
          </w:p>
        </w:tc>
        <w:tc>
          <w:tcPr>
            <w:tcW w:w="851" w:type="dxa"/>
            <w:tcBorders>
              <w:top w:val="single" w:sz="4" w:space="0" w:color="auto"/>
              <w:left w:val="nil"/>
              <w:bottom w:val="single" w:sz="4" w:space="0" w:color="auto"/>
              <w:right w:val="single" w:sz="4" w:space="0" w:color="auto"/>
            </w:tcBorders>
            <w:shd w:val="clear" w:color="auto" w:fill="BDD6EE"/>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Izmaiņas, %</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Mehānismi un ierīces, t.sk. elektroierīces</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1814</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1824</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22.2%</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10</w:t>
            </w:r>
          </w:p>
        </w:tc>
        <w:tc>
          <w:tcPr>
            <w:tcW w:w="851"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0.5%</w:t>
            </w:r>
          </w:p>
        </w:tc>
      </w:tr>
      <w:tr w:rsidR="00EF1D74" w:rsidRPr="00EF1D74" w:rsidTr="0057436F">
        <w:trPr>
          <w:trHeight w:val="735"/>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Lauksaimniecības preces un pārtika</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1506</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1526</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18.6%</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19</w:t>
            </w:r>
          </w:p>
        </w:tc>
        <w:tc>
          <w:tcPr>
            <w:tcW w:w="851"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1.3%</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Ķīmiskās rūpniecības ražojumi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946</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954</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11.6%</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9</w:t>
            </w:r>
          </w:p>
        </w:tc>
        <w:tc>
          <w:tcPr>
            <w:tcW w:w="851"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0.9%</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Metāli un to izstrādājumi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753</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699</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8.5%</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-53</w:t>
            </w:r>
          </w:p>
        </w:tc>
        <w:tc>
          <w:tcPr>
            <w:tcW w:w="851"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-7.1%</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 xml:space="preserve">Satiksmes līdzekļi </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1223</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626</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7.6%</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-597</w:t>
            </w:r>
          </w:p>
        </w:tc>
        <w:tc>
          <w:tcPr>
            <w:tcW w:w="851"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-48.8%</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color w:val="000000"/>
                <w:sz w:val="18"/>
                <w:szCs w:val="18"/>
                <w:lang w:eastAsia="lv-LV"/>
              </w:rPr>
            </w:pPr>
            <w:proofErr w:type="spellStart"/>
            <w:r w:rsidRPr="00EF1D74">
              <w:rPr>
                <w:color w:val="000000"/>
                <w:sz w:val="18"/>
                <w:szCs w:val="18"/>
                <w:lang w:eastAsia="lv-LV"/>
              </w:rPr>
              <w:t>Minerālprodukti</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845</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547</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6.7%</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-298</w:t>
            </w:r>
          </w:p>
        </w:tc>
        <w:tc>
          <w:tcPr>
            <w:tcW w:w="851" w:type="dxa"/>
            <w:tcBorders>
              <w:top w:val="nil"/>
              <w:left w:val="nil"/>
              <w:bottom w:val="single" w:sz="4" w:space="0" w:color="auto"/>
              <w:right w:val="single" w:sz="4" w:space="0" w:color="auto"/>
            </w:tcBorders>
            <w:shd w:val="clear" w:color="auto" w:fill="auto"/>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-35.3%</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Plastmasas, kaučuks un to izstrādājumi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502</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492</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6.0%</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-10</w:t>
            </w:r>
          </w:p>
        </w:tc>
        <w:tc>
          <w:tcPr>
            <w:tcW w:w="851"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-2.0%</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Tekstilmateriāli un tekstilizstrādājumi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310</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326</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4.0%</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16</w:t>
            </w:r>
          </w:p>
        </w:tc>
        <w:tc>
          <w:tcPr>
            <w:tcW w:w="851"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5.2%</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Koks un koka izstrādājumi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342</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315</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3.8%</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-27</w:t>
            </w:r>
          </w:p>
        </w:tc>
        <w:tc>
          <w:tcPr>
            <w:tcW w:w="851"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-7.8%</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Papīrs, kartons un poligrāfijas izstrādājumi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180</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175</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2.1%</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-5</w:t>
            </w:r>
          </w:p>
        </w:tc>
        <w:tc>
          <w:tcPr>
            <w:tcW w:w="851"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-2.6%</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Būvniecības izstrādājumi</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164</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147</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1.8%</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-18</w:t>
            </w:r>
          </w:p>
        </w:tc>
        <w:tc>
          <w:tcPr>
            <w:tcW w:w="851"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-10.8%</w:t>
            </w:r>
          </w:p>
        </w:tc>
      </w:tr>
      <w:tr w:rsidR="00EF1D74" w:rsidRPr="00EF1D74" w:rsidTr="0057436F">
        <w:trPr>
          <w:trHeight w:val="315"/>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color w:val="000000"/>
                <w:sz w:val="18"/>
                <w:szCs w:val="18"/>
                <w:lang w:eastAsia="lv-LV"/>
              </w:rPr>
            </w:pPr>
            <w:r w:rsidRPr="00EF1D74">
              <w:rPr>
                <w:color w:val="000000"/>
                <w:sz w:val="18"/>
                <w:szCs w:val="18"/>
                <w:lang w:eastAsia="lv-LV"/>
              </w:rPr>
              <w:t xml:space="preserve">Pārējās preces </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603</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569</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6.9%</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-33</w:t>
            </w:r>
          </w:p>
        </w:tc>
        <w:tc>
          <w:tcPr>
            <w:tcW w:w="851"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color w:val="000000"/>
                <w:sz w:val="18"/>
                <w:szCs w:val="18"/>
                <w:lang w:eastAsia="lv-LV"/>
              </w:rPr>
            </w:pPr>
            <w:r w:rsidRPr="00EF1D74">
              <w:rPr>
                <w:color w:val="000000"/>
                <w:sz w:val="18"/>
                <w:szCs w:val="18"/>
                <w:lang w:eastAsia="lv-LV"/>
              </w:rPr>
              <w:t>-5.5%</w:t>
            </w:r>
          </w:p>
        </w:tc>
      </w:tr>
      <w:tr w:rsidR="00EF1D74" w:rsidRPr="00EF1D74" w:rsidTr="0057436F">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b/>
                <w:color w:val="000000"/>
                <w:sz w:val="18"/>
                <w:szCs w:val="18"/>
                <w:lang w:eastAsia="lv-LV"/>
              </w:rPr>
            </w:pPr>
            <w:r w:rsidRPr="00EF1D74">
              <w:rPr>
                <w:b/>
                <w:color w:val="000000"/>
                <w:sz w:val="18"/>
                <w:szCs w:val="18"/>
                <w:lang w:eastAsia="lv-LV"/>
              </w:rPr>
              <w:t>Kopējais preču imports</w:t>
            </w:r>
          </w:p>
        </w:tc>
        <w:tc>
          <w:tcPr>
            <w:tcW w:w="1275"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9188</w:t>
            </w:r>
          </w:p>
        </w:tc>
        <w:tc>
          <w:tcPr>
            <w:tcW w:w="1276"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8201</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-987</w:t>
            </w:r>
          </w:p>
        </w:tc>
        <w:tc>
          <w:tcPr>
            <w:tcW w:w="851" w:type="dxa"/>
            <w:tcBorders>
              <w:top w:val="nil"/>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b/>
                <w:color w:val="000000"/>
                <w:sz w:val="18"/>
                <w:szCs w:val="18"/>
                <w:lang w:eastAsia="lv-LV"/>
              </w:rPr>
            </w:pPr>
            <w:r w:rsidRPr="00EF1D74">
              <w:rPr>
                <w:b/>
                <w:color w:val="000000"/>
                <w:sz w:val="18"/>
                <w:szCs w:val="18"/>
                <w:lang w:eastAsia="lv-LV"/>
              </w:rPr>
              <w:t>-10.7%</w:t>
            </w:r>
          </w:p>
        </w:tc>
      </w:tr>
    </w:tbl>
    <w:p w:rsidR="00EF1D74" w:rsidRPr="00EF1D74" w:rsidRDefault="00EF1D74" w:rsidP="00EF1D74">
      <w:pPr>
        <w:spacing w:before="120"/>
        <w:ind w:firstLine="720"/>
        <w:rPr>
          <w:rFonts w:eastAsia="Calibri"/>
          <w:szCs w:val="24"/>
        </w:rPr>
      </w:pPr>
      <w:r w:rsidRPr="00EF1D74">
        <w:rPr>
          <w:rFonts w:eastAsia="Calibri"/>
          <w:szCs w:val="24"/>
        </w:rPr>
        <w:t xml:space="preserve">Nozīmīga pandēmijas negatīvā ietekme redzama arī </w:t>
      </w:r>
      <w:r w:rsidRPr="00EF1D74">
        <w:rPr>
          <w:rFonts w:eastAsia="Calibri"/>
          <w:b/>
          <w:szCs w:val="24"/>
        </w:rPr>
        <w:t>pakalpojumu importā</w:t>
      </w:r>
      <w:r w:rsidRPr="00EF1D74">
        <w:rPr>
          <w:rFonts w:eastAsia="Calibri"/>
          <w:szCs w:val="24"/>
        </w:rPr>
        <w:t>, jo pakalpojumu importa vērtība š.g. septiņos mēnešos samazinājās par 19,3% salīdzinājumā ar pērnā gada attiecīgo periodu. Uz Covid-19 pandēmijas radīto krīzi ātrāk ir reaģējis transporta pakalpojumu imports un Latvijas iedzīvotāju tēriņi ārvalstīs. Šo pakalpojumu importa vērtība samazinājās attiecīgi par 25,5% un 45,5%. Savukārt pārējo pakalpojumu imports samazinājās par 3,9%.</w:t>
      </w:r>
    </w:p>
    <w:p w:rsidR="00EF1D74" w:rsidRPr="00EF1D74" w:rsidRDefault="00EF1D74" w:rsidP="00EF1D74">
      <w:pPr>
        <w:spacing w:before="120"/>
        <w:ind w:firstLine="720"/>
        <w:rPr>
          <w:rFonts w:eastAsia="Calibri"/>
          <w:szCs w:val="24"/>
        </w:rPr>
      </w:pPr>
      <w:r w:rsidRPr="00EF1D74">
        <w:rPr>
          <w:rFonts w:eastAsia="Calibri"/>
          <w:szCs w:val="24"/>
        </w:rPr>
        <w:t xml:space="preserve">Covid-19 pandēmijas izraisītās sekas ietekmēja arī Latvijas </w:t>
      </w:r>
      <w:r w:rsidRPr="00EF1D74">
        <w:rPr>
          <w:rFonts w:eastAsia="Calibri"/>
          <w:b/>
          <w:szCs w:val="24"/>
        </w:rPr>
        <w:t xml:space="preserve">maksājumu bilances tekošo kontu. </w:t>
      </w:r>
      <w:r w:rsidRPr="00EF1D74">
        <w:rPr>
          <w:rFonts w:eastAsia="Calibri"/>
          <w:szCs w:val="24"/>
        </w:rPr>
        <w:t xml:space="preserve">Š.g. pirmajos septiņos mēnešos tekošajā kontā bija fiksēts pārpalikums 292 milj. </w:t>
      </w:r>
      <w:proofErr w:type="spellStart"/>
      <w:r w:rsidRPr="00EF1D74">
        <w:rPr>
          <w:rFonts w:eastAsia="Calibri"/>
          <w:i/>
          <w:szCs w:val="24"/>
        </w:rPr>
        <w:t>euro</w:t>
      </w:r>
      <w:proofErr w:type="spellEnd"/>
      <w:r w:rsidRPr="00EF1D74">
        <w:rPr>
          <w:rFonts w:eastAsia="Calibri"/>
          <w:szCs w:val="24"/>
        </w:rPr>
        <w:t xml:space="preserve"> apmērā pretstatā 346 milj. </w:t>
      </w:r>
      <w:proofErr w:type="spellStart"/>
      <w:r w:rsidRPr="00EF1D74">
        <w:rPr>
          <w:rFonts w:eastAsia="Calibri"/>
          <w:i/>
          <w:szCs w:val="24"/>
        </w:rPr>
        <w:t>euro</w:t>
      </w:r>
      <w:proofErr w:type="spellEnd"/>
      <w:r w:rsidRPr="00EF1D74">
        <w:rPr>
          <w:rFonts w:eastAsia="Calibri"/>
          <w:szCs w:val="24"/>
        </w:rPr>
        <w:t xml:space="preserve"> pārpalikumam 2019. gada septiņos mēnešos. Izmaiņas ir </w:t>
      </w:r>
      <w:r w:rsidRPr="00EF1D74">
        <w:rPr>
          <w:rFonts w:eastAsia="Calibri"/>
          <w:szCs w:val="24"/>
        </w:rPr>
        <w:lastRenderedPageBreak/>
        <w:t xml:space="preserve">fiksētas visos tekošā konta apakškontos, tomēr noteicošo lomu pārpalikuma pieaugumā nodrošināja izmaiņas preču kontā. Preču importa vērtībai samazinoties straujāk par preču eksportu, preču konta deficīts samazinājies no 1 639 milj. </w:t>
      </w:r>
      <w:proofErr w:type="spellStart"/>
      <w:r w:rsidRPr="00EF1D74">
        <w:rPr>
          <w:rFonts w:eastAsia="Calibri"/>
          <w:i/>
          <w:szCs w:val="24"/>
        </w:rPr>
        <w:t>euro</w:t>
      </w:r>
      <w:proofErr w:type="spellEnd"/>
      <w:r w:rsidRPr="00EF1D74">
        <w:rPr>
          <w:rFonts w:eastAsia="Calibri"/>
          <w:szCs w:val="24"/>
        </w:rPr>
        <w:t xml:space="preserve"> 2019. gada septiņos mēnešos līdz 1 029 milj. </w:t>
      </w:r>
      <w:proofErr w:type="spellStart"/>
      <w:r w:rsidRPr="00EF1D74">
        <w:rPr>
          <w:rFonts w:eastAsia="Calibri"/>
          <w:i/>
          <w:szCs w:val="24"/>
        </w:rPr>
        <w:t>euro</w:t>
      </w:r>
      <w:proofErr w:type="spellEnd"/>
      <w:r w:rsidRPr="00EF1D74">
        <w:rPr>
          <w:rFonts w:eastAsia="Calibri"/>
          <w:szCs w:val="24"/>
        </w:rPr>
        <w:t xml:space="preserve"> š.g. septiņos mēnešos. </w:t>
      </w:r>
    </w:p>
    <w:p w:rsidR="00EF1D74" w:rsidRPr="00EF1D74" w:rsidRDefault="00EF1D74" w:rsidP="00EF1D74">
      <w:pPr>
        <w:spacing w:before="120"/>
        <w:ind w:firstLine="720"/>
        <w:rPr>
          <w:rFonts w:eastAsia="Calibri"/>
          <w:szCs w:val="24"/>
        </w:rPr>
      </w:pPr>
      <w:r w:rsidRPr="00EF1D74">
        <w:rPr>
          <w:rFonts w:eastAsia="Calibri"/>
          <w:szCs w:val="24"/>
        </w:rPr>
        <w:t xml:space="preserve">Savukārt pakalpojumu kontā vērojama pretēja situācija. Pakalpojumu eksports ir samazinājies straujāk par importu, tādējādi konta pārpalikums saruka par 271 milj. </w:t>
      </w:r>
      <w:proofErr w:type="spellStart"/>
      <w:r w:rsidRPr="00EF1D74">
        <w:rPr>
          <w:rFonts w:eastAsia="Calibri"/>
          <w:i/>
          <w:szCs w:val="24"/>
        </w:rPr>
        <w:t>euro</w:t>
      </w:r>
      <w:proofErr w:type="spellEnd"/>
      <w:r w:rsidRPr="00EF1D74">
        <w:rPr>
          <w:rFonts w:eastAsia="Calibri"/>
          <w:szCs w:val="24"/>
        </w:rPr>
        <w:t xml:space="preserve"> līdz 1 089 milj. </w:t>
      </w:r>
      <w:proofErr w:type="spellStart"/>
      <w:r w:rsidRPr="00EF1D74">
        <w:rPr>
          <w:rFonts w:eastAsia="Calibri"/>
          <w:i/>
          <w:szCs w:val="24"/>
        </w:rPr>
        <w:t>euro</w:t>
      </w:r>
      <w:proofErr w:type="spellEnd"/>
      <w:r w:rsidRPr="00EF1D74">
        <w:rPr>
          <w:rFonts w:eastAsia="Calibri"/>
          <w:szCs w:val="24"/>
        </w:rPr>
        <w:t xml:space="preserve">. Tomēr kopumā ārējās tirdzniecības bilance š.g. septiņos mēnešos bija pozitīva un pakalpojumu konta pārpalikums bija par 60 milj. </w:t>
      </w:r>
      <w:proofErr w:type="spellStart"/>
      <w:r w:rsidRPr="00EF1D74">
        <w:rPr>
          <w:rFonts w:eastAsia="Calibri"/>
          <w:i/>
          <w:szCs w:val="24"/>
        </w:rPr>
        <w:t>euro</w:t>
      </w:r>
      <w:proofErr w:type="spellEnd"/>
      <w:r w:rsidRPr="00EF1D74">
        <w:rPr>
          <w:rFonts w:eastAsia="Calibri"/>
          <w:szCs w:val="24"/>
        </w:rPr>
        <w:t xml:space="preserve"> lielāks nekā preču konta deficīts. </w:t>
      </w:r>
    </w:p>
    <w:p w:rsidR="00EF1D74" w:rsidRPr="00EF1D74" w:rsidRDefault="00EF1D74" w:rsidP="00EF1D74">
      <w:pPr>
        <w:spacing w:before="120"/>
        <w:ind w:firstLine="0"/>
        <w:jc w:val="center"/>
        <w:rPr>
          <w:rFonts w:eastAsia="Calibri"/>
          <w:b/>
          <w:szCs w:val="24"/>
        </w:rPr>
      </w:pPr>
      <w:r w:rsidRPr="00EF1D74">
        <w:rPr>
          <w:rFonts w:eastAsia="Calibri"/>
          <w:b/>
          <w:i/>
          <w:color w:val="000000"/>
          <w:szCs w:val="24"/>
        </w:rPr>
        <w:t xml:space="preserve">1.40. attēls </w:t>
      </w:r>
      <w:r w:rsidRPr="00EF1D74">
        <w:rPr>
          <w:rFonts w:eastAsia="Calibri"/>
          <w:b/>
          <w:szCs w:val="24"/>
        </w:rPr>
        <w:t xml:space="preserve">Latvijas maksājumu bilances tekošā konta komponentes (milj. </w:t>
      </w:r>
      <w:proofErr w:type="spellStart"/>
      <w:r w:rsidRPr="00EF1D74">
        <w:rPr>
          <w:rFonts w:eastAsia="Calibri"/>
          <w:b/>
          <w:szCs w:val="24"/>
        </w:rPr>
        <w:t>euro</w:t>
      </w:r>
      <w:proofErr w:type="spellEnd"/>
      <w:r w:rsidRPr="00EF1D74">
        <w:rPr>
          <w:rFonts w:eastAsia="Calibri"/>
          <w:b/>
          <w:szCs w:val="24"/>
        </w:rPr>
        <w:t>) un tekošais konts procentos no IKP (labā ass)</w:t>
      </w:r>
    </w:p>
    <w:p w:rsidR="00EF1D74" w:rsidRPr="00EF1D74" w:rsidRDefault="00EF1D74" w:rsidP="00EF1D74">
      <w:pPr>
        <w:spacing w:before="120"/>
        <w:ind w:firstLine="0"/>
        <w:jc w:val="center"/>
        <w:rPr>
          <w:rFonts w:eastAsia="Calibri"/>
          <w:szCs w:val="24"/>
        </w:rPr>
      </w:pPr>
      <w:r w:rsidRPr="00EF1D74">
        <w:rPr>
          <w:rFonts w:eastAsia="Calibri"/>
          <w:noProof/>
          <w:szCs w:val="24"/>
          <w:lang w:eastAsia="lv-LV"/>
        </w:rPr>
        <w:drawing>
          <wp:inline distT="0" distB="0" distL="0" distR="0" wp14:anchorId="77F519A7" wp14:editId="10E62491">
            <wp:extent cx="5274310" cy="3133725"/>
            <wp:effectExtent l="0" t="0" r="254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F1D74" w:rsidRPr="00EF1D74" w:rsidRDefault="00EF1D74" w:rsidP="00EF1D74">
      <w:pPr>
        <w:spacing w:before="120"/>
        <w:ind w:firstLine="720"/>
        <w:rPr>
          <w:rFonts w:eastAsia="Calibri"/>
          <w:szCs w:val="24"/>
        </w:rPr>
      </w:pPr>
    </w:p>
    <w:p w:rsidR="00EF1D74" w:rsidRPr="00EF1D74" w:rsidRDefault="00EF1D74" w:rsidP="00EF1D74">
      <w:pPr>
        <w:spacing w:before="120"/>
        <w:ind w:firstLine="720"/>
        <w:rPr>
          <w:rFonts w:eastAsia="Calibri"/>
          <w:szCs w:val="24"/>
        </w:rPr>
      </w:pPr>
      <w:r w:rsidRPr="00EF1D74">
        <w:rPr>
          <w:rFonts w:eastAsia="Calibri"/>
          <w:szCs w:val="24"/>
        </w:rPr>
        <w:t xml:space="preserve">Sākotnējo ienākumu konta deficīts ir samazinājies par 314 milj. </w:t>
      </w:r>
      <w:proofErr w:type="spellStart"/>
      <w:r w:rsidRPr="00EF1D74">
        <w:rPr>
          <w:rFonts w:eastAsia="Calibri"/>
          <w:i/>
          <w:szCs w:val="24"/>
        </w:rPr>
        <w:t>euro</w:t>
      </w:r>
      <w:proofErr w:type="spellEnd"/>
      <w:r w:rsidRPr="00EF1D74">
        <w:rPr>
          <w:rFonts w:eastAsia="Calibri"/>
          <w:szCs w:val="24"/>
        </w:rPr>
        <w:t xml:space="preserve"> līdz 29 milj. </w:t>
      </w:r>
      <w:proofErr w:type="spellStart"/>
      <w:r w:rsidRPr="00EF1D74">
        <w:rPr>
          <w:rFonts w:eastAsia="Calibri"/>
          <w:i/>
          <w:szCs w:val="24"/>
        </w:rPr>
        <w:t>euro</w:t>
      </w:r>
      <w:proofErr w:type="spellEnd"/>
      <w:r w:rsidRPr="00EF1D74">
        <w:rPr>
          <w:rFonts w:eastAsia="Calibri"/>
          <w:i/>
          <w:szCs w:val="24"/>
        </w:rPr>
        <w:t xml:space="preserve"> </w:t>
      </w:r>
      <w:r w:rsidRPr="00EF1D74">
        <w:rPr>
          <w:rFonts w:eastAsia="Calibri"/>
          <w:szCs w:val="24"/>
        </w:rPr>
        <w:t xml:space="preserve">š.g. septiņos mēnešos, ko lielā mērā noteica zemāks izmaksāto dividenžu apjoms ārvalstu investoriem. Savukārt otrreizējo ienākumu konta bilances izmaiņas bija nebūtiskas, jo pārpalikums samazinājies vien par 8 milj. </w:t>
      </w:r>
      <w:proofErr w:type="spellStart"/>
      <w:r w:rsidRPr="00EF1D74">
        <w:rPr>
          <w:rFonts w:eastAsia="Calibri"/>
          <w:i/>
          <w:szCs w:val="24"/>
        </w:rPr>
        <w:t>euro</w:t>
      </w:r>
      <w:proofErr w:type="spellEnd"/>
      <w:r w:rsidRPr="00EF1D74">
        <w:rPr>
          <w:rFonts w:eastAsia="Calibri"/>
          <w:szCs w:val="24"/>
        </w:rPr>
        <w:t xml:space="preserve"> līdz 265 milj. </w:t>
      </w:r>
      <w:proofErr w:type="spellStart"/>
      <w:r w:rsidRPr="00EF1D74">
        <w:rPr>
          <w:rFonts w:eastAsia="Calibri"/>
          <w:i/>
          <w:szCs w:val="24"/>
        </w:rPr>
        <w:t>euro</w:t>
      </w:r>
      <w:proofErr w:type="spellEnd"/>
      <w:r w:rsidRPr="00EF1D74">
        <w:rPr>
          <w:rFonts w:eastAsia="Calibri"/>
          <w:szCs w:val="24"/>
        </w:rPr>
        <w:t>, ko galvenokārt ietekmēja augstākas Latvijas iemaksas ES budžetā. Tomēr ES fondu investīciju plūsma un mājsaimniecību un uzņēmumu rezidentu naudas pārvedumi no ārvalstīm nodrošināja lielāko pārpalikuma apjomu šajā kontā.</w:t>
      </w:r>
    </w:p>
    <w:p w:rsidR="00EF1D74" w:rsidRPr="00EF1D74" w:rsidRDefault="00EF1D74" w:rsidP="00EF1D74">
      <w:pPr>
        <w:keepNext/>
        <w:keepLines/>
        <w:spacing w:before="240" w:after="240"/>
        <w:ind w:firstLine="0"/>
        <w:jc w:val="center"/>
        <w:outlineLvl w:val="2"/>
        <w:rPr>
          <w:b/>
          <w:bCs/>
          <w:sz w:val="32"/>
          <w:szCs w:val="32"/>
        </w:rPr>
      </w:pPr>
      <w:r w:rsidRPr="00EF1D74">
        <w:rPr>
          <w:b/>
          <w:bCs/>
          <w:sz w:val="32"/>
          <w:szCs w:val="32"/>
        </w:rPr>
        <w:t>1.2.7. Investīcijas</w:t>
      </w:r>
    </w:p>
    <w:p w:rsidR="00EF1D74" w:rsidRPr="00EF1D74" w:rsidRDefault="00EF1D74" w:rsidP="00EF1D74">
      <w:pPr>
        <w:spacing w:before="120"/>
        <w:ind w:firstLine="720"/>
        <w:rPr>
          <w:rFonts w:eastAsia="Calibri"/>
          <w:szCs w:val="24"/>
        </w:rPr>
      </w:pPr>
      <w:r w:rsidRPr="00EF1D74">
        <w:rPr>
          <w:rFonts w:eastAsia="Calibri"/>
          <w:szCs w:val="24"/>
        </w:rPr>
        <w:t xml:space="preserve">2019. gadā </w:t>
      </w:r>
      <w:r w:rsidRPr="00EF1D74">
        <w:rPr>
          <w:rFonts w:eastAsia="Calibri"/>
          <w:b/>
          <w:szCs w:val="24"/>
        </w:rPr>
        <w:t>bruto pamatkapitāla veidošana jeb investīcijas</w:t>
      </w:r>
      <w:r w:rsidRPr="00EF1D74">
        <w:rPr>
          <w:rFonts w:eastAsia="Calibri"/>
          <w:szCs w:val="24"/>
        </w:rPr>
        <w:t xml:space="preserve"> uzrādīja pieaugumu. Tomēr salīdzinājumā ar iepriekšējiem diviem gadiem investīciju kāpumu drīzāk var uzskatīt par simbolisku, jo gada laikā tās palielinājās tikai par 2,1% salīdzināmajās cenās, kamēr 2017. gadā un 2018. gadā investīciju pieaugums veidoja attiecīgi 11,4% un 11,8%. Investīciju pieauguma tempa piebremzēšanās saistīta galvenokārt ar zemāku būvniecības aktivitāti, uz ko norāda vājāka būvniecības nozares izaugsme 2019. gadā. Investīciju kāpums 2019. gadā bija līdzvērtīgs IKP izaugsmei, nodrošinot 0,7 procentpunktus reālā IKP pieaugumā. Kopējais investīciju apjoms pērn salīdzināmajās cenās bija 6 266 milj. </w:t>
      </w:r>
      <w:proofErr w:type="spellStart"/>
      <w:r w:rsidRPr="00EF1D74">
        <w:rPr>
          <w:rFonts w:eastAsia="Calibri"/>
          <w:i/>
          <w:szCs w:val="24"/>
        </w:rPr>
        <w:t>euro</w:t>
      </w:r>
      <w:proofErr w:type="spellEnd"/>
      <w:r w:rsidRPr="00EF1D74">
        <w:rPr>
          <w:rFonts w:eastAsia="Calibri"/>
          <w:szCs w:val="24"/>
        </w:rPr>
        <w:t>, tādējādi investīciju īpatsvars reālajā IKP saglabājās 22,7% apmērā.</w:t>
      </w:r>
    </w:p>
    <w:p w:rsidR="00EF1D74" w:rsidRPr="00EF1D74" w:rsidRDefault="00EF1D74" w:rsidP="00EF1D74">
      <w:pPr>
        <w:spacing w:before="120"/>
        <w:ind w:firstLine="720"/>
        <w:rPr>
          <w:rFonts w:eastAsia="Calibri"/>
          <w:szCs w:val="24"/>
        </w:rPr>
      </w:pPr>
      <w:r w:rsidRPr="00EF1D74">
        <w:rPr>
          <w:rFonts w:eastAsia="Calibri"/>
          <w:szCs w:val="24"/>
        </w:rPr>
        <w:lastRenderedPageBreak/>
        <w:t xml:space="preserve">Būtiska loma investīciju pieaugumā pēdējos gados bija ES fondu investīcijām. Valsts budžeta izdevumi ES fondu investīciju projektiem 2019. gadā bija 712 milj. </w:t>
      </w:r>
      <w:proofErr w:type="spellStart"/>
      <w:r w:rsidRPr="00EF1D74">
        <w:rPr>
          <w:rFonts w:eastAsia="Calibri"/>
          <w:i/>
          <w:szCs w:val="24"/>
        </w:rPr>
        <w:t>euro</w:t>
      </w:r>
      <w:proofErr w:type="spellEnd"/>
      <w:r w:rsidRPr="00EF1D74">
        <w:rPr>
          <w:rFonts w:eastAsia="Calibri"/>
          <w:szCs w:val="24"/>
        </w:rPr>
        <w:t xml:space="preserve">, no tiem 350 milj. </w:t>
      </w:r>
      <w:proofErr w:type="spellStart"/>
      <w:r w:rsidRPr="00EF1D74">
        <w:rPr>
          <w:rFonts w:eastAsia="Calibri"/>
          <w:i/>
          <w:szCs w:val="24"/>
        </w:rPr>
        <w:t>euro</w:t>
      </w:r>
      <w:proofErr w:type="spellEnd"/>
      <w:r w:rsidRPr="00EF1D74">
        <w:rPr>
          <w:rFonts w:eastAsia="Calibri"/>
          <w:szCs w:val="24"/>
        </w:rPr>
        <w:t xml:space="preserve"> bija kapitālie izdevumi jeb investīcijas, kas tiešā veidā ietekmē bruto pamatkapitāla veidošanu. Tomēr gan kopējie valsts budžeta izdevumi ES fondu investīciju projektiem, gan kapitālie izdevumi 2019. gadā praktiski bija iepriekšējā gada līmenī, tādējādi neradot papildus stimulu straujākam investīciju pieaugumam tautsaimniecībā kopumā. Ņemot vērā aktuālākās prognozes, sagaidāms, kā arī 2020. gadā valsts budžeta izdevumi ES fondu investīciju projektiem būs aptuveni iepriekšējā gada līmenī.</w:t>
      </w:r>
    </w:p>
    <w:p w:rsidR="00EF1D74" w:rsidRPr="00EF1D74" w:rsidRDefault="00EF1D74" w:rsidP="00EF1D74">
      <w:pPr>
        <w:spacing w:before="120"/>
        <w:ind w:firstLine="720"/>
        <w:rPr>
          <w:rFonts w:eastAsia="Calibri"/>
          <w:szCs w:val="24"/>
        </w:rPr>
      </w:pPr>
      <w:r w:rsidRPr="00EF1D74">
        <w:rPr>
          <w:rFonts w:eastAsia="Calibri"/>
          <w:szCs w:val="24"/>
        </w:rPr>
        <w:t xml:space="preserve">Par spīti būtiskam ekonomikas aktivitātes kritumam 2020. gada pirmajā pusgadā (IKP samazinājās par 5,2% salīdzinājumā ar pērnā gada attiecīgo periodu), investīciju apjoms praktiski saglabājās iepriekšējā gada līmenī. Bruto pamatkapitāla veidošana š.g. pirmajā pusē bija 2 629 milj. </w:t>
      </w:r>
      <w:proofErr w:type="spellStart"/>
      <w:r w:rsidRPr="00EF1D74">
        <w:rPr>
          <w:rFonts w:eastAsia="Calibri"/>
          <w:i/>
          <w:szCs w:val="24"/>
        </w:rPr>
        <w:t>euro</w:t>
      </w:r>
      <w:proofErr w:type="spellEnd"/>
      <w:r w:rsidRPr="00EF1D74">
        <w:rPr>
          <w:rFonts w:eastAsia="Calibri"/>
          <w:szCs w:val="24"/>
        </w:rPr>
        <w:t xml:space="preserve"> apmērā, kas bija par 0,6% mazāk nekā 2019. gada pirmajā pusgadā. Tādējādi jāsecina, ka Covid-19 negatīvā ietekme uz investīciju aktivitāti bija būtiski zemāka nekā uz privāto patēriņu vai ārējo tirdzniecību.</w:t>
      </w:r>
    </w:p>
    <w:p w:rsidR="00EF1D74" w:rsidRPr="00EF1D74" w:rsidRDefault="00EF1D74" w:rsidP="00EF1D74">
      <w:pPr>
        <w:spacing w:before="120"/>
        <w:ind w:firstLine="720"/>
        <w:rPr>
          <w:rFonts w:eastAsia="Calibri"/>
          <w:szCs w:val="24"/>
        </w:rPr>
      </w:pPr>
      <w:r w:rsidRPr="00EF1D74">
        <w:rPr>
          <w:rFonts w:eastAsia="Calibri"/>
          <w:szCs w:val="24"/>
        </w:rPr>
        <w:t xml:space="preserve">Tradicionāli, investīciju aktivitāte ir vairāk svārstīga nekā IKP vidējās izmaiņas. Papildus tam, investīcijas ir tā IKP komponente, kas vairāk pakļauta biznesa ciklam. Tā kā Covid-19 krīze nav saistīta ar biznesa ciklu kā tādu, tad mājsaimniecību un uzņēmēju rīcība attiecībā uz uzkrājumiem un investīcijām varētu būt atšķirīgāka nekā iepriekšējās finanšu un ekonomikas krīzēs. Tajā pašā laikā, šīs krīzes negatīvā ietekme uz ekonomiku iezīmējās tikai otrajā ceturksnī un gadījumā, ja epidemioloģiskā situācija saistībā ar </w:t>
      </w:r>
      <w:proofErr w:type="spellStart"/>
      <w:r w:rsidRPr="00EF1D74">
        <w:rPr>
          <w:rFonts w:eastAsia="Calibri"/>
          <w:szCs w:val="24"/>
        </w:rPr>
        <w:t>kononorvīrusa</w:t>
      </w:r>
      <w:proofErr w:type="spellEnd"/>
      <w:r w:rsidRPr="00EF1D74">
        <w:rPr>
          <w:rFonts w:eastAsia="Calibri"/>
          <w:szCs w:val="24"/>
        </w:rPr>
        <w:t xml:space="preserve"> izplatību Latvijā, Eiropā un pārējos pasaules reģionos vēl ilgāku laika saglabāsies nestabila, tad š.g. otrajā pusgadā investīciju kritums varētu pastiprināties.</w:t>
      </w:r>
    </w:p>
    <w:p w:rsidR="00EF1D74" w:rsidRPr="00EF1D74" w:rsidRDefault="00EF1D74" w:rsidP="00EF1D74">
      <w:pPr>
        <w:spacing w:before="120"/>
        <w:ind w:firstLine="720"/>
        <w:rPr>
          <w:rFonts w:eastAsia="Calibri"/>
          <w:szCs w:val="24"/>
        </w:rPr>
      </w:pPr>
      <w:r w:rsidRPr="00EF1D74">
        <w:rPr>
          <w:rFonts w:eastAsia="Calibri"/>
          <w:szCs w:val="24"/>
        </w:rPr>
        <w:t xml:space="preserve">Kopumā investīciju apjoms Latvijā š.g. pirmajā ceturksnī palielinājās par 4,7%, bet otrajā ceturksnī samazinājās par 4,9% salīdzinājumā ar pērnā gada </w:t>
      </w:r>
      <w:r w:rsidRPr="00EF1D74">
        <w:rPr>
          <w:rFonts w:eastAsia="Calibri"/>
          <w:color w:val="000000"/>
          <w:szCs w:val="24"/>
        </w:rPr>
        <w:t xml:space="preserve">attiecīgo periodu. Ja š.g. pirmajā ceturksnī  investīciju kāpumu veicināja būvniecības attīstība, tad kritumu otrajā ceturksnī noteica būtisks investīciju samazinājums iekārtās un </w:t>
      </w:r>
      <w:r w:rsidRPr="00EF1D74">
        <w:rPr>
          <w:rFonts w:eastAsia="Calibri"/>
          <w:szCs w:val="24"/>
        </w:rPr>
        <w:t>mašīnās.</w:t>
      </w:r>
    </w:p>
    <w:p w:rsidR="00EF1D74" w:rsidRPr="00EF1D74" w:rsidRDefault="00EF1D74" w:rsidP="00EF1D74">
      <w:pPr>
        <w:spacing w:before="120"/>
        <w:ind w:firstLine="720"/>
        <w:rPr>
          <w:rFonts w:eastAsia="Calibri"/>
          <w:szCs w:val="24"/>
        </w:rPr>
      </w:pPr>
      <w:r w:rsidRPr="00EF1D74">
        <w:rPr>
          <w:rFonts w:eastAsia="Calibri"/>
          <w:szCs w:val="24"/>
        </w:rPr>
        <w:t>Investīcijas biroju, mājokļu, noliktavu un citu ēku būvniecībā, kā arī jau esošo ēku un būvju renovācijā joprojām saglabājas kā galvenais investīciju veids. 2020. gada pirmajā pusgadā investīcijas ēkās un būvēs veidoja 52,3% no kopējām investīcijām un salīdzinājumā ar pērnā gada pirmo pusi palielinājās par 3,1% salīdzināmajās cenās. Pateicoties labvēlīgiem laika apstākļiem gada sākumā un realizētajiem būvniecības objektiem gan privātajā, gan sabiedriskajā sektorā, būvniecības produkcijas apjoms palielinājās par 5,5% salīdzinājumā ar iepriekšējā gada pirmo pusgadu pēc kalendāri izlīdzinātiem datiem.</w:t>
      </w:r>
    </w:p>
    <w:p w:rsidR="00EF1D74" w:rsidRPr="00EF1D74" w:rsidRDefault="00EF1D74" w:rsidP="00EF1D74">
      <w:pPr>
        <w:spacing w:before="120"/>
        <w:ind w:firstLine="720"/>
        <w:rPr>
          <w:rFonts w:eastAsia="Calibri"/>
          <w:szCs w:val="24"/>
        </w:rPr>
      </w:pPr>
      <w:r w:rsidRPr="00EF1D74">
        <w:rPr>
          <w:rFonts w:eastAsia="Calibri"/>
          <w:szCs w:val="24"/>
        </w:rPr>
        <w:t xml:space="preserve">Covid-19 pandēmija ietekmējusi visas tautsaimniecības nozares, tomēr noskaņojuma kritums būvniecības nozarē nav bijis tik liels kā citās nozarēs. Būvniecības pasūtījumu apjoms š.g. aprīlī un maijā noslīdēja līdz 2016. gada vidējam līmenim, kad būvniecības produkcijas apjoms kopumā samazinājās par 16,6%. Tomēr kopš jūnija vērojama nepārtraukta būvniecības nozares konfidences rādītāju uzlabošanās, lai arī pagaidām vēl nav sasniegts </w:t>
      </w:r>
      <w:proofErr w:type="spellStart"/>
      <w:r w:rsidRPr="00EF1D74">
        <w:rPr>
          <w:rFonts w:eastAsia="Calibri"/>
          <w:szCs w:val="24"/>
        </w:rPr>
        <w:t>pirmskrīzes</w:t>
      </w:r>
      <w:proofErr w:type="spellEnd"/>
      <w:r w:rsidRPr="00EF1D74">
        <w:rPr>
          <w:rFonts w:eastAsia="Calibri"/>
          <w:szCs w:val="24"/>
        </w:rPr>
        <w:t xml:space="preserve"> līmenis.</w:t>
      </w:r>
    </w:p>
    <w:p w:rsidR="00EF1D74" w:rsidRPr="00EF1D74" w:rsidRDefault="00EF1D74" w:rsidP="00EF1D74">
      <w:pPr>
        <w:spacing w:after="0"/>
        <w:ind w:firstLine="0"/>
        <w:jc w:val="center"/>
        <w:rPr>
          <w:rFonts w:eastAsia="Calibri"/>
          <w:b/>
          <w:i/>
          <w:color w:val="000000"/>
          <w:szCs w:val="24"/>
        </w:rPr>
      </w:pPr>
    </w:p>
    <w:p w:rsidR="00EF1D74" w:rsidRPr="00EF1D74" w:rsidRDefault="00EF1D74" w:rsidP="00EF1D74">
      <w:pPr>
        <w:spacing w:after="0"/>
        <w:ind w:firstLine="0"/>
        <w:jc w:val="center"/>
        <w:rPr>
          <w:rFonts w:eastAsia="Calibri"/>
          <w:b/>
          <w:i/>
          <w:color w:val="000000"/>
          <w:szCs w:val="24"/>
        </w:rPr>
      </w:pPr>
    </w:p>
    <w:p w:rsidR="00EF1D74" w:rsidRPr="00EF1D74" w:rsidRDefault="00EF1D74" w:rsidP="00EF1D74">
      <w:pPr>
        <w:spacing w:after="0"/>
        <w:ind w:firstLine="0"/>
        <w:jc w:val="center"/>
        <w:rPr>
          <w:rFonts w:eastAsia="Calibri"/>
          <w:b/>
          <w:i/>
          <w:color w:val="000000"/>
          <w:szCs w:val="24"/>
        </w:rPr>
      </w:pPr>
    </w:p>
    <w:p w:rsidR="00EF1D74" w:rsidRPr="00EF1D74" w:rsidRDefault="00EF1D74" w:rsidP="00EF1D74">
      <w:pPr>
        <w:spacing w:after="0"/>
        <w:ind w:firstLine="0"/>
        <w:jc w:val="center"/>
        <w:rPr>
          <w:rFonts w:eastAsia="Calibri"/>
          <w:b/>
          <w:i/>
          <w:color w:val="000000"/>
          <w:szCs w:val="24"/>
        </w:rPr>
      </w:pPr>
    </w:p>
    <w:p w:rsidR="00EF1D74" w:rsidRPr="00EF1D74" w:rsidRDefault="00EF1D74" w:rsidP="00EF1D74">
      <w:pPr>
        <w:spacing w:after="0"/>
        <w:ind w:firstLine="0"/>
        <w:jc w:val="center"/>
        <w:rPr>
          <w:rFonts w:eastAsia="Calibri"/>
          <w:b/>
          <w:i/>
          <w:color w:val="000000"/>
          <w:szCs w:val="24"/>
        </w:rPr>
      </w:pPr>
    </w:p>
    <w:p w:rsidR="00EF1D74" w:rsidRPr="00EF1D74" w:rsidRDefault="00EF1D74" w:rsidP="00EF1D74">
      <w:pPr>
        <w:spacing w:after="0"/>
        <w:ind w:firstLine="0"/>
        <w:jc w:val="center"/>
        <w:rPr>
          <w:rFonts w:eastAsia="Calibri"/>
          <w:b/>
          <w:i/>
          <w:color w:val="000000"/>
          <w:szCs w:val="24"/>
        </w:rPr>
      </w:pPr>
    </w:p>
    <w:p w:rsidR="00EF1D74" w:rsidRPr="00EF1D74" w:rsidRDefault="00EF1D74" w:rsidP="00EF1D74">
      <w:pPr>
        <w:spacing w:after="0"/>
        <w:ind w:firstLine="0"/>
        <w:jc w:val="center"/>
        <w:rPr>
          <w:rFonts w:eastAsia="Calibri"/>
          <w:b/>
          <w:i/>
          <w:color w:val="000000"/>
          <w:szCs w:val="24"/>
        </w:rPr>
      </w:pPr>
    </w:p>
    <w:p w:rsidR="00EF1D74" w:rsidRPr="00EF1D74" w:rsidRDefault="00EF1D74" w:rsidP="00EF1D74">
      <w:pPr>
        <w:spacing w:after="0"/>
        <w:ind w:firstLine="0"/>
        <w:jc w:val="center"/>
        <w:rPr>
          <w:rFonts w:eastAsia="Calibri"/>
          <w:b/>
          <w:i/>
          <w:color w:val="000000"/>
          <w:szCs w:val="24"/>
        </w:rPr>
      </w:pPr>
    </w:p>
    <w:p w:rsidR="00EF1D74" w:rsidRPr="00EF1D74" w:rsidRDefault="00EF1D74" w:rsidP="00EF1D74">
      <w:pPr>
        <w:spacing w:after="0"/>
        <w:ind w:firstLine="0"/>
        <w:jc w:val="center"/>
        <w:rPr>
          <w:rFonts w:eastAsia="Calibri"/>
          <w:b/>
          <w:i/>
          <w:color w:val="000000"/>
          <w:szCs w:val="24"/>
        </w:rPr>
      </w:pPr>
    </w:p>
    <w:p w:rsidR="00EF1D74" w:rsidRPr="00EF1D74" w:rsidRDefault="00EF1D74" w:rsidP="00EF1D74">
      <w:pPr>
        <w:spacing w:after="0"/>
        <w:ind w:firstLine="0"/>
        <w:jc w:val="center"/>
        <w:rPr>
          <w:rFonts w:eastAsia="Calibri"/>
          <w:b/>
          <w:i/>
          <w:szCs w:val="24"/>
        </w:rPr>
      </w:pPr>
      <w:r w:rsidRPr="00EF1D74">
        <w:rPr>
          <w:rFonts w:eastAsia="Calibri"/>
          <w:b/>
          <w:i/>
          <w:color w:val="000000"/>
          <w:szCs w:val="24"/>
        </w:rPr>
        <w:lastRenderedPageBreak/>
        <w:t>1.41. attēls</w:t>
      </w:r>
      <w:r w:rsidRPr="00EF1D74">
        <w:rPr>
          <w:rFonts w:eastAsia="Calibri"/>
          <w:b/>
          <w:color w:val="000000"/>
          <w:szCs w:val="24"/>
        </w:rPr>
        <w:t xml:space="preserve"> </w:t>
      </w:r>
      <w:r w:rsidRPr="00EF1D74">
        <w:rPr>
          <w:rFonts w:eastAsia="Calibri"/>
          <w:b/>
          <w:szCs w:val="24"/>
        </w:rPr>
        <w:t xml:space="preserve">Bruto kapitālieguldījumi pa darbības veidiem, milj. </w:t>
      </w:r>
      <w:proofErr w:type="spellStart"/>
      <w:r w:rsidRPr="00EF1D74">
        <w:rPr>
          <w:rFonts w:eastAsia="Calibri"/>
          <w:b/>
          <w:i/>
          <w:szCs w:val="24"/>
        </w:rPr>
        <w:t>euro</w:t>
      </w:r>
      <w:proofErr w:type="spellEnd"/>
      <w:r w:rsidRPr="00EF1D74">
        <w:rPr>
          <w:rFonts w:eastAsia="Calibri"/>
          <w:b/>
          <w:szCs w:val="24"/>
        </w:rPr>
        <w:t xml:space="preserve"> 2015. gada salīdzināmajās cenās</w:t>
      </w:r>
    </w:p>
    <w:p w:rsidR="00EF1D74" w:rsidRPr="00EF1D74" w:rsidRDefault="00EF1D74" w:rsidP="00EF1D74">
      <w:pPr>
        <w:spacing w:before="60" w:after="60"/>
        <w:ind w:firstLine="0"/>
        <w:jc w:val="center"/>
        <w:rPr>
          <w:rFonts w:eastAsia="Calibri"/>
          <w:szCs w:val="24"/>
        </w:rPr>
      </w:pPr>
      <w:r w:rsidRPr="00EF1D74">
        <w:rPr>
          <w:rFonts w:eastAsia="Calibri"/>
          <w:noProof/>
          <w:szCs w:val="24"/>
          <w:lang w:eastAsia="lv-LV"/>
        </w:rPr>
        <w:drawing>
          <wp:inline distT="0" distB="0" distL="0" distR="0" wp14:anchorId="68157CC1" wp14:editId="1B5FED27">
            <wp:extent cx="5280660" cy="317754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F1D74" w:rsidRPr="00EF1D74" w:rsidRDefault="00EF1D74" w:rsidP="00EF1D74">
      <w:pPr>
        <w:spacing w:before="120"/>
        <w:ind w:firstLine="720"/>
        <w:rPr>
          <w:rFonts w:eastAsia="Calibri"/>
          <w:szCs w:val="24"/>
        </w:rPr>
      </w:pPr>
      <w:r w:rsidRPr="00EF1D74">
        <w:rPr>
          <w:rFonts w:eastAsia="Calibri"/>
          <w:szCs w:val="24"/>
        </w:rPr>
        <w:t>Jāatzīmē,  ka investīcijas tehnoloģiskajās iekārtās un mašīnās, kas 2020. gada pirmajā pusgadā veidoja 39,1% no kopējām investīcijām, salīdzinājumā ar iepriekšējā gada pirmo pusi samazinājās par 6,6%. Ja kritums</w:t>
      </w:r>
      <w:r w:rsidRPr="00EF1D74" w:rsidDel="00E63142">
        <w:rPr>
          <w:rFonts w:eastAsia="Calibri"/>
          <w:szCs w:val="24"/>
        </w:rPr>
        <w:t xml:space="preserve"> </w:t>
      </w:r>
      <w:r w:rsidRPr="00EF1D74">
        <w:rPr>
          <w:rFonts w:eastAsia="Calibri"/>
          <w:szCs w:val="24"/>
        </w:rPr>
        <w:t>investīcijās tehnoloģiskajās iekārtās un tehnoloģijās š.g. pirmajā ceturksnī bija 1,6%, tad  otrajā ceturksnī kritums pastiprinājās, sasniedzot 12,6% salīdzinājumā ar pērnā gada otro ceturksni.</w:t>
      </w:r>
    </w:p>
    <w:p w:rsidR="00EF1D74" w:rsidRPr="00EF1D74" w:rsidRDefault="00EF1D74" w:rsidP="00EF1D74">
      <w:pPr>
        <w:spacing w:before="120"/>
        <w:ind w:firstLine="720"/>
        <w:rPr>
          <w:rFonts w:eastAsia="Calibri"/>
          <w:szCs w:val="24"/>
        </w:rPr>
      </w:pPr>
      <w:r w:rsidRPr="00EF1D74">
        <w:rPr>
          <w:rFonts w:eastAsia="Calibri"/>
          <w:szCs w:val="24"/>
        </w:rPr>
        <w:t xml:space="preserve">Covid-19 krīze negatīvi ietekmēja jau tā vājo investoru aktivitāti jauno ieguldījumu veikšanā iekārtās un mašīnās. Neskatoties uz to, ka pēdējos gados investīciju apjoms šajos aktīvos bija augošs, tas nebija pietiekošs, lai spētu būtiski veicināt un nodrošināt produktivitātes pieaugumu un inovāciju ieviešanu. Piemēram, investīcijas iekārtās un mašīnās 2019. gadā kopumā bija 2,5 miljardi </w:t>
      </w:r>
      <w:proofErr w:type="spellStart"/>
      <w:r w:rsidRPr="00EF1D74">
        <w:rPr>
          <w:rFonts w:eastAsia="Calibri"/>
          <w:i/>
          <w:szCs w:val="24"/>
        </w:rPr>
        <w:t>euro</w:t>
      </w:r>
      <w:proofErr w:type="spellEnd"/>
      <w:r w:rsidRPr="00EF1D74">
        <w:rPr>
          <w:rFonts w:eastAsia="Calibri"/>
          <w:szCs w:val="24"/>
        </w:rPr>
        <w:t xml:space="preserve">, tādējādi sasniedzot augstāko līmeni kopš 2009. gada. Tomēr šis līmenis bija par 1 miljardu </w:t>
      </w:r>
      <w:proofErr w:type="spellStart"/>
      <w:r w:rsidRPr="00EF1D74">
        <w:rPr>
          <w:rFonts w:eastAsia="Calibri"/>
          <w:i/>
          <w:szCs w:val="24"/>
        </w:rPr>
        <w:t>euro</w:t>
      </w:r>
      <w:proofErr w:type="spellEnd"/>
      <w:r w:rsidRPr="00EF1D74">
        <w:rPr>
          <w:rFonts w:eastAsia="Calibri"/>
          <w:szCs w:val="24"/>
        </w:rPr>
        <w:t xml:space="preserve"> zemāks nekā vidēji 2007.–2008. gadā, kamēr IKP kopumā 2007. gada jeb </w:t>
      </w:r>
      <w:proofErr w:type="spellStart"/>
      <w:r w:rsidRPr="00EF1D74">
        <w:rPr>
          <w:rFonts w:eastAsia="Calibri"/>
          <w:szCs w:val="24"/>
        </w:rPr>
        <w:t>pirmskrīzes</w:t>
      </w:r>
      <w:proofErr w:type="spellEnd"/>
      <w:r w:rsidRPr="00EF1D74">
        <w:rPr>
          <w:rFonts w:eastAsia="Calibri"/>
          <w:szCs w:val="24"/>
        </w:rPr>
        <w:t xml:space="preserve"> līmeni sasniedza jau 2017. gadā. Tas norāda uz uzņēmēju piesardzību veikt investīcijas un paplašināt savu uzņēmējdarbību</w:t>
      </w:r>
      <w:r w:rsidRPr="00EF1D74">
        <w:rPr>
          <w:rFonts w:eastAsia="Calibri"/>
          <w:color w:val="FF0000"/>
          <w:szCs w:val="24"/>
        </w:rPr>
        <w:t xml:space="preserve">. </w:t>
      </w:r>
      <w:r w:rsidRPr="00EF1D74">
        <w:rPr>
          <w:rFonts w:eastAsia="Calibri"/>
          <w:szCs w:val="24"/>
        </w:rPr>
        <w:t>Savukārt Covid-19 sekas tikai pasliktina šo situāciju. Papildus tam jāatzīmē, ka uzņēmēju aptauju dati par investīciju veikšanu  ietekmējošiem faktoriem norāda, ka vairāk nekā puse no investīcijām iepriekšējos gados bija vērstas uz veco iekārtu aizvietošanu un ražošanas procesu optimizāciju, bet tikai 30% no veiktajām investīcijām bija mērķētas uz ražošanas paplašināšu.</w:t>
      </w:r>
    </w:p>
    <w:p w:rsidR="00EF1D74" w:rsidRPr="00EF1D74" w:rsidRDefault="00EF1D74" w:rsidP="00EF1D74">
      <w:pPr>
        <w:spacing w:before="120"/>
        <w:ind w:firstLine="720"/>
        <w:rPr>
          <w:rFonts w:eastAsia="Calibri"/>
          <w:szCs w:val="24"/>
        </w:rPr>
      </w:pPr>
      <w:r w:rsidRPr="00EF1D74">
        <w:rPr>
          <w:rFonts w:eastAsia="Calibri"/>
          <w:szCs w:val="24"/>
        </w:rPr>
        <w:t xml:space="preserve">Pieprasījuma kritums, piesardzība finanšu tirgos, jaudu noslodzes kritums un ierobežotie monetārās politikas stimulēšanas instrumenti bremzēs investīciju aktivitāti visā Eiropā, tajā skaitā Latvijā. Latvijas apstrādes rūpniecības jaudu noslodze š.g. otrajā un trešajā ceturksnī ir jau samazinājusies līdz 2015. gada līmenim, bet ES vidēji līdz 2009. gada līmenim. Tādējādi investīciju projekti, kuri vērsti uz ražošanas kapacitātes paplašināšanu šogad un visticamāk arī nākamgad varētu tikt atlikti. </w:t>
      </w:r>
    </w:p>
    <w:p w:rsidR="00EF1D74" w:rsidRPr="00EF1D74" w:rsidRDefault="00EF1D74" w:rsidP="00EF1D74">
      <w:pPr>
        <w:spacing w:before="120"/>
        <w:ind w:firstLine="720"/>
        <w:rPr>
          <w:rFonts w:eastAsia="Calibri"/>
          <w:szCs w:val="24"/>
        </w:rPr>
      </w:pPr>
      <w:r w:rsidRPr="00EF1D74">
        <w:rPr>
          <w:rFonts w:eastAsia="Calibri"/>
          <w:szCs w:val="24"/>
        </w:rPr>
        <w:t>Līdz šim Eiropas Centrālās bankas īstenotā aktīvu paplašinātās iegādes programma un zemās kredītu procentu likmes minimāli ir ietekmējušas kreditēšanu Latvijā. Savukārt pašreiz, kad vairākos pakalpojumu sektoros ir būtiski mazinājies apgrozījums un peļņa, uzņēmumi visticamāk atteiksies no jauniem kredītiem investīciju veikšanai. Savukārt darba organizācijas ieradumu maiņa un masveidīga attālināta darba prakses ieviešana varētu mazināt pieprasījumu pēc birojiem vidējā termiņā, kas arī negatīvi ietekmēs investīciju aktivitāti.</w:t>
      </w:r>
    </w:p>
    <w:p w:rsidR="00EF1D74" w:rsidRPr="00EF1D74" w:rsidRDefault="00EF1D74" w:rsidP="00EF1D74">
      <w:pPr>
        <w:spacing w:after="0"/>
        <w:ind w:firstLine="0"/>
        <w:jc w:val="center"/>
        <w:rPr>
          <w:rFonts w:eastAsia="Calibri"/>
          <w:b/>
          <w:i/>
          <w:szCs w:val="24"/>
        </w:rPr>
      </w:pPr>
      <w:r w:rsidRPr="00EF1D74">
        <w:rPr>
          <w:rFonts w:eastAsia="Calibri"/>
          <w:b/>
          <w:i/>
          <w:szCs w:val="24"/>
        </w:rPr>
        <w:lastRenderedPageBreak/>
        <w:t xml:space="preserve">1.42. attēls </w:t>
      </w:r>
      <w:r w:rsidRPr="00EF1D74">
        <w:rPr>
          <w:rFonts w:eastAsia="Calibri"/>
          <w:b/>
          <w:szCs w:val="24"/>
        </w:rPr>
        <w:t>Uzņēmēju novērtējums par rūpniecības nozaru jaudu noslodzi katra ES dalībvalstī, indekss</w:t>
      </w:r>
    </w:p>
    <w:p w:rsidR="00EF1D74" w:rsidRPr="00EF1D74" w:rsidRDefault="00EF1D74" w:rsidP="00EF1D74">
      <w:pPr>
        <w:spacing w:after="0"/>
        <w:ind w:firstLine="0"/>
        <w:jc w:val="center"/>
        <w:rPr>
          <w:rFonts w:eastAsia="Calibri"/>
          <w:szCs w:val="24"/>
        </w:rPr>
      </w:pPr>
      <w:r w:rsidRPr="00EF1D74">
        <w:rPr>
          <w:rFonts w:eastAsia="Calibri"/>
          <w:noProof/>
          <w:szCs w:val="24"/>
          <w:lang w:eastAsia="lv-LV"/>
        </w:rPr>
        <w:drawing>
          <wp:inline distT="0" distB="0" distL="0" distR="0" wp14:anchorId="4A19C05E" wp14:editId="58F5AFC3">
            <wp:extent cx="5438775" cy="34099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F1D74" w:rsidRPr="00EF1D74" w:rsidRDefault="00EF1D74" w:rsidP="00EF1D74">
      <w:pPr>
        <w:spacing w:after="0"/>
        <w:ind w:firstLine="720"/>
        <w:rPr>
          <w:rFonts w:eastAsia="Calibri"/>
          <w:szCs w:val="24"/>
        </w:rPr>
      </w:pPr>
    </w:p>
    <w:p w:rsidR="00EF1D74" w:rsidRPr="00EF1D74" w:rsidRDefault="00EF1D74" w:rsidP="00EF1D74">
      <w:pPr>
        <w:spacing w:after="0"/>
        <w:ind w:firstLine="720"/>
        <w:rPr>
          <w:rFonts w:eastAsia="Calibri"/>
          <w:szCs w:val="24"/>
        </w:rPr>
      </w:pPr>
      <w:r w:rsidRPr="00EF1D74">
        <w:rPr>
          <w:rFonts w:eastAsia="Calibri"/>
          <w:szCs w:val="24"/>
        </w:rPr>
        <w:t xml:space="preserve">Šajā ekonomikas krīzē būtiska loma ir valdības īstenotajiem ekonomikas atbalsta un izaugsmes veicināšanas pasākumiem. Salīdzinājumā ar iepriekšējo ekonomikas krīzi šobrīd Latvijas finanšu stāvoklis ir labāks un pieejamie finanšu resursi ir ievērojami plašāki. Balstoties uz informāciju par ES daudzgadu budžetu 2021.-2027. gadam un instrumentiem ES ekonomikas atbalstam izejai no Covid-19 krīzes, Latvijas ekonomikas attīstībai nākamo septiņu gadu laikā būs pieejami gandrīz 10,5 miljardi </w:t>
      </w:r>
      <w:proofErr w:type="spellStart"/>
      <w:r w:rsidRPr="00EF1D74">
        <w:rPr>
          <w:rFonts w:eastAsia="Calibri"/>
          <w:i/>
          <w:szCs w:val="24"/>
        </w:rPr>
        <w:t>euro</w:t>
      </w:r>
      <w:proofErr w:type="spellEnd"/>
      <w:r w:rsidRPr="00EF1D74">
        <w:rPr>
          <w:rFonts w:eastAsia="Calibri"/>
          <w:i/>
          <w:szCs w:val="24"/>
        </w:rPr>
        <w:t>.</w:t>
      </w:r>
      <w:r w:rsidRPr="00EF1D74">
        <w:rPr>
          <w:rFonts w:eastAsia="Calibri"/>
          <w:szCs w:val="24"/>
        </w:rPr>
        <w:t xml:space="preserve"> Papildus tam, lielo infrastruktūras projektu realizēšana, kā piemēram, </w:t>
      </w:r>
      <w:r w:rsidRPr="00EF1D74">
        <w:rPr>
          <w:rFonts w:eastAsia="Calibri"/>
          <w:i/>
          <w:szCs w:val="24"/>
        </w:rPr>
        <w:t xml:space="preserve">Rail </w:t>
      </w:r>
      <w:proofErr w:type="spellStart"/>
      <w:r w:rsidRPr="00EF1D74">
        <w:rPr>
          <w:rFonts w:eastAsia="Calibri"/>
          <w:i/>
          <w:szCs w:val="24"/>
        </w:rPr>
        <w:t>Baltica</w:t>
      </w:r>
      <w:proofErr w:type="spellEnd"/>
      <w:r w:rsidRPr="00EF1D74">
        <w:rPr>
          <w:rFonts w:eastAsia="Calibri"/>
          <w:szCs w:val="24"/>
        </w:rPr>
        <w:t xml:space="preserve"> varētu būtiski palielināt investīciju apjomu vidējā termiņā.</w:t>
      </w:r>
    </w:p>
    <w:p w:rsidR="00EF1D74" w:rsidRPr="00EF1D74" w:rsidRDefault="00EF1D74" w:rsidP="00EF1D74">
      <w:pPr>
        <w:keepNext/>
        <w:keepLines/>
        <w:spacing w:before="240" w:after="240" w:line="259" w:lineRule="auto"/>
        <w:ind w:firstLine="0"/>
        <w:jc w:val="center"/>
        <w:outlineLvl w:val="1"/>
        <w:rPr>
          <w:b/>
          <w:sz w:val="36"/>
          <w:szCs w:val="36"/>
        </w:rPr>
      </w:pPr>
      <w:r w:rsidRPr="00EF1D74">
        <w:rPr>
          <w:b/>
          <w:sz w:val="36"/>
          <w:szCs w:val="36"/>
        </w:rPr>
        <w:t>1.3. Makroekonomisko nelīdzsvarotību uzraudzība ES</w:t>
      </w:r>
    </w:p>
    <w:p w:rsidR="00EF1D74" w:rsidRPr="00EF1D74" w:rsidRDefault="00EF1D74" w:rsidP="00EF1D74">
      <w:pPr>
        <w:spacing w:before="120"/>
        <w:ind w:firstLine="720"/>
        <w:rPr>
          <w:rFonts w:eastAsia="Calibri"/>
          <w:bCs/>
          <w:szCs w:val="28"/>
        </w:rPr>
      </w:pPr>
      <w:r w:rsidRPr="00EF1D74">
        <w:rPr>
          <w:rFonts w:eastAsia="Calibri"/>
          <w:szCs w:val="28"/>
        </w:rPr>
        <w:t xml:space="preserve">Viens no ES pamatmērķiem ir dalībvalstu ilgtspējīgas ekonomiskās izaugsmes veicināšana. Lai nodrošinātu savlaicīgu makroekonomisko risku identificēšanu un pārvaldi 2011. gada 16. novembrī Eiropas Parlaments un Eiropas Padome pieņēma divas regulas – par to, kā novērst un koriģēt makroekonomisko nelīdzsvarotību (regula Nr.1176/2011), un regulu par izpildes pasākumiem pārmērīgas makroekonomiskās nelīdzsvarotības koriģēšanai </w:t>
      </w:r>
      <w:proofErr w:type="spellStart"/>
      <w:r w:rsidRPr="00EF1D74">
        <w:rPr>
          <w:rFonts w:eastAsia="Calibri"/>
          <w:szCs w:val="28"/>
        </w:rPr>
        <w:t>eirozonā</w:t>
      </w:r>
      <w:proofErr w:type="spellEnd"/>
      <w:r w:rsidRPr="00EF1D74">
        <w:rPr>
          <w:rFonts w:eastAsia="Calibri"/>
          <w:szCs w:val="28"/>
        </w:rPr>
        <w:t xml:space="preserve"> (Nr.1174/2011</w:t>
      </w:r>
      <w:r w:rsidRPr="00EF1D74">
        <w:rPr>
          <w:rFonts w:eastAsia="Calibri"/>
          <w:bCs/>
          <w:szCs w:val="28"/>
        </w:rPr>
        <w:t>).</w:t>
      </w:r>
      <w:r w:rsidRPr="00EF1D74">
        <w:rPr>
          <w:rFonts w:eastAsia="Calibri"/>
          <w:bCs/>
          <w:szCs w:val="28"/>
          <w:vertAlign w:val="superscript"/>
        </w:rPr>
        <w:footnoteReference w:id="3"/>
      </w:r>
      <w:r w:rsidRPr="00EF1D74">
        <w:rPr>
          <w:rFonts w:eastAsia="Calibri"/>
          <w:bCs/>
          <w:szCs w:val="28"/>
        </w:rPr>
        <w:t xml:space="preserve"> </w:t>
      </w:r>
    </w:p>
    <w:p w:rsidR="00EF1D74" w:rsidRPr="00EF1D74" w:rsidRDefault="00EF1D74" w:rsidP="00EF1D74">
      <w:pPr>
        <w:spacing w:before="120"/>
        <w:ind w:firstLine="720"/>
        <w:rPr>
          <w:rFonts w:eastAsia="Calibri"/>
          <w:szCs w:val="28"/>
        </w:rPr>
      </w:pPr>
      <w:r w:rsidRPr="00EF1D74">
        <w:rPr>
          <w:rFonts w:eastAsia="Calibri"/>
          <w:szCs w:val="28"/>
        </w:rPr>
        <w:t xml:space="preserve">Procedūras izstrādes mērķis bija ne tikai stiprināt Stabilitātes un izaugsmes </w:t>
      </w:r>
      <w:proofErr w:type="spellStart"/>
      <w:r w:rsidRPr="00EF1D74">
        <w:rPr>
          <w:rFonts w:eastAsia="Calibri"/>
          <w:szCs w:val="28"/>
        </w:rPr>
        <w:t>pakta</w:t>
      </w:r>
      <w:proofErr w:type="spellEnd"/>
      <w:r w:rsidRPr="00EF1D74">
        <w:rPr>
          <w:rFonts w:eastAsia="Calibri"/>
          <w:szCs w:val="28"/>
        </w:rPr>
        <w:t xml:space="preserve"> funkcionēšanu, bet papildus budžeta uzraudzībai, paplašināt fiskālo un makroekonomisko nelīdzsvarotību uzraudzību un īstenot to efektīvu vadību ES dalībvalstīs. Regulu ietvaros tika atrunāta makroekonomikas uzraudzības un nesabalansētību identificēšanas kārtība, kā arī iespējamo finanšu sankciju kārtība, kas varētu tikt piemērota dalībvalstīm, kurās makroekonomiskā disciplīna netiek ievērota.</w:t>
      </w:r>
    </w:p>
    <w:p w:rsidR="00EF1D74" w:rsidRPr="00EF1D74" w:rsidRDefault="00EF1D74" w:rsidP="00EF1D74">
      <w:pPr>
        <w:spacing w:before="120"/>
        <w:ind w:firstLine="720"/>
        <w:rPr>
          <w:rFonts w:eastAsia="Calibri"/>
          <w:szCs w:val="28"/>
        </w:rPr>
      </w:pPr>
      <w:r w:rsidRPr="00EF1D74">
        <w:rPr>
          <w:rFonts w:eastAsia="Calibri"/>
          <w:szCs w:val="28"/>
        </w:rPr>
        <w:lastRenderedPageBreak/>
        <w:t xml:space="preserve">Finanšu sankcijas paredz noteiktu ikgadēju soda naudu vai procentus nesošu depozītu, kas ir 0,1% no attiecīgās dalībvalsts iepriekšējā gada IKP. Neraugoties uz to, ka makroekonomiskās nesabalansētības procedūras ietvaros ir atrunātas iespējamās finanšu sankcijas, praksē nevienai no dalībvalstīm tās līdz šim netika piemērotas. </w:t>
      </w:r>
    </w:p>
    <w:p w:rsidR="00EF1D74" w:rsidRPr="00EF1D74" w:rsidRDefault="00EF1D74" w:rsidP="00EF1D74">
      <w:pPr>
        <w:keepNext/>
        <w:keepLines/>
        <w:spacing w:before="240" w:after="240" w:line="259" w:lineRule="auto"/>
        <w:ind w:firstLine="0"/>
        <w:jc w:val="center"/>
        <w:outlineLvl w:val="2"/>
        <w:rPr>
          <w:b/>
          <w:sz w:val="32"/>
          <w:szCs w:val="32"/>
        </w:rPr>
      </w:pPr>
      <w:r w:rsidRPr="00EF1D74">
        <w:rPr>
          <w:b/>
          <w:sz w:val="32"/>
          <w:szCs w:val="32"/>
        </w:rPr>
        <w:t>1.3.1. Makroekonomikas nesabalansētību identificēšanas un pārvaldes posmi</w:t>
      </w:r>
    </w:p>
    <w:p w:rsidR="00EF1D74" w:rsidRPr="00EF1D74" w:rsidRDefault="00EF1D74" w:rsidP="00EF1D74">
      <w:pPr>
        <w:spacing w:before="120"/>
        <w:ind w:firstLine="720"/>
        <w:rPr>
          <w:rFonts w:eastAsia="Calibri"/>
          <w:szCs w:val="28"/>
        </w:rPr>
      </w:pPr>
      <w:r w:rsidRPr="00EF1D74">
        <w:rPr>
          <w:rFonts w:eastAsia="Calibri"/>
          <w:szCs w:val="28"/>
        </w:rPr>
        <w:t>Agrās brīdināšanas mehānisma ziņojums tiek publicēts tekošā gada beigās, kas ir arī sākums jaunam makroekonomiskās nesabalansētības uzraudzības ciklam. Tādējādi šobrīd, sagatavojot 2021. gada budžeta paskaidrojumus, tiek izmantots “Agrās brīdināšanas mehānisma ziņojums 2020” (</w:t>
      </w:r>
      <w:proofErr w:type="spellStart"/>
      <w:r w:rsidRPr="00EF1D74">
        <w:rPr>
          <w:rFonts w:eastAsia="Calibri"/>
          <w:i/>
          <w:szCs w:val="28"/>
        </w:rPr>
        <w:t>Alert</w:t>
      </w:r>
      <w:proofErr w:type="spellEnd"/>
      <w:r w:rsidRPr="00EF1D74">
        <w:rPr>
          <w:rFonts w:eastAsia="Calibri"/>
          <w:i/>
          <w:szCs w:val="28"/>
        </w:rPr>
        <w:t xml:space="preserve"> </w:t>
      </w:r>
      <w:proofErr w:type="spellStart"/>
      <w:r w:rsidRPr="00EF1D74">
        <w:rPr>
          <w:rFonts w:eastAsia="Calibri"/>
          <w:i/>
          <w:szCs w:val="28"/>
        </w:rPr>
        <w:t>Mechanism</w:t>
      </w:r>
      <w:proofErr w:type="spellEnd"/>
      <w:r w:rsidRPr="00EF1D74">
        <w:rPr>
          <w:rFonts w:eastAsia="Calibri"/>
          <w:i/>
          <w:szCs w:val="28"/>
        </w:rPr>
        <w:t xml:space="preserve"> </w:t>
      </w:r>
      <w:proofErr w:type="spellStart"/>
      <w:r w:rsidRPr="00EF1D74">
        <w:rPr>
          <w:rFonts w:eastAsia="Calibri"/>
          <w:i/>
          <w:szCs w:val="28"/>
        </w:rPr>
        <w:t>Report</w:t>
      </w:r>
      <w:proofErr w:type="spellEnd"/>
      <w:r w:rsidRPr="00EF1D74">
        <w:rPr>
          <w:rFonts w:eastAsia="Calibri"/>
          <w:szCs w:val="28"/>
        </w:rPr>
        <w:t xml:space="preserve"> 2020), kurš tika publicēts 2019. gada 17. decembrī. Ziņojumu izstrādē tiek lietoti statistikas dati ar gandrīz divu gadu nobīdi, attiecīgi 2020. gada Agrās brīdināšanas mehānisma ziņojums balstās uz 2018. gada statistikas datiem. Lai gan nākamais “Agrās brīdināšanas mehānisma ziņojums 2021” (</w:t>
      </w:r>
      <w:proofErr w:type="spellStart"/>
      <w:r w:rsidRPr="00EF1D74">
        <w:rPr>
          <w:rFonts w:eastAsia="Calibri"/>
          <w:i/>
          <w:szCs w:val="28"/>
        </w:rPr>
        <w:t>Alert</w:t>
      </w:r>
      <w:proofErr w:type="spellEnd"/>
      <w:r w:rsidRPr="00EF1D74">
        <w:rPr>
          <w:rFonts w:eastAsia="Calibri"/>
          <w:i/>
          <w:szCs w:val="28"/>
        </w:rPr>
        <w:t xml:space="preserve"> </w:t>
      </w:r>
      <w:proofErr w:type="spellStart"/>
      <w:r w:rsidRPr="00EF1D74">
        <w:rPr>
          <w:rFonts w:eastAsia="Calibri"/>
          <w:i/>
          <w:szCs w:val="28"/>
        </w:rPr>
        <w:t>Mechanism</w:t>
      </w:r>
      <w:proofErr w:type="spellEnd"/>
      <w:r w:rsidRPr="00EF1D74">
        <w:rPr>
          <w:rFonts w:eastAsia="Calibri"/>
          <w:i/>
          <w:szCs w:val="28"/>
        </w:rPr>
        <w:t xml:space="preserve"> </w:t>
      </w:r>
      <w:proofErr w:type="spellStart"/>
      <w:r w:rsidRPr="00EF1D74">
        <w:rPr>
          <w:rFonts w:eastAsia="Calibri"/>
          <w:i/>
          <w:szCs w:val="28"/>
        </w:rPr>
        <w:t>Report</w:t>
      </w:r>
      <w:proofErr w:type="spellEnd"/>
      <w:r w:rsidRPr="00EF1D74">
        <w:rPr>
          <w:rFonts w:eastAsia="Calibri"/>
          <w:szCs w:val="28"/>
        </w:rPr>
        <w:t xml:space="preserve">  2021) tiks publicēts tikai šī gada nogalē, jau šobrīd ir zināmi gandrīz visi pamata rādītāji par Latviju, kas tiks izmantoti šajā ziņojumā un tie ir atspoguļoti tabulā 1.6. </w:t>
      </w:r>
    </w:p>
    <w:p w:rsidR="00EF1D74" w:rsidRPr="00EF1D74" w:rsidRDefault="00EF1D74" w:rsidP="00EF1D74">
      <w:pPr>
        <w:spacing w:before="120"/>
        <w:ind w:firstLine="720"/>
        <w:rPr>
          <w:rFonts w:eastAsia="Calibri"/>
          <w:szCs w:val="28"/>
        </w:rPr>
      </w:pPr>
      <w:r w:rsidRPr="00EF1D74">
        <w:rPr>
          <w:rFonts w:eastAsia="Calibri"/>
          <w:szCs w:val="28"/>
        </w:rPr>
        <w:t xml:space="preserve">Ziņojuma pamatā ir divas rādītāju grupas – 14 pamata rādītāji un 28 papildinoši rādītāji. Pamata rādītājiem ir definēti </w:t>
      </w:r>
      <w:proofErr w:type="spellStart"/>
      <w:r w:rsidRPr="00EF1D74">
        <w:rPr>
          <w:rFonts w:eastAsia="Calibri"/>
          <w:szCs w:val="28"/>
        </w:rPr>
        <w:t>mērķlīmeņi</w:t>
      </w:r>
      <w:proofErr w:type="spellEnd"/>
      <w:r w:rsidRPr="00EF1D74">
        <w:rPr>
          <w:rFonts w:eastAsia="Calibri"/>
          <w:szCs w:val="28"/>
        </w:rPr>
        <w:t xml:space="preserve"> jeb pieļaujamās robežas, kuru pārsniegšana var iniciēt Padziļinātās izpētes ziņojuma (IDR) izstrādi par attiecīgo dalībvalsti. Lēmums par attiecīgās valsts ekonomikas padziļinātās izpētes procedūras uzsākšanu var tikt pieņemts pamatojoties uz izvērstu, fundamentālu ekonomiskās situācijas un saistīto risku analīzi, kā arī ņemot vērā rādītāju sagaidāmo dinamiku. Automātiska padziļinātās izpētes procedūras uzsākšana, pamatojoties vienīgi uz tehnisku dažu rādītāju noteikto robežvērtību pārsniegšanu, netiek praktizēta. Pamata rādītāju tabula (</w:t>
      </w:r>
      <w:proofErr w:type="spellStart"/>
      <w:r w:rsidRPr="00EF1D74">
        <w:rPr>
          <w:rFonts w:eastAsia="Calibri"/>
          <w:i/>
          <w:szCs w:val="28"/>
        </w:rPr>
        <w:t>scoreboard</w:t>
      </w:r>
      <w:proofErr w:type="spellEnd"/>
      <w:r w:rsidRPr="00EF1D74">
        <w:rPr>
          <w:rFonts w:eastAsia="Calibri"/>
          <w:szCs w:val="28"/>
        </w:rPr>
        <w:t>) ietver šādus rādītājus:</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t>Tekošā konta bilance, % no IKP, 3 gadu vidējais rādītājs;</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t>Neto starptautisko investīciju pozīcija, % no IKP;</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t xml:space="preserve">Reālais efektīvais valūtas kurss (HICP </w:t>
      </w:r>
      <w:proofErr w:type="spellStart"/>
      <w:r w:rsidRPr="00EF1D74">
        <w:rPr>
          <w:rFonts w:eastAsia="Calibri"/>
          <w:szCs w:val="28"/>
        </w:rPr>
        <w:t>deflators</w:t>
      </w:r>
      <w:proofErr w:type="spellEnd"/>
      <w:r w:rsidRPr="00EF1D74">
        <w:rPr>
          <w:rFonts w:eastAsia="Calibri"/>
          <w:szCs w:val="28"/>
        </w:rPr>
        <w:t>), 3 gadu % izmaiņas;</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t>Eksporta tirgus daļa, % no pasaules eksporta, 5 gadu % izmaiņas;</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t>Nominālo vienības darbaspēka izmaksu indekss,</w:t>
      </w:r>
      <w:r w:rsidRPr="00EF1D74">
        <w:rPr>
          <w:rFonts w:eastAsia="Calibri"/>
          <w:szCs w:val="28"/>
          <w:vertAlign w:val="superscript"/>
        </w:rPr>
        <w:footnoteReference w:id="4"/>
      </w:r>
      <w:r w:rsidRPr="00EF1D74">
        <w:rPr>
          <w:rFonts w:eastAsia="Calibri"/>
          <w:szCs w:val="28"/>
        </w:rPr>
        <w:t xml:space="preserve"> 3 gadu % izmaiņas, (2010=100);</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t>Mājokļu cenu indekss (2010=100), gada % izmaiņas;</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t xml:space="preserve">Privātā sektora konsolidētā </w:t>
      </w:r>
      <w:proofErr w:type="spellStart"/>
      <w:r w:rsidRPr="00EF1D74">
        <w:rPr>
          <w:rFonts w:eastAsia="Calibri"/>
          <w:szCs w:val="28"/>
        </w:rPr>
        <w:t>kredītplūsma</w:t>
      </w:r>
      <w:proofErr w:type="spellEnd"/>
      <w:r w:rsidRPr="00EF1D74">
        <w:rPr>
          <w:rFonts w:eastAsia="Calibri"/>
          <w:szCs w:val="28"/>
        </w:rPr>
        <w:t>, % no IKP;</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t>Privātā sektora konsolidētais parāds, % no IKP;</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t>Vispārējās valdības sektora parāds, % no IKP;</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t>Bezdarba līmenis, 3 gadu vidējais;</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t>Finanšu sektora nekonsolidētās saistības, 1 gada % izmaiņas;</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t>Iedzīvotāju ekonomiskās aktivitātes līmenis – 3 gadu izmaiņas procentu punktos no visiem iedzīvotājiem vecuma grupā no 15 līdz 64 gadiem;</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lastRenderedPageBreak/>
        <w:t>Ilgtermiņa bezdarba līmenis – 3 gadu izmaiņas procentu punktos no ekonomiski aktīvajiem iedzīvotājiem vecuma grupā no 15 līdz 74 gadiem;</w:t>
      </w:r>
    </w:p>
    <w:p w:rsidR="00EF1D74" w:rsidRPr="00EF1D74" w:rsidRDefault="00EF1D74" w:rsidP="00EF1D74">
      <w:pPr>
        <w:numPr>
          <w:ilvl w:val="0"/>
          <w:numId w:val="3"/>
        </w:numPr>
        <w:spacing w:before="120" w:after="160" w:line="259" w:lineRule="auto"/>
        <w:ind w:left="993"/>
        <w:jc w:val="left"/>
        <w:rPr>
          <w:rFonts w:eastAsia="Calibri"/>
          <w:szCs w:val="28"/>
        </w:rPr>
      </w:pPr>
      <w:r w:rsidRPr="00EF1D74">
        <w:rPr>
          <w:rFonts w:eastAsia="Calibri"/>
          <w:szCs w:val="28"/>
        </w:rPr>
        <w:t>Jauniešu bezdarba līmenis – 3 gadu izmaiņas procentu punktos no ekonomiski aktīvajiem iedzīvotājiem vecuma grupā no 15 līdz 24 gadiem.</w:t>
      </w:r>
    </w:p>
    <w:p w:rsidR="00EF1D74" w:rsidRPr="00EF1D74" w:rsidRDefault="00EF1D74" w:rsidP="00EF1D74">
      <w:pPr>
        <w:spacing w:before="120"/>
        <w:ind w:firstLine="567"/>
        <w:rPr>
          <w:rFonts w:eastAsia="Calibri"/>
          <w:szCs w:val="28"/>
        </w:rPr>
      </w:pPr>
      <w:r w:rsidRPr="00EF1D74">
        <w:rPr>
          <w:rFonts w:eastAsia="Calibri"/>
          <w:szCs w:val="28"/>
        </w:rPr>
        <w:t xml:space="preserve">Līdzīgi kā pamata rādītāju tehniskā neievērošana, arī </w:t>
      </w:r>
      <w:proofErr w:type="spellStart"/>
      <w:r w:rsidRPr="00EF1D74">
        <w:rPr>
          <w:rFonts w:eastAsia="Calibri"/>
          <w:szCs w:val="28"/>
        </w:rPr>
        <w:t>jaunieviesto</w:t>
      </w:r>
      <w:proofErr w:type="spellEnd"/>
      <w:r w:rsidRPr="00EF1D74">
        <w:rPr>
          <w:rFonts w:eastAsia="Calibri"/>
          <w:szCs w:val="28"/>
        </w:rPr>
        <w:t xml:space="preserve"> sociālo rādītāju robežvērtību tehniska neievērošana nevar kalpot par makroekonomiskās nesabalansētības fakta atzīšanu kādā no dalībvalstīm – šāds lēmums vienmēr tiek balstīts uz padziļinātu, vispārēju situācijas analīzi, ņemot vērā rādītāju dinamiku un attīstības perspektīvas.</w:t>
      </w:r>
    </w:p>
    <w:p w:rsidR="00EF1D74" w:rsidRPr="00EF1D74" w:rsidRDefault="00EF1D74" w:rsidP="00EF1D74">
      <w:pPr>
        <w:keepNext/>
        <w:keepLines/>
        <w:spacing w:before="240" w:after="240" w:line="259" w:lineRule="auto"/>
        <w:ind w:firstLine="0"/>
        <w:jc w:val="center"/>
        <w:outlineLvl w:val="2"/>
        <w:rPr>
          <w:b/>
          <w:bCs/>
          <w:kern w:val="32"/>
          <w:sz w:val="32"/>
          <w:szCs w:val="32"/>
        </w:rPr>
      </w:pPr>
      <w:r w:rsidRPr="00EF1D74">
        <w:rPr>
          <w:b/>
          <w:bCs/>
          <w:kern w:val="32"/>
          <w:sz w:val="32"/>
          <w:szCs w:val="32"/>
        </w:rPr>
        <w:t>1.3.2. Pārmērīga makroekonomiskā nesabalansētība un Padziļināto izpētes ziņojumu izstrāde</w:t>
      </w:r>
    </w:p>
    <w:p w:rsidR="00EF1D74" w:rsidRPr="00EF1D74" w:rsidRDefault="00EF1D74" w:rsidP="00EF1D74">
      <w:pPr>
        <w:spacing w:before="120"/>
        <w:ind w:firstLine="720"/>
        <w:rPr>
          <w:rFonts w:eastAsia="Calibri"/>
          <w:szCs w:val="28"/>
        </w:rPr>
      </w:pPr>
      <w:r w:rsidRPr="00EF1D74">
        <w:rPr>
          <w:rFonts w:eastAsia="Calibri"/>
          <w:szCs w:val="28"/>
        </w:rPr>
        <w:t>2020. gada Agrās Brīdināšanas mehānisma ziņojumā ietvertas 13 ES dalībvalstis, kas ir identisks valstu skaits 2019. gada ziņojumā ietvertajām valstīm, taču 2020. gada ziņojumā ir mainījies to valstu sastāvs, kurām ir konstatētas nesabalansētības un pārmērīgas nesabalansētības. Atšķirībā no iepriekšējiem gadiem par 2 gadījumiem ir palielinājies to valstu skaits, kurās ir konstatēta robežvērtību pārsniegšana. Lai gan sākot no 2016. gada valstu skaits, kurām veica padziļināto izpēti, ik gadu samazinājās, 2020. gada ziņojumā to skaits ir saglabājies iepriekšējā līmenī. Tāpat kā iepriekš kopš Agrās Brīdināšanas mehānisma ieviešanas, Latvijā makroekonomiskās nesabalansētības nav konstatētas un par Latviju nav tikusi veikta padziļinātā izpēte.</w:t>
      </w:r>
    </w:p>
    <w:p w:rsidR="00EF1D74" w:rsidRPr="00EF1D74" w:rsidRDefault="00EF1D74" w:rsidP="00EF1D74">
      <w:pPr>
        <w:spacing w:after="0"/>
        <w:ind w:firstLine="0"/>
        <w:jc w:val="center"/>
        <w:rPr>
          <w:rFonts w:eastAsia="Calibri"/>
          <w:b/>
          <w:i/>
          <w:szCs w:val="24"/>
        </w:rPr>
      </w:pPr>
      <w:r w:rsidRPr="00EF1D74">
        <w:rPr>
          <w:rFonts w:eastAsia="Calibri"/>
          <w:b/>
          <w:i/>
          <w:szCs w:val="24"/>
        </w:rPr>
        <w:t xml:space="preserve">1.43. attēls </w:t>
      </w:r>
      <w:r w:rsidRPr="00EF1D74">
        <w:rPr>
          <w:rFonts w:eastAsia="Calibri"/>
          <w:b/>
          <w:szCs w:val="24"/>
        </w:rPr>
        <w:t xml:space="preserve">Valstu skaits, kurās pārsniegts Agrās brīdināšanas mehānisma rādītāju noteikto </w:t>
      </w:r>
      <w:proofErr w:type="spellStart"/>
      <w:r w:rsidRPr="00EF1D74">
        <w:rPr>
          <w:rFonts w:eastAsia="Calibri"/>
          <w:b/>
          <w:szCs w:val="24"/>
        </w:rPr>
        <w:t>robežslieksni</w:t>
      </w:r>
      <w:proofErr w:type="spellEnd"/>
      <w:r w:rsidRPr="00EF1D74">
        <w:rPr>
          <w:rFonts w:eastAsia="Calibri"/>
          <w:b/>
          <w:szCs w:val="24"/>
        </w:rPr>
        <w:t xml:space="preserve"> (pa rādītājiem)</w:t>
      </w:r>
    </w:p>
    <w:p w:rsidR="00EF1D74" w:rsidRPr="00EF1D74" w:rsidRDefault="00EF1D74" w:rsidP="00EF1D74">
      <w:pPr>
        <w:spacing w:before="120" w:after="240"/>
        <w:ind w:firstLine="0"/>
        <w:jc w:val="center"/>
        <w:rPr>
          <w:rFonts w:eastAsia="Calibri"/>
          <w:szCs w:val="24"/>
        </w:rPr>
      </w:pPr>
      <w:r w:rsidRPr="00EF1D74">
        <w:rPr>
          <w:rFonts w:ascii="Calibri" w:eastAsia="Calibri" w:hAnsi="Calibri"/>
          <w:noProof/>
          <w:sz w:val="22"/>
          <w:szCs w:val="22"/>
          <w:lang w:eastAsia="lv-LV"/>
        </w:rPr>
        <w:drawing>
          <wp:inline distT="0" distB="0" distL="0" distR="0" wp14:anchorId="6464AEF8" wp14:editId="059945DA">
            <wp:extent cx="5534025" cy="315277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F1D74" w:rsidRPr="00EF1D74" w:rsidRDefault="00EF1D74" w:rsidP="00EF1D74">
      <w:pPr>
        <w:spacing w:before="60" w:after="60"/>
        <w:ind w:firstLine="720"/>
        <w:rPr>
          <w:rFonts w:eastAsia="Calibri"/>
          <w:szCs w:val="28"/>
        </w:rPr>
      </w:pPr>
      <w:r w:rsidRPr="00EF1D74">
        <w:rPr>
          <w:rFonts w:eastAsia="Calibri"/>
          <w:szCs w:val="28"/>
        </w:rPr>
        <w:t>Saskaņā ar 2020. gada Agrās brīdināšanas mehānisma ziņojumu padziļinātā izpētes procedūra ir uzsākta 13 valstīm – Bulgārijai, Horvātijai, Francijai, Vācijai, Īrijai, Nīderlandei, Portugālei, Rumānijai, Spānijai un Zviedrijai, kā arī Kiprai, Grieķijai un Itālijai, kurās ir konstatētas pārmērīgas nesabalansētības.</w:t>
      </w:r>
    </w:p>
    <w:p w:rsidR="00EF1D74" w:rsidRPr="00EF1D74" w:rsidRDefault="00EF1D74" w:rsidP="00EF1D74">
      <w:pPr>
        <w:spacing w:before="60" w:after="60"/>
        <w:ind w:firstLine="720"/>
        <w:rPr>
          <w:rFonts w:eastAsia="Calibri"/>
          <w:sz w:val="28"/>
          <w:szCs w:val="28"/>
        </w:rPr>
      </w:pPr>
    </w:p>
    <w:p w:rsidR="00EF1D74" w:rsidRPr="00EF1D74" w:rsidRDefault="00EF1D74" w:rsidP="00EF1D74">
      <w:pPr>
        <w:spacing w:before="60" w:after="60"/>
        <w:ind w:firstLine="720"/>
        <w:rPr>
          <w:rFonts w:eastAsia="Calibri"/>
          <w:sz w:val="28"/>
          <w:szCs w:val="28"/>
        </w:rPr>
      </w:pPr>
    </w:p>
    <w:p w:rsidR="00EF1D74" w:rsidRPr="00EF1D74" w:rsidRDefault="00EF1D74" w:rsidP="00EF1D74">
      <w:pPr>
        <w:spacing w:before="60"/>
        <w:ind w:firstLine="0"/>
        <w:jc w:val="center"/>
        <w:rPr>
          <w:rFonts w:eastAsia="Calibri"/>
          <w:b/>
          <w:i/>
          <w:szCs w:val="24"/>
        </w:rPr>
      </w:pPr>
      <w:r w:rsidRPr="00EF1D74">
        <w:rPr>
          <w:rFonts w:eastAsia="Calibri"/>
          <w:b/>
          <w:i/>
          <w:szCs w:val="24"/>
        </w:rPr>
        <w:lastRenderedPageBreak/>
        <w:t xml:space="preserve">1.5. tabula </w:t>
      </w:r>
      <w:r w:rsidRPr="00EF1D74">
        <w:rPr>
          <w:rFonts w:eastAsia="Calibri"/>
          <w:b/>
          <w:szCs w:val="24"/>
        </w:rPr>
        <w:t>2020.gada Agrās brīdināšanas mehānisma ziņojuma rezultāts</w:t>
      </w:r>
      <w:r w:rsidRPr="00EF1D74">
        <w:rPr>
          <w:rFonts w:eastAsia="Calibri"/>
          <w:b/>
          <w:i/>
          <w:szCs w:val="24"/>
          <w:vertAlign w:val="superscript"/>
        </w:rPr>
        <w:footnoteReference w:id="5"/>
      </w:r>
    </w:p>
    <w:tbl>
      <w:tblPr>
        <w:tblStyle w:val="ListTable2-Accent111"/>
        <w:tblW w:w="8468" w:type="dxa"/>
        <w:jc w:val="center"/>
        <w:tblLook w:val="04A0" w:firstRow="1" w:lastRow="0" w:firstColumn="1" w:lastColumn="0" w:noHBand="0" w:noVBand="1"/>
      </w:tblPr>
      <w:tblGrid>
        <w:gridCol w:w="3849"/>
        <w:gridCol w:w="4619"/>
      </w:tblGrid>
      <w:tr w:rsidR="00EF1D74" w:rsidRPr="00EF1D74" w:rsidTr="0057436F">
        <w:trPr>
          <w:cnfStyle w:val="100000000000" w:firstRow="1" w:lastRow="0" w:firstColumn="0" w:lastColumn="0" w:oddVBand="0" w:evenVBand="0" w:oddHBand="0"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3849" w:type="dxa"/>
          </w:tcPr>
          <w:p w:rsidR="00EF1D74" w:rsidRPr="00EF1D74" w:rsidRDefault="00EF1D74" w:rsidP="00EF1D74">
            <w:pPr>
              <w:numPr>
                <w:ilvl w:val="0"/>
                <w:numId w:val="2"/>
              </w:numPr>
              <w:spacing w:before="60" w:after="60"/>
              <w:ind w:left="360"/>
              <w:contextualSpacing/>
              <w:jc w:val="left"/>
              <w:rPr>
                <w:sz w:val="18"/>
                <w:szCs w:val="18"/>
              </w:rPr>
            </w:pPr>
            <w:r w:rsidRPr="00EF1D74">
              <w:rPr>
                <w:sz w:val="18"/>
                <w:szCs w:val="18"/>
              </w:rPr>
              <w:t xml:space="preserve">Nesabalansētības netika konstatētas un netiek iniciēta Padziļinātā izpētes ziņojuma izstrāde </w:t>
            </w:r>
          </w:p>
        </w:tc>
        <w:tc>
          <w:tcPr>
            <w:tcW w:w="4619" w:type="dxa"/>
          </w:tcPr>
          <w:p w:rsidR="00EF1D74" w:rsidRPr="00EF1D74" w:rsidRDefault="00EF1D74" w:rsidP="00EF1D74">
            <w:pPr>
              <w:spacing w:before="60" w:after="60"/>
              <w:ind w:firstLine="0"/>
              <w:cnfStyle w:val="100000000000" w:firstRow="1" w:lastRow="0" w:firstColumn="0" w:lastColumn="0" w:oddVBand="0" w:evenVBand="0" w:oddHBand="0" w:evenHBand="0" w:firstRowFirstColumn="0" w:firstRowLastColumn="0" w:lastRowFirstColumn="0" w:lastRowLastColumn="0"/>
              <w:rPr>
                <w:sz w:val="18"/>
                <w:szCs w:val="18"/>
              </w:rPr>
            </w:pPr>
            <w:r w:rsidRPr="00EF1D74">
              <w:rPr>
                <w:sz w:val="18"/>
                <w:szCs w:val="18"/>
              </w:rPr>
              <w:t>Austrija, Beļģija, Igaunija, Ungārija, Apvienotā Karaliste, Čehija, Dānija, Latvija, Lietuva, Luksemburga, Malta, Slovākija, Polija, Slovēnija, Somija</w:t>
            </w:r>
          </w:p>
        </w:tc>
      </w:tr>
      <w:tr w:rsidR="00EF1D74" w:rsidRPr="00EF1D74" w:rsidTr="0057436F">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3849" w:type="dxa"/>
          </w:tcPr>
          <w:p w:rsidR="00EF1D74" w:rsidRPr="00EF1D74" w:rsidRDefault="00EF1D74" w:rsidP="00EF1D74">
            <w:pPr>
              <w:numPr>
                <w:ilvl w:val="0"/>
                <w:numId w:val="2"/>
              </w:numPr>
              <w:spacing w:before="60" w:after="60"/>
              <w:ind w:left="360"/>
              <w:contextualSpacing/>
              <w:jc w:val="left"/>
              <w:rPr>
                <w:sz w:val="18"/>
                <w:szCs w:val="18"/>
              </w:rPr>
            </w:pPr>
            <w:r w:rsidRPr="00EF1D74">
              <w:rPr>
                <w:sz w:val="18"/>
                <w:szCs w:val="18"/>
              </w:rPr>
              <w:t>Pastāv makroekonomiskās nesabalansētības</w:t>
            </w:r>
          </w:p>
        </w:tc>
        <w:tc>
          <w:tcPr>
            <w:tcW w:w="4619" w:type="dxa"/>
          </w:tcPr>
          <w:p w:rsidR="00EF1D74" w:rsidRPr="00EF1D74" w:rsidRDefault="00EF1D74" w:rsidP="00EF1D74">
            <w:pPr>
              <w:spacing w:before="60" w:after="60"/>
              <w:ind w:firstLine="0"/>
              <w:cnfStyle w:val="000000100000" w:firstRow="0" w:lastRow="0" w:firstColumn="0" w:lastColumn="0" w:oddVBand="0" w:evenVBand="0" w:oddHBand="1" w:evenHBand="0" w:firstRowFirstColumn="0" w:firstRowLastColumn="0" w:lastRowFirstColumn="0" w:lastRowLastColumn="0"/>
              <w:rPr>
                <w:sz w:val="18"/>
                <w:szCs w:val="18"/>
              </w:rPr>
            </w:pPr>
            <w:r w:rsidRPr="00EF1D74">
              <w:rPr>
                <w:sz w:val="18"/>
                <w:szCs w:val="18"/>
              </w:rPr>
              <w:t>Bulgārija, Horvātija, Francija, Vācija, Īrija, Nīderlande, Portugāle, Rumānija, Spānija un Zviedrija</w:t>
            </w:r>
          </w:p>
        </w:tc>
      </w:tr>
      <w:tr w:rsidR="00EF1D74" w:rsidRPr="00EF1D74" w:rsidTr="0057436F">
        <w:trPr>
          <w:trHeight w:val="498"/>
          <w:jc w:val="center"/>
        </w:trPr>
        <w:tc>
          <w:tcPr>
            <w:cnfStyle w:val="001000000000" w:firstRow="0" w:lastRow="0" w:firstColumn="1" w:lastColumn="0" w:oddVBand="0" w:evenVBand="0" w:oddHBand="0" w:evenHBand="0" w:firstRowFirstColumn="0" w:firstRowLastColumn="0" w:lastRowFirstColumn="0" w:lastRowLastColumn="0"/>
            <w:tcW w:w="3849" w:type="dxa"/>
          </w:tcPr>
          <w:p w:rsidR="00EF1D74" w:rsidRPr="00EF1D74" w:rsidRDefault="00EF1D74" w:rsidP="00EF1D74">
            <w:pPr>
              <w:numPr>
                <w:ilvl w:val="0"/>
                <w:numId w:val="2"/>
              </w:numPr>
              <w:spacing w:before="60" w:after="60"/>
              <w:ind w:left="360"/>
              <w:contextualSpacing/>
              <w:jc w:val="left"/>
              <w:rPr>
                <w:sz w:val="18"/>
                <w:szCs w:val="18"/>
              </w:rPr>
            </w:pPr>
            <w:r w:rsidRPr="00EF1D74">
              <w:rPr>
                <w:sz w:val="18"/>
                <w:szCs w:val="18"/>
              </w:rPr>
              <w:t>Pastāv pārmērīgas makroekonomiskās nesabalansētības</w:t>
            </w:r>
          </w:p>
        </w:tc>
        <w:tc>
          <w:tcPr>
            <w:tcW w:w="4619" w:type="dxa"/>
          </w:tcPr>
          <w:p w:rsidR="00EF1D74" w:rsidRPr="00EF1D74" w:rsidRDefault="00EF1D74" w:rsidP="00EF1D74">
            <w:pPr>
              <w:spacing w:before="60" w:after="60"/>
              <w:ind w:firstLine="0"/>
              <w:cnfStyle w:val="000000000000" w:firstRow="0" w:lastRow="0" w:firstColumn="0" w:lastColumn="0" w:oddVBand="0" w:evenVBand="0" w:oddHBand="0" w:evenHBand="0" w:firstRowFirstColumn="0" w:firstRowLastColumn="0" w:lastRowFirstColumn="0" w:lastRowLastColumn="0"/>
              <w:rPr>
                <w:sz w:val="18"/>
                <w:szCs w:val="18"/>
              </w:rPr>
            </w:pPr>
            <w:r w:rsidRPr="00EF1D74">
              <w:rPr>
                <w:sz w:val="18"/>
                <w:szCs w:val="18"/>
              </w:rPr>
              <w:t>Kipra, Grieķija un Itālija</w:t>
            </w:r>
          </w:p>
        </w:tc>
      </w:tr>
      <w:tr w:rsidR="00EF1D74" w:rsidRPr="00EF1D74" w:rsidTr="0057436F">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3849" w:type="dxa"/>
          </w:tcPr>
          <w:p w:rsidR="00EF1D74" w:rsidRPr="00EF1D74" w:rsidRDefault="00EF1D74" w:rsidP="00EF1D74">
            <w:pPr>
              <w:numPr>
                <w:ilvl w:val="0"/>
                <w:numId w:val="2"/>
              </w:numPr>
              <w:spacing w:before="60" w:after="60"/>
              <w:ind w:left="360"/>
              <w:contextualSpacing/>
              <w:jc w:val="left"/>
              <w:rPr>
                <w:sz w:val="18"/>
                <w:szCs w:val="18"/>
              </w:rPr>
            </w:pPr>
            <w:r w:rsidRPr="00EF1D74">
              <w:rPr>
                <w:sz w:val="18"/>
                <w:szCs w:val="18"/>
              </w:rPr>
              <w:t>Kopā, no 28 ES dalībvalstīm Padziļinātās izpētes ziņojumi izstrādāti</w:t>
            </w:r>
          </w:p>
        </w:tc>
        <w:tc>
          <w:tcPr>
            <w:tcW w:w="4619" w:type="dxa"/>
          </w:tcPr>
          <w:p w:rsidR="00EF1D74" w:rsidRPr="00EF1D74" w:rsidRDefault="00EF1D74" w:rsidP="00EF1D74">
            <w:pPr>
              <w:spacing w:before="60" w:after="60"/>
              <w:ind w:firstLine="0"/>
              <w:cnfStyle w:val="000000100000" w:firstRow="0" w:lastRow="0" w:firstColumn="0" w:lastColumn="0" w:oddVBand="0" w:evenVBand="0" w:oddHBand="1" w:evenHBand="0" w:firstRowFirstColumn="0" w:firstRowLastColumn="0" w:lastRowFirstColumn="0" w:lastRowLastColumn="0"/>
              <w:rPr>
                <w:sz w:val="18"/>
                <w:szCs w:val="18"/>
              </w:rPr>
            </w:pPr>
            <w:r w:rsidRPr="00EF1D74">
              <w:rPr>
                <w:sz w:val="18"/>
                <w:szCs w:val="18"/>
              </w:rPr>
              <w:t>13 dalībvalstīs</w:t>
            </w:r>
          </w:p>
        </w:tc>
      </w:tr>
    </w:tbl>
    <w:p w:rsidR="00EF1D74" w:rsidRPr="00EF1D74" w:rsidRDefault="00EF1D74" w:rsidP="00EF1D74">
      <w:pPr>
        <w:spacing w:before="120"/>
        <w:ind w:firstLine="720"/>
        <w:rPr>
          <w:rFonts w:eastAsia="Calibri"/>
          <w:szCs w:val="28"/>
        </w:rPr>
      </w:pPr>
      <w:r w:rsidRPr="00EF1D74">
        <w:rPr>
          <w:rFonts w:eastAsia="Calibri"/>
          <w:szCs w:val="28"/>
        </w:rPr>
        <w:t xml:space="preserve">Attiecībā uz situāciju dalībvalstīs kopumā 2020. gada Agrās brīdināšanas ziņojumā ir norādīts, ka līdz šim vērojamā makroekonomikas nelīdzsvarotība ir pamazām mazinājusies, pateicoties labvēlīgiem ekonomikas apstākļiem. Pateicoties aizņemto līdzekļu īpatsvara vispārējas samazināšanās procesam </w:t>
      </w:r>
      <w:proofErr w:type="spellStart"/>
      <w:r w:rsidRPr="00EF1D74">
        <w:rPr>
          <w:rFonts w:eastAsia="Calibri"/>
          <w:szCs w:val="28"/>
        </w:rPr>
        <w:t>pēckrīzes</w:t>
      </w:r>
      <w:proofErr w:type="spellEnd"/>
      <w:r w:rsidRPr="00EF1D74">
        <w:rPr>
          <w:rFonts w:eastAsia="Calibri"/>
          <w:szCs w:val="28"/>
        </w:rPr>
        <w:t xml:space="preserve"> periodā, ir novērstas vairākas “plūsmu” nelīdzsvarotības un neilgtspējīgas tendences (īpaši lielie tekošā konta deficīti, pārmērīgs izsniegto kredītu apjoms, kas dzen uz augšu mājokļu cenas, augstās  nominālās vienības darbaspēka izmaksas, kā rezultātā mazinās izmaksu konkurētspēja). Pārējo nelīdzsvarotību (lielo privātā, valsts sektora, un kopējā ārējā parāda) novēršana ir virzījusies lēnāk salīdzinājumā ar iepriekšējiem gadiem, taču līdz ar ekonomikas izaugsmi un cenu pieauguma atsākšanos pēdējos gados valsts un privātā sektora</w:t>
      </w:r>
      <w:r w:rsidRPr="00EF1D74">
        <w:rPr>
          <w:rFonts w:eastAsia="Calibri"/>
          <w:b/>
          <w:szCs w:val="28"/>
        </w:rPr>
        <w:t xml:space="preserve"> </w:t>
      </w:r>
      <w:r w:rsidRPr="00EF1D74">
        <w:rPr>
          <w:rFonts w:eastAsia="Calibri"/>
          <w:szCs w:val="28"/>
        </w:rPr>
        <w:t xml:space="preserve">parāda attiecība pret IKP ir uzrādījusi noteiktāku samazināšanās tendenci. Vienlaikus jāatzīmē, ka pēdējā laikā līdz ar ekonomiskās aktivitātes straujāku palielināšanos vairākās dalībvalstīs (t.sk. Latvijā) ir bijis vērojams arī pieaugošs nominālās darbaspēka vienības izmaksu un mājokļu cenu kāpums. </w:t>
      </w:r>
    </w:p>
    <w:p w:rsidR="00EF1D74" w:rsidRPr="00EF1D74" w:rsidRDefault="00EF1D74" w:rsidP="00EF1D74">
      <w:pPr>
        <w:spacing w:before="120"/>
        <w:ind w:firstLine="720"/>
        <w:rPr>
          <w:rFonts w:eastAsia="Calibri"/>
          <w:szCs w:val="28"/>
        </w:rPr>
      </w:pPr>
      <w:r w:rsidRPr="00EF1D74">
        <w:rPr>
          <w:rFonts w:eastAsia="Calibri"/>
          <w:szCs w:val="28"/>
        </w:rPr>
        <w:t>Ziņojumā EK ir norādījusi, ka sagatavojot nākamos ziņojumus ir nepieciešams cieši uzraudzīt vairākas tendences, kas to ieilgšanas gadījumā varētu radīt makroekonomiskus riskus. Minētās tendences ir nominālo vienības darbaspēka izmaksu attīstība un to ietekme uz ārējo konkurētspēju vairākās dalībvalstīs (Čehija, Igaunija, Latvija, Lietuva, Slovākija un Ungārija) un mājokļu tirgu un mājsaimniecību parāda attīstība (Apvienotā Karaliste, Austrija, Beļģija, Čehija, Dānija, Luksemburga, Slovākija, Slovēnija, Somija un Ungārija).</w:t>
      </w:r>
    </w:p>
    <w:p w:rsidR="00EF1D74" w:rsidRPr="00EF1D74" w:rsidRDefault="00EF1D74" w:rsidP="00EF1D74">
      <w:pPr>
        <w:keepNext/>
        <w:keepLines/>
        <w:spacing w:before="240" w:after="240"/>
        <w:ind w:firstLine="0"/>
        <w:jc w:val="center"/>
        <w:outlineLvl w:val="2"/>
        <w:rPr>
          <w:b/>
          <w:sz w:val="32"/>
          <w:szCs w:val="32"/>
        </w:rPr>
      </w:pPr>
      <w:r w:rsidRPr="00EF1D74">
        <w:rPr>
          <w:b/>
          <w:sz w:val="32"/>
          <w:szCs w:val="32"/>
        </w:rPr>
        <w:t>1.3.3. </w:t>
      </w:r>
      <w:bookmarkStart w:id="4" w:name="_Toc1987120"/>
      <w:r w:rsidRPr="00EF1D74">
        <w:rPr>
          <w:b/>
          <w:sz w:val="32"/>
          <w:szCs w:val="32"/>
        </w:rPr>
        <w:t>Latvijas ekonomiskās situācijas novērtējums 2020. gada Agrās brīdināšanas mehānisma ziņojumā</w:t>
      </w:r>
      <w:bookmarkEnd w:id="4"/>
      <w:r w:rsidRPr="00EF1D74">
        <w:rPr>
          <w:b/>
          <w:sz w:val="32"/>
          <w:szCs w:val="32"/>
        </w:rPr>
        <w:t xml:space="preserve"> un iespējamās tendences 2021. gada ziņojumā</w:t>
      </w:r>
    </w:p>
    <w:p w:rsidR="00EF1D74" w:rsidRPr="00EF1D74" w:rsidRDefault="00EF1D74" w:rsidP="00EF1D74">
      <w:pPr>
        <w:spacing w:before="120"/>
        <w:ind w:firstLine="720"/>
        <w:rPr>
          <w:rFonts w:eastAsia="Calibri"/>
          <w:szCs w:val="28"/>
        </w:rPr>
      </w:pPr>
      <w:r w:rsidRPr="00EF1D74">
        <w:rPr>
          <w:rFonts w:eastAsia="Calibri"/>
          <w:szCs w:val="28"/>
        </w:rPr>
        <w:t>Lai gan 2020. gada Agrās brīdināšanas mehānisma ziņojumā ir pārsniegtas trīs pamata statistikas rādītāju robežvērtības, kas pretstatā divām ir par vienu vairāk nekā 2019. gada ziņojumā, ziņojums joprojām ir bijis Latvijai labvēlīgs.</w:t>
      </w:r>
    </w:p>
    <w:p w:rsidR="00EF1D74" w:rsidRPr="00EF1D74" w:rsidRDefault="00EF1D74" w:rsidP="00EF1D74">
      <w:pPr>
        <w:spacing w:before="120"/>
        <w:ind w:firstLine="720"/>
        <w:rPr>
          <w:rFonts w:eastAsia="Calibri"/>
          <w:szCs w:val="28"/>
        </w:rPr>
      </w:pPr>
      <w:r w:rsidRPr="00EF1D74">
        <w:rPr>
          <w:rFonts w:eastAsia="Calibri"/>
          <w:szCs w:val="28"/>
        </w:rPr>
        <w:t xml:space="preserve">Specifiski par Latviju Komisija savā ziņojumā norāda, ka atjauninātajā rādītāju kopsavilkumā (1.6. tabula) vairāki rādītāji pārsniedz indikatīvo robežvērtību, proti, neto starptautiskā investīciju pozīcija, nominālo vienības darbaspēka izmaksu pieaugums un mājokļu reālo cenu pieaugums. Tāpat ir atzīmēts, ka 2018. gadā tekošajā kontā atkal radās neliels deficīts, bet negatīvā neto starptautisko investīciju pozīcija, kas galvenokārt atspoguļo valdības parādu un ārvalstu tiešās investīcijas, turpināja salīdzinoši strauji uzlaboties un veido -49% no IKP (2017. gadā bija -56,2%). Tajā pašā laikā vājinās konkurētspējas rādītāji, jo reālais efektīvais valūtas kurss ir palielinājies par 4,9% (2017. gadā par 1,7%) un nominālās vienības darbaspēka izmaksas turpināja pieaugt salīdzinoši spēcīgi par 15,1% (2017. gadā par 15,2%), ko veicināja noturīgais algu pieaugums. Paredzams, ka spiediens uz algām saglabāsies </w:t>
      </w:r>
      <w:r w:rsidRPr="00EF1D74">
        <w:rPr>
          <w:rFonts w:eastAsia="Calibri"/>
          <w:szCs w:val="28"/>
        </w:rPr>
        <w:lastRenderedPageBreak/>
        <w:t>darbaspēka sarukuma dēļ. Tajā pašā laikā eksporta tirgus daļas pieaugums ir pozitīvs un kumulatīvais pieaugums bija +8,6% (2017. gadā +8,2).</w:t>
      </w:r>
    </w:p>
    <w:p w:rsidR="00EF1D74" w:rsidRPr="00EF1D74" w:rsidRDefault="00EF1D74" w:rsidP="00EF1D74">
      <w:pPr>
        <w:spacing w:before="120"/>
        <w:ind w:firstLine="720"/>
        <w:rPr>
          <w:rFonts w:eastAsia="Calibri"/>
          <w:szCs w:val="28"/>
        </w:rPr>
      </w:pPr>
      <w:r w:rsidRPr="00EF1D74">
        <w:rPr>
          <w:rFonts w:eastAsia="Calibri"/>
          <w:szCs w:val="28"/>
        </w:rPr>
        <w:t xml:space="preserve">Attiecībā uz mājokļu cenām ziņojumā ir norādīts, ka </w:t>
      </w:r>
      <w:r w:rsidRPr="00EF1D74">
        <w:rPr>
          <w:rFonts w:eastAsia="Calibri"/>
          <w:szCs w:val="24"/>
          <w:shd w:val="clear" w:color="auto" w:fill="FFFFFF"/>
        </w:rPr>
        <w:t xml:space="preserve">Latvijā mājokļu reālo cenu pieaugums ir dinamisks un 2018. gadā nedaudz paātrinājās sasniedzot 6,6% (2017. gadā bija 5,6%). Tāpēc </w:t>
      </w:r>
      <w:r w:rsidRPr="00EF1D74">
        <w:rPr>
          <w:rFonts w:eastAsia="Calibri"/>
          <w:szCs w:val="28"/>
        </w:rPr>
        <w:t xml:space="preserve">Agrās brīdināšanas mehānisma ziņojumā ir norādīts, ka </w:t>
      </w:r>
      <w:r w:rsidRPr="00EF1D74">
        <w:rPr>
          <w:rFonts w:eastAsia="Calibri"/>
          <w:szCs w:val="24"/>
          <w:shd w:val="clear" w:color="auto" w:fill="FFFFFF"/>
        </w:rPr>
        <w:t>jāpievērš uzmanība spiedienam mājokļu tirgū, pat ja vēl nav skaidru pazīmju, kas liecinātu par pārāk augstu novērtējumu mājokļu tirgū. Piemēram, 2018. gadā v</w:t>
      </w:r>
      <w:r w:rsidRPr="00EF1D74">
        <w:rPr>
          <w:rFonts w:eastAsia="Calibri"/>
          <w:szCs w:val="28"/>
        </w:rPr>
        <w:t>islielākais mājokļu cenu pieaugums fiksēts tādās ES valstīs, kā Čehija, Īrija, Slovēnija, Portugāle un Ungārija, kurās līdz šim gandrīz nekas neliecināja par pārāk augstu noteiktām mājokļu cenām.</w:t>
      </w:r>
    </w:p>
    <w:p w:rsidR="00EF1D74" w:rsidRPr="00EF1D74" w:rsidRDefault="00EF1D74" w:rsidP="00EF1D74">
      <w:pPr>
        <w:spacing w:before="120"/>
        <w:ind w:firstLine="720"/>
        <w:rPr>
          <w:rFonts w:eastAsia="Calibri"/>
          <w:szCs w:val="28"/>
        </w:rPr>
      </w:pPr>
      <w:r w:rsidRPr="00EF1D74">
        <w:rPr>
          <w:rFonts w:eastAsia="Calibri"/>
          <w:szCs w:val="28"/>
        </w:rPr>
        <w:t xml:space="preserve">Vienlaicīgi uz šo budžeta paskaidrojumu sagatavošanas brīdi jau ir zināms, ka 2019. gadā saskaņā ar </w:t>
      </w:r>
      <w:proofErr w:type="spellStart"/>
      <w:r w:rsidRPr="00EF1D74">
        <w:rPr>
          <w:rFonts w:eastAsia="Calibri"/>
          <w:i/>
          <w:szCs w:val="28"/>
        </w:rPr>
        <w:t>Eurostat</w:t>
      </w:r>
      <w:proofErr w:type="spellEnd"/>
      <w:r w:rsidRPr="00EF1D74">
        <w:rPr>
          <w:rFonts w:eastAsia="Calibri"/>
          <w:szCs w:val="28"/>
        </w:rPr>
        <w:t xml:space="preserve"> provizoriskajiem datiem mājokļu cenu pieaugums Latvijā bija 5,9%, un līdz ar to arī nākamajā 2021. gada ziņojumā nepārsniegs noteikto robežvērtību 6% apmērā. Lai gan šobrīd ir zināmi tikai 2020. gada 1. ceturkšņa provizoriskie dati, taču, COVID-19 krīzes ietekmē arī 2020. gadā mājokļu cenu pieaugumam nevajadzētu pārsniegt 6% robežvērtību.</w:t>
      </w:r>
    </w:p>
    <w:p w:rsidR="00EF1D74" w:rsidRPr="00EF1D74" w:rsidRDefault="00EF1D74" w:rsidP="00EF1D74">
      <w:pPr>
        <w:spacing w:before="120"/>
        <w:ind w:firstLine="720"/>
        <w:rPr>
          <w:rFonts w:eastAsia="Calibri"/>
          <w:szCs w:val="28"/>
        </w:rPr>
      </w:pPr>
      <w:r w:rsidRPr="00EF1D74">
        <w:rPr>
          <w:rFonts w:eastAsia="Calibri"/>
          <w:szCs w:val="28"/>
        </w:rPr>
        <w:t xml:space="preserve">Attiecībā uz nominālās vienības darbaspēka izmaksas kāpumu ziņojums norāda, ka Latvijā tās strauji pieaug kopš 2013. gada, līdzīgi kā pārējās Baltijas un vairākās Centrāleiropas un Austrumeiropas valstīs. Prognožu dati liecina, ka arī 2019. gadā nominālo vienības darbaspēka izmaksu robežvērtība Latvijā tika pārsniegta pat vairāk nekā 2018. gadā, kas būs jau sestais pārsnieguma gads pēc kārtas. </w:t>
      </w:r>
    </w:p>
    <w:p w:rsidR="00EF1D74" w:rsidRPr="00EF1D74" w:rsidRDefault="00EF1D74" w:rsidP="00EF1D74">
      <w:pPr>
        <w:spacing w:before="120"/>
        <w:ind w:firstLine="720"/>
        <w:rPr>
          <w:rFonts w:eastAsia="Calibri"/>
          <w:szCs w:val="28"/>
        </w:rPr>
      </w:pPr>
      <w:r w:rsidRPr="00EF1D74">
        <w:rPr>
          <w:rFonts w:eastAsia="Calibri"/>
          <w:szCs w:val="28"/>
        </w:rPr>
        <w:t xml:space="preserve">Šāds nominālās vienības darbaspēka izmaksas pieaugums galvenokārt izriet no algu pieauguma sakarā ar pieprasījuma palielināšanos darba tirgū un 2018. gadā galvenais tā noteicošais faktors bija nominālo algu pieaugums. Mēneša vidējā bruto darba samaksa pakāpeniski palielinās jau visu </w:t>
      </w:r>
      <w:proofErr w:type="spellStart"/>
      <w:r w:rsidRPr="00EF1D74">
        <w:rPr>
          <w:rFonts w:eastAsia="Calibri"/>
          <w:szCs w:val="28"/>
        </w:rPr>
        <w:t>pēckrīzes</w:t>
      </w:r>
      <w:proofErr w:type="spellEnd"/>
      <w:r w:rsidRPr="00EF1D74">
        <w:rPr>
          <w:rFonts w:eastAsia="Calibri"/>
          <w:szCs w:val="28"/>
        </w:rPr>
        <w:t xml:space="preserve"> laiku, īpaši strauji tai sākot augt kopš 2012. gada. 2018. gadā mēneša vidējā bruto darba samaksa palielinājās par 8,4% un straujo darba samaksas kāpumu noteica spēcīgā ekonomikas izaugsme, minimālās algas paaugstinājums par 50 </w:t>
      </w:r>
      <w:proofErr w:type="spellStart"/>
      <w:r w:rsidRPr="00EF1D74">
        <w:rPr>
          <w:rFonts w:eastAsia="Calibri"/>
          <w:i/>
          <w:szCs w:val="28"/>
        </w:rPr>
        <w:t>euro</w:t>
      </w:r>
      <w:proofErr w:type="spellEnd"/>
      <w:r w:rsidRPr="00EF1D74">
        <w:rPr>
          <w:rFonts w:eastAsia="Calibri"/>
          <w:szCs w:val="28"/>
        </w:rPr>
        <w:t xml:space="preserve"> līdz 430 </w:t>
      </w:r>
      <w:proofErr w:type="spellStart"/>
      <w:r w:rsidRPr="00EF1D74">
        <w:rPr>
          <w:rFonts w:eastAsia="Calibri"/>
          <w:i/>
          <w:szCs w:val="28"/>
        </w:rPr>
        <w:t>euro</w:t>
      </w:r>
      <w:proofErr w:type="spellEnd"/>
      <w:r w:rsidRPr="00EF1D74">
        <w:rPr>
          <w:rFonts w:eastAsia="Calibri"/>
          <w:i/>
          <w:szCs w:val="28"/>
        </w:rPr>
        <w:t>,</w:t>
      </w:r>
      <w:r w:rsidRPr="00EF1D74">
        <w:rPr>
          <w:rFonts w:eastAsia="Calibri"/>
          <w:szCs w:val="28"/>
        </w:rPr>
        <w:t xml:space="preserve"> kas vairāk ietekmēja algu līmeni privātajā sektorā, kā arī finansējuma palielinājums darba samaksai atsevišķām sabiedriskā sektora strādājošo kategorijām.</w:t>
      </w:r>
    </w:p>
    <w:p w:rsidR="00EF1D74" w:rsidRPr="00EF1D74" w:rsidRDefault="00EF1D74" w:rsidP="00EF1D74">
      <w:pPr>
        <w:spacing w:before="120"/>
        <w:ind w:firstLine="720"/>
        <w:rPr>
          <w:rFonts w:eastAsia="Calibri"/>
          <w:szCs w:val="28"/>
        </w:rPr>
      </w:pPr>
      <w:r w:rsidRPr="00EF1D74">
        <w:rPr>
          <w:rFonts w:eastAsia="Calibri"/>
          <w:szCs w:val="28"/>
        </w:rPr>
        <w:t>Pēdējais rādītājs, kura robežvērtību Latvija pārsniedz kopš makroekonomisko nelīdzsvarotības procedūras ieviešanas, ir neto starptautisko investīciju pozīcija. Tā atspoguļo valsts rezidentu ārējo aktīvu un pasīvu kopējo apjomu pārskata perioda beigās. Makroekonomiskās nesabalansētības procedūras rādītāju tabulā iekļautā neto starptautisko investīciju pozīcija tiek izteikta procentos no IKP un rādītāja indikatīvais slieksnis makroekonomiskās nesabalansētības procedūras ietvaros ir noteikts -35% no IKP (neto izteiksmē bilance parāda, vai Latvija ir neto investors vai neto saņēmējvalsts). No vienas puses, negatīva starptautisko investīciju bilance norāda uz nerezidentiem piederošo aktīvu būtisku īpatsvaru nacionālajā ekonomikā. No otras puses, tas var norādīt uz nacionālās ekonomikas pieaugošu ārējo saistību slogu. Līdz ar to neto starptautiskās investīciju bilances dinamiku vērtēšana notiek, apzinoties ārvalstu tiešo investīciju īpatsvaru, kas ir viens no ekonomiskās attīstības virzītājspēkiem. Veicot padziļinātu neto starptautiskās investīciju bilances fundamentālo analīzi, tiek ņemts vērā arī attiecīgās valsts tautsaimniecības struktūra. Jāatzīmē, ka rādītāja robežvērtības pārsniegšana iepriekšējos periodos nekļuva par iemeslu Latvijas iekļaušanai padziļinātās izpētes procedūrā, galvenokārt pateicoties rādītāja pozitīvai dinamikai (pakāpenisku tuvošanos noteiktajam mērķa rādītājam).</w:t>
      </w:r>
    </w:p>
    <w:p w:rsidR="00EF1D74" w:rsidRPr="00EF1D74" w:rsidRDefault="00EF1D74" w:rsidP="00EF1D74">
      <w:pPr>
        <w:spacing w:before="120"/>
        <w:ind w:firstLine="720"/>
        <w:rPr>
          <w:rFonts w:eastAsia="Calibri"/>
          <w:szCs w:val="28"/>
        </w:rPr>
      </w:pPr>
      <w:r w:rsidRPr="00EF1D74">
        <w:rPr>
          <w:rFonts w:eastAsia="Calibri"/>
          <w:szCs w:val="28"/>
        </w:rPr>
        <w:t xml:space="preserve">Komisija savā ziņojumā norāda, ka valstīs, kurās neto starptautiskā investīciju pozīcija ir mērenāk negatīva, taču tik un tā ir zemāka par robežvērtību -35 % no IKP, tas ir saistīts ar konkrētās valsts specifiku. Tas attiecas arī uz Bulgāriju, Horvātiju, Poliju, Rumāniju, Slovākiju un Ungāriju. Latvijas gadījumā neto starptautiskā investīciju pozīcija ir nedaudz zemāka (-49,0%) nekā noteiktā robežvērtība, tomēr tāpat kā daudzās Centrāleiropas, Austrumeiropas un Baltijas valstīs, arī Latvijā ir veiktas lielas ārvalstu tiešās investīcijas, un arī Latvijas gadījumā </w:t>
      </w:r>
      <w:r w:rsidRPr="00EF1D74">
        <w:rPr>
          <w:rFonts w:eastAsia="Calibri"/>
          <w:szCs w:val="28"/>
        </w:rPr>
        <w:lastRenderedPageBreak/>
        <w:t xml:space="preserve">neto starptautiskā investīciju pozīcija ievērojami uzlabojas, ja no tās atņem instrumentus bez saistību neizpildes riska (-2,4%). Pie tam saskaņā ar </w:t>
      </w:r>
      <w:proofErr w:type="spellStart"/>
      <w:r w:rsidRPr="00EF1D74">
        <w:rPr>
          <w:rFonts w:eastAsia="Calibri"/>
          <w:i/>
          <w:szCs w:val="28"/>
        </w:rPr>
        <w:t>Eurostat</w:t>
      </w:r>
      <w:proofErr w:type="spellEnd"/>
      <w:r w:rsidRPr="00EF1D74">
        <w:rPr>
          <w:rFonts w:eastAsia="Calibri"/>
          <w:szCs w:val="28"/>
        </w:rPr>
        <w:t xml:space="preserve"> datiem, 2019. gadā Latvijas neto starptautiskā investīciju pozīcija vēl vairāk uzlabojās, tuvinoties noteiktajai robežvērtībai (-44,1%).</w:t>
      </w:r>
    </w:p>
    <w:p w:rsidR="00EF1D74" w:rsidRPr="00EF1D74" w:rsidRDefault="00EF1D74" w:rsidP="00EF1D74">
      <w:pPr>
        <w:spacing w:after="160" w:line="259" w:lineRule="auto"/>
        <w:ind w:firstLine="0"/>
        <w:jc w:val="center"/>
        <w:rPr>
          <w:rFonts w:eastAsia="Calibri"/>
          <w:b/>
          <w:i/>
          <w:szCs w:val="24"/>
        </w:rPr>
      </w:pPr>
      <w:r w:rsidRPr="00EF1D74">
        <w:rPr>
          <w:rFonts w:eastAsia="Calibri"/>
          <w:b/>
          <w:i/>
          <w:szCs w:val="24"/>
        </w:rPr>
        <w:t xml:space="preserve">1.6. tabula </w:t>
      </w:r>
      <w:r w:rsidRPr="00EF1D74">
        <w:rPr>
          <w:rFonts w:eastAsia="Calibri"/>
          <w:b/>
          <w:szCs w:val="24"/>
        </w:rPr>
        <w:t>Agrās brīdināšanas mehānisma rādītāju dinamika Latvijā kopš nelīdzsvarotības uzraudzības sākuma</w:t>
      </w:r>
      <w:r w:rsidRPr="00EF1D74">
        <w:rPr>
          <w:rFonts w:eastAsia="Calibri"/>
          <w:b/>
          <w:i/>
          <w:szCs w:val="24"/>
        </w:rPr>
        <w:t xml:space="preserve"> </w:t>
      </w:r>
      <w:r w:rsidRPr="00EF1D74">
        <w:rPr>
          <w:rFonts w:eastAsia="Calibri"/>
          <w:b/>
          <w:i/>
          <w:szCs w:val="24"/>
          <w:vertAlign w:val="superscript"/>
        </w:rPr>
        <w:footnoteReference w:id="6"/>
      </w:r>
      <w:r w:rsidRPr="00EF1D74">
        <w:rPr>
          <w:rFonts w:eastAsia="Calibri"/>
          <w:b/>
          <w:i/>
          <w:szCs w:val="24"/>
          <w:vertAlign w:val="superscript"/>
        </w:rPr>
        <w:t>,</w:t>
      </w:r>
      <w:r w:rsidRPr="00EF1D74">
        <w:rPr>
          <w:rFonts w:eastAsia="Calibri"/>
          <w:b/>
          <w:i/>
          <w:szCs w:val="24"/>
          <w:vertAlign w:val="superscript"/>
        </w:rPr>
        <w:footnoteReference w:id="7"/>
      </w:r>
    </w:p>
    <w:tbl>
      <w:tblPr>
        <w:tblW w:w="4893" w:type="pct"/>
        <w:jc w:val="center"/>
        <w:tblLayout w:type="fixed"/>
        <w:tblCellMar>
          <w:left w:w="57" w:type="dxa"/>
          <w:right w:w="57" w:type="dxa"/>
        </w:tblCellMar>
        <w:tblLook w:val="04A0" w:firstRow="1" w:lastRow="0" w:firstColumn="1" w:lastColumn="0" w:noHBand="0" w:noVBand="1"/>
      </w:tblPr>
      <w:tblGrid>
        <w:gridCol w:w="1835"/>
        <w:gridCol w:w="817"/>
        <w:gridCol w:w="478"/>
        <w:gridCol w:w="574"/>
        <w:gridCol w:w="575"/>
        <w:gridCol w:w="575"/>
        <w:gridCol w:w="574"/>
        <w:gridCol w:w="575"/>
        <w:gridCol w:w="575"/>
        <w:gridCol w:w="574"/>
        <w:gridCol w:w="575"/>
        <w:gridCol w:w="575"/>
        <w:gridCol w:w="575"/>
      </w:tblGrid>
      <w:tr w:rsidR="00EF1D74" w:rsidRPr="00EF1D74" w:rsidTr="0057436F">
        <w:trPr>
          <w:trHeight w:val="396"/>
          <w:jc w:val="center"/>
        </w:trPr>
        <w:tc>
          <w:tcPr>
            <w:tcW w:w="2977"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center"/>
              <w:rPr>
                <w:sz w:val="18"/>
                <w:szCs w:val="18"/>
                <w:lang w:eastAsia="lv-LV"/>
              </w:rPr>
            </w:pPr>
          </w:p>
        </w:tc>
        <w:tc>
          <w:tcPr>
            <w:tcW w:w="1985" w:type="dxa"/>
            <w:gridSpan w:val="2"/>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Robežvērtības</w:t>
            </w:r>
          </w:p>
        </w:tc>
        <w:tc>
          <w:tcPr>
            <w:tcW w:w="869"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2010</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2011</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2012</w:t>
            </w:r>
          </w:p>
        </w:tc>
        <w:tc>
          <w:tcPr>
            <w:tcW w:w="869"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2013</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2014</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2015</w:t>
            </w:r>
          </w:p>
        </w:tc>
        <w:tc>
          <w:tcPr>
            <w:tcW w:w="869"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2016</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2017</w:t>
            </w:r>
          </w:p>
        </w:tc>
        <w:tc>
          <w:tcPr>
            <w:tcW w:w="870" w:type="dxa"/>
            <w:tcBorders>
              <w:top w:val="nil"/>
              <w:left w:val="nil"/>
              <w:bottom w:val="nil"/>
              <w:right w:val="nil"/>
            </w:tcBorders>
            <w:shd w:val="clear" w:color="000000" w:fill="FFFFFF"/>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2018</w:t>
            </w:r>
          </w:p>
        </w:tc>
        <w:tc>
          <w:tcPr>
            <w:tcW w:w="870" w:type="dxa"/>
            <w:tcBorders>
              <w:top w:val="nil"/>
              <w:left w:val="nil"/>
              <w:bottom w:val="nil"/>
              <w:right w:val="nil"/>
            </w:tcBorders>
            <w:shd w:val="clear" w:color="000000" w:fill="FFFFFF"/>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2019</w:t>
            </w:r>
          </w:p>
        </w:tc>
      </w:tr>
      <w:tr w:rsidR="00EF1D74" w:rsidRPr="00EF1D74" w:rsidTr="0057436F">
        <w:trPr>
          <w:trHeight w:val="340"/>
          <w:jc w:val="center"/>
        </w:trPr>
        <w:tc>
          <w:tcPr>
            <w:tcW w:w="2977"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Tekošā konta bilance % no IKP</w:t>
            </w:r>
          </w:p>
        </w:tc>
        <w:tc>
          <w:tcPr>
            <w:tcW w:w="1276"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3 gadu vidējais</w:t>
            </w:r>
          </w:p>
        </w:tc>
        <w:tc>
          <w:tcPr>
            <w:tcW w:w="709"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-4%</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-0,9</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2,1</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-1,7</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-3,2</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-2,9</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-2,0</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-0,6</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0,5</w:t>
            </w:r>
          </w:p>
        </w:tc>
        <w:tc>
          <w:tcPr>
            <w:tcW w:w="870"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0,6</w:t>
            </w:r>
          </w:p>
        </w:tc>
        <w:tc>
          <w:tcPr>
            <w:tcW w:w="870" w:type="dxa"/>
            <w:tcBorders>
              <w:top w:val="single" w:sz="4" w:space="0" w:color="auto"/>
              <w:left w:val="nil"/>
              <w:bottom w:val="single" w:sz="4" w:space="0" w:color="000000"/>
              <w:right w:val="nil"/>
            </w:tcBorders>
            <w:shd w:val="clear" w:color="000000" w:fill="92D050"/>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-0,1</w:t>
            </w:r>
          </w:p>
        </w:tc>
      </w:tr>
      <w:tr w:rsidR="00EF1D74" w:rsidRPr="00EF1D74" w:rsidTr="0057436F">
        <w:trPr>
          <w:trHeight w:val="340"/>
          <w:jc w:val="center"/>
        </w:trPr>
        <w:tc>
          <w:tcPr>
            <w:tcW w:w="2977"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Neto starptautiskā investīciju pozīcija</w:t>
            </w:r>
          </w:p>
        </w:tc>
        <w:tc>
          <w:tcPr>
            <w:tcW w:w="1276"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 no IKP</w:t>
            </w:r>
          </w:p>
        </w:tc>
        <w:tc>
          <w:tcPr>
            <w:tcW w:w="709"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-35%</w:t>
            </w:r>
          </w:p>
        </w:tc>
        <w:tc>
          <w:tcPr>
            <w:tcW w:w="869"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-83,0</w:t>
            </w:r>
          </w:p>
        </w:tc>
        <w:tc>
          <w:tcPr>
            <w:tcW w:w="870"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-74,7</w:t>
            </w:r>
          </w:p>
        </w:tc>
        <w:tc>
          <w:tcPr>
            <w:tcW w:w="870"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-67,5</w:t>
            </w:r>
          </w:p>
        </w:tc>
        <w:tc>
          <w:tcPr>
            <w:tcW w:w="869"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-66,7</w:t>
            </w:r>
          </w:p>
        </w:tc>
        <w:tc>
          <w:tcPr>
            <w:tcW w:w="870"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-67,1</w:t>
            </w:r>
          </w:p>
        </w:tc>
        <w:tc>
          <w:tcPr>
            <w:tcW w:w="870"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-64,1</w:t>
            </w:r>
          </w:p>
        </w:tc>
        <w:tc>
          <w:tcPr>
            <w:tcW w:w="869"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-59,0</w:t>
            </w:r>
          </w:p>
        </w:tc>
        <w:tc>
          <w:tcPr>
            <w:tcW w:w="870"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-56,2</w:t>
            </w:r>
          </w:p>
        </w:tc>
        <w:tc>
          <w:tcPr>
            <w:tcW w:w="870" w:type="dxa"/>
            <w:tcBorders>
              <w:top w:val="nil"/>
              <w:left w:val="nil"/>
              <w:bottom w:val="nil"/>
              <w:right w:val="nil"/>
            </w:tcBorders>
            <w:shd w:val="clear" w:color="000000" w:fill="FFCCCC"/>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-49,0</w:t>
            </w:r>
          </w:p>
        </w:tc>
        <w:tc>
          <w:tcPr>
            <w:tcW w:w="870" w:type="dxa"/>
            <w:tcBorders>
              <w:top w:val="nil"/>
              <w:left w:val="nil"/>
              <w:bottom w:val="nil"/>
              <w:right w:val="nil"/>
            </w:tcBorders>
            <w:shd w:val="clear" w:color="000000" w:fill="FFCCCC"/>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-44,1</w:t>
            </w:r>
          </w:p>
        </w:tc>
      </w:tr>
      <w:tr w:rsidR="00EF1D74" w:rsidRPr="00EF1D74" w:rsidTr="0057436F">
        <w:trPr>
          <w:trHeight w:val="340"/>
          <w:jc w:val="center"/>
        </w:trPr>
        <w:tc>
          <w:tcPr>
            <w:tcW w:w="2977"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Reālais efektīvais valūtas maiņas kurss - 42 tirdzniecības partneri</w:t>
            </w:r>
          </w:p>
        </w:tc>
        <w:tc>
          <w:tcPr>
            <w:tcW w:w="1276"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3 gadu % izmaiņas</w:t>
            </w:r>
          </w:p>
        </w:tc>
        <w:tc>
          <w:tcPr>
            <w:tcW w:w="709"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±5%</w:t>
            </w:r>
          </w:p>
        </w:tc>
        <w:tc>
          <w:tcPr>
            <w:tcW w:w="869" w:type="dxa"/>
            <w:tcBorders>
              <w:top w:val="single" w:sz="4" w:space="0" w:color="auto"/>
              <w:left w:val="nil"/>
              <w:bottom w:val="single" w:sz="4" w:space="0" w:color="000000"/>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6,7</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-2,4</w:t>
            </w:r>
          </w:p>
        </w:tc>
        <w:tc>
          <w:tcPr>
            <w:tcW w:w="870" w:type="dxa"/>
            <w:tcBorders>
              <w:top w:val="single" w:sz="4" w:space="0" w:color="auto"/>
              <w:left w:val="nil"/>
              <w:bottom w:val="single" w:sz="4" w:space="0" w:color="000000"/>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-8,6</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-1,7</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0,4</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2,5</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4,8</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1,7</w:t>
            </w:r>
          </w:p>
        </w:tc>
        <w:tc>
          <w:tcPr>
            <w:tcW w:w="870"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4,9</w:t>
            </w:r>
          </w:p>
        </w:tc>
        <w:tc>
          <w:tcPr>
            <w:tcW w:w="870" w:type="dxa"/>
            <w:tcBorders>
              <w:top w:val="single" w:sz="4" w:space="0" w:color="auto"/>
              <w:left w:val="nil"/>
              <w:bottom w:val="single" w:sz="4" w:space="0" w:color="000000"/>
              <w:right w:val="nil"/>
            </w:tcBorders>
            <w:shd w:val="clear" w:color="000000" w:fill="92D050"/>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3,7</w:t>
            </w:r>
          </w:p>
        </w:tc>
      </w:tr>
      <w:tr w:rsidR="00EF1D74" w:rsidRPr="00EF1D74" w:rsidTr="0057436F">
        <w:trPr>
          <w:trHeight w:val="340"/>
          <w:jc w:val="center"/>
        </w:trPr>
        <w:tc>
          <w:tcPr>
            <w:tcW w:w="2977"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Eksporta tirgus daļa % no pasaules eksporta</w:t>
            </w:r>
          </w:p>
        </w:tc>
        <w:tc>
          <w:tcPr>
            <w:tcW w:w="1276"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5 gadu % izmaiņas</w:t>
            </w:r>
          </w:p>
        </w:tc>
        <w:tc>
          <w:tcPr>
            <w:tcW w:w="709"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-6%</w:t>
            </w:r>
          </w:p>
        </w:tc>
        <w:tc>
          <w:tcPr>
            <w:tcW w:w="869"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21,65</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26,53</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7,91</w:t>
            </w:r>
          </w:p>
        </w:tc>
        <w:tc>
          <w:tcPr>
            <w:tcW w:w="869"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5,89</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11,98</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13,52</w:t>
            </w:r>
          </w:p>
        </w:tc>
        <w:tc>
          <w:tcPr>
            <w:tcW w:w="869"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10,22</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8,2</w:t>
            </w:r>
          </w:p>
        </w:tc>
        <w:tc>
          <w:tcPr>
            <w:tcW w:w="870"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8,63</w:t>
            </w:r>
          </w:p>
        </w:tc>
        <w:tc>
          <w:tcPr>
            <w:tcW w:w="870" w:type="dxa"/>
            <w:tcBorders>
              <w:top w:val="nil"/>
              <w:left w:val="nil"/>
              <w:bottom w:val="nil"/>
              <w:right w:val="nil"/>
            </w:tcBorders>
            <w:shd w:val="clear" w:color="000000" w:fill="92D050"/>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2,91</w:t>
            </w:r>
          </w:p>
        </w:tc>
      </w:tr>
      <w:tr w:rsidR="00EF1D74" w:rsidRPr="00EF1D74" w:rsidTr="0057436F">
        <w:trPr>
          <w:trHeight w:val="340"/>
          <w:jc w:val="center"/>
        </w:trPr>
        <w:tc>
          <w:tcPr>
            <w:tcW w:w="2977"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Nominālo vienības darbaspēka izmaksu indekss (2010=100)</w:t>
            </w:r>
          </w:p>
        </w:tc>
        <w:tc>
          <w:tcPr>
            <w:tcW w:w="1276"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3 gadu % izmaiņas</w:t>
            </w:r>
          </w:p>
        </w:tc>
        <w:tc>
          <w:tcPr>
            <w:tcW w:w="709"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9%</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-2,0</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-20,6</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-6,5</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8,0</w:t>
            </w:r>
          </w:p>
        </w:tc>
        <w:tc>
          <w:tcPr>
            <w:tcW w:w="870" w:type="dxa"/>
            <w:tcBorders>
              <w:top w:val="single" w:sz="4" w:space="0" w:color="auto"/>
              <w:left w:val="nil"/>
              <w:bottom w:val="single" w:sz="4" w:space="0" w:color="000000"/>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16,0</w:t>
            </w:r>
          </w:p>
        </w:tc>
        <w:tc>
          <w:tcPr>
            <w:tcW w:w="870" w:type="dxa"/>
            <w:tcBorders>
              <w:top w:val="single" w:sz="4" w:space="0" w:color="auto"/>
              <w:left w:val="nil"/>
              <w:bottom w:val="single" w:sz="4" w:space="0" w:color="000000"/>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17,2</w:t>
            </w:r>
          </w:p>
        </w:tc>
        <w:tc>
          <w:tcPr>
            <w:tcW w:w="869" w:type="dxa"/>
            <w:tcBorders>
              <w:top w:val="single" w:sz="4" w:space="0" w:color="auto"/>
              <w:left w:val="nil"/>
              <w:bottom w:val="single" w:sz="4" w:space="0" w:color="000000"/>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16,7</w:t>
            </w:r>
          </w:p>
        </w:tc>
        <w:tc>
          <w:tcPr>
            <w:tcW w:w="870" w:type="dxa"/>
            <w:tcBorders>
              <w:top w:val="single" w:sz="4" w:space="0" w:color="auto"/>
              <w:left w:val="nil"/>
              <w:bottom w:val="single" w:sz="4" w:space="0" w:color="000000"/>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15,2</w:t>
            </w:r>
          </w:p>
        </w:tc>
        <w:tc>
          <w:tcPr>
            <w:tcW w:w="870" w:type="dxa"/>
            <w:tcBorders>
              <w:top w:val="single" w:sz="4" w:space="0" w:color="auto"/>
              <w:left w:val="nil"/>
              <w:bottom w:val="single" w:sz="4" w:space="0" w:color="000000"/>
              <w:right w:val="nil"/>
            </w:tcBorders>
            <w:shd w:val="clear" w:color="000000" w:fill="FFCCCC"/>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15,1</w:t>
            </w:r>
          </w:p>
        </w:tc>
        <w:tc>
          <w:tcPr>
            <w:tcW w:w="870" w:type="dxa"/>
            <w:tcBorders>
              <w:top w:val="single" w:sz="4" w:space="0" w:color="auto"/>
              <w:left w:val="nil"/>
              <w:bottom w:val="single" w:sz="4" w:space="0" w:color="000000"/>
              <w:right w:val="nil"/>
            </w:tcBorders>
            <w:shd w:val="clear" w:color="000000" w:fill="FFCCCC"/>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16,5</w:t>
            </w:r>
          </w:p>
        </w:tc>
      </w:tr>
      <w:tr w:rsidR="00EF1D74" w:rsidRPr="00EF1D74" w:rsidTr="0057436F">
        <w:trPr>
          <w:trHeight w:val="340"/>
          <w:jc w:val="center"/>
        </w:trPr>
        <w:tc>
          <w:tcPr>
            <w:tcW w:w="2977"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Mājokļu cenu indekss (2015=100)</w:t>
            </w:r>
          </w:p>
        </w:tc>
        <w:tc>
          <w:tcPr>
            <w:tcW w:w="1276"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1 gada % izmaiņas</w:t>
            </w:r>
          </w:p>
        </w:tc>
        <w:tc>
          <w:tcPr>
            <w:tcW w:w="709"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6%</w:t>
            </w:r>
          </w:p>
        </w:tc>
        <w:tc>
          <w:tcPr>
            <w:tcW w:w="869"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-8,7</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4,1</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-0,3</w:t>
            </w:r>
          </w:p>
        </w:tc>
        <w:tc>
          <w:tcPr>
            <w:tcW w:w="869"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6,8</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4,3</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-2,4</w:t>
            </w:r>
          </w:p>
        </w:tc>
        <w:tc>
          <w:tcPr>
            <w:tcW w:w="869"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7,4</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5,6</w:t>
            </w:r>
          </w:p>
        </w:tc>
        <w:tc>
          <w:tcPr>
            <w:tcW w:w="870"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6,6</w:t>
            </w:r>
          </w:p>
        </w:tc>
        <w:tc>
          <w:tcPr>
            <w:tcW w:w="870" w:type="dxa"/>
            <w:tcBorders>
              <w:top w:val="nil"/>
              <w:left w:val="nil"/>
              <w:bottom w:val="nil"/>
              <w:right w:val="nil"/>
            </w:tcBorders>
            <w:shd w:val="clear" w:color="000000" w:fill="92D050"/>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5,9</w:t>
            </w:r>
          </w:p>
        </w:tc>
      </w:tr>
      <w:tr w:rsidR="00EF1D74" w:rsidRPr="00EF1D74" w:rsidTr="0057436F">
        <w:trPr>
          <w:trHeight w:val="340"/>
          <w:jc w:val="center"/>
        </w:trPr>
        <w:tc>
          <w:tcPr>
            <w:tcW w:w="2977"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 xml:space="preserve">Privātā sektora </w:t>
            </w:r>
            <w:proofErr w:type="spellStart"/>
            <w:r w:rsidRPr="00EF1D74">
              <w:rPr>
                <w:color w:val="000000"/>
                <w:sz w:val="18"/>
                <w:szCs w:val="18"/>
                <w:lang w:eastAsia="lv-LV"/>
              </w:rPr>
              <w:t>kredītplūsma</w:t>
            </w:r>
            <w:proofErr w:type="spellEnd"/>
            <w:r w:rsidRPr="00EF1D74">
              <w:rPr>
                <w:color w:val="000000"/>
                <w:sz w:val="18"/>
                <w:szCs w:val="18"/>
                <w:lang w:eastAsia="lv-LV"/>
              </w:rPr>
              <w:t xml:space="preserve"> - konsolidēta</w:t>
            </w:r>
          </w:p>
        </w:tc>
        <w:tc>
          <w:tcPr>
            <w:tcW w:w="1276"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 no IKP</w:t>
            </w:r>
          </w:p>
        </w:tc>
        <w:tc>
          <w:tcPr>
            <w:tcW w:w="709"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14%</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-9,1</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-2,4</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-5,4</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-0,6</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-4,4</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-0,5</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2,3</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2,4</w:t>
            </w:r>
          </w:p>
        </w:tc>
        <w:tc>
          <w:tcPr>
            <w:tcW w:w="870"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-0,2</w:t>
            </w:r>
          </w:p>
        </w:tc>
        <w:tc>
          <w:tcPr>
            <w:tcW w:w="870" w:type="dxa"/>
            <w:tcBorders>
              <w:top w:val="single" w:sz="4" w:space="0" w:color="auto"/>
              <w:left w:val="nil"/>
              <w:bottom w:val="single" w:sz="4" w:space="0" w:color="000000"/>
              <w:right w:val="nil"/>
            </w:tcBorders>
            <w:shd w:val="clear" w:color="000000" w:fill="92D050"/>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w:t>
            </w:r>
          </w:p>
        </w:tc>
      </w:tr>
      <w:tr w:rsidR="00EF1D74" w:rsidRPr="00EF1D74" w:rsidTr="0057436F">
        <w:trPr>
          <w:trHeight w:val="340"/>
          <w:jc w:val="center"/>
        </w:trPr>
        <w:tc>
          <w:tcPr>
            <w:tcW w:w="2977"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Privātā sektora konsolidētais parāds</w:t>
            </w:r>
          </w:p>
        </w:tc>
        <w:tc>
          <w:tcPr>
            <w:tcW w:w="1276"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 no IKP</w:t>
            </w:r>
          </w:p>
        </w:tc>
        <w:tc>
          <w:tcPr>
            <w:tcW w:w="709"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133%</w:t>
            </w:r>
          </w:p>
        </w:tc>
        <w:tc>
          <w:tcPr>
            <w:tcW w:w="869"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134</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115,2</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96,8</w:t>
            </w:r>
          </w:p>
        </w:tc>
        <w:tc>
          <w:tcPr>
            <w:tcW w:w="869"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91,0</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82,2</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80,4</w:t>
            </w:r>
          </w:p>
        </w:tc>
        <w:tc>
          <w:tcPr>
            <w:tcW w:w="869"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80,5</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76,9</w:t>
            </w:r>
          </w:p>
        </w:tc>
        <w:tc>
          <w:tcPr>
            <w:tcW w:w="870"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 xml:space="preserve">70,5 </w:t>
            </w:r>
          </w:p>
        </w:tc>
        <w:tc>
          <w:tcPr>
            <w:tcW w:w="870" w:type="dxa"/>
            <w:tcBorders>
              <w:top w:val="nil"/>
              <w:left w:val="nil"/>
              <w:bottom w:val="nil"/>
              <w:right w:val="nil"/>
            </w:tcBorders>
            <w:shd w:val="clear" w:color="000000" w:fill="92D050"/>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w:t>
            </w:r>
          </w:p>
        </w:tc>
      </w:tr>
      <w:tr w:rsidR="00EF1D74" w:rsidRPr="00EF1D74" w:rsidTr="0057436F">
        <w:trPr>
          <w:trHeight w:val="340"/>
          <w:jc w:val="center"/>
        </w:trPr>
        <w:tc>
          <w:tcPr>
            <w:tcW w:w="2977"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Vispārējais valdības parāds</w:t>
            </w:r>
          </w:p>
        </w:tc>
        <w:tc>
          <w:tcPr>
            <w:tcW w:w="1276"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 no IKP</w:t>
            </w:r>
          </w:p>
        </w:tc>
        <w:tc>
          <w:tcPr>
            <w:tcW w:w="709"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60%</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48,1</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43,9</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42,4</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40,3</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41,6</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37,3</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40,9</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39,3</w:t>
            </w:r>
          </w:p>
        </w:tc>
        <w:tc>
          <w:tcPr>
            <w:tcW w:w="870"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37,2</w:t>
            </w:r>
          </w:p>
        </w:tc>
        <w:tc>
          <w:tcPr>
            <w:tcW w:w="870" w:type="dxa"/>
            <w:tcBorders>
              <w:top w:val="single" w:sz="4" w:space="0" w:color="auto"/>
              <w:left w:val="nil"/>
              <w:bottom w:val="single" w:sz="4" w:space="0" w:color="000000"/>
              <w:right w:val="nil"/>
            </w:tcBorders>
            <w:shd w:val="clear" w:color="000000" w:fill="92D050"/>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36,9</w:t>
            </w:r>
          </w:p>
        </w:tc>
      </w:tr>
      <w:tr w:rsidR="00EF1D74" w:rsidRPr="00EF1D74" w:rsidTr="0057436F">
        <w:trPr>
          <w:trHeight w:val="340"/>
          <w:jc w:val="center"/>
        </w:trPr>
        <w:tc>
          <w:tcPr>
            <w:tcW w:w="2977"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Bezdarba līmenis</w:t>
            </w:r>
          </w:p>
        </w:tc>
        <w:tc>
          <w:tcPr>
            <w:tcW w:w="1276"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3 gadu vidējais</w:t>
            </w:r>
          </w:p>
        </w:tc>
        <w:tc>
          <w:tcPr>
            <w:tcW w:w="709"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10%</w:t>
            </w:r>
          </w:p>
        </w:tc>
        <w:tc>
          <w:tcPr>
            <w:tcW w:w="869"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14,9</w:t>
            </w:r>
          </w:p>
        </w:tc>
        <w:tc>
          <w:tcPr>
            <w:tcW w:w="870"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17,7</w:t>
            </w:r>
          </w:p>
        </w:tc>
        <w:tc>
          <w:tcPr>
            <w:tcW w:w="870"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16,9</w:t>
            </w:r>
          </w:p>
        </w:tc>
        <w:tc>
          <w:tcPr>
            <w:tcW w:w="869"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14,4</w:t>
            </w:r>
          </w:p>
        </w:tc>
        <w:tc>
          <w:tcPr>
            <w:tcW w:w="870"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12,6</w:t>
            </w:r>
          </w:p>
        </w:tc>
        <w:tc>
          <w:tcPr>
            <w:tcW w:w="870"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10,9</w:t>
            </w:r>
          </w:p>
        </w:tc>
        <w:tc>
          <w:tcPr>
            <w:tcW w:w="869" w:type="dxa"/>
            <w:tcBorders>
              <w:top w:val="nil"/>
              <w:left w:val="nil"/>
              <w:bottom w:val="nil"/>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10,1</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9,4</w:t>
            </w:r>
          </w:p>
        </w:tc>
        <w:tc>
          <w:tcPr>
            <w:tcW w:w="870"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8,6</w:t>
            </w:r>
          </w:p>
        </w:tc>
        <w:tc>
          <w:tcPr>
            <w:tcW w:w="870" w:type="dxa"/>
            <w:tcBorders>
              <w:top w:val="nil"/>
              <w:left w:val="nil"/>
              <w:bottom w:val="nil"/>
              <w:right w:val="nil"/>
            </w:tcBorders>
            <w:shd w:val="clear" w:color="000000" w:fill="92D050"/>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7,5</w:t>
            </w:r>
          </w:p>
        </w:tc>
      </w:tr>
      <w:tr w:rsidR="00EF1D74" w:rsidRPr="00EF1D74" w:rsidTr="0057436F">
        <w:trPr>
          <w:trHeight w:val="340"/>
          <w:jc w:val="center"/>
        </w:trPr>
        <w:tc>
          <w:tcPr>
            <w:tcW w:w="2977"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Finanšu sektora saistības kopā -nekonsolidētas</w:t>
            </w:r>
          </w:p>
        </w:tc>
        <w:tc>
          <w:tcPr>
            <w:tcW w:w="1276"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1 gada % izmaiņas</w:t>
            </w:r>
          </w:p>
        </w:tc>
        <w:tc>
          <w:tcPr>
            <w:tcW w:w="709"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16,5%</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0,5</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-6,2</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5,6</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5,7</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11,4</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13,2</w:t>
            </w:r>
          </w:p>
        </w:tc>
        <w:tc>
          <w:tcPr>
            <w:tcW w:w="869"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4,7</w:t>
            </w:r>
          </w:p>
        </w:tc>
        <w:tc>
          <w:tcPr>
            <w:tcW w:w="870" w:type="dxa"/>
            <w:tcBorders>
              <w:top w:val="single" w:sz="4" w:space="0" w:color="auto"/>
              <w:left w:val="nil"/>
              <w:bottom w:val="single" w:sz="4" w:space="0" w:color="000000"/>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6,2</w:t>
            </w:r>
          </w:p>
        </w:tc>
        <w:tc>
          <w:tcPr>
            <w:tcW w:w="870" w:type="dxa"/>
            <w:tcBorders>
              <w:top w:val="single" w:sz="4" w:space="0" w:color="auto"/>
              <w:left w:val="nil"/>
              <w:bottom w:val="single" w:sz="4" w:space="0" w:color="000000"/>
              <w:right w:val="nil"/>
            </w:tcBorders>
            <w:shd w:val="clear" w:color="auto" w:fill="auto"/>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-3,0</w:t>
            </w:r>
          </w:p>
        </w:tc>
        <w:tc>
          <w:tcPr>
            <w:tcW w:w="870" w:type="dxa"/>
            <w:tcBorders>
              <w:top w:val="single" w:sz="4" w:space="0" w:color="auto"/>
              <w:left w:val="nil"/>
              <w:bottom w:val="single" w:sz="4" w:space="0" w:color="000000"/>
              <w:right w:val="nil"/>
            </w:tcBorders>
            <w:shd w:val="clear" w:color="000000" w:fill="92D050"/>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w:t>
            </w:r>
          </w:p>
        </w:tc>
      </w:tr>
      <w:tr w:rsidR="00EF1D74" w:rsidRPr="00EF1D74" w:rsidTr="0057436F">
        <w:trPr>
          <w:trHeight w:val="340"/>
          <w:jc w:val="center"/>
        </w:trPr>
        <w:tc>
          <w:tcPr>
            <w:tcW w:w="2977"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Ekonomiski aktīvo iedzīvotāju īpatsvars % no visiem iedzīvotājiem vecuma grupā no 15-64 gadiem</w:t>
            </w:r>
          </w:p>
        </w:tc>
        <w:tc>
          <w:tcPr>
            <w:tcW w:w="1276"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 xml:space="preserve">3 gadu izmaiņas </w:t>
            </w:r>
            <w:proofErr w:type="spellStart"/>
            <w:r w:rsidRPr="00EF1D74">
              <w:rPr>
                <w:color w:val="000000"/>
                <w:sz w:val="18"/>
                <w:szCs w:val="18"/>
                <w:lang w:eastAsia="lv-LV"/>
              </w:rPr>
              <w:t>proc</w:t>
            </w:r>
            <w:proofErr w:type="spellEnd"/>
            <w:r w:rsidRPr="00EF1D74">
              <w:rPr>
                <w:color w:val="000000"/>
                <w:sz w:val="18"/>
                <w:szCs w:val="18"/>
                <w:lang w:eastAsia="lv-LV"/>
              </w:rPr>
              <w:t>. punktos</w:t>
            </w:r>
          </w:p>
        </w:tc>
        <w:tc>
          <w:tcPr>
            <w:tcW w:w="709"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 xml:space="preserve">-0,2 </w:t>
            </w:r>
            <w:proofErr w:type="spellStart"/>
            <w:r w:rsidRPr="00EF1D74">
              <w:rPr>
                <w:color w:val="000000"/>
                <w:sz w:val="18"/>
                <w:szCs w:val="18"/>
                <w:lang w:eastAsia="lv-LV"/>
              </w:rPr>
              <w:t>pp</w:t>
            </w:r>
            <w:proofErr w:type="spellEnd"/>
          </w:p>
        </w:tc>
        <w:tc>
          <w:tcPr>
            <w:tcW w:w="869"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0,4</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-1,4</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0,9</w:t>
            </w:r>
          </w:p>
        </w:tc>
        <w:tc>
          <w:tcPr>
            <w:tcW w:w="869"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1,8</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1,3</w:t>
            </w:r>
          </w:p>
        </w:tc>
        <w:tc>
          <w:tcPr>
            <w:tcW w:w="869"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2,3</w:t>
            </w:r>
          </w:p>
        </w:tc>
        <w:tc>
          <w:tcPr>
            <w:tcW w:w="870" w:type="dxa"/>
            <w:tcBorders>
              <w:top w:val="nil"/>
              <w:left w:val="nil"/>
              <w:bottom w:val="nil"/>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2,4</w:t>
            </w:r>
          </w:p>
        </w:tc>
        <w:tc>
          <w:tcPr>
            <w:tcW w:w="870" w:type="dxa"/>
            <w:tcBorders>
              <w:top w:val="nil"/>
              <w:left w:val="nil"/>
              <w:bottom w:val="nil"/>
              <w:right w:val="nil"/>
            </w:tcBorders>
            <w:shd w:val="clear" w:color="auto" w:fill="auto"/>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2,0</w:t>
            </w:r>
          </w:p>
        </w:tc>
        <w:tc>
          <w:tcPr>
            <w:tcW w:w="870" w:type="dxa"/>
            <w:tcBorders>
              <w:top w:val="nil"/>
              <w:left w:val="nil"/>
              <w:bottom w:val="nil"/>
              <w:right w:val="nil"/>
            </w:tcBorders>
            <w:shd w:val="clear" w:color="000000" w:fill="92D050"/>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1,0</w:t>
            </w:r>
          </w:p>
        </w:tc>
      </w:tr>
      <w:tr w:rsidR="00EF1D74" w:rsidRPr="00EF1D74" w:rsidTr="0057436F">
        <w:trPr>
          <w:trHeight w:val="340"/>
          <w:jc w:val="center"/>
        </w:trPr>
        <w:tc>
          <w:tcPr>
            <w:tcW w:w="2977" w:type="dxa"/>
            <w:tcBorders>
              <w:top w:val="single" w:sz="4" w:space="0" w:color="auto"/>
              <w:left w:val="nil"/>
              <w:bottom w:val="single" w:sz="4" w:space="0" w:color="auto"/>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Ilgtermiņa bezdarba līmenis % no ekonomiski aktīvajiem iedzīvotājiem vecuma grupā no 15-74 gadiem</w:t>
            </w:r>
          </w:p>
        </w:tc>
        <w:tc>
          <w:tcPr>
            <w:tcW w:w="1276" w:type="dxa"/>
            <w:tcBorders>
              <w:top w:val="single" w:sz="4" w:space="0" w:color="auto"/>
              <w:left w:val="nil"/>
              <w:bottom w:val="single" w:sz="4" w:space="0" w:color="auto"/>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 xml:space="preserve">3 gadu izmaiņas </w:t>
            </w:r>
            <w:proofErr w:type="spellStart"/>
            <w:r w:rsidRPr="00EF1D74">
              <w:rPr>
                <w:color w:val="000000"/>
                <w:sz w:val="18"/>
                <w:szCs w:val="18"/>
                <w:lang w:eastAsia="lv-LV"/>
              </w:rPr>
              <w:t>proc</w:t>
            </w:r>
            <w:proofErr w:type="spellEnd"/>
            <w:r w:rsidRPr="00EF1D74">
              <w:rPr>
                <w:color w:val="000000"/>
                <w:sz w:val="18"/>
                <w:szCs w:val="18"/>
                <w:lang w:eastAsia="lv-LV"/>
              </w:rPr>
              <w:t>. punktos</w:t>
            </w:r>
          </w:p>
        </w:tc>
        <w:tc>
          <w:tcPr>
            <w:tcW w:w="709" w:type="dxa"/>
            <w:tcBorders>
              <w:top w:val="single" w:sz="4" w:space="0" w:color="auto"/>
              <w:left w:val="nil"/>
              <w:bottom w:val="single" w:sz="4" w:space="0" w:color="auto"/>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 xml:space="preserve">0,5 </w:t>
            </w:r>
            <w:proofErr w:type="spellStart"/>
            <w:r w:rsidRPr="00EF1D74">
              <w:rPr>
                <w:color w:val="000000"/>
                <w:sz w:val="18"/>
                <w:szCs w:val="18"/>
                <w:lang w:eastAsia="lv-LV"/>
              </w:rPr>
              <w:t>pp</w:t>
            </w:r>
            <w:proofErr w:type="spellEnd"/>
          </w:p>
        </w:tc>
        <w:tc>
          <w:tcPr>
            <w:tcW w:w="869" w:type="dxa"/>
            <w:tcBorders>
              <w:top w:val="single" w:sz="4" w:space="0" w:color="auto"/>
              <w:left w:val="nil"/>
              <w:bottom w:val="single" w:sz="4" w:space="0" w:color="auto"/>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7,2</w:t>
            </w:r>
          </w:p>
        </w:tc>
        <w:tc>
          <w:tcPr>
            <w:tcW w:w="870" w:type="dxa"/>
            <w:tcBorders>
              <w:top w:val="single" w:sz="4" w:space="0" w:color="auto"/>
              <w:left w:val="nil"/>
              <w:bottom w:val="single" w:sz="4" w:space="0" w:color="auto"/>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6,9</w:t>
            </w:r>
          </w:p>
        </w:tc>
        <w:tc>
          <w:tcPr>
            <w:tcW w:w="870" w:type="dxa"/>
            <w:tcBorders>
              <w:top w:val="single" w:sz="4" w:space="0" w:color="auto"/>
              <w:left w:val="nil"/>
              <w:bottom w:val="single" w:sz="4" w:space="0" w:color="auto"/>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3,3</w:t>
            </w:r>
          </w:p>
        </w:tc>
        <w:tc>
          <w:tcPr>
            <w:tcW w:w="869" w:type="dxa"/>
            <w:tcBorders>
              <w:top w:val="single" w:sz="4" w:space="0" w:color="auto"/>
              <w:left w:val="nil"/>
              <w:bottom w:val="single" w:sz="4" w:space="0" w:color="auto"/>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-3,1</w:t>
            </w:r>
          </w:p>
        </w:tc>
        <w:tc>
          <w:tcPr>
            <w:tcW w:w="870" w:type="dxa"/>
            <w:tcBorders>
              <w:top w:val="single" w:sz="4" w:space="0" w:color="auto"/>
              <w:left w:val="nil"/>
              <w:bottom w:val="single" w:sz="4" w:space="0" w:color="auto"/>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-4,2</w:t>
            </w:r>
          </w:p>
        </w:tc>
        <w:tc>
          <w:tcPr>
            <w:tcW w:w="870" w:type="dxa"/>
            <w:tcBorders>
              <w:top w:val="single" w:sz="4" w:space="0" w:color="auto"/>
              <w:left w:val="nil"/>
              <w:bottom w:val="single" w:sz="4" w:space="0" w:color="auto"/>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-3,3</w:t>
            </w:r>
          </w:p>
        </w:tc>
        <w:tc>
          <w:tcPr>
            <w:tcW w:w="869" w:type="dxa"/>
            <w:tcBorders>
              <w:top w:val="single" w:sz="4" w:space="0" w:color="auto"/>
              <w:left w:val="nil"/>
              <w:bottom w:val="single" w:sz="4" w:space="0" w:color="auto"/>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-1,7</w:t>
            </w:r>
          </w:p>
        </w:tc>
        <w:tc>
          <w:tcPr>
            <w:tcW w:w="870" w:type="dxa"/>
            <w:tcBorders>
              <w:top w:val="single" w:sz="4" w:space="0" w:color="auto"/>
              <w:left w:val="nil"/>
              <w:bottom w:val="single" w:sz="4" w:space="0" w:color="auto"/>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-1,3</w:t>
            </w:r>
          </w:p>
        </w:tc>
        <w:tc>
          <w:tcPr>
            <w:tcW w:w="870" w:type="dxa"/>
            <w:tcBorders>
              <w:top w:val="single" w:sz="4" w:space="0" w:color="auto"/>
              <w:left w:val="nil"/>
              <w:bottom w:val="single" w:sz="4" w:space="0" w:color="auto"/>
              <w:right w:val="nil"/>
            </w:tcBorders>
            <w:shd w:val="clear" w:color="auto" w:fill="auto"/>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-1,4</w:t>
            </w:r>
          </w:p>
        </w:tc>
        <w:tc>
          <w:tcPr>
            <w:tcW w:w="870" w:type="dxa"/>
            <w:tcBorders>
              <w:top w:val="single" w:sz="4" w:space="0" w:color="auto"/>
              <w:left w:val="nil"/>
              <w:bottom w:val="single" w:sz="4" w:space="0" w:color="auto"/>
              <w:right w:val="nil"/>
            </w:tcBorders>
            <w:shd w:val="clear" w:color="000000" w:fill="92D050"/>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-1,6</w:t>
            </w:r>
          </w:p>
        </w:tc>
      </w:tr>
      <w:tr w:rsidR="00EF1D74" w:rsidRPr="00EF1D74" w:rsidTr="0057436F">
        <w:trPr>
          <w:trHeight w:val="340"/>
          <w:jc w:val="center"/>
        </w:trPr>
        <w:tc>
          <w:tcPr>
            <w:tcW w:w="2977" w:type="dxa"/>
            <w:tcBorders>
              <w:top w:val="nil"/>
              <w:left w:val="nil"/>
              <w:bottom w:val="single" w:sz="4" w:space="0" w:color="auto"/>
              <w:right w:val="nil"/>
            </w:tcBorders>
            <w:shd w:val="clear" w:color="auto" w:fill="auto"/>
            <w:vAlign w:val="center"/>
            <w:hideMark/>
          </w:tcPr>
          <w:p w:rsidR="00EF1D74" w:rsidRPr="00EF1D74" w:rsidRDefault="00EF1D74" w:rsidP="00EF1D74">
            <w:pPr>
              <w:spacing w:after="0" w:line="259" w:lineRule="auto"/>
              <w:ind w:left="-14" w:firstLine="0"/>
              <w:jc w:val="left"/>
              <w:rPr>
                <w:color w:val="000000"/>
                <w:sz w:val="18"/>
                <w:szCs w:val="18"/>
                <w:lang w:eastAsia="lv-LV"/>
              </w:rPr>
            </w:pPr>
            <w:r w:rsidRPr="00EF1D74">
              <w:rPr>
                <w:color w:val="000000"/>
                <w:sz w:val="18"/>
                <w:szCs w:val="18"/>
                <w:lang w:eastAsia="lv-LV"/>
              </w:rPr>
              <w:t>Jauniešu bezdarba līmenis % no ekonomiski aktīvajiem iedzīvotājiem vecuma grupā no 15-24 gadiem</w:t>
            </w:r>
          </w:p>
        </w:tc>
        <w:tc>
          <w:tcPr>
            <w:tcW w:w="1276" w:type="dxa"/>
            <w:tcBorders>
              <w:top w:val="nil"/>
              <w:left w:val="nil"/>
              <w:bottom w:val="single" w:sz="4" w:space="0" w:color="auto"/>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 xml:space="preserve">3 gadu izmaiņas </w:t>
            </w:r>
            <w:proofErr w:type="spellStart"/>
            <w:r w:rsidRPr="00EF1D74">
              <w:rPr>
                <w:color w:val="000000"/>
                <w:sz w:val="18"/>
                <w:szCs w:val="18"/>
                <w:lang w:eastAsia="lv-LV"/>
              </w:rPr>
              <w:t>proc</w:t>
            </w:r>
            <w:proofErr w:type="spellEnd"/>
            <w:r w:rsidRPr="00EF1D74">
              <w:rPr>
                <w:color w:val="000000"/>
                <w:sz w:val="18"/>
                <w:szCs w:val="18"/>
                <w:lang w:eastAsia="lv-LV"/>
              </w:rPr>
              <w:t>. punktos</w:t>
            </w:r>
          </w:p>
        </w:tc>
        <w:tc>
          <w:tcPr>
            <w:tcW w:w="709" w:type="dxa"/>
            <w:tcBorders>
              <w:top w:val="nil"/>
              <w:left w:val="nil"/>
              <w:bottom w:val="single" w:sz="4" w:space="0" w:color="auto"/>
              <w:right w:val="nil"/>
            </w:tcBorders>
            <w:shd w:val="clear" w:color="auto" w:fill="auto"/>
            <w:vAlign w:val="center"/>
            <w:hideMark/>
          </w:tcPr>
          <w:p w:rsidR="00EF1D74" w:rsidRPr="00EF1D74" w:rsidRDefault="00EF1D74" w:rsidP="00EF1D74">
            <w:pPr>
              <w:spacing w:after="0" w:line="259" w:lineRule="auto"/>
              <w:ind w:left="-14" w:firstLine="0"/>
              <w:jc w:val="center"/>
              <w:rPr>
                <w:color w:val="000000"/>
                <w:sz w:val="18"/>
                <w:szCs w:val="18"/>
                <w:lang w:eastAsia="lv-LV"/>
              </w:rPr>
            </w:pPr>
            <w:r w:rsidRPr="00EF1D74">
              <w:rPr>
                <w:color w:val="000000"/>
                <w:sz w:val="18"/>
                <w:szCs w:val="18"/>
                <w:lang w:eastAsia="lv-LV"/>
              </w:rPr>
              <w:t xml:space="preserve">2 </w:t>
            </w:r>
            <w:proofErr w:type="spellStart"/>
            <w:r w:rsidRPr="00EF1D74">
              <w:rPr>
                <w:color w:val="000000"/>
                <w:sz w:val="18"/>
                <w:szCs w:val="18"/>
                <w:lang w:eastAsia="lv-LV"/>
              </w:rPr>
              <w:t>pp</w:t>
            </w:r>
            <w:proofErr w:type="spellEnd"/>
          </w:p>
        </w:tc>
        <w:tc>
          <w:tcPr>
            <w:tcW w:w="869" w:type="dxa"/>
            <w:tcBorders>
              <w:top w:val="nil"/>
              <w:left w:val="nil"/>
              <w:bottom w:val="single" w:sz="4" w:space="0" w:color="auto"/>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25,6</w:t>
            </w:r>
          </w:p>
        </w:tc>
        <w:tc>
          <w:tcPr>
            <w:tcW w:w="870" w:type="dxa"/>
            <w:tcBorders>
              <w:top w:val="nil"/>
              <w:left w:val="nil"/>
              <w:bottom w:val="single" w:sz="4" w:space="0" w:color="auto"/>
              <w:right w:val="nil"/>
            </w:tcBorders>
            <w:shd w:val="clear" w:color="000000" w:fill="FFCCCC"/>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17,4</w:t>
            </w:r>
          </w:p>
        </w:tc>
        <w:tc>
          <w:tcPr>
            <w:tcW w:w="870" w:type="dxa"/>
            <w:tcBorders>
              <w:top w:val="nil"/>
              <w:left w:val="nil"/>
              <w:bottom w:val="single" w:sz="4" w:space="0" w:color="auto"/>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-4,8</w:t>
            </w:r>
          </w:p>
        </w:tc>
        <w:tc>
          <w:tcPr>
            <w:tcW w:w="869" w:type="dxa"/>
            <w:tcBorders>
              <w:top w:val="nil"/>
              <w:left w:val="nil"/>
              <w:bottom w:val="single" w:sz="4" w:space="0" w:color="auto"/>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-13</w:t>
            </w:r>
          </w:p>
        </w:tc>
        <w:tc>
          <w:tcPr>
            <w:tcW w:w="870" w:type="dxa"/>
            <w:tcBorders>
              <w:top w:val="nil"/>
              <w:left w:val="nil"/>
              <w:bottom w:val="single" w:sz="4" w:space="0" w:color="auto"/>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-11,4</w:t>
            </w:r>
          </w:p>
        </w:tc>
        <w:tc>
          <w:tcPr>
            <w:tcW w:w="870" w:type="dxa"/>
            <w:tcBorders>
              <w:top w:val="nil"/>
              <w:left w:val="nil"/>
              <w:bottom w:val="single" w:sz="4" w:space="0" w:color="auto"/>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-12,2</w:t>
            </w:r>
          </w:p>
        </w:tc>
        <w:tc>
          <w:tcPr>
            <w:tcW w:w="869" w:type="dxa"/>
            <w:tcBorders>
              <w:top w:val="nil"/>
              <w:left w:val="nil"/>
              <w:bottom w:val="single" w:sz="4" w:space="0" w:color="auto"/>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-5,9</w:t>
            </w:r>
          </w:p>
        </w:tc>
        <w:tc>
          <w:tcPr>
            <w:tcW w:w="870" w:type="dxa"/>
            <w:tcBorders>
              <w:top w:val="nil"/>
              <w:left w:val="nil"/>
              <w:bottom w:val="single" w:sz="4" w:space="0" w:color="auto"/>
              <w:right w:val="nil"/>
            </w:tcBorders>
            <w:shd w:val="clear" w:color="auto" w:fill="auto"/>
            <w:noWrap/>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-2,6</w:t>
            </w:r>
          </w:p>
        </w:tc>
        <w:tc>
          <w:tcPr>
            <w:tcW w:w="870" w:type="dxa"/>
            <w:tcBorders>
              <w:top w:val="nil"/>
              <w:left w:val="nil"/>
              <w:bottom w:val="single" w:sz="4" w:space="0" w:color="auto"/>
              <w:right w:val="nil"/>
            </w:tcBorders>
            <w:shd w:val="clear" w:color="auto" w:fill="auto"/>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-4,1</w:t>
            </w:r>
          </w:p>
        </w:tc>
        <w:tc>
          <w:tcPr>
            <w:tcW w:w="870" w:type="dxa"/>
            <w:tcBorders>
              <w:top w:val="nil"/>
              <w:left w:val="nil"/>
              <w:bottom w:val="single" w:sz="4" w:space="0" w:color="auto"/>
              <w:right w:val="nil"/>
            </w:tcBorders>
            <w:shd w:val="clear" w:color="000000" w:fill="92D050"/>
            <w:vAlign w:val="center"/>
            <w:hideMark/>
          </w:tcPr>
          <w:p w:rsidR="00EF1D74" w:rsidRPr="00EF1D74" w:rsidRDefault="00EF1D74" w:rsidP="00EF1D74">
            <w:pPr>
              <w:spacing w:after="0" w:line="259" w:lineRule="auto"/>
              <w:ind w:left="-14" w:firstLine="0"/>
              <w:jc w:val="right"/>
              <w:rPr>
                <w:color w:val="000000"/>
                <w:sz w:val="18"/>
                <w:szCs w:val="18"/>
                <w:lang w:eastAsia="lv-LV"/>
              </w:rPr>
            </w:pPr>
            <w:r w:rsidRPr="00EF1D74">
              <w:rPr>
                <w:color w:val="000000"/>
                <w:sz w:val="18"/>
                <w:szCs w:val="18"/>
                <w:lang w:eastAsia="lv-LV"/>
              </w:rPr>
              <w:t>-4,9</w:t>
            </w:r>
          </w:p>
        </w:tc>
      </w:tr>
    </w:tbl>
    <w:p w:rsidR="00EF1D74" w:rsidRPr="00EF1D74" w:rsidRDefault="00EF1D74" w:rsidP="00EF1D74">
      <w:pPr>
        <w:spacing w:before="60" w:after="60"/>
        <w:ind w:firstLine="0"/>
        <w:rPr>
          <w:rFonts w:eastAsia="Calibri"/>
          <w:b/>
          <w:szCs w:val="24"/>
        </w:rPr>
      </w:pPr>
    </w:p>
    <w:p w:rsidR="00EF1D74" w:rsidRPr="00EF1D74" w:rsidRDefault="00EF1D74" w:rsidP="00EF1D74">
      <w:pPr>
        <w:spacing w:before="120"/>
        <w:ind w:firstLine="720"/>
        <w:rPr>
          <w:rFonts w:eastAsia="Calibri"/>
          <w:szCs w:val="28"/>
        </w:rPr>
      </w:pPr>
    </w:p>
    <w:p w:rsidR="00EF1D74" w:rsidRPr="00EF1D74" w:rsidRDefault="00EF1D74" w:rsidP="00EF1D74">
      <w:pPr>
        <w:spacing w:before="120"/>
        <w:ind w:firstLine="0"/>
        <w:rPr>
          <w:rFonts w:eastAsia="Calibri"/>
          <w:szCs w:val="28"/>
        </w:rPr>
      </w:pPr>
    </w:p>
    <w:p w:rsidR="00EF1D74" w:rsidRPr="00EF1D74" w:rsidRDefault="00EF1D74" w:rsidP="00EF1D74">
      <w:pPr>
        <w:keepNext/>
        <w:keepLines/>
        <w:spacing w:before="240" w:after="240"/>
        <w:ind w:firstLine="0"/>
        <w:jc w:val="center"/>
        <w:outlineLvl w:val="1"/>
        <w:rPr>
          <w:b/>
          <w:sz w:val="36"/>
          <w:szCs w:val="36"/>
        </w:rPr>
      </w:pPr>
      <w:r w:rsidRPr="00EF1D74">
        <w:rPr>
          <w:b/>
          <w:sz w:val="36"/>
          <w:szCs w:val="36"/>
        </w:rPr>
        <w:lastRenderedPageBreak/>
        <w:t>1.4. Makroekonomiskās attīstības scenārijs</w:t>
      </w:r>
    </w:p>
    <w:p w:rsidR="00EF1D74" w:rsidRPr="00EF1D74" w:rsidRDefault="00EF1D74" w:rsidP="00EF1D74">
      <w:pPr>
        <w:spacing w:before="120"/>
        <w:ind w:firstLine="720"/>
        <w:rPr>
          <w:rFonts w:eastAsia="Calibri"/>
          <w:szCs w:val="22"/>
        </w:rPr>
      </w:pPr>
      <w:r w:rsidRPr="00EF1D74">
        <w:rPr>
          <w:rFonts w:eastAsia="Calibri"/>
          <w:szCs w:val="22"/>
        </w:rPr>
        <w:t>Vidēja termiņa makroekonomiskās attīstības scenārijs 2020.-2023. gadam izstrādāts 2020. gada jūnijā, balstoties uz konservatīviem pieņēmumiem, ņemot vērā 2020.gada pirmā ceturkšņa IKP datus un līdz 2020. gada jūnijam pieejamo īstermiņa makroekonomisko informāciju, kā arī valdības apstiprinātos atbalsta pasākumus Covid-19 izraisītās krīzes seku mazināšanai tautsaimniecībā.</w:t>
      </w:r>
    </w:p>
    <w:p w:rsidR="00EF1D74" w:rsidRPr="00EF1D74" w:rsidRDefault="00EF1D74" w:rsidP="00EF1D74">
      <w:pPr>
        <w:spacing w:before="120"/>
        <w:ind w:firstLine="720"/>
        <w:rPr>
          <w:rFonts w:eastAsia="Calibri"/>
          <w:szCs w:val="22"/>
        </w:rPr>
      </w:pPr>
      <w:r w:rsidRPr="00EF1D74">
        <w:rPr>
          <w:rFonts w:eastAsia="Calibri"/>
          <w:szCs w:val="22"/>
        </w:rPr>
        <w:t>Izstrādājot vidēja termiņa makroekonomiskās attīstības scenāriju, Finanšu ministrija ir konsultējusies ar SVF un EK ekspertiem. Makroekonomisko rādītāju prognozes ir saskaņotas ar Latvijas Banku un Ekonomikas ministriju, kā arī tās 15.jūnijā ir apstiprinājusi Fiskālās disciplīnas padome.</w:t>
      </w:r>
    </w:p>
    <w:p w:rsidR="00EF1D74" w:rsidRPr="00EF1D74" w:rsidRDefault="00EF1D74" w:rsidP="00EF1D74">
      <w:pPr>
        <w:spacing w:before="120"/>
        <w:ind w:firstLine="720"/>
        <w:rPr>
          <w:rFonts w:eastAsia="Calibri"/>
          <w:szCs w:val="22"/>
        </w:rPr>
      </w:pPr>
      <w:r w:rsidRPr="00EF1D74">
        <w:rPr>
          <w:rFonts w:eastAsia="Calibri"/>
          <w:szCs w:val="22"/>
        </w:rPr>
        <w:t>Atbilstoši atjaunotajam makroekonomiskās attīstības scenārijam, Latvijas IKP šogad samazināsies par 7,0%. Šis IKP kritums ir tāds pats, kā FM aprīlī izstrādātajā scenārijā, sagatavojot Latvijas Stabilitātes programmu 2020.-2023. gadam, taču ir mainījušās prognozes pa IKP komponentēm no izlietojuma un ienākumu puses. 2021. gadā Latvijas IKP palielināsies par 5,1%, kas ir par 4,1 procentpunktu vairāk nekā iepriekšējā prognoze. Savukārt 2022. un 2023. gadā IKP palielināsies par 3,1%, kas attiecīgi ir par 0,4 procentpunktiem mazāk un par 0,7 procentpunktiem vairāk nekā iepriekšējās prognozēs.</w:t>
      </w:r>
    </w:p>
    <w:p w:rsidR="00EF1D74" w:rsidRPr="00EF1D74" w:rsidRDefault="00EF1D74" w:rsidP="00EF1D74">
      <w:pPr>
        <w:spacing w:before="120"/>
        <w:ind w:firstLine="720"/>
        <w:rPr>
          <w:rFonts w:eastAsia="Calibri"/>
          <w:szCs w:val="22"/>
        </w:rPr>
      </w:pPr>
      <w:r w:rsidRPr="00EF1D74">
        <w:rPr>
          <w:rFonts w:eastAsia="Calibri"/>
          <w:szCs w:val="22"/>
        </w:rPr>
        <w:t>Makroekonomiskās attīstības scenārijs balstās uz pieņēmumu, ka Covid-19 pandēmija 2020. gada pirmajā pusē tiek ierobežota un pēc tam ekonomiskā aktivitāte pasaulē un Latvijā pakāpeniski atjaunojas. Šāds pieņēmums bija pamatā visu starptautisko institūciju makroekonomikas prognozēm, kas balstījās uz Covid-19 izplatības dinamikas pēdējiem datiem. Scenārijs paredz, ka pēc 1,5% lejupslīdes 2020. gada pirmajā ceturksnī, otrajā ceturksnī Latvijas ekonomika piedzīvo krasu kritumu līdz zemākajam punktam un pēc tam aktivitātes līmenis sāk atjaunoties. Trešajā un ceturksnī samazinājumi gada griezumā prognozēti aptuveni uz pusi mazāki nekā  otrajā ceturksnī.  Krīzes smagāk skartajās nozarēs - transportā, izmitināšanā un ēdināšanā, mākslas, izklaides un atpūtas nozarē, profesionālo pakalpojumu nozarē izlaides apjomi līdz 2020. gada beigām neatgriežas 2019. gada līmenī.</w:t>
      </w:r>
    </w:p>
    <w:p w:rsidR="00EF1D74" w:rsidRPr="00EF1D74" w:rsidRDefault="00EF1D74" w:rsidP="00EF1D74">
      <w:pPr>
        <w:spacing w:before="120"/>
        <w:ind w:firstLine="720"/>
        <w:rPr>
          <w:rFonts w:eastAsia="Calibri"/>
          <w:szCs w:val="22"/>
        </w:rPr>
      </w:pPr>
      <w:r w:rsidRPr="00EF1D74">
        <w:rPr>
          <w:rFonts w:eastAsia="Calibri"/>
          <w:szCs w:val="22"/>
        </w:rPr>
        <w:t>No izlietojuma puses lielākais kritums 2020.gadā gaidāms investīcijās, kur, uzņēmējiem atsakoties no investīcijām un atliekot investīciju projektus,  bruto pamatkapitāla veidošana prognozēta par 10,2% mazāka nekā 2019. gadā. Eksports samazināsies par 10,3%, ko daļēji kompensēs importa samazinājums par 11,5%, bet privātais patēriņš saruks par 7,5%. Kopējo ekonomikas kritumu nedaudz mīkstinās sabiedriskā patēriņa pieaugums par 3,1%, saglabājot šī gada plānoto izdevumu apmēru.</w:t>
      </w:r>
    </w:p>
    <w:p w:rsidR="00EF1D74" w:rsidRPr="00EF1D74" w:rsidRDefault="00EF1D74" w:rsidP="00EF1D74">
      <w:pPr>
        <w:spacing w:before="120"/>
        <w:ind w:firstLine="720"/>
        <w:rPr>
          <w:rFonts w:eastAsia="Calibri"/>
          <w:szCs w:val="22"/>
        </w:rPr>
      </w:pPr>
      <w:r w:rsidRPr="00EF1D74">
        <w:rPr>
          <w:rFonts w:eastAsia="Calibri"/>
          <w:szCs w:val="22"/>
        </w:rPr>
        <w:t>Nākamajos gados ekonomikas izaugsme pakāpeniski atjaunosies, IKP pieaugumam 2021. gadā veidojot 5,1% tomēr IKP vēl neatgriežoties 2019.gada līmenī un to pārsniedzot tikai 2022. gadā, kad tāpat kā 2023. gadā, prognozēta ekonomikas izaugsme 3,1% apmērā.</w:t>
      </w:r>
    </w:p>
    <w:p w:rsidR="00EF1D74" w:rsidRPr="00EF1D74" w:rsidRDefault="00EF1D74" w:rsidP="00EF1D74">
      <w:pPr>
        <w:keepNext/>
        <w:ind w:firstLine="0"/>
        <w:jc w:val="center"/>
        <w:rPr>
          <w:rFonts w:eastAsia="Calibri"/>
          <w:b/>
          <w:szCs w:val="24"/>
        </w:rPr>
      </w:pPr>
      <w:r w:rsidRPr="00EF1D74">
        <w:rPr>
          <w:rFonts w:eastAsia="Calibri"/>
          <w:b/>
          <w:i/>
          <w:szCs w:val="24"/>
        </w:rPr>
        <w:t xml:space="preserve">1.7. tabula </w:t>
      </w:r>
      <w:r w:rsidRPr="00EF1D74">
        <w:rPr>
          <w:rFonts w:eastAsia="Calibri"/>
          <w:b/>
          <w:szCs w:val="24"/>
        </w:rPr>
        <w:t>Makroekonomisko prognožu kopsavilkums</w:t>
      </w:r>
    </w:p>
    <w:tbl>
      <w:tblPr>
        <w:tblW w:w="8500" w:type="dxa"/>
        <w:jc w:val="center"/>
        <w:tblLayout w:type="fixed"/>
        <w:tblLook w:val="04A0" w:firstRow="1" w:lastRow="0" w:firstColumn="1" w:lastColumn="0" w:noHBand="0" w:noVBand="1"/>
      </w:tblPr>
      <w:tblGrid>
        <w:gridCol w:w="3823"/>
        <w:gridCol w:w="935"/>
        <w:gridCol w:w="935"/>
        <w:gridCol w:w="936"/>
        <w:gridCol w:w="935"/>
        <w:gridCol w:w="936"/>
      </w:tblGrid>
      <w:tr w:rsidR="00EF1D74" w:rsidRPr="00EF1D74" w:rsidTr="0057436F">
        <w:trPr>
          <w:trHeight w:val="300"/>
          <w:tblHeader/>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sz w:val="18"/>
                <w:szCs w:val="18"/>
                <w:lang w:eastAsia="lv-LV"/>
              </w:rPr>
            </w:pP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2019</w:t>
            </w:r>
          </w:p>
        </w:tc>
        <w:tc>
          <w:tcPr>
            <w:tcW w:w="935" w:type="dxa"/>
            <w:tcBorders>
              <w:top w:val="single" w:sz="4" w:space="0" w:color="auto"/>
              <w:left w:val="nil"/>
              <w:bottom w:val="single" w:sz="4" w:space="0" w:color="auto"/>
              <w:right w:val="single" w:sz="4" w:space="0" w:color="auto"/>
            </w:tcBorders>
            <w:shd w:val="clear" w:color="auto" w:fill="F2F2F2"/>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2020</w:t>
            </w:r>
          </w:p>
        </w:tc>
        <w:tc>
          <w:tcPr>
            <w:tcW w:w="936" w:type="dxa"/>
            <w:tcBorders>
              <w:top w:val="single" w:sz="4" w:space="0" w:color="auto"/>
              <w:left w:val="nil"/>
              <w:bottom w:val="single" w:sz="4" w:space="0" w:color="auto"/>
              <w:right w:val="single" w:sz="4" w:space="0" w:color="auto"/>
            </w:tcBorders>
            <w:shd w:val="clear" w:color="auto" w:fill="F2F2F2"/>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2021</w:t>
            </w:r>
          </w:p>
        </w:tc>
        <w:tc>
          <w:tcPr>
            <w:tcW w:w="935" w:type="dxa"/>
            <w:tcBorders>
              <w:top w:val="single" w:sz="4" w:space="0" w:color="auto"/>
              <w:left w:val="nil"/>
              <w:bottom w:val="single" w:sz="4" w:space="0" w:color="auto"/>
              <w:right w:val="single" w:sz="4" w:space="0" w:color="auto"/>
            </w:tcBorders>
            <w:shd w:val="clear" w:color="auto" w:fill="F2F2F2"/>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2022</w:t>
            </w:r>
          </w:p>
        </w:tc>
        <w:tc>
          <w:tcPr>
            <w:tcW w:w="936" w:type="dxa"/>
            <w:tcBorders>
              <w:top w:val="single" w:sz="4" w:space="0" w:color="auto"/>
              <w:left w:val="nil"/>
              <w:bottom w:val="single" w:sz="4" w:space="0" w:color="auto"/>
              <w:right w:val="single" w:sz="4" w:space="0" w:color="auto"/>
            </w:tcBorders>
            <w:shd w:val="clear" w:color="auto" w:fill="F2F2F2"/>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2023</w:t>
            </w:r>
          </w:p>
        </w:tc>
      </w:tr>
      <w:tr w:rsidR="00EF1D74" w:rsidRPr="00EF1D74" w:rsidTr="0057436F">
        <w:trPr>
          <w:trHeight w:val="300"/>
          <w:tblHeader/>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D74" w:rsidRPr="00EF1D74" w:rsidRDefault="00EF1D74" w:rsidP="00EF1D74">
            <w:pPr>
              <w:spacing w:after="0"/>
              <w:ind w:firstLine="0"/>
              <w:jc w:val="left"/>
              <w:rPr>
                <w:rFonts w:eastAsia="Calibri"/>
                <w:b/>
                <w:sz w:val="18"/>
                <w:szCs w:val="18"/>
                <w:lang w:eastAsia="lv-LV"/>
              </w:rPr>
            </w:pP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fakts</w:t>
            </w:r>
          </w:p>
        </w:tc>
        <w:tc>
          <w:tcPr>
            <w:tcW w:w="3742" w:type="dxa"/>
            <w:gridSpan w:val="4"/>
            <w:tcBorders>
              <w:top w:val="single" w:sz="4" w:space="0" w:color="auto"/>
              <w:left w:val="nil"/>
              <w:bottom w:val="single" w:sz="4" w:space="0" w:color="auto"/>
              <w:right w:val="single" w:sz="4" w:space="0" w:color="auto"/>
            </w:tcBorders>
            <w:shd w:val="clear" w:color="auto" w:fill="F2F2F2"/>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prognoze</w:t>
            </w:r>
          </w:p>
        </w:tc>
      </w:tr>
      <w:tr w:rsidR="00EF1D74" w:rsidRPr="00EF1D74" w:rsidTr="0057436F">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noProof/>
                <w:sz w:val="18"/>
                <w:szCs w:val="18"/>
                <w:lang w:eastAsia="lv-LV"/>
              </w:rPr>
            </w:pPr>
            <w:r w:rsidRPr="00EF1D74">
              <w:rPr>
                <w:rFonts w:eastAsia="Calibri"/>
                <w:b/>
                <w:noProof/>
                <w:sz w:val="18"/>
                <w:szCs w:val="18"/>
                <w:lang w:eastAsia="lv-LV"/>
              </w:rPr>
              <w:t xml:space="preserve">Iekšzemes kopprodukts (IKP), </w:t>
            </w:r>
            <w:r w:rsidRPr="00EF1D74">
              <w:rPr>
                <w:rFonts w:eastAsia="Calibri"/>
                <w:b/>
                <w:noProof/>
                <w:sz w:val="18"/>
                <w:szCs w:val="18"/>
                <w:lang w:eastAsia="lv-LV"/>
              </w:rPr>
              <w:br/>
              <w:t xml:space="preserve">milj. </w:t>
            </w:r>
            <w:r w:rsidRPr="00EF1D74">
              <w:rPr>
                <w:rFonts w:eastAsia="Calibri"/>
                <w:b/>
                <w:i/>
                <w:noProof/>
                <w:sz w:val="18"/>
                <w:szCs w:val="18"/>
                <w:lang w:eastAsia="lv-LV"/>
              </w:rPr>
              <w:t>euro</w:t>
            </w:r>
          </w:p>
        </w:tc>
        <w:tc>
          <w:tcPr>
            <w:tcW w:w="935" w:type="dxa"/>
            <w:tcBorders>
              <w:top w:val="single" w:sz="4" w:space="0" w:color="auto"/>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30 463</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28 194</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30 022</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31 601</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33 247</w:t>
            </w:r>
          </w:p>
        </w:tc>
      </w:tr>
      <w:tr w:rsidR="00EF1D74" w:rsidRPr="00EF1D74" w:rsidTr="0057436F">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noProof/>
                <w:sz w:val="18"/>
                <w:szCs w:val="18"/>
                <w:lang w:eastAsia="lv-LV"/>
              </w:rPr>
            </w:pPr>
            <w:r w:rsidRPr="00EF1D74">
              <w:rPr>
                <w:rFonts w:eastAsia="Calibri"/>
                <w:noProof/>
                <w:sz w:val="18"/>
                <w:szCs w:val="18"/>
                <w:lang w:eastAsia="lv-LV"/>
              </w:rPr>
              <w:t>pieaugums faktiskajās cenās, %</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4,5</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-7,5</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6,5</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5,3</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5,2</w:t>
            </w:r>
          </w:p>
        </w:tc>
      </w:tr>
      <w:tr w:rsidR="00EF1D74" w:rsidRPr="00EF1D74" w:rsidTr="0057436F">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noProof/>
                <w:sz w:val="18"/>
                <w:szCs w:val="18"/>
                <w:lang w:eastAsia="lv-LV"/>
              </w:rPr>
            </w:pPr>
            <w:r w:rsidRPr="00EF1D74">
              <w:rPr>
                <w:rFonts w:eastAsia="Calibri"/>
                <w:noProof/>
                <w:sz w:val="18"/>
                <w:szCs w:val="18"/>
                <w:lang w:eastAsia="lv-LV"/>
              </w:rPr>
              <w:t>pieaugums salīdzināmās cenās, %</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2,1</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-7,0</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5,1</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3,1</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3,1</w:t>
            </w:r>
          </w:p>
        </w:tc>
      </w:tr>
      <w:tr w:rsidR="00EF1D74" w:rsidRPr="00EF1D74" w:rsidTr="0057436F">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noProof/>
                <w:sz w:val="18"/>
                <w:szCs w:val="18"/>
                <w:lang w:eastAsia="lv-LV"/>
              </w:rPr>
            </w:pPr>
            <w:r w:rsidRPr="00EF1D74">
              <w:rPr>
                <w:rFonts w:eastAsia="Calibri"/>
                <w:b/>
                <w:noProof/>
                <w:sz w:val="18"/>
                <w:szCs w:val="18"/>
                <w:lang w:eastAsia="lv-LV"/>
              </w:rPr>
              <w:t>IKP deflators (gads pret gadu), %</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2,4</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-0,5</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1,3</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2,0</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2,0</w:t>
            </w:r>
          </w:p>
        </w:tc>
      </w:tr>
      <w:tr w:rsidR="00EF1D74" w:rsidRPr="00EF1D74" w:rsidTr="0057436F">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noProof/>
                <w:sz w:val="18"/>
                <w:szCs w:val="18"/>
                <w:lang w:eastAsia="lv-LV"/>
              </w:rPr>
            </w:pPr>
            <w:r w:rsidRPr="00EF1D74">
              <w:rPr>
                <w:rFonts w:eastAsia="Calibri"/>
                <w:b/>
                <w:noProof/>
                <w:sz w:val="18"/>
                <w:szCs w:val="18"/>
                <w:lang w:eastAsia="lv-LV"/>
              </w:rPr>
              <w:t>PCI (gads pret gadu), %</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2,8</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0,2</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1,2</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2,0</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2,0</w:t>
            </w:r>
          </w:p>
        </w:tc>
      </w:tr>
      <w:tr w:rsidR="00EF1D74" w:rsidRPr="00EF1D74" w:rsidTr="0057436F">
        <w:trPr>
          <w:trHeight w:val="6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noProof/>
                <w:sz w:val="18"/>
                <w:szCs w:val="18"/>
                <w:lang w:eastAsia="lv-LV"/>
              </w:rPr>
            </w:pPr>
            <w:r w:rsidRPr="00EF1D74">
              <w:rPr>
                <w:rFonts w:eastAsia="Calibri"/>
                <w:b/>
                <w:noProof/>
                <w:sz w:val="18"/>
                <w:szCs w:val="18"/>
                <w:lang w:eastAsia="lv-LV"/>
              </w:rPr>
              <w:lastRenderedPageBreak/>
              <w:t xml:space="preserve">Tautsaimniecībā nodarbināto mēn. vid. bruto darba samaksa, </w:t>
            </w:r>
            <w:r w:rsidRPr="00EF1D74">
              <w:rPr>
                <w:rFonts w:eastAsia="Calibri"/>
                <w:b/>
                <w:i/>
                <w:noProof/>
                <w:sz w:val="18"/>
                <w:szCs w:val="18"/>
                <w:lang w:eastAsia="lv-LV"/>
              </w:rPr>
              <w:t>euro</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1 076</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1 065</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1 097</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1 152</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1 210</w:t>
            </w:r>
          </w:p>
        </w:tc>
      </w:tr>
      <w:tr w:rsidR="00EF1D74" w:rsidRPr="00EF1D74" w:rsidTr="0057436F">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noProof/>
                <w:sz w:val="18"/>
                <w:szCs w:val="18"/>
                <w:lang w:eastAsia="lv-LV"/>
              </w:rPr>
            </w:pPr>
            <w:r w:rsidRPr="00EF1D74">
              <w:rPr>
                <w:rFonts w:eastAsia="Calibri"/>
                <w:noProof/>
                <w:sz w:val="18"/>
                <w:szCs w:val="18"/>
                <w:lang w:eastAsia="lv-LV"/>
              </w:rPr>
              <w:t>pieaugums faktiskajās cenās, %</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7,2</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-1,0</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3,0</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5,0</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5,0</w:t>
            </w:r>
          </w:p>
        </w:tc>
      </w:tr>
      <w:tr w:rsidR="00EF1D74" w:rsidRPr="00EF1D74" w:rsidTr="0057436F">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noProof/>
                <w:sz w:val="18"/>
                <w:szCs w:val="18"/>
                <w:lang w:eastAsia="lv-LV"/>
              </w:rPr>
            </w:pPr>
            <w:r w:rsidRPr="00EF1D74">
              <w:rPr>
                <w:rFonts w:eastAsia="Calibri"/>
                <w:noProof/>
                <w:sz w:val="18"/>
                <w:szCs w:val="18"/>
                <w:lang w:eastAsia="lv-LV"/>
              </w:rPr>
              <w:t>pieaugums salīdzināmās cenās, %</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4,2</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-1,2</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1,8</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2,9</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2,9</w:t>
            </w:r>
          </w:p>
        </w:tc>
      </w:tr>
      <w:tr w:rsidR="00EF1D74" w:rsidRPr="00EF1D74" w:rsidTr="0057436F">
        <w:trPr>
          <w:trHeight w:val="6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noProof/>
                <w:sz w:val="18"/>
                <w:szCs w:val="18"/>
                <w:lang w:eastAsia="lv-LV"/>
              </w:rPr>
            </w:pPr>
            <w:r w:rsidRPr="00EF1D74">
              <w:rPr>
                <w:rFonts w:eastAsia="Calibri"/>
                <w:b/>
                <w:noProof/>
                <w:sz w:val="18"/>
                <w:szCs w:val="18"/>
                <w:lang w:eastAsia="lv-LV"/>
              </w:rPr>
              <w:t>Nodarbinātība, tūkst. iedzīvotāju (atbilstoši darbaspēka apsekojumiem)</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910</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870</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875</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884</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883</w:t>
            </w:r>
          </w:p>
        </w:tc>
      </w:tr>
      <w:tr w:rsidR="00EF1D74" w:rsidRPr="00EF1D74" w:rsidTr="0057436F">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noProof/>
                <w:sz w:val="18"/>
                <w:szCs w:val="18"/>
                <w:lang w:eastAsia="lv-LV"/>
              </w:rPr>
            </w:pPr>
            <w:r w:rsidRPr="00EF1D74">
              <w:rPr>
                <w:rFonts w:eastAsia="Calibri"/>
                <w:noProof/>
                <w:sz w:val="18"/>
                <w:szCs w:val="18"/>
                <w:lang w:eastAsia="lv-LV"/>
              </w:rPr>
              <w:t>pieaugums, %</w:t>
            </w:r>
          </w:p>
        </w:tc>
        <w:tc>
          <w:tcPr>
            <w:tcW w:w="935"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0,1</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-4,4</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0,6</w:t>
            </w:r>
          </w:p>
        </w:tc>
        <w:tc>
          <w:tcPr>
            <w:tcW w:w="935"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1,0</w:t>
            </w:r>
          </w:p>
        </w:tc>
        <w:tc>
          <w:tcPr>
            <w:tcW w:w="936"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sz w:val="18"/>
                <w:szCs w:val="18"/>
              </w:rPr>
            </w:pPr>
            <w:r w:rsidRPr="00EF1D74">
              <w:rPr>
                <w:rFonts w:eastAsia="Calibri"/>
                <w:sz w:val="18"/>
                <w:szCs w:val="18"/>
              </w:rPr>
              <w:t>-0,1</w:t>
            </w:r>
          </w:p>
        </w:tc>
      </w:tr>
      <w:tr w:rsidR="00EF1D74" w:rsidRPr="00EF1D74" w:rsidTr="0057436F">
        <w:trPr>
          <w:trHeight w:val="30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noProof/>
                <w:sz w:val="18"/>
                <w:szCs w:val="18"/>
                <w:lang w:eastAsia="lv-LV"/>
              </w:rPr>
            </w:pPr>
            <w:r w:rsidRPr="00EF1D74">
              <w:rPr>
                <w:rFonts w:eastAsia="Calibri"/>
                <w:b/>
                <w:noProof/>
                <w:sz w:val="18"/>
                <w:szCs w:val="18"/>
                <w:lang w:eastAsia="lv-LV"/>
              </w:rPr>
              <w:t>Bezdarba līmenis (gada vidējais),</w:t>
            </w:r>
            <w:r w:rsidRPr="00EF1D74">
              <w:rPr>
                <w:rFonts w:eastAsia="Calibri"/>
                <w:b/>
                <w:noProof/>
                <w:sz w:val="18"/>
                <w:szCs w:val="18"/>
                <w:lang w:eastAsia="lv-LV"/>
              </w:rPr>
              <w:br/>
              <w:t>% no ekon. aktīviem iedzīv.</w:t>
            </w:r>
          </w:p>
        </w:tc>
        <w:tc>
          <w:tcPr>
            <w:tcW w:w="935" w:type="dxa"/>
            <w:tcBorders>
              <w:top w:val="single" w:sz="4" w:space="0" w:color="auto"/>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6,3</w:t>
            </w:r>
          </w:p>
        </w:tc>
        <w:tc>
          <w:tcPr>
            <w:tcW w:w="935" w:type="dxa"/>
            <w:tcBorders>
              <w:top w:val="single" w:sz="4" w:space="0" w:color="auto"/>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10,5</w:t>
            </w:r>
          </w:p>
        </w:tc>
        <w:tc>
          <w:tcPr>
            <w:tcW w:w="936" w:type="dxa"/>
            <w:tcBorders>
              <w:top w:val="single" w:sz="4" w:space="0" w:color="auto"/>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9,8</w:t>
            </w:r>
          </w:p>
        </w:tc>
        <w:tc>
          <w:tcPr>
            <w:tcW w:w="935" w:type="dxa"/>
            <w:tcBorders>
              <w:top w:val="single" w:sz="4" w:space="0" w:color="auto"/>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8,1</w:t>
            </w:r>
          </w:p>
        </w:tc>
        <w:tc>
          <w:tcPr>
            <w:tcW w:w="936" w:type="dxa"/>
            <w:tcBorders>
              <w:top w:val="single" w:sz="4" w:space="0" w:color="auto"/>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center"/>
              <w:rPr>
                <w:rFonts w:eastAsia="Calibri"/>
                <w:b/>
                <w:sz w:val="18"/>
                <w:szCs w:val="18"/>
              </w:rPr>
            </w:pPr>
            <w:r w:rsidRPr="00EF1D74">
              <w:rPr>
                <w:rFonts w:eastAsia="Calibri"/>
                <w:b/>
                <w:sz w:val="18"/>
                <w:szCs w:val="18"/>
              </w:rPr>
              <w:t>7,3</w:t>
            </w:r>
          </w:p>
        </w:tc>
      </w:tr>
    </w:tbl>
    <w:p w:rsidR="00EF1D74" w:rsidRPr="00EF1D74" w:rsidRDefault="00EF1D74" w:rsidP="00EF1D74">
      <w:pPr>
        <w:spacing w:before="120"/>
        <w:ind w:firstLine="720"/>
        <w:rPr>
          <w:rFonts w:eastAsia="Calibri"/>
          <w:szCs w:val="24"/>
        </w:rPr>
      </w:pPr>
      <w:r w:rsidRPr="00EF1D74">
        <w:rPr>
          <w:rFonts w:eastAsia="Calibri"/>
          <w:szCs w:val="24"/>
        </w:rPr>
        <w:t>Gada vidējā inflācija 2020. gadā prognozēta 0,2% un 2021. gadā 1,2% līmenī. Salīdzinājumā ar Latvijas Stabilitātes programmas 2020.-2023. gadam prognozēm inflācijas prognoze 2020. gadam ir samazināta par 0,2 procentpunktiem un 2021. gadam – par 0,5 procentpunktiem, galvenokārt straujā energoresursu cenu krituma dēļ, kā arī mazinoties pakalpojumu cenu pieaugumam. Nākamajos divos gados patēriņa cenu pieaugums atjaunosies 2% līmenī.</w:t>
      </w:r>
    </w:p>
    <w:p w:rsidR="00EF1D74" w:rsidRPr="00EF1D74" w:rsidRDefault="00EF1D74" w:rsidP="00EF1D74">
      <w:pPr>
        <w:spacing w:before="120"/>
        <w:ind w:firstLine="720"/>
        <w:rPr>
          <w:rFonts w:eastAsia="Calibri"/>
          <w:szCs w:val="22"/>
        </w:rPr>
      </w:pPr>
      <w:r w:rsidRPr="00EF1D74">
        <w:rPr>
          <w:rFonts w:eastAsia="Calibri"/>
          <w:szCs w:val="22"/>
        </w:rPr>
        <w:t xml:space="preserve">Makroekonomiskās attīstības scenārijā pieņemts, ka vīrusa izplatības un tā ierobežošanas pasākumu ietekmē tautsaimniecībā nodarbināto iedzīvotāju skaits 2020. gadā samazināsies vidēji par 40 tūkstošiem jeb 4,4%, darbu zaudējot daļai darbinieku ierobežojumu tieši skartajās nozarēs, tajā skaitā transportā, tirdzniecībā, izmitināšanā un ēdināšanā, profesionālajos un administratīvajos pakalpojumos, kā arī nedaudz samazinoties strādājošo skaitam arī netieši ietekmētajās nozarēs. Attiecīgi sagaidāms, ka bezdarba līmenis 2020. gadā salīdzinājumā ar 2019. gadu pieaugs par 4,2 procentpunktiem līdz 10,5%. 2021. un 2022. gadā, ekonomikas izaugsmei atjaunojoties, nodarbināto skaits nedaudz palielināsies, līdz 2023. gadam stabilizējoties 883 tūkstošu līmenī, bet bezdarba līmenis 2021. gadā pazemināsies līdz 9,8%. </w:t>
      </w:r>
    </w:p>
    <w:p w:rsidR="00EF1D74" w:rsidRPr="00EF1D74" w:rsidRDefault="00EF1D74" w:rsidP="00EF1D74">
      <w:pPr>
        <w:spacing w:before="120"/>
        <w:ind w:firstLine="720"/>
        <w:rPr>
          <w:rFonts w:eastAsia="Calibri"/>
          <w:szCs w:val="22"/>
        </w:rPr>
      </w:pPr>
      <w:r w:rsidRPr="00EF1D74">
        <w:rPr>
          <w:rFonts w:eastAsia="Calibri"/>
          <w:szCs w:val="22"/>
        </w:rPr>
        <w:t>Ņemot vērā valdības apstiprinātos nodarbinātības atbalsta pasākumus, nodarbināto iedzīvotāju skaita prognoze 2020. gadam, salīdzinājumā ar iepriekšējo prognozi, ir nedaudz paaugstināta, sagaidot, ka strādājošo skaita kritums 2020. gadā būs par pieciem tūkstošiem mazāks nekā tika prognozēts, sagatavojot Latvijas Stabilitātes programmu.</w:t>
      </w:r>
    </w:p>
    <w:p w:rsidR="00EF1D74" w:rsidRPr="00EF1D74" w:rsidRDefault="00EF1D74" w:rsidP="00EF1D74">
      <w:pPr>
        <w:spacing w:before="120"/>
        <w:ind w:firstLine="720"/>
        <w:rPr>
          <w:rFonts w:eastAsia="Calibri"/>
          <w:szCs w:val="22"/>
        </w:rPr>
      </w:pPr>
      <w:r w:rsidRPr="00EF1D74">
        <w:rPr>
          <w:rFonts w:eastAsia="Calibri"/>
          <w:szCs w:val="22"/>
        </w:rPr>
        <w:t>Atbilstoši jaunajam makroekonomiskās attīstības scenārijam, mēneša vidējā darba samaksa 2020. gadā samazināsies par 1,0%, gada pirmajā ceturksnī vēl saglabājoties spēcīgam algu pieaugumam, bet pēc tam uzņēmējiem vairs nespējot saglabāt esošo algu līmeni strauja ekonomikas krituma apstākļos. Nākamajos gados algu pieaugums pakāpeniski atjaunosies, 2021. gadā mēneša vidējai darba samaksai palielinoties par 3,0% un pēc tam pieaugumam stabilizējoties līmenī, kas ir tuvs kopējam produktivitātes pieaugumam tautsaimniecībā.</w:t>
      </w:r>
    </w:p>
    <w:p w:rsidR="00EF1D74" w:rsidRPr="00EF1D74" w:rsidRDefault="00EF1D74" w:rsidP="00D547D7">
      <w:pPr>
        <w:spacing w:before="120"/>
        <w:ind w:firstLine="0"/>
        <w:jc w:val="center"/>
        <w:rPr>
          <w:rFonts w:eastAsia="Calibri"/>
          <w:b/>
          <w:szCs w:val="22"/>
        </w:rPr>
      </w:pPr>
      <w:r w:rsidRPr="00EF1D74">
        <w:rPr>
          <w:rFonts w:eastAsia="Calibri"/>
          <w:b/>
          <w:szCs w:val="22"/>
        </w:rPr>
        <w:t>Makroekonomiskās attīstības scenārija riski</w:t>
      </w:r>
    </w:p>
    <w:p w:rsidR="00EF1D74" w:rsidRPr="00EF1D74" w:rsidRDefault="00EF1D74" w:rsidP="00EF1D74">
      <w:pPr>
        <w:spacing w:before="120"/>
        <w:rPr>
          <w:rFonts w:eastAsia="Calibri"/>
          <w:szCs w:val="22"/>
        </w:rPr>
      </w:pPr>
      <w:r w:rsidRPr="00EF1D74">
        <w:rPr>
          <w:rFonts w:eastAsia="Calibri"/>
          <w:szCs w:val="22"/>
        </w:rPr>
        <w:t xml:space="preserve">Izstrādājot makroekonomisko rādītāju prognozes, Finanšu ministrija balstījās uz konservatīviem pieņēmumiem, kā arī izvērtēja ārējās un iekšējās vides riskus, kuriem īstenojoties, ekonomikas izaugsme var izrādīties straujāka vai lēnāka, nekā paredz pamata prognoze. Jāatzīmē, ka prognozes vēl nekad nav izstrādātas tik augstas nenoteiktības apstākļos, ko nosaka Covid-19 neparedzamā izplatība pasaulē, un prognožu riski pārsvarā ir lejupvērsti. </w:t>
      </w:r>
    </w:p>
    <w:p w:rsidR="00EF1D74" w:rsidRPr="00EF1D74" w:rsidRDefault="00EF1D74" w:rsidP="00EF1D74">
      <w:pPr>
        <w:spacing w:before="120"/>
        <w:rPr>
          <w:rFonts w:eastAsia="Calibri"/>
          <w:szCs w:val="22"/>
        </w:rPr>
      </w:pPr>
      <w:r w:rsidRPr="00EF1D74">
        <w:rPr>
          <w:rFonts w:eastAsia="Calibri"/>
          <w:szCs w:val="22"/>
        </w:rPr>
        <w:t>Būtiskākais negatīvais risks ir Covid-19 atkārtots uzliesmojums Eiropā un Latvijā, kas var radīt nepieciešamību pēc jauniem, vēl spēcīgākiem ierobežojošajiem pasākumiem. Tāpat vērā ņemami negatīvie riski ir saistīti ar sociālās un etniskās spriedzes saasināšanos pasaulē, ģeopolitisko konfliktu aktualizēšanos, ASV un Ķīnas attiecību pasliktināšanos, strauju protekcionisma pieaugumu un augstu nestabilitāti un svārstīgumu finanšu tirgos.</w:t>
      </w:r>
    </w:p>
    <w:p w:rsidR="00EF1D74" w:rsidRPr="00EF1D74" w:rsidRDefault="00EF1D74" w:rsidP="00EF1D74">
      <w:pPr>
        <w:spacing w:before="120"/>
        <w:rPr>
          <w:rFonts w:eastAsia="Calibri"/>
          <w:szCs w:val="22"/>
        </w:rPr>
      </w:pPr>
      <w:r w:rsidRPr="00EF1D74">
        <w:rPr>
          <w:rFonts w:eastAsia="Calibri"/>
          <w:szCs w:val="22"/>
        </w:rPr>
        <w:lastRenderedPageBreak/>
        <w:t xml:space="preserve">Vienlaikus pašlaik pastāv arī pozitīvie riski, kas var nodrošināt straujāku ekonomiskās izaugsmes atjaunošanos, tajā skaitā Covid-19 vakcīnas un zāļu ātrāka atklāšana, spēcīgāka apjomīgo monetārās un fiskālās stimulēšanas pasākumu ietekme, kā arī straujāka vīrusu ierobežojošo pasākumu atcelšana un uzņēmēju un patērētāju konfidences atjaunošanās. Papildus tam, ekonomisko aktivitāti stimulēs ES fondu investīcijas 2021-2027. gada plānošanas periodā, it sevišķi saistībā ar Eiropas Atveseļošanas un noturības mehānisma finansējumu un </w:t>
      </w:r>
      <w:proofErr w:type="spellStart"/>
      <w:r w:rsidRPr="00EF1D74">
        <w:rPr>
          <w:rFonts w:eastAsia="Calibri"/>
          <w:i/>
          <w:szCs w:val="22"/>
        </w:rPr>
        <w:t>RailBaltica</w:t>
      </w:r>
      <w:proofErr w:type="spellEnd"/>
      <w:r w:rsidRPr="00EF1D74">
        <w:rPr>
          <w:rFonts w:eastAsia="Calibri"/>
          <w:szCs w:val="22"/>
        </w:rPr>
        <w:t xml:space="preserve"> projekta realizāciju.</w:t>
      </w:r>
    </w:p>
    <w:p w:rsidR="00EF1D74" w:rsidRPr="00EF1D74" w:rsidRDefault="00EF1D74" w:rsidP="00EF1D74">
      <w:pPr>
        <w:keepNext/>
        <w:keepLines/>
        <w:spacing w:before="240" w:after="240"/>
        <w:ind w:firstLine="0"/>
        <w:jc w:val="center"/>
        <w:outlineLvl w:val="1"/>
        <w:rPr>
          <w:b/>
          <w:sz w:val="36"/>
          <w:szCs w:val="36"/>
        </w:rPr>
      </w:pPr>
      <w:r w:rsidRPr="00EF1D74">
        <w:rPr>
          <w:b/>
          <w:sz w:val="36"/>
          <w:szCs w:val="36"/>
        </w:rPr>
        <w:t>1.5. Jūtīguma analīze</w:t>
      </w:r>
    </w:p>
    <w:p w:rsidR="00EF1D74" w:rsidRPr="00EF1D74" w:rsidRDefault="00EF1D74" w:rsidP="00EF1D74">
      <w:pPr>
        <w:autoSpaceDE w:val="0"/>
        <w:autoSpaceDN w:val="0"/>
        <w:adjustRightInd w:val="0"/>
        <w:spacing w:after="0"/>
        <w:ind w:firstLine="720"/>
        <w:rPr>
          <w:color w:val="000000"/>
          <w:szCs w:val="28"/>
          <w:lang w:eastAsia="lv-LV"/>
        </w:rPr>
      </w:pPr>
      <w:r w:rsidRPr="00EF1D74">
        <w:rPr>
          <w:color w:val="000000"/>
          <w:szCs w:val="28"/>
          <w:lang w:eastAsia="lv-LV"/>
        </w:rPr>
        <w:t>Ņemot vērā iespējamos pozitīvos un negatīvos riskus ekonomikas izaugsmei, FM ir izstrādājusi divus alternatīvus ekonomikas attīstības scenārijus laika posmam no 2020. līdz 2023. gadam, kad realizētos viens vai vairāki no iepriekšminētajiem riskiem. Šajos scenārijos ir modelēta šo risku realizēšanās ietekme uz dažādiem makroekonomiskajiem rādītājiem un budžeta ieņēmumiem.</w:t>
      </w:r>
    </w:p>
    <w:p w:rsidR="00EF1D74" w:rsidRPr="00EF1D74" w:rsidRDefault="00EF1D74" w:rsidP="00EF1D74">
      <w:pPr>
        <w:keepNext/>
        <w:keepLines/>
        <w:spacing w:before="240" w:after="240" w:line="259" w:lineRule="auto"/>
        <w:ind w:firstLine="0"/>
        <w:jc w:val="center"/>
        <w:outlineLvl w:val="2"/>
        <w:rPr>
          <w:b/>
          <w:sz w:val="32"/>
          <w:szCs w:val="32"/>
        </w:rPr>
      </w:pPr>
      <w:r w:rsidRPr="00EF1D74">
        <w:rPr>
          <w:b/>
          <w:sz w:val="32"/>
          <w:szCs w:val="32"/>
        </w:rPr>
        <w:t>1.5.1. Optimistiskais scenārijs</w:t>
      </w:r>
    </w:p>
    <w:p w:rsidR="00EF1D74" w:rsidRPr="00EF1D74" w:rsidRDefault="00EF1D74" w:rsidP="00EF1D74">
      <w:pPr>
        <w:autoSpaceDE w:val="0"/>
        <w:autoSpaceDN w:val="0"/>
        <w:adjustRightInd w:val="0"/>
        <w:spacing w:before="120"/>
        <w:ind w:firstLine="720"/>
        <w:rPr>
          <w:color w:val="000000"/>
          <w:szCs w:val="24"/>
          <w:lang w:eastAsia="lv-LV"/>
        </w:rPr>
      </w:pPr>
      <w:r w:rsidRPr="00EF1D74">
        <w:rPr>
          <w:rFonts w:eastAsia="Calibri"/>
          <w:szCs w:val="24"/>
          <w:lang w:eastAsia="lv-LV"/>
        </w:rPr>
        <w:t xml:space="preserve"> </w:t>
      </w:r>
      <w:r w:rsidRPr="00EF1D74">
        <w:rPr>
          <w:color w:val="000000"/>
          <w:szCs w:val="24"/>
          <w:lang w:eastAsia="lv-LV"/>
        </w:rPr>
        <w:t xml:space="preserve">Optimistiskais scenārijs paredz straujāku IKP izaugsmi 2020. gadā, pieņemot, ka ekonomika būs labāk pārcietusi Covid-19 pirmo vilni. Šī gada sākums iestājās ar lielu nenoteiktību saistībā ar Covid-19 izplatību un ieviestajiem pasākumiem. Tā rezultātā strauji samazinājās eksports un mājsaimniecību patēriņš. Tajā pašā laikā daudzas mājsaimniecības un uzņēmēji izmantoja šo laiku, lai veiktu nelielus būvniecības darbus, mazinot būvniecības nozares iespējamo kritumu. Papildus tam valdības izmaksātie dīkstāves pabalsti veicināja nodarbinātības saglabāšanos, nodrošinot, ka krīzes tiešā veidā neskartie ekonomikas sektori spēs ātrāk atsākt atkopšanos. </w:t>
      </w:r>
    </w:p>
    <w:p w:rsidR="00EF1D74" w:rsidRPr="00EF1D74" w:rsidRDefault="00EF1D74" w:rsidP="00EF1D74">
      <w:pPr>
        <w:autoSpaceDE w:val="0"/>
        <w:autoSpaceDN w:val="0"/>
        <w:adjustRightInd w:val="0"/>
        <w:spacing w:before="120"/>
        <w:ind w:firstLine="720"/>
        <w:rPr>
          <w:color w:val="000000"/>
          <w:szCs w:val="24"/>
          <w:lang w:eastAsia="lv-LV"/>
        </w:rPr>
      </w:pPr>
      <w:r w:rsidRPr="00EF1D74">
        <w:rPr>
          <w:color w:val="000000"/>
          <w:szCs w:val="24"/>
          <w:lang w:eastAsia="lv-LV"/>
        </w:rPr>
        <w:t>Tā kā 2020. gada 2. ceturkšņa IKP rezultāti ir labāki (-8,9%), nekā prognožu bāzes scenārija tapšanas laikā, 2020. gada jūnijā (-10,8%), tad tam būs pozitīvs arī bāzes efekts uz izaugsmes statistiku, nodrošinot, ka IKP kritums šogad būtu 5,2% apmērā, kas ir par 1,8 procentpunktiem vairāk nekā bāzes scenārijā. Tam būs arī pozitīva ietekme uz 2021. gada izaugsmi, to palielinot līdz 5,7% jeb par 0,6 procentpunktiem salīdzinājumā ar bāzes scenāriju.</w:t>
      </w:r>
    </w:p>
    <w:p w:rsidR="00EF1D74" w:rsidRPr="00EF1D74" w:rsidRDefault="00EF1D74" w:rsidP="00EF1D74">
      <w:pPr>
        <w:autoSpaceDE w:val="0"/>
        <w:autoSpaceDN w:val="0"/>
        <w:adjustRightInd w:val="0"/>
        <w:spacing w:before="120"/>
        <w:ind w:firstLine="720"/>
        <w:rPr>
          <w:color w:val="000000"/>
          <w:szCs w:val="24"/>
          <w:lang w:eastAsia="lv-LV"/>
        </w:rPr>
      </w:pPr>
      <w:r w:rsidRPr="00EF1D74">
        <w:rPr>
          <w:color w:val="000000"/>
          <w:szCs w:val="24"/>
          <w:lang w:eastAsia="lv-LV"/>
        </w:rPr>
        <w:t>Straujāka ekonomiskā aktivitāte nodrošinās arī darba algu nelielu pieaugumu un mazāku nodarbinātības kritumi 2020. gadā, bezdarbam palielinoties ne tik strauji kā bāzes scenārijā, sasniedzot 8,3% (pretstatā 10,5% bāzes scenārija prognozēm). Savukārt mēneša vidējās bruto darba samaksas pieaugums 2020. un 2021. gadā attiecīgi būs par 5 un 2 procentpunktiem straujāks nekā pamata scenārijā, un pieaugot par 4% un 5% attiecīgi. Šo faktoru ietekmē privātais patēriņš 2021. un 2022. gadā varētu augt par 3 un 1 procentpunktu straujāk, nekā paredzēts pamata scenārijā.</w:t>
      </w:r>
    </w:p>
    <w:p w:rsidR="00EF1D74" w:rsidRPr="00EF1D74" w:rsidRDefault="00EF1D74" w:rsidP="00EF1D74">
      <w:pPr>
        <w:autoSpaceDE w:val="0"/>
        <w:autoSpaceDN w:val="0"/>
        <w:adjustRightInd w:val="0"/>
        <w:spacing w:before="120"/>
        <w:ind w:firstLine="720"/>
        <w:rPr>
          <w:color w:val="000000"/>
          <w:szCs w:val="24"/>
          <w:lang w:eastAsia="lv-LV"/>
        </w:rPr>
      </w:pPr>
      <w:r w:rsidRPr="00EF1D74">
        <w:rPr>
          <w:color w:val="000000"/>
          <w:szCs w:val="24"/>
          <w:lang w:eastAsia="lv-LV"/>
        </w:rPr>
        <w:t xml:space="preserve">Savukārt sākot no 2021. gada ļoti nozīmīgs būs ES finansēto investīciju ieplūdes pieaugums. Eiropas Atveseļošanās un noturības mehānisma un </w:t>
      </w:r>
      <w:proofErr w:type="spellStart"/>
      <w:r w:rsidRPr="00EF1D74">
        <w:rPr>
          <w:i/>
          <w:color w:val="000000"/>
          <w:szCs w:val="24"/>
          <w:lang w:eastAsia="lv-LV"/>
        </w:rPr>
        <w:t>RailBaltica</w:t>
      </w:r>
      <w:proofErr w:type="spellEnd"/>
      <w:r w:rsidRPr="00EF1D74">
        <w:rPr>
          <w:color w:val="000000"/>
          <w:szCs w:val="24"/>
          <w:lang w:eastAsia="lv-LV"/>
        </w:rPr>
        <w:t xml:space="preserve"> realizācijas paredzētais finansējums, kas kopā ar ES struktūrfondiem nodrošinās pāri 1,2 miljardu </w:t>
      </w:r>
      <w:proofErr w:type="spellStart"/>
      <w:r w:rsidRPr="00EF1D74">
        <w:rPr>
          <w:i/>
          <w:color w:val="000000"/>
          <w:szCs w:val="24"/>
          <w:lang w:eastAsia="lv-LV"/>
        </w:rPr>
        <w:t>euro</w:t>
      </w:r>
      <w:proofErr w:type="spellEnd"/>
      <w:r w:rsidRPr="00EF1D74">
        <w:rPr>
          <w:color w:val="000000"/>
          <w:szCs w:val="24"/>
          <w:lang w:eastAsia="lv-LV"/>
        </w:rPr>
        <w:t xml:space="preserve"> investīciju (jeb 56% pieaugumu) 2021. gadā, un aptuveni 1,6 un 1,9 miljardu </w:t>
      </w:r>
      <w:proofErr w:type="spellStart"/>
      <w:r w:rsidRPr="00EF1D74">
        <w:rPr>
          <w:i/>
          <w:color w:val="000000"/>
          <w:szCs w:val="24"/>
          <w:lang w:eastAsia="lv-LV"/>
        </w:rPr>
        <w:t>euro</w:t>
      </w:r>
      <w:proofErr w:type="spellEnd"/>
      <w:r w:rsidRPr="00EF1D74">
        <w:rPr>
          <w:color w:val="000000"/>
          <w:szCs w:val="24"/>
          <w:lang w:eastAsia="lv-LV"/>
        </w:rPr>
        <w:t xml:space="preserve"> attiecīgi 2022. gadā un 2023. gadā.</w:t>
      </w:r>
    </w:p>
    <w:p w:rsidR="00EF1D74" w:rsidRPr="00EF1D74" w:rsidRDefault="00EF1D74" w:rsidP="00EF1D74">
      <w:pPr>
        <w:autoSpaceDE w:val="0"/>
        <w:autoSpaceDN w:val="0"/>
        <w:adjustRightInd w:val="0"/>
        <w:spacing w:before="120"/>
        <w:ind w:firstLine="720"/>
        <w:rPr>
          <w:color w:val="000000"/>
          <w:szCs w:val="24"/>
          <w:lang w:eastAsia="lv-LV"/>
        </w:rPr>
      </w:pPr>
    </w:p>
    <w:p w:rsidR="00EF1D74" w:rsidRPr="00EF1D74" w:rsidRDefault="00EF1D74" w:rsidP="00EF1D74">
      <w:pPr>
        <w:autoSpaceDE w:val="0"/>
        <w:autoSpaceDN w:val="0"/>
        <w:adjustRightInd w:val="0"/>
        <w:spacing w:before="120"/>
        <w:ind w:firstLine="720"/>
        <w:rPr>
          <w:color w:val="000000"/>
          <w:szCs w:val="24"/>
          <w:lang w:eastAsia="lv-LV"/>
        </w:rPr>
      </w:pPr>
    </w:p>
    <w:p w:rsidR="00EF1D74" w:rsidRPr="00EF1D74" w:rsidRDefault="00EF1D74" w:rsidP="00EF1D74">
      <w:pPr>
        <w:autoSpaceDE w:val="0"/>
        <w:autoSpaceDN w:val="0"/>
        <w:adjustRightInd w:val="0"/>
        <w:spacing w:before="120"/>
        <w:ind w:firstLine="720"/>
        <w:rPr>
          <w:color w:val="000000"/>
          <w:szCs w:val="24"/>
          <w:lang w:eastAsia="lv-LV"/>
        </w:rPr>
      </w:pPr>
    </w:p>
    <w:p w:rsidR="00EF1D74" w:rsidRPr="00EF1D74" w:rsidRDefault="00EF1D74" w:rsidP="00EF1D74">
      <w:pPr>
        <w:keepNext/>
        <w:spacing w:after="0"/>
        <w:ind w:firstLine="0"/>
        <w:jc w:val="right"/>
        <w:rPr>
          <w:rFonts w:eastAsia="Calibri"/>
          <w:b/>
          <w:i/>
          <w:szCs w:val="24"/>
        </w:rPr>
      </w:pPr>
    </w:p>
    <w:p w:rsidR="00EF1D74" w:rsidRPr="00EF1D74" w:rsidRDefault="00EF1D74" w:rsidP="00EF1D74">
      <w:pPr>
        <w:keepNext/>
        <w:ind w:firstLine="0"/>
        <w:jc w:val="center"/>
        <w:rPr>
          <w:rFonts w:eastAsia="Calibri"/>
          <w:b/>
          <w:szCs w:val="24"/>
        </w:rPr>
      </w:pPr>
      <w:r w:rsidRPr="00EF1D74">
        <w:rPr>
          <w:rFonts w:eastAsia="Calibri"/>
          <w:b/>
          <w:i/>
          <w:szCs w:val="24"/>
        </w:rPr>
        <w:t xml:space="preserve">1.8. tabula </w:t>
      </w:r>
      <w:r w:rsidRPr="00EF1D74">
        <w:rPr>
          <w:rFonts w:eastAsia="Calibri"/>
          <w:b/>
          <w:szCs w:val="24"/>
        </w:rPr>
        <w:t>Optimistiskais makroekonomisko rādītāju attīstības scenārijs</w:t>
      </w:r>
    </w:p>
    <w:tbl>
      <w:tblPr>
        <w:tblW w:w="8359" w:type="dxa"/>
        <w:jc w:val="center"/>
        <w:tblLayout w:type="fixed"/>
        <w:tblLook w:val="04A0" w:firstRow="1" w:lastRow="0" w:firstColumn="1" w:lastColumn="0" w:noHBand="0" w:noVBand="1"/>
      </w:tblPr>
      <w:tblGrid>
        <w:gridCol w:w="3681"/>
        <w:gridCol w:w="992"/>
        <w:gridCol w:w="921"/>
        <w:gridCol w:w="922"/>
        <w:gridCol w:w="921"/>
        <w:gridCol w:w="922"/>
      </w:tblGrid>
      <w:tr w:rsidR="00EF1D74" w:rsidRPr="00EF1D74" w:rsidTr="00EF1D74">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rsidR="00EF1D74" w:rsidRPr="00EF1D74" w:rsidRDefault="00EF1D74" w:rsidP="00EF1D74">
            <w:pPr>
              <w:spacing w:after="0"/>
              <w:ind w:firstLine="0"/>
              <w:jc w:val="center"/>
              <w:rPr>
                <w:rFonts w:eastAsia="Calibri"/>
                <w:b/>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9CC2E5"/>
            <w:noWrap/>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2019</w:t>
            </w:r>
          </w:p>
        </w:tc>
        <w:tc>
          <w:tcPr>
            <w:tcW w:w="921" w:type="dxa"/>
            <w:tcBorders>
              <w:top w:val="single" w:sz="4" w:space="0" w:color="auto"/>
              <w:left w:val="nil"/>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2020</w:t>
            </w:r>
          </w:p>
        </w:tc>
        <w:tc>
          <w:tcPr>
            <w:tcW w:w="922" w:type="dxa"/>
            <w:tcBorders>
              <w:top w:val="single" w:sz="4" w:space="0" w:color="auto"/>
              <w:left w:val="nil"/>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2021</w:t>
            </w:r>
          </w:p>
        </w:tc>
        <w:tc>
          <w:tcPr>
            <w:tcW w:w="921" w:type="dxa"/>
            <w:tcBorders>
              <w:top w:val="single" w:sz="4" w:space="0" w:color="auto"/>
              <w:left w:val="nil"/>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2022</w:t>
            </w:r>
          </w:p>
        </w:tc>
        <w:tc>
          <w:tcPr>
            <w:tcW w:w="922" w:type="dxa"/>
            <w:tcBorders>
              <w:top w:val="single" w:sz="4" w:space="0" w:color="auto"/>
              <w:left w:val="nil"/>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2023</w:t>
            </w:r>
          </w:p>
        </w:tc>
      </w:tr>
      <w:tr w:rsidR="00EF1D74" w:rsidRPr="00EF1D74" w:rsidTr="00EF1D74">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fakts</w:t>
            </w:r>
          </w:p>
        </w:tc>
        <w:tc>
          <w:tcPr>
            <w:tcW w:w="3686" w:type="dxa"/>
            <w:gridSpan w:val="4"/>
            <w:tcBorders>
              <w:top w:val="single" w:sz="4" w:space="0" w:color="auto"/>
              <w:left w:val="nil"/>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prognoze</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sz w:val="18"/>
                <w:szCs w:val="18"/>
                <w:lang w:eastAsia="lv-LV"/>
              </w:rPr>
            </w:pPr>
            <w:r w:rsidRPr="00EF1D74">
              <w:rPr>
                <w:rFonts w:eastAsia="Calibri"/>
                <w:b/>
                <w:sz w:val="18"/>
                <w:szCs w:val="18"/>
                <w:lang w:eastAsia="lv-LV"/>
              </w:rPr>
              <w:t xml:space="preserve">Iekšzemes kopprodukts (IKP), </w:t>
            </w:r>
            <w:r w:rsidRPr="00EF1D74">
              <w:rPr>
                <w:rFonts w:eastAsia="Calibri"/>
                <w:b/>
                <w:sz w:val="18"/>
                <w:szCs w:val="18"/>
                <w:lang w:eastAsia="lv-LV"/>
              </w:rPr>
              <w:br/>
              <w:t xml:space="preserve">milj. </w:t>
            </w:r>
            <w:proofErr w:type="spellStart"/>
            <w:r w:rsidRPr="00EF1D74">
              <w:rPr>
                <w:rFonts w:eastAsia="Calibri"/>
                <w:b/>
                <w:i/>
                <w:sz w:val="18"/>
                <w:szCs w:val="18"/>
                <w:lang w:eastAsia="lv-LV"/>
              </w:rPr>
              <w:t>euro</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rPr>
              <w:t>30 463</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29 363</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31 499</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33 511</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35 245</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pieaugums faktiskajās cenās,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rPr>
              <w:t>4,5</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-3,6</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7,3</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6,4</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5,2</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pieaugums salīdzināmās cenās,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rPr>
              <w:t>2,1</w:t>
            </w:r>
          </w:p>
        </w:tc>
        <w:tc>
          <w:tcPr>
            <w:tcW w:w="921" w:type="dxa"/>
            <w:tcBorders>
              <w:top w:val="nil"/>
              <w:left w:val="nil"/>
              <w:bottom w:val="single" w:sz="4" w:space="0" w:color="auto"/>
              <w:right w:val="single" w:sz="4" w:space="0" w:color="auto"/>
            </w:tcBorders>
            <w:shd w:val="clear" w:color="auto" w:fill="F2F2F2"/>
            <w:noWrap/>
            <w:tcMar>
              <w:right w:w="170" w:type="dxa"/>
            </w:tcMar>
            <w:vAlign w:val="bottom"/>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-5,2</w:t>
            </w:r>
          </w:p>
        </w:tc>
        <w:tc>
          <w:tcPr>
            <w:tcW w:w="922" w:type="dxa"/>
            <w:tcBorders>
              <w:top w:val="nil"/>
              <w:left w:val="nil"/>
              <w:bottom w:val="single" w:sz="4" w:space="0" w:color="auto"/>
              <w:right w:val="single" w:sz="4" w:space="0" w:color="auto"/>
            </w:tcBorders>
            <w:shd w:val="clear" w:color="auto" w:fill="F2F2F2"/>
            <w:noWrap/>
            <w:tcMar>
              <w:right w:w="170" w:type="dxa"/>
            </w:tcMar>
            <w:vAlign w:val="bottom"/>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5,7</w:t>
            </w:r>
          </w:p>
        </w:tc>
        <w:tc>
          <w:tcPr>
            <w:tcW w:w="921" w:type="dxa"/>
            <w:tcBorders>
              <w:top w:val="nil"/>
              <w:left w:val="nil"/>
              <w:bottom w:val="single" w:sz="4" w:space="0" w:color="auto"/>
              <w:right w:val="single" w:sz="4" w:space="0" w:color="auto"/>
            </w:tcBorders>
            <w:shd w:val="clear" w:color="auto" w:fill="F2F2F2"/>
            <w:noWrap/>
            <w:tcMar>
              <w:right w:w="170" w:type="dxa"/>
            </w:tcMar>
            <w:vAlign w:val="bottom"/>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4,2</w:t>
            </w:r>
          </w:p>
        </w:tc>
        <w:tc>
          <w:tcPr>
            <w:tcW w:w="922" w:type="dxa"/>
            <w:tcBorders>
              <w:top w:val="nil"/>
              <w:left w:val="nil"/>
              <w:bottom w:val="single" w:sz="4" w:space="0" w:color="auto"/>
              <w:right w:val="single" w:sz="4" w:space="0" w:color="auto"/>
            </w:tcBorders>
            <w:shd w:val="clear" w:color="auto" w:fill="F2F2F2"/>
            <w:noWrap/>
            <w:tcMar>
              <w:right w:w="170" w:type="dxa"/>
            </w:tcMar>
            <w:vAlign w:val="bottom"/>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3,1</w:t>
            </w:r>
          </w:p>
        </w:tc>
      </w:tr>
      <w:tr w:rsidR="00EF1D74" w:rsidRPr="00EF1D74" w:rsidTr="0057436F">
        <w:trPr>
          <w:trHeight w:val="434"/>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sz w:val="18"/>
                <w:szCs w:val="18"/>
                <w:lang w:eastAsia="lv-LV"/>
              </w:rPr>
            </w:pPr>
            <w:r w:rsidRPr="00EF1D74">
              <w:rPr>
                <w:rFonts w:eastAsia="Calibri"/>
                <w:b/>
                <w:sz w:val="18"/>
                <w:szCs w:val="18"/>
                <w:lang w:eastAsia="lv-LV"/>
              </w:rPr>
              <w:t xml:space="preserve">IKP </w:t>
            </w:r>
            <w:proofErr w:type="spellStart"/>
            <w:r w:rsidRPr="00EF1D74">
              <w:rPr>
                <w:rFonts w:eastAsia="Calibri"/>
                <w:b/>
                <w:sz w:val="18"/>
                <w:szCs w:val="18"/>
                <w:lang w:eastAsia="lv-LV"/>
              </w:rPr>
              <w:t>deflators</w:t>
            </w:r>
            <w:proofErr w:type="spellEnd"/>
            <w:r w:rsidRPr="00EF1D74">
              <w:rPr>
                <w:rFonts w:eastAsia="Calibri"/>
                <w:b/>
                <w:sz w:val="18"/>
                <w:szCs w:val="18"/>
                <w:lang w:eastAsia="lv-LV"/>
              </w:rPr>
              <w:t xml:space="preserve"> (gads pret gadu),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rPr>
              <w:t>2,4</w:t>
            </w:r>
          </w:p>
        </w:tc>
        <w:tc>
          <w:tcPr>
            <w:tcW w:w="921" w:type="dxa"/>
            <w:tcBorders>
              <w:top w:val="nil"/>
              <w:left w:val="nil"/>
              <w:bottom w:val="single" w:sz="4" w:space="0" w:color="auto"/>
              <w:right w:val="single" w:sz="4" w:space="0" w:color="auto"/>
            </w:tcBorders>
            <w:shd w:val="clear" w:color="auto" w:fill="F2F2F2"/>
            <w:noWrap/>
            <w:tcMar>
              <w:right w:w="170" w:type="dxa"/>
            </w:tcMar>
            <w:vAlign w:val="bottom"/>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1,7</w:t>
            </w:r>
          </w:p>
        </w:tc>
        <w:tc>
          <w:tcPr>
            <w:tcW w:w="922" w:type="dxa"/>
            <w:tcBorders>
              <w:top w:val="nil"/>
              <w:left w:val="nil"/>
              <w:bottom w:val="single" w:sz="4" w:space="0" w:color="auto"/>
              <w:right w:val="single" w:sz="4" w:space="0" w:color="auto"/>
            </w:tcBorders>
            <w:shd w:val="clear" w:color="auto" w:fill="F2F2F2"/>
            <w:noWrap/>
            <w:tcMar>
              <w:right w:w="170" w:type="dxa"/>
            </w:tcMar>
            <w:vAlign w:val="bottom"/>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1,5</w:t>
            </w:r>
          </w:p>
        </w:tc>
        <w:tc>
          <w:tcPr>
            <w:tcW w:w="921" w:type="dxa"/>
            <w:tcBorders>
              <w:top w:val="nil"/>
              <w:left w:val="nil"/>
              <w:bottom w:val="single" w:sz="4" w:space="0" w:color="auto"/>
              <w:right w:val="single" w:sz="4" w:space="0" w:color="auto"/>
            </w:tcBorders>
            <w:shd w:val="clear" w:color="auto" w:fill="F2F2F2"/>
            <w:noWrap/>
            <w:tcMar>
              <w:right w:w="170" w:type="dxa"/>
            </w:tcMar>
            <w:vAlign w:val="bottom"/>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2,1</w:t>
            </w:r>
          </w:p>
        </w:tc>
        <w:tc>
          <w:tcPr>
            <w:tcW w:w="922" w:type="dxa"/>
            <w:tcBorders>
              <w:top w:val="nil"/>
              <w:left w:val="nil"/>
              <w:bottom w:val="single" w:sz="4" w:space="0" w:color="auto"/>
              <w:right w:val="single" w:sz="4" w:space="0" w:color="auto"/>
            </w:tcBorders>
            <w:shd w:val="clear" w:color="auto" w:fill="F2F2F2"/>
            <w:noWrap/>
            <w:tcMar>
              <w:right w:w="170" w:type="dxa"/>
            </w:tcMar>
            <w:vAlign w:val="bottom"/>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sz w:val="18"/>
                <w:szCs w:val="18"/>
                <w:lang w:eastAsia="lv-LV"/>
              </w:rPr>
            </w:pPr>
            <w:r w:rsidRPr="00EF1D74">
              <w:rPr>
                <w:rFonts w:eastAsia="Calibri"/>
                <w:b/>
                <w:sz w:val="18"/>
                <w:szCs w:val="18"/>
                <w:lang w:eastAsia="lv-LV"/>
              </w:rPr>
              <w:t>PCI (gads pret gadu),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2,8</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0,5</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1,6</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2,1</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2,1</w:t>
            </w:r>
          </w:p>
        </w:tc>
      </w:tr>
      <w:tr w:rsidR="00EF1D74" w:rsidRPr="00EF1D74" w:rsidTr="0057436F">
        <w:trPr>
          <w:trHeight w:val="6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sz w:val="18"/>
                <w:szCs w:val="18"/>
                <w:lang w:eastAsia="lv-LV"/>
              </w:rPr>
            </w:pPr>
            <w:r w:rsidRPr="00EF1D74">
              <w:rPr>
                <w:rFonts w:eastAsia="Calibri"/>
                <w:b/>
                <w:sz w:val="18"/>
                <w:szCs w:val="18"/>
                <w:lang w:eastAsia="lv-LV"/>
              </w:rPr>
              <w:t xml:space="preserve">Tautsaimniecībā nodarbināto </w:t>
            </w:r>
            <w:proofErr w:type="spellStart"/>
            <w:r w:rsidRPr="00EF1D74">
              <w:rPr>
                <w:rFonts w:eastAsia="Calibri"/>
                <w:b/>
                <w:sz w:val="18"/>
                <w:szCs w:val="18"/>
                <w:lang w:eastAsia="lv-LV"/>
              </w:rPr>
              <w:t>mēn</w:t>
            </w:r>
            <w:proofErr w:type="spellEnd"/>
            <w:r w:rsidRPr="00EF1D74">
              <w:rPr>
                <w:rFonts w:eastAsia="Calibri"/>
                <w:b/>
                <w:sz w:val="18"/>
                <w:szCs w:val="18"/>
                <w:lang w:eastAsia="lv-LV"/>
              </w:rPr>
              <w:t xml:space="preserve">. vid. bruto darba samaksa, </w:t>
            </w:r>
            <w:proofErr w:type="spellStart"/>
            <w:r w:rsidRPr="00EF1D74">
              <w:rPr>
                <w:rFonts w:eastAsia="Calibri"/>
                <w:b/>
                <w:i/>
                <w:sz w:val="18"/>
                <w:szCs w:val="18"/>
                <w:lang w:eastAsia="lv-LV"/>
              </w:rPr>
              <w:t>euro</w:t>
            </w:r>
            <w:proofErr w:type="spellEnd"/>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1 076</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1 119</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1 175</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1 240</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1 302</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pieaugums faktiskajās cenās,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7,2</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4,0</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5,0</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5,5</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5,0</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pieaugums salīdzināmās cenās,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4,2</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3,5</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3,3</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3,3</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2,8</w:t>
            </w:r>
          </w:p>
        </w:tc>
      </w:tr>
      <w:tr w:rsidR="00EF1D74" w:rsidRPr="00EF1D74" w:rsidTr="0057436F">
        <w:trPr>
          <w:trHeight w:val="6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sz w:val="18"/>
                <w:szCs w:val="18"/>
                <w:lang w:eastAsia="lv-LV"/>
              </w:rPr>
            </w:pPr>
            <w:r w:rsidRPr="00EF1D74">
              <w:rPr>
                <w:rFonts w:eastAsia="Calibri"/>
                <w:b/>
                <w:sz w:val="18"/>
                <w:szCs w:val="18"/>
                <w:lang w:eastAsia="lv-LV"/>
              </w:rPr>
              <w:t xml:space="preserve">Nodarbinātība, tūkst. iedzīvotāju (atbilstoši darbaspēka </w:t>
            </w:r>
            <w:proofErr w:type="spellStart"/>
            <w:r w:rsidRPr="00EF1D74">
              <w:rPr>
                <w:rFonts w:eastAsia="Calibri"/>
                <w:b/>
                <w:sz w:val="18"/>
                <w:szCs w:val="18"/>
                <w:lang w:eastAsia="lv-LV"/>
              </w:rPr>
              <w:t>apsekojumiem</w:t>
            </w:r>
            <w:proofErr w:type="spellEnd"/>
            <w:r w:rsidRPr="00EF1D74">
              <w:rPr>
                <w:rFonts w:eastAsia="Calibri"/>
                <w:b/>
                <w:sz w:val="18"/>
                <w:szCs w:val="18"/>
                <w:lang w:eastAsia="lv-LV"/>
              </w:rPr>
              <w:t>)</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910</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892</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901</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910</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909</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pieaugums,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0,1</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-2,0</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1,0</w:t>
            </w:r>
          </w:p>
        </w:tc>
        <w:tc>
          <w:tcPr>
            <w:tcW w:w="9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1,0</w:t>
            </w:r>
          </w:p>
        </w:tc>
        <w:tc>
          <w:tcPr>
            <w:tcW w:w="922"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-0,1</w:t>
            </w:r>
          </w:p>
        </w:tc>
      </w:tr>
      <w:tr w:rsidR="00EF1D74" w:rsidRPr="00EF1D74" w:rsidTr="0057436F">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sz w:val="18"/>
                <w:szCs w:val="18"/>
                <w:lang w:eastAsia="lv-LV"/>
              </w:rPr>
            </w:pPr>
            <w:r w:rsidRPr="00EF1D74">
              <w:rPr>
                <w:rFonts w:eastAsia="Calibri"/>
                <w:b/>
                <w:sz w:val="18"/>
                <w:szCs w:val="18"/>
                <w:lang w:eastAsia="lv-LV"/>
              </w:rPr>
              <w:t>Bezdarba līmenis (gada vidējais),</w:t>
            </w:r>
            <w:r w:rsidRPr="00EF1D74">
              <w:rPr>
                <w:rFonts w:eastAsia="Calibri"/>
                <w:b/>
                <w:sz w:val="18"/>
                <w:szCs w:val="18"/>
                <w:lang w:eastAsia="lv-LV"/>
              </w:rPr>
              <w:br/>
              <w:t xml:space="preserve">% no ekon. aktīviem </w:t>
            </w:r>
            <w:proofErr w:type="spellStart"/>
            <w:r w:rsidRPr="00EF1D74">
              <w:rPr>
                <w:rFonts w:eastAsia="Calibri"/>
                <w:b/>
                <w:sz w:val="18"/>
                <w:szCs w:val="18"/>
                <w:lang w:eastAsia="lv-LV"/>
              </w:rPr>
              <w:t>iedzīv</w:t>
            </w:r>
            <w:proofErr w:type="spellEnd"/>
            <w:r w:rsidRPr="00EF1D74">
              <w:rPr>
                <w:rFonts w:eastAsia="Calibri"/>
                <w:b/>
                <w:sz w:val="18"/>
                <w:szCs w:val="18"/>
                <w:lang w:eastAsia="lv-LV"/>
              </w:rPr>
              <w:t>.</w:t>
            </w:r>
          </w:p>
        </w:tc>
        <w:tc>
          <w:tcPr>
            <w:tcW w:w="992" w:type="dxa"/>
            <w:tcBorders>
              <w:top w:val="single" w:sz="4" w:space="0" w:color="auto"/>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6,3</w:t>
            </w:r>
          </w:p>
        </w:tc>
        <w:tc>
          <w:tcPr>
            <w:tcW w:w="921" w:type="dxa"/>
            <w:tcBorders>
              <w:top w:val="single" w:sz="4" w:space="0" w:color="auto"/>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8,3</w:t>
            </w:r>
          </w:p>
        </w:tc>
        <w:tc>
          <w:tcPr>
            <w:tcW w:w="922" w:type="dxa"/>
            <w:tcBorders>
              <w:top w:val="single" w:sz="4" w:space="0" w:color="auto"/>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7,2</w:t>
            </w:r>
          </w:p>
        </w:tc>
        <w:tc>
          <w:tcPr>
            <w:tcW w:w="921" w:type="dxa"/>
            <w:tcBorders>
              <w:top w:val="single" w:sz="4" w:space="0" w:color="auto"/>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5,4</w:t>
            </w:r>
          </w:p>
        </w:tc>
        <w:tc>
          <w:tcPr>
            <w:tcW w:w="922" w:type="dxa"/>
            <w:tcBorders>
              <w:top w:val="single" w:sz="4" w:space="0" w:color="auto"/>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4,6</w:t>
            </w:r>
          </w:p>
        </w:tc>
      </w:tr>
    </w:tbl>
    <w:p w:rsidR="00EF1D74" w:rsidRPr="00EF1D74" w:rsidRDefault="00EF1D74" w:rsidP="00EF1D74">
      <w:pPr>
        <w:autoSpaceDE w:val="0"/>
        <w:autoSpaceDN w:val="0"/>
        <w:adjustRightInd w:val="0"/>
        <w:spacing w:before="120"/>
        <w:ind w:firstLine="720"/>
        <w:rPr>
          <w:b/>
          <w:color w:val="000000"/>
          <w:szCs w:val="28"/>
          <w:lang w:eastAsia="lv-LV"/>
        </w:rPr>
      </w:pPr>
      <w:r w:rsidRPr="00EF1D74">
        <w:rPr>
          <w:b/>
          <w:color w:val="000000"/>
          <w:szCs w:val="28"/>
          <w:lang w:eastAsia="lv-LV"/>
        </w:rPr>
        <w:t>Ietekme uz vispārējās valdības budžetu</w:t>
      </w:r>
    </w:p>
    <w:p w:rsidR="00EF1D74" w:rsidRPr="00EF1D74" w:rsidRDefault="00EF1D74" w:rsidP="00EF1D74">
      <w:pPr>
        <w:autoSpaceDE w:val="0"/>
        <w:autoSpaceDN w:val="0"/>
        <w:adjustRightInd w:val="0"/>
        <w:ind w:firstLine="720"/>
        <w:rPr>
          <w:noProof/>
          <w:color w:val="000000"/>
          <w:szCs w:val="28"/>
          <w:lang w:eastAsia="lv-LV"/>
        </w:rPr>
      </w:pPr>
      <w:r w:rsidRPr="00EF1D74">
        <w:rPr>
          <w:noProof/>
          <w:color w:val="000000"/>
          <w:szCs w:val="28"/>
          <w:lang w:eastAsia="lv-LV"/>
        </w:rPr>
        <w:t xml:space="preserve">Īstenojoties optimistiskajam scenārijam, kopbudžeta nodokļu ieņēmumi un valsts pamatbudžeta nenodokļu ieņēmumi palielinātos par 456,4 milj. </w:t>
      </w:r>
      <w:r w:rsidRPr="00EF1D74">
        <w:rPr>
          <w:i/>
          <w:noProof/>
          <w:color w:val="000000"/>
          <w:szCs w:val="28"/>
          <w:lang w:eastAsia="lv-LV"/>
        </w:rPr>
        <w:t>euro</w:t>
      </w:r>
      <w:r w:rsidRPr="00EF1D74">
        <w:rPr>
          <w:noProof/>
          <w:color w:val="000000"/>
          <w:szCs w:val="28"/>
          <w:lang w:eastAsia="lv-LV"/>
        </w:rPr>
        <w:t xml:space="preserve"> jeb 1,5% no IKP 2021. gadā salīdzinājumā ar bāzes scenāriju. Savukārt 2022. un 2023. gadā tie būtu attiecīgi par 597,1 milj. </w:t>
      </w:r>
      <w:r w:rsidRPr="00EF1D74">
        <w:rPr>
          <w:i/>
          <w:noProof/>
          <w:color w:val="000000"/>
          <w:szCs w:val="28"/>
          <w:lang w:eastAsia="lv-LV"/>
        </w:rPr>
        <w:t>euro</w:t>
      </w:r>
      <w:r w:rsidRPr="00EF1D74">
        <w:rPr>
          <w:noProof/>
          <w:color w:val="000000"/>
          <w:szCs w:val="28"/>
          <w:lang w:eastAsia="lv-LV"/>
        </w:rPr>
        <w:t xml:space="preserve"> jeb 1,9% no IKP un 623,5 milj. </w:t>
      </w:r>
      <w:r w:rsidRPr="00EF1D74">
        <w:rPr>
          <w:i/>
          <w:noProof/>
          <w:color w:val="000000"/>
          <w:szCs w:val="28"/>
          <w:lang w:eastAsia="lv-LV"/>
        </w:rPr>
        <w:t>euro</w:t>
      </w:r>
      <w:r w:rsidRPr="00EF1D74">
        <w:rPr>
          <w:noProof/>
          <w:color w:val="000000"/>
          <w:szCs w:val="28"/>
          <w:lang w:eastAsia="lv-LV"/>
        </w:rPr>
        <w:t xml:space="preserve"> jeb 1,9% no IKP augstāki nekā bāzes scenārijā.</w:t>
      </w:r>
    </w:p>
    <w:p w:rsidR="00EF1D74" w:rsidRPr="00EF1D74" w:rsidRDefault="00EF1D74" w:rsidP="00EF1D74">
      <w:pPr>
        <w:autoSpaceDE w:val="0"/>
        <w:autoSpaceDN w:val="0"/>
        <w:adjustRightInd w:val="0"/>
        <w:ind w:firstLine="720"/>
        <w:rPr>
          <w:noProof/>
          <w:color w:val="000000"/>
          <w:szCs w:val="28"/>
          <w:highlight w:val="yellow"/>
          <w:lang w:eastAsia="lv-LV"/>
        </w:rPr>
      </w:pPr>
      <w:r w:rsidRPr="00EF1D74">
        <w:rPr>
          <w:noProof/>
          <w:color w:val="000000"/>
          <w:szCs w:val="28"/>
          <w:lang w:eastAsia="lv-LV"/>
        </w:rPr>
        <w:t xml:space="preserve">Izpildoties optimistiskajam scenārijam, aptuveni puse no kopbudžeta ieņēmuma pieauguma būtu attiecināma uz valsts pamatbudžetu. </w:t>
      </w:r>
      <w:r w:rsidRPr="00EF1D74">
        <w:rPr>
          <w:color w:val="000000"/>
          <w:szCs w:val="28"/>
          <w:lang w:eastAsia="lv-LV"/>
        </w:rPr>
        <w:t>Pie šāda scenārija, pieaugot nodokļu ieņēmumiem, uzlabotos valsts budžeta finansiālā bilance, kā rezultātā samazinātos kopējā finansēšanas nepieciešamība un attiecīgi arī aizņemšanās apjoms attiecīgajā periodā, salīdzinot ar bāzes scenāriju. Mazāks aizņemšanās apjoms izraisītu ietaupījumu procentu izdevumos. Optimistiskā scenārija gadījumā procentu izdevumi 2021. gadā nemainītos, jo aizņemšanos neietekmētu, 2022. gadā izdevumi būtu par 4,6 milj</w:t>
      </w:r>
      <w:r w:rsidRPr="00EF1D74">
        <w:rPr>
          <w:noProof/>
          <w:color w:val="000000"/>
          <w:szCs w:val="28"/>
          <w:lang w:eastAsia="lv-LV"/>
        </w:rPr>
        <w:t xml:space="preserve">. </w:t>
      </w:r>
      <w:r w:rsidRPr="00EF1D74">
        <w:rPr>
          <w:i/>
          <w:noProof/>
          <w:color w:val="000000"/>
          <w:szCs w:val="28"/>
          <w:lang w:eastAsia="lv-LV"/>
        </w:rPr>
        <w:t>euro</w:t>
      </w:r>
      <w:r w:rsidRPr="00EF1D74">
        <w:rPr>
          <w:noProof/>
          <w:color w:val="000000"/>
          <w:szCs w:val="28"/>
          <w:lang w:eastAsia="lv-LV"/>
        </w:rPr>
        <w:t xml:space="preserve"> un 2023. gadā par 9,1 milj. </w:t>
      </w:r>
      <w:r w:rsidRPr="00EF1D74">
        <w:rPr>
          <w:i/>
          <w:noProof/>
          <w:color w:val="000000"/>
          <w:szCs w:val="28"/>
          <w:lang w:eastAsia="lv-LV"/>
        </w:rPr>
        <w:t>euro</w:t>
      </w:r>
      <w:r w:rsidRPr="00EF1D74">
        <w:rPr>
          <w:noProof/>
          <w:color w:val="000000"/>
          <w:szCs w:val="28"/>
          <w:lang w:eastAsia="lv-LV"/>
        </w:rPr>
        <w:t xml:space="preserve"> mazāki nekā bāzes scenārijā.</w:t>
      </w:r>
    </w:p>
    <w:p w:rsidR="00EF1D74" w:rsidRPr="00EF1D74" w:rsidRDefault="00EF1D74" w:rsidP="00EF1D74">
      <w:pPr>
        <w:keepNext/>
        <w:spacing w:before="240"/>
        <w:ind w:firstLine="0"/>
        <w:jc w:val="center"/>
        <w:rPr>
          <w:rFonts w:eastAsia="Calibri"/>
          <w:b/>
          <w:i/>
          <w:szCs w:val="24"/>
        </w:rPr>
      </w:pPr>
      <w:r w:rsidRPr="00EF1D74">
        <w:rPr>
          <w:rFonts w:eastAsia="Calibri"/>
          <w:b/>
          <w:i/>
          <w:szCs w:val="24"/>
        </w:rPr>
        <w:t xml:space="preserve">1.9.tabula </w:t>
      </w:r>
      <w:r w:rsidRPr="00EF1D74">
        <w:rPr>
          <w:rFonts w:eastAsia="Calibri"/>
          <w:b/>
          <w:szCs w:val="24"/>
        </w:rPr>
        <w:t xml:space="preserve">Optimistiskā scenārija ietekme uz vispārējās valdības budžetu, </w:t>
      </w:r>
      <w:r w:rsidRPr="00EF1D74">
        <w:rPr>
          <w:rFonts w:eastAsia="Calibri"/>
          <w:b/>
          <w:noProof/>
          <w:szCs w:val="24"/>
        </w:rPr>
        <w:t>milj.</w:t>
      </w:r>
      <w:r w:rsidRPr="00EF1D74">
        <w:rPr>
          <w:rFonts w:eastAsia="Calibri"/>
          <w:b/>
          <w:i/>
          <w:noProof/>
          <w:szCs w:val="24"/>
        </w:rPr>
        <w:t xml:space="preserve"> euro</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850"/>
        <w:gridCol w:w="851"/>
        <w:gridCol w:w="850"/>
        <w:gridCol w:w="709"/>
        <w:gridCol w:w="709"/>
        <w:gridCol w:w="709"/>
        <w:gridCol w:w="721"/>
        <w:gridCol w:w="9"/>
      </w:tblGrid>
      <w:tr w:rsidR="00EF1D74" w:rsidRPr="00EF1D74" w:rsidTr="00EF1D74">
        <w:trPr>
          <w:trHeight w:val="493"/>
          <w:tblHeader/>
          <w:jc w:val="center"/>
        </w:trPr>
        <w:tc>
          <w:tcPr>
            <w:tcW w:w="2830" w:type="dxa"/>
            <w:shd w:val="clear" w:color="auto" w:fill="9CC2E5"/>
            <w:vAlign w:val="center"/>
            <w:hideMark/>
          </w:tcPr>
          <w:p w:rsidR="00EF1D74" w:rsidRPr="00EF1D74" w:rsidRDefault="00EF1D74" w:rsidP="00EF1D74">
            <w:pPr>
              <w:spacing w:after="0"/>
              <w:ind w:firstLine="0"/>
              <w:jc w:val="left"/>
              <w:rPr>
                <w:sz w:val="18"/>
                <w:szCs w:val="18"/>
                <w:lang w:eastAsia="lv-LV"/>
              </w:rPr>
            </w:pPr>
          </w:p>
        </w:tc>
        <w:tc>
          <w:tcPr>
            <w:tcW w:w="3402" w:type="dxa"/>
            <w:gridSpan w:val="4"/>
            <w:shd w:val="clear" w:color="auto" w:fill="9CC2E5"/>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Optimistiskais scenārijs</w:t>
            </w:r>
          </w:p>
        </w:tc>
        <w:tc>
          <w:tcPr>
            <w:tcW w:w="2857" w:type="dxa"/>
            <w:gridSpan w:val="5"/>
            <w:shd w:val="clear" w:color="auto" w:fill="9CC2E5"/>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Novirze no bāzes scenārija</w:t>
            </w:r>
          </w:p>
        </w:tc>
      </w:tr>
      <w:tr w:rsidR="00EF1D74" w:rsidRPr="00EF1D74" w:rsidTr="00EF1D74">
        <w:trPr>
          <w:gridAfter w:val="1"/>
          <w:wAfter w:w="9" w:type="dxa"/>
          <w:trHeight w:val="185"/>
          <w:jc w:val="center"/>
        </w:trPr>
        <w:tc>
          <w:tcPr>
            <w:tcW w:w="2830" w:type="dxa"/>
            <w:shd w:val="clear" w:color="auto" w:fill="9CC2E5"/>
            <w:vAlign w:val="center"/>
            <w:hideMark/>
          </w:tcPr>
          <w:p w:rsidR="00EF1D74" w:rsidRPr="00EF1D74" w:rsidRDefault="00EF1D74" w:rsidP="00EF1D74">
            <w:pPr>
              <w:spacing w:after="0"/>
              <w:ind w:firstLine="0"/>
              <w:jc w:val="left"/>
              <w:rPr>
                <w:sz w:val="18"/>
                <w:szCs w:val="18"/>
                <w:lang w:eastAsia="lv-LV"/>
              </w:rPr>
            </w:pPr>
          </w:p>
        </w:tc>
        <w:tc>
          <w:tcPr>
            <w:tcW w:w="851" w:type="dxa"/>
            <w:shd w:val="clear" w:color="auto" w:fill="9CC2E5"/>
            <w:tcMar>
              <w:left w:w="57" w:type="dxa"/>
              <w:right w:w="57" w:type="dxa"/>
            </w:tcMar>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2020</w:t>
            </w:r>
          </w:p>
        </w:tc>
        <w:tc>
          <w:tcPr>
            <w:tcW w:w="850" w:type="dxa"/>
            <w:shd w:val="clear" w:color="auto" w:fill="9CC2E5"/>
            <w:tcMar>
              <w:left w:w="57" w:type="dxa"/>
              <w:right w:w="57" w:type="dxa"/>
            </w:tcMar>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2021</w:t>
            </w:r>
          </w:p>
        </w:tc>
        <w:tc>
          <w:tcPr>
            <w:tcW w:w="851" w:type="dxa"/>
            <w:shd w:val="clear" w:color="auto" w:fill="9CC2E5"/>
            <w:tcMar>
              <w:left w:w="57" w:type="dxa"/>
              <w:right w:w="57" w:type="dxa"/>
            </w:tcMar>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2022</w:t>
            </w:r>
          </w:p>
        </w:tc>
        <w:tc>
          <w:tcPr>
            <w:tcW w:w="850" w:type="dxa"/>
            <w:shd w:val="clear" w:color="auto" w:fill="9CC2E5"/>
            <w:tcMar>
              <w:left w:w="57" w:type="dxa"/>
              <w:right w:w="57" w:type="dxa"/>
            </w:tcMar>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2023</w:t>
            </w:r>
          </w:p>
        </w:tc>
        <w:tc>
          <w:tcPr>
            <w:tcW w:w="709" w:type="dxa"/>
            <w:shd w:val="clear" w:color="auto" w:fill="9CC2E5"/>
            <w:tcMar>
              <w:left w:w="57" w:type="dxa"/>
              <w:right w:w="57" w:type="dxa"/>
            </w:tcMar>
            <w:vAlign w:val="center"/>
            <w:hideMark/>
          </w:tcPr>
          <w:p w:rsidR="00EF1D74" w:rsidRPr="00EF1D74" w:rsidRDefault="00EF1D74" w:rsidP="00EF1D74">
            <w:pPr>
              <w:spacing w:after="0"/>
              <w:ind w:firstLine="0"/>
              <w:jc w:val="center"/>
              <w:rPr>
                <w:b/>
                <w:sz w:val="18"/>
                <w:szCs w:val="18"/>
                <w:lang w:eastAsia="lv-LV"/>
              </w:rPr>
            </w:pPr>
            <w:r w:rsidRPr="00EF1D74">
              <w:rPr>
                <w:b/>
                <w:sz w:val="18"/>
                <w:szCs w:val="18"/>
                <w:lang w:eastAsia="lv-LV"/>
              </w:rPr>
              <w:t>2020</w:t>
            </w:r>
          </w:p>
        </w:tc>
        <w:tc>
          <w:tcPr>
            <w:tcW w:w="709" w:type="dxa"/>
            <w:shd w:val="clear" w:color="auto" w:fill="9CC2E5"/>
            <w:tcMar>
              <w:left w:w="57" w:type="dxa"/>
              <w:right w:w="57" w:type="dxa"/>
            </w:tcMar>
            <w:vAlign w:val="center"/>
            <w:hideMark/>
          </w:tcPr>
          <w:p w:rsidR="00EF1D74" w:rsidRPr="00EF1D74" w:rsidRDefault="00EF1D74" w:rsidP="00EF1D74">
            <w:pPr>
              <w:spacing w:after="0"/>
              <w:ind w:firstLine="0"/>
              <w:jc w:val="center"/>
              <w:rPr>
                <w:b/>
                <w:sz w:val="18"/>
                <w:szCs w:val="18"/>
                <w:lang w:eastAsia="lv-LV"/>
              </w:rPr>
            </w:pPr>
            <w:r w:rsidRPr="00EF1D74">
              <w:rPr>
                <w:b/>
                <w:sz w:val="18"/>
                <w:szCs w:val="18"/>
                <w:lang w:eastAsia="lv-LV"/>
              </w:rPr>
              <w:t>2021</w:t>
            </w:r>
          </w:p>
        </w:tc>
        <w:tc>
          <w:tcPr>
            <w:tcW w:w="709" w:type="dxa"/>
            <w:shd w:val="clear" w:color="auto" w:fill="9CC2E5"/>
            <w:tcMar>
              <w:left w:w="57" w:type="dxa"/>
              <w:right w:w="57" w:type="dxa"/>
            </w:tcMar>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2022</w:t>
            </w:r>
          </w:p>
        </w:tc>
        <w:tc>
          <w:tcPr>
            <w:tcW w:w="721" w:type="dxa"/>
            <w:shd w:val="clear" w:color="auto" w:fill="9CC2E5"/>
            <w:tcMar>
              <w:left w:w="57" w:type="dxa"/>
              <w:right w:w="57" w:type="dxa"/>
            </w:tcMar>
            <w:vAlign w:val="center"/>
            <w:hideMark/>
          </w:tcPr>
          <w:p w:rsidR="00EF1D74" w:rsidRPr="00EF1D74" w:rsidRDefault="00EF1D74" w:rsidP="00EF1D74">
            <w:pPr>
              <w:spacing w:after="0"/>
              <w:ind w:firstLine="0"/>
              <w:jc w:val="center"/>
              <w:rPr>
                <w:b/>
                <w:sz w:val="18"/>
                <w:szCs w:val="18"/>
                <w:lang w:eastAsia="lv-LV"/>
              </w:rPr>
            </w:pPr>
            <w:r w:rsidRPr="00EF1D74">
              <w:rPr>
                <w:b/>
                <w:sz w:val="18"/>
                <w:szCs w:val="18"/>
                <w:lang w:eastAsia="lv-LV"/>
              </w:rPr>
              <w:t>2023</w:t>
            </w:r>
          </w:p>
        </w:tc>
      </w:tr>
      <w:tr w:rsidR="00EF1D74" w:rsidRPr="00EF1D74" w:rsidTr="0057436F">
        <w:trPr>
          <w:gridAfter w:val="1"/>
          <w:wAfter w:w="9" w:type="dxa"/>
          <w:trHeight w:val="306"/>
          <w:jc w:val="center"/>
        </w:trPr>
        <w:tc>
          <w:tcPr>
            <w:tcW w:w="2830" w:type="dxa"/>
            <w:shd w:val="clear" w:color="auto" w:fill="auto"/>
            <w:vAlign w:val="center"/>
          </w:tcPr>
          <w:p w:rsidR="00EF1D74" w:rsidRPr="00EF1D74" w:rsidRDefault="00EF1D74" w:rsidP="00EF1D74">
            <w:pPr>
              <w:spacing w:after="0"/>
              <w:ind w:firstLine="0"/>
              <w:jc w:val="left"/>
              <w:rPr>
                <w:b/>
                <w:sz w:val="18"/>
                <w:szCs w:val="18"/>
                <w:lang w:eastAsia="lv-LV"/>
              </w:rPr>
            </w:pPr>
            <w:r w:rsidRPr="00EF1D74">
              <w:rPr>
                <w:b/>
                <w:sz w:val="18"/>
                <w:szCs w:val="18"/>
                <w:lang w:eastAsia="lv-LV"/>
              </w:rPr>
              <w:t>Vispārējās valdības budžeta bilance</w:t>
            </w:r>
            <w:r w:rsidRPr="00EF1D74">
              <w:rPr>
                <w:b/>
                <w:sz w:val="18"/>
                <w:szCs w:val="18"/>
                <w:vertAlign w:val="superscript"/>
                <w:lang w:eastAsia="lv-LV"/>
              </w:rPr>
              <w:footnoteReference w:id="8"/>
            </w:r>
            <w:r w:rsidRPr="00EF1D74">
              <w:rPr>
                <w:b/>
                <w:sz w:val="18"/>
                <w:szCs w:val="18"/>
                <w:lang w:eastAsia="lv-LV"/>
              </w:rPr>
              <w:t>, % no IKP</w:t>
            </w:r>
          </w:p>
        </w:tc>
        <w:tc>
          <w:tcPr>
            <w:tcW w:w="851" w:type="dxa"/>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-6,2</w:t>
            </w:r>
          </w:p>
        </w:tc>
        <w:tc>
          <w:tcPr>
            <w:tcW w:w="850" w:type="dxa"/>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-2,3</w:t>
            </w:r>
          </w:p>
        </w:tc>
        <w:tc>
          <w:tcPr>
            <w:tcW w:w="851" w:type="dxa"/>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-0,8</w:t>
            </w:r>
          </w:p>
        </w:tc>
        <w:tc>
          <w:tcPr>
            <w:tcW w:w="850" w:type="dxa"/>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0,2</w:t>
            </w:r>
          </w:p>
        </w:tc>
        <w:tc>
          <w:tcPr>
            <w:tcW w:w="709" w:type="dxa"/>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1,4</w:t>
            </w:r>
          </w:p>
        </w:tc>
        <w:tc>
          <w:tcPr>
            <w:tcW w:w="709"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b/>
                <w:sz w:val="18"/>
                <w:szCs w:val="18"/>
                <w:lang w:eastAsia="lv-LV"/>
              </w:rPr>
            </w:pPr>
            <w:r w:rsidRPr="00EF1D74">
              <w:rPr>
                <w:b/>
                <w:sz w:val="18"/>
                <w:szCs w:val="18"/>
                <w:lang w:eastAsia="lv-LV"/>
              </w:rPr>
              <w:t>1,6</w:t>
            </w:r>
          </w:p>
        </w:tc>
        <w:tc>
          <w:tcPr>
            <w:tcW w:w="709"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b/>
                <w:sz w:val="18"/>
                <w:szCs w:val="18"/>
                <w:lang w:eastAsia="lv-LV"/>
              </w:rPr>
            </w:pPr>
            <w:r w:rsidRPr="00EF1D74">
              <w:rPr>
                <w:b/>
                <w:sz w:val="18"/>
                <w:szCs w:val="18"/>
                <w:lang w:eastAsia="lv-LV"/>
              </w:rPr>
              <w:t>2,0</w:t>
            </w:r>
          </w:p>
        </w:tc>
        <w:tc>
          <w:tcPr>
            <w:tcW w:w="721"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b/>
                <w:sz w:val="18"/>
                <w:szCs w:val="18"/>
                <w:lang w:eastAsia="lv-LV"/>
              </w:rPr>
            </w:pPr>
            <w:r w:rsidRPr="00EF1D74">
              <w:rPr>
                <w:b/>
                <w:sz w:val="18"/>
                <w:szCs w:val="18"/>
                <w:lang w:eastAsia="lv-LV"/>
              </w:rPr>
              <w:t>1,9</w:t>
            </w:r>
          </w:p>
        </w:tc>
      </w:tr>
      <w:tr w:rsidR="00EF1D74" w:rsidRPr="00EF1D74" w:rsidTr="0057436F">
        <w:trPr>
          <w:gridAfter w:val="1"/>
          <w:wAfter w:w="9" w:type="dxa"/>
          <w:trHeight w:val="306"/>
          <w:jc w:val="center"/>
        </w:trPr>
        <w:tc>
          <w:tcPr>
            <w:tcW w:w="2830" w:type="dxa"/>
            <w:shd w:val="clear" w:color="auto" w:fill="auto"/>
            <w:vAlign w:val="center"/>
          </w:tcPr>
          <w:p w:rsidR="00EF1D74" w:rsidRPr="00EF1D74" w:rsidRDefault="00EF1D74" w:rsidP="00EF1D74">
            <w:pPr>
              <w:spacing w:after="0"/>
              <w:ind w:firstLine="0"/>
              <w:jc w:val="left"/>
              <w:rPr>
                <w:sz w:val="18"/>
                <w:szCs w:val="18"/>
                <w:lang w:eastAsia="lv-LV"/>
              </w:rPr>
            </w:pPr>
            <w:r w:rsidRPr="00EF1D74">
              <w:rPr>
                <w:sz w:val="18"/>
                <w:szCs w:val="18"/>
                <w:lang w:eastAsia="lv-LV"/>
              </w:rPr>
              <w:t>Vispārējās valdības budžeta bilance</w:t>
            </w:r>
          </w:p>
        </w:tc>
        <w:tc>
          <w:tcPr>
            <w:tcW w:w="851"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-1 832,2</w:t>
            </w:r>
          </w:p>
        </w:tc>
        <w:tc>
          <w:tcPr>
            <w:tcW w:w="850"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-728,5</w:t>
            </w:r>
          </w:p>
        </w:tc>
        <w:tc>
          <w:tcPr>
            <w:tcW w:w="851"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-275,2</w:t>
            </w:r>
          </w:p>
        </w:tc>
        <w:tc>
          <w:tcPr>
            <w:tcW w:w="850"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68,9</w:t>
            </w:r>
          </w:p>
        </w:tc>
        <w:tc>
          <w:tcPr>
            <w:tcW w:w="709"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311,6</w:t>
            </w:r>
          </w:p>
        </w:tc>
        <w:tc>
          <w:tcPr>
            <w:tcW w:w="709"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456,4</w:t>
            </w:r>
          </w:p>
        </w:tc>
        <w:tc>
          <w:tcPr>
            <w:tcW w:w="709"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601,7</w:t>
            </w:r>
          </w:p>
        </w:tc>
        <w:tc>
          <w:tcPr>
            <w:tcW w:w="721"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632,6</w:t>
            </w:r>
          </w:p>
        </w:tc>
      </w:tr>
      <w:tr w:rsidR="00EF1D74" w:rsidRPr="00EF1D74" w:rsidTr="0057436F">
        <w:trPr>
          <w:gridAfter w:val="1"/>
          <w:wAfter w:w="9" w:type="dxa"/>
          <w:trHeight w:val="333"/>
          <w:jc w:val="center"/>
        </w:trPr>
        <w:tc>
          <w:tcPr>
            <w:tcW w:w="2830" w:type="dxa"/>
            <w:shd w:val="clear" w:color="auto" w:fill="auto"/>
            <w:vAlign w:val="center"/>
          </w:tcPr>
          <w:p w:rsidR="00EF1D74" w:rsidRPr="00EF1D74" w:rsidRDefault="00EF1D74" w:rsidP="00EF1D74">
            <w:pPr>
              <w:spacing w:after="0"/>
              <w:ind w:left="166" w:firstLine="0"/>
              <w:jc w:val="left"/>
              <w:rPr>
                <w:sz w:val="18"/>
                <w:szCs w:val="18"/>
                <w:lang w:eastAsia="lv-LV"/>
              </w:rPr>
            </w:pPr>
            <w:r w:rsidRPr="00EF1D74">
              <w:rPr>
                <w:sz w:val="18"/>
                <w:szCs w:val="18"/>
                <w:lang w:eastAsia="lv-LV"/>
              </w:rPr>
              <w:t>Nodokļu ieņēmumi</w:t>
            </w:r>
          </w:p>
        </w:tc>
        <w:tc>
          <w:tcPr>
            <w:tcW w:w="851"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8 977,3</w:t>
            </w:r>
          </w:p>
        </w:tc>
        <w:tc>
          <w:tcPr>
            <w:tcW w:w="850" w:type="dxa"/>
            <w:shd w:val="clear" w:color="auto" w:fill="auto"/>
            <w:tcMar>
              <w:left w:w="57" w:type="dxa"/>
              <w:right w:w="57" w:type="dxa"/>
            </w:tcMar>
            <w:vAlign w:val="center"/>
          </w:tcPr>
          <w:p w:rsidR="00EF1D74" w:rsidRPr="00EF1D74" w:rsidRDefault="00BB534D" w:rsidP="00EF1D74">
            <w:pPr>
              <w:spacing w:after="0"/>
              <w:ind w:firstLine="0"/>
              <w:jc w:val="right"/>
              <w:rPr>
                <w:sz w:val="18"/>
                <w:szCs w:val="18"/>
                <w:lang w:eastAsia="lv-LV"/>
              </w:rPr>
            </w:pPr>
            <w:r>
              <w:rPr>
                <w:sz w:val="18"/>
                <w:szCs w:val="18"/>
                <w:lang w:eastAsia="lv-LV"/>
              </w:rPr>
              <w:t>9 775</w:t>
            </w:r>
            <w:r w:rsidR="00EF1D74" w:rsidRPr="00EF1D74">
              <w:rPr>
                <w:sz w:val="18"/>
                <w:szCs w:val="18"/>
                <w:lang w:eastAsia="lv-LV"/>
              </w:rPr>
              <w:t>,0</w:t>
            </w:r>
          </w:p>
        </w:tc>
        <w:tc>
          <w:tcPr>
            <w:tcW w:w="851" w:type="dxa"/>
            <w:shd w:val="clear" w:color="auto" w:fill="auto"/>
            <w:tcMar>
              <w:left w:w="57" w:type="dxa"/>
              <w:right w:w="57" w:type="dxa"/>
            </w:tcMar>
            <w:vAlign w:val="center"/>
          </w:tcPr>
          <w:p w:rsidR="00EF1D74" w:rsidRPr="00EF1D74" w:rsidRDefault="00BB534D" w:rsidP="00EF1D74">
            <w:pPr>
              <w:spacing w:after="0"/>
              <w:ind w:firstLine="0"/>
              <w:jc w:val="right"/>
              <w:rPr>
                <w:sz w:val="18"/>
                <w:szCs w:val="18"/>
                <w:lang w:eastAsia="lv-LV"/>
              </w:rPr>
            </w:pPr>
            <w:r>
              <w:rPr>
                <w:sz w:val="18"/>
                <w:szCs w:val="18"/>
                <w:lang w:eastAsia="lv-LV"/>
              </w:rPr>
              <w:t>10 559</w:t>
            </w:r>
            <w:r w:rsidR="00EF1D74" w:rsidRPr="00EF1D74">
              <w:rPr>
                <w:sz w:val="18"/>
                <w:szCs w:val="18"/>
                <w:lang w:eastAsia="lv-LV"/>
              </w:rPr>
              <w:t>,0</w:t>
            </w:r>
          </w:p>
        </w:tc>
        <w:tc>
          <w:tcPr>
            <w:tcW w:w="850" w:type="dxa"/>
            <w:shd w:val="clear" w:color="auto" w:fill="auto"/>
            <w:tcMar>
              <w:left w:w="57" w:type="dxa"/>
              <w:right w:w="57" w:type="dxa"/>
            </w:tcMar>
            <w:vAlign w:val="center"/>
          </w:tcPr>
          <w:p w:rsidR="00EF1D74" w:rsidRPr="00EF1D74" w:rsidRDefault="00BB534D" w:rsidP="00EF1D74">
            <w:pPr>
              <w:spacing w:after="0"/>
              <w:ind w:firstLine="0"/>
              <w:jc w:val="right"/>
              <w:rPr>
                <w:sz w:val="18"/>
                <w:szCs w:val="18"/>
                <w:lang w:eastAsia="lv-LV"/>
              </w:rPr>
            </w:pPr>
            <w:r>
              <w:rPr>
                <w:sz w:val="18"/>
                <w:szCs w:val="18"/>
                <w:lang w:eastAsia="lv-LV"/>
              </w:rPr>
              <w:t>11 109</w:t>
            </w:r>
            <w:r w:rsidR="00EF1D74" w:rsidRPr="00EF1D74">
              <w:rPr>
                <w:sz w:val="18"/>
                <w:szCs w:val="18"/>
                <w:lang w:eastAsia="lv-LV"/>
              </w:rPr>
              <w:t>,6</w:t>
            </w:r>
          </w:p>
        </w:tc>
        <w:tc>
          <w:tcPr>
            <w:tcW w:w="709"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311,6</w:t>
            </w:r>
          </w:p>
        </w:tc>
        <w:tc>
          <w:tcPr>
            <w:tcW w:w="709"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434,4</w:t>
            </w:r>
          </w:p>
        </w:tc>
        <w:tc>
          <w:tcPr>
            <w:tcW w:w="709"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572,0</w:t>
            </w:r>
          </w:p>
        </w:tc>
        <w:tc>
          <w:tcPr>
            <w:tcW w:w="721"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599,2</w:t>
            </w:r>
          </w:p>
        </w:tc>
      </w:tr>
      <w:tr w:rsidR="00EF1D74" w:rsidRPr="00EF1D74" w:rsidTr="0057436F">
        <w:trPr>
          <w:gridAfter w:val="1"/>
          <w:wAfter w:w="9" w:type="dxa"/>
          <w:trHeight w:val="306"/>
          <w:jc w:val="center"/>
        </w:trPr>
        <w:tc>
          <w:tcPr>
            <w:tcW w:w="2830" w:type="dxa"/>
            <w:shd w:val="clear" w:color="auto" w:fill="auto"/>
            <w:vAlign w:val="center"/>
          </w:tcPr>
          <w:p w:rsidR="00EF1D74" w:rsidRPr="00EF1D74" w:rsidRDefault="00EF1D74" w:rsidP="00EF1D74">
            <w:pPr>
              <w:spacing w:after="0"/>
              <w:ind w:left="166" w:firstLine="0"/>
              <w:jc w:val="left"/>
              <w:rPr>
                <w:noProof/>
                <w:sz w:val="18"/>
                <w:szCs w:val="18"/>
                <w:lang w:eastAsia="lv-LV"/>
              </w:rPr>
            </w:pPr>
            <w:r w:rsidRPr="00EF1D74">
              <w:rPr>
                <w:noProof/>
                <w:sz w:val="18"/>
                <w:szCs w:val="18"/>
                <w:lang w:eastAsia="lv-LV"/>
              </w:rPr>
              <w:t>Nenodokļu ieņēmumi</w:t>
            </w:r>
          </w:p>
        </w:tc>
        <w:tc>
          <w:tcPr>
            <w:tcW w:w="851"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648,9</w:t>
            </w:r>
          </w:p>
        </w:tc>
        <w:tc>
          <w:tcPr>
            <w:tcW w:w="850"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586,9</w:t>
            </w:r>
          </w:p>
        </w:tc>
        <w:tc>
          <w:tcPr>
            <w:tcW w:w="851"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561,1</w:t>
            </w:r>
          </w:p>
        </w:tc>
        <w:tc>
          <w:tcPr>
            <w:tcW w:w="850"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554,0</w:t>
            </w:r>
          </w:p>
        </w:tc>
        <w:tc>
          <w:tcPr>
            <w:tcW w:w="709"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0,0</w:t>
            </w:r>
          </w:p>
        </w:tc>
        <w:tc>
          <w:tcPr>
            <w:tcW w:w="709"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22,0</w:t>
            </w:r>
          </w:p>
        </w:tc>
        <w:tc>
          <w:tcPr>
            <w:tcW w:w="709"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25,1</w:t>
            </w:r>
          </w:p>
        </w:tc>
        <w:tc>
          <w:tcPr>
            <w:tcW w:w="721"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24,3</w:t>
            </w:r>
          </w:p>
        </w:tc>
      </w:tr>
      <w:tr w:rsidR="00EF1D74" w:rsidRPr="00EF1D74" w:rsidTr="0057436F">
        <w:trPr>
          <w:gridAfter w:val="1"/>
          <w:wAfter w:w="9" w:type="dxa"/>
          <w:trHeight w:val="239"/>
          <w:jc w:val="center"/>
        </w:trPr>
        <w:tc>
          <w:tcPr>
            <w:tcW w:w="2830" w:type="dxa"/>
            <w:tcBorders>
              <w:bottom w:val="double" w:sz="4" w:space="0" w:color="auto"/>
            </w:tcBorders>
            <w:shd w:val="clear" w:color="auto" w:fill="auto"/>
            <w:vAlign w:val="center"/>
          </w:tcPr>
          <w:p w:rsidR="00EF1D74" w:rsidRPr="00EF1D74" w:rsidRDefault="00EF1D74" w:rsidP="00EF1D74">
            <w:pPr>
              <w:spacing w:after="0"/>
              <w:ind w:left="166" w:firstLine="0"/>
              <w:jc w:val="left"/>
              <w:rPr>
                <w:noProof/>
                <w:sz w:val="18"/>
                <w:szCs w:val="18"/>
                <w:lang w:eastAsia="lv-LV"/>
              </w:rPr>
            </w:pPr>
            <w:r w:rsidRPr="00EF1D74">
              <w:rPr>
                <w:noProof/>
                <w:sz w:val="18"/>
                <w:szCs w:val="18"/>
                <w:lang w:eastAsia="lv-LV"/>
              </w:rPr>
              <w:t>Procentu izdevumi</w:t>
            </w:r>
          </w:p>
        </w:tc>
        <w:tc>
          <w:tcPr>
            <w:tcW w:w="851"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263,2</w:t>
            </w:r>
          </w:p>
        </w:tc>
        <w:tc>
          <w:tcPr>
            <w:tcW w:w="850"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268,5</w:t>
            </w:r>
          </w:p>
        </w:tc>
        <w:tc>
          <w:tcPr>
            <w:tcW w:w="851"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237,7</w:t>
            </w:r>
          </w:p>
        </w:tc>
        <w:tc>
          <w:tcPr>
            <w:tcW w:w="850"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230,8</w:t>
            </w:r>
          </w:p>
        </w:tc>
        <w:tc>
          <w:tcPr>
            <w:tcW w:w="709"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0,0</w:t>
            </w:r>
          </w:p>
        </w:tc>
        <w:tc>
          <w:tcPr>
            <w:tcW w:w="709"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0,0</w:t>
            </w:r>
          </w:p>
        </w:tc>
        <w:tc>
          <w:tcPr>
            <w:tcW w:w="709"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-4,6</w:t>
            </w:r>
          </w:p>
        </w:tc>
        <w:tc>
          <w:tcPr>
            <w:tcW w:w="721"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-9,1</w:t>
            </w:r>
          </w:p>
        </w:tc>
      </w:tr>
      <w:tr w:rsidR="00EF1D74" w:rsidRPr="00EF1D74" w:rsidTr="0057436F">
        <w:trPr>
          <w:gridAfter w:val="1"/>
          <w:wAfter w:w="9" w:type="dxa"/>
          <w:trHeight w:val="482"/>
          <w:jc w:val="center"/>
        </w:trPr>
        <w:tc>
          <w:tcPr>
            <w:tcW w:w="2830" w:type="dxa"/>
            <w:tcBorders>
              <w:top w:val="double" w:sz="4" w:space="0" w:color="auto"/>
              <w:left w:val="single" w:sz="4" w:space="0" w:color="auto"/>
            </w:tcBorders>
            <w:shd w:val="clear" w:color="auto" w:fill="auto"/>
            <w:vAlign w:val="center"/>
          </w:tcPr>
          <w:p w:rsidR="00EF1D74" w:rsidRPr="00EF1D74" w:rsidRDefault="00EF1D74" w:rsidP="00EF1D74">
            <w:pPr>
              <w:spacing w:after="0"/>
              <w:ind w:firstLine="0"/>
              <w:jc w:val="left"/>
              <w:rPr>
                <w:noProof/>
                <w:sz w:val="18"/>
                <w:szCs w:val="18"/>
                <w:lang w:eastAsia="lv-LV"/>
              </w:rPr>
            </w:pPr>
            <w:r w:rsidRPr="00EF1D74">
              <w:rPr>
                <w:noProof/>
                <w:sz w:val="18"/>
                <w:szCs w:val="18"/>
                <w:lang w:eastAsia="lv-LV"/>
              </w:rPr>
              <w:t xml:space="preserve">   Procentu izdevumi</w:t>
            </w:r>
            <w:r w:rsidRPr="00EF1D74">
              <w:rPr>
                <w:noProof/>
                <w:sz w:val="18"/>
                <w:szCs w:val="18"/>
                <w:lang w:eastAsia="lv-LV"/>
              </w:rPr>
              <w:br/>
              <w:t xml:space="preserve">  (% likmes paliel. par 1 pp)</w:t>
            </w:r>
          </w:p>
        </w:tc>
        <w:tc>
          <w:tcPr>
            <w:tcW w:w="851"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263,2</w:t>
            </w:r>
          </w:p>
        </w:tc>
        <w:tc>
          <w:tcPr>
            <w:tcW w:w="850"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268,5</w:t>
            </w:r>
          </w:p>
        </w:tc>
        <w:tc>
          <w:tcPr>
            <w:tcW w:w="851"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252,5</w:t>
            </w:r>
          </w:p>
        </w:tc>
        <w:tc>
          <w:tcPr>
            <w:tcW w:w="850"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255,6</w:t>
            </w:r>
          </w:p>
        </w:tc>
        <w:tc>
          <w:tcPr>
            <w:tcW w:w="709"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0,0</w:t>
            </w:r>
          </w:p>
        </w:tc>
        <w:tc>
          <w:tcPr>
            <w:tcW w:w="709"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0,0</w:t>
            </w:r>
          </w:p>
        </w:tc>
        <w:tc>
          <w:tcPr>
            <w:tcW w:w="709"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10,3</w:t>
            </w:r>
          </w:p>
        </w:tc>
        <w:tc>
          <w:tcPr>
            <w:tcW w:w="721" w:type="dxa"/>
            <w:tcBorders>
              <w:top w:val="double" w:sz="4" w:space="0" w:color="auto"/>
              <w:right w:val="sing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15,7</w:t>
            </w:r>
          </w:p>
        </w:tc>
      </w:tr>
      <w:tr w:rsidR="00EF1D74" w:rsidRPr="00EF1D74" w:rsidTr="0057436F">
        <w:trPr>
          <w:gridAfter w:val="1"/>
          <w:wAfter w:w="9" w:type="dxa"/>
          <w:trHeight w:val="482"/>
          <w:jc w:val="center"/>
        </w:trPr>
        <w:tc>
          <w:tcPr>
            <w:tcW w:w="2830" w:type="dxa"/>
            <w:tcBorders>
              <w:left w:val="single" w:sz="4" w:space="0" w:color="auto"/>
              <w:bottom w:val="double" w:sz="4" w:space="0" w:color="auto"/>
            </w:tcBorders>
            <w:shd w:val="clear" w:color="auto" w:fill="auto"/>
            <w:vAlign w:val="center"/>
          </w:tcPr>
          <w:p w:rsidR="00EF1D74" w:rsidRPr="00EF1D74" w:rsidRDefault="00EF1D74" w:rsidP="00EF1D74">
            <w:pPr>
              <w:spacing w:after="0"/>
              <w:ind w:firstLine="0"/>
              <w:jc w:val="left"/>
              <w:rPr>
                <w:rFonts w:eastAsia="Calibri"/>
                <w:noProof/>
                <w:sz w:val="18"/>
                <w:szCs w:val="18"/>
              </w:rPr>
            </w:pPr>
            <w:r w:rsidRPr="00EF1D74">
              <w:rPr>
                <w:noProof/>
                <w:sz w:val="18"/>
                <w:szCs w:val="18"/>
                <w:lang w:eastAsia="lv-LV"/>
              </w:rPr>
              <w:t xml:space="preserve">   Procentu izdevumi</w:t>
            </w:r>
            <w:r w:rsidRPr="00EF1D74">
              <w:rPr>
                <w:noProof/>
                <w:sz w:val="18"/>
                <w:szCs w:val="18"/>
                <w:lang w:eastAsia="lv-LV"/>
              </w:rPr>
              <w:br/>
              <w:t xml:space="preserve">   (% likmes samaz. par 1 pp)</w:t>
            </w:r>
          </w:p>
        </w:tc>
        <w:tc>
          <w:tcPr>
            <w:tcW w:w="851"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263,2</w:t>
            </w:r>
          </w:p>
        </w:tc>
        <w:tc>
          <w:tcPr>
            <w:tcW w:w="850"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268,5</w:t>
            </w:r>
          </w:p>
        </w:tc>
        <w:tc>
          <w:tcPr>
            <w:tcW w:w="851"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232,6</w:t>
            </w:r>
          </w:p>
        </w:tc>
        <w:tc>
          <w:tcPr>
            <w:tcW w:w="850"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224,7</w:t>
            </w:r>
          </w:p>
        </w:tc>
        <w:tc>
          <w:tcPr>
            <w:tcW w:w="709"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0,0</w:t>
            </w:r>
          </w:p>
        </w:tc>
        <w:tc>
          <w:tcPr>
            <w:tcW w:w="709"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0,0</w:t>
            </w:r>
          </w:p>
        </w:tc>
        <w:tc>
          <w:tcPr>
            <w:tcW w:w="709"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-9,6</w:t>
            </w:r>
          </w:p>
        </w:tc>
        <w:tc>
          <w:tcPr>
            <w:tcW w:w="721" w:type="dxa"/>
            <w:tcBorders>
              <w:bottom w:val="double" w:sz="4" w:space="0" w:color="auto"/>
              <w:right w:val="sing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-15,3</w:t>
            </w:r>
          </w:p>
        </w:tc>
      </w:tr>
      <w:tr w:rsidR="00EF1D74" w:rsidRPr="00EF1D74" w:rsidTr="0057436F">
        <w:trPr>
          <w:gridAfter w:val="1"/>
          <w:wAfter w:w="9" w:type="dxa"/>
          <w:trHeight w:val="482"/>
          <w:jc w:val="center"/>
        </w:trPr>
        <w:tc>
          <w:tcPr>
            <w:tcW w:w="2830" w:type="dxa"/>
            <w:tcBorders>
              <w:top w:val="double" w:sz="4" w:space="0" w:color="auto"/>
            </w:tcBorders>
            <w:shd w:val="clear" w:color="auto" w:fill="auto"/>
            <w:vAlign w:val="center"/>
          </w:tcPr>
          <w:p w:rsidR="00EF1D74" w:rsidRPr="00EF1D74" w:rsidRDefault="00EF1D74" w:rsidP="00EF1D74">
            <w:pPr>
              <w:spacing w:after="0"/>
              <w:ind w:firstLine="0"/>
              <w:jc w:val="left"/>
              <w:rPr>
                <w:b/>
                <w:noProof/>
                <w:sz w:val="18"/>
                <w:szCs w:val="18"/>
                <w:lang w:eastAsia="lv-LV"/>
              </w:rPr>
            </w:pPr>
            <w:r w:rsidRPr="00EF1D74">
              <w:rPr>
                <w:b/>
                <w:noProof/>
                <w:sz w:val="18"/>
                <w:szCs w:val="18"/>
                <w:lang w:eastAsia="lv-LV"/>
              </w:rPr>
              <w:lastRenderedPageBreak/>
              <w:t>Vispārējās valdības parāds,</w:t>
            </w:r>
            <w:r w:rsidRPr="00EF1D74">
              <w:rPr>
                <w:b/>
                <w:noProof/>
                <w:sz w:val="18"/>
                <w:szCs w:val="18"/>
                <w:lang w:eastAsia="lv-LV"/>
              </w:rPr>
              <w:br/>
              <w:t>% no IKP</w:t>
            </w:r>
          </w:p>
        </w:tc>
        <w:tc>
          <w:tcPr>
            <w:tcW w:w="851"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44,8</w:t>
            </w:r>
          </w:p>
        </w:tc>
        <w:tc>
          <w:tcPr>
            <w:tcW w:w="850"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42,2</w:t>
            </w:r>
          </w:p>
        </w:tc>
        <w:tc>
          <w:tcPr>
            <w:tcW w:w="851"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40,3</w:t>
            </w:r>
          </w:p>
        </w:tc>
        <w:tc>
          <w:tcPr>
            <w:tcW w:w="850"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37,7</w:t>
            </w:r>
          </w:p>
        </w:tc>
        <w:tc>
          <w:tcPr>
            <w:tcW w:w="709"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-2,5</w:t>
            </w:r>
          </w:p>
        </w:tc>
        <w:tc>
          <w:tcPr>
            <w:tcW w:w="709"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b/>
                <w:sz w:val="18"/>
                <w:szCs w:val="18"/>
                <w:lang w:eastAsia="lv-LV"/>
              </w:rPr>
            </w:pPr>
            <w:r w:rsidRPr="00EF1D74">
              <w:rPr>
                <w:b/>
                <w:sz w:val="18"/>
                <w:szCs w:val="18"/>
                <w:lang w:eastAsia="lv-LV"/>
              </w:rPr>
              <w:t>-3,8</w:t>
            </w:r>
          </w:p>
        </w:tc>
        <w:tc>
          <w:tcPr>
            <w:tcW w:w="709"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b/>
                <w:sz w:val="18"/>
                <w:szCs w:val="18"/>
                <w:lang w:eastAsia="lv-LV"/>
              </w:rPr>
            </w:pPr>
            <w:r w:rsidRPr="00EF1D74">
              <w:rPr>
                <w:b/>
                <w:sz w:val="18"/>
                <w:szCs w:val="18"/>
                <w:lang w:eastAsia="lv-LV"/>
              </w:rPr>
              <w:t>-5,7</w:t>
            </w:r>
          </w:p>
        </w:tc>
        <w:tc>
          <w:tcPr>
            <w:tcW w:w="721"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b/>
                <w:sz w:val="18"/>
                <w:szCs w:val="18"/>
                <w:lang w:eastAsia="lv-LV"/>
              </w:rPr>
            </w:pPr>
            <w:r w:rsidRPr="00EF1D74">
              <w:rPr>
                <w:b/>
                <w:sz w:val="18"/>
                <w:szCs w:val="18"/>
                <w:lang w:eastAsia="lv-LV"/>
              </w:rPr>
              <w:t>-7,1</w:t>
            </w:r>
          </w:p>
        </w:tc>
      </w:tr>
    </w:tbl>
    <w:p w:rsidR="00EF1D74" w:rsidRPr="00EF1D74" w:rsidRDefault="00EF1D74" w:rsidP="00EF1D74">
      <w:pPr>
        <w:autoSpaceDE w:val="0"/>
        <w:autoSpaceDN w:val="0"/>
        <w:adjustRightInd w:val="0"/>
        <w:spacing w:after="0"/>
        <w:ind w:firstLine="720"/>
        <w:rPr>
          <w:color w:val="000000"/>
          <w:szCs w:val="24"/>
          <w:highlight w:val="yellow"/>
          <w:lang w:eastAsia="lv-LV"/>
        </w:rPr>
      </w:pPr>
    </w:p>
    <w:p w:rsidR="00EF1D74" w:rsidRPr="00EF1D74" w:rsidRDefault="00EF1D74" w:rsidP="00EF1D74">
      <w:pPr>
        <w:autoSpaceDE w:val="0"/>
        <w:autoSpaceDN w:val="0"/>
        <w:adjustRightInd w:val="0"/>
        <w:ind w:firstLine="720"/>
        <w:rPr>
          <w:noProof/>
          <w:color w:val="000000"/>
          <w:szCs w:val="24"/>
          <w:lang w:eastAsia="lv-LV"/>
        </w:rPr>
      </w:pPr>
      <w:r w:rsidRPr="00EF1D74">
        <w:rPr>
          <w:noProof/>
          <w:color w:val="000000"/>
          <w:szCs w:val="24"/>
          <w:lang w:eastAsia="lv-LV"/>
        </w:rPr>
        <w:t xml:space="preserve">Vispārējās valdības budžeta bilance optimistiskajā scenārijā uzlabotos no 3,9% deficīta bāzes scenārijā uz 2,3% deficītu no IKP 2021. gadā, jeb par 456,4 milj. </w:t>
      </w:r>
      <w:r w:rsidRPr="00EF1D74">
        <w:rPr>
          <w:i/>
          <w:noProof/>
          <w:color w:val="000000"/>
          <w:szCs w:val="24"/>
          <w:lang w:eastAsia="lv-LV"/>
        </w:rPr>
        <w:t>euro</w:t>
      </w:r>
      <w:r w:rsidRPr="00EF1D74">
        <w:rPr>
          <w:noProof/>
          <w:color w:val="000000"/>
          <w:szCs w:val="24"/>
          <w:lang w:eastAsia="lv-LV"/>
        </w:rPr>
        <w:t xml:space="preserve">. 2022. un 2023. gadā bilance uzlabotos attiecīgi par 601,7 milj. </w:t>
      </w:r>
      <w:r w:rsidRPr="00EF1D74">
        <w:rPr>
          <w:i/>
          <w:noProof/>
          <w:color w:val="000000"/>
          <w:szCs w:val="24"/>
          <w:lang w:eastAsia="lv-LV"/>
        </w:rPr>
        <w:t>euro</w:t>
      </w:r>
      <w:r w:rsidRPr="00EF1D74">
        <w:rPr>
          <w:noProof/>
          <w:color w:val="000000"/>
          <w:szCs w:val="24"/>
          <w:lang w:eastAsia="lv-LV"/>
        </w:rPr>
        <w:t xml:space="preserve"> un 632,6 milj. </w:t>
      </w:r>
      <w:r w:rsidRPr="00EF1D74">
        <w:rPr>
          <w:i/>
          <w:noProof/>
          <w:color w:val="000000"/>
          <w:szCs w:val="24"/>
          <w:lang w:eastAsia="lv-LV"/>
        </w:rPr>
        <w:t>euro</w:t>
      </w:r>
      <w:r w:rsidRPr="00EF1D74">
        <w:rPr>
          <w:noProof/>
          <w:color w:val="000000"/>
          <w:szCs w:val="24"/>
          <w:lang w:eastAsia="lv-LV"/>
        </w:rPr>
        <w:t xml:space="preserve">, tādējādi vispārējās valdības budžetā 2022. gadā būtu deficīts 0,8% no IKP, bet 2023. gadā budžets būtu ar 0,2% no IKP pārpalikumu. </w:t>
      </w:r>
    </w:p>
    <w:p w:rsidR="00EF1D74" w:rsidRPr="00EF1D74" w:rsidRDefault="00EF1D74" w:rsidP="00EF1D74">
      <w:pPr>
        <w:autoSpaceDE w:val="0"/>
        <w:autoSpaceDN w:val="0"/>
        <w:adjustRightInd w:val="0"/>
        <w:ind w:firstLine="720"/>
        <w:rPr>
          <w:noProof/>
          <w:color w:val="000000"/>
          <w:szCs w:val="24"/>
          <w:lang w:eastAsia="lv-LV"/>
        </w:rPr>
      </w:pPr>
      <w:r w:rsidRPr="00EF1D74">
        <w:rPr>
          <w:noProof/>
          <w:color w:val="000000"/>
          <w:szCs w:val="24"/>
          <w:lang w:eastAsia="lv-LV"/>
        </w:rPr>
        <w:t xml:space="preserve">Papildus aplūkojam scenārijus, kuros aizņemšanās procentu likmes parāda pārfinansēšanai nosvārstās viena procentpunkta robežās – par vienu procentpunktu palielinoties un šādā apmērā samazinoties. Procentu likmēm par vienu procentpuktu palielinoties, procentu izdevumi 2021. gadā nemainītos, jo aizņemšanos neietekmētu, 2022. gadā izdevumi būtu par 10,3 milj. </w:t>
      </w:r>
      <w:r w:rsidRPr="00EF1D74">
        <w:rPr>
          <w:i/>
          <w:noProof/>
          <w:color w:val="000000"/>
          <w:szCs w:val="24"/>
          <w:lang w:eastAsia="lv-LV"/>
        </w:rPr>
        <w:t>euro</w:t>
      </w:r>
      <w:r w:rsidRPr="00EF1D74">
        <w:rPr>
          <w:noProof/>
          <w:color w:val="000000"/>
          <w:szCs w:val="24"/>
          <w:lang w:eastAsia="lv-LV"/>
        </w:rPr>
        <w:t xml:space="preserve"> lielāki, bet 2023. gadā par 15,7 milj. </w:t>
      </w:r>
      <w:r w:rsidRPr="00EF1D74">
        <w:rPr>
          <w:i/>
          <w:noProof/>
          <w:color w:val="000000"/>
          <w:szCs w:val="24"/>
          <w:lang w:eastAsia="lv-LV"/>
        </w:rPr>
        <w:t>euro</w:t>
      </w:r>
      <w:r w:rsidRPr="00EF1D74">
        <w:rPr>
          <w:noProof/>
          <w:color w:val="000000"/>
          <w:szCs w:val="24"/>
          <w:lang w:eastAsia="lv-LV"/>
        </w:rPr>
        <w:t xml:space="preserve"> lielāki nekā bāzes scenārijā. Savukārt procentu likmei par vienu procentpuktu samazinoties, izdevumi 2021. gadā nemainītos, 2022. gadā izdevumi būtu par 9,6 milj. </w:t>
      </w:r>
      <w:r w:rsidRPr="00EF1D74">
        <w:rPr>
          <w:i/>
          <w:noProof/>
          <w:color w:val="000000"/>
          <w:szCs w:val="24"/>
          <w:lang w:eastAsia="lv-LV"/>
        </w:rPr>
        <w:t>euro</w:t>
      </w:r>
      <w:r w:rsidRPr="00EF1D74">
        <w:rPr>
          <w:noProof/>
          <w:color w:val="000000"/>
          <w:szCs w:val="24"/>
          <w:lang w:eastAsia="lv-LV"/>
        </w:rPr>
        <w:t xml:space="preserve"> un 2023. gadā par 15,3 milj. </w:t>
      </w:r>
      <w:r w:rsidRPr="00EF1D74">
        <w:rPr>
          <w:i/>
          <w:noProof/>
          <w:color w:val="000000"/>
          <w:szCs w:val="24"/>
          <w:lang w:eastAsia="lv-LV"/>
        </w:rPr>
        <w:t>euro</w:t>
      </w:r>
      <w:r w:rsidRPr="00EF1D74">
        <w:rPr>
          <w:noProof/>
          <w:color w:val="000000"/>
          <w:szCs w:val="24"/>
          <w:lang w:eastAsia="lv-LV"/>
        </w:rPr>
        <w:t xml:space="preserve"> mazāki nekā bāzes scenārijā.</w:t>
      </w:r>
    </w:p>
    <w:p w:rsidR="00EF1D74" w:rsidRPr="00EF1D74" w:rsidRDefault="00EF1D74" w:rsidP="00EF1D74">
      <w:pPr>
        <w:keepNext/>
        <w:keepLines/>
        <w:spacing w:before="240" w:after="240"/>
        <w:ind w:firstLine="0"/>
        <w:jc w:val="center"/>
        <w:outlineLvl w:val="2"/>
        <w:rPr>
          <w:b/>
          <w:noProof/>
          <w:sz w:val="32"/>
          <w:szCs w:val="32"/>
        </w:rPr>
      </w:pPr>
      <w:r w:rsidRPr="00EF1D74">
        <w:rPr>
          <w:b/>
          <w:noProof/>
          <w:sz w:val="32"/>
          <w:szCs w:val="32"/>
        </w:rPr>
        <w:t>1.5.2. Pesimistiskais scenārijs</w:t>
      </w:r>
    </w:p>
    <w:p w:rsidR="00EF1D74" w:rsidRPr="00EF1D74" w:rsidRDefault="00EF1D74" w:rsidP="00EF1D74">
      <w:pPr>
        <w:autoSpaceDE w:val="0"/>
        <w:autoSpaceDN w:val="0"/>
        <w:adjustRightInd w:val="0"/>
        <w:spacing w:before="120"/>
        <w:ind w:firstLine="720"/>
        <w:rPr>
          <w:color w:val="000000"/>
          <w:szCs w:val="28"/>
          <w:lang w:eastAsia="lv-LV"/>
        </w:rPr>
      </w:pPr>
      <w:r w:rsidRPr="00EF1D74">
        <w:rPr>
          <w:color w:val="000000"/>
          <w:szCs w:val="28"/>
          <w:lang w:eastAsia="lv-LV"/>
        </w:rPr>
        <w:t xml:space="preserve">Ja makroekonomiskās attīstības scenārija negatīvie riski īstenojas, </w:t>
      </w:r>
      <w:proofErr w:type="spellStart"/>
      <w:r w:rsidRPr="00EF1D74">
        <w:rPr>
          <w:color w:val="000000"/>
          <w:szCs w:val="28"/>
          <w:lang w:eastAsia="lv-LV"/>
        </w:rPr>
        <w:t>koronavīrusa</w:t>
      </w:r>
      <w:proofErr w:type="spellEnd"/>
      <w:r w:rsidRPr="00EF1D74">
        <w:rPr>
          <w:color w:val="000000"/>
          <w:szCs w:val="28"/>
          <w:lang w:eastAsia="lv-LV"/>
        </w:rPr>
        <w:t xml:space="preserve"> izplatības ierobežošana ieilgst vai tiek piedzīvots jauns spēcīgs slimības vilnis, IKP un nodarbinātības rādītāju kritums būs straujāks, nekā paredzēts makroekonomiskās attīstības scenārijā. Šajā scenārijā pieņemts, ka Latvija 2020. gada ceturtajā ceturksnī piedzīvo jaunu, smagu Covid-19 uzliesmojumu, kura apturēšanai nepieciešami jauni ierobežojošie pasākumi, kas var būt arī stingrāki nekā otrajā ceturksnī noteiktie.</w:t>
      </w:r>
    </w:p>
    <w:p w:rsidR="00EF1D74" w:rsidRPr="00EF1D74" w:rsidRDefault="00EF1D74" w:rsidP="00EF1D74">
      <w:pPr>
        <w:autoSpaceDE w:val="0"/>
        <w:autoSpaceDN w:val="0"/>
        <w:adjustRightInd w:val="0"/>
        <w:spacing w:before="120"/>
        <w:ind w:firstLine="720"/>
        <w:rPr>
          <w:color w:val="000000"/>
          <w:szCs w:val="28"/>
          <w:lang w:eastAsia="lv-LV"/>
        </w:rPr>
      </w:pPr>
      <w:r w:rsidRPr="00EF1D74">
        <w:rPr>
          <w:color w:val="000000"/>
          <w:szCs w:val="28"/>
          <w:lang w:eastAsia="lv-LV"/>
        </w:rPr>
        <w:t>Ekonomikas lejupslīdei 2020. gada ceturtajā ceturksnī gada griezumā uzrādot aptuveni tādu pašu kritumu kā otrajā ceturksnī, strauji sarūkot pakalpojumu nozaru kā izmitināšana un ēdināšana, māksla, izklaide un atpūta, transports pievienotās vērtības apjoma, 2020. gadā kopā iekšzemes kopprodukts var samazināties par 9,0%, kas ir par diviem procentpunktiem straujāks kritums nekā paredzēts pamata scenārijā. Vēl lielāka negatīvā ietekme gaidāma 2021. gadā, kad IKP pieaugums būs par 3,1 procentpunktu zemāks nekā pamata scenārijā, savukārt nākamajos divos gados ekonomiskās izaugsmes tempu atjaunošanās notiks straujāk un IKP palielināsies attiecīgi par 4,6% 2022. gadā un 3,2% 2023. gadā.</w:t>
      </w:r>
    </w:p>
    <w:p w:rsidR="00EF1D74" w:rsidRPr="00EF1D74" w:rsidRDefault="00EF1D74" w:rsidP="00EF1D74">
      <w:pPr>
        <w:autoSpaceDE w:val="0"/>
        <w:autoSpaceDN w:val="0"/>
        <w:adjustRightInd w:val="0"/>
        <w:spacing w:before="120"/>
        <w:ind w:firstLine="720"/>
        <w:rPr>
          <w:color w:val="000000"/>
          <w:szCs w:val="28"/>
          <w:lang w:eastAsia="lv-LV"/>
        </w:rPr>
      </w:pPr>
      <w:r w:rsidRPr="00EF1D74">
        <w:rPr>
          <w:color w:val="000000"/>
          <w:szCs w:val="28"/>
          <w:lang w:eastAsia="lv-LV"/>
        </w:rPr>
        <w:t>Arī darba tirgū lielākā negatīvā ietekme būs jūtama 2021. gadā, kad bezdarba līmenis negatīvā scenārija īstenošanās gadījumā būs par 2,1 procentpunktu augstāks nekā paredzēts pamata scenārijā – 11,9%, kamēr  2020. gadā ietekme uz bezdarba līmeni prognozēta 0,3 procentpunktu apmērā, bezdarba līmenim sasniedzot 10,8%. Līdzīgi tautsaimniecībā nodarbināto iedzīvotāju skaits 2020. gadā prognozēts par trim tūkstošiem zemāks, bet 2021. gadā – par 20 tūkstošiem zemāks nekā pamata scenārijā.</w:t>
      </w:r>
    </w:p>
    <w:p w:rsidR="00EF1D74" w:rsidRPr="00EF1D74" w:rsidRDefault="00EF1D74" w:rsidP="00EF1D74">
      <w:pPr>
        <w:autoSpaceDE w:val="0"/>
        <w:autoSpaceDN w:val="0"/>
        <w:adjustRightInd w:val="0"/>
        <w:spacing w:before="120"/>
        <w:ind w:firstLine="720"/>
        <w:rPr>
          <w:color w:val="000000"/>
          <w:szCs w:val="28"/>
          <w:lang w:eastAsia="lv-LV"/>
        </w:rPr>
      </w:pPr>
      <w:r w:rsidRPr="00EF1D74">
        <w:rPr>
          <w:color w:val="000000"/>
          <w:szCs w:val="28"/>
          <w:lang w:eastAsia="lv-LV"/>
        </w:rPr>
        <w:t>Inflācijas līmenis, Latvijai piedzīvojot Covid-19 otro vilni, 2020. gadā varētu būt par 0,1 procentpunktu un 2021. gadā par 0,7 procentpunktiem zemāks nekā pamata scenārijā, - attiecīgi 0,1% un 0,5%.</w:t>
      </w:r>
    </w:p>
    <w:p w:rsidR="00EF1D74" w:rsidRPr="00EF1D74" w:rsidRDefault="00EF1D74" w:rsidP="00EF1D74">
      <w:pPr>
        <w:autoSpaceDE w:val="0"/>
        <w:autoSpaceDN w:val="0"/>
        <w:adjustRightInd w:val="0"/>
        <w:spacing w:before="120"/>
        <w:ind w:firstLine="720"/>
        <w:rPr>
          <w:color w:val="000000"/>
          <w:szCs w:val="28"/>
          <w:lang w:eastAsia="lv-LV"/>
        </w:rPr>
      </w:pPr>
    </w:p>
    <w:p w:rsidR="00EF1D74" w:rsidRPr="00EF1D74" w:rsidRDefault="00EF1D74" w:rsidP="00EF1D74">
      <w:pPr>
        <w:autoSpaceDE w:val="0"/>
        <w:autoSpaceDN w:val="0"/>
        <w:adjustRightInd w:val="0"/>
        <w:spacing w:before="120"/>
        <w:ind w:firstLine="720"/>
        <w:rPr>
          <w:color w:val="000000"/>
          <w:szCs w:val="28"/>
          <w:lang w:eastAsia="lv-LV"/>
        </w:rPr>
      </w:pPr>
    </w:p>
    <w:p w:rsidR="00EF1D74" w:rsidRPr="00EF1D74" w:rsidRDefault="00EF1D74" w:rsidP="00EF1D74">
      <w:pPr>
        <w:keepNext/>
        <w:spacing w:before="240"/>
        <w:ind w:firstLine="0"/>
        <w:jc w:val="center"/>
        <w:rPr>
          <w:rFonts w:eastAsia="Calibri"/>
          <w:b/>
          <w:i/>
          <w:szCs w:val="24"/>
        </w:rPr>
      </w:pPr>
      <w:r w:rsidRPr="00EF1D74">
        <w:rPr>
          <w:rFonts w:eastAsia="Calibri"/>
          <w:b/>
          <w:i/>
          <w:szCs w:val="24"/>
        </w:rPr>
        <w:lastRenderedPageBreak/>
        <w:t xml:space="preserve">1.10. tabula </w:t>
      </w:r>
      <w:r w:rsidRPr="00EF1D74">
        <w:rPr>
          <w:rFonts w:eastAsia="Calibri"/>
          <w:b/>
          <w:szCs w:val="24"/>
        </w:rPr>
        <w:t>Pesimistiskais makroekonomisko rādītāju attīstības scenārijs</w:t>
      </w:r>
    </w:p>
    <w:tbl>
      <w:tblPr>
        <w:tblW w:w="8359" w:type="dxa"/>
        <w:jc w:val="center"/>
        <w:tblLayout w:type="fixed"/>
        <w:tblLook w:val="04A0" w:firstRow="1" w:lastRow="0" w:firstColumn="1" w:lastColumn="0" w:noHBand="0" w:noVBand="1"/>
      </w:tblPr>
      <w:tblGrid>
        <w:gridCol w:w="3681"/>
        <w:gridCol w:w="992"/>
        <w:gridCol w:w="907"/>
        <w:gridCol w:w="879"/>
        <w:gridCol w:w="879"/>
        <w:gridCol w:w="1021"/>
      </w:tblGrid>
      <w:tr w:rsidR="00EF1D74" w:rsidRPr="00EF1D74" w:rsidTr="00EF1D74">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rsidR="00EF1D74" w:rsidRPr="00EF1D74" w:rsidRDefault="00EF1D74" w:rsidP="00EF1D74">
            <w:pPr>
              <w:spacing w:after="0"/>
              <w:ind w:firstLine="0"/>
              <w:jc w:val="center"/>
              <w:rPr>
                <w:rFonts w:eastAsia="Calibri"/>
                <w:b/>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9CC2E5"/>
            <w:noWrap/>
            <w:vAlign w:val="center"/>
            <w:hideMark/>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2019</w:t>
            </w:r>
          </w:p>
        </w:tc>
        <w:tc>
          <w:tcPr>
            <w:tcW w:w="907" w:type="dxa"/>
            <w:tcBorders>
              <w:top w:val="single" w:sz="4" w:space="0" w:color="auto"/>
              <w:left w:val="nil"/>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2020</w:t>
            </w:r>
          </w:p>
        </w:tc>
        <w:tc>
          <w:tcPr>
            <w:tcW w:w="879" w:type="dxa"/>
            <w:tcBorders>
              <w:top w:val="single" w:sz="4" w:space="0" w:color="auto"/>
              <w:left w:val="nil"/>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2021</w:t>
            </w:r>
          </w:p>
        </w:tc>
        <w:tc>
          <w:tcPr>
            <w:tcW w:w="879" w:type="dxa"/>
            <w:tcBorders>
              <w:top w:val="single" w:sz="4" w:space="0" w:color="auto"/>
              <w:left w:val="nil"/>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2022</w:t>
            </w:r>
          </w:p>
        </w:tc>
        <w:tc>
          <w:tcPr>
            <w:tcW w:w="1021" w:type="dxa"/>
            <w:tcBorders>
              <w:top w:val="single" w:sz="4" w:space="0" w:color="auto"/>
              <w:left w:val="nil"/>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2023</w:t>
            </w:r>
          </w:p>
        </w:tc>
      </w:tr>
      <w:tr w:rsidR="00EF1D74" w:rsidRPr="00EF1D74" w:rsidTr="00EF1D74">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p>
        </w:tc>
        <w:tc>
          <w:tcPr>
            <w:tcW w:w="992" w:type="dxa"/>
            <w:tcBorders>
              <w:top w:val="single" w:sz="4" w:space="0" w:color="auto"/>
              <w:left w:val="nil"/>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fakts</w:t>
            </w:r>
          </w:p>
        </w:tc>
        <w:tc>
          <w:tcPr>
            <w:tcW w:w="3686" w:type="dxa"/>
            <w:gridSpan w:val="4"/>
            <w:tcBorders>
              <w:top w:val="single" w:sz="4" w:space="0" w:color="auto"/>
              <w:left w:val="nil"/>
              <w:bottom w:val="single" w:sz="4" w:space="0" w:color="auto"/>
              <w:right w:val="single" w:sz="4" w:space="0" w:color="auto"/>
            </w:tcBorders>
            <w:shd w:val="clear" w:color="auto" w:fill="9CC2E5"/>
            <w:noWrap/>
            <w:vAlign w:val="center"/>
          </w:tcPr>
          <w:p w:rsidR="00EF1D74" w:rsidRPr="00EF1D74" w:rsidRDefault="00EF1D74" w:rsidP="00EF1D74">
            <w:pPr>
              <w:spacing w:after="0"/>
              <w:ind w:firstLine="0"/>
              <w:jc w:val="center"/>
              <w:rPr>
                <w:rFonts w:eastAsia="Calibri"/>
                <w:b/>
                <w:sz w:val="18"/>
                <w:szCs w:val="18"/>
                <w:lang w:eastAsia="lv-LV"/>
              </w:rPr>
            </w:pPr>
            <w:r w:rsidRPr="00EF1D74">
              <w:rPr>
                <w:rFonts w:eastAsia="Calibri"/>
                <w:b/>
                <w:sz w:val="18"/>
                <w:szCs w:val="18"/>
                <w:lang w:eastAsia="lv-LV"/>
              </w:rPr>
              <w:t>prognoze</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sz w:val="18"/>
                <w:szCs w:val="18"/>
                <w:lang w:eastAsia="lv-LV"/>
              </w:rPr>
            </w:pPr>
            <w:r w:rsidRPr="00EF1D74">
              <w:rPr>
                <w:rFonts w:eastAsia="Calibri"/>
                <w:b/>
                <w:sz w:val="18"/>
                <w:szCs w:val="18"/>
                <w:lang w:eastAsia="lv-LV"/>
              </w:rPr>
              <w:t xml:space="preserve">Iekšzemes kopprodukts (IKP), </w:t>
            </w:r>
            <w:r w:rsidRPr="00EF1D74">
              <w:rPr>
                <w:rFonts w:eastAsia="Calibri"/>
                <w:b/>
                <w:sz w:val="18"/>
                <w:szCs w:val="18"/>
                <w:lang w:eastAsia="lv-LV"/>
              </w:rPr>
              <w:br/>
              <w:t xml:space="preserve">milj. </w:t>
            </w:r>
            <w:proofErr w:type="spellStart"/>
            <w:r w:rsidRPr="00EF1D74">
              <w:rPr>
                <w:rFonts w:eastAsia="Calibri"/>
                <w:b/>
                <w:i/>
                <w:sz w:val="18"/>
                <w:szCs w:val="18"/>
                <w:lang w:eastAsia="lv-LV"/>
              </w:rPr>
              <w:t>euro</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rPr>
              <w:t>30 463</w:t>
            </w:r>
          </w:p>
        </w:tc>
        <w:tc>
          <w:tcPr>
            <w:tcW w:w="907"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27 587</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28 390</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30 154</w:t>
            </w:r>
          </w:p>
        </w:tc>
        <w:tc>
          <w:tcPr>
            <w:tcW w:w="10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31 734</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pieaugums faktiskajās cenās,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rPr>
              <w:t>4,5</w:t>
            </w:r>
          </w:p>
        </w:tc>
        <w:tc>
          <w:tcPr>
            <w:tcW w:w="907"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-9,4</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2,9</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6,2</w:t>
            </w:r>
          </w:p>
        </w:tc>
        <w:tc>
          <w:tcPr>
            <w:tcW w:w="10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5,2</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pieaugums salīdzināmās cenās,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rPr>
              <w:t>2,1</w:t>
            </w:r>
          </w:p>
        </w:tc>
        <w:tc>
          <w:tcPr>
            <w:tcW w:w="907"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-9,0</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2,0</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4,6</w:t>
            </w:r>
          </w:p>
        </w:tc>
        <w:tc>
          <w:tcPr>
            <w:tcW w:w="10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3,2</w:t>
            </w:r>
          </w:p>
        </w:tc>
      </w:tr>
      <w:tr w:rsidR="00EF1D74" w:rsidRPr="00EF1D74" w:rsidTr="0057436F">
        <w:trPr>
          <w:trHeight w:val="434"/>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sz w:val="18"/>
                <w:szCs w:val="18"/>
                <w:lang w:eastAsia="lv-LV"/>
              </w:rPr>
            </w:pPr>
            <w:r w:rsidRPr="00EF1D74">
              <w:rPr>
                <w:rFonts w:eastAsia="Calibri"/>
                <w:b/>
                <w:sz w:val="18"/>
                <w:szCs w:val="18"/>
                <w:lang w:eastAsia="lv-LV"/>
              </w:rPr>
              <w:t xml:space="preserve">IKP </w:t>
            </w:r>
            <w:proofErr w:type="spellStart"/>
            <w:r w:rsidRPr="00EF1D74">
              <w:rPr>
                <w:rFonts w:eastAsia="Calibri"/>
                <w:b/>
                <w:sz w:val="18"/>
                <w:szCs w:val="18"/>
                <w:lang w:eastAsia="lv-LV"/>
              </w:rPr>
              <w:t>deflators</w:t>
            </w:r>
            <w:proofErr w:type="spellEnd"/>
            <w:r w:rsidRPr="00EF1D74">
              <w:rPr>
                <w:rFonts w:eastAsia="Calibri"/>
                <w:b/>
                <w:sz w:val="18"/>
                <w:szCs w:val="18"/>
                <w:lang w:eastAsia="lv-LV"/>
              </w:rPr>
              <w:t xml:space="preserve"> (gads pret gadu),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2,6</w:t>
            </w:r>
          </w:p>
        </w:tc>
        <w:tc>
          <w:tcPr>
            <w:tcW w:w="907"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-0,5</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0,9</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1,6</w:t>
            </w:r>
          </w:p>
        </w:tc>
        <w:tc>
          <w:tcPr>
            <w:tcW w:w="10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sz w:val="18"/>
                <w:szCs w:val="18"/>
                <w:lang w:eastAsia="lv-LV"/>
              </w:rPr>
            </w:pPr>
            <w:r w:rsidRPr="00EF1D74">
              <w:rPr>
                <w:rFonts w:eastAsia="Calibri"/>
                <w:b/>
                <w:sz w:val="18"/>
                <w:szCs w:val="18"/>
                <w:lang w:eastAsia="lv-LV"/>
              </w:rPr>
              <w:t>PCI (gads pret gadu),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2,8</w:t>
            </w:r>
          </w:p>
        </w:tc>
        <w:tc>
          <w:tcPr>
            <w:tcW w:w="907"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0,1</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0,5</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1,2</w:t>
            </w:r>
          </w:p>
        </w:tc>
        <w:tc>
          <w:tcPr>
            <w:tcW w:w="10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w:t>
            </w:r>
          </w:p>
        </w:tc>
      </w:tr>
      <w:tr w:rsidR="00EF1D74" w:rsidRPr="00EF1D74" w:rsidTr="0057436F">
        <w:trPr>
          <w:trHeight w:val="6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sz w:val="18"/>
                <w:szCs w:val="18"/>
                <w:lang w:eastAsia="lv-LV"/>
              </w:rPr>
            </w:pPr>
            <w:r w:rsidRPr="00EF1D74">
              <w:rPr>
                <w:rFonts w:eastAsia="Calibri"/>
                <w:b/>
                <w:sz w:val="18"/>
                <w:szCs w:val="18"/>
                <w:lang w:eastAsia="lv-LV"/>
              </w:rPr>
              <w:t xml:space="preserve">Tautsaimniecībā nodarbināto </w:t>
            </w:r>
            <w:proofErr w:type="spellStart"/>
            <w:r w:rsidRPr="00EF1D74">
              <w:rPr>
                <w:rFonts w:eastAsia="Calibri"/>
                <w:b/>
                <w:sz w:val="18"/>
                <w:szCs w:val="18"/>
                <w:lang w:eastAsia="lv-LV"/>
              </w:rPr>
              <w:t>mēn</w:t>
            </w:r>
            <w:proofErr w:type="spellEnd"/>
            <w:r w:rsidRPr="00EF1D74">
              <w:rPr>
                <w:rFonts w:eastAsia="Calibri"/>
                <w:b/>
                <w:sz w:val="18"/>
                <w:szCs w:val="18"/>
                <w:lang w:eastAsia="lv-LV"/>
              </w:rPr>
              <w:t xml:space="preserve">. vid. bruto darba samaksa, </w:t>
            </w:r>
            <w:proofErr w:type="spellStart"/>
            <w:r w:rsidRPr="00EF1D74">
              <w:rPr>
                <w:rFonts w:eastAsia="Calibri"/>
                <w:b/>
                <w:i/>
                <w:sz w:val="18"/>
                <w:szCs w:val="18"/>
                <w:lang w:eastAsia="lv-LV"/>
              </w:rPr>
              <w:t>euro</w:t>
            </w:r>
            <w:proofErr w:type="spellEnd"/>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1 076</w:t>
            </w:r>
          </w:p>
        </w:tc>
        <w:tc>
          <w:tcPr>
            <w:tcW w:w="907"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1 065</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1 076</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1 130</w:t>
            </w:r>
          </w:p>
        </w:tc>
        <w:tc>
          <w:tcPr>
            <w:tcW w:w="10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1 186</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pieaugums faktiskajās cenās,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7,2</w:t>
            </w:r>
          </w:p>
        </w:tc>
        <w:tc>
          <w:tcPr>
            <w:tcW w:w="907"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-1,0</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1,0</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5,0</w:t>
            </w:r>
          </w:p>
        </w:tc>
        <w:tc>
          <w:tcPr>
            <w:tcW w:w="10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5,0</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pieaugums salīdzināmās cenās,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4,2</w:t>
            </w:r>
          </w:p>
        </w:tc>
        <w:tc>
          <w:tcPr>
            <w:tcW w:w="907"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-1,1</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0,5</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3,8</w:t>
            </w:r>
          </w:p>
        </w:tc>
        <w:tc>
          <w:tcPr>
            <w:tcW w:w="10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2,9</w:t>
            </w:r>
          </w:p>
        </w:tc>
      </w:tr>
      <w:tr w:rsidR="00EF1D74" w:rsidRPr="00EF1D74" w:rsidTr="0057436F">
        <w:trPr>
          <w:trHeight w:val="6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sz w:val="18"/>
                <w:szCs w:val="18"/>
                <w:lang w:eastAsia="lv-LV"/>
              </w:rPr>
            </w:pPr>
            <w:r w:rsidRPr="00EF1D74">
              <w:rPr>
                <w:rFonts w:eastAsia="Calibri"/>
                <w:b/>
                <w:sz w:val="18"/>
                <w:szCs w:val="18"/>
                <w:lang w:eastAsia="lv-LV"/>
              </w:rPr>
              <w:t xml:space="preserve">Nodarbinātība, tūkst. iedzīvotāju (atbilstoši darbaspēka </w:t>
            </w:r>
            <w:proofErr w:type="spellStart"/>
            <w:r w:rsidRPr="00EF1D74">
              <w:rPr>
                <w:rFonts w:eastAsia="Calibri"/>
                <w:b/>
                <w:sz w:val="18"/>
                <w:szCs w:val="18"/>
                <w:lang w:eastAsia="lv-LV"/>
              </w:rPr>
              <w:t>apsekojumiem</w:t>
            </w:r>
            <w:proofErr w:type="spellEnd"/>
            <w:r w:rsidRPr="00EF1D74">
              <w:rPr>
                <w:rFonts w:eastAsia="Calibri"/>
                <w:b/>
                <w:sz w:val="18"/>
                <w:szCs w:val="18"/>
                <w:lang w:eastAsia="lv-LV"/>
              </w:rPr>
              <w:t>)</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910</w:t>
            </w:r>
          </w:p>
        </w:tc>
        <w:tc>
          <w:tcPr>
            <w:tcW w:w="907"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867</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855</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875</w:t>
            </w:r>
          </w:p>
        </w:tc>
        <w:tc>
          <w:tcPr>
            <w:tcW w:w="10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883</w:t>
            </w:r>
          </w:p>
        </w:tc>
      </w:tr>
      <w:tr w:rsidR="00EF1D74" w:rsidRPr="00EF1D74" w:rsidTr="0057436F">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pieaugums, %</w:t>
            </w:r>
          </w:p>
        </w:tc>
        <w:tc>
          <w:tcPr>
            <w:tcW w:w="992" w:type="dxa"/>
            <w:tcBorders>
              <w:top w:val="nil"/>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0,1</w:t>
            </w:r>
          </w:p>
        </w:tc>
        <w:tc>
          <w:tcPr>
            <w:tcW w:w="907"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-4,7</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-1,4</w:t>
            </w:r>
          </w:p>
        </w:tc>
        <w:tc>
          <w:tcPr>
            <w:tcW w:w="879"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2,3</w:t>
            </w:r>
          </w:p>
        </w:tc>
        <w:tc>
          <w:tcPr>
            <w:tcW w:w="1021" w:type="dxa"/>
            <w:tcBorders>
              <w:top w:val="nil"/>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0,9</w:t>
            </w:r>
          </w:p>
        </w:tc>
      </w:tr>
      <w:tr w:rsidR="00EF1D74" w:rsidRPr="00EF1D74" w:rsidTr="0057436F">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74" w:rsidRPr="00EF1D74" w:rsidRDefault="00EF1D74" w:rsidP="00EF1D74">
            <w:pPr>
              <w:spacing w:after="0"/>
              <w:ind w:firstLine="0"/>
              <w:jc w:val="left"/>
              <w:rPr>
                <w:rFonts w:eastAsia="Calibri"/>
                <w:b/>
                <w:sz w:val="18"/>
                <w:szCs w:val="18"/>
                <w:lang w:eastAsia="lv-LV"/>
              </w:rPr>
            </w:pPr>
            <w:r w:rsidRPr="00EF1D74">
              <w:rPr>
                <w:rFonts w:eastAsia="Calibri"/>
                <w:b/>
                <w:sz w:val="18"/>
                <w:szCs w:val="18"/>
                <w:lang w:eastAsia="lv-LV"/>
              </w:rPr>
              <w:t>Bezdarba līmenis (gada vidējais),</w:t>
            </w:r>
            <w:r w:rsidRPr="00EF1D74">
              <w:rPr>
                <w:rFonts w:eastAsia="Calibri"/>
                <w:b/>
                <w:sz w:val="18"/>
                <w:szCs w:val="18"/>
                <w:lang w:eastAsia="lv-LV"/>
              </w:rPr>
              <w:br/>
              <w:t xml:space="preserve">% no ekon. aktīviem </w:t>
            </w:r>
            <w:proofErr w:type="spellStart"/>
            <w:r w:rsidRPr="00EF1D74">
              <w:rPr>
                <w:rFonts w:eastAsia="Calibri"/>
                <w:b/>
                <w:sz w:val="18"/>
                <w:szCs w:val="18"/>
                <w:lang w:eastAsia="lv-LV"/>
              </w:rPr>
              <w:t>iedzīv</w:t>
            </w:r>
            <w:proofErr w:type="spellEnd"/>
            <w:r w:rsidRPr="00EF1D74">
              <w:rPr>
                <w:rFonts w:eastAsia="Calibri"/>
                <w:b/>
                <w:sz w:val="18"/>
                <w:szCs w:val="18"/>
                <w:lang w:eastAsia="lv-LV"/>
              </w:rPr>
              <w:t>.</w:t>
            </w:r>
          </w:p>
        </w:tc>
        <w:tc>
          <w:tcPr>
            <w:tcW w:w="992" w:type="dxa"/>
            <w:tcBorders>
              <w:top w:val="single" w:sz="4" w:space="0" w:color="auto"/>
              <w:left w:val="nil"/>
              <w:bottom w:val="single" w:sz="4" w:space="0" w:color="auto"/>
              <w:right w:val="single" w:sz="4" w:space="0" w:color="auto"/>
            </w:tcBorders>
            <w:shd w:val="clear" w:color="auto" w:fill="auto"/>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6,3</w:t>
            </w:r>
          </w:p>
        </w:tc>
        <w:tc>
          <w:tcPr>
            <w:tcW w:w="907" w:type="dxa"/>
            <w:tcBorders>
              <w:top w:val="single" w:sz="4" w:space="0" w:color="auto"/>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10,8</w:t>
            </w:r>
          </w:p>
        </w:tc>
        <w:tc>
          <w:tcPr>
            <w:tcW w:w="879" w:type="dxa"/>
            <w:tcBorders>
              <w:top w:val="single" w:sz="4" w:space="0" w:color="auto"/>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11,9</w:t>
            </w:r>
          </w:p>
        </w:tc>
        <w:tc>
          <w:tcPr>
            <w:tcW w:w="879" w:type="dxa"/>
            <w:tcBorders>
              <w:top w:val="single" w:sz="4" w:space="0" w:color="auto"/>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9,1</w:t>
            </w:r>
          </w:p>
        </w:tc>
        <w:tc>
          <w:tcPr>
            <w:tcW w:w="1021" w:type="dxa"/>
            <w:tcBorders>
              <w:top w:val="single" w:sz="4" w:space="0" w:color="auto"/>
              <w:left w:val="nil"/>
              <w:bottom w:val="single" w:sz="4" w:space="0" w:color="auto"/>
              <w:right w:val="single" w:sz="4" w:space="0" w:color="auto"/>
            </w:tcBorders>
            <w:shd w:val="clear" w:color="auto" w:fill="F2F2F2"/>
            <w:noWrap/>
            <w:tcMar>
              <w:right w:w="170" w:type="dxa"/>
            </w:tcMar>
            <w:vAlign w:val="center"/>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7,4</w:t>
            </w:r>
          </w:p>
        </w:tc>
      </w:tr>
    </w:tbl>
    <w:p w:rsidR="00EF1D74" w:rsidRPr="00EF1D74" w:rsidRDefault="00EF1D74" w:rsidP="00EF1D74">
      <w:pPr>
        <w:autoSpaceDE w:val="0"/>
        <w:autoSpaceDN w:val="0"/>
        <w:adjustRightInd w:val="0"/>
        <w:spacing w:before="120"/>
        <w:ind w:firstLine="720"/>
        <w:rPr>
          <w:b/>
          <w:color w:val="000000"/>
          <w:szCs w:val="24"/>
          <w:lang w:eastAsia="lv-LV"/>
        </w:rPr>
      </w:pPr>
      <w:r w:rsidRPr="00EF1D74">
        <w:rPr>
          <w:b/>
          <w:color w:val="000000"/>
          <w:szCs w:val="24"/>
          <w:lang w:eastAsia="lv-LV"/>
        </w:rPr>
        <w:t>Ietekme uz vispārējās valdības budžetu</w:t>
      </w:r>
    </w:p>
    <w:p w:rsidR="00EF1D74" w:rsidRPr="00EF1D74" w:rsidRDefault="00EF1D74" w:rsidP="00EF1D74">
      <w:pPr>
        <w:autoSpaceDE w:val="0"/>
        <w:autoSpaceDN w:val="0"/>
        <w:adjustRightInd w:val="0"/>
        <w:spacing w:before="120"/>
        <w:ind w:firstLine="720"/>
        <w:rPr>
          <w:noProof/>
          <w:color w:val="000000"/>
          <w:szCs w:val="24"/>
          <w:lang w:eastAsia="lv-LV"/>
        </w:rPr>
      </w:pPr>
      <w:r w:rsidRPr="00EF1D74">
        <w:rPr>
          <w:noProof/>
          <w:color w:val="000000"/>
          <w:szCs w:val="24"/>
          <w:lang w:eastAsia="lv-LV"/>
        </w:rPr>
        <w:t>Īstenojoties pesimistiskajam scenārijam, kopbudžeta nodokļu ieņēmumi un valsts pamatbudžeta nenodokļu ieņēmumi samazinātos par 461,7 milj. euro jeb 1,5% no IKP 2021. gadā salīdzinājumā ar bāzes scenāriju. Savukārt 2022. un 2023. gadā tie būtu attiecīgi par 400,9 milj. euro jeb 1,3% no IKP un 380,7 milj. euro jeb 1,1% no IKP zemāki nekā bāzes scenārijā.</w:t>
      </w:r>
    </w:p>
    <w:p w:rsidR="00EF1D74" w:rsidRPr="00EF1D74" w:rsidRDefault="00EF1D74" w:rsidP="00EF1D74">
      <w:pPr>
        <w:autoSpaceDE w:val="0"/>
        <w:autoSpaceDN w:val="0"/>
        <w:adjustRightInd w:val="0"/>
        <w:spacing w:before="120"/>
        <w:ind w:firstLine="720"/>
        <w:rPr>
          <w:noProof/>
          <w:color w:val="000000"/>
          <w:szCs w:val="24"/>
          <w:lang w:eastAsia="lv-LV"/>
        </w:rPr>
      </w:pPr>
      <w:r w:rsidRPr="00EF1D74">
        <w:rPr>
          <w:noProof/>
          <w:color w:val="000000"/>
          <w:szCs w:val="24"/>
          <w:lang w:eastAsia="lv-LV"/>
        </w:rPr>
        <w:t xml:space="preserve">Izpildoties pesimistiskajam scenārijam, vairāk kā puse no kopbudžeta ieņēmuma samazinājuma būtu attiecināma uz valsts pamatbudžetu. Pie šāda scenārija, samazinoties nodokļu ieņēmumiem, pasliktinātos valsts budžeta finansiālā bilance, kā rezultātā palielinātos kopējā finansēšanas nepieciešamība un attiecīgi arī aizņemšanās apjoms attiecīgajā periodā, salīdzinot ar bāzes scenāriju. Lielāks aizņemšanās apjoms izraisītu palielinājumu procentu izdevumos. Pesimistiskā scenārija gadījumā procentu izdevumi 2021. gadā palielinātos par 0,2 milj. </w:t>
      </w:r>
      <w:r w:rsidRPr="00EF1D74">
        <w:rPr>
          <w:i/>
          <w:noProof/>
          <w:color w:val="000000"/>
          <w:szCs w:val="24"/>
          <w:lang w:eastAsia="lv-LV"/>
        </w:rPr>
        <w:t>euro</w:t>
      </w:r>
      <w:r w:rsidRPr="00EF1D74">
        <w:rPr>
          <w:noProof/>
          <w:color w:val="000000"/>
          <w:szCs w:val="24"/>
          <w:lang w:eastAsia="lv-LV"/>
        </w:rPr>
        <w:t xml:space="preserve">, 2022. gadā izdevumi būtu par 4,0 milj. </w:t>
      </w:r>
      <w:r w:rsidRPr="00EF1D74">
        <w:rPr>
          <w:i/>
          <w:noProof/>
          <w:color w:val="000000"/>
          <w:szCs w:val="24"/>
          <w:lang w:eastAsia="lv-LV"/>
        </w:rPr>
        <w:t>euro</w:t>
      </w:r>
      <w:r w:rsidRPr="00EF1D74">
        <w:rPr>
          <w:noProof/>
          <w:color w:val="000000"/>
          <w:szCs w:val="24"/>
          <w:lang w:eastAsia="lv-LV"/>
        </w:rPr>
        <w:t xml:space="preserve"> un 2023. gadā par 6,9 milj. </w:t>
      </w:r>
      <w:r w:rsidRPr="00EF1D74">
        <w:rPr>
          <w:i/>
          <w:noProof/>
          <w:color w:val="000000"/>
          <w:szCs w:val="24"/>
          <w:lang w:eastAsia="lv-LV"/>
        </w:rPr>
        <w:t>euro</w:t>
      </w:r>
      <w:r w:rsidRPr="00EF1D74">
        <w:rPr>
          <w:noProof/>
          <w:color w:val="000000"/>
          <w:szCs w:val="24"/>
          <w:lang w:eastAsia="lv-LV"/>
        </w:rPr>
        <w:t xml:space="preserve"> lielāki nekā bāzes scenārijā.</w:t>
      </w:r>
    </w:p>
    <w:p w:rsidR="00EF1D74" w:rsidRPr="00EF1D74" w:rsidRDefault="00EF1D74" w:rsidP="00EF1D74">
      <w:pPr>
        <w:autoSpaceDE w:val="0"/>
        <w:autoSpaceDN w:val="0"/>
        <w:adjustRightInd w:val="0"/>
        <w:spacing w:after="0"/>
        <w:ind w:firstLine="720"/>
        <w:rPr>
          <w:noProof/>
          <w:color w:val="000000"/>
          <w:szCs w:val="24"/>
          <w:lang w:eastAsia="lv-LV"/>
        </w:rPr>
      </w:pPr>
    </w:p>
    <w:p w:rsidR="00EF1D74" w:rsidRPr="00EF1D74" w:rsidRDefault="00EF1D74" w:rsidP="00EF1D74">
      <w:pPr>
        <w:keepNext/>
        <w:ind w:firstLine="0"/>
        <w:jc w:val="center"/>
        <w:rPr>
          <w:rFonts w:eastAsia="Calibri"/>
          <w:b/>
          <w:i/>
          <w:noProof/>
          <w:szCs w:val="24"/>
        </w:rPr>
      </w:pPr>
      <w:r w:rsidRPr="00EF1D74">
        <w:rPr>
          <w:rFonts w:eastAsia="Calibri"/>
          <w:b/>
          <w:i/>
          <w:szCs w:val="24"/>
        </w:rPr>
        <w:t xml:space="preserve">1.11. tabula </w:t>
      </w:r>
      <w:r w:rsidRPr="00EF1D74">
        <w:rPr>
          <w:rFonts w:eastAsia="Calibri"/>
          <w:b/>
          <w:szCs w:val="24"/>
        </w:rPr>
        <w:t xml:space="preserve">Pesimistiskā scenārija ietekme uz vispārējās valdības budžetu, </w:t>
      </w:r>
      <w:r w:rsidRPr="00EF1D74">
        <w:rPr>
          <w:rFonts w:eastAsia="Calibri"/>
          <w:b/>
          <w:noProof/>
          <w:szCs w:val="24"/>
        </w:rPr>
        <w:t>milj.</w:t>
      </w:r>
      <w:r w:rsidRPr="00EF1D74">
        <w:rPr>
          <w:rFonts w:eastAsia="Calibri"/>
          <w:b/>
          <w:i/>
          <w:noProof/>
          <w:szCs w:val="24"/>
        </w:rPr>
        <w:t xml:space="preserve"> euro</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2"/>
        <w:gridCol w:w="848"/>
        <w:gridCol w:w="847"/>
        <w:gridCol w:w="848"/>
        <w:gridCol w:w="847"/>
        <w:gridCol w:w="706"/>
        <w:gridCol w:w="706"/>
        <w:gridCol w:w="705"/>
        <w:gridCol w:w="631"/>
        <w:gridCol w:w="15"/>
      </w:tblGrid>
      <w:tr w:rsidR="00EF1D74" w:rsidRPr="00EF1D74" w:rsidTr="00EF1D74">
        <w:trPr>
          <w:trHeight w:val="592"/>
          <w:tblHeader/>
          <w:jc w:val="center"/>
        </w:trPr>
        <w:tc>
          <w:tcPr>
            <w:tcW w:w="2962" w:type="dxa"/>
            <w:shd w:val="clear" w:color="auto" w:fill="9CC2E5"/>
            <w:vAlign w:val="center"/>
            <w:hideMark/>
          </w:tcPr>
          <w:p w:rsidR="00EF1D74" w:rsidRPr="00EF1D74" w:rsidRDefault="00EF1D74" w:rsidP="00EF1D74">
            <w:pPr>
              <w:spacing w:after="0"/>
              <w:ind w:firstLine="0"/>
              <w:jc w:val="left"/>
              <w:rPr>
                <w:sz w:val="18"/>
                <w:szCs w:val="18"/>
                <w:lang w:eastAsia="lv-LV"/>
              </w:rPr>
            </w:pPr>
          </w:p>
        </w:tc>
        <w:tc>
          <w:tcPr>
            <w:tcW w:w="3390" w:type="dxa"/>
            <w:gridSpan w:val="4"/>
            <w:shd w:val="clear" w:color="auto" w:fill="9CC2E5"/>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Pesimistiskais scenārijs</w:t>
            </w:r>
          </w:p>
        </w:tc>
        <w:tc>
          <w:tcPr>
            <w:tcW w:w="2763" w:type="dxa"/>
            <w:gridSpan w:val="5"/>
            <w:shd w:val="clear" w:color="auto" w:fill="9CC2E5"/>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Novirze no bāzes scenārija</w:t>
            </w:r>
          </w:p>
        </w:tc>
      </w:tr>
      <w:tr w:rsidR="00EF1D74" w:rsidRPr="00EF1D74" w:rsidTr="00EF1D74">
        <w:trPr>
          <w:gridAfter w:val="1"/>
          <w:wAfter w:w="15" w:type="dxa"/>
          <w:trHeight w:val="221"/>
          <w:jc w:val="center"/>
        </w:trPr>
        <w:tc>
          <w:tcPr>
            <w:tcW w:w="2962" w:type="dxa"/>
            <w:shd w:val="clear" w:color="auto" w:fill="9CC2E5"/>
            <w:vAlign w:val="center"/>
            <w:hideMark/>
          </w:tcPr>
          <w:p w:rsidR="00EF1D74" w:rsidRPr="00EF1D74" w:rsidRDefault="00EF1D74" w:rsidP="00EF1D74">
            <w:pPr>
              <w:spacing w:after="0"/>
              <w:ind w:firstLine="0"/>
              <w:jc w:val="left"/>
              <w:rPr>
                <w:sz w:val="18"/>
                <w:szCs w:val="18"/>
                <w:lang w:eastAsia="lv-LV"/>
              </w:rPr>
            </w:pPr>
          </w:p>
        </w:tc>
        <w:tc>
          <w:tcPr>
            <w:tcW w:w="848" w:type="dxa"/>
            <w:shd w:val="clear" w:color="auto" w:fill="9CC2E5"/>
            <w:tcMar>
              <w:left w:w="57" w:type="dxa"/>
              <w:right w:w="57" w:type="dxa"/>
            </w:tcMar>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2020</w:t>
            </w:r>
          </w:p>
        </w:tc>
        <w:tc>
          <w:tcPr>
            <w:tcW w:w="847" w:type="dxa"/>
            <w:shd w:val="clear" w:color="auto" w:fill="9CC2E5"/>
            <w:tcMar>
              <w:left w:w="57" w:type="dxa"/>
              <w:right w:w="57" w:type="dxa"/>
            </w:tcMar>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2021</w:t>
            </w:r>
          </w:p>
        </w:tc>
        <w:tc>
          <w:tcPr>
            <w:tcW w:w="848" w:type="dxa"/>
            <w:shd w:val="clear" w:color="auto" w:fill="9CC2E5"/>
            <w:tcMar>
              <w:left w:w="57" w:type="dxa"/>
              <w:right w:w="57" w:type="dxa"/>
            </w:tcMar>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2022</w:t>
            </w:r>
          </w:p>
        </w:tc>
        <w:tc>
          <w:tcPr>
            <w:tcW w:w="847" w:type="dxa"/>
            <w:shd w:val="clear" w:color="auto" w:fill="9CC2E5"/>
            <w:tcMar>
              <w:left w:w="57" w:type="dxa"/>
              <w:right w:w="57" w:type="dxa"/>
            </w:tcMar>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2023</w:t>
            </w:r>
          </w:p>
        </w:tc>
        <w:tc>
          <w:tcPr>
            <w:tcW w:w="706" w:type="dxa"/>
            <w:shd w:val="clear" w:color="auto" w:fill="9CC2E5"/>
            <w:tcMar>
              <w:left w:w="57" w:type="dxa"/>
              <w:right w:w="57" w:type="dxa"/>
            </w:tcMar>
            <w:vAlign w:val="center"/>
            <w:hideMark/>
          </w:tcPr>
          <w:p w:rsidR="00EF1D74" w:rsidRPr="00EF1D74" w:rsidRDefault="00EF1D74" w:rsidP="00EF1D74">
            <w:pPr>
              <w:spacing w:after="0"/>
              <w:ind w:firstLine="0"/>
              <w:jc w:val="center"/>
              <w:rPr>
                <w:b/>
                <w:sz w:val="18"/>
                <w:szCs w:val="18"/>
                <w:lang w:eastAsia="lv-LV"/>
              </w:rPr>
            </w:pPr>
            <w:r w:rsidRPr="00EF1D74">
              <w:rPr>
                <w:b/>
                <w:sz w:val="18"/>
                <w:szCs w:val="18"/>
                <w:lang w:eastAsia="lv-LV"/>
              </w:rPr>
              <w:t>2020</w:t>
            </w:r>
          </w:p>
        </w:tc>
        <w:tc>
          <w:tcPr>
            <w:tcW w:w="706" w:type="dxa"/>
            <w:shd w:val="clear" w:color="auto" w:fill="9CC2E5"/>
            <w:tcMar>
              <w:left w:w="57" w:type="dxa"/>
              <w:right w:w="57" w:type="dxa"/>
            </w:tcMar>
            <w:vAlign w:val="center"/>
            <w:hideMark/>
          </w:tcPr>
          <w:p w:rsidR="00EF1D74" w:rsidRPr="00EF1D74" w:rsidRDefault="00EF1D74" w:rsidP="00EF1D74">
            <w:pPr>
              <w:spacing w:after="0"/>
              <w:ind w:firstLine="0"/>
              <w:jc w:val="center"/>
              <w:rPr>
                <w:b/>
                <w:sz w:val="18"/>
                <w:szCs w:val="18"/>
                <w:lang w:eastAsia="lv-LV"/>
              </w:rPr>
            </w:pPr>
            <w:r w:rsidRPr="00EF1D74">
              <w:rPr>
                <w:b/>
                <w:sz w:val="18"/>
                <w:szCs w:val="18"/>
                <w:lang w:eastAsia="lv-LV"/>
              </w:rPr>
              <w:t>2021</w:t>
            </w:r>
          </w:p>
        </w:tc>
        <w:tc>
          <w:tcPr>
            <w:tcW w:w="705" w:type="dxa"/>
            <w:shd w:val="clear" w:color="auto" w:fill="9CC2E5"/>
            <w:tcMar>
              <w:left w:w="57" w:type="dxa"/>
              <w:right w:w="57" w:type="dxa"/>
            </w:tcMar>
            <w:vAlign w:val="center"/>
          </w:tcPr>
          <w:p w:rsidR="00EF1D74" w:rsidRPr="00EF1D74" w:rsidRDefault="00EF1D74" w:rsidP="00EF1D74">
            <w:pPr>
              <w:spacing w:after="0"/>
              <w:ind w:firstLine="0"/>
              <w:jc w:val="center"/>
              <w:rPr>
                <w:b/>
                <w:sz w:val="18"/>
                <w:szCs w:val="18"/>
                <w:lang w:eastAsia="lv-LV"/>
              </w:rPr>
            </w:pPr>
            <w:r w:rsidRPr="00EF1D74">
              <w:rPr>
                <w:b/>
                <w:sz w:val="18"/>
                <w:szCs w:val="18"/>
                <w:lang w:eastAsia="lv-LV"/>
              </w:rPr>
              <w:t>2022</w:t>
            </w:r>
          </w:p>
        </w:tc>
        <w:tc>
          <w:tcPr>
            <w:tcW w:w="631" w:type="dxa"/>
            <w:shd w:val="clear" w:color="auto" w:fill="9CC2E5"/>
            <w:tcMar>
              <w:left w:w="57" w:type="dxa"/>
              <w:right w:w="57" w:type="dxa"/>
            </w:tcMar>
            <w:vAlign w:val="center"/>
            <w:hideMark/>
          </w:tcPr>
          <w:p w:rsidR="00EF1D74" w:rsidRPr="00EF1D74" w:rsidRDefault="00EF1D74" w:rsidP="00EF1D74">
            <w:pPr>
              <w:spacing w:after="0"/>
              <w:ind w:firstLine="0"/>
              <w:jc w:val="center"/>
              <w:rPr>
                <w:b/>
                <w:sz w:val="18"/>
                <w:szCs w:val="18"/>
                <w:lang w:eastAsia="lv-LV"/>
              </w:rPr>
            </w:pPr>
            <w:r w:rsidRPr="00EF1D74">
              <w:rPr>
                <w:b/>
                <w:sz w:val="18"/>
                <w:szCs w:val="18"/>
                <w:lang w:eastAsia="lv-LV"/>
              </w:rPr>
              <w:t>2023</w:t>
            </w:r>
          </w:p>
        </w:tc>
      </w:tr>
      <w:tr w:rsidR="00EF1D74" w:rsidRPr="00EF1D74" w:rsidTr="0057436F">
        <w:trPr>
          <w:gridAfter w:val="1"/>
          <w:wAfter w:w="15" w:type="dxa"/>
          <w:trHeight w:val="367"/>
          <w:jc w:val="center"/>
        </w:trPr>
        <w:tc>
          <w:tcPr>
            <w:tcW w:w="2962" w:type="dxa"/>
            <w:shd w:val="clear" w:color="auto" w:fill="auto"/>
            <w:vAlign w:val="center"/>
          </w:tcPr>
          <w:p w:rsidR="00EF1D74" w:rsidRPr="00EF1D74" w:rsidRDefault="00EF1D74" w:rsidP="00EF1D74">
            <w:pPr>
              <w:spacing w:after="0"/>
              <w:ind w:firstLine="0"/>
              <w:jc w:val="left"/>
              <w:rPr>
                <w:b/>
                <w:sz w:val="18"/>
                <w:szCs w:val="18"/>
                <w:lang w:eastAsia="lv-LV"/>
              </w:rPr>
            </w:pPr>
            <w:r w:rsidRPr="00EF1D74">
              <w:rPr>
                <w:b/>
                <w:sz w:val="18"/>
                <w:szCs w:val="18"/>
                <w:lang w:eastAsia="lv-LV"/>
              </w:rPr>
              <w:t>Vispārējās valdības budžeta bilance</w:t>
            </w:r>
            <w:r w:rsidRPr="00EF1D74">
              <w:rPr>
                <w:b/>
                <w:sz w:val="18"/>
                <w:szCs w:val="18"/>
                <w:vertAlign w:val="superscript"/>
                <w:lang w:eastAsia="lv-LV"/>
              </w:rPr>
              <w:footnoteReference w:id="9"/>
            </w:r>
            <w:r w:rsidRPr="00EF1D74">
              <w:rPr>
                <w:b/>
                <w:sz w:val="18"/>
                <w:szCs w:val="18"/>
                <w:lang w:eastAsia="lv-LV"/>
              </w:rPr>
              <w:t>, % no IKP</w:t>
            </w:r>
          </w:p>
        </w:tc>
        <w:tc>
          <w:tcPr>
            <w:tcW w:w="848" w:type="dxa"/>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-8,3</w:t>
            </w:r>
          </w:p>
        </w:tc>
        <w:tc>
          <w:tcPr>
            <w:tcW w:w="847" w:type="dxa"/>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-5,8</w:t>
            </w:r>
          </w:p>
        </w:tc>
        <w:tc>
          <w:tcPr>
            <w:tcW w:w="848" w:type="dxa"/>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-4,3</w:t>
            </w:r>
          </w:p>
        </w:tc>
        <w:tc>
          <w:tcPr>
            <w:tcW w:w="847" w:type="dxa"/>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-3,0</w:t>
            </w:r>
          </w:p>
        </w:tc>
        <w:tc>
          <w:tcPr>
            <w:tcW w:w="706" w:type="dxa"/>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-0,7</w:t>
            </w:r>
          </w:p>
        </w:tc>
        <w:tc>
          <w:tcPr>
            <w:tcW w:w="706"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b/>
                <w:sz w:val="18"/>
                <w:szCs w:val="18"/>
                <w:lang w:eastAsia="lv-LV"/>
              </w:rPr>
            </w:pPr>
            <w:r w:rsidRPr="00EF1D74">
              <w:rPr>
                <w:b/>
                <w:sz w:val="18"/>
                <w:szCs w:val="18"/>
                <w:lang w:eastAsia="lv-LV"/>
              </w:rPr>
              <w:t>-1,9</w:t>
            </w:r>
          </w:p>
        </w:tc>
        <w:tc>
          <w:tcPr>
            <w:tcW w:w="705"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b/>
                <w:sz w:val="18"/>
                <w:szCs w:val="18"/>
                <w:lang w:eastAsia="lv-LV"/>
              </w:rPr>
            </w:pPr>
            <w:r w:rsidRPr="00EF1D74">
              <w:rPr>
                <w:b/>
                <w:sz w:val="18"/>
                <w:szCs w:val="18"/>
                <w:lang w:eastAsia="lv-LV"/>
              </w:rPr>
              <w:t>-1,5</w:t>
            </w:r>
          </w:p>
        </w:tc>
        <w:tc>
          <w:tcPr>
            <w:tcW w:w="631"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b/>
                <w:sz w:val="18"/>
                <w:szCs w:val="18"/>
                <w:lang w:eastAsia="lv-LV"/>
              </w:rPr>
            </w:pPr>
            <w:r w:rsidRPr="00EF1D74">
              <w:rPr>
                <w:b/>
                <w:sz w:val="18"/>
                <w:szCs w:val="18"/>
                <w:lang w:eastAsia="lv-LV"/>
              </w:rPr>
              <w:t>-1,3</w:t>
            </w:r>
          </w:p>
        </w:tc>
      </w:tr>
      <w:tr w:rsidR="00EF1D74" w:rsidRPr="00EF1D74" w:rsidTr="0057436F">
        <w:trPr>
          <w:gridAfter w:val="1"/>
          <w:wAfter w:w="15" w:type="dxa"/>
          <w:trHeight w:val="367"/>
          <w:jc w:val="center"/>
        </w:trPr>
        <w:tc>
          <w:tcPr>
            <w:tcW w:w="2962" w:type="dxa"/>
            <w:shd w:val="clear" w:color="auto" w:fill="auto"/>
            <w:vAlign w:val="center"/>
          </w:tcPr>
          <w:p w:rsidR="00EF1D74" w:rsidRPr="00EF1D74" w:rsidRDefault="00EF1D74" w:rsidP="00EF1D74">
            <w:pPr>
              <w:spacing w:after="0"/>
              <w:ind w:firstLine="0"/>
              <w:jc w:val="left"/>
              <w:rPr>
                <w:sz w:val="18"/>
                <w:szCs w:val="18"/>
                <w:lang w:eastAsia="lv-LV"/>
              </w:rPr>
            </w:pPr>
            <w:r w:rsidRPr="00EF1D74">
              <w:rPr>
                <w:sz w:val="18"/>
                <w:szCs w:val="18"/>
                <w:lang w:eastAsia="lv-LV"/>
              </w:rPr>
              <w:t>Vispārējās valdības budžeta bilance</w:t>
            </w:r>
          </w:p>
        </w:tc>
        <w:tc>
          <w:tcPr>
            <w:tcW w:w="848"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-2 278,6</w:t>
            </w:r>
          </w:p>
        </w:tc>
        <w:tc>
          <w:tcPr>
            <w:tcW w:w="847"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-1 646,8</w:t>
            </w:r>
          </w:p>
        </w:tc>
        <w:tc>
          <w:tcPr>
            <w:tcW w:w="848"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-1 281,7</w:t>
            </w:r>
          </w:p>
        </w:tc>
        <w:tc>
          <w:tcPr>
            <w:tcW w:w="847"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-951,3</w:t>
            </w:r>
          </w:p>
        </w:tc>
        <w:tc>
          <w:tcPr>
            <w:tcW w:w="706"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-134,9</w:t>
            </w:r>
          </w:p>
        </w:tc>
        <w:tc>
          <w:tcPr>
            <w:tcW w:w="706"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-461,9</w:t>
            </w:r>
          </w:p>
        </w:tc>
        <w:tc>
          <w:tcPr>
            <w:tcW w:w="705"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-404,8</w:t>
            </w:r>
          </w:p>
        </w:tc>
        <w:tc>
          <w:tcPr>
            <w:tcW w:w="631"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-387,6</w:t>
            </w:r>
          </w:p>
        </w:tc>
      </w:tr>
      <w:tr w:rsidR="00EF1D74" w:rsidRPr="00EF1D74" w:rsidTr="0057436F">
        <w:trPr>
          <w:gridAfter w:val="1"/>
          <w:wAfter w:w="15" w:type="dxa"/>
          <w:trHeight w:val="400"/>
          <w:jc w:val="center"/>
        </w:trPr>
        <w:tc>
          <w:tcPr>
            <w:tcW w:w="2962" w:type="dxa"/>
            <w:shd w:val="clear" w:color="auto" w:fill="auto"/>
            <w:vAlign w:val="center"/>
          </w:tcPr>
          <w:p w:rsidR="00EF1D74" w:rsidRPr="00EF1D74" w:rsidRDefault="00EF1D74" w:rsidP="00EF1D74">
            <w:pPr>
              <w:spacing w:after="0"/>
              <w:ind w:left="166" w:firstLine="0"/>
              <w:jc w:val="left"/>
              <w:rPr>
                <w:sz w:val="18"/>
                <w:szCs w:val="18"/>
                <w:lang w:eastAsia="lv-LV"/>
              </w:rPr>
            </w:pPr>
            <w:r w:rsidRPr="00EF1D74">
              <w:rPr>
                <w:sz w:val="18"/>
                <w:szCs w:val="18"/>
                <w:lang w:eastAsia="lv-LV"/>
              </w:rPr>
              <w:t>Nodokļu ieņēmumi</w:t>
            </w:r>
          </w:p>
        </w:tc>
        <w:tc>
          <w:tcPr>
            <w:tcW w:w="848"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8 530,9</w:t>
            </w:r>
          </w:p>
        </w:tc>
        <w:tc>
          <w:tcPr>
            <w:tcW w:w="847" w:type="dxa"/>
            <w:shd w:val="clear" w:color="auto" w:fill="auto"/>
            <w:tcMar>
              <w:left w:w="57" w:type="dxa"/>
              <w:right w:w="57" w:type="dxa"/>
            </w:tcMar>
            <w:vAlign w:val="center"/>
          </w:tcPr>
          <w:p w:rsidR="00EF1D74" w:rsidRPr="00EF1D74" w:rsidRDefault="00315EA8" w:rsidP="00EF1D74">
            <w:pPr>
              <w:spacing w:after="0"/>
              <w:ind w:firstLine="0"/>
              <w:jc w:val="right"/>
              <w:rPr>
                <w:sz w:val="18"/>
                <w:szCs w:val="18"/>
                <w:lang w:eastAsia="lv-LV"/>
              </w:rPr>
            </w:pPr>
            <w:r>
              <w:rPr>
                <w:sz w:val="18"/>
                <w:szCs w:val="18"/>
                <w:lang w:eastAsia="lv-LV"/>
              </w:rPr>
              <w:t>8 898</w:t>
            </w:r>
            <w:r w:rsidR="00EF1D74" w:rsidRPr="00EF1D74">
              <w:rPr>
                <w:sz w:val="18"/>
                <w:szCs w:val="18"/>
                <w:lang w:eastAsia="lv-LV"/>
              </w:rPr>
              <w:t>,6</w:t>
            </w:r>
          </w:p>
        </w:tc>
        <w:tc>
          <w:tcPr>
            <w:tcW w:w="848" w:type="dxa"/>
            <w:shd w:val="clear" w:color="auto" w:fill="auto"/>
            <w:tcMar>
              <w:left w:w="57" w:type="dxa"/>
              <w:right w:w="57" w:type="dxa"/>
            </w:tcMar>
            <w:vAlign w:val="center"/>
          </w:tcPr>
          <w:p w:rsidR="00EF1D74" w:rsidRPr="00EF1D74" w:rsidRDefault="00315EA8" w:rsidP="00EF1D74">
            <w:pPr>
              <w:spacing w:after="0"/>
              <w:ind w:firstLine="0"/>
              <w:jc w:val="right"/>
              <w:rPr>
                <w:sz w:val="18"/>
                <w:szCs w:val="18"/>
                <w:lang w:eastAsia="lv-LV"/>
              </w:rPr>
            </w:pPr>
            <w:r>
              <w:rPr>
                <w:sz w:val="18"/>
                <w:szCs w:val="18"/>
                <w:lang w:eastAsia="lv-LV"/>
              </w:rPr>
              <w:t>9 601</w:t>
            </w:r>
            <w:r w:rsidR="00EF1D74" w:rsidRPr="00EF1D74">
              <w:rPr>
                <w:sz w:val="18"/>
                <w:szCs w:val="18"/>
                <w:lang w:eastAsia="lv-LV"/>
              </w:rPr>
              <w:t>,7</w:t>
            </w:r>
          </w:p>
        </w:tc>
        <w:tc>
          <w:tcPr>
            <w:tcW w:w="847"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 xml:space="preserve">10 </w:t>
            </w:r>
            <w:r w:rsidR="00315EA8">
              <w:rPr>
                <w:sz w:val="18"/>
                <w:szCs w:val="18"/>
                <w:lang w:eastAsia="lv-LV"/>
              </w:rPr>
              <w:t>145</w:t>
            </w:r>
            <w:r w:rsidRPr="00EF1D74">
              <w:rPr>
                <w:sz w:val="18"/>
                <w:szCs w:val="18"/>
                <w:lang w:eastAsia="lv-LV"/>
              </w:rPr>
              <w:t>,3</w:t>
            </w:r>
          </w:p>
        </w:tc>
        <w:tc>
          <w:tcPr>
            <w:tcW w:w="706"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-134,9</w:t>
            </w:r>
          </w:p>
        </w:tc>
        <w:tc>
          <w:tcPr>
            <w:tcW w:w="706"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-441,9</w:t>
            </w:r>
          </w:p>
        </w:tc>
        <w:tc>
          <w:tcPr>
            <w:tcW w:w="705"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-385,2</w:t>
            </w:r>
          </w:p>
        </w:tc>
        <w:tc>
          <w:tcPr>
            <w:tcW w:w="631"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-365,0</w:t>
            </w:r>
          </w:p>
        </w:tc>
      </w:tr>
      <w:tr w:rsidR="00EF1D74" w:rsidRPr="00EF1D74" w:rsidTr="0057436F">
        <w:trPr>
          <w:gridAfter w:val="1"/>
          <w:wAfter w:w="15" w:type="dxa"/>
          <w:trHeight w:val="367"/>
          <w:jc w:val="center"/>
        </w:trPr>
        <w:tc>
          <w:tcPr>
            <w:tcW w:w="2962" w:type="dxa"/>
            <w:shd w:val="clear" w:color="auto" w:fill="auto"/>
            <w:vAlign w:val="center"/>
          </w:tcPr>
          <w:p w:rsidR="00EF1D74" w:rsidRPr="00EF1D74" w:rsidRDefault="00EF1D74" w:rsidP="00EF1D74">
            <w:pPr>
              <w:spacing w:after="0"/>
              <w:ind w:left="166" w:firstLine="0"/>
              <w:jc w:val="left"/>
              <w:rPr>
                <w:noProof/>
                <w:sz w:val="18"/>
                <w:szCs w:val="18"/>
                <w:lang w:eastAsia="lv-LV"/>
              </w:rPr>
            </w:pPr>
            <w:r w:rsidRPr="00EF1D74">
              <w:rPr>
                <w:noProof/>
                <w:sz w:val="18"/>
                <w:szCs w:val="18"/>
                <w:lang w:eastAsia="lv-LV"/>
              </w:rPr>
              <w:t>Nenodokļu ieņēmumi</w:t>
            </w:r>
          </w:p>
        </w:tc>
        <w:tc>
          <w:tcPr>
            <w:tcW w:w="848"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648,9</w:t>
            </w:r>
          </w:p>
        </w:tc>
        <w:tc>
          <w:tcPr>
            <w:tcW w:w="847"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545,1</w:t>
            </w:r>
          </w:p>
        </w:tc>
        <w:tc>
          <w:tcPr>
            <w:tcW w:w="848"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520,3</w:t>
            </w:r>
          </w:p>
        </w:tc>
        <w:tc>
          <w:tcPr>
            <w:tcW w:w="847"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bookmarkStart w:id="5" w:name="_GoBack"/>
            <w:bookmarkEnd w:id="5"/>
            <w:r w:rsidRPr="00EF1D74">
              <w:rPr>
                <w:sz w:val="18"/>
                <w:szCs w:val="18"/>
                <w:lang w:eastAsia="lv-LV"/>
              </w:rPr>
              <w:t>514,0</w:t>
            </w:r>
          </w:p>
        </w:tc>
        <w:tc>
          <w:tcPr>
            <w:tcW w:w="706" w:type="dxa"/>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0,0</w:t>
            </w:r>
          </w:p>
        </w:tc>
        <w:tc>
          <w:tcPr>
            <w:tcW w:w="706"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-19,8</w:t>
            </w:r>
          </w:p>
        </w:tc>
        <w:tc>
          <w:tcPr>
            <w:tcW w:w="705"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-15,6</w:t>
            </w:r>
          </w:p>
        </w:tc>
        <w:tc>
          <w:tcPr>
            <w:tcW w:w="631" w:type="dxa"/>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-15,7</w:t>
            </w:r>
          </w:p>
        </w:tc>
      </w:tr>
      <w:tr w:rsidR="00EF1D74" w:rsidRPr="00EF1D74" w:rsidTr="0057436F">
        <w:trPr>
          <w:gridAfter w:val="1"/>
          <w:wAfter w:w="15" w:type="dxa"/>
          <w:trHeight w:val="287"/>
          <w:jc w:val="center"/>
        </w:trPr>
        <w:tc>
          <w:tcPr>
            <w:tcW w:w="2962" w:type="dxa"/>
            <w:tcBorders>
              <w:bottom w:val="double" w:sz="4" w:space="0" w:color="auto"/>
            </w:tcBorders>
            <w:shd w:val="clear" w:color="auto" w:fill="auto"/>
            <w:vAlign w:val="center"/>
          </w:tcPr>
          <w:p w:rsidR="00EF1D74" w:rsidRPr="00EF1D74" w:rsidRDefault="00EF1D74" w:rsidP="00EF1D74">
            <w:pPr>
              <w:spacing w:after="0"/>
              <w:ind w:left="166" w:firstLine="0"/>
              <w:jc w:val="left"/>
              <w:rPr>
                <w:noProof/>
                <w:sz w:val="18"/>
                <w:szCs w:val="18"/>
                <w:lang w:eastAsia="lv-LV"/>
              </w:rPr>
            </w:pPr>
            <w:r w:rsidRPr="00EF1D74">
              <w:rPr>
                <w:noProof/>
                <w:sz w:val="18"/>
                <w:szCs w:val="18"/>
                <w:lang w:eastAsia="lv-LV"/>
              </w:rPr>
              <w:t>Procentu izdevumi</w:t>
            </w:r>
          </w:p>
        </w:tc>
        <w:tc>
          <w:tcPr>
            <w:tcW w:w="848"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263,2</w:t>
            </w:r>
          </w:p>
        </w:tc>
        <w:tc>
          <w:tcPr>
            <w:tcW w:w="847"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268,7</w:t>
            </w:r>
          </w:p>
        </w:tc>
        <w:tc>
          <w:tcPr>
            <w:tcW w:w="848"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246,2</w:t>
            </w:r>
          </w:p>
        </w:tc>
        <w:tc>
          <w:tcPr>
            <w:tcW w:w="847"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246,8</w:t>
            </w:r>
          </w:p>
        </w:tc>
        <w:tc>
          <w:tcPr>
            <w:tcW w:w="706"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0,0</w:t>
            </w:r>
          </w:p>
        </w:tc>
        <w:tc>
          <w:tcPr>
            <w:tcW w:w="706"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0,2</w:t>
            </w:r>
          </w:p>
        </w:tc>
        <w:tc>
          <w:tcPr>
            <w:tcW w:w="705"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4,0</w:t>
            </w:r>
          </w:p>
        </w:tc>
        <w:tc>
          <w:tcPr>
            <w:tcW w:w="631"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6,9</w:t>
            </w:r>
          </w:p>
        </w:tc>
      </w:tr>
      <w:tr w:rsidR="00EF1D74" w:rsidRPr="00EF1D74" w:rsidTr="0057436F">
        <w:trPr>
          <w:gridAfter w:val="1"/>
          <w:wAfter w:w="15" w:type="dxa"/>
          <w:trHeight w:val="579"/>
          <w:jc w:val="center"/>
        </w:trPr>
        <w:tc>
          <w:tcPr>
            <w:tcW w:w="2962" w:type="dxa"/>
            <w:tcBorders>
              <w:top w:val="double" w:sz="4" w:space="0" w:color="auto"/>
              <w:left w:val="single" w:sz="4" w:space="0" w:color="auto"/>
            </w:tcBorders>
            <w:shd w:val="clear" w:color="auto" w:fill="auto"/>
            <w:vAlign w:val="center"/>
          </w:tcPr>
          <w:p w:rsidR="00EF1D74" w:rsidRPr="00EF1D74" w:rsidRDefault="00EF1D74" w:rsidP="00EF1D74">
            <w:pPr>
              <w:spacing w:after="0"/>
              <w:ind w:firstLine="0"/>
              <w:jc w:val="left"/>
              <w:rPr>
                <w:noProof/>
                <w:sz w:val="18"/>
                <w:szCs w:val="18"/>
                <w:lang w:eastAsia="lv-LV"/>
              </w:rPr>
            </w:pPr>
            <w:r w:rsidRPr="00EF1D74">
              <w:rPr>
                <w:noProof/>
                <w:sz w:val="18"/>
                <w:szCs w:val="18"/>
                <w:lang w:eastAsia="lv-LV"/>
              </w:rPr>
              <w:t xml:space="preserve">   Procentu izdevumi</w:t>
            </w:r>
            <w:r w:rsidRPr="00EF1D74">
              <w:rPr>
                <w:noProof/>
                <w:sz w:val="18"/>
                <w:szCs w:val="18"/>
                <w:lang w:eastAsia="lv-LV"/>
              </w:rPr>
              <w:br/>
              <w:t xml:space="preserve">  (% likmes paliel. par 1 pp)</w:t>
            </w:r>
          </w:p>
        </w:tc>
        <w:tc>
          <w:tcPr>
            <w:tcW w:w="848"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263,2</w:t>
            </w:r>
          </w:p>
        </w:tc>
        <w:tc>
          <w:tcPr>
            <w:tcW w:w="847"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272,1</w:t>
            </w:r>
          </w:p>
        </w:tc>
        <w:tc>
          <w:tcPr>
            <w:tcW w:w="848"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273,9</w:t>
            </w:r>
          </w:p>
        </w:tc>
        <w:tc>
          <w:tcPr>
            <w:tcW w:w="847"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297,3</w:t>
            </w:r>
          </w:p>
        </w:tc>
        <w:tc>
          <w:tcPr>
            <w:tcW w:w="706"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0,0</w:t>
            </w:r>
          </w:p>
        </w:tc>
        <w:tc>
          <w:tcPr>
            <w:tcW w:w="706"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3,6</w:t>
            </w:r>
          </w:p>
        </w:tc>
        <w:tc>
          <w:tcPr>
            <w:tcW w:w="705"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31,7</w:t>
            </w:r>
          </w:p>
        </w:tc>
        <w:tc>
          <w:tcPr>
            <w:tcW w:w="631" w:type="dxa"/>
            <w:tcBorders>
              <w:top w:val="double" w:sz="4" w:space="0" w:color="auto"/>
              <w:right w:val="sing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57,4</w:t>
            </w:r>
          </w:p>
        </w:tc>
      </w:tr>
      <w:tr w:rsidR="00EF1D74" w:rsidRPr="00EF1D74" w:rsidTr="0057436F">
        <w:trPr>
          <w:gridAfter w:val="1"/>
          <w:wAfter w:w="15" w:type="dxa"/>
          <w:trHeight w:val="579"/>
          <w:jc w:val="center"/>
        </w:trPr>
        <w:tc>
          <w:tcPr>
            <w:tcW w:w="2962" w:type="dxa"/>
            <w:tcBorders>
              <w:left w:val="single" w:sz="4" w:space="0" w:color="auto"/>
              <w:bottom w:val="double" w:sz="4" w:space="0" w:color="auto"/>
            </w:tcBorders>
            <w:shd w:val="clear" w:color="auto" w:fill="auto"/>
            <w:vAlign w:val="center"/>
          </w:tcPr>
          <w:p w:rsidR="00EF1D74" w:rsidRPr="00EF1D74" w:rsidRDefault="00EF1D74" w:rsidP="00EF1D74">
            <w:pPr>
              <w:spacing w:after="0"/>
              <w:ind w:firstLine="0"/>
              <w:jc w:val="left"/>
              <w:rPr>
                <w:rFonts w:eastAsia="Calibri"/>
                <w:noProof/>
                <w:sz w:val="18"/>
                <w:szCs w:val="18"/>
              </w:rPr>
            </w:pPr>
            <w:r w:rsidRPr="00EF1D74">
              <w:rPr>
                <w:noProof/>
                <w:sz w:val="18"/>
                <w:szCs w:val="18"/>
                <w:lang w:eastAsia="lv-LV"/>
              </w:rPr>
              <w:lastRenderedPageBreak/>
              <w:t xml:space="preserve">   Procentu izdevumi</w:t>
            </w:r>
            <w:r w:rsidRPr="00EF1D74">
              <w:rPr>
                <w:noProof/>
                <w:sz w:val="18"/>
                <w:szCs w:val="18"/>
                <w:lang w:eastAsia="lv-LV"/>
              </w:rPr>
              <w:br/>
              <w:t xml:space="preserve">   (% likmes samaz. par 1 pp)</w:t>
            </w:r>
          </w:p>
        </w:tc>
        <w:tc>
          <w:tcPr>
            <w:tcW w:w="848"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263,2</w:t>
            </w:r>
          </w:p>
        </w:tc>
        <w:tc>
          <w:tcPr>
            <w:tcW w:w="847"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268,3</w:t>
            </w:r>
          </w:p>
        </w:tc>
        <w:tc>
          <w:tcPr>
            <w:tcW w:w="848"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224,1</w:t>
            </w:r>
          </w:p>
        </w:tc>
        <w:tc>
          <w:tcPr>
            <w:tcW w:w="847"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208,7</w:t>
            </w:r>
          </w:p>
        </w:tc>
        <w:tc>
          <w:tcPr>
            <w:tcW w:w="706"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sz w:val="18"/>
                <w:szCs w:val="18"/>
                <w:lang w:eastAsia="lv-LV"/>
              </w:rPr>
            </w:pPr>
            <w:r w:rsidRPr="00EF1D74">
              <w:rPr>
                <w:sz w:val="18"/>
                <w:szCs w:val="18"/>
                <w:lang w:eastAsia="lv-LV"/>
              </w:rPr>
              <w:t>0,0</w:t>
            </w:r>
          </w:p>
        </w:tc>
        <w:tc>
          <w:tcPr>
            <w:tcW w:w="706"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-0,2</w:t>
            </w:r>
          </w:p>
        </w:tc>
        <w:tc>
          <w:tcPr>
            <w:tcW w:w="705" w:type="dxa"/>
            <w:tcBorders>
              <w:bottom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-18,1</w:t>
            </w:r>
          </w:p>
        </w:tc>
        <w:tc>
          <w:tcPr>
            <w:tcW w:w="631" w:type="dxa"/>
            <w:tcBorders>
              <w:bottom w:val="double" w:sz="4" w:space="0" w:color="auto"/>
              <w:right w:val="sing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sz w:val="18"/>
                <w:szCs w:val="18"/>
                <w:lang w:eastAsia="lv-LV"/>
              </w:rPr>
            </w:pPr>
            <w:r w:rsidRPr="00EF1D74">
              <w:rPr>
                <w:sz w:val="18"/>
                <w:szCs w:val="18"/>
                <w:lang w:eastAsia="lv-LV"/>
              </w:rPr>
              <w:t>-31,2</w:t>
            </w:r>
          </w:p>
        </w:tc>
      </w:tr>
      <w:tr w:rsidR="00EF1D74" w:rsidRPr="00EF1D74" w:rsidTr="0057436F">
        <w:trPr>
          <w:gridAfter w:val="1"/>
          <w:wAfter w:w="15" w:type="dxa"/>
          <w:trHeight w:val="579"/>
          <w:jc w:val="center"/>
        </w:trPr>
        <w:tc>
          <w:tcPr>
            <w:tcW w:w="2962" w:type="dxa"/>
            <w:tcBorders>
              <w:top w:val="double" w:sz="4" w:space="0" w:color="auto"/>
            </w:tcBorders>
            <w:shd w:val="clear" w:color="auto" w:fill="auto"/>
            <w:vAlign w:val="center"/>
          </w:tcPr>
          <w:p w:rsidR="00EF1D74" w:rsidRPr="00EF1D74" w:rsidRDefault="00EF1D74" w:rsidP="00EF1D74">
            <w:pPr>
              <w:spacing w:after="0"/>
              <w:ind w:firstLine="0"/>
              <w:jc w:val="left"/>
              <w:rPr>
                <w:b/>
                <w:noProof/>
                <w:sz w:val="18"/>
                <w:szCs w:val="18"/>
                <w:lang w:eastAsia="lv-LV"/>
              </w:rPr>
            </w:pPr>
            <w:r w:rsidRPr="00EF1D74">
              <w:rPr>
                <w:b/>
                <w:noProof/>
                <w:sz w:val="18"/>
                <w:szCs w:val="18"/>
                <w:lang w:eastAsia="lv-LV"/>
              </w:rPr>
              <w:t>Vispārējās valdības parāds,</w:t>
            </w:r>
            <w:r w:rsidRPr="00EF1D74">
              <w:rPr>
                <w:b/>
                <w:noProof/>
                <w:sz w:val="18"/>
                <w:szCs w:val="18"/>
                <w:lang w:eastAsia="lv-LV"/>
              </w:rPr>
              <w:br/>
              <w:t xml:space="preserve">% no IKP </w:t>
            </w:r>
          </w:p>
        </w:tc>
        <w:tc>
          <w:tcPr>
            <w:tcW w:w="848"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48,9</w:t>
            </w:r>
          </w:p>
        </w:tc>
        <w:tc>
          <w:tcPr>
            <w:tcW w:w="847"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50,7</w:t>
            </w:r>
          </w:p>
        </w:tc>
        <w:tc>
          <w:tcPr>
            <w:tcW w:w="848"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51,2</w:t>
            </w:r>
          </w:p>
        </w:tc>
        <w:tc>
          <w:tcPr>
            <w:tcW w:w="847"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50,7</w:t>
            </w:r>
          </w:p>
        </w:tc>
        <w:tc>
          <w:tcPr>
            <w:tcW w:w="706"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ind w:firstLine="0"/>
              <w:jc w:val="right"/>
              <w:rPr>
                <w:b/>
                <w:sz w:val="18"/>
                <w:szCs w:val="18"/>
                <w:lang w:eastAsia="lv-LV"/>
              </w:rPr>
            </w:pPr>
            <w:r w:rsidRPr="00EF1D74">
              <w:rPr>
                <w:b/>
                <w:sz w:val="18"/>
                <w:szCs w:val="18"/>
                <w:lang w:eastAsia="lv-LV"/>
              </w:rPr>
              <w:t>1,6</w:t>
            </w:r>
          </w:p>
        </w:tc>
        <w:tc>
          <w:tcPr>
            <w:tcW w:w="706"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b/>
                <w:sz w:val="18"/>
                <w:szCs w:val="18"/>
                <w:lang w:eastAsia="lv-LV"/>
              </w:rPr>
            </w:pPr>
            <w:r w:rsidRPr="00EF1D74">
              <w:rPr>
                <w:b/>
                <w:sz w:val="18"/>
                <w:szCs w:val="18"/>
                <w:lang w:eastAsia="lv-LV"/>
              </w:rPr>
              <w:t>4,7</w:t>
            </w:r>
          </w:p>
        </w:tc>
        <w:tc>
          <w:tcPr>
            <w:tcW w:w="705"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b/>
                <w:sz w:val="18"/>
                <w:szCs w:val="18"/>
                <w:lang w:eastAsia="lv-LV"/>
              </w:rPr>
            </w:pPr>
            <w:r w:rsidRPr="00EF1D74">
              <w:rPr>
                <w:b/>
                <w:sz w:val="18"/>
                <w:szCs w:val="18"/>
                <w:lang w:eastAsia="lv-LV"/>
              </w:rPr>
              <w:t>5,3</w:t>
            </w:r>
          </w:p>
        </w:tc>
        <w:tc>
          <w:tcPr>
            <w:tcW w:w="631" w:type="dxa"/>
            <w:tcBorders>
              <w:top w:val="double" w:sz="4" w:space="0" w:color="auto"/>
            </w:tcBorders>
            <w:shd w:val="clear" w:color="auto" w:fill="auto"/>
            <w:tcMar>
              <w:left w:w="57" w:type="dxa"/>
              <w:right w:w="57" w:type="dxa"/>
            </w:tcMar>
            <w:vAlign w:val="center"/>
          </w:tcPr>
          <w:p w:rsidR="00EF1D74" w:rsidRPr="00EF1D74" w:rsidRDefault="00EF1D74" w:rsidP="00EF1D74">
            <w:pPr>
              <w:spacing w:after="0" w:line="259" w:lineRule="auto"/>
              <w:ind w:firstLine="0"/>
              <w:jc w:val="right"/>
              <w:rPr>
                <w:b/>
                <w:sz w:val="18"/>
                <w:szCs w:val="18"/>
                <w:lang w:eastAsia="lv-LV"/>
              </w:rPr>
            </w:pPr>
            <w:r w:rsidRPr="00EF1D74">
              <w:rPr>
                <w:b/>
                <w:sz w:val="18"/>
                <w:szCs w:val="18"/>
                <w:lang w:eastAsia="lv-LV"/>
              </w:rPr>
              <w:t>5,9</w:t>
            </w:r>
          </w:p>
        </w:tc>
      </w:tr>
    </w:tbl>
    <w:p w:rsidR="00EF1D74" w:rsidRPr="00EF1D74" w:rsidRDefault="00EF1D74" w:rsidP="00EF1D74">
      <w:pPr>
        <w:autoSpaceDE w:val="0"/>
        <w:autoSpaceDN w:val="0"/>
        <w:adjustRightInd w:val="0"/>
        <w:spacing w:after="0"/>
        <w:ind w:firstLine="720"/>
        <w:rPr>
          <w:noProof/>
          <w:color w:val="000000"/>
          <w:sz w:val="28"/>
          <w:szCs w:val="24"/>
          <w:lang w:eastAsia="lv-LV"/>
        </w:rPr>
      </w:pPr>
    </w:p>
    <w:p w:rsidR="00EF1D74" w:rsidRPr="00EF1D74" w:rsidRDefault="00EF1D74" w:rsidP="00EF1D74">
      <w:pPr>
        <w:autoSpaceDE w:val="0"/>
        <w:autoSpaceDN w:val="0"/>
        <w:adjustRightInd w:val="0"/>
        <w:ind w:firstLine="720"/>
        <w:rPr>
          <w:noProof/>
          <w:color w:val="000000"/>
          <w:szCs w:val="24"/>
          <w:lang w:eastAsia="lv-LV"/>
        </w:rPr>
      </w:pPr>
      <w:r w:rsidRPr="00EF1D74">
        <w:rPr>
          <w:noProof/>
          <w:color w:val="000000"/>
          <w:szCs w:val="24"/>
          <w:lang w:eastAsia="lv-LV"/>
        </w:rPr>
        <w:t xml:space="preserve">Vispārējās valdības budžeta bilance pesimistiskajā scenārijā pasliktinātos no 3,9% deficīta bāzes scenārijā uz 5,8% deficītu no IKP 2021. gadā, jeb par 461,9 milj. </w:t>
      </w:r>
      <w:r w:rsidRPr="00EF1D74">
        <w:rPr>
          <w:i/>
          <w:noProof/>
          <w:color w:val="000000"/>
          <w:szCs w:val="24"/>
          <w:lang w:eastAsia="lv-LV"/>
        </w:rPr>
        <w:t>euro</w:t>
      </w:r>
      <w:r w:rsidRPr="00EF1D74">
        <w:rPr>
          <w:noProof/>
          <w:color w:val="000000"/>
          <w:szCs w:val="24"/>
          <w:lang w:eastAsia="lv-LV"/>
        </w:rPr>
        <w:t xml:space="preserve">. 2022. un 2023. gadā bilance pasliktinātos attiecīgi par 404,8 milj. </w:t>
      </w:r>
      <w:r w:rsidRPr="00EF1D74">
        <w:rPr>
          <w:i/>
          <w:noProof/>
          <w:color w:val="000000"/>
          <w:szCs w:val="24"/>
          <w:lang w:eastAsia="lv-LV"/>
        </w:rPr>
        <w:t>euro</w:t>
      </w:r>
      <w:r w:rsidRPr="00EF1D74">
        <w:rPr>
          <w:noProof/>
          <w:color w:val="000000"/>
          <w:szCs w:val="24"/>
          <w:lang w:eastAsia="lv-LV"/>
        </w:rPr>
        <w:t xml:space="preserve"> un 387,6 milj. </w:t>
      </w:r>
      <w:r w:rsidRPr="00EF1D74">
        <w:rPr>
          <w:i/>
          <w:noProof/>
          <w:color w:val="000000"/>
          <w:szCs w:val="24"/>
          <w:lang w:eastAsia="lv-LV"/>
        </w:rPr>
        <w:t>euro</w:t>
      </w:r>
      <w:r w:rsidRPr="00EF1D74">
        <w:rPr>
          <w:noProof/>
          <w:color w:val="000000"/>
          <w:szCs w:val="24"/>
          <w:lang w:eastAsia="lv-LV"/>
        </w:rPr>
        <w:t xml:space="preserve">, un vispārējās valdības budžetā veidotos 4,3% no IKP deficīts 2022. gadā un 3,0% no IKP deficīts 2023. gadā. </w:t>
      </w:r>
    </w:p>
    <w:p w:rsidR="00EF1D74" w:rsidRPr="00EF1D74" w:rsidRDefault="00EF1D74" w:rsidP="00EF1D74">
      <w:pPr>
        <w:autoSpaceDE w:val="0"/>
        <w:autoSpaceDN w:val="0"/>
        <w:adjustRightInd w:val="0"/>
        <w:ind w:firstLine="720"/>
        <w:rPr>
          <w:noProof/>
          <w:color w:val="000000"/>
          <w:szCs w:val="24"/>
          <w:lang w:eastAsia="lv-LV"/>
        </w:rPr>
      </w:pPr>
      <w:r w:rsidRPr="00EF1D74">
        <w:rPr>
          <w:noProof/>
          <w:color w:val="000000"/>
          <w:szCs w:val="24"/>
          <w:lang w:eastAsia="lv-LV"/>
        </w:rPr>
        <w:t xml:space="preserve">Papildus aplūkojam scenārijus, kuros aizņemšanās procentu likmes parāda pārfinansēšanai nosvārstās viena procentpukta robežās, par vienu procentpuktu palielinoties un šādā apmērā samazinoties. Procentu likmēm par vienu procentpuktu palielinoties, procentu izdevumi 2021. gadā palielinātos par 3,6 milj. </w:t>
      </w:r>
      <w:r w:rsidRPr="00EF1D74">
        <w:rPr>
          <w:i/>
          <w:noProof/>
          <w:color w:val="000000"/>
          <w:szCs w:val="24"/>
          <w:lang w:eastAsia="lv-LV"/>
        </w:rPr>
        <w:t>euro</w:t>
      </w:r>
      <w:r w:rsidRPr="00EF1D74">
        <w:rPr>
          <w:noProof/>
          <w:color w:val="000000"/>
          <w:szCs w:val="24"/>
          <w:lang w:eastAsia="lv-LV"/>
        </w:rPr>
        <w:t xml:space="preserve">, 2022. gadā izdevumi būtu jau par 31,7 milj. </w:t>
      </w:r>
      <w:r w:rsidRPr="00EF1D74">
        <w:rPr>
          <w:i/>
          <w:noProof/>
          <w:color w:val="000000"/>
          <w:szCs w:val="24"/>
          <w:lang w:eastAsia="lv-LV"/>
        </w:rPr>
        <w:t>euro</w:t>
      </w:r>
      <w:r w:rsidRPr="00EF1D74">
        <w:rPr>
          <w:noProof/>
          <w:color w:val="000000"/>
          <w:szCs w:val="24"/>
          <w:lang w:eastAsia="lv-LV"/>
        </w:rPr>
        <w:t xml:space="preserve"> un 2023. gadā par 57,4 milj. </w:t>
      </w:r>
      <w:r w:rsidRPr="00EF1D74">
        <w:rPr>
          <w:i/>
          <w:noProof/>
          <w:color w:val="000000"/>
          <w:szCs w:val="24"/>
          <w:lang w:eastAsia="lv-LV"/>
        </w:rPr>
        <w:t>euro</w:t>
      </w:r>
      <w:r w:rsidRPr="00EF1D74">
        <w:rPr>
          <w:noProof/>
          <w:color w:val="000000"/>
          <w:szCs w:val="24"/>
          <w:lang w:eastAsia="lv-LV"/>
        </w:rPr>
        <w:t xml:space="preserve"> lielāki nekā bāzes scenārijā. Savukārt procentu likmēm par vienu procentpuktu samazinoties izdevumi 2021. gadā samazinātos par 0,2 milj. </w:t>
      </w:r>
      <w:r w:rsidRPr="00EF1D74">
        <w:rPr>
          <w:i/>
          <w:noProof/>
          <w:color w:val="000000"/>
          <w:szCs w:val="24"/>
          <w:lang w:eastAsia="lv-LV"/>
        </w:rPr>
        <w:t>euro</w:t>
      </w:r>
      <w:r w:rsidRPr="00EF1D74">
        <w:rPr>
          <w:noProof/>
          <w:color w:val="000000"/>
          <w:szCs w:val="24"/>
          <w:lang w:eastAsia="lv-LV"/>
        </w:rPr>
        <w:t xml:space="preserve">, 2022. gadā izdevumi būtu par 18,1 milj. </w:t>
      </w:r>
      <w:r w:rsidRPr="00EF1D74">
        <w:rPr>
          <w:i/>
          <w:noProof/>
          <w:color w:val="000000"/>
          <w:szCs w:val="24"/>
          <w:lang w:eastAsia="lv-LV"/>
        </w:rPr>
        <w:t>euro</w:t>
      </w:r>
      <w:r w:rsidRPr="00EF1D74">
        <w:rPr>
          <w:noProof/>
          <w:color w:val="000000"/>
          <w:szCs w:val="24"/>
          <w:lang w:eastAsia="lv-LV"/>
        </w:rPr>
        <w:t xml:space="preserve"> un 2023. gadā par 31,2 milj. </w:t>
      </w:r>
      <w:r w:rsidRPr="00EF1D74">
        <w:rPr>
          <w:i/>
          <w:noProof/>
          <w:color w:val="000000"/>
          <w:szCs w:val="24"/>
          <w:lang w:eastAsia="lv-LV"/>
        </w:rPr>
        <w:t>euro</w:t>
      </w:r>
      <w:r w:rsidRPr="00EF1D74">
        <w:rPr>
          <w:noProof/>
          <w:color w:val="000000"/>
          <w:szCs w:val="24"/>
          <w:lang w:eastAsia="lv-LV"/>
        </w:rPr>
        <w:t xml:space="preserve"> mazāki nekā bāzes scenārijā.</w:t>
      </w:r>
    </w:p>
    <w:p w:rsidR="00EF1D74" w:rsidRPr="00EF1D74" w:rsidRDefault="00EF1D74" w:rsidP="00EF1D74">
      <w:pPr>
        <w:keepNext/>
        <w:keepLines/>
        <w:spacing w:before="240" w:after="240"/>
        <w:ind w:firstLine="0"/>
        <w:jc w:val="center"/>
        <w:outlineLvl w:val="1"/>
        <w:rPr>
          <w:rFonts w:ascii="Calibri Light" w:hAnsi="Calibri Light"/>
          <w:color w:val="2E74B5"/>
          <w:sz w:val="26"/>
          <w:szCs w:val="26"/>
        </w:rPr>
      </w:pPr>
      <w:r w:rsidRPr="00EF1D74">
        <w:rPr>
          <w:b/>
          <w:sz w:val="36"/>
          <w:szCs w:val="36"/>
        </w:rPr>
        <w:t xml:space="preserve">1.6. Iepriekšējo makroekonomisko prognožu </w:t>
      </w:r>
      <w:proofErr w:type="spellStart"/>
      <w:r w:rsidRPr="00EF1D74">
        <w:rPr>
          <w:b/>
          <w:sz w:val="36"/>
          <w:szCs w:val="36"/>
        </w:rPr>
        <w:t>izvērtējums</w:t>
      </w:r>
      <w:proofErr w:type="spellEnd"/>
    </w:p>
    <w:p w:rsidR="00EF1D74" w:rsidRPr="00EF1D74" w:rsidRDefault="00EF1D74" w:rsidP="00EF1D74">
      <w:pPr>
        <w:spacing w:before="120"/>
        <w:ind w:firstLine="720"/>
        <w:rPr>
          <w:rFonts w:eastAsia="Calibri"/>
          <w:szCs w:val="22"/>
        </w:rPr>
      </w:pPr>
      <w:r w:rsidRPr="00EF1D74">
        <w:rPr>
          <w:rFonts w:eastAsia="Calibri"/>
          <w:szCs w:val="22"/>
        </w:rPr>
        <w:t>Finanšu ministrijas makroekonomiskās prognozes š.g. budžeta vajadzībām tika izstrādātas 2020. gada jūnijā, balstoties uz pēdējiem uz to brīdi pieejamajiem datiem. Prognozes tika balstītas uz piesardzīgiem pieņēmumiem, ļaujot veidot arī piesardzīgu fiskālo politiku. Šī pieeja sevi ir attaisnojusi, jo pēdējos piecos gados Finanšu ministrijas prognozes kopumā ir atbildušas ekonomiskajam trendam un prognozēm nav vērojamas sistemātiskas kļūdas, līdz ar to prognozēšanas process kopumā ir vērtējams kā apmierinošs.</w:t>
      </w:r>
    </w:p>
    <w:p w:rsidR="00EF1D74" w:rsidRPr="00EF1D74" w:rsidRDefault="00EF1D74" w:rsidP="00EF1D74">
      <w:pPr>
        <w:spacing w:after="240"/>
        <w:ind w:firstLine="0"/>
        <w:jc w:val="center"/>
        <w:rPr>
          <w:b/>
          <w:szCs w:val="24"/>
        </w:rPr>
      </w:pPr>
      <w:r w:rsidRPr="00EF1D74">
        <w:rPr>
          <w:b/>
          <w:i/>
          <w:szCs w:val="24"/>
        </w:rPr>
        <w:t xml:space="preserve">1.44. attēls </w:t>
      </w:r>
      <w:r w:rsidRPr="00EF1D74">
        <w:rPr>
          <w:b/>
          <w:szCs w:val="24"/>
        </w:rPr>
        <w:t>IKP vidēja termiņa prognozes un faktiskā izpilde, salīdzināmās cenās, 2007=100</w:t>
      </w:r>
    </w:p>
    <w:p w:rsidR="00EF1D74" w:rsidRPr="00EF1D74" w:rsidRDefault="00EF1D74" w:rsidP="00EF1D74">
      <w:pPr>
        <w:spacing w:after="240"/>
        <w:ind w:firstLine="0"/>
        <w:jc w:val="center"/>
        <w:rPr>
          <w:rFonts w:eastAsia="Calibri"/>
          <w:sz w:val="28"/>
          <w:szCs w:val="28"/>
        </w:rPr>
      </w:pPr>
      <w:r w:rsidRPr="00EF1D74">
        <w:rPr>
          <w:rFonts w:eastAsia="Calibri"/>
          <w:noProof/>
          <w:szCs w:val="24"/>
          <w:lang w:eastAsia="lv-LV"/>
        </w:rPr>
        <w:drawing>
          <wp:inline distT="0" distB="0" distL="0" distR="0" wp14:anchorId="641962EE" wp14:editId="3CF54124">
            <wp:extent cx="5274310" cy="2853055"/>
            <wp:effectExtent l="0" t="0" r="2540" b="44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F1D74" w:rsidRPr="00EF1D74" w:rsidRDefault="00EF1D74" w:rsidP="00EF1D74">
      <w:pPr>
        <w:spacing w:before="120"/>
        <w:ind w:firstLine="720"/>
        <w:rPr>
          <w:rFonts w:eastAsia="Calibri"/>
          <w:szCs w:val="28"/>
        </w:rPr>
      </w:pPr>
      <w:r w:rsidRPr="00EF1D74">
        <w:rPr>
          <w:rFonts w:eastAsia="Calibri"/>
          <w:szCs w:val="28"/>
        </w:rPr>
        <w:lastRenderedPageBreak/>
        <w:t>IKP pieauguma prognožu kļūda piecos pēdējos gados vidēji bija 0,8 procentpunktu, gan pozitīvā, gan negatīvā virzienā. Pārsvarā kļūda negatīvā virzienā, proti, IKP pieaugums prognozēts mazāks nekā fakts, ir saistīta ar piesardzīgiem pieņēmumiem. Savukārt, kļūda pozitīvā virzienā pārsvarā ir saistīta ar netipisku ekonomisko sabremzēšanos, piemēram, kā tas notika 2016. gadā un 2019. gadā. Salīdzinājumam, starptautisko institūciju prognožu kļūdas pēdējos piecos gados bija tajā pašā virzienā un kopumā bija lielākas.</w:t>
      </w:r>
    </w:p>
    <w:p w:rsidR="00EF1D74" w:rsidRPr="00EF1D74" w:rsidRDefault="00EF1D74" w:rsidP="00EF1D74">
      <w:pPr>
        <w:spacing w:before="120"/>
        <w:ind w:firstLine="720"/>
        <w:rPr>
          <w:rFonts w:eastAsia="Calibri"/>
          <w:szCs w:val="28"/>
        </w:rPr>
      </w:pPr>
      <w:r w:rsidRPr="00EF1D74">
        <w:rPr>
          <w:rFonts w:eastAsia="Calibri"/>
          <w:szCs w:val="28"/>
        </w:rPr>
        <w:t>Arī nākamie gadi būs ar lielu prognožu novirzi no faktiskajiem datiem, ņemot vērā lielo nenoteiktību, kādu rada Covid-19 ietekme uz ekonomisko attīstību turpmākajos gados.</w:t>
      </w:r>
    </w:p>
    <w:p w:rsidR="00EF1D74" w:rsidRPr="00EF1D74" w:rsidRDefault="00EF1D74" w:rsidP="00EF1D74">
      <w:pPr>
        <w:spacing w:before="120"/>
        <w:ind w:firstLine="720"/>
        <w:rPr>
          <w:rFonts w:eastAsia="Calibri"/>
          <w:szCs w:val="28"/>
        </w:rPr>
      </w:pPr>
      <w:r w:rsidRPr="00EF1D74">
        <w:rPr>
          <w:rFonts w:eastAsia="Calibri"/>
          <w:szCs w:val="28"/>
        </w:rPr>
        <w:t>Pēdējos piecos gados būtiskākā ietekme uz prognožu novirzi ir krājumu izmaiņām, kas 2016. gadā un 2019. gadā veidoja attiecīgi -2,5 un +2,1 procentpunktus, arī 2017. un 2018. gados tā bija vērā ņemama (1.45. attēls). CSP krājumu izmaiņās iekļauj ekonomiskajai darbībai nepieciešamos uzkrājumus, kā arī statistisko novirzi, kas rodas no IKP kontu balansēšanas no ražošanas un izlietojuma puses. Tieši statistiskā novirze ir galvenais nezināmais, kas ietekmē prognozes un kuru nav iespējams racionāli prognozēt. Prognozēs tika pieņemts, ka tai nav ietekme uz IKP pieauguma tempiem, kas ir arī vispārpieņemta prognozēšanas prakse.</w:t>
      </w:r>
    </w:p>
    <w:p w:rsidR="00EF1D74" w:rsidRPr="00EF1D74" w:rsidRDefault="00EF1D74" w:rsidP="00EF1D74">
      <w:pPr>
        <w:spacing w:after="0"/>
        <w:ind w:firstLine="0"/>
        <w:jc w:val="center"/>
        <w:rPr>
          <w:rFonts w:eastAsia="Calibri"/>
          <w:b/>
          <w:i/>
          <w:szCs w:val="24"/>
        </w:rPr>
      </w:pPr>
      <w:r w:rsidRPr="00EF1D74">
        <w:rPr>
          <w:rFonts w:eastAsia="Calibri"/>
          <w:b/>
          <w:i/>
          <w:szCs w:val="24"/>
        </w:rPr>
        <w:t xml:space="preserve">1.12. tabula </w:t>
      </w:r>
      <w:r w:rsidRPr="00EF1D74">
        <w:rPr>
          <w:rFonts w:eastAsia="Calibri"/>
          <w:b/>
          <w:szCs w:val="24"/>
        </w:rPr>
        <w:t>Finanšu ministrijas un starptautisko finanšu institūciju IKP pieauguma salīdzināmajās cenās (%) prognožu salīdzinājums</w:t>
      </w:r>
      <w:r w:rsidRPr="00EF1D74">
        <w:rPr>
          <w:rFonts w:eastAsia="Calibri"/>
          <w:b/>
          <w:szCs w:val="24"/>
          <w:vertAlign w:val="superscript"/>
        </w:rPr>
        <w:footnoteReference w:id="10"/>
      </w:r>
    </w:p>
    <w:p w:rsidR="00EF1D74" w:rsidRPr="00EF1D74" w:rsidRDefault="00EF1D74" w:rsidP="00EF1D74">
      <w:pPr>
        <w:spacing w:after="0"/>
        <w:ind w:firstLine="720"/>
        <w:rPr>
          <w:rFonts w:eastAsia="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9"/>
        <w:gridCol w:w="658"/>
        <w:gridCol w:w="659"/>
        <w:gridCol w:w="658"/>
        <w:gridCol w:w="660"/>
        <w:gridCol w:w="659"/>
        <w:gridCol w:w="660"/>
        <w:gridCol w:w="659"/>
        <w:gridCol w:w="660"/>
        <w:gridCol w:w="659"/>
        <w:gridCol w:w="660"/>
        <w:gridCol w:w="660"/>
      </w:tblGrid>
      <w:tr w:rsidR="00EF1D74" w:rsidRPr="00EF1D74" w:rsidTr="0057436F">
        <w:trPr>
          <w:trHeight w:val="300"/>
        </w:trPr>
        <w:tc>
          <w:tcPr>
            <w:tcW w:w="1657" w:type="dxa"/>
            <w:shd w:val="clear" w:color="auto" w:fill="auto"/>
            <w:noWrap/>
            <w:hideMark/>
          </w:tcPr>
          <w:p w:rsidR="00EF1D74" w:rsidRPr="00EF1D74" w:rsidRDefault="00EF1D74" w:rsidP="00EF1D74">
            <w:pPr>
              <w:spacing w:after="0"/>
              <w:ind w:firstLine="0"/>
              <w:rPr>
                <w:rFonts w:eastAsia="Calibri"/>
                <w:b/>
                <w:sz w:val="18"/>
                <w:szCs w:val="18"/>
                <w:lang w:eastAsia="lv-LV"/>
              </w:rPr>
            </w:pPr>
            <w:r w:rsidRPr="00EF1D74">
              <w:rPr>
                <w:rFonts w:eastAsia="Calibri"/>
                <w:b/>
                <w:sz w:val="18"/>
                <w:szCs w:val="18"/>
                <w:lang w:eastAsia="lv-LV"/>
              </w:rPr>
              <w:t> </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2011</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2012</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2013</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2014</w:t>
            </w:r>
          </w:p>
        </w:tc>
        <w:tc>
          <w:tcPr>
            <w:tcW w:w="603" w:type="dxa"/>
            <w:shd w:val="clear" w:color="auto" w:fill="auto"/>
            <w:tcMar>
              <w:right w:w="113" w:type="dxa"/>
            </w:tcMar>
            <w:vAlign w:val="center"/>
            <w:hideMark/>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2015</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2016</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2017</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2018</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2019</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2020</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b/>
                <w:sz w:val="18"/>
                <w:szCs w:val="18"/>
                <w:lang w:eastAsia="lv-LV"/>
              </w:rPr>
            </w:pPr>
            <w:r w:rsidRPr="00EF1D74">
              <w:rPr>
                <w:rFonts w:eastAsia="Calibri"/>
                <w:b/>
                <w:sz w:val="18"/>
                <w:szCs w:val="18"/>
                <w:lang w:eastAsia="lv-LV"/>
              </w:rPr>
              <w:t>2021</w:t>
            </w:r>
          </w:p>
        </w:tc>
      </w:tr>
      <w:tr w:rsidR="00EF1D74" w:rsidRPr="00EF1D74" w:rsidTr="0057436F">
        <w:trPr>
          <w:trHeight w:val="300"/>
        </w:trPr>
        <w:tc>
          <w:tcPr>
            <w:tcW w:w="1657" w:type="dxa"/>
            <w:shd w:val="clear" w:color="auto" w:fill="auto"/>
            <w:noWrap/>
            <w:vAlign w:val="center"/>
            <w:hideMark/>
          </w:tcPr>
          <w:p w:rsidR="00EF1D74" w:rsidRPr="00EF1D74" w:rsidRDefault="00EF1D74" w:rsidP="00EF1D74">
            <w:pPr>
              <w:spacing w:after="0"/>
              <w:ind w:firstLine="0"/>
              <w:rPr>
                <w:rFonts w:eastAsia="Calibri"/>
                <w:sz w:val="18"/>
                <w:szCs w:val="18"/>
                <w:lang w:eastAsia="lv-LV"/>
              </w:rPr>
            </w:pPr>
            <w:r w:rsidRPr="00EF1D74">
              <w:rPr>
                <w:rFonts w:eastAsia="Calibri"/>
                <w:sz w:val="18"/>
                <w:szCs w:val="18"/>
                <w:lang w:eastAsia="lv-LV"/>
              </w:rPr>
              <w:t>Finanšu ministrija</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3,3</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2,5</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3,7</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4,2</w:t>
            </w:r>
          </w:p>
        </w:tc>
        <w:tc>
          <w:tcPr>
            <w:tcW w:w="603"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2,8</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2,5</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3,7</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3,4</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3,0</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2,8</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5,1</w:t>
            </w:r>
          </w:p>
        </w:tc>
      </w:tr>
      <w:tr w:rsidR="00EF1D74" w:rsidRPr="00EF1D74" w:rsidTr="0057436F">
        <w:trPr>
          <w:trHeight w:val="300"/>
        </w:trPr>
        <w:tc>
          <w:tcPr>
            <w:tcW w:w="1657" w:type="dxa"/>
            <w:shd w:val="clear" w:color="auto" w:fill="auto"/>
            <w:noWrap/>
            <w:vAlign w:val="center"/>
            <w:hideMark/>
          </w:tcPr>
          <w:p w:rsidR="00EF1D74" w:rsidRPr="00EF1D74" w:rsidRDefault="00EF1D74" w:rsidP="00EF1D74">
            <w:pPr>
              <w:spacing w:after="0"/>
              <w:ind w:firstLine="0"/>
              <w:rPr>
                <w:rFonts w:eastAsia="Calibri"/>
                <w:sz w:val="18"/>
                <w:szCs w:val="18"/>
                <w:lang w:eastAsia="lv-LV"/>
              </w:rPr>
            </w:pPr>
            <w:r w:rsidRPr="00EF1D74">
              <w:rPr>
                <w:rFonts w:eastAsia="Calibri"/>
                <w:sz w:val="18"/>
                <w:szCs w:val="18"/>
                <w:lang w:eastAsia="lv-LV"/>
              </w:rPr>
              <w:t>Eiropas Komisija</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3,3</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2,5</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3,6</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4,0</w:t>
            </w:r>
          </w:p>
        </w:tc>
        <w:tc>
          <w:tcPr>
            <w:tcW w:w="603"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2,9</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2,8</w:t>
            </w:r>
          </w:p>
        </w:tc>
        <w:tc>
          <w:tcPr>
            <w:tcW w:w="603"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3,2</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3,5</w:t>
            </w:r>
          </w:p>
        </w:tc>
        <w:tc>
          <w:tcPr>
            <w:tcW w:w="603"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3,2</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2,8</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6,4</w:t>
            </w:r>
          </w:p>
        </w:tc>
      </w:tr>
      <w:tr w:rsidR="00EF1D74" w:rsidRPr="00EF1D74" w:rsidTr="0057436F">
        <w:trPr>
          <w:trHeight w:val="300"/>
        </w:trPr>
        <w:tc>
          <w:tcPr>
            <w:tcW w:w="1657" w:type="dxa"/>
            <w:shd w:val="clear" w:color="auto" w:fill="auto"/>
            <w:noWrap/>
            <w:vAlign w:val="center"/>
            <w:hideMark/>
          </w:tcPr>
          <w:p w:rsidR="00EF1D74" w:rsidRPr="00EF1D74" w:rsidRDefault="00EF1D74" w:rsidP="00EF1D74">
            <w:pPr>
              <w:spacing w:after="0"/>
              <w:ind w:firstLine="0"/>
              <w:rPr>
                <w:rFonts w:eastAsia="Calibri"/>
                <w:sz w:val="18"/>
                <w:szCs w:val="18"/>
                <w:lang w:eastAsia="lv-LV"/>
              </w:rPr>
            </w:pPr>
            <w:r w:rsidRPr="00EF1D74">
              <w:rPr>
                <w:rFonts w:eastAsia="Calibri"/>
                <w:sz w:val="18"/>
                <w:szCs w:val="18"/>
                <w:lang w:eastAsia="lv-LV"/>
              </w:rPr>
              <w:t>Starptautiskais Valūtas fonds</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3,3</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3,0</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3,5</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4,2</w:t>
            </w:r>
          </w:p>
        </w:tc>
        <w:tc>
          <w:tcPr>
            <w:tcW w:w="603"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3,2</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3,2</w:t>
            </w:r>
          </w:p>
        </w:tc>
        <w:tc>
          <w:tcPr>
            <w:tcW w:w="603"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3,0</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3,3</w:t>
            </w:r>
          </w:p>
        </w:tc>
        <w:tc>
          <w:tcPr>
            <w:tcW w:w="603"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3,3</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3,1</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8,3</w:t>
            </w:r>
          </w:p>
        </w:tc>
      </w:tr>
      <w:tr w:rsidR="00EF1D74" w:rsidRPr="00EF1D74" w:rsidTr="0057436F">
        <w:trPr>
          <w:trHeight w:val="300"/>
        </w:trPr>
        <w:tc>
          <w:tcPr>
            <w:tcW w:w="1657" w:type="dxa"/>
            <w:shd w:val="clear" w:color="auto" w:fill="auto"/>
            <w:noWrap/>
            <w:vAlign w:val="center"/>
            <w:hideMark/>
          </w:tcPr>
          <w:p w:rsidR="00EF1D74" w:rsidRPr="00EF1D74" w:rsidRDefault="00EF1D74" w:rsidP="00EF1D74">
            <w:pPr>
              <w:spacing w:after="0"/>
              <w:ind w:firstLine="0"/>
              <w:rPr>
                <w:rFonts w:eastAsia="Calibri"/>
                <w:sz w:val="18"/>
                <w:szCs w:val="18"/>
                <w:lang w:eastAsia="lv-LV"/>
              </w:rPr>
            </w:pPr>
            <w:r w:rsidRPr="00EF1D74">
              <w:rPr>
                <w:rFonts w:eastAsia="Calibri"/>
                <w:sz w:val="18"/>
                <w:szCs w:val="18"/>
                <w:lang w:eastAsia="lv-LV"/>
              </w:rPr>
              <w:t>OECD</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 </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 </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 </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 </w:t>
            </w:r>
          </w:p>
        </w:tc>
        <w:tc>
          <w:tcPr>
            <w:tcW w:w="603"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3,2</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3,6</w:t>
            </w:r>
          </w:p>
        </w:tc>
        <w:tc>
          <w:tcPr>
            <w:tcW w:w="603"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3,5</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3,5</w:t>
            </w:r>
          </w:p>
        </w:tc>
        <w:tc>
          <w:tcPr>
            <w:tcW w:w="603"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3,6</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2,7</w:t>
            </w:r>
          </w:p>
        </w:tc>
        <w:tc>
          <w:tcPr>
            <w:tcW w:w="604" w:type="dxa"/>
            <w:shd w:val="clear" w:color="auto" w:fill="auto"/>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6,4</w:t>
            </w:r>
          </w:p>
        </w:tc>
      </w:tr>
      <w:tr w:rsidR="00EF1D74" w:rsidRPr="00EF1D74" w:rsidTr="0057436F">
        <w:trPr>
          <w:trHeight w:val="300"/>
        </w:trPr>
        <w:tc>
          <w:tcPr>
            <w:tcW w:w="1657" w:type="dxa"/>
            <w:shd w:val="clear" w:color="auto" w:fill="auto"/>
            <w:noWrap/>
            <w:vAlign w:val="center"/>
            <w:hideMark/>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IKP fakts pirms CSP datu revīzijas 30.09.2020</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6,3</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4,1</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2,3</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1,9</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3,3</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1,8</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3,8</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4,3</w:t>
            </w:r>
          </w:p>
        </w:tc>
        <w:tc>
          <w:tcPr>
            <w:tcW w:w="603"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2,2</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 </w:t>
            </w:r>
          </w:p>
        </w:tc>
        <w:tc>
          <w:tcPr>
            <w:tcW w:w="604" w:type="dxa"/>
            <w:shd w:val="clear" w:color="auto" w:fill="auto"/>
            <w:noWrap/>
            <w:tcMar>
              <w:right w:w="113" w:type="dxa"/>
            </w:tcMar>
            <w:vAlign w:val="center"/>
            <w:hideMark/>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 </w:t>
            </w:r>
          </w:p>
        </w:tc>
      </w:tr>
      <w:tr w:rsidR="00EF1D74" w:rsidRPr="00EF1D74" w:rsidTr="0057436F">
        <w:trPr>
          <w:trHeight w:val="300"/>
        </w:trPr>
        <w:tc>
          <w:tcPr>
            <w:tcW w:w="1657" w:type="dxa"/>
            <w:shd w:val="clear" w:color="auto" w:fill="auto"/>
            <w:noWrap/>
            <w:vAlign w:val="center"/>
          </w:tcPr>
          <w:p w:rsidR="00EF1D74" w:rsidRPr="00EF1D74" w:rsidRDefault="00EF1D74" w:rsidP="00EF1D74">
            <w:pPr>
              <w:spacing w:after="0"/>
              <w:ind w:firstLine="0"/>
              <w:jc w:val="left"/>
              <w:rPr>
                <w:rFonts w:eastAsia="Calibri"/>
                <w:sz w:val="18"/>
                <w:szCs w:val="18"/>
                <w:lang w:eastAsia="lv-LV"/>
              </w:rPr>
            </w:pPr>
            <w:r w:rsidRPr="00EF1D74">
              <w:rPr>
                <w:rFonts w:eastAsia="Calibri"/>
                <w:sz w:val="18"/>
                <w:szCs w:val="18"/>
                <w:lang w:eastAsia="lv-LV"/>
              </w:rPr>
              <w:t>IKP fakts pēc CSP datu revīzijas 30.09.2020</w:t>
            </w:r>
          </w:p>
        </w:tc>
        <w:tc>
          <w:tcPr>
            <w:tcW w:w="603" w:type="dxa"/>
            <w:shd w:val="clear" w:color="auto" w:fill="auto"/>
            <w:noWrap/>
            <w:tcMar>
              <w:right w:w="113"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6,5</w:t>
            </w:r>
          </w:p>
        </w:tc>
        <w:tc>
          <w:tcPr>
            <w:tcW w:w="604" w:type="dxa"/>
            <w:shd w:val="clear" w:color="auto" w:fill="auto"/>
            <w:noWrap/>
            <w:tcMar>
              <w:right w:w="113"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4,3</w:t>
            </w:r>
          </w:p>
        </w:tc>
        <w:tc>
          <w:tcPr>
            <w:tcW w:w="603" w:type="dxa"/>
            <w:shd w:val="clear" w:color="auto" w:fill="auto"/>
            <w:noWrap/>
            <w:tcMar>
              <w:right w:w="113"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2,3</w:t>
            </w:r>
          </w:p>
        </w:tc>
        <w:tc>
          <w:tcPr>
            <w:tcW w:w="604" w:type="dxa"/>
            <w:shd w:val="clear" w:color="auto" w:fill="auto"/>
            <w:noWrap/>
            <w:tcMar>
              <w:right w:w="113"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1,1</w:t>
            </w:r>
          </w:p>
        </w:tc>
        <w:tc>
          <w:tcPr>
            <w:tcW w:w="603" w:type="dxa"/>
            <w:shd w:val="clear" w:color="auto" w:fill="auto"/>
            <w:noWrap/>
            <w:tcMar>
              <w:right w:w="113"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4,0</w:t>
            </w:r>
          </w:p>
        </w:tc>
        <w:tc>
          <w:tcPr>
            <w:tcW w:w="604" w:type="dxa"/>
            <w:shd w:val="clear" w:color="auto" w:fill="auto"/>
            <w:noWrap/>
            <w:tcMar>
              <w:right w:w="113"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2,4</w:t>
            </w:r>
          </w:p>
        </w:tc>
        <w:tc>
          <w:tcPr>
            <w:tcW w:w="603" w:type="dxa"/>
            <w:shd w:val="clear" w:color="auto" w:fill="auto"/>
            <w:noWrap/>
            <w:tcMar>
              <w:right w:w="113"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3,3</w:t>
            </w:r>
          </w:p>
        </w:tc>
        <w:tc>
          <w:tcPr>
            <w:tcW w:w="604" w:type="dxa"/>
            <w:shd w:val="clear" w:color="auto" w:fill="auto"/>
            <w:noWrap/>
            <w:tcMar>
              <w:right w:w="113"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4,0</w:t>
            </w:r>
          </w:p>
        </w:tc>
        <w:tc>
          <w:tcPr>
            <w:tcW w:w="603" w:type="dxa"/>
            <w:shd w:val="clear" w:color="auto" w:fill="auto"/>
            <w:noWrap/>
            <w:tcMar>
              <w:right w:w="113" w:type="dxa"/>
            </w:tcMar>
            <w:vAlign w:val="center"/>
          </w:tcPr>
          <w:p w:rsidR="00EF1D74" w:rsidRPr="00EF1D74" w:rsidRDefault="00EF1D74" w:rsidP="00EF1D74">
            <w:pPr>
              <w:spacing w:after="0"/>
              <w:ind w:firstLine="0"/>
              <w:jc w:val="right"/>
              <w:rPr>
                <w:rFonts w:eastAsia="Calibri"/>
                <w:sz w:val="18"/>
                <w:szCs w:val="18"/>
                <w:lang w:eastAsia="lv-LV"/>
              </w:rPr>
            </w:pPr>
            <w:r w:rsidRPr="00EF1D74">
              <w:rPr>
                <w:rFonts w:eastAsia="Calibri"/>
                <w:sz w:val="18"/>
                <w:szCs w:val="18"/>
                <w:lang w:eastAsia="lv-LV"/>
              </w:rPr>
              <w:t>2,1</w:t>
            </w:r>
          </w:p>
        </w:tc>
        <w:tc>
          <w:tcPr>
            <w:tcW w:w="604" w:type="dxa"/>
            <w:shd w:val="clear" w:color="auto" w:fill="auto"/>
            <w:noWrap/>
            <w:tcMar>
              <w:right w:w="113" w:type="dxa"/>
            </w:tcMar>
            <w:vAlign w:val="center"/>
          </w:tcPr>
          <w:p w:rsidR="00EF1D74" w:rsidRPr="00EF1D74" w:rsidRDefault="00EF1D74" w:rsidP="00EF1D74">
            <w:pPr>
              <w:spacing w:after="0"/>
              <w:ind w:firstLine="0"/>
              <w:jc w:val="right"/>
              <w:rPr>
                <w:rFonts w:eastAsia="Calibri"/>
                <w:sz w:val="18"/>
                <w:szCs w:val="18"/>
                <w:lang w:eastAsia="lv-LV"/>
              </w:rPr>
            </w:pPr>
          </w:p>
        </w:tc>
        <w:tc>
          <w:tcPr>
            <w:tcW w:w="604" w:type="dxa"/>
            <w:shd w:val="clear" w:color="auto" w:fill="auto"/>
            <w:noWrap/>
            <w:tcMar>
              <w:right w:w="113" w:type="dxa"/>
            </w:tcMar>
            <w:vAlign w:val="center"/>
          </w:tcPr>
          <w:p w:rsidR="00EF1D74" w:rsidRPr="00EF1D74" w:rsidRDefault="00EF1D74" w:rsidP="00EF1D74">
            <w:pPr>
              <w:spacing w:after="0"/>
              <w:ind w:firstLine="0"/>
              <w:jc w:val="right"/>
              <w:rPr>
                <w:rFonts w:eastAsia="Calibri"/>
                <w:sz w:val="18"/>
                <w:szCs w:val="18"/>
                <w:lang w:eastAsia="lv-LV"/>
              </w:rPr>
            </w:pPr>
          </w:p>
        </w:tc>
      </w:tr>
    </w:tbl>
    <w:p w:rsidR="00EF1D74" w:rsidRPr="00EF1D74" w:rsidRDefault="00EF1D74" w:rsidP="00EF1D74">
      <w:pPr>
        <w:spacing w:after="0"/>
        <w:ind w:firstLine="0"/>
        <w:rPr>
          <w:rFonts w:eastAsia="Calibri"/>
          <w:sz w:val="28"/>
          <w:szCs w:val="28"/>
        </w:rPr>
      </w:pPr>
    </w:p>
    <w:p w:rsidR="00EF1D74" w:rsidRPr="00EF1D74" w:rsidRDefault="00EF1D74" w:rsidP="00EF1D74">
      <w:pPr>
        <w:spacing w:before="120"/>
        <w:ind w:firstLine="720"/>
        <w:rPr>
          <w:rFonts w:eastAsia="Calibri"/>
          <w:szCs w:val="28"/>
        </w:rPr>
      </w:pPr>
      <w:r w:rsidRPr="00EF1D74">
        <w:rPr>
          <w:rFonts w:eastAsia="Calibri"/>
          <w:szCs w:val="28"/>
        </w:rPr>
        <w:t xml:space="preserve">Tā kā krājumu izmaiņas ir saistītas ar importu, tad šī novirze atbilstoši </w:t>
      </w:r>
      <w:r w:rsidRPr="00EF1D74">
        <w:rPr>
          <w:rFonts w:eastAsia="Calibri"/>
          <w:szCs w:val="22"/>
        </w:rPr>
        <w:t>Finanšu ministrijas</w:t>
      </w:r>
      <w:r w:rsidRPr="00EF1D74">
        <w:rPr>
          <w:rFonts w:eastAsia="Calibri"/>
          <w:szCs w:val="28"/>
        </w:rPr>
        <w:t xml:space="preserve"> makroekonomiskajam  modelim atspoguļojās neto eksportā un investīcijās bruto pamatkapitālā. Pēdējais ir saistīts ar to, ka saņemot detalizētāku informāciju, CSP daļu no krājumiem pārkvalificē uz investīcijām bruto pamatkapitālā.</w:t>
      </w:r>
    </w:p>
    <w:p w:rsidR="00EF1D74" w:rsidRPr="00EF1D74" w:rsidRDefault="00EF1D74" w:rsidP="00EF1D74">
      <w:pPr>
        <w:spacing w:before="120"/>
        <w:ind w:firstLine="720"/>
        <w:rPr>
          <w:rFonts w:eastAsia="Calibri"/>
          <w:szCs w:val="28"/>
        </w:rPr>
      </w:pPr>
      <w:r w:rsidRPr="00EF1D74">
        <w:rPr>
          <w:rFonts w:eastAsia="Calibri"/>
          <w:szCs w:val="28"/>
        </w:rPr>
        <w:t xml:space="preserve">Vislielākās prognožu kļūdas bija saistītas ar nenoteiktību, kad 2009. gadā Latvija un pasaule piedzīvoja ekonomisko un finanšu krīzi. Tas radīja straujāku nekā prognozēts iekšējā patēriņa kritumu un atkopšanos attiecīgi 2009. un 2010. gadā. Nākamajos gados privātais patēriņš atgriezās pie normālā attīstības tempa, kas atbilst iedzīvotāju ienākumu un nodarbinātības trendam. Savukārt šajā laika periodā kļūdu neto eksporta prognozē radīja virkne notikumu ar neprognozējamām sekām uz starptautisko tirdzniecību – 2010. gadā saasinājās </w:t>
      </w:r>
      <w:proofErr w:type="spellStart"/>
      <w:r w:rsidRPr="00EF1D74">
        <w:rPr>
          <w:rFonts w:eastAsia="Calibri"/>
          <w:szCs w:val="28"/>
        </w:rPr>
        <w:t>eirozonas</w:t>
      </w:r>
      <w:proofErr w:type="spellEnd"/>
      <w:r w:rsidRPr="00EF1D74">
        <w:rPr>
          <w:rFonts w:eastAsia="Calibri"/>
          <w:szCs w:val="28"/>
        </w:rPr>
        <w:t xml:space="preserve"> parādu krīze, kad pastāvēja reāli atsevišķu </w:t>
      </w:r>
      <w:proofErr w:type="spellStart"/>
      <w:r w:rsidRPr="00EF1D74">
        <w:rPr>
          <w:rFonts w:eastAsia="Calibri"/>
          <w:szCs w:val="28"/>
        </w:rPr>
        <w:t>eirozonas</w:t>
      </w:r>
      <w:proofErr w:type="spellEnd"/>
      <w:r w:rsidRPr="00EF1D74">
        <w:rPr>
          <w:rFonts w:eastAsia="Calibri"/>
          <w:szCs w:val="28"/>
        </w:rPr>
        <w:t xml:space="preserve"> valstu maksātnespējas draudi un pieaugošā ģeopolitiskā nenoteiktība. Tomēr kopš 2012. gada ārējās tirdzniecības devums IKP izaugsmē bija pozitīvāks nekā sākotnēji prognozēts, kas atspoguļojās arī Latvijas tirgus daļas pieaugumā.</w:t>
      </w:r>
    </w:p>
    <w:p w:rsidR="00EF1D74" w:rsidRPr="00EF1D74" w:rsidRDefault="00EF1D74" w:rsidP="00EF1D74">
      <w:pPr>
        <w:spacing w:before="240"/>
        <w:ind w:firstLine="0"/>
        <w:jc w:val="center"/>
        <w:rPr>
          <w:b/>
          <w:i/>
          <w:szCs w:val="24"/>
        </w:rPr>
      </w:pPr>
      <w:r w:rsidRPr="00EF1D74">
        <w:rPr>
          <w:b/>
          <w:i/>
          <w:szCs w:val="24"/>
        </w:rPr>
        <w:lastRenderedPageBreak/>
        <w:t xml:space="preserve">1.45. attēls </w:t>
      </w:r>
      <w:r w:rsidRPr="00EF1D74">
        <w:rPr>
          <w:b/>
          <w:szCs w:val="24"/>
        </w:rPr>
        <w:t>IKP salīdzināmās cenās faktiskā izaugsmes un attiecīgā gada gadskārtējā valsts budžeta likumā iekļautās IKP izaugsmes prognozes starpība pa IKP komponentēm, procentpunkti</w:t>
      </w:r>
    </w:p>
    <w:p w:rsidR="00EF1D74" w:rsidRPr="00EF1D74" w:rsidRDefault="00EF1D74" w:rsidP="00EF1D74">
      <w:pPr>
        <w:spacing w:before="240"/>
        <w:ind w:firstLine="0"/>
        <w:jc w:val="center"/>
        <w:rPr>
          <w:b/>
          <w:i/>
          <w:szCs w:val="24"/>
        </w:rPr>
      </w:pPr>
      <w:r w:rsidRPr="00EF1D74">
        <w:rPr>
          <w:rFonts w:eastAsia="Calibri"/>
          <w:noProof/>
          <w:szCs w:val="24"/>
          <w:lang w:eastAsia="lv-LV"/>
        </w:rPr>
        <w:drawing>
          <wp:inline distT="0" distB="0" distL="0" distR="0" wp14:anchorId="27D0E583" wp14:editId="1401877E">
            <wp:extent cx="5274310" cy="2854960"/>
            <wp:effectExtent l="0" t="0" r="2540" b="25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F1D74" w:rsidRPr="00EF1D74" w:rsidRDefault="00EF1D74" w:rsidP="00EF1D74">
      <w:pPr>
        <w:spacing w:before="240"/>
        <w:ind w:firstLine="0"/>
        <w:jc w:val="center"/>
        <w:rPr>
          <w:b/>
          <w:i/>
          <w:sz w:val="22"/>
          <w:szCs w:val="24"/>
        </w:rPr>
      </w:pPr>
    </w:p>
    <w:p w:rsidR="00EA09DB" w:rsidRPr="00EA09DB" w:rsidRDefault="00EF1D74" w:rsidP="00EF1D74">
      <w:r w:rsidRPr="00EF1D74">
        <w:rPr>
          <w:rFonts w:eastAsia="Calibri"/>
        </w:rPr>
        <w:t>Sākot ar 2013. gadu, līdz ar ekonomikas stabilizāciju, IKP prognožu kļūda ir būtiski ir samazinājusies</w:t>
      </w:r>
    </w:p>
    <w:sectPr w:rsidR="00EA09DB" w:rsidRPr="00EA09DB" w:rsidSect="000D24B7">
      <w:headerReference w:type="even" r:id="rId55"/>
      <w:headerReference w:type="default" r:id="rId56"/>
      <w:footerReference w:type="default" r:id="rId57"/>
      <w:footerReference w:type="first" r:id="rId58"/>
      <w:pgSz w:w="11906" w:h="16838" w:code="9"/>
      <w:pgMar w:top="1418" w:right="1134" w:bottom="1134" w:left="1701"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38F" w:rsidRDefault="0090538F">
      <w:r>
        <w:separator/>
      </w:r>
    </w:p>
  </w:endnote>
  <w:endnote w:type="continuationSeparator" w:id="0">
    <w:p w:rsidR="0090538F" w:rsidRDefault="0090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8F" w:rsidRDefault="0090538F">
    <w:pPr>
      <w:pStyle w:val="Footer"/>
    </w:pPr>
    <w:r>
      <w:rPr>
        <w:noProof/>
      </w:rPr>
      <w:fldChar w:fldCharType="begin"/>
    </w:r>
    <w:r>
      <w:rPr>
        <w:noProof/>
      </w:rPr>
      <w:instrText xml:space="preserve"> FILENAME   \* MERGEFORMAT </w:instrText>
    </w:r>
    <w:r>
      <w:rPr>
        <w:noProof/>
      </w:rPr>
      <w:fldChar w:fldCharType="separate"/>
    </w:r>
    <w:r w:rsidR="007F0830">
      <w:rPr>
        <w:noProof/>
      </w:rPr>
      <w:t>FMPask_1_121020_proj2021.docx</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8F" w:rsidRDefault="0090538F">
    <w:pPr>
      <w:pStyle w:val="Footer"/>
    </w:pPr>
    <w:r>
      <w:rPr>
        <w:sz w:val="24"/>
      </w:rPr>
      <w:fldChar w:fldCharType="begin"/>
    </w:r>
    <w:r>
      <w:rPr>
        <w:sz w:val="24"/>
      </w:rPr>
      <w:instrText xml:space="preserve"> FILENAME </w:instrText>
    </w:r>
    <w:r>
      <w:rPr>
        <w:sz w:val="24"/>
      </w:rPr>
      <w:fldChar w:fldCharType="separate"/>
    </w:r>
    <w:r>
      <w:rPr>
        <w:noProof/>
        <w:sz w:val="24"/>
      </w:rPr>
      <w:t>FMPask_D_071016_proj2017.docx</w:t>
    </w:r>
    <w:r>
      <w:rPr>
        <w:sz w:val="24"/>
      </w:rPr>
      <w:fldChar w:fldCharType="end"/>
    </w:r>
    <w:r>
      <w:rPr>
        <w:sz w:val="24"/>
      </w:rPr>
      <w:t xml:space="preserve">; </w:t>
    </w:r>
    <w:r>
      <w:rPr>
        <w:sz w:val="24"/>
      </w:rPr>
      <w:fldChar w:fldCharType="begin"/>
    </w:r>
    <w:r>
      <w:rPr>
        <w:sz w:val="24"/>
      </w:rPr>
      <w:instrText xml:space="preserve"> TITLE  \* MERGEFORMAT </w:instrText>
    </w:r>
    <w:r>
      <w:rPr>
        <w:sz w:val="24"/>
      </w:rPr>
      <w:fldChar w:fldCharType="separate"/>
    </w:r>
    <w:r w:rsidRPr="00C7433B">
      <w:rPr>
        <w:sz w:val="24"/>
      </w:rPr>
      <w:t>Likumprojekta "Par valsts budžetu 2017.gadam" paskaidrojumi. 2.nodaļa Fiskālais apskats</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38F" w:rsidRDefault="0090538F" w:rsidP="00645A26">
      <w:pPr>
        <w:spacing w:after="0"/>
        <w:ind w:firstLine="0"/>
      </w:pPr>
      <w:r>
        <w:separator/>
      </w:r>
    </w:p>
  </w:footnote>
  <w:footnote w:type="continuationSeparator" w:id="0">
    <w:p w:rsidR="0090538F" w:rsidRDefault="0090538F" w:rsidP="00DB6196">
      <w:pPr>
        <w:spacing w:after="0"/>
        <w:ind w:firstLine="0"/>
      </w:pPr>
      <w:r>
        <w:continuationSeparator/>
      </w:r>
    </w:p>
  </w:footnote>
  <w:footnote w:id="1">
    <w:p w:rsidR="00EF1D74" w:rsidRPr="0005677D" w:rsidRDefault="00EF1D74" w:rsidP="00EF1D74">
      <w:pPr>
        <w:pStyle w:val="FootnoteText"/>
        <w:tabs>
          <w:tab w:val="left" w:pos="7185"/>
        </w:tabs>
      </w:pPr>
      <w:r w:rsidRPr="0005677D">
        <w:rPr>
          <w:rStyle w:val="FootnoteReference"/>
        </w:rPr>
        <w:footnoteRef/>
      </w:r>
      <w:r w:rsidRPr="00B0256F">
        <w:rPr>
          <w:sz w:val="18"/>
          <w:szCs w:val="18"/>
        </w:rPr>
        <w:t xml:space="preserve">Datu avoti: Ja nav norādīts citādi - Centrālā Statistikas pārvalde (CSP) un </w:t>
      </w:r>
      <w:r>
        <w:rPr>
          <w:sz w:val="18"/>
          <w:szCs w:val="18"/>
        </w:rPr>
        <w:t>FM</w:t>
      </w:r>
      <w:r w:rsidRPr="00B0256F">
        <w:rPr>
          <w:sz w:val="18"/>
          <w:szCs w:val="18"/>
        </w:rPr>
        <w:t xml:space="preserve"> prognozes</w:t>
      </w:r>
      <w:r>
        <w:rPr>
          <w:sz w:val="18"/>
          <w:szCs w:val="18"/>
        </w:rPr>
        <w:t xml:space="preserve">. Dati atbilstoši Centrālās statistikas pārvaldes datu bāzēs pieejamajai informācijai </w:t>
      </w:r>
      <w:r w:rsidRPr="005379CA">
        <w:rPr>
          <w:sz w:val="18"/>
          <w:szCs w:val="18"/>
        </w:rPr>
        <w:t>līdz 30.09.2020.</w:t>
      </w:r>
      <w:r>
        <w:rPr>
          <w:sz w:val="18"/>
          <w:szCs w:val="18"/>
        </w:rPr>
        <w:t>, ietverot arī 30.09.2020. veikto IKP datu revīziju.</w:t>
      </w:r>
    </w:p>
  </w:footnote>
  <w:footnote w:id="2">
    <w:p w:rsidR="00EF1D74" w:rsidRPr="00935836" w:rsidRDefault="00EF1D74" w:rsidP="00EF1D74">
      <w:pPr>
        <w:pStyle w:val="FootnoteText"/>
      </w:pPr>
      <w:r w:rsidRPr="00935836">
        <w:rPr>
          <w:rStyle w:val="FootnoteReference"/>
        </w:rPr>
        <w:footnoteRef/>
      </w:r>
      <w:r w:rsidRPr="00935836">
        <w:t xml:space="preserve"> D</w:t>
      </w:r>
      <w:r w:rsidRPr="00E80840">
        <w:t xml:space="preserve">atu avots: Latvijas, Lietuvas, Igaunijas statistikas pārvaldes, </w:t>
      </w:r>
      <w:hyperlink r:id="rId1" w:history="1">
        <w:r w:rsidRPr="00E80840">
          <w:t>www.portnews.ru</w:t>
        </w:r>
      </w:hyperlink>
    </w:p>
  </w:footnote>
  <w:footnote w:id="3">
    <w:p w:rsidR="00EF1D74" w:rsidRPr="00181CD3" w:rsidRDefault="00EF1D74" w:rsidP="00EF1D74">
      <w:pPr>
        <w:pStyle w:val="FootnoteText"/>
        <w:jc w:val="both"/>
      </w:pPr>
      <w:r w:rsidRPr="00181CD3">
        <w:rPr>
          <w:vertAlign w:val="superscript"/>
        </w:rPr>
        <w:footnoteRef/>
      </w:r>
      <w:r w:rsidRPr="00181CD3">
        <w:rPr>
          <w:vertAlign w:val="superscript"/>
        </w:rPr>
        <w:t xml:space="preserve"> </w:t>
      </w:r>
      <w:r w:rsidRPr="00181CD3">
        <w:t xml:space="preserve">http://eur-lex.europa.eu: Jaunās regulas veido arī par Eiropas Semestra pamatu. Eiropas Semestris ir ES ekonomikas un budžeta politikas saskaņošanas ikgadējais cikls, kura ietvaros ES dalībvalstis saņem Eiropas komisijas ieteikumus - ieteikumi tiek sniegti Stabilitātes un izaugsmes </w:t>
      </w:r>
      <w:proofErr w:type="spellStart"/>
      <w:r w:rsidRPr="00181CD3">
        <w:t>pakta</w:t>
      </w:r>
      <w:proofErr w:type="spellEnd"/>
      <w:r w:rsidRPr="00181CD3">
        <w:t xml:space="preserve"> un makroekonomikas nelīdzsvarotības novēršanas procedūras kontekstā.</w:t>
      </w:r>
    </w:p>
  </w:footnote>
  <w:footnote w:id="4">
    <w:p w:rsidR="00EF1D74" w:rsidRPr="00164009" w:rsidRDefault="00EF1D74" w:rsidP="00EF1D74">
      <w:pPr>
        <w:pStyle w:val="FootnoteText"/>
      </w:pPr>
      <w:r w:rsidRPr="00164009">
        <w:rPr>
          <w:rStyle w:val="FootnoteReference"/>
        </w:rPr>
        <w:footnoteRef/>
      </w:r>
      <w:r w:rsidRPr="00164009">
        <w:t xml:space="preserve"> Nominālās vienības darbaspēka izmaksas (</w:t>
      </w:r>
      <w:r w:rsidRPr="00164009">
        <w:rPr>
          <w:i/>
          <w:lang w:val="en-GB"/>
        </w:rPr>
        <w:t>Nominal Unit Labour Costs</w:t>
      </w:r>
      <w:r w:rsidRPr="00164009">
        <w:t>) mēra vidējās darbaspēka izmaksas uz vienu saražoto produkcijas vienību</w:t>
      </w:r>
      <w:r>
        <w:t>.</w:t>
      </w:r>
    </w:p>
  </w:footnote>
  <w:footnote w:id="5">
    <w:p w:rsidR="00EF1D74" w:rsidRPr="00B94F9E" w:rsidRDefault="00EF1D74" w:rsidP="00EF1D74">
      <w:pPr>
        <w:pStyle w:val="FootnoteText"/>
        <w:rPr>
          <w:color w:val="000000"/>
        </w:rPr>
      </w:pPr>
      <w:r w:rsidRPr="00B94F9E">
        <w:rPr>
          <w:vertAlign w:val="superscript"/>
        </w:rPr>
        <w:footnoteRef/>
      </w:r>
      <w:r w:rsidRPr="00B94F9E">
        <w:t xml:space="preserve"> </w:t>
      </w:r>
      <w:hyperlink r:id="rId2" w:history="1">
        <w:r w:rsidRPr="00B94F9E">
          <w:rPr>
            <w:color w:val="000000"/>
          </w:rPr>
          <w:t>http://ec.europa.eu/</w:t>
        </w:r>
      </w:hyperlink>
      <w:r w:rsidRPr="00B94F9E">
        <w:rPr>
          <w:color w:val="000000"/>
        </w:rPr>
        <w:t xml:space="preserve">; </w:t>
      </w:r>
      <w:r w:rsidRPr="00B03BE4">
        <w:rPr>
          <w:color w:val="000000"/>
          <w:lang w:val="en-GB"/>
        </w:rPr>
        <w:t>Alert Mechanism Report</w:t>
      </w:r>
      <w:r w:rsidRPr="00B94F9E">
        <w:rPr>
          <w:color w:val="000000"/>
        </w:rPr>
        <w:t xml:space="preserve"> 2019 </w:t>
      </w:r>
    </w:p>
  </w:footnote>
  <w:footnote w:id="6">
    <w:p w:rsidR="00EF1D74" w:rsidRPr="006E4EE0" w:rsidRDefault="00EF1D74" w:rsidP="00EF1D74">
      <w:pPr>
        <w:pStyle w:val="FootnoteText"/>
        <w:jc w:val="both"/>
        <w:rPr>
          <w:sz w:val="18"/>
        </w:rPr>
      </w:pPr>
      <w:r w:rsidRPr="007371EB">
        <w:rPr>
          <w:rStyle w:val="FootnoteReference"/>
          <w:sz w:val="18"/>
          <w:szCs w:val="18"/>
        </w:rPr>
        <w:footnoteRef/>
      </w:r>
      <w:r w:rsidRPr="00AC4200">
        <w:t xml:space="preserve"> </w:t>
      </w:r>
      <w:r w:rsidRPr="006E4EE0">
        <w:rPr>
          <w:sz w:val="18"/>
        </w:rPr>
        <w:t>2020.gada ziņojumā par Latviju tiek izmantoti 2018. gada statistikas dati</w:t>
      </w:r>
    </w:p>
  </w:footnote>
  <w:footnote w:id="7">
    <w:p w:rsidR="00EF1D74" w:rsidRPr="006E4EE0" w:rsidRDefault="00EF1D74" w:rsidP="00EF1D74">
      <w:pPr>
        <w:pStyle w:val="FootnoteText"/>
        <w:jc w:val="both"/>
        <w:rPr>
          <w:sz w:val="18"/>
        </w:rPr>
      </w:pPr>
      <w:r w:rsidRPr="00AC4200">
        <w:rPr>
          <w:rStyle w:val="FootnoteReference"/>
        </w:rPr>
        <w:footnoteRef/>
      </w:r>
      <w:r w:rsidRPr="00AC4200">
        <w:t xml:space="preserve"> </w:t>
      </w:r>
      <w:r w:rsidRPr="006E4EE0">
        <w:rPr>
          <w:sz w:val="18"/>
        </w:rPr>
        <w:t xml:space="preserve">pēdējā ailē ir norādīts provizorisks novērtējums par 2019.gadu no </w:t>
      </w:r>
      <w:proofErr w:type="spellStart"/>
      <w:r w:rsidRPr="006E4EE0">
        <w:rPr>
          <w:i/>
          <w:sz w:val="18"/>
        </w:rPr>
        <w:t>Eurostat</w:t>
      </w:r>
      <w:proofErr w:type="spellEnd"/>
      <w:r w:rsidRPr="006E4EE0">
        <w:rPr>
          <w:sz w:val="18"/>
        </w:rPr>
        <w:t xml:space="preserve"> datiem, kas tiks izmantots par pamatu 2021.gada AMR ziņojuma sagatavošanā, kas tiks publicēts 2020. gada nogalē</w:t>
      </w:r>
    </w:p>
  </w:footnote>
  <w:footnote w:id="8">
    <w:p w:rsidR="00EF1D74" w:rsidRPr="00B70782" w:rsidRDefault="00EF1D74" w:rsidP="00EF1D74">
      <w:pPr>
        <w:pStyle w:val="FootnoteText"/>
        <w:rPr>
          <w:sz w:val="16"/>
          <w:szCs w:val="16"/>
        </w:rPr>
      </w:pPr>
      <w:r w:rsidRPr="00B70782">
        <w:rPr>
          <w:rStyle w:val="FootnoteReference"/>
          <w:sz w:val="16"/>
          <w:szCs w:val="16"/>
        </w:rPr>
        <w:footnoteRef/>
      </w:r>
      <w:r w:rsidRPr="00B70782">
        <w:rPr>
          <w:sz w:val="16"/>
          <w:szCs w:val="16"/>
        </w:rPr>
        <w:t xml:space="preserve"> Procentu likmei saglabājoties kā bāzes sc</w:t>
      </w:r>
      <w:r>
        <w:rPr>
          <w:sz w:val="16"/>
          <w:szCs w:val="16"/>
        </w:rPr>
        <w:t>enārijā</w:t>
      </w:r>
      <w:r w:rsidRPr="00B70782">
        <w:rPr>
          <w:sz w:val="16"/>
          <w:szCs w:val="16"/>
        </w:rPr>
        <w:t>.</w:t>
      </w:r>
    </w:p>
  </w:footnote>
  <w:footnote w:id="9">
    <w:p w:rsidR="00EF1D74" w:rsidRPr="00B70782" w:rsidRDefault="00EF1D74" w:rsidP="00EF1D74">
      <w:pPr>
        <w:pStyle w:val="FootnoteText"/>
        <w:rPr>
          <w:sz w:val="16"/>
          <w:szCs w:val="16"/>
        </w:rPr>
      </w:pPr>
      <w:r w:rsidRPr="00B70782">
        <w:rPr>
          <w:rStyle w:val="FootnoteReference"/>
          <w:sz w:val="16"/>
          <w:szCs w:val="16"/>
        </w:rPr>
        <w:footnoteRef/>
      </w:r>
      <w:r w:rsidRPr="00B70782">
        <w:rPr>
          <w:sz w:val="16"/>
          <w:szCs w:val="16"/>
        </w:rPr>
        <w:t xml:space="preserve"> Procentu likmei saglabājoties kā bāzes sc</w:t>
      </w:r>
      <w:r>
        <w:rPr>
          <w:sz w:val="16"/>
          <w:szCs w:val="16"/>
        </w:rPr>
        <w:t>enārijā</w:t>
      </w:r>
      <w:r w:rsidRPr="00B70782">
        <w:rPr>
          <w:sz w:val="16"/>
          <w:szCs w:val="16"/>
        </w:rPr>
        <w:t>.</w:t>
      </w:r>
    </w:p>
  </w:footnote>
  <w:footnote w:id="10">
    <w:p w:rsidR="00EF1D74" w:rsidRPr="00411AA1" w:rsidRDefault="00EF1D74" w:rsidP="00EF1D74">
      <w:pPr>
        <w:pStyle w:val="FootnoteText"/>
        <w:jc w:val="both"/>
        <w:rPr>
          <w:sz w:val="16"/>
        </w:rPr>
      </w:pPr>
      <w:r w:rsidRPr="00411AA1">
        <w:rPr>
          <w:rStyle w:val="FootnoteReference"/>
          <w:sz w:val="18"/>
        </w:rPr>
        <w:footnoteRef/>
      </w:r>
      <w:r w:rsidRPr="00411AA1">
        <w:t xml:space="preserve"> Tabulā ir atspoguļotas attiecīgā gada prognozes, kas izstrādātas vienu gadu iepriekš (T-1). Piemēram, 2020. gada prognozes ir izstrādātas 2019. gadā. FM prognozes ir attiecīgā gada budžeta prognozes, kas izstrādātas iepriekšējā gada jūnijā, izņemot 2011. un 2012., 2015., kā arī 2018. gada budžetus, kad iepriekšējā gada rudenī notika Saeimas vēlēšanas un prognozes tika sagatavotas vēlāk rudenī. OECD, SVF un EK prognozes ir minēto institūciju tekošajā gadā publicētās jaunākās (līdz attiecīgā gada jūnijam) prognozes par nākošo gadu.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8F" w:rsidRDefault="009053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90538F" w:rsidRDefault="00905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374387"/>
      <w:docPartObj>
        <w:docPartGallery w:val="Page Numbers (Top of Page)"/>
        <w:docPartUnique/>
      </w:docPartObj>
    </w:sdtPr>
    <w:sdtEndPr>
      <w:rPr>
        <w:noProof/>
      </w:rPr>
    </w:sdtEndPr>
    <w:sdtContent>
      <w:p w:rsidR="0090538F" w:rsidRDefault="0090538F" w:rsidP="00DB77B1">
        <w:pPr>
          <w:pStyle w:val="Header"/>
          <w:tabs>
            <w:tab w:val="left" w:pos="4275"/>
            <w:tab w:val="center" w:pos="4535"/>
          </w:tabs>
          <w:jc w:val="left"/>
          <w:rPr>
            <w:noProof/>
          </w:rPr>
        </w:pPr>
        <w:r>
          <w:tab/>
        </w:r>
        <w:r>
          <w:tab/>
        </w:r>
        <w:r>
          <w:tab/>
        </w:r>
        <w:r>
          <w:fldChar w:fldCharType="begin"/>
        </w:r>
        <w:r>
          <w:instrText xml:space="preserve"> PAGE   \* MERGEFORMAT </w:instrText>
        </w:r>
        <w:r>
          <w:fldChar w:fldCharType="separate"/>
        </w:r>
        <w:r w:rsidR="00315EA8">
          <w:rPr>
            <w:noProof/>
          </w:rPr>
          <w:t>64</w:t>
        </w:r>
        <w:r>
          <w:rPr>
            <w:noProof/>
          </w:rPr>
          <w:fldChar w:fldCharType="end"/>
        </w:r>
      </w:p>
      <w:p w:rsidR="0090538F" w:rsidRDefault="00315EA8">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22DA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81B87"/>
    <w:multiLevelType w:val="hybridMultilevel"/>
    <w:tmpl w:val="14462D7E"/>
    <w:lvl w:ilvl="0" w:tplc="FC48DC70">
      <w:start w:val="1"/>
      <w:numFmt w:val="decimal"/>
      <w:lvlText w:val="%1."/>
      <w:lvlJc w:val="left"/>
      <w:pPr>
        <w:ind w:left="1582" w:hanging="360"/>
      </w:pPr>
      <w:rPr>
        <w:rFonts w:ascii="Times New Roman" w:hAnsi="Times New Roman" w:hint="default"/>
        <w:sz w:val="24"/>
      </w:rPr>
    </w:lvl>
    <w:lvl w:ilvl="1" w:tplc="04260019" w:tentative="1">
      <w:start w:val="1"/>
      <w:numFmt w:val="lowerLetter"/>
      <w:lvlText w:val="%2."/>
      <w:lvlJc w:val="left"/>
      <w:pPr>
        <w:ind w:left="2302" w:hanging="360"/>
      </w:pPr>
    </w:lvl>
    <w:lvl w:ilvl="2" w:tplc="0426001B" w:tentative="1">
      <w:start w:val="1"/>
      <w:numFmt w:val="lowerRoman"/>
      <w:lvlText w:val="%3."/>
      <w:lvlJc w:val="right"/>
      <w:pPr>
        <w:ind w:left="3022" w:hanging="180"/>
      </w:pPr>
    </w:lvl>
    <w:lvl w:ilvl="3" w:tplc="0426000F" w:tentative="1">
      <w:start w:val="1"/>
      <w:numFmt w:val="decimal"/>
      <w:lvlText w:val="%4."/>
      <w:lvlJc w:val="left"/>
      <w:pPr>
        <w:ind w:left="3742" w:hanging="360"/>
      </w:pPr>
    </w:lvl>
    <w:lvl w:ilvl="4" w:tplc="04260019" w:tentative="1">
      <w:start w:val="1"/>
      <w:numFmt w:val="lowerLetter"/>
      <w:lvlText w:val="%5."/>
      <w:lvlJc w:val="left"/>
      <w:pPr>
        <w:ind w:left="4462" w:hanging="360"/>
      </w:pPr>
    </w:lvl>
    <w:lvl w:ilvl="5" w:tplc="0426001B" w:tentative="1">
      <w:start w:val="1"/>
      <w:numFmt w:val="lowerRoman"/>
      <w:lvlText w:val="%6."/>
      <w:lvlJc w:val="right"/>
      <w:pPr>
        <w:ind w:left="5182" w:hanging="180"/>
      </w:pPr>
    </w:lvl>
    <w:lvl w:ilvl="6" w:tplc="0426000F" w:tentative="1">
      <w:start w:val="1"/>
      <w:numFmt w:val="decimal"/>
      <w:lvlText w:val="%7."/>
      <w:lvlJc w:val="left"/>
      <w:pPr>
        <w:ind w:left="5902" w:hanging="360"/>
      </w:pPr>
    </w:lvl>
    <w:lvl w:ilvl="7" w:tplc="04260019" w:tentative="1">
      <w:start w:val="1"/>
      <w:numFmt w:val="lowerLetter"/>
      <w:lvlText w:val="%8."/>
      <w:lvlJc w:val="left"/>
      <w:pPr>
        <w:ind w:left="6622" w:hanging="360"/>
      </w:pPr>
    </w:lvl>
    <w:lvl w:ilvl="8" w:tplc="0426001B" w:tentative="1">
      <w:start w:val="1"/>
      <w:numFmt w:val="lowerRoman"/>
      <w:lvlText w:val="%9."/>
      <w:lvlJc w:val="right"/>
      <w:pPr>
        <w:ind w:left="7342" w:hanging="180"/>
      </w:pPr>
    </w:lvl>
  </w:abstractNum>
  <w:abstractNum w:abstractNumId="2" w15:restartNumberingAfterBreak="0">
    <w:nsid w:val="6A4F3174"/>
    <w:multiLevelType w:val="hybridMultilevel"/>
    <w:tmpl w:val="F918AD8C"/>
    <w:lvl w:ilvl="0" w:tplc="537640EE">
      <w:start w:val="1"/>
      <w:numFmt w:val="decimal"/>
      <w:lvlText w:val="%1."/>
      <w:lvlJc w:val="left"/>
      <w:pPr>
        <w:ind w:left="502" w:hanging="360"/>
      </w:pPr>
      <w:rPr>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42"/>
    <w:rsid w:val="00002C5F"/>
    <w:rsid w:val="0000670F"/>
    <w:rsid w:val="0000682B"/>
    <w:rsid w:val="0001194A"/>
    <w:rsid w:val="0001300E"/>
    <w:rsid w:val="00013083"/>
    <w:rsid w:val="00013716"/>
    <w:rsid w:val="00013B3E"/>
    <w:rsid w:val="00014540"/>
    <w:rsid w:val="0001655C"/>
    <w:rsid w:val="00016781"/>
    <w:rsid w:val="000179DE"/>
    <w:rsid w:val="00022D76"/>
    <w:rsid w:val="000231C3"/>
    <w:rsid w:val="00023EDF"/>
    <w:rsid w:val="00024872"/>
    <w:rsid w:val="00026213"/>
    <w:rsid w:val="000403B5"/>
    <w:rsid w:val="000458D6"/>
    <w:rsid w:val="00046E7F"/>
    <w:rsid w:val="00047E93"/>
    <w:rsid w:val="00051EF4"/>
    <w:rsid w:val="00055D14"/>
    <w:rsid w:val="0005622E"/>
    <w:rsid w:val="000566CA"/>
    <w:rsid w:val="000614B0"/>
    <w:rsid w:val="000632B3"/>
    <w:rsid w:val="0007385D"/>
    <w:rsid w:val="00074A9A"/>
    <w:rsid w:val="000764DB"/>
    <w:rsid w:val="0008141D"/>
    <w:rsid w:val="00081BC4"/>
    <w:rsid w:val="00083327"/>
    <w:rsid w:val="000958AB"/>
    <w:rsid w:val="000958F4"/>
    <w:rsid w:val="000960A7"/>
    <w:rsid w:val="00096EC5"/>
    <w:rsid w:val="000A07D3"/>
    <w:rsid w:val="000A334D"/>
    <w:rsid w:val="000A4274"/>
    <w:rsid w:val="000A7CC4"/>
    <w:rsid w:val="000B2F12"/>
    <w:rsid w:val="000B3D83"/>
    <w:rsid w:val="000B4795"/>
    <w:rsid w:val="000B598E"/>
    <w:rsid w:val="000B79BF"/>
    <w:rsid w:val="000C0784"/>
    <w:rsid w:val="000C2DB1"/>
    <w:rsid w:val="000D1731"/>
    <w:rsid w:val="000D24B7"/>
    <w:rsid w:val="000D4778"/>
    <w:rsid w:val="000D6DFA"/>
    <w:rsid w:val="000E0972"/>
    <w:rsid w:val="000E3734"/>
    <w:rsid w:val="000E4833"/>
    <w:rsid w:val="000F44FB"/>
    <w:rsid w:val="000F6E28"/>
    <w:rsid w:val="001002F9"/>
    <w:rsid w:val="00103754"/>
    <w:rsid w:val="001055B8"/>
    <w:rsid w:val="00105631"/>
    <w:rsid w:val="00105843"/>
    <w:rsid w:val="001079E4"/>
    <w:rsid w:val="0011131F"/>
    <w:rsid w:val="00112F83"/>
    <w:rsid w:val="00126C0C"/>
    <w:rsid w:val="00131D32"/>
    <w:rsid w:val="00131DFD"/>
    <w:rsid w:val="001378E6"/>
    <w:rsid w:val="00142A21"/>
    <w:rsid w:val="00144403"/>
    <w:rsid w:val="0014530B"/>
    <w:rsid w:val="00145391"/>
    <w:rsid w:val="00146152"/>
    <w:rsid w:val="00147642"/>
    <w:rsid w:val="00147F25"/>
    <w:rsid w:val="00154954"/>
    <w:rsid w:val="00154FD9"/>
    <w:rsid w:val="00155400"/>
    <w:rsid w:val="001559B9"/>
    <w:rsid w:val="00171462"/>
    <w:rsid w:val="00172DAF"/>
    <w:rsid w:val="00174E16"/>
    <w:rsid w:val="001774F4"/>
    <w:rsid w:val="00177995"/>
    <w:rsid w:val="00177B25"/>
    <w:rsid w:val="00183DBC"/>
    <w:rsid w:val="00185380"/>
    <w:rsid w:val="00187C22"/>
    <w:rsid w:val="00191B6D"/>
    <w:rsid w:val="001946EF"/>
    <w:rsid w:val="001952BA"/>
    <w:rsid w:val="00196CD0"/>
    <w:rsid w:val="001A199E"/>
    <w:rsid w:val="001A2B14"/>
    <w:rsid w:val="001A3888"/>
    <w:rsid w:val="001B159B"/>
    <w:rsid w:val="001B3A5F"/>
    <w:rsid w:val="001B525A"/>
    <w:rsid w:val="001B5AE8"/>
    <w:rsid w:val="001B6350"/>
    <w:rsid w:val="001B690F"/>
    <w:rsid w:val="001B6E35"/>
    <w:rsid w:val="001B73EC"/>
    <w:rsid w:val="001C6E10"/>
    <w:rsid w:val="001D0BA1"/>
    <w:rsid w:val="001D4AB6"/>
    <w:rsid w:val="001D5168"/>
    <w:rsid w:val="001D58DC"/>
    <w:rsid w:val="001E002E"/>
    <w:rsid w:val="001E239E"/>
    <w:rsid w:val="001E4938"/>
    <w:rsid w:val="001E4F38"/>
    <w:rsid w:val="001E5341"/>
    <w:rsid w:val="001E70B0"/>
    <w:rsid w:val="001F57A4"/>
    <w:rsid w:val="001F67EF"/>
    <w:rsid w:val="001F7E9B"/>
    <w:rsid w:val="00200D66"/>
    <w:rsid w:val="00202209"/>
    <w:rsid w:val="00205F43"/>
    <w:rsid w:val="002105E2"/>
    <w:rsid w:val="00211DBC"/>
    <w:rsid w:val="00212A19"/>
    <w:rsid w:val="00212A4E"/>
    <w:rsid w:val="00213F4C"/>
    <w:rsid w:val="00214E25"/>
    <w:rsid w:val="00217609"/>
    <w:rsid w:val="0022268B"/>
    <w:rsid w:val="0022541A"/>
    <w:rsid w:val="00225B28"/>
    <w:rsid w:val="00230726"/>
    <w:rsid w:val="00231A83"/>
    <w:rsid w:val="0023209D"/>
    <w:rsid w:val="00235100"/>
    <w:rsid w:val="002357C2"/>
    <w:rsid w:val="0023672D"/>
    <w:rsid w:val="00236CF5"/>
    <w:rsid w:val="002409B9"/>
    <w:rsid w:val="00241A89"/>
    <w:rsid w:val="00244018"/>
    <w:rsid w:val="00244943"/>
    <w:rsid w:val="0024496D"/>
    <w:rsid w:val="00247097"/>
    <w:rsid w:val="00247951"/>
    <w:rsid w:val="00247CEF"/>
    <w:rsid w:val="002503AB"/>
    <w:rsid w:val="00253A2B"/>
    <w:rsid w:val="00260553"/>
    <w:rsid w:val="00261EA2"/>
    <w:rsid w:val="0026280F"/>
    <w:rsid w:val="00263D0E"/>
    <w:rsid w:val="00265147"/>
    <w:rsid w:val="00266FF3"/>
    <w:rsid w:val="00267F8A"/>
    <w:rsid w:val="002742C0"/>
    <w:rsid w:val="00274E24"/>
    <w:rsid w:val="00275868"/>
    <w:rsid w:val="002779BC"/>
    <w:rsid w:val="0028173F"/>
    <w:rsid w:val="002845B9"/>
    <w:rsid w:val="00286031"/>
    <w:rsid w:val="00286577"/>
    <w:rsid w:val="0029292B"/>
    <w:rsid w:val="0029355E"/>
    <w:rsid w:val="002936F1"/>
    <w:rsid w:val="002938BD"/>
    <w:rsid w:val="002A1516"/>
    <w:rsid w:val="002B0226"/>
    <w:rsid w:val="002B27F3"/>
    <w:rsid w:val="002C1CE4"/>
    <w:rsid w:val="002C1DE4"/>
    <w:rsid w:val="002C4CCA"/>
    <w:rsid w:val="002C68AF"/>
    <w:rsid w:val="002C6B81"/>
    <w:rsid w:val="002C6D7B"/>
    <w:rsid w:val="002D17E0"/>
    <w:rsid w:val="002D2492"/>
    <w:rsid w:val="002D523B"/>
    <w:rsid w:val="002D6048"/>
    <w:rsid w:val="002D69F9"/>
    <w:rsid w:val="002E1629"/>
    <w:rsid w:val="002E2976"/>
    <w:rsid w:val="002E3B98"/>
    <w:rsid w:val="002E74D1"/>
    <w:rsid w:val="002E7CF8"/>
    <w:rsid w:val="002F0733"/>
    <w:rsid w:val="002F379F"/>
    <w:rsid w:val="002F61F3"/>
    <w:rsid w:val="002F76F3"/>
    <w:rsid w:val="00300626"/>
    <w:rsid w:val="0030153B"/>
    <w:rsid w:val="00306BF2"/>
    <w:rsid w:val="00311C5B"/>
    <w:rsid w:val="00314A65"/>
    <w:rsid w:val="00315EA8"/>
    <w:rsid w:val="00324B13"/>
    <w:rsid w:val="003258F3"/>
    <w:rsid w:val="0033149C"/>
    <w:rsid w:val="0033559A"/>
    <w:rsid w:val="00337A7C"/>
    <w:rsid w:val="00340CF2"/>
    <w:rsid w:val="00341239"/>
    <w:rsid w:val="00342115"/>
    <w:rsid w:val="00343EB0"/>
    <w:rsid w:val="00343F4E"/>
    <w:rsid w:val="00344E80"/>
    <w:rsid w:val="00346639"/>
    <w:rsid w:val="00347547"/>
    <w:rsid w:val="003477E8"/>
    <w:rsid w:val="00347967"/>
    <w:rsid w:val="00350B06"/>
    <w:rsid w:val="00351D59"/>
    <w:rsid w:val="00355240"/>
    <w:rsid w:val="00355D79"/>
    <w:rsid w:val="00357DE5"/>
    <w:rsid w:val="003610C2"/>
    <w:rsid w:val="00361A17"/>
    <w:rsid w:val="00363409"/>
    <w:rsid w:val="00373045"/>
    <w:rsid w:val="00373BDD"/>
    <w:rsid w:val="00377FD6"/>
    <w:rsid w:val="0038136B"/>
    <w:rsid w:val="003813B0"/>
    <w:rsid w:val="00381942"/>
    <w:rsid w:val="00387DE5"/>
    <w:rsid w:val="00392D30"/>
    <w:rsid w:val="00393E8A"/>
    <w:rsid w:val="003970BC"/>
    <w:rsid w:val="003A1E81"/>
    <w:rsid w:val="003A48F6"/>
    <w:rsid w:val="003A498A"/>
    <w:rsid w:val="003A65BC"/>
    <w:rsid w:val="003A6F01"/>
    <w:rsid w:val="003A7C75"/>
    <w:rsid w:val="003B3117"/>
    <w:rsid w:val="003B5971"/>
    <w:rsid w:val="003B63B3"/>
    <w:rsid w:val="003C0F79"/>
    <w:rsid w:val="003C2663"/>
    <w:rsid w:val="003C2D1E"/>
    <w:rsid w:val="003C35B5"/>
    <w:rsid w:val="003C3925"/>
    <w:rsid w:val="003C400B"/>
    <w:rsid w:val="003C45D1"/>
    <w:rsid w:val="003D14D5"/>
    <w:rsid w:val="003D26C1"/>
    <w:rsid w:val="003D3828"/>
    <w:rsid w:val="003D43E7"/>
    <w:rsid w:val="003D7B34"/>
    <w:rsid w:val="003E08FF"/>
    <w:rsid w:val="003E606D"/>
    <w:rsid w:val="003F2423"/>
    <w:rsid w:val="003F34D7"/>
    <w:rsid w:val="003F35B1"/>
    <w:rsid w:val="003F3AAC"/>
    <w:rsid w:val="003F4BB1"/>
    <w:rsid w:val="003F5EB0"/>
    <w:rsid w:val="003F745F"/>
    <w:rsid w:val="00400DDE"/>
    <w:rsid w:val="00405BEF"/>
    <w:rsid w:val="00411751"/>
    <w:rsid w:val="00411D9E"/>
    <w:rsid w:val="0041283F"/>
    <w:rsid w:val="00415A3D"/>
    <w:rsid w:val="00420BF0"/>
    <w:rsid w:val="004216A0"/>
    <w:rsid w:val="00423A61"/>
    <w:rsid w:val="00424F7F"/>
    <w:rsid w:val="00425ADB"/>
    <w:rsid w:val="004271AC"/>
    <w:rsid w:val="00431319"/>
    <w:rsid w:val="00432E87"/>
    <w:rsid w:val="00434853"/>
    <w:rsid w:val="00434F0F"/>
    <w:rsid w:val="004408CA"/>
    <w:rsid w:val="0044180E"/>
    <w:rsid w:val="00443719"/>
    <w:rsid w:val="004479A1"/>
    <w:rsid w:val="0045110A"/>
    <w:rsid w:val="00451A22"/>
    <w:rsid w:val="00452A8A"/>
    <w:rsid w:val="004553A0"/>
    <w:rsid w:val="00455725"/>
    <w:rsid w:val="00460C08"/>
    <w:rsid w:val="00464D70"/>
    <w:rsid w:val="00467996"/>
    <w:rsid w:val="004724BA"/>
    <w:rsid w:val="00474510"/>
    <w:rsid w:val="004745CD"/>
    <w:rsid w:val="004755A2"/>
    <w:rsid w:val="004761E5"/>
    <w:rsid w:val="00480ADB"/>
    <w:rsid w:val="004847F5"/>
    <w:rsid w:val="00495DDD"/>
    <w:rsid w:val="004A1762"/>
    <w:rsid w:val="004A2816"/>
    <w:rsid w:val="004A3F5B"/>
    <w:rsid w:val="004A5E59"/>
    <w:rsid w:val="004A5FFB"/>
    <w:rsid w:val="004A634B"/>
    <w:rsid w:val="004A75F4"/>
    <w:rsid w:val="004A7D43"/>
    <w:rsid w:val="004B581C"/>
    <w:rsid w:val="004B742D"/>
    <w:rsid w:val="004C1D9A"/>
    <w:rsid w:val="004D0832"/>
    <w:rsid w:val="004D2D2B"/>
    <w:rsid w:val="004D35E0"/>
    <w:rsid w:val="004D420B"/>
    <w:rsid w:val="004D4910"/>
    <w:rsid w:val="004D6476"/>
    <w:rsid w:val="004E2527"/>
    <w:rsid w:val="004E6B0A"/>
    <w:rsid w:val="004F2064"/>
    <w:rsid w:val="004F2C63"/>
    <w:rsid w:val="004F2C94"/>
    <w:rsid w:val="004F455D"/>
    <w:rsid w:val="004F6429"/>
    <w:rsid w:val="004F6BFD"/>
    <w:rsid w:val="00503460"/>
    <w:rsid w:val="0050460F"/>
    <w:rsid w:val="00505586"/>
    <w:rsid w:val="00505B19"/>
    <w:rsid w:val="005068E4"/>
    <w:rsid w:val="005072A5"/>
    <w:rsid w:val="00510902"/>
    <w:rsid w:val="00510A4F"/>
    <w:rsid w:val="005125E7"/>
    <w:rsid w:val="0051261E"/>
    <w:rsid w:val="005139F0"/>
    <w:rsid w:val="0051417D"/>
    <w:rsid w:val="005203A5"/>
    <w:rsid w:val="005216E4"/>
    <w:rsid w:val="00521CE9"/>
    <w:rsid w:val="00522797"/>
    <w:rsid w:val="00523C8C"/>
    <w:rsid w:val="00523E62"/>
    <w:rsid w:val="00525806"/>
    <w:rsid w:val="00526F4F"/>
    <w:rsid w:val="00530C29"/>
    <w:rsid w:val="005368B5"/>
    <w:rsid w:val="00540E20"/>
    <w:rsid w:val="00541A4F"/>
    <w:rsid w:val="00542403"/>
    <w:rsid w:val="0054446B"/>
    <w:rsid w:val="00550904"/>
    <w:rsid w:val="00557082"/>
    <w:rsid w:val="00560628"/>
    <w:rsid w:val="00566114"/>
    <w:rsid w:val="00567120"/>
    <w:rsid w:val="005709BB"/>
    <w:rsid w:val="005726EA"/>
    <w:rsid w:val="005749FC"/>
    <w:rsid w:val="00575675"/>
    <w:rsid w:val="00577591"/>
    <w:rsid w:val="00577C70"/>
    <w:rsid w:val="00580CC7"/>
    <w:rsid w:val="0058665D"/>
    <w:rsid w:val="00590259"/>
    <w:rsid w:val="00591519"/>
    <w:rsid w:val="00591E97"/>
    <w:rsid w:val="005933B1"/>
    <w:rsid w:val="005942B4"/>
    <w:rsid w:val="005A4908"/>
    <w:rsid w:val="005A5703"/>
    <w:rsid w:val="005A6228"/>
    <w:rsid w:val="005A6EF1"/>
    <w:rsid w:val="005A7DA4"/>
    <w:rsid w:val="005C0AE0"/>
    <w:rsid w:val="005C5800"/>
    <w:rsid w:val="005C71B0"/>
    <w:rsid w:val="005D0340"/>
    <w:rsid w:val="005D2CB8"/>
    <w:rsid w:val="005D5B91"/>
    <w:rsid w:val="005D661C"/>
    <w:rsid w:val="005E217F"/>
    <w:rsid w:val="005E6843"/>
    <w:rsid w:val="005E6D10"/>
    <w:rsid w:val="005E70EB"/>
    <w:rsid w:val="005F012B"/>
    <w:rsid w:val="005F4CB3"/>
    <w:rsid w:val="005F5453"/>
    <w:rsid w:val="005F574A"/>
    <w:rsid w:val="005F7596"/>
    <w:rsid w:val="006015AA"/>
    <w:rsid w:val="00604CEF"/>
    <w:rsid w:val="00605640"/>
    <w:rsid w:val="00610CFD"/>
    <w:rsid w:val="0061285C"/>
    <w:rsid w:val="0061430B"/>
    <w:rsid w:val="00614CBC"/>
    <w:rsid w:val="006155B6"/>
    <w:rsid w:val="006171BD"/>
    <w:rsid w:val="00617C07"/>
    <w:rsid w:val="0062233D"/>
    <w:rsid w:val="0062587A"/>
    <w:rsid w:val="00625C89"/>
    <w:rsid w:val="006273F3"/>
    <w:rsid w:val="00632978"/>
    <w:rsid w:val="00635327"/>
    <w:rsid w:val="00643F4E"/>
    <w:rsid w:val="00644A38"/>
    <w:rsid w:val="00645A26"/>
    <w:rsid w:val="0064620E"/>
    <w:rsid w:val="00652F7F"/>
    <w:rsid w:val="0065483B"/>
    <w:rsid w:val="006551B3"/>
    <w:rsid w:val="00656AD9"/>
    <w:rsid w:val="0066216A"/>
    <w:rsid w:val="00662177"/>
    <w:rsid w:val="006632C6"/>
    <w:rsid w:val="00663713"/>
    <w:rsid w:val="00664397"/>
    <w:rsid w:val="00664A5D"/>
    <w:rsid w:val="00664CD3"/>
    <w:rsid w:val="0066559C"/>
    <w:rsid w:val="00666978"/>
    <w:rsid w:val="00670AAC"/>
    <w:rsid w:val="00677880"/>
    <w:rsid w:val="006802CD"/>
    <w:rsid w:val="006804DD"/>
    <w:rsid w:val="0068326E"/>
    <w:rsid w:val="00695565"/>
    <w:rsid w:val="006A2154"/>
    <w:rsid w:val="006A28D5"/>
    <w:rsid w:val="006A6B7A"/>
    <w:rsid w:val="006A75C7"/>
    <w:rsid w:val="006A7F21"/>
    <w:rsid w:val="006B1DDE"/>
    <w:rsid w:val="006B2B5C"/>
    <w:rsid w:val="006B4A35"/>
    <w:rsid w:val="006B63EE"/>
    <w:rsid w:val="006B7542"/>
    <w:rsid w:val="006C41CB"/>
    <w:rsid w:val="006C4C54"/>
    <w:rsid w:val="006C5ADE"/>
    <w:rsid w:val="006C6708"/>
    <w:rsid w:val="006D04C0"/>
    <w:rsid w:val="006D2326"/>
    <w:rsid w:val="006D288D"/>
    <w:rsid w:val="006D3844"/>
    <w:rsid w:val="006D6693"/>
    <w:rsid w:val="006D6738"/>
    <w:rsid w:val="006D75AA"/>
    <w:rsid w:val="006E1B3F"/>
    <w:rsid w:val="006E24CE"/>
    <w:rsid w:val="006E45AD"/>
    <w:rsid w:val="006F1951"/>
    <w:rsid w:val="006F68BC"/>
    <w:rsid w:val="006F7038"/>
    <w:rsid w:val="00701434"/>
    <w:rsid w:val="00701903"/>
    <w:rsid w:val="0070239E"/>
    <w:rsid w:val="0070532A"/>
    <w:rsid w:val="007074EB"/>
    <w:rsid w:val="00711574"/>
    <w:rsid w:val="0072578D"/>
    <w:rsid w:val="007261ED"/>
    <w:rsid w:val="00731546"/>
    <w:rsid w:val="007330E2"/>
    <w:rsid w:val="0073314C"/>
    <w:rsid w:val="0073495C"/>
    <w:rsid w:val="00744942"/>
    <w:rsid w:val="00745481"/>
    <w:rsid w:val="00746799"/>
    <w:rsid w:val="0075396F"/>
    <w:rsid w:val="007557A5"/>
    <w:rsid w:val="007574F6"/>
    <w:rsid w:val="0076237E"/>
    <w:rsid w:val="00763A06"/>
    <w:rsid w:val="00765557"/>
    <w:rsid w:val="007662D6"/>
    <w:rsid w:val="00766B6B"/>
    <w:rsid w:val="007674AB"/>
    <w:rsid w:val="00767C9C"/>
    <w:rsid w:val="00770247"/>
    <w:rsid w:val="0077391F"/>
    <w:rsid w:val="007747FC"/>
    <w:rsid w:val="007766A7"/>
    <w:rsid w:val="0077730E"/>
    <w:rsid w:val="0077756E"/>
    <w:rsid w:val="00777B21"/>
    <w:rsid w:val="00777BF3"/>
    <w:rsid w:val="00780A29"/>
    <w:rsid w:val="007810BF"/>
    <w:rsid w:val="00781292"/>
    <w:rsid w:val="00782EF6"/>
    <w:rsid w:val="00783177"/>
    <w:rsid w:val="00783325"/>
    <w:rsid w:val="00783956"/>
    <w:rsid w:val="00784258"/>
    <w:rsid w:val="00787D88"/>
    <w:rsid w:val="00795939"/>
    <w:rsid w:val="00797C92"/>
    <w:rsid w:val="007A03F1"/>
    <w:rsid w:val="007A2BBC"/>
    <w:rsid w:val="007A54DB"/>
    <w:rsid w:val="007B03B5"/>
    <w:rsid w:val="007B4BCB"/>
    <w:rsid w:val="007C117F"/>
    <w:rsid w:val="007C4DAE"/>
    <w:rsid w:val="007C5130"/>
    <w:rsid w:val="007C7486"/>
    <w:rsid w:val="007D0015"/>
    <w:rsid w:val="007D00C2"/>
    <w:rsid w:val="007D05B7"/>
    <w:rsid w:val="007D090D"/>
    <w:rsid w:val="007D179F"/>
    <w:rsid w:val="007D1EEC"/>
    <w:rsid w:val="007E1BA6"/>
    <w:rsid w:val="007F0830"/>
    <w:rsid w:val="007F64A9"/>
    <w:rsid w:val="007F79C0"/>
    <w:rsid w:val="00801425"/>
    <w:rsid w:val="00801947"/>
    <w:rsid w:val="00805884"/>
    <w:rsid w:val="00812001"/>
    <w:rsid w:val="008131ED"/>
    <w:rsid w:val="00814342"/>
    <w:rsid w:val="0082138D"/>
    <w:rsid w:val="00824665"/>
    <w:rsid w:val="008248F8"/>
    <w:rsid w:val="00824A53"/>
    <w:rsid w:val="008300A2"/>
    <w:rsid w:val="00831298"/>
    <w:rsid w:val="008347CC"/>
    <w:rsid w:val="00834DF8"/>
    <w:rsid w:val="00840729"/>
    <w:rsid w:val="00840F75"/>
    <w:rsid w:val="008412AA"/>
    <w:rsid w:val="00845DD4"/>
    <w:rsid w:val="00846CA0"/>
    <w:rsid w:val="00850B80"/>
    <w:rsid w:val="00852A7A"/>
    <w:rsid w:val="00854EFF"/>
    <w:rsid w:val="008562A6"/>
    <w:rsid w:val="00856C2C"/>
    <w:rsid w:val="008600E3"/>
    <w:rsid w:val="008615A5"/>
    <w:rsid w:val="00863A95"/>
    <w:rsid w:val="008645D1"/>
    <w:rsid w:val="00865BA9"/>
    <w:rsid w:val="00866C94"/>
    <w:rsid w:val="00867B4A"/>
    <w:rsid w:val="008712EF"/>
    <w:rsid w:val="00874245"/>
    <w:rsid w:val="00874279"/>
    <w:rsid w:val="008745F3"/>
    <w:rsid w:val="00881947"/>
    <w:rsid w:val="00885482"/>
    <w:rsid w:val="0089031C"/>
    <w:rsid w:val="00893A59"/>
    <w:rsid w:val="00893F15"/>
    <w:rsid w:val="008A3E4E"/>
    <w:rsid w:val="008A7B75"/>
    <w:rsid w:val="008B066E"/>
    <w:rsid w:val="008B0A04"/>
    <w:rsid w:val="008B3B03"/>
    <w:rsid w:val="008B6F4A"/>
    <w:rsid w:val="008B7862"/>
    <w:rsid w:val="008C0FFC"/>
    <w:rsid w:val="008C14FA"/>
    <w:rsid w:val="008C428F"/>
    <w:rsid w:val="008C71C1"/>
    <w:rsid w:val="008D06A1"/>
    <w:rsid w:val="008D0D83"/>
    <w:rsid w:val="008D1EF4"/>
    <w:rsid w:val="008D3735"/>
    <w:rsid w:val="008D6000"/>
    <w:rsid w:val="008D7A67"/>
    <w:rsid w:val="008E1BF9"/>
    <w:rsid w:val="008E1FD6"/>
    <w:rsid w:val="008E2DC0"/>
    <w:rsid w:val="008E6189"/>
    <w:rsid w:val="008E6DBF"/>
    <w:rsid w:val="008F1AD1"/>
    <w:rsid w:val="008F40BA"/>
    <w:rsid w:val="008F4DA9"/>
    <w:rsid w:val="008F729A"/>
    <w:rsid w:val="00901A25"/>
    <w:rsid w:val="00902A74"/>
    <w:rsid w:val="00904E51"/>
    <w:rsid w:val="0090538F"/>
    <w:rsid w:val="00911EA2"/>
    <w:rsid w:val="0091263C"/>
    <w:rsid w:val="0091343F"/>
    <w:rsid w:val="0091490D"/>
    <w:rsid w:val="00916900"/>
    <w:rsid w:val="00921D63"/>
    <w:rsid w:val="00924A7D"/>
    <w:rsid w:val="00926FAE"/>
    <w:rsid w:val="00927076"/>
    <w:rsid w:val="009273C5"/>
    <w:rsid w:val="009279DF"/>
    <w:rsid w:val="0093213A"/>
    <w:rsid w:val="00932388"/>
    <w:rsid w:val="00933B2F"/>
    <w:rsid w:val="00934FBE"/>
    <w:rsid w:val="00941712"/>
    <w:rsid w:val="00941D9B"/>
    <w:rsid w:val="0094612F"/>
    <w:rsid w:val="00946F51"/>
    <w:rsid w:val="009473EA"/>
    <w:rsid w:val="0095082A"/>
    <w:rsid w:val="009509D4"/>
    <w:rsid w:val="00951842"/>
    <w:rsid w:val="00951CEC"/>
    <w:rsid w:val="00952F55"/>
    <w:rsid w:val="00956824"/>
    <w:rsid w:val="00960129"/>
    <w:rsid w:val="009622DF"/>
    <w:rsid w:val="00971902"/>
    <w:rsid w:val="009736FA"/>
    <w:rsid w:val="00974D49"/>
    <w:rsid w:val="00977F58"/>
    <w:rsid w:val="00990D0F"/>
    <w:rsid w:val="00996481"/>
    <w:rsid w:val="009A3F26"/>
    <w:rsid w:val="009A5091"/>
    <w:rsid w:val="009A6CB8"/>
    <w:rsid w:val="009A7BE8"/>
    <w:rsid w:val="009B1370"/>
    <w:rsid w:val="009B64B1"/>
    <w:rsid w:val="009B7D8F"/>
    <w:rsid w:val="009C3C8E"/>
    <w:rsid w:val="009C3E42"/>
    <w:rsid w:val="009C3F75"/>
    <w:rsid w:val="009C408D"/>
    <w:rsid w:val="009C5EE6"/>
    <w:rsid w:val="009D142F"/>
    <w:rsid w:val="009D1D06"/>
    <w:rsid w:val="009D2821"/>
    <w:rsid w:val="009D3CA6"/>
    <w:rsid w:val="009D5645"/>
    <w:rsid w:val="009E1769"/>
    <w:rsid w:val="009E1D25"/>
    <w:rsid w:val="009E1FCE"/>
    <w:rsid w:val="009E36C9"/>
    <w:rsid w:val="009E6CD1"/>
    <w:rsid w:val="009F0D72"/>
    <w:rsid w:val="009F1C65"/>
    <w:rsid w:val="009F48B2"/>
    <w:rsid w:val="009F79FE"/>
    <w:rsid w:val="00A002D7"/>
    <w:rsid w:val="00A01143"/>
    <w:rsid w:val="00A01A7F"/>
    <w:rsid w:val="00A03EA9"/>
    <w:rsid w:val="00A06F98"/>
    <w:rsid w:val="00A10A81"/>
    <w:rsid w:val="00A10FF9"/>
    <w:rsid w:val="00A210AD"/>
    <w:rsid w:val="00A243D5"/>
    <w:rsid w:val="00A259BA"/>
    <w:rsid w:val="00A3010F"/>
    <w:rsid w:val="00A3608B"/>
    <w:rsid w:val="00A411DB"/>
    <w:rsid w:val="00A43F70"/>
    <w:rsid w:val="00A44A58"/>
    <w:rsid w:val="00A459B9"/>
    <w:rsid w:val="00A521EF"/>
    <w:rsid w:val="00A52CEA"/>
    <w:rsid w:val="00A53DC0"/>
    <w:rsid w:val="00A545F9"/>
    <w:rsid w:val="00A55CBC"/>
    <w:rsid w:val="00A57CF8"/>
    <w:rsid w:val="00A60A1C"/>
    <w:rsid w:val="00A63D1C"/>
    <w:rsid w:val="00A6439B"/>
    <w:rsid w:val="00A656DE"/>
    <w:rsid w:val="00A72827"/>
    <w:rsid w:val="00A75CBE"/>
    <w:rsid w:val="00A8131D"/>
    <w:rsid w:val="00A8711C"/>
    <w:rsid w:val="00A960A8"/>
    <w:rsid w:val="00A97944"/>
    <w:rsid w:val="00AA3C96"/>
    <w:rsid w:val="00AA7403"/>
    <w:rsid w:val="00AA7EDF"/>
    <w:rsid w:val="00AB7FBE"/>
    <w:rsid w:val="00AC661F"/>
    <w:rsid w:val="00AC7F49"/>
    <w:rsid w:val="00AE1073"/>
    <w:rsid w:val="00AE2A5D"/>
    <w:rsid w:val="00AE7600"/>
    <w:rsid w:val="00AE7663"/>
    <w:rsid w:val="00AF0E6D"/>
    <w:rsid w:val="00AF4655"/>
    <w:rsid w:val="00B01018"/>
    <w:rsid w:val="00B015C1"/>
    <w:rsid w:val="00B05D46"/>
    <w:rsid w:val="00B06F6B"/>
    <w:rsid w:val="00B07904"/>
    <w:rsid w:val="00B12C01"/>
    <w:rsid w:val="00B13AE2"/>
    <w:rsid w:val="00B14F5B"/>
    <w:rsid w:val="00B20C1E"/>
    <w:rsid w:val="00B24967"/>
    <w:rsid w:val="00B272FC"/>
    <w:rsid w:val="00B27D32"/>
    <w:rsid w:val="00B31226"/>
    <w:rsid w:val="00B32ECB"/>
    <w:rsid w:val="00B3502B"/>
    <w:rsid w:val="00B363FA"/>
    <w:rsid w:val="00B36AA0"/>
    <w:rsid w:val="00B373E9"/>
    <w:rsid w:val="00B37CF2"/>
    <w:rsid w:val="00B44AB3"/>
    <w:rsid w:val="00B537C1"/>
    <w:rsid w:val="00B62750"/>
    <w:rsid w:val="00B63FCD"/>
    <w:rsid w:val="00B64C65"/>
    <w:rsid w:val="00B72890"/>
    <w:rsid w:val="00B76C33"/>
    <w:rsid w:val="00B76EFF"/>
    <w:rsid w:val="00B80E41"/>
    <w:rsid w:val="00B82FAE"/>
    <w:rsid w:val="00B9165B"/>
    <w:rsid w:val="00B93F27"/>
    <w:rsid w:val="00B96200"/>
    <w:rsid w:val="00BA067D"/>
    <w:rsid w:val="00BA15C7"/>
    <w:rsid w:val="00BA238C"/>
    <w:rsid w:val="00BA39B2"/>
    <w:rsid w:val="00BA3E8F"/>
    <w:rsid w:val="00BA779E"/>
    <w:rsid w:val="00BB534D"/>
    <w:rsid w:val="00BC03B1"/>
    <w:rsid w:val="00BC0638"/>
    <w:rsid w:val="00BC1FD1"/>
    <w:rsid w:val="00BC61BD"/>
    <w:rsid w:val="00BC63D4"/>
    <w:rsid w:val="00BD01D6"/>
    <w:rsid w:val="00BD0A49"/>
    <w:rsid w:val="00BD3A49"/>
    <w:rsid w:val="00BD3C82"/>
    <w:rsid w:val="00BD7FDC"/>
    <w:rsid w:val="00BE0E10"/>
    <w:rsid w:val="00BE18FC"/>
    <w:rsid w:val="00BE1E98"/>
    <w:rsid w:val="00BE2C7B"/>
    <w:rsid w:val="00BE3708"/>
    <w:rsid w:val="00BE3AD8"/>
    <w:rsid w:val="00BF0D87"/>
    <w:rsid w:val="00BF15B2"/>
    <w:rsid w:val="00BF3753"/>
    <w:rsid w:val="00BF5B5E"/>
    <w:rsid w:val="00C0099A"/>
    <w:rsid w:val="00C018E7"/>
    <w:rsid w:val="00C03AB0"/>
    <w:rsid w:val="00C041E7"/>
    <w:rsid w:val="00C05817"/>
    <w:rsid w:val="00C07CF0"/>
    <w:rsid w:val="00C1052A"/>
    <w:rsid w:val="00C120A8"/>
    <w:rsid w:val="00C15B8C"/>
    <w:rsid w:val="00C161C0"/>
    <w:rsid w:val="00C21187"/>
    <w:rsid w:val="00C27116"/>
    <w:rsid w:val="00C3200D"/>
    <w:rsid w:val="00C3220C"/>
    <w:rsid w:val="00C37C48"/>
    <w:rsid w:val="00C40D02"/>
    <w:rsid w:val="00C40F60"/>
    <w:rsid w:val="00C4214B"/>
    <w:rsid w:val="00C428F2"/>
    <w:rsid w:val="00C44BA7"/>
    <w:rsid w:val="00C4506F"/>
    <w:rsid w:val="00C4556E"/>
    <w:rsid w:val="00C46D73"/>
    <w:rsid w:val="00C501E1"/>
    <w:rsid w:val="00C517EB"/>
    <w:rsid w:val="00C533C0"/>
    <w:rsid w:val="00C5471E"/>
    <w:rsid w:val="00C556FC"/>
    <w:rsid w:val="00C55ADB"/>
    <w:rsid w:val="00C659DF"/>
    <w:rsid w:val="00C660E5"/>
    <w:rsid w:val="00C71C8E"/>
    <w:rsid w:val="00C72083"/>
    <w:rsid w:val="00C7433B"/>
    <w:rsid w:val="00C7786B"/>
    <w:rsid w:val="00C80C52"/>
    <w:rsid w:val="00C80D53"/>
    <w:rsid w:val="00C81742"/>
    <w:rsid w:val="00C83817"/>
    <w:rsid w:val="00C87A70"/>
    <w:rsid w:val="00C87E2D"/>
    <w:rsid w:val="00C938FD"/>
    <w:rsid w:val="00C96ACB"/>
    <w:rsid w:val="00CA172B"/>
    <w:rsid w:val="00CA4750"/>
    <w:rsid w:val="00CA479F"/>
    <w:rsid w:val="00CA687D"/>
    <w:rsid w:val="00CB61E4"/>
    <w:rsid w:val="00CB72CF"/>
    <w:rsid w:val="00CB7424"/>
    <w:rsid w:val="00CC0876"/>
    <w:rsid w:val="00CC6705"/>
    <w:rsid w:val="00CC67D3"/>
    <w:rsid w:val="00CC6C20"/>
    <w:rsid w:val="00CD5E06"/>
    <w:rsid w:val="00CE0B5D"/>
    <w:rsid w:val="00CE1CF4"/>
    <w:rsid w:val="00CE2E5F"/>
    <w:rsid w:val="00CF07D5"/>
    <w:rsid w:val="00CF120B"/>
    <w:rsid w:val="00CF27D5"/>
    <w:rsid w:val="00CF2AC9"/>
    <w:rsid w:val="00CF4017"/>
    <w:rsid w:val="00CF5279"/>
    <w:rsid w:val="00CF587F"/>
    <w:rsid w:val="00D0083A"/>
    <w:rsid w:val="00D02406"/>
    <w:rsid w:val="00D0727E"/>
    <w:rsid w:val="00D1683C"/>
    <w:rsid w:val="00D20C53"/>
    <w:rsid w:val="00D21423"/>
    <w:rsid w:val="00D219E6"/>
    <w:rsid w:val="00D22811"/>
    <w:rsid w:val="00D23C53"/>
    <w:rsid w:val="00D25080"/>
    <w:rsid w:val="00D30F3A"/>
    <w:rsid w:val="00D31860"/>
    <w:rsid w:val="00D330FC"/>
    <w:rsid w:val="00D361E9"/>
    <w:rsid w:val="00D42873"/>
    <w:rsid w:val="00D440B5"/>
    <w:rsid w:val="00D51601"/>
    <w:rsid w:val="00D53F94"/>
    <w:rsid w:val="00D547D7"/>
    <w:rsid w:val="00D570E3"/>
    <w:rsid w:val="00D57101"/>
    <w:rsid w:val="00D57392"/>
    <w:rsid w:val="00D60156"/>
    <w:rsid w:val="00D66AE2"/>
    <w:rsid w:val="00D66D56"/>
    <w:rsid w:val="00D71806"/>
    <w:rsid w:val="00D71D9E"/>
    <w:rsid w:val="00D72627"/>
    <w:rsid w:val="00D75D9C"/>
    <w:rsid w:val="00D75FBA"/>
    <w:rsid w:val="00D760C5"/>
    <w:rsid w:val="00D76300"/>
    <w:rsid w:val="00D808D8"/>
    <w:rsid w:val="00D80C4E"/>
    <w:rsid w:val="00D834F6"/>
    <w:rsid w:val="00D83E55"/>
    <w:rsid w:val="00D8635E"/>
    <w:rsid w:val="00D90326"/>
    <w:rsid w:val="00D915CC"/>
    <w:rsid w:val="00D92209"/>
    <w:rsid w:val="00D96301"/>
    <w:rsid w:val="00DA0600"/>
    <w:rsid w:val="00DA54B9"/>
    <w:rsid w:val="00DA7D70"/>
    <w:rsid w:val="00DB047A"/>
    <w:rsid w:val="00DB0AEA"/>
    <w:rsid w:val="00DB1459"/>
    <w:rsid w:val="00DB47C1"/>
    <w:rsid w:val="00DB490E"/>
    <w:rsid w:val="00DB6196"/>
    <w:rsid w:val="00DB77B1"/>
    <w:rsid w:val="00DC0D4E"/>
    <w:rsid w:val="00DC17EB"/>
    <w:rsid w:val="00DC5E65"/>
    <w:rsid w:val="00DC6669"/>
    <w:rsid w:val="00DC67EC"/>
    <w:rsid w:val="00DD0DAF"/>
    <w:rsid w:val="00DD2842"/>
    <w:rsid w:val="00DD68C3"/>
    <w:rsid w:val="00DD7C17"/>
    <w:rsid w:val="00DE0775"/>
    <w:rsid w:val="00DE0C72"/>
    <w:rsid w:val="00DE13CB"/>
    <w:rsid w:val="00DE20C2"/>
    <w:rsid w:val="00DE561F"/>
    <w:rsid w:val="00DE6CC1"/>
    <w:rsid w:val="00DE72D0"/>
    <w:rsid w:val="00DE773D"/>
    <w:rsid w:val="00DE796B"/>
    <w:rsid w:val="00DE7C3C"/>
    <w:rsid w:val="00DF0457"/>
    <w:rsid w:val="00DF176D"/>
    <w:rsid w:val="00DF3E16"/>
    <w:rsid w:val="00DF4C1E"/>
    <w:rsid w:val="00E00614"/>
    <w:rsid w:val="00E01CB6"/>
    <w:rsid w:val="00E1131C"/>
    <w:rsid w:val="00E1157E"/>
    <w:rsid w:val="00E11EF1"/>
    <w:rsid w:val="00E11FF6"/>
    <w:rsid w:val="00E20858"/>
    <w:rsid w:val="00E22697"/>
    <w:rsid w:val="00E25819"/>
    <w:rsid w:val="00E25E5D"/>
    <w:rsid w:val="00E26F17"/>
    <w:rsid w:val="00E27AE0"/>
    <w:rsid w:val="00E304CE"/>
    <w:rsid w:val="00E321F5"/>
    <w:rsid w:val="00E3397A"/>
    <w:rsid w:val="00E3397F"/>
    <w:rsid w:val="00E33B11"/>
    <w:rsid w:val="00E33F6E"/>
    <w:rsid w:val="00E35194"/>
    <w:rsid w:val="00E401E3"/>
    <w:rsid w:val="00E411F4"/>
    <w:rsid w:val="00E4152B"/>
    <w:rsid w:val="00E42808"/>
    <w:rsid w:val="00E45ECE"/>
    <w:rsid w:val="00E46046"/>
    <w:rsid w:val="00E466EF"/>
    <w:rsid w:val="00E46FD3"/>
    <w:rsid w:val="00E50AFB"/>
    <w:rsid w:val="00E50D69"/>
    <w:rsid w:val="00E52E7E"/>
    <w:rsid w:val="00E63DE8"/>
    <w:rsid w:val="00E707B9"/>
    <w:rsid w:val="00E70A7A"/>
    <w:rsid w:val="00E71BC4"/>
    <w:rsid w:val="00E73F78"/>
    <w:rsid w:val="00E81887"/>
    <w:rsid w:val="00E8318A"/>
    <w:rsid w:val="00E873E4"/>
    <w:rsid w:val="00E944BD"/>
    <w:rsid w:val="00E95922"/>
    <w:rsid w:val="00EA09DB"/>
    <w:rsid w:val="00EA1C0F"/>
    <w:rsid w:val="00EA247F"/>
    <w:rsid w:val="00EA5003"/>
    <w:rsid w:val="00EB24BE"/>
    <w:rsid w:val="00EB5338"/>
    <w:rsid w:val="00EB6924"/>
    <w:rsid w:val="00EC032A"/>
    <w:rsid w:val="00EC0653"/>
    <w:rsid w:val="00EC0CB9"/>
    <w:rsid w:val="00EC0D38"/>
    <w:rsid w:val="00EC1150"/>
    <w:rsid w:val="00EC1548"/>
    <w:rsid w:val="00EC1890"/>
    <w:rsid w:val="00EC1A53"/>
    <w:rsid w:val="00EC4C40"/>
    <w:rsid w:val="00ED12B2"/>
    <w:rsid w:val="00ED319D"/>
    <w:rsid w:val="00ED3FCC"/>
    <w:rsid w:val="00ED6624"/>
    <w:rsid w:val="00ED69F7"/>
    <w:rsid w:val="00EE310B"/>
    <w:rsid w:val="00EE4242"/>
    <w:rsid w:val="00EE46AA"/>
    <w:rsid w:val="00EE4ED4"/>
    <w:rsid w:val="00EE5DCE"/>
    <w:rsid w:val="00EF19FF"/>
    <w:rsid w:val="00EF1D74"/>
    <w:rsid w:val="00EF2630"/>
    <w:rsid w:val="00EF63F0"/>
    <w:rsid w:val="00EF7670"/>
    <w:rsid w:val="00F011DC"/>
    <w:rsid w:val="00F02DA3"/>
    <w:rsid w:val="00F0558A"/>
    <w:rsid w:val="00F06CE3"/>
    <w:rsid w:val="00F12309"/>
    <w:rsid w:val="00F15F08"/>
    <w:rsid w:val="00F20D4A"/>
    <w:rsid w:val="00F23F96"/>
    <w:rsid w:val="00F24DCA"/>
    <w:rsid w:val="00F24E3C"/>
    <w:rsid w:val="00F258EE"/>
    <w:rsid w:val="00F27EA0"/>
    <w:rsid w:val="00F304E1"/>
    <w:rsid w:val="00F31D58"/>
    <w:rsid w:val="00F31DC1"/>
    <w:rsid w:val="00F31DED"/>
    <w:rsid w:val="00F32C83"/>
    <w:rsid w:val="00F3336D"/>
    <w:rsid w:val="00F3465B"/>
    <w:rsid w:val="00F3641E"/>
    <w:rsid w:val="00F40681"/>
    <w:rsid w:val="00F414D6"/>
    <w:rsid w:val="00F45402"/>
    <w:rsid w:val="00F46FA3"/>
    <w:rsid w:val="00F5158B"/>
    <w:rsid w:val="00F51EA5"/>
    <w:rsid w:val="00F5365E"/>
    <w:rsid w:val="00F53B6D"/>
    <w:rsid w:val="00F54F04"/>
    <w:rsid w:val="00F56FDD"/>
    <w:rsid w:val="00F57A43"/>
    <w:rsid w:val="00F60EDC"/>
    <w:rsid w:val="00F61845"/>
    <w:rsid w:val="00F62188"/>
    <w:rsid w:val="00F65290"/>
    <w:rsid w:val="00F65931"/>
    <w:rsid w:val="00F66422"/>
    <w:rsid w:val="00F67FAD"/>
    <w:rsid w:val="00F733C1"/>
    <w:rsid w:val="00F74FF8"/>
    <w:rsid w:val="00F75C45"/>
    <w:rsid w:val="00F84705"/>
    <w:rsid w:val="00F84885"/>
    <w:rsid w:val="00F84898"/>
    <w:rsid w:val="00F84D19"/>
    <w:rsid w:val="00F8612B"/>
    <w:rsid w:val="00F865DD"/>
    <w:rsid w:val="00F87537"/>
    <w:rsid w:val="00F9139A"/>
    <w:rsid w:val="00F92D50"/>
    <w:rsid w:val="00F96212"/>
    <w:rsid w:val="00FA18A7"/>
    <w:rsid w:val="00FA3277"/>
    <w:rsid w:val="00FA5896"/>
    <w:rsid w:val="00FA7643"/>
    <w:rsid w:val="00FB038A"/>
    <w:rsid w:val="00FB08E7"/>
    <w:rsid w:val="00FC1507"/>
    <w:rsid w:val="00FC4073"/>
    <w:rsid w:val="00FC56F6"/>
    <w:rsid w:val="00FC73F4"/>
    <w:rsid w:val="00FD0102"/>
    <w:rsid w:val="00FD269D"/>
    <w:rsid w:val="00FD44DF"/>
    <w:rsid w:val="00FD7254"/>
    <w:rsid w:val="00FE1AE6"/>
    <w:rsid w:val="00FE2270"/>
    <w:rsid w:val="00FE3779"/>
    <w:rsid w:val="00FE6051"/>
    <w:rsid w:val="00FF0151"/>
    <w:rsid w:val="00FF0DAB"/>
    <w:rsid w:val="00FF1FCD"/>
    <w:rsid w:val="00FF3CCA"/>
    <w:rsid w:val="00FF75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7AB37DA"/>
  <w15:docId w15:val="{58579858-0989-47E7-95FC-4A3E5A2A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E4"/>
    <w:pPr>
      <w:spacing w:after="120"/>
      <w:ind w:firstLine="709"/>
      <w:jc w:val="both"/>
    </w:pPr>
    <w:rPr>
      <w:sz w:val="24"/>
      <w:lang w:eastAsia="en-US"/>
    </w:rPr>
  </w:style>
  <w:style w:type="paragraph" w:styleId="Heading1">
    <w:name w:val="heading 1"/>
    <w:basedOn w:val="Normal"/>
    <w:next w:val="Normal"/>
    <w:link w:val="Heading1Char"/>
    <w:uiPriority w:val="9"/>
    <w:qFormat/>
    <w:rsid w:val="001B73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73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73E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3E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B73EC"/>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B73EC"/>
    <w:rPr>
      <w:rFonts w:asciiTheme="majorHAnsi" w:eastAsiaTheme="majorEastAsia" w:hAnsiTheme="majorHAnsi" w:cstheme="majorBidi"/>
      <w:color w:val="243F60" w:themeColor="accent1" w:themeShade="7F"/>
      <w:sz w:val="24"/>
      <w:szCs w:val="24"/>
      <w:lang w:eastAsia="en-US"/>
    </w:rPr>
  </w:style>
  <w:style w:type="paragraph" w:styleId="Footer">
    <w:name w:val="footer"/>
    <w:basedOn w:val="Normal"/>
    <w:link w:val="FooterChar"/>
    <w:rsid w:val="00977512"/>
    <w:pPr>
      <w:tabs>
        <w:tab w:val="center" w:pos="4153"/>
        <w:tab w:val="right" w:pos="8306"/>
      </w:tabs>
      <w:spacing w:after="0"/>
      <w:ind w:firstLine="0"/>
    </w:pPr>
    <w:rPr>
      <w:sz w:val="20"/>
    </w:rPr>
  </w:style>
  <w:style w:type="paragraph" w:customStyle="1" w:styleId="H4">
    <w:name w:val="H4"/>
    <w:rsid w:val="005068E4"/>
    <w:pPr>
      <w:spacing w:after="120"/>
      <w:jc w:val="center"/>
      <w:outlineLvl w:val="3"/>
    </w:pPr>
    <w:rPr>
      <w:b/>
      <w:sz w:val="28"/>
      <w:lang w:eastAsia="en-US"/>
    </w:rPr>
  </w:style>
  <w:style w:type="paragraph" w:customStyle="1" w:styleId="H3">
    <w:name w:val="H3"/>
    <w:rsid w:val="005068E4"/>
    <w:pPr>
      <w:spacing w:after="120"/>
      <w:jc w:val="center"/>
      <w:outlineLvl w:val="2"/>
    </w:pPr>
    <w:rPr>
      <w:b/>
      <w:sz w:val="32"/>
      <w:lang w:eastAsia="en-US"/>
    </w:rPr>
  </w:style>
  <w:style w:type="paragraph" w:customStyle="1" w:styleId="H2">
    <w:name w:val="H2"/>
    <w:rsid w:val="005068E4"/>
    <w:pPr>
      <w:spacing w:after="120"/>
      <w:jc w:val="center"/>
      <w:outlineLvl w:val="1"/>
    </w:pPr>
    <w:rPr>
      <w:b/>
      <w:sz w:val="36"/>
      <w:lang w:eastAsia="en-US"/>
    </w:rPr>
  </w:style>
  <w:style w:type="paragraph" w:customStyle="1" w:styleId="H1">
    <w:name w:val="H1"/>
    <w:rsid w:val="005068E4"/>
    <w:pPr>
      <w:spacing w:after="120"/>
      <w:jc w:val="center"/>
      <w:outlineLvl w:val="0"/>
    </w:pPr>
    <w:rPr>
      <w:b/>
      <w:sz w:val="44"/>
      <w:lang w:eastAsia="en-US"/>
    </w:rPr>
  </w:style>
  <w:style w:type="paragraph" w:customStyle="1" w:styleId="T">
    <w:name w:val="T"/>
    <w:basedOn w:val="Normal"/>
    <w:uiPriority w:val="99"/>
    <w:qFormat/>
    <w:rsid w:val="005068E4"/>
    <w:pPr>
      <w:keepNext/>
      <w:ind w:firstLine="0"/>
      <w:jc w:val="center"/>
    </w:pPr>
    <w:rPr>
      <w:b/>
      <w:i/>
    </w:rPr>
  </w:style>
  <w:style w:type="paragraph" w:customStyle="1" w:styleId="Z">
    <w:name w:val="Z"/>
    <w:basedOn w:val="T"/>
    <w:uiPriority w:val="99"/>
    <w:qFormat/>
    <w:rsid w:val="005068E4"/>
    <w:pPr>
      <w:keepNext w:val="0"/>
    </w:pPr>
  </w:style>
  <w:style w:type="character" w:styleId="PageNumber">
    <w:name w:val="page number"/>
    <w:basedOn w:val="DefaultParagraphFont"/>
    <w:rsid w:val="00977512"/>
  </w:style>
  <w:style w:type="paragraph" w:styleId="Header">
    <w:name w:val="header"/>
    <w:basedOn w:val="Normal"/>
    <w:link w:val="HeaderChar"/>
    <w:uiPriority w:val="99"/>
    <w:rsid w:val="00977512"/>
    <w:pPr>
      <w:tabs>
        <w:tab w:val="center" w:pos="4153"/>
        <w:tab w:val="right" w:pos="8306"/>
      </w:tabs>
      <w:spacing w:after="0"/>
      <w:ind w:firstLine="0"/>
    </w:pPr>
  </w:style>
  <w:style w:type="character" w:customStyle="1" w:styleId="HeaderChar">
    <w:name w:val="Header Char"/>
    <w:basedOn w:val="DefaultParagraphFont"/>
    <w:link w:val="Header"/>
    <w:uiPriority w:val="99"/>
    <w:rsid w:val="009F48B2"/>
    <w:rPr>
      <w:sz w:val="24"/>
      <w:lang w:eastAsia="en-US"/>
    </w:rPr>
  </w:style>
  <w:style w:type="paragraph" w:styleId="FootnoteText">
    <w:name w:val="footnote text"/>
    <w:aliases w:val="Footnote,Fußnote,Fußnote Char Char Char,single space,ft Rakstz. Rakstz.,ft Rakstz.,ft,-E Fußnotentext,Fußnotentext Ursprung,Vēres teksts Char Char Char Char Char,Char Char Char Char Char Char Char Char Char Char Char Char,footnote tex"/>
    <w:basedOn w:val="Normal"/>
    <w:link w:val="FootnoteTextChar"/>
    <w:uiPriority w:val="99"/>
    <w:qFormat/>
    <w:rsid w:val="00977512"/>
    <w:pPr>
      <w:spacing w:after="0"/>
      <w:ind w:firstLine="0"/>
      <w:jc w:val="left"/>
    </w:pPr>
    <w:rPr>
      <w:sz w:val="20"/>
    </w:rPr>
  </w:style>
  <w:style w:type="character" w:customStyle="1" w:styleId="FootnoteTextChar">
    <w:name w:val="Footnote Text Char"/>
    <w:aliases w:val="Footnote Char,Fußnote Char,Fußnote Char Char Char Char,single space Char,ft Rakstz. Rakstz. Char,ft Rakstz. Char,ft Char,-E Fußnotentext Char,Fußnotentext Ursprung Char,Vēres teksts Char Char Char Char Char Char,footnote tex Char"/>
    <w:basedOn w:val="DefaultParagraphFont"/>
    <w:link w:val="FootnoteText"/>
    <w:uiPriority w:val="99"/>
    <w:rsid w:val="00DD0DAF"/>
    <w:rPr>
      <w:lang w:eastAsia="en-US"/>
    </w:rPr>
  </w:style>
  <w:style w:type="paragraph" w:customStyle="1" w:styleId="tabteksts">
    <w:name w:val="tab_teksts"/>
    <w:basedOn w:val="Normal"/>
    <w:qFormat/>
    <w:rsid w:val="005068E4"/>
    <w:pPr>
      <w:spacing w:after="0"/>
      <w:ind w:firstLine="0"/>
      <w:jc w:val="left"/>
    </w:pPr>
    <w:rPr>
      <w:sz w:val="18"/>
    </w:rPr>
  </w:style>
  <w:style w:type="paragraph" w:customStyle="1" w:styleId="BalloonText1">
    <w:name w:val="Balloon Text1"/>
    <w:basedOn w:val="Normal"/>
    <w:semiHidden/>
    <w:rsid w:val="00977512"/>
    <w:rPr>
      <w:rFonts w:ascii="Tahoma" w:hAnsi="Tahoma" w:cs="Tahoma"/>
      <w:sz w:val="16"/>
      <w:szCs w:val="16"/>
    </w:rPr>
  </w:style>
  <w:style w:type="paragraph" w:styleId="BalloonText">
    <w:name w:val="Balloon Text"/>
    <w:basedOn w:val="Normal"/>
    <w:link w:val="BalloonTextChar"/>
    <w:uiPriority w:val="99"/>
    <w:semiHidden/>
    <w:rsid w:val="00977512"/>
    <w:rPr>
      <w:rFonts w:ascii="Tahoma" w:hAnsi="Tahoma" w:cs="Tahoma"/>
      <w:sz w:val="16"/>
      <w:szCs w:val="16"/>
    </w:rPr>
  </w:style>
  <w:style w:type="table" w:styleId="TableGrid">
    <w:name w:val="Table Grid"/>
    <w:basedOn w:val="TableNormal"/>
    <w:uiPriority w:val="39"/>
    <w:rsid w:val="00F2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ootnote Reference Superscript,ftref,Footnote Refernece,Odwołanie przypisu,BVI fnr,Footnotes refss,SUPERS,Ref,de nota al pie,-E Fußnotenzeichen,Footnote reference number,Times 10 Point,E,E FNZ"/>
    <w:basedOn w:val="DefaultParagraphFont"/>
    <w:link w:val="Char2"/>
    <w:uiPriority w:val="99"/>
    <w:unhideWhenUsed/>
    <w:qFormat/>
    <w:rsid w:val="00881947"/>
    <w:rPr>
      <w:vertAlign w:val="superscript"/>
    </w:rPr>
  </w:style>
  <w:style w:type="paragraph" w:styleId="EndnoteText">
    <w:name w:val="endnote text"/>
    <w:basedOn w:val="Normal"/>
    <w:link w:val="EndnoteTextChar"/>
    <w:uiPriority w:val="99"/>
    <w:semiHidden/>
    <w:unhideWhenUsed/>
    <w:rsid w:val="00131D32"/>
    <w:pPr>
      <w:spacing w:after="0"/>
    </w:pPr>
    <w:rPr>
      <w:sz w:val="20"/>
    </w:rPr>
  </w:style>
  <w:style w:type="character" w:customStyle="1" w:styleId="EndnoteTextChar">
    <w:name w:val="Endnote Text Char"/>
    <w:basedOn w:val="DefaultParagraphFont"/>
    <w:link w:val="EndnoteText"/>
    <w:uiPriority w:val="99"/>
    <w:semiHidden/>
    <w:rsid w:val="00131D32"/>
    <w:rPr>
      <w:lang w:eastAsia="en-US"/>
    </w:rPr>
  </w:style>
  <w:style w:type="character" w:styleId="EndnoteReference">
    <w:name w:val="endnote reference"/>
    <w:basedOn w:val="DefaultParagraphFont"/>
    <w:uiPriority w:val="99"/>
    <w:semiHidden/>
    <w:unhideWhenUsed/>
    <w:rsid w:val="00131D32"/>
    <w:rPr>
      <w:vertAlign w:val="superscript"/>
    </w:rPr>
  </w:style>
  <w:style w:type="paragraph" w:styleId="CommentText">
    <w:name w:val="annotation text"/>
    <w:basedOn w:val="Normal"/>
    <w:link w:val="CommentTextChar"/>
    <w:uiPriority w:val="99"/>
    <w:unhideWhenUsed/>
    <w:rsid w:val="009A7BE8"/>
    <w:rPr>
      <w:sz w:val="20"/>
    </w:rPr>
  </w:style>
  <w:style w:type="character" w:customStyle="1" w:styleId="CommentTextChar">
    <w:name w:val="Comment Text Char"/>
    <w:basedOn w:val="DefaultParagraphFont"/>
    <w:link w:val="CommentText"/>
    <w:uiPriority w:val="99"/>
    <w:rsid w:val="009A7BE8"/>
    <w:rPr>
      <w:lang w:eastAsia="en-US"/>
    </w:rPr>
  </w:style>
  <w:style w:type="paragraph" w:customStyle="1" w:styleId="funkcijas">
    <w:name w:val="funkcijas"/>
    <w:basedOn w:val="Normal"/>
    <w:qFormat/>
    <w:rsid w:val="005068E4"/>
    <w:pPr>
      <w:ind w:firstLine="0"/>
    </w:pPr>
    <w:rPr>
      <w:bCs/>
      <w:u w:val="single"/>
    </w:rPr>
  </w:style>
  <w:style w:type="paragraph" w:customStyle="1" w:styleId="Funkcijasbold">
    <w:name w:val="Funkcijas_bold"/>
    <w:basedOn w:val="Normal"/>
    <w:qFormat/>
    <w:rsid w:val="005068E4"/>
    <w:pPr>
      <w:ind w:firstLine="0"/>
    </w:pPr>
    <w:rPr>
      <w:b/>
      <w:bCs/>
    </w:rPr>
  </w:style>
  <w:style w:type="paragraph" w:customStyle="1" w:styleId="izdevumi">
    <w:name w:val="izdevumi"/>
    <w:basedOn w:val="Normal"/>
    <w:qFormat/>
    <w:rsid w:val="005068E4"/>
    <w:pPr>
      <w:widowControl w:val="0"/>
      <w:spacing w:before="120"/>
      <w:ind w:left="567" w:firstLine="0"/>
    </w:pPr>
    <w:rPr>
      <w:i/>
    </w:rPr>
  </w:style>
  <w:style w:type="paragraph" w:customStyle="1" w:styleId="paraksti">
    <w:name w:val="paraksti"/>
    <w:basedOn w:val="Normal"/>
    <w:qFormat/>
    <w:rsid w:val="005068E4"/>
    <w:pPr>
      <w:ind w:firstLine="0"/>
    </w:pPr>
    <w:rPr>
      <w:i/>
      <w:sz w:val="18"/>
    </w:rPr>
  </w:style>
  <w:style w:type="paragraph" w:customStyle="1" w:styleId="programmas">
    <w:name w:val="programmas"/>
    <w:basedOn w:val="Normal"/>
    <w:qFormat/>
    <w:rsid w:val="005068E4"/>
    <w:pPr>
      <w:widowControl w:val="0"/>
      <w:spacing w:before="240"/>
      <w:ind w:firstLine="0"/>
      <w:jc w:val="center"/>
    </w:pPr>
    <w:rPr>
      <w:b/>
      <w:lang w:val="en-US"/>
    </w:rPr>
  </w:style>
  <w:style w:type="paragraph" w:customStyle="1" w:styleId="samazpaliel">
    <w:name w:val="samaz_paliel"/>
    <w:basedOn w:val="Normal"/>
    <w:qFormat/>
    <w:rsid w:val="005068E4"/>
    <w:pPr>
      <w:widowControl w:val="0"/>
      <w:ind w:firstLine="0"/>
    </w:pPr>
    <w:rPr>
      <w:b/>
      <w:u w:val="single"/>
    </w:rPr>
  </w:style>
  <w:style w:type="paragraph" w:customStyle="1" w:styleId="Tabuluvirsraksti">
    <w:name w:val="Tabulu_virsraksti"/>
    <w:basedOn w:val="Normal"/>
    <w:qFormat/>
    <w:rsid w:val="005068E4"/>
    <w:pPr>
      <w:ind w:firstLine="0"/>
      <w:jc w:val="center"/>
    </w:pPr>
  </w:style>
  <w:style w:type="paragraph" w:styleId="ListParagraph">
    <w:name w:val="List Paragraph"/>
    <w:aliases w:val="2,H&amp;P List Paragraph,Akapit z listą BS,Numbered Para 1,Dot pt,No Spacing1,List Paragraph Char Char Char,Indicator Text,List Paragraph1,Bullet 1,Bullet Points,MAIN CONTENT,IFCL - List Paragraph,List Paragraph12,OBC Bullet,F5 List Paragraph"/>
    <w:basedOn w:val="Normal"/>
    <w:link w:val="ListParagraphChar"/>
    <w:uiPriority w:val="34"/>
    <w:qFormat/>
    <w:rsid w:val="001B73EC"/>
    <w:pPr>
      <w:ind w:left="720"/>
      <w:contextualSpacing/>
    </w:pPr>
  </w:style>
  <w:style w:type="character" w:customStyle="1" w:styleId="ListParagraphChar">
    <w:name w:val="List Paragraph Char"/>
    <w:aliases w:val="2 Char,H&amp;P List Paragraph Char,Akapit z listą BS Char,Numbered Para 1 Char,Dot pt Char,No Spacing1 Char,List Paragraph Char Char Char Char,Indicator Text Char,List Paragraph1 Char,Bullet 1 Char,Bullet Points Char,MAIN CONTENT Char"/>
    <w:link w:val="ListParagraph"/>
    <w:uiPriority w:val="34"/>
    <w:qFormat/>
    <w:locked/>
    <w:rsid w:val="00D20C53"/>
    <w:rPr>
      <w:sz w:val="24"/>
      <w:lang w:eastAsia="en-US"/>
    </w:rPr>
  </w:style>
  <w:style w:type="character" w:styleId="Hyperlink">
    <w:name w:val="Hyperlink"/>
    <w:basedOn w:val="DefaultParagraphFont"/>
    <w:uiPriority w:val="99"/>
    <w:unhideWhenUsed/>
    <w:rsid w:val="00046E7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46E7F"/>
    <w:rPr>
      <w:b/>
      <w:bCs/>
    </w:rPr>
  </w:style>
  <w:style w:type="character" w:customStyle="1" w:styleId="CommentSubjectChar">
    <w:name w:val="Comment Subject Char"/>
    <w:basedOn w:val="CommentTextChar"/>
    <w:link w:val="CommentSubject"/>
    <w:uiPriority w:val="99"/>
    <w:semiHidden/>
    <w:rsid w:val="00046E7F"/>
    <w:rPr>
      <w:b/>
      <w:bCs/>
      <w:lang w:eastAsia="en-US"/>
    </w:rPr>
  </w:style>
  <w:style w:type="paragraph" w:styleId="NormalWeb">
    <w:name w:val="Normal (Web)"/>
    <w:basedOn w:val="Normal"/>
    <w:uiPriority w:val="99"/>
    <w:semiHidden/>
    <w:unhideWhenUsed/>
    <w:rsid w:val="001952BA"/>
    <w:pPr>
      <w:spacing w:before="100" w:beforeAutospacing="1" w:after="100" w:afterAutospacing="1"/>
      <w:ind w:firstLine="0"/>
      <w:jc w:val="left"/>
    </w:pPr>
    <w:rPr>
      <w:szCs w:val="24"/>
      <w:lang w:eastAsia="lv-LV"/>
    </w:rPr>
  </w:style>
  <w:style w:type="paragraph" w:styleId="BodyText">
    <w:name w:val="Body Text"/>
    <w:basedOn w:val="Normal"/>
    <w:link w:val="BodyTextChar"/>
    <w:uiPriority w:val="1"/>
    <w:qFormat/>
    <w:rsid w:val="005A4908"/>
    <w:pPr>
      <w:widowControl w:val="0"/>
      <w:autoSpaceDE w:val="0"/>
      <w:autoSpaceDN w:val="0"/>
      <w:spacing w:after="0"/>
      <w:ind w:firstLine="0"/>
      <w:jc w:val="left"/>
    </w:pPr>
    <w:rPr>
      <w:szCs w:val="24"/>
      <w:lang w:eastAsia="lv-LV" w:bidi="lv-LV"/>
    </w:rPr>
  </w:style>
  <w:style w:type="character" w:customStyle="1" w:styleId="BodyTextChar">
    <w:name w:val="Body Text Char"/>
    <w:basedOn w:val="DefaultParagraphFont"/>
    <w:link w:val="BodyText"/>
    <w:uiPriority w:val="1"/>
    <w:rsid w:val="005A4908"/>
    <w:rPr>
      <w:sz w:val="24"/>
      <w:szCs w:val="24"/>
      <w:lang w:bidi="lv-LV"/>
    </w:rPr>
  </w:style>
  <w:style w:type="numbering" w:customStyle="1" w:styleId="NoList1">
    <w:name w:val="No List1"/>
    <w:next w:val="NoList"/>
    <w:uiPriority w:val="99"/>
    <w:semiHidden/>
    <w:unhideWhenUsed/>
    <w:rsid w:val="00EF1D74"/>
  </w:style>
  <w:style w:type="character" w:customStyle="1" w:styleId="FooterChar">
    <w:name w:val="Footer Char"/>
    <w:basedOn w:val="DefaultParagraphFont"/>
    <w:link w:val="Footer"/>
    <w:rsid w:val="00EF1D74"/>
    <w:rPr>
      <w:lang w:eastAsia="en-US"/>
    </w:rPr>
  </w:style>
  <w:style w:type="character" w:customStyle="1" w:styleId="BalloonTextChar">
    <w:name w:val="Balloon Text Char"/>
    <w:basedOn w:val="DefaultParagraphFont"/>
    <w:link w:val="BalloonText"/>
    <w:uiPriority w:val="99"/>
    <w:semiHidden/>
    <w:rsid w:val="00EF1D74"/>
    <w:rPr>
      <w:rFonts w:ascii="Tahoma" w:hAnsi="Tahoma" w:cs="Tahoma"/>
      <w:sz w:val="16"/>
      <w:szCs w:val="16"/>
      <w:lang w:eastAsia="en-US"/>
    </w:rPr>
  </w:style>
  <w:style w:type="table" w:customStyle="1" w:styleId="TableGrid1">
    <w:name w:val="Table Grid1"/>
    <w:basedOn w:val="TableNormal"/>
    <w:next w:val="TableGrid"/>
    <w:uiPriority w:val="39"/>
    <w:rsid w:val="00EF1D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1D74"/>
    <w:rPr>
      <w:sz w:val="16"/>
      <w:szCs w:val="16"/>
    </w:rPr>
  </w:style>
  <w:style w:type="paragraph" w:customStyle="1" w:styleId="Virsraksts1">
    <w:name w:val="Virsraksts1"/>
    <w:basedOn w:val="Heading1"/>
    <w:qFormat/>
    <w:rsid w:val="00EF1D74"/>
    <w:pPr>
      <w:keepLines w:val="0"/>
      <w:spacing w:after="60"/>
    </w:pPr>
    <w:rPr>
      <w:rFonts w:ascii="Times New Roman" w:eastAsia="Times New Roman" w:hAnsi="Times New Roman" w:cs="Times New Roman"/>
      <w:b/>
      <w:bCs/>
      <w:color w:val="auto"/>
      <w:kern w:val="32"/>
      <w:sz w:val="40"/>
      <w:szCs w:val="40"/>
    </w:rPr>
  </w:style>
  <w:style w:type="paragraph" w:customStyle="1" w:styleId="Virsraksts2">
    <w:name w:val="Virsraksts2"/>
    <w:basedOn w:val="Virsraksts1"/>
    <w:qFormat/>
    <w:rsid w:val="00EF1D74"/>
    <w:pPr>
      <w:jc w:val="center"/>
    </w:pPr>
    <w:rPr>
      <w:sz w:val="36"/>
    </w:rPr>
  </w:style>
  <w:style w:type="paragraph" w:customStyle="1" w:styleId="Virsraksts3">
    <w:name w:val="Virsraksts3"/>
    <w:basedOn w:val="Virsraksts2"/>
    <w:qFormat/>
    <w:rsid w:val="00EF1D74"/>
    <w:rPr>
      <w:sz w:val="32"/>
      <w:lang w:eastAsia="lv-LV"/>
    </w:rPr>
  </w:style>
  <w:style w:type="table" w:customStyle="1" w:styleId="LightList-Accent11">
    <w:name w:val="Light List - Accent 11"/>
    <w:basedOn w:val="TableNormal"/>
    <w:next w:val="LightList-Accent1"/>
    <w:uiPriority w:val="61"/>
    <w:rsid w:val="00EF1D74"/>
    <w:rPr>
      <w:rFonts w:ascii="Calibri" w:eastAsia="Calibri" w:hAnsi="Calibri"/>
      <w:sz w:val="22"/>
      <w:szCs w:val="22"/>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CharAttribute0">
    <w:name w:val="CharAttribute0"/>
    <w:rsid w:val="00EF1D74"/>
    <w:rPr>
      <w:rFonts w:ascii="Times New Roman" w:eastAsia="Times New Roman"/>
    </w:rPr>
  </w:style>
  <w:style w:type="table" w:customStyle="1" w:styleId="TableGrid3">
    <w:name w:val="Table Grid3"/>
    <w:basedOn w:val="TableNormal"/>
    <w:next w:val="TableGrid"/>
    <w:uiPriority w:val="39"/>
    <w:rsid w:val="00EF1D74"/>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F1D74"/>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F1D74"/>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39"/>
    <w:rsid w:val="00EF1D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aliases w:val="Char Char Char Char"/>
    <w:basedOn w:val="Normal"/>
    <w:next w:val="Normal"/>
    <w:link w:val="FootnoteReference"/>
    <w:uiPriority w:val="99"/>
    <w:rsid w:val="00EF1D74"/>
    <w:pPr>
      <w:spacing w:after="160" w:line="240" w:lineRule="exact"/>
      <w:ind w:firstLine="0"/>
      <w:textAlignment w:val="baseline"/>
    </w:pPr>
    <w:rPr>
      <w:sz w:val="20"/>
      <w:vertAlign w:val="superscript"/>
      <w:lang w:eastAsia="lv-LV"/>
    </w:rPr>
  </w:style>
  <w:style w:type="table" w:customStyle="1" w:styleId="ListTable2-Accent11">
    <w:name w:val="List Table 2 - Accent 11"/>
    <w:basedOn w:val="TableNormal"/>
    <w:next w:val="ListTable2-Accent1"/>
    <w:uiPriority w:val="47"/>
    <w:rsid w:val="00EF1D74"/>
    <w:rPr>
      <w:rFonts w:ascii="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rsid w:val="00EF1D74"/>
    <w:pPr>
      <w:autoSpaceDE w:val="0"/>
      <w:autoSpaceDN w:val="0"/>
      <w:adjustRightInd w:val="0"/>
      <w:spacing w:before="120" w:after="120"/>
      <w:ind w:left="284" w:firstLine="720"/>
      <w:jc w:val="both"/>
    </w:pPr>
    <w:rPr>
      <w:color w:val="000000"/>
      <w:sz w:val="24"/>
      <w:szCs w:val="24"/>
    </w:rPr>
  </w:style>
  <w:style w:type="paragraph" w:customStyle="1" w:styleId="footnotetex1">
    <w:name w:val="footnote tex1"/>
    <w:basedOn w:val="Normal"/>
    <w:next w:val="FootnoteText"/>
    <w:unhideWhenUsed/>
    <w:qFormat/>
    <w:rsid w:val="00EF1D74"/>
    <w:pPr>
      <w:spacing w:after="0"/>
      <w:ind w:firstLine="0"/>
      <w:jc w:val="left"/>
    </w:pPr>
    <w:rPr>
      <w:rFonts w:eastAsia="Calibri"/>
      <w:sz w:val="20"/>
    </w:rPr>
  </w:style>
  <w:style w:type="paragraph" w:customStyle="1" w:styleId="Style3">
    <w:name w:val="Style3"/>
    <w:basedOn w:val="Heading3"/>
    <w:link w:val="Style3Char"/>
    <w:qFormat/>
    <w:rsid w:val="00EF1D74"/>
    <w:pPr>
      <w:spacing w:before="200" w:line="259" w:lineRule="auto"/>
      <w:ind w:firstLine="0"/>
      <w:jc w:val="center"/>
    </w:pPr>
    <w:rPr>
      <w:b/>
      <w:bCs/>
      <w:sz w:val="28"/>
      <w:szCs w:val="32"/>
    </w:rPr>
  </w:style>
  <w:style w:type="character" w:customStyle="1" w:styleId="Style3Char">
    <w:name w:val="Style3 Char"/>
    <w:basedOn w:val="Heading3Char"/>
    <w:link w:val="Style3"/>
    <w:rsid w:val="00EF1D74"/>
    <w:rPr>
      <w:rFonts w:asciiTheme="majorHAnsi" w:eastAsiaTheme="majorEastAsia" w:hAnsiTheme="majorHAnsi" w:cstheme="majorBidi"/>
      <w:b/>
      <w:bCs/>
      <w:color w:val="243F60" w:themeColor="accent1" w:themeShade="7F"/>
      <w:sz w:val="28"/>
      <w:szCs w:val="32"/>
      <w:lang w:eastAsia="en-US"/>
    </w:rPr>
  </w:style>
  <w:style w:type="table" w:customStyle="1" w:styleId="TableGrid2">
    <w:name w:val="Table Grid2"/>
    <w:basedOn w:val="TableNormal"/>
    <w:next w:val="TableGrid"/>
    <w:uiPriority w:val="39"/>
    <w:rsid w:val="00EF1D74"/>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table" w:customStyle="1" w:styleId="ListTable2-Accent111">
    <w:name w:val="List Table 2 - Accent 111"/>
    <w:basedOn w:val="TableNormal"/>
    <w:next w:val="ListTable2-Accent1"/>
    <w:uiPriority w:val="47"/>
    <w:rsid w:val="00EF1D74"/>
    <w:rPr>
      <w:rFonts w:ascii="Calibri" w:hAnsi="Calibri"/>
      <w:sz w:val="22"/>
      <w:szCs w:val="22"/>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ghtList-Accent1">
    <w:name w:val="Light List Accent 1"/>
    <w:basedOn w:val="TableNormal"/>
    <w:uiPriority w:val="61"/>
    <w:semiHidden/>
    <w:unhideWhenUsed/>
    <w:rsid w:val="00EF1D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Table2-Accent1">
    <w:name w:val="List Table 2 Accent 1"/>
    <w:basedOn w:val="TableNormal"/>
    <w:uiPriority w:val="47"/>
    <w:rsid w:val="00EF1D7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556">
      <w:bodyDiv w:val="1"/>
      <w:marLeft w:val="0"/>
      <w:marRight w:val="0"/>
      <w:marTop w:val="0"/>
      <w:marBottom w:val="0"/>
      <w:divBdr>
        <w:top w:val="none" w:sz="0" w:space="0" w:color="auto"/>
        <w:left w:val="none" w:sz="0" w:space="0" w:color="auto"/>
        <w:bottom w:val="none" w:sz="0" w:space="0" w:color="auto"/>
        <w:right w:val="none" w:sz="0" w:space="0" w:color="auto"/>
      </w:divBdr>
    </w:div>
    <w:div w:id="135337847">
      <w:bodyDiv w:val="1"/>
      <w:marLeft w:val="0"/>
      <w:marRight w:val="0"/>
      <w:marTop w:val="0"/>
      <w:marBottom w:val="0"/>
      <w:divBdr>
        <w:top w:val="none" w:sz="0" w:space="0" w:color="auto"/>
        <w:left w:val="none" w:sz="0" w:space="0" w:color="auto"/>
        <w:bottom w:val="none" w:sz="0" w:space="0" w:color="auto"/>
        <w:right w:val="none" w:sz="0" w:space="0" w:color="auto"/>
      </w:divBdr>
    </w:div>
    <w:div w:id="138884154">
      <w:bodyDiv w:val="1"/>
      <w:marLeft w:val="0"/>
      <w:marRight w:val="0"/>
      <w:marTop w:val="0"/>
      <w:marBottom w:val="0"/>
      <w:divBdr>
        <w:top w:val="none" w:sz="0" w:space="0" w:color="auto"/>
        <w:left w:val="none" w:sz="0" w:space="0" w:color="auto"/>
        <w:bottom w:val="none" w:sz="0" w:space="0" w:color="auto"/>
        <w:right w:val="none" w:sz="0" w:space="0" w:color="auto"/>
      </w:divBdr>
    </w:div>
    <w:div w:id="262883669">
      <w:bodyDiv w:val="1"/>
      <w:marLeft w:val="0"/>
      <w:marRight w:val="0"/>
      <w:marTop w:val="0"/>
      <w:marBottom w:val="0"/>
      <w:divBdr>
        <w:top w:val="none" w:sz="0" w:space="0" w:color="auto"/>
        <w:left w:val="none" w:sz="0" w:space="0" w:color="auto"/>
        <w:bottom w:val="none" w:sz="0" w:space="0" w:color="auto"/>
        <w:right w:val="none" w:sz="0" w:space="0" w:color="auto"/>
      </w:divBdr>
    </w:div>
    <w:div w:id="351037250">
      <w:bodyDiv w:val="1"/>
      <w:marLeft w:val="0"/>
      <w:marRight w:val="0"/>
      <w:marTop w:val="0"/>
      <w:marBottom w:val="0"/>
      <w:divBdr>
        <w:top w:val="none" w:sz="0" w:space="0" w:color="auto"/>
        <w:left w:val="none" w:sz="0" w:space="0" w:color="auto"/>
        <w:bottom w:val="none" w:sz="0" w:space="0" w:color="auto"/>
        <w:right w:val="none" w:sz="0" w:space="0" w:color="auto"/>
      </w:divBdr>
    </w:div>
    <w:div w:id="405107043">
      <w:bodyDiv w:val="1"/>
      <w:marLeft w:val="0"/>
      <w:marRight w:val="0"/>
      <w:marTop w:val="0"/>
      <w:marBottom w:val="0"/>
      <w:divBdr>
        <w:top w:val="none" w:sz="0" w:space="0" w:color="auto"/>
        <w:left w:val="none" w:sz="0" w:space="0" w:color="auto"/>
        <w:bottom w:val="none" w:sz="0" w:space="0" w:color="auto"/>
        <w:right w:val="none" w:sz="0" w:space="0" w:color="auto"/>
      </w:divBdr>
    </w:div>
    <w:div w:id="420377936">
      <w:bodyDiv w:val="1"/>
      <w:marLeft w:val="0"/>
      <w:marRight w:val="0"/>
      <w:marTop w:val="0"/>
      <w:marBottom w:val="0"/>
      <w:divBdr>
        <w:top w:val="none" w:sz="0" w:space="0" w:color="auto"/>
        <w:left w:val="none" w:sz="0" w:space="0" w:color="auto"/>
        <w:bottom w:val="none" w:sz="0" w:space="0" w:color="auto"/>
        <w:right w:val="none" w:sz="0" w:space="0" w:color="auto"/>
      </w:divBdr>
    </w:div>
    <w:div w:id="430903372">
      <w:bodyDiv w:val="1"/>
      <w:marLeft w:val="0"/>
      <w:marRight w:val="0"/>
      <w:marTop w:val="0"/>
      <w:marBottom w:val="0"/>
      <w:divBdr>
        <w:top w:val="none" w:sz="0" w:space="0" w:color="auto"/>
        <w:left w:val="none" w:sz="0" w:space="0" w:color="auto"/>
        <w:bottom w:val="none" w:sz="0" w:space="0" w:color="auto"/>
        <w:right w:val="none" w:sz="0" w:space="0" w:color="auto"/>
      </w:divBdr>
    </w:div>
    <w:div w:id="475336791">
      <w:bodyDiv w:val="1"/>
      <w:marLeft w:val="0"/>
      <w:marRight w:val="0"/>
      <w:marTop w:val="0"/>
      <w:marBottom w:val="0"/>
      <w:divBdr>
        <w:top w:val="none" w:sz="0" w:space="0" w:color="auto"/>
        <w:left w:val="none" w:sz="0" w:space="0" w:color="auto"/>
        <w:bottom w:val="none" w:sz="0" w:space="0" w:color="auto"/>
        <w:right w:val="none" w:sz="0" w:space="0" w:color="auto"/>
      </w:divBdr>
    </w:div>
    <w:div w:id="505167166">
      <w:bodyDiv w:val="1"/>
      <w:marLeft w:val="0"/>
      <w:marRight w:val="0"/>
      <w:marTop w:val="0"/>
      <w:marBottom w:val="0"/>
      <w:divBdr>
        <w:top w:val="none" w:sz="0" w:space="0" w:color="auto"/>
        <w:left w:val="none" w:sz="0" w:space="0" w:color="auto"/>
        <w:bottom w:val="none" w:sz="0" w:space="0" w:color="auto"/>
        <w:right w:val="none" w:sz="0" w:space="0" w:color="auto"/>
      </w:divBdr>
    </w:div>
    <w:div w:id="533232111">
      <w:bodyDiv w:val="1"/>
      <w:marLeft w:val="0"/>
      <w:marRight w:val="0"/>
      <w:marTop w:val="0"/>
      <w:marBottom w:val="0"/>
      <w:divBdr>
        <w:top w:val="none" w:sz="0" w:space="0" w:color="auto"/>
        <w:left w:val="none" w:sz="0" w:space="0" w:color="auto"/>
        <w:bottom w:val="none" w:sz="0" w:space="0" w:color="auto"/>
        <w:right w:val="none" w:sz="0" w:space="0" w:color="auto"/>
      </w:divBdr>
    </w:div>
    <w:div w:id="552162225">
      <w:bodyDiv w:val="1"/>
      <w:marLeft w:val="0"/>
      <w:marRight w:val="0"/>
      <w:marTop w:val="0"/>
      <w:marBottom w:val="0"/>
      <w:divBdr>
        <w:top w:val="none" w:sz="0" w:space="0" w:color="auto"/>
        <w:left w:val="none" w:sz="0" w:space="0" w:color="auto"/>
        <w:bottom w:val="none" w:sz="0" w:space="0" w:color="auto"/>
        <w:right w:val="none" w:sz="0" w:space="0" w:color="auto"/>
      </w:divBdr>
    </w:div>
    <w:div w:id="767309626">
      <w:bodyDiv w:val="1"/>
      <w:marLeft w:val="0"/>
      <w:marRight w:val="0"/>
      <w:marTop w:val="0"/>
      <w:marBottom w:val="0"/>
      <w:divBdr>
        <w:top w:val="none" w:sz="0" w:space="0" w:color="auto"/>
        <w:left w:val="none" w:sz="0" w:space="0" w:color="auto"/>
        <w:bottom w:val="none" w:sz="0" w:space="0" w:color="auto"/>
        <w:right w:val="none" w:sz="0" w:space="0" w:color="auto"/>
      </w:divBdr>
    </w:div>
    <w:div w:id="780418143">
      <w:bodyDiv w:val="1"/>
      <w:marLeft w:val="0"/>
      <w:marRight w:val="0"/>
      <w:marTop w:val="0"/>
      <w:marBottom w:val="0"/>
      <w:divBdr>
        <w:top w:val="none" w:sz="0" w:space="0" w:color="auto"/>
        <w:left w:val="none" w:sz="0" w:space="0" w:color="auto"/>
        <w:bottom w:val="none" w:sz="0" w:space="0" w:color="auto"/>
        <w:right w:val="none" w:sz="0" w:space="0" w:color="auto"/>
      </w:divBdr>
    </w:div>
    <w:div w:id="811293612">
      <w:bodyDiv w:val="1"/>
      <w:marLeft w:val="0"/>
      <w:marRight w:val="0"/>
      <w:marTop w:val="0"/>
      <w:marBottom w:val="0"/>
      <w:divBdr>
        <w:top w:val="none" w:sz="0" w:space="0" w:color="auto"/>
        <w:left w:val="none" w:sz="0" w:space="0" w:color="auto"/>
        <w:bottom w:val="none" w:sz="0" w:space="0" w:color="auto"/>
        <w:right w:val="none" w:sz="0" w:space="0" w:color="auto"/>
      </w:divBdr>
    </w:div>
    <w:div w:id="910968073">
      <w:bodyDiv w:val="1"/>
      <w:marLeft w:val="0"/>
      <w:marRight w:val="0"/>
      <w:marTop w:val="0"/>
      <w:marBottom w:val="0"/>
      <w:divBdr>
        <w:top w:val="none" w:sz="0" w:space="0" w:color="auto"/>
        <w:left w:val="none" w:sz="0" w:space="0" w:color="auto"/>
        <w:bottom w:val="none" w:sz="0" w:space="0" w:color="auto"/>
        <w:right w:val="none" w:sz="0" w:space="0" w:color="auto"/>
      </w:divBdr>
    </w:div>
    <w:div w:id="912086294">
      <w:bodyDiv w:val="1"/>
      <w:marLeft w:val="0"/>
      <w:marRight w:val="0"/>
      <w:marTop w:val="0"/>
      <w:marBottom w:val="0"/>
      <w:divBdr>
        <w:top w:val="none" w:sz="0" w:space="0" w:color="auto"/>
        <w:left w:val="none" w:sz="0" w:space="0" w:color="auto"/>
        <w:bottom w:val="none" w:sz="0" w:space="0" w:color="auto"/>
        <w:right w:val="none" w:sz="0" w:space="0" w:color="auto"/>
      </w:divBdr>
    </w:div>
    <w:div w:id="973484375">
      <w:bodyDiv w:val="1"/>
      <w:marLeft w:val="0"/>
      <w:marRight w:val="0"/>
      <w:marTop w:val="0"/>
      <w:marBottom w:val="0"/>
      <w:divBdr>
        <w:top w:val="none" w:sz="0" w:space="0" w:color="auto"/>
        <w:left w:val="none" w:sz="0" w:space="0" w:color="auto"/>
        <w:bottom w:val="none" w:sz="0" w:space="0" w:color="auto"/>
        <w:right w:val="none" w:sz="0" w:space="0" w:color="auto"/>
      </w:divBdr>
    </w:div>
    <w:div w:id="977295454">
      <w:bodyDiv w:val="1"/>
      <w:marLeft w:val="0"/>
      <w:marRight w:val="0"/>
      <w:marTop w:val="0"/>
      <w:marBottom w:val="0"/>
      <w:divBdr>
        <w:top w:val="none" w:sz="0" w:space="0" w:color="auto"/>
        <w:left w:val="none" w:sz="0" w:space="0" w:color="auto"/>
        <w:bottom w:val="none" w:sz="0" w:space="0" w:color="auto"/>
        <w:right w:val="none" w:sz="0" w:space="0" w:color="auto"/>
      </w:divBdr>
    </w:div>
    <w:div w:id="980309391">
      <w:bodyDiv w:val="1"/>
      <w:marLeft w:val="0"/>
      <w:marRight w:val="0"/>
      <w:marTop w:val="0"/>
      <w:marBottom w:val="0"/>
      <w:divBdr>
        <w:top w:val="none" w:sz="0" w:space="0" w:color="auto"/>
        <w:left w:val="none" w:sz="0" w:space="0" w:color="auto"/>
        <w:bottom w:val="none" w:sz="0" w:space="0" w:color="auto"/>
        <w:right w:val="none" w:sz="0" w:space="0" w:color="auto"/>
      </w:divBdr>
    </w:div>
    <w:div w:id="988830195">
      <w:bodyDiv w:val="1"/>
      <w:marLeft w:val="0"/>
      <w:marRight w:val="0"/>
      <w:marTop w:val="0"/>
      <w:marBottom w:val="0"/>
      <w:divBdr>
        <w:top w:val="none" w:sz="0" w:space="0" w:color="auto"/>
        <w:left w:val="none" w:sz="0" w:space="0" w:color="auto"/>
        <w:bottom w:val="none" w:sz="0" w:space="0" w:color="auto"/>
        <w:right w:val="none" w:sz="0" w:space="0" w:color="auto"/>
      </w:divBdr>
    </w:div>
    <w:div w:id="997153122">
      <w:bodyDiv w:val="1"/>
      <w:marLeft w:val="0"/>
      <w:marRight w:val="0"/>
      <w:marTop w:val="0"/>
      <w:marBottom w:val="0"/>
      <w:divBdr>
        <w:top w:val="none" w:sz="0" w:space="0" w:color="auto"/>
        <w:left w:val="none" w:sz="0" w:space="0" w:color="auto"/>
        <w:bottom w:val="none" w:sz="0" w:space="0" w:color="auto"/>
        <w:right w:val="none" w:sz="0" w:space="0" w:color="auto"/>
      </w:divBdr>
    </w:div>
    <w:div w:id="1006982210">
      <w:bodyDiv w:val="1"/>
      <w:marLeft w:val="0"/>
      <w:marRight w:val="0"/>
      <w:marTop w:val="0"/>
      <w:marBottom w:val="0"/>
      <w:divBdr>
        <w:top w:val="none" w:sz="0" w:space="0" w:color="auto"/>
        <w:left w:val="none" w:sz="0" w:space="0" w:color="auto"/>
        <w:bottom w:val="none" w:sz="0" w:space="0" w:color="auto"/>
        <w:right w:val="none" w:sz="0" w:space="0" w:color="auto"/>
      </w:divBdr>
    </w:div>
    <w:div w:id="1011644879">
      <w:bodyDiv w:val="1"/>
      <w:marLeft w:val="0"/>
      <w:marRight w:val="0"/>
      <w:marTop w:val="0"/>
      <w:marBottom w:val="0"/>
      <w:divBdr>
        <w:top w:val="none" w:sz="0" w:space="0" w:color="auto"/>
        <w:left w:val="none" w:sz="0" w:space="0" w:color="auto"/>
        <w:bottom w:val="none" w:sz="0" w:space="0" w:color="auto"/>
        <w:right w:val="none" w:sz="0" w:space="0" w:color="auto"/>
      </w:divBdr>
    </w:div>
    <w:div w:id="1078674701">
      <w:bodyDiv w:val="1"/>
      <w:marLeft w:val="0"/>
      <w:marRight w:val="0"/>
      <w:marTop w:val="0"/>
      <w:marBottom w:val="0"/>
      <w:divBdr>
        <w:top w:val="none" w:sz="0" w:space="0" w:color="auto"/>
        <w:left w:val="none" w:sz="0" w:space="0" w:color="auto"/>
        <w:bottom w:val="none" w:sz="0" w:space="0" w:color="auto"/>
        <w:right w:val="none" w:sz="0" w:space="0" w:color="auto"/>
      </w:divBdr>
    </w:div>
    <w:div w:id="1115976285">
      <w:bodyDiv w:val="1"/>
      <w:marLeft w:val="0"/>
      <w:marRight w:val="0"/>
      <w:marTop w:val="0"/>
      <w:marBottom w:val="0"/>
      <w:divBdr>
        <w:top w:val="none" w:sz="0" w:space="0" w:color="auto"/>
        <w:left w:val="none" w:sz="0" w:space="0" w:color="auto"/>
        <w:bottom w:val="none" w:sz="0" w:space="0" w:color="auto"/>
        <w:right w:val="none" w:sz="0" w:space="0" w:color="auto"/>
      </w:divBdr>
    </w:div>
    <w:div w:id="1211962919">
      <w:bodyDiv w:val="1"/>
      <w:marLeft w:val="0"/>
      <w:marRight w:val="0"/>
      <w:marTop w:val="0"/>
      <w:marBottom w:val="0"/>
      <w:divBdr>
        <w:top w:val="none" w:sz="0" w:space="0" w:color="auto"/>
        <w:left w:val="none" w:sz="0" w:space="0" w:color="auto"/>
        <w:bottom w:val="none" w:sz="0" w:space="0" w:color="auto"/>
        <w:right w:val="none" w:sz="0" w:space="0" w:color="auto"/>
      </w:divBdr>
    </w:div>
    <w:div w:id="1219510770">
      <w:bodyDiv w:val="1"/>
      <w:marLeft w:val="0"/>
      <w:marRight w:val="0"/>
      <w:marTop w:val="0"/>
      <w:marBottom w:val="0"/>
      <w:divBdr>
        <w:top w:val="none" w:sz="0" w:space="0" w:color="auto"/>
        <w:left w:val="none" w:sz="0" w:space="0" w:color="auto"/>
        <w:bottom w:val="none" w:sz="0" w:space="0" w:color="auto"/>
        <w:right w:val="none" w:sz="0" w:space="0" w:color="auto"/>
      </w:divBdr>
    </w:div>
    <w:div w:id="1292325838">
      <w:bodyDiv w:val="1"/>
      <w:marLeft w:val="0"/>
      <w:marRight w:val="0"/>
      <w:marTop w:val="0"/>
      <w:marBottom w:val="0"/>
      <w:divBdr>
        <w:top w:val="none" w:sz="0" w:space="0" w:color="auto"/>
        <w:left w:val="none" w:sz="0" w:space="0" w:color="auto"/>
        <w:bottom w:val="none" w:sz="0" w:space="0" w:color="auto"/>
        <w:right w:val="none" w:sz="0" w:space="0" w:color="auto"/>
      </w:divBdr>
    </w:div>
    <w:div w:id="1318606789">
      <w:bodyDiv w:val="1"/>
      <w:marLeft w:val="0"/>
      <w:marRight w:val="0"/>
      <w:marTop w:val="0"/>
      <w:marBottom w:val="0"/>
      <w:divBdr>
        <w:top w:val="none" w:sz="0" w:space="0" w:color="auto"/>
        <w:left w:val="none" w:sz="0" w:space="0" w:color="auto"/>
        <w:bottom w:val="none" w:sz="0" w:space="0" w:color="auto"/>
        <w:right w:val="none" w:sz="0" w:space="0" w:color="auto"/>
      </w:divBdr>
    </w:div>
    <w:div w:id="1354577367">
      <w:bodyDiv w:val="1"/>
      <w:marLeft w:val="0"/>
      <w:marRight w:val="0"/>
      <w:marTop w:val="0"/>
      <w:marBottom w:val="0"/>
      <w:divBdr>
        <w:top w:val="none" w:sz="0" w:space="0" w:color="auto"/>
        <w:left w:val="none" w:sz="0" w:space="0" w:color="auto"/>
        <w:bottom w:val="none" w:sz="0" w:space="0" w:color="auto"/>
        <w:right w:val="none" w:sz="0" w:space="0" w:color="auto"/>
      </w:divBdr>
    </w:div>
    <w:div w:id="1665283794">
      <w:bodyDiv w:val="1"/>
      <w:marLeft w:val="0"/>
      <w:marRight w:val="0"/>
      <w:marTop w:val="0"/>
      <w:marBottom w:val="0"/>
      <w:divBdr>
        <w:top w:val="none" w:sz="0" w:space="0" w:color="auto"/>
        <w:left w:val="none" w:sz="0" w:space="0" w:color="auto"/>
        <w:bottom w:val="none" w:sz="0" w:space="0" w:color="auto"/>
        <w:right w:val="none" w:sz="0" w:space="0" w:color="auto"/>
      </w:divBdr>
    </w:div>
    <w:div w:id="1678533496">
      <w:bodyDiv w:val="1"/>
      <w:marLeft w:val="0"/>
      <w:marRight w:val="0"/>
      <w:marTop w:val="0"/>
      <w:marBottom w:val="0"/>
      <w:divBdr>
        <w:top w:val="none" w:sz="0" w:space="0" w:color="auto"/>
        <w:left w:val="none" w:sz="0" w:space="0" w:color="auto"/>
        <w:bottom w:val="none" w:sz="0" w:space="0" w:color="auto"/>
        <w:right w:val="none" w:sz="0" w:space="0" w:color="auto"/>
      </w:divBdr>
    </w:div>
    <w:div w:id="1986660274">
      <w:bodyDiv w:val="1"/>
      <w:marLeft w:val="0"/>
      <w:marRight w:val="0"/>
      <w:marTop w:val="0"/>
      <w:marBottom w:val="0"/>
      <w:divBdr>
        <w:top w:val="none" w:sz="0" w:space="0" w:color="auto"/>
        <w:left w:val="none" w:sz="0" w:space="0" w:color="auto"/>
        <w:bottom w:val="none" w:sz="0" w:space="0" w:color="auto"/>
        <w:right w:val="none" w:sz="0" w:space="0" w:color="auto"/>
      </w:divBdr>
    </w:div>
    <w:div w:id="2006081695">
      <w:bodyDiv w:val="1"/>
      <w:marLeft w:val="0"/>
      <w:marRight w:val="0"/>
      <w:marTop w:val="0"/>
      <w:marBottom w:val="0"/>
      <w:divBdr>
        <w:top w:val="none" w:sz="0" w:space="0" w:color="auto"/>
        <w:left w:val="none" w:sz="0" w:space="0" w:color="auto"/>
        <w:bottom w:val="none" w:sz="0" w:space="0" w:color="auto"/>
        <w:right w:val="none" w:sz="0" w:space="0" w:color="auto"/>
      </w:divBdr>
    </w:div>
    <w:div w:id="2135560164">
      <w:bodyDiv w:val="1"/>
      <w:marLeft w:val="0"/>
      <w:marRight w:val="0"/>
      <w:marTop w:val="0"/>
      <w:marBottom w:val="0"/>
      <w:divBdr>
        <w:top w:val="none" w:sz="0" w:space="0" w:color="auto"/>
        <w:left w:val="none" w:sz="0" w:space="0" w:color="auto"/>
        <w:bottom w:val="none" w:sz="0" w:space="0" w:color="auto"/>
        <w:right w:val="none" w:sz="0" w:space="0" w:color="auto"/>
      </w:divBdr>
    </w:div>
    <w:div w:id="21364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header" Target="header2.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fontTable" Target="fontTable.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footer" Target="footer1.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 TargetMode="External"/><Relationship Id="rId1" Type="http://schemas.openxmlformats.org/officeDocument/2006/relationships/hyperlink" Target="http://www.portnews.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inistrija\dokuments_Ministru_kabinetam.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fk\tand\TAND\Diana%20Ondza\R&#362;PNIEC&#298;BA\R&#362;PNIEC&#298;BA%20pa%20ceturk&#353;&#326;iem.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fk\tand\TAND\Diana%20Ondza\R&#362;PNIEC&#298;BA\R&#362;PNIEC&#298;BA%20pa%20m&#275;ne&#353;iem.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fk\tand\TAND\Diana%20Ondza\R&#362;PNIEC&#298;BA\R&#362;PNIEC&#298;BA%20pa%20m&#275;ne&#353;iem.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fk\tand\TAND\_Budzeta%20paskaidrojumi\bu_2021\manuf_eu.xls"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fk\tand\TAND\_Budzeta%20paskaidrojumi\bu_2021\lauks_tirdzn.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fk\tand\TAND\_Prezentacija\Prezentacijas-DATA.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embeddings/oleObject1.bin"/></Relationships>
</file>

<file path=word/charts/_rels/chart18.xml.rels><?xml version="1.0" encoding="UTF-8" standalone="yes"?>
<Relationships xmlns="http://schemas.openxmlformats.org/package/2006/relationships"><Relationship Id="rId2" Type="http://schemas.openxmlformats.org/officeDocument/2006/relationships/oleObject" Target="file:///\\fk\tand\TAND\Ieva%20Veja\bud&#382;eta%20paskaidrojumi\2020\transports\pasa&#382;ieru%20indeksi.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fk\tand\TAND\Diana%20Ondza\B&#362;VNIEC&#298;BA\B&#363;vn.%20apjomi.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k\tand\TAND\Diana%20Ondza\IKP\ikp_.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fk\tand\TAND\_Budzeta%20paskaidrojumi\bu_2020\M&#257;jok&#316;u%20cenu%20indekss.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fk\tand\TAND\Diana%20Ondza\B&#362;VNIEC&#298;BA\Ra&#382;ot&#257;ju%20cenas.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fk\tand\TAND\Diana%20Ondza\B&#362;VNIEC&#298;BA\B&#363;vn.%20apjomi.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Worksheet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fk\TAND\TAND\_Budzeta%20paskaidrojumi\bu_2021\Nozares\Finan&#353;u\03_Jauno_darijumu_un_parskatito_kreditu_apjoms_MFI_eiro_darijumos_ar_nefinansu_sabiedribam_un_majsaimniecibam_29.09.2020.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fk\tand\TAND\_Budzeta%20paskaidrojumi\bu_2021\lauks_tirdzn.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fk\tand\TAND\_Budzeta%20paskaidrojumi\bu_2021\Lauksaimnieciba.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fk\tand\TAND\_Budzeta%20paskaidrojumi\bu_2021\Lauksaimnieciba.xlsx" TargetMode="External"/></Relationships>
</file>

<file path=word/charts/_rels/chart28.xml.rels><?xml version="1.0" encoding="UTF-8" standalone="yes"?>
<Relationships xmlns="http://schemas.openxmlformats.org/package/2006/relationships"><Relationship Id="rId2" Type="http://schemas.openxmlformats.org/officeDocument/2006/relationships/oleObject" Target="file:///\\fk\tand\TAND\_Makro_modeli\Infl&#257;cija\Inflation_main.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k\tand\TAND\_Prezentacija\Prezentacijas-DATA.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Microsoft_Excel_Worksheet3.xlsx"/></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fk\tand\TAND\Ieva%20Veja\bud&#382;eta%20paskaidrojumi\2020\darba%20tirgus\aiz&#326;emt&#257;s%20darba%20vietas%20p&#275;c%201.cet%202019.xlsx" TargetMode="Externa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package" Target="../embeddings/Microsoft_Excel_Worksheet5.xlsx"/></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35.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package" Target="../embeddings/Microsoft_Excel_Worksheet7.xlsx"/></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36.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embeddings/oleObject3.bin"/></Relationships>
</file>

<file path=word/charts/_rels/chart3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fk\tand\TAND\Ieva%20Veja\bud&#382;eta%20paskaidrojumi\2020\iedz&#299;vot&#257;ju%20ien&#257;kumi\ien&#257;kumi%20p&#275;c%20PPS%20no%20ES%20vid&#275;j&#257;.xlsx" TargetMode="External"/><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38.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C:\Users\Alex\Downloads\namq_10_gdp.xls" TargetMode="Externa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39.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C:\Users\td-jursa\Downloads\AT020c%20(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k\tand\TAND\_Prezentacija\Prezentacijas-DATA.xlsx" TargetMode="External"/></Relationships>
</file>

<file path=word/charts/_rels/chart40.xml.rels><?xml version="1.0" encoding="UTF-8" standalone="yes"?>
<Relationships xmlns="http://schemas.openxmlformats.org/package/2006/relationships"><Relationship Id="rId3" Type="http://schemas.openxmlformats.org/officeDocument/2006/relationships/themeOverride" Target="../theme/themeOverride40.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fk\tand\TAND\_Prezentacija\Prezentacijas-DATA.xlsx" TargetMode="External"/></Relationships>
</file>

<file path=word/charts/_rels/chart41.xml.rels><?xml version="1.0" encoding="UTF-8" standalone="yes"?>
<Relationships xmlns="http://schemas.openxmlformats.org/package/2006/relationships"><Relationship Id="rId2" Type="http://schemas.openxmlformats.org/officeDocument/2006/relationships/oleObject" Target="file:///\\fk\tand\TAND\_Prezentacija\Prezentacijas-DATA.xlsx" TargetMode="External"/><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3" Type="http://schemas.openxmlformats.org/officeDocument/2006/relationships/themeOverride" Target="../theme/themeOverride42.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file:///\\fk\tand\TAND\_Prezentacija\Prezentacijas-DATA.xlsx" TargetMode="External"/></Relationships>
</file>

<file path=word/charts/_rels/chart43.xml.rels><?xml version="1.0" encoding="UTF-8" standalone="yes"?>
<Relationships xmlns="http://schemas.openxmlformats.org/package/2006/relationships"><Relationship Id="rId3" Type="http://schemas.openxmlformats.org/officeDocument/2006/relationships/themeOverride" Target="../theme/themeOverride43.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oleObject" Target="file:///D:\Users\td-jursa\Downloads\namq_10_an6%20(1).xls" TargetMode="External"/></Relationships>
</file>

<file path=word/charts/_rels/chart44.xml.rels><?xml version="1.0" encoding="UTF-8" standalone="yes"?>
<Relationships xmlns="http://schemas.openxmlformats.org/package/2006/relationships"><Relationship Id="rId3" Type="http://schemas.openxmlformats.org/officeDocument/2006/relationships/themeOverride" Target="../theme/themeOverride44.xml"/><Relationship Id="rId2" Type="http://schemas.microsoft.com/office/2011/relationships/chartColorStyle" Target="colors37.xml"/><Relationship Id="rId1" Type="http://schemas.microsoft.com/office/2011/relationships/chartStyle" Target="style37.xml"/><Relationship Id="rId5" Type="http://schemas.openxmlformats.org/officeDocument/2006/relationships/chartUserShapes" Target="../drawings/drawing4.xml"/><Relationship Id="rId4" Type="http://schemas.openxmlformats.org/officeDocument/2006/relationships/oleObject" Target="file:///C:\Users\Alex\Desktop\Jaudu%20noslodze.xlsx" TargetMode="External"/></Relationships>
</file>

<file path=word/charts/_rels/chart45.xml.rels><?xml version="1.0" encoding="UTF-8" standalone="yes"?>
<Relationships xmlns="http://schemas.openxmlformats.org/package/2006/relationships"><Relationship Id="rId3" Type="http://schemas.openxmlformats.org/officeDocument/2006/relationships/themeOverride" Target="../theme/themeOverride45.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package" Target="../embeddings/Microsoft_Excel_Worksheet8.xlsx"/></Relationships>
</file>

<file path=word/charts/_rels/chart46.xml.rels><?xml version="1.0" encoding="UTF-8" standalone="yes"?>
<Relationships xmlns="http://schemas.openxmlformats.org/package/2006/relationships"><Relationship Id="rId3" Type="http://schemas.openxmlformats.org/officeDocument/2006/relationships/themeOverride" Target="../theme/themeOverride46.xml"/><Relationship Id="rId2" Type="http://schemas.microsoft.com/office/2011/relationships/chartColorStyle" Target="colors39.xml"/><Relationship Id="rId1" Type="http://schemas.microsoft.com/office/2011/relationships/chartStyle" Target="style39.xml"/><Relationship Id="rId4" Type="http://schemas.openxmlformats.org/officeDocument/2006/relationships/oleObject" Target="../embeddings/oleObject4.bin"/></Relationships>
</file>

<file path=word/charts/_rels/chart4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embeddings/oleObject5.bin"/><Relationship Id="rId1" Type="http://schemas.openxmlformats.org/officeDocument/2006/relationships/themeOverride" Target="../theme/themeOverride47.xml"/></Relationships>
</file>

<file path=word/charts/_rels/chart5.xml.rels><?xml version="1.0" encoding="UTF-8" standalone="yes"?>
<Relationships xmlns="http://schemas.openxmlformats.org/package/2006/relationships"><Relationship Id="rId2" Type="http://schemas.openxmlformats.org/officeDocument/2006/relationships/oleObject" Target="file:///\\fk\tand\TAND\Diana%20Ondza\IKP\eu%202020.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1.xml"/><Relationship Id="rId4" Type="http://schemas.openxmlformats.org/officeDocument/2006/relationships/oleObject" Target="file:///\\fk\tand\TAND\Diana%20Ondza\IKP\ikp_.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2.xml"/><Relationship Id="rId4" Type="http://schemas.openxmlformats.org/officeDocument/2006/relationships/oleObject" Target="file:///\\fk\tand\TAND\Diana%20Ondza\IKP\ikp_.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k\tand\TAND\_Prezentacija\Prezentacijas-DATA.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fk\tand\TAND\_Prezentacija\Prezentacijas-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182437133956857E-2"/>
          <c:y val="2.5159670882789201E-2"/>
          <c:w val="0.86201133418399756"/>
          <c:h val="0.69380250460881454"/>
        </c:manualLayout>
      </c:layout>
      <c:lineChart>
        <c:grouping val="standard"/>
        <c:varyColors val="0"/>
        <c:ser>
          <c:idx val="0"/>
          <c:order val="0"/>
          <c:tx>
            <c:strRef>
              <c:f>'ESI LV'!$C$1</c:f>
              <c:strCache>
                <c:ptCount val="1"/>
                <c:pt idx="0">
                  <c:v>Rūpniecība</c:v>
                </c:pt>
              </c:strCache>
            </c:strRef>
          </c:tx>
          <c:spPr>
            <a:ln w="28575" cap="rnd">
              <a:solidFill>
                <a:schemeClr val="accent1"/>
              </a:solidFill>
              <a:round/>
            </a:ln>
            <a:effectLst/>
          </c:spPr>
          <c:marker>
            <c:symbol val="none"/>
          </c:marker>
          <c:cat>
            <c:multiLvlStrRef>
              <c:f>'ESI LV'!$A$26:$B$165</c:f>
              <c:multiLvlStrCache>
                <c:ptCount val="14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pt idx="108">
                    <c:v>I</c:v>
                  </c:pt>
                  <c:pt idx="109">
                    <c:v>II</c:v>
                  </c:pt>
                  <c:pt idx="110">
                    <c:v>III</c:v>
                  </c:pt>
                  <c:pt idx="111">
                    <c:v>IV</c:v>
                  </c:pt>
                  <c:pt idx="112">
                    <c:v>V</c:v>
                  </c:pt>
                  <c:pt idx="113">
                    <c:v>VI</c:v>
                  </c:pt>
                  <c:pt idx="114">
                    <c:v>VII</c:v>
                  </c:pt>
                  <c:pt idx="115">
                    <c:v>VIII</c:v>
                  </c:pt>
                  <c:pt idx="116">
                    <c:v>IX</c:v>
                  </c:pt>
                  <c:pt idx="117">
                    <c:v>X</c:v>
                  </c:pt>
                  <c:pt idx="118">
                    <c:v>XI</c:v>
                  </c:pt>
                  <c:pt idx="119">
                    <c:v>XII</c:v>
                  </c:pt>
                  <c:pt idx="120">
                    <c:v>I</c:v>
                  </c:pt>
                  <c:pt idx="121">
                    <c:v>II</c:v>
                  </c:pt>
                  <c:pt idx="122">
                    <c:v>III</c:v>
                  </c:pt>
                  <c:pt idx="123">
                    <c:v>IV</c:v>
                  </c:pt>
                  <c:pt idx="124">
                    <c:v>V</c:v>
                  </c:pt>
                  <c:pt idx="125">
                    <c:v>VI</c:v>
                  </c:pt>
                  <c:pt idx="126">
                    <c:v>VII</c:v>
                  </c:pt>
                  <c:pt idx="127">
                    <c:v>VIII</c:v>
                  </c:pt>
                  <c:pt idx="128">
                    <c:v>IX</c:v>
                  </c:pt>
                  <c:pt idx="129">
                    <c:v>X</c:v>
                  </c:pt>
                  <c:pt idx="130">
                    <c:v>XI</c:v>
                  </c:pt>
                  <c:pt idx="131">
                    <c:v>XII</c:v>
                  </c:pt>
                  <c:pt idx="132">
                    <c:v>I</c:v>
                  </c:pt>
                  <c:pt idx="133">
                    <c:v>II</c:v>
                  </c:pt>
                  <c:pt idx="134">
                    <c:v>III</c:v>
                  </c:pt>
                  <c:pt idx="135">
                    <c:v>IV</c:v>
                  </c:pt>
                  <c:pt idx="136">
                    <c:v>V</c:v>
                  </c:pt>
                  <c:pt idx="137">
                    <c:v>VI</c:v>
                  </c:pt>
                  <c:pt idx="138">
                    <c:v>VII</c:v>
                  </c:pt>
                  <c:pt idx="139">
                    <c:v>VIII</c:v>
                  </c:pt>
                </c:lvl>
                <c:lvl>
                  <c:pt idx="0">
                    <c:v>2009</c:v>
                  </c:pt>
                  <c:pt idx="12">
                    <c:v>2010</c:v>
                  </c:pt>
                  <c:pt idx="24">
                    <c:v>2011</c:v>
                  </c:pt>
                  <c:pt idx="36">
                    <c:v>2012</c:v>
                  </c:pt>
                  <c:pt idx="48">
                    <c:v>2013</c:v>
                  </c:pt>
                  <c:pt idx="60">
                    <c:v>2014</c:v>
                  </c:pt>
                  <c:pt idx="72">
                    <c:v>2015</c:v>
                  </c:pt>
                  <c:pt idx="84">
                    <c:v>2016</c:v>
                  </c:pt>
                  <c:pt idx="96">
                    <c:v>2017</c:v>
                  </c:pt>
                  <c:pt idx="108">
                    <c:v>2018</c:v>
                  </c:pt>
                  <c:pt idx="120">
                    <c:v>2019</c:v>
                  </c:pt>
                  <c:pt idx="132">
                    <c:v>2020</c:v>
                  </c:pt>
                </c:lvl>
              </c:multiLvlStrCache>
            </c:multiLvlStrRef>
          </c:cat>
          <c:val>
            <c:numRef>
              <c:f>'ESI LV'!$C$26:$C$165</c:f>
              <c:numCache>
                <c:formatCode>0.0</c:formatCode>
                <c:ptCount val="140"/>
                <c:pt idx="0">
                  <c:v>-31.4</c:v>
                </c:pt>
                <c:pt idx="1">
                  <c:v>-35</c:v>
                </c:pt>
                <c:pt idx="2">
                  <c:v>-36.799999999999997</c:v>
                </c:pt>
                <c:pt idx="3">
                  <c:v>-34.6</c:v>
                </c:pt>
                <c:pt idx="4">
                  <c:v>-32.700000000000003</c:v>
                </c:pt>
                <c:pt idx="5">
                  <c:v>-31</c:v>
                </c:pt>
                <c:pt idx="6">
                  <c:v>-28.6</c:v>
                </c:pt>
                <c:pt idx="7">
                  <c:v>-25.2</c:v>
                </c:pt>
                <c:pt idx="8">
                  <c:v>-23.6</c:v>
                </c:pt>
                <c:pt idx="9">
                  <c:v>-20.6</c:v>
                </c:pt>
                <c:pt idx="10">
                  <c:v>-18.3</c:v>
                </c:pt>
                <c:pt idx="11">
                  <c:v>-15.8</c:v>
                </c:pt>
                <c:pt idx="12">
                  <c:v>-13.3</c:v>
                </c:pt>
                <c:pt idx="13">
                  <c:v>-11.4</c:v>
                </c:pt>
                <c:pt idx="14">
                  <c:v>-8.8000000000000007</c:v>
                </c:pt>
                <c:pt idx="15">
                  <c:v>-6.8</c:v>
                </c:pt>
                <c:pt idx="16">
                  <c:v>-5.5</c:v>
                </c:pt>
                <c:pt idx="17">
                  <c:v>-4.3</c:v>
                </c:pt>
                <c:pt idx="18">
                  <c:v>-2.8</c:v>
                </c:pt>
                <c:pt idx="19">
                  <c:v>-1.8</c:v>
                </c:pt>
                <c:pt idx="20">
                  <c:v>-1</c:v>
                </c:pt>
                <c:pt idx="21">
                  <c:v>0.4</c:v>
                </c:pt>
                <c:pt idx="22">
                  <c:v>1.9</c:v>
                </c:pt>
                <c:pt idx="23">
                  <c:v>4.7</c:v>
                </c:pt>
                <c:pt idx="24">
                  <c:v>6</c:v>
                </c:pt>
                <c:pt idx="25">
                  <c:v>6.8</c:v>
                </c:pt>
                <c:pt idx="26">
                  <c:v>6.6</c:v>
                </c:pt>
                <c:pt idx="27">
                  <c:v>5.5</c:v>
                </c:pt>
                <c:pt idx="28">
                  <c:v>3.6</c:v>
                </c:pt>
                <c:pt idx="29">
                  <c:v>2.8</c:v>
                </c:pt>
                <c:pt idx="30">
                  <c:v>0.1</c:v>
                </c:pt>
                <c:pt idx="31">
                  <c:v>-2.5</c:v>
                </c:pt>
                <c:pt idx="32">
                  <c:v>-5</c:v>
                </c:pt>
                <c:pt idx="33">
                  <c:v>-5.3</c:v>
                </c:pt>
                <c:pt idx="34">
                  <c:v>-5.8</c:v>
                </c:pt>
                <c:pt idx="35">
                  <c:v>-5.6</c:v>
                </c:pt>
                <c:pt idx="36">
                  <c:v>-5.8</c:v>
                </c:pt>
                <c:pt idx="37">
                  <c:v>-4.7</c:v>
                </c:pt>
                <c:pt idx="38">
                  <c:v>-6.2</c:v>
                </c:pt>
                <c:pt idx="39">
                  <c:v>-7.4</c:v>
                </c:pt>
                <c:pt idx="40">
                  <c:v>-9.8000000000000007</c:v>
                </c:pt>
                <c:pt idx="41">
                  <c:v>-10.4</c:v>
                </c:pt>
                <c:pt idx="42">
                  <c:v>-12.3</c:v>
                </c:pt>
                <c:pt idx="43">
                  <c:v>-13.4</c:v>
                </c:pt>
                <c:pt idx="44">
                  <c:v>-13.7</c:v>
                </c:pt>
                <c:pt idx="45">
                  <c:v>-16.399999999999999</c:v>
                </c:pt>
                <c:pt idx="46">
                  <c:v>-13.5</c:v>
                </c:pt>
                <c:pt idx="47">
                  <c:v>-12.3</c:v>
                </c:pt>
                <c:pt idx="48">
                  <c:v>-12.4</c:v>
                </c:pt>
                <c:pt idx="49">
                  <c:v>-10.3</c:v>
                </c:pt>
                <c:pt idx="50">
                  <c:v>-11.2</c:v>
                </c:pt>
                <c:pt idx="51">
                  <c:v>-12.7</c:v>
                </c:pt>
                <c:pt idx="52">
                  <c:v>-11.9</c:v>
                </c:pt>
                <c:pt idx="53">
                  <c:v>-10.4</c:v>
                </c:pt>
                <c:pt idx="54">
                  <c:v>-9.9</c:v>
                </c:pt>
                <c:pt idx="55">
                  <c:v>-7.6</c:v>
                </c:pt>
                <c:pt idx="56">
                  <c:v>-6.2</c:v>
                </c:pt>
                <c:pt idx="57">
                  <c:v>-4.7</c:v>
                </c:pt>
                <c:pt idx="58" formatCode="General">
                  <c:v>-3.1</c:v>
                </c:pt>
                <c:pt idx="59" formatCode="General">
                  <c:v>-2.8</c:v>
                </c:pt>
                <c:pt idx="60" formatCode="General">
                  <c:v>-2.4</c:v>
                </c:pt>
                <c:pt idx="61">
                  <c:v>-2.4</c:v>
                </c:pt>
                <c:pt idx="62" formatCode="General">
                  <c:v>-2.1</c:v>
                </c:pt>
                <c:pt idx="63" formatCode="General">
                  <c:v>-2</c:v>
                </c:pt>
                <c:pt idx="64" formatCode="General">
                  <c:v>-2.5</c:v>
                </c:pt>
                <c:pt idx="65" formatCode="General">
                  <c:v>-3.5</c:v>
                </c:pt>
                <c:pt idx="66" formatCode="General">
                  <c:v>-2.8</c:v>
                </c:pt>
                <c:pt idx="67" formatCode="General">
                  <c:v>-3.5</c:v>
                </c:pt>
                <c:pt idx="68" formatCode="General">
                  <c:v>-4</c:v>
                </c:pt>
                <c:pt idx="69" formatCode="General">
                  <c:v>-3.5</c:v>
                </c:pt>
                <c:pt idx="70" formatCode="General">
                  <c:v>-2.8</c:v>
                </c:pt>
                <c:pt idx="71" formatCode="General">
                  <c:v>-3.8</c:v>
                </c:pt>
                <c:pt idx="72" formatCode="General">
                  <c:v>-3.5</c:v>
                </c:pt>
                <c:pt idx="73" formatCode="General">
                  <c:v>-3.5</c:v>
                </c:pt>
                <c:pt idx="74" formatCode="General">
                  <c:v>-2.1</c:v>
                </c:pt>
                <c:pt idx="75" formatCode="General">
                  <c:v>-2.2999999999999998</c:v>
                </c:pt>
                <c:pt idx="76" formatCode="General">
                  <c:v>-1.9</c:v>
                </c:pt>
                <c:pt idx="77" formatCode="General">
                  <c:v>-1.9</c:v>
                </c:pt>
                <c:pt idx="78" formatCode="General">
                  <c:v>-1.6</c:v>
                </c:pt>
                <c:pt idx="79" formatCode="General">
                  <c:v>-2.2000000000000002</c:v>
                </c:pt>
                <c:pt idx="80" formatCode="General">
                  <c:v>-1.4</c:v>
                </c:pt>
                <c:pt idx="81" formatCode="General">
                  <c:v>-1.1000000000000001</c:v>
                </c:pt>
                <c:pt idx="82" formatCode="General">
                  <c:v>-2.1</c:v>
                </c:pt>
                <c:pt idx="83" formatCode="General">
                  <c:v>-1.3</c:v>
                </c:pt>
                <c:pt idx="84" formatCode="General">
                  <c:v>-1.6</c:v>
                </c:pt>
                <c:pt idx="85" formatCode="General">
                  <c:v>-2.9</c:v>
                </c:pt>
                <c:pt idx="86" formatCode="General">
                  <c:v>-2.8</c:v>
                </c:pt>
                <c:pt idx="87" formatCode="General">
                  <c:v>-2.7</c:v>
                </c:pt>
                <c:pt idx="88" formatCode="General">
                  <c:v>-2.8</c:v>
                </c:pt>
                <c:pt idx="89" formatCode="General">
                  <c:v>-2</c:v>
                </c:pt>
                <c:pt idx="90" formatCode="General">
                  <c:v>-2.1</c:v>
                </c:pt>
                <c:pt idx="91" formatCode="General">
                  <c:v>-2.9</c:v>
                </c:pt>
                <c:pt idx="92" formatCode="General">
                  <c:v>-1.3</c:v>
                </c:pt>
                <c:pt idx="93" formatCode="General">
                  <c:v>-0.4</c:v>
                </c:pt>
                <c:pt idx="94" formatCode="General">
                  <c:v>-0.6</c:v>
                </c:pt>
                <c:pt idx="95" formatCode="General">
                  <c:v>1.2</c:v>
                </c:pt>
                <c:pt idx="96" formatCode="General">
                  <c:v>1.5</c:v>
                </c:pt>
                <c:pt idx="97" formatCode="General">
                  <c:v>2.1</c:v>
                </c:pt>
                <c:pt idx="98" formatCode="General">
                  <c:v>1.5</c:v>
                </c:pt>
                <c:pt idx="99" formatCode="General">
                  <c:v>3</c:v>
                </c:pt>
                <c:pt idx="100" formatCode="General">
                  <c:v>3.6</c:v>
                </c:pt>
                <c:pt idx="101" formatCode="General">
                  <c:v>5</c:v>
                </c:pt>
                <c:pt idx="102" formatCode="General">
                  <c:v>5.9</c:v>
                </c:pt>
                <c:pt idx="103" formatCode="General">
                  <c:v>5.7</c:v>
                </c:pt>
                <c:pt idx="104" formatCode="General">
                  <c:v>7.2</c:v>
                </c:pt>
                <c:pt idx="105" formatCode="General">
                  <c:v>8.3000000000000007</c:v>
                </c:pt>
                <c:pt idx="106" formatCode="General">
                  <c:v>8.8000000000000007</c:v>
                </c:pt>
                <c:pt idx="107" formatCode="General">
                  <c:v>9.1</c:v>
                </c:pt>
                <c:pt idx="108" formatCode="General">
                  <c:v>9.3000000000000007</c:v>
                </c:pt>
                <c:pt idx="109" formatCode="General">
                  <c:v>8.4</c:v>
                </c:pt>
                <c:pt idx="110" formatCode="General">
                  <c:v>6.9</c:v>
                </c:pt>
                <c:pt idx="111" formatCode="General">
                  <c:v>7.7</c:v>
                </c:pt>
                <c:pt idx="112" formatCode="General">
                  <c:v>7.3</c:v>
                </c:pt>
                <c:pt idx="113" formatCode="General">
                  <c:v>7.4</c:v>
                </c:pt>
                <c:pt idx="114" formatCode="General">
                  <c:v>6.2</c:v>
                </c:pt>
                <c:pt idx="115" formatCode="General">
                  <c:v>6.1</c:v>
                </c:pt>
                <c:pt idx="116" formatCode="General">
                  <c:v>5.2</c:v>
                </c:pt>
                <c:pt idx="117" formatCode="General">
                  <c:v>4.2</c:v>
                </c:pt>
                <c:pt idx="118" formatCode="General">
                  <c:v>4.5</c:v>
                </c:pt>
                <c:pt idx="119" formatCode="General">
                  <c:v>2.8</c:v>
                </c:pt>
                <c:pt idx="120" formatCode="General">
                  <c:v>0.8</c:v>
                </c:pt>
                <c:pt idx="121" formatCode="General">
                  <c:v>0.1</c:v>
                </c:pt>
                <c:pt idx="122" formatCode="General">
                  <c:v>-1.2</c:v>
                </c:pt>
                <c:pt idx="123" formatCode="General">
                  <c:v>-3.5</c:v>
                </c:pt>
                <c:pt idx="124" formatCode="General">
                  <c:v>-2.5</c:v>
                </c:pt>
                <c:pt idx="125" formatCode="General">
                  <c:v>-5.0999999999999996</c:v>
                </c:pt>
                <c:pt idx="126" formatCode="General">
                  <c:v>-6.7</c:v>
                </c:pt>
                <c:pt idx="127" formatCode="General">
                  <c:v>-5.5</c:v>
                </c:pt>
                <c:pt idx="128" formatCode="General">
                  <c:v>-8.1999999999999993</c:v>
                </c:pt>
                <c:pt idx="129" formatCode="General">
                  <c:v>-8.8000000000000007</c:v>
                </c:pt>
                <c:pt idx="130" formatCode="General">
                  <c:v>-8.3000000000000007</c:v>
                </c:pt>
                <c:pt idx="131" formatCode="General">
                  <c:v>-8.8000000000000007</c:v>
                </c:pt>
                <c:pt idx="132" formatCode="General">
                  <c:v>-6.9</c:v>
                </c:pt>
                <c:pt idx="133" formatCode="General">
                  <c:v>-6.2</c:v>
                </c:pt>
                <c:pt idx="134" formatCode="General">
                  <c:v>-10.7</c:v>
                </c:pt>
                <c:pt idx="135" formatCode="General">
                  <c:v>-32.299999999999997</c:v>
                </c:pt>
                <c:pt idx="136" formatCode="General">
                  <c:v>-27.3</c:v>
                </c:pt>
                <c:pt idx="137" formatCode="General">
                  <c:v>-21.4</c:v>
                </c:pt>
                <c:pt idx="138" formatCode="General">
                  <c:v>-15.7</c:v>
                </c:pt>
                <c:pt idx="139" formatCode="General">
                  <c:v>-12.6</c:v>
                </c:pt>
              </c:numCache>
            </c:numRef>
          </c:val>
          <c:smooth val="0"/>
          <c:extLst>
            <c:ext xmlns:c16="http://schemas.microsoft.com/office/drawing/2014/chart" uri="{C3380CC4-5D6E-409C-BE32-E72D297353CC}">
              <c16:uniqueId val="{00000000-E249-46F2-A6C7-47E1D06218CD}"/>
            </c:ext>
          </c:extLst>
        </c:ser>
        <c:ser>
          <c:idx val="1"/>
          <c:order val="1"/>
          <c:tx>
            <c:strRef>
              <c:f>'ESI LV'!$D$1</c:f>
              <c:strCache>
                <c:ptCount val="1"/>
                <c:pt idx="0">
                  <c:v>Pakalpojumi</c:v>
                </c:pt>
              </c:strCache>
            </c:strRef>
          </c:tx>
          <c:spPr>
            <a:ln w="28575" cap="rnd">
              <a:solidFill>
                <a:schemeClr val="accent2"/>
              </a:solidFill>
              <a:round/>
            </a:ln>
            <a:effectLst/>
          </c:spPr>
          <c:marker>
            <c:symbol val="none"/>
          </c:marker>
          <c:cat>
            <c:multiLvlStrRef>
              <c:f>'ESI LV'!$A$26:$B$165</c:f>
              <c:multiLvlStrCache>
                <c:ptCount val="14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pt idx="108">
                    <c:v>I</c:v>
                  </c:pt>
                  <c:pt idx="109">
                    <c:v>II</c:v>
                  </c:pt>
                  <c:pt idx="110">
                    <c:v>III</c:v>
                  </c:pt>
                  <c:pt idx="111">
                    <c:v>IV</c:v>
                  </c:pt>
                  <c:pt idx="112">
                    <c:v>V</c:v>
                  </c:pt>
                  <c:pt idx="113">
                    <c:v>VI</c:v>
                  </c:pt>
                  <c:pt idx="114">
                    <c:v>VII</c:v>
                  </c:pt>
                  <c:pt idx="115">
                    <c:v>VIII</c:v>
                  </c:pt>
                  <c:pt idx="116">
                    <c:v>IX</c:v>
                  </c:pt>
                  <c:pt idx="117">
                    <c:v>X</c:v>
                  </c:pt>
                  <c:pt idx="118">
                    <c:v>XI</c:v>
                  </c:pt>
                  <c:pt idx="119">
                    <c:v>XII</c:v>
                  </c:pt>
                  <c:pt idx="120">
                    <c:v>I</c:v>
                  </c:pt>
                  <c:pt idx="121">
                    <c:v>II</c:v>
                  </c:pt>
                  <c:pt idx="122">
                    <c:v>III</c:v>
                  </c:pt>
                  <c:pt idx="123">
                    <c:v>IV</c:v>
                  </c:pt>
                  <c:pt idx="124">
                    <c:v>V</c:v>
                  </c:pt>
                  <c:pt idx="125">
                    <c:v>VI</c:v>
                  </c:pt>
                  <c:pt idx="126">
                    <c:v>VII</c:v>
                  </c:pt>
                  <c:pt idx="127">
                    <c:v>VIII</c:v>
                  </c:pt>
                  <c:pt idx="128">
                    <c:v>IX</c:v>
                  </c:pt>
                  <c:pt idx="129">
                    <c:v>X</c:v>
                  </c:pt>
                  <c:pt idx="130">
                    <c:v>XI</c:v>
                  </c:pt>
                  <c:pt idx="131">
                    <c:v>XII</c:v>
                  </c:pt>
                  <c:pt idx="132">
                    <c:v>I</c:v>
                  </c:pt>
                  <c:pt idx="133">
                    <c:v>II</c:v>
                  </c:pt>
                  <c:pt idx="134">
                    <c:v>III</c:v>
                  </c:pt>
                  <c:pt idx="135">
                    <c:v>IV</c:v>
                  </c:pt>
                  <c:pt idx="136">
                    <c:v>V</c:v>
                  </c:pt>
                  <c:pt idx="137">
                    <c:v>VI</c:v>
                  </c:pt>
                  <c:pt idx="138">
                    <c:v>VII</c:v>
                  </c:pt>
                  <c:pt idx="139">
                    <c:v>VIII</c:v>
                  </c:pt>
                </c:lvl>
                <c:lvl>
                  <c:pt idx="0">
                    <c:v>2009</c:v>
                  </c:pt>
                  <c:pt idx="12">
                    <c:v>2010</c:v>
                  </c:pt>
                  <c:pt idx="24">
                    <c:v>2011</c:v>
                  </c:pt>
                  <c:pt idx="36">
                    <c:v>2012</c:v>
                  </c:pt>
                  <c:pt idx="48">
                    <c:v>2013</c:v>
                  </c:pt>
                  <c:pt idx="60">
                    <c:v>2014</c:v>
                  </c:pt>
                  <c:pt idx="72">
                    <c:v>2015</c:v>
                  </c:pt>
                  <c:pt idx="84">
                    <c:v>2016</c:v>
                  </c:pt>
                  <c:pt idx="96">
                    <c:v>2017</c:v>
                  </c:pt>
                  <c:pt idx="108">
                    <c:v>2018</c:v>
                  </c:pt>
                  <c:pt idx="120">
                    <c:v>2019</c:v>
                  </c:pt>
                  <c:pt idx="132">
                    <c:v>2020</c:v>
                  </c:pt>
                </c:lvl>
              </c:multiLvlStrCache>
            </c:multiLvlStrRef>
          </c:cat>
          <c:val>
            <c:numRef>
              <c:f>'ESI LV'!$D$26:$D$165</c:f>
              <c:numCache>
                <c:formatCode>0.0</c:formatCode>
                <c:ptCount val="140"/>
                <c:pt idx="0">
                  <c:v>-18.5</c:v>
                </c:pt>
                <c:pt idx="1">
                  <c:v>-20.3</c:v>
                </c:pt>
                <c:pt idx="2">
                  <c:v>-24.2</c:v>
                </c:pt>
                <c:pt idx="3">
                  <c:v>-23.7</c:v>
                </c:pt>
                <c:pt idx="4">
                  <c:v>-21.5</c:v>
                </c:pt>
                <c:pt idx="5">
                  <c:v>-19.3</c:v>
                </c:pt>
                <c:pt idx="6">
                  <c:v>-16.7</c:v>
                </c:pt>
                <c:pt idx="7">
                  <c:v>-11.3</c:v>
                </c:pt>
                <c:pt idx="8">
                  <c:v>-8.6999999999999993</c:v>
                </c:pt>
                <c:pt idx="9">
                  <c:v>-7.5</c:v>
                </c:pt>
                <c:pt idx="10">
                  <c:v>-4.9000000000000004</c:v>
                </c:pt>
                <c:pt idx="11">
                  <c:v>-2.5</c:v>
                </c:pt>
                <c:pt idx="12">
                  <c:v>-0.9</c:v>
                </c:pt>
                <c:pt idx="13">
                  <c:v>1.3</c:v>
                </c:pt>
                <c:pt idx="14">
                  <c:v>2.7</c:v>
                </c:pt>
                <c:pt idx="15">
                  <c:v>6.9</c:v>
                </c:pt>
                <c:pt idx="16">
                  <c:v>4.7</c:v>
                </c:pt>
                <c:pt idx="17">
                  <c:v>4.8</c:v>
                </c:pt>
                <c:pt idx="18">
                  <c:v>7.3</c:v>
                </c:pt>
                <c:pt idx="19">
                  <c:v>6.7</c:v>
                </c:pt>
                <c:pt idx="20">
                  <c:v>8.1999999999999993</c:v>
                </c:pt>
                <c:pt idx="21">
                  <c:v>9.1999999999999993</c:v>
                </c:pt>
                <c:pt idx="22">
                  <c:v>10.7</c:v>
                </c:pt>
                <c:pt idx="23">
                  <c:v>10.8</c:v>
                </c:pt>
                <c:pt idx="24">
                  <c:v>10.7</c:v>
                </c:pt>
                <c:pt idx="25">
                  <c:v>13.3</c:v>
                </c:pt>
                <c:pt idx="26">
                  <c:v>12.5</c:v>
                </c:pt>
                <c:pt idx="27">
                  <c:v>11.6</c:v>
                </c:pt>
                <c:pt idx="28">
                  <c:v>10.7</c:v>
                </c:pt>
                <c:pt idx="29">
                  <c:v>10.9</c:v>
                </c:pt>
                <c:pt idx="30">
                  <c:v>9.6999999999999993</c:v>
                </c:pt>
                <c:pt idx="31">
                  <c:v>6.1</c:v>
                </c:pt>
                <c:pt idx="32">
                  <c:v>1.8</c:v>
                </c:pt>
                <c:pt idx="33">
                  <c:v>1.6</c:v>
                </c:pt>
                <c:pt idx="34">
                  <c:v>0.7</c:v>
                </c:pt>
                <c:pt idx="35">
                  <c:v>-1.3</c:v>
                </c:pt>
                <c:pt idx="36">
                  <c:v>-1.5</c:v>
                </c:pt>
                <c:pt idx="37">
                  <c:v>-0.2</c:v>
                </c:pt>
                <c:pt idx="38">
                  <c:v>2</c:v>
                </c:pt>
                <c:pt idx="39">
                  <c:v>0</c:v>
                </c:pt>
                <c:pt idx="40">
                  <c:v>-2.5</c:v>
                </c:pt>
                <c:pt idx="41">
                  <c:v>-4.4000000000000004</c:v>
                </c:pt>
                <c:pt idx="42">
                  <c:v>-5.8</c:v>
                </c:pt>
                <c:pt idx="43">
                  <c:v>-7.2</c:v>
                </c:pt>
                <c:pt idx="44">
                  <c:v>-9.1</c:v>
                </c:pt>
                <c:pt idx="45">
                  <c:v>-8.5</c:v>
                </c:pt>
                <c:pt idx="46">
                  <c:v>-8.5</c:v>
                </c:pt>
                <c:pt idx="47">
                  <c:v>-6.9</c:v>
                </c:pt>
                <c:pt idx="48">
                  <c:v>-5.4</c:v>
                </c:pt>
                <c:pt idx="49">
                  <c:v>-6</c:v>
                </c:pt>
                <c:pt idx="50">
                  <c:v>-4.4000000000000004</c:v>
                </c:pt>
                <c:pt idx="51">
                  <c:v>-8.6</c:v>
                </c:pt>
                <c:pt idx="52">
                  <c:v>-7.1</c:v>
                </c:pt>
                <c:pt idx="53">
                  <c:v>-5.6</c:v>
                </c:pt>
                <c:pt idx="54">
                  <c:v>-4.4000000000000004</c:v>
                </c:pt>
                <c:pt idx="55">
                  <c:v>-2.4</c:v>
                </c:pt>
                <c:pt idx="56">
                  <c:v>-0.1</c:v>
                </c:pt>
                <c:pt idx="57">
                  <c:v>0.3</c:v>
                </c:pt>
                <c:pt idx="58">
                  <c:v>2.7</c:v>
                </c:pt>
                <c:pt idx="59">
                  <c:v>3.9</c:v>
                </c:pt>
                <c:pt idx="60">
                  <c:v>5.5</c:v>
                </c:pt>
                <c:pt idx="61">
                  <c:v>4.9000000000000004</c:v>
                </c:pt>
                <c:pt idx="62" formatCode="General">
                  <c:v>7</c:v>
                </c:pt>
                <c:pt idx="63" formatCode="General">
                  <c:v>6.6</c:v>
                </c:pt>
                <c:pt idx="64" formatCode="General">
                  <c:v>6.3</c:v>
                </c:pt>
                <c:pt idx="65" formatCode="General">
                  <c:v>7</c:v>
                </c:pt>
                <c:pt idx="66" formatCode="General">
                  <c:v>6.8</c:v>
                </c:pt>
                <c:pt idx="67" formatCode="General">
                  <c:v>6.4</c:v>
                </c:pt>
                <c:pt idx="68" formatCode="General">
                  <c:v>6.3</c:v>
                </c:pt>
                <c:pt idx="69" formatCode="General">
                  <c:v>6.2</c:v>
                </c:pt>
                <c:pt idx="70" formatCode="General">
                  <c:v>6.2</c:v>
                </c:pt>
                <c:pt idx="71" formatCode="General">
                  <c:v>8</c:v>
                </c:pt>
                <c:pt idx="72" formatCode="General">
                  <c:v>7.4</c:v>
                </c:pt>
                <c:pt idx="73" formatCode="General">
                  <c:v>7.1</c:v>
                </c:pt>
                <c:pt idx="74" formatCode="General">
                  <c:v>7.3</c:v>
                </c:pt>
                <c:pt idx="75" formatCode="General">
                  <c:v>8.5</c:v>
                </c:pt>
                <c:pt idx="76" formatCode="General">
                  <c:v>8.9</c:v>
                </c:pt>
                <c:pt idx="77" formatCode="General">
                  <c:v>9.4</c:v>
                </c:pt>
                <c:pt idx="78" formatCode="General">
                  <c:v>10.1</c:v>
                </c:pt>
                <c:pt idx="79" formatCode="General">
                  <c:v>11.3</c:v>
                </c:pt>
                <c:pt idx="80" formatCode="General">
                  <c:v>12.7</c:v>
                </c:pt>
                <c:pt idx="81" formatCode="General">
                  <c:v>13.1</c:v>
                </c:pt>
                <c:pt idx="82" formatCode="General">
                  <c:v>13.6</c:v>
                </c:pt>
                <c:pt idx="83" formatCode="General">
                  <c:v>13.5</c:v>
                </c:pt>
                <c:pt idx="84" formatCode="General">
                  <c:v>12.9</c:v>
                </c:pt>
                <c:pt idx="85" formatCode="General">
                  <c:v>11.6</c:v>
                </c:pt>
                <c:pt idx="86" formatCode="General">
                  <c:v>10.3</c:v>
                </c:pt>
                <c:pt idx="87" formatCode="General">
                  <c:v>11.9</c:v>
                </c:pt>
                <c:pt idx="88" formatCode="General">
                  <c:v>12.2</c:v>
                </c:pt>
                <c:pt idx="89" formatCode="General">
                  <c:v>11.3</c:v>
                </c:pt>
                <c:pt idx="90" formatCode="General">
                  <c:v>11.6</c:v>
                </c:pt>
                <c:pt idx="91" formatCode="General">
                  <c:v>10.6</c:v>
                </c:pt>
                <c:pt idx="92" formatCode="General">
                  <c:v>10.5</c:v>
                </c:pt>
                <c:pt idx="93" formatCode="General">
                  <c:v>12.3</c:v>
                </c:pt>
                <c:pt idx="94" formatCode="General">
                  <c:v>12.3</c:v>
                </c:pt>
                <c:pt idx="95" formatCode="General">
                  <c:v>13.5</c:v>
                </c:pt>
                <c:pt idx="96" formatCode="General">
                  <c:v>13.5</c:v>
                </c:pt>
                <c:pt idx="97" formatCode="General">
                  <c:v>14.2</c:v>
                </c:pt>
                <c:pt idx="98" formatCode="General">
                  <c:v>13.2</c:v>
                </c:pt>
                <c:pt idx="99" formatCode="General">
                  <c:v>14.5</c:v>
                </c:pt>
                <c:pt idx="100" formatCode="General">
                  <c:v>13.6</c:v>
                </c:pt>
                <c:pt idx="101" formatCode="General">
                  <c:v>13.9</c:v>
                </c:pt>
                <c:pt idx="102" formatCode="General">
                  <c:v>14.8</c:v>
                </c:pt>
                <c:pt idx="103" formatCode="General">
                  <c:v>15.1</c:v>
                </c:pt>
                <c:pt idx="104" formatCode="General">
                  <c:v>15.5</c:v>
                </c:pt>
                <c:pt idx="105" formatCode="General">
                  <c:v>16.2</c:v>
                </c:pt>
                <c:pt idx="106" formatCode="General">
                  <c:v>16.399999999999999</c:v>
                </c:pt>
                <c:pt idx="107" formatCode="General">
                  <c:v>17.5</c:v>
                </c:pt>
                <c:pt idx="108" formatCode="General">
                  <c:v>16.5</c:v>
                </c:pt>
                <c:pt idx="109" formatCode="General">
                  <c:v>17.7</c:v>
                </c:pt>
                <c:pt idx="110" formatCode="General">
                  <c:v>16.7</c:v>
                </c:pt>
                <c:pt idx="111" formatCode="General">
                  <c:v>15.6</c:v>
                </c:pt>
                <c:pt idx="112" formatCode="General">
                  <c:v>15</c:v>
                </c:pt>
                <c:pt idx="113" formatCode="General">
                  <c:v>15.3</c:v>
                </c:pt>
                <c:pt idx="114" formatCode="General">
                  <c:v>15.8</c:v>
                </c:pt>
                <c:pt idx="115" formatCode="General">
                  <c:v>14.9</c:v>
                </c:pt>
                <c:pt idx="116" formatCode="General">
                  <c:v>15.4</c:v>
                </c:pt>
                <c:pt idx="117" formatCode="General">
                  <c:v>14.2</c:v>
                </c:pt>
                <c:pt idx="118" formatCode="General">
                  <c:v>14.1</c:v>
                </c:pt>
                <c:pt idx="119" formatCode="General">
                  <c:v>12.4</c:v>
                </c:pt>
                <c:pt idx="120" formatCode="General">
                  <c:v>11.1</c:v>
                </c:pt>
                <c:pt idx="121" formatCode="General">
                  <c:v>12</c:v>
                </c:pt>
                <c:pt idx="122" formatCode="General">
                  <c:v>11.7</c:v>
                </c:pt>
                <c:pt idx="123" formatCode="General">
                  <c:v>11.9</c:v>
                </c:pt>
                <c:pt idx="124" formatCode="General">
                  <c:v>12.1</c:v>
                </c:pt>
                <c:pt idx="125" formatCode="General">
                  <c:v>11</c:v>
                </c:pt>
                <c:pt idx="126" formatCode="General">
                  <c:v>10.5</c:v>
                </c:pt>
                <c:pt idx="127" formatCode="General">
                  <c:v>9.3000000000000007</c:v>
                </c:pt>
                <c:pt idx="128" formatCode="General">
                  <c:v>9.5</c:v>
                </c:pt>
                <c:pt idx="129" formatCode="General">
                  <c:v>8.9</c:v>
                </c:pt>
                <c:pt idx="130" formatCode="General">
                  <c:v>9.3000000000000007</c:v>
                </c:pt>
                <c:pt idx="131" formatCode="General">
                  <c:v>10.9</c:v>
                </c:pt>
                <c:pt idx="132" formatCode="General">
                  <c:v>10.7</c:v>
                </c:pt>
                <c:pt idx="133" formatCode="General">
                  <c:v>10.6</c:v>
                </c:pt>
                <c:pt idx="134" formatCode="General">
                  <c:v>-1.8</c:v>
                </c:pt>
                <c:pt idx="135" formatCode="General">
                  <c:v>-38.5</c:v>
                </c:pt>
                <c:pt idx="136" formatCode="General">
                  <c:v>-43.3</c:v>
                </c:pt>
                <c:pt idx="137" formatCode="General">
                  <c:v>-35.200000000000003</c:v>
                </c:pt>
                <c:pt idx="138" formatCode="General">
                  <c:v>-26.2</c:v>
                </c:pt>
                <c:pt idx="139" formatCode="General">
                  <c:v>-17.5</c:v>
                </c:pt>
              </c:numCache>
            </c:numRef>
          </c:val>
          <c:smooth val="0"/>
          <c:extLst>
            <c:ext xmlns:c16="http://schemas.microsoft.com/office/drawing/2014/chart" uri="{C3380CC4-5D6E-409C-BE32-E72D297353CC}">
              <c16:uniqueId val="{00000001-E249-46F2-A6C7-47E1D06218CD}"/>
            </c:ext>
          </c:extLst>
        </c:ser>
        <c:ser>
          <c:idx val="2"/>
          <c:order val="2"/>
          <c:tx>
            <c:strRef>
              <c:f>'ESI LV'!$E$1</c:f>
              <c:strCache>
                <c:ptCount val="1"/>
                <c:pt idx="0">
                  <c:v>Patērētāji</c:v>
                </c:pt>
              </c:strCache>
            </c:strRef>
          </c:tx>
          <c:spPr>
            <a:ln w="28575" cap="rnd">
              <a:solidFill>
                <a:schemeClr val="accent3"/>
              </a:solidFill>
              <a:round/>
            </a:ln>
            <a:effectLst/>
          </c:spPr>
          <c:marker>
            <c:symbol val="none"/>
          </c:marker>
          <c:cat>
            <c:multiLvlStrRef>
              <c:f>'ESI LV'!$A$26:$B$165</c:f>
              <c:multiLvlStrCache>
                <c:ptCount val="14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pt idx="108">
                    <c:v>I</c:v>
                  </c:pt>
                  <c:pt idx="109">
                    <c:v>II</c:v>
                  </c:pt>
                  <c:pt idx="110">
                    <c:v>III</c:v>
                  </c:pt>
                  <c:pt idx="111">
                    <c:v>IV</c:v>
                  </c:pt>
                  <c:pt idx="112">
                    <c:v>V</c:v>
                  </c:pt>
                  <c:pt idx="113">
                    <c:v>VI</c:v>
                  </c:pt>
                  <c:pt idx="114">
                    <c:v>VII</c:v>
                  </c:pt>
                  <c:pt idx="115">
                    <c:v>VIII</c:v>
                  </c:pt>
                  <c:pt idx="116">
                    <c:v>IX</c:v>
                  </c:pt>
                  <c:pt idx="117">
                    <c:v>X</c:v>
                  </c:pt>
                  <c:pt idx="118">
                    <c:v>XI</c:v>
                  </c:pt>
                  <c:pt idx="119">
                    <c:v>XII</c:v>
                  </c:pt>
                  <c:pt idx="120">
                    <c:v>I</c:v>
                  </c:pt>
                  <c:pt idx="121">
                    <c:v>II</c:v>
                  </c:pt>
                  <c:pt idx="122">
                    <c:v>III</c:v>
                  </c:pt>
                  <c:pt idx="123">
                    <c:v>IV</c:v>
                  </c:pt>
                  <c:pt idx="124">
                    <c:v>V</c:v>
                  </c:pt>
                  <c:pt idx="125">
                    <c:v>VI</c:v>
                  </c:pt>
                  <c:pt idx="126">
                    <c:v>VII</c:v>
                  </c:pt>
                  <c:pt idx="127">
                    <c:v>VIII</c:v>
                  </c:pt>
                  <c:pt idx="128">
                    <c:v>IX</c:v>
                  </c:pt>
                  <c:pt idx="129">
                    <c:v>X</c:v>
                  </c:pt>
                  <c:pt idx="130">
                    <c:v>XI</c:v>
                  </c:pt>
                  <c:pt idx="131">
                    <c:v>XII</c:v>
                  </c:pt>
                  <c:pt idx="132">
                    <c:v>I</c:v>
                  </c:pt>
                  <c:pt idx="133">
                    <c:v>II</c:v>
                  </c:pt>
                  <c:pt idx="134">
                    <c:v>III</c:v>
                  </c:pt>
                  <c:pt idx="135">
                    <c:v>IV</c:v>
                  </c:pt>
                  <c:pt idx="136">
                    <c:v>V</c:v>
                  </c:pt>
                  <c:pt idx="137">
                    <c:v>VI</c:v>
                  </c:pt>
                  <c:pt idx="138">
                    <c:v>VII</c:v>
                  </c:pt>
                  <c:pt idx="139">
                    <c:v>VIII</c:v>
                  </c:pt>
                </c:lvl>
                <c:lvl>
                  <c:pt idx="0">
                    <c:v>2009</c:v>
                  </c:pt>
                  <c:pt idx="12">
                    <c:v>2010</c:v>
                  </c:pt>
                  <c:pt idx="24">
                    <c:v>2011</c:v>
                  </c:pt>
                  <c:pt idx="36">
                    <c:v>2012</c:v>
                  </c:pt>
                  <c:pt idx="48">
                    <c:v>2013</c:v>
                  </c:pt>
                  <c:pt idx="60">
                    <c:v>2014</c:v>
                  </c:pt>
                  <c:pt idx="72">
                    <c:v>2015</c:v>
                  </c:pt>
                  <c:pt idx="84">
                    <c:v>2016</c:v>
                  </c:pt>
                  <c:pt idx="96">
                    <c:v>2017</c:v>
                  </c:pt>
                  <c:pt idx="108">
                    <c:v>2018</c:v>
                  </c:pt>
                  <c:pt idx="120">
                    <c:v>2019</c:v>
                  </c:pt>
                  <c:pt idx="132">
                    <c:v>2020</c:v>
                  </c:pt>
                </c:lvl>
              </c:multiLvlStrCache>
            </c:multiLvlStrRef>
          </c:cat>
          <c:val>
            <c:numRef>
              <c:f>'ESI LV'!$E$26:$E$165</c:f>
              <c:numCache>
                <c:formatCode>0.0</c:formatCode>
                <c:ptCount val="140"/>
                <c:pt idx="0">
                  <c:v>-21.4</c:v>
                </c:pt>
                <c:pt idx="1">
                  <c:v>-22.4</c:v>
                </c:pt>
                <c:pt idx="2">
                  <c:v>-23</c:v>
                </c:pt>
                <c:pt idx="3">
                  <c:v>-21.2</c:v>
                </c:pt>
                <c:pt idx="4">
                  <c:v>-19.8</c:v>
                </c:pt>
                <c:pt idx="5">
                  <c:v>-17.7</c:v>
                </c:pt>
                <c:pt idx="6">
                  <c:v>-16.3</c:v>
                </c:pt>
                <c:pt idx="7">
                  <c:v>-15</c:v>
                </c:pt>
                <c:pt idx="8">
                  <c:v>-13.6</c:v>
                </c:pt>
                <c:pt idx="9">
                  <c:v>-12.1</c:v>
                </c:pt>
                <c:pt idx="10">
                  <c:v>-11.6</c:v>
                </c:pt>
                <c:pt idx="11">
                  <c:v>-11.4</c:v>
                </c:pt>
                <c:pt idx="12">
                  <c:v>-11</c:v>
                </c:pt>
                <c:pt idx="13">
                  <c:v>-12.2</c:v>
                </c:pt>
                <c:pt idx="14">
                  <c:v>-12.5</c:v>
                </c:pt>
                <c:pt idx="15">
                  <c:v>-12</c:v>
                </c:pt>
                <c:pt idx="16">
                  <c:v>-14.8</c:v>
                </c:pt>
                <c:pt idx="17">
                  <c:v>-14.8</c:v>
                </c:pt>
                <c:pt idx="18">
                  <c:v>-13.6</c:v>
                </c:pt>
                <c:pt idx="19">
                  <c:v>-12.2</c:v>
                </c:pt>
                <c:pt idx="20">
                  <c:v>-12.9</c:v>
                </c:pt>
                <c:pt idx="21">
                  <c:v>-13.1</c:v>
                </c:pt>
                <c:pt idx="22">
                  <c:v>-11.6</c:v>
                </c:pt>
                <c:pt idx="23">
                  <c:v>-12.7</c:v>
                </c:pt>
                <c:pt idx="24">
                  <c:v>-12.7</c:v>
                </c:pt>
                <c:pt idx="25">
                  <c:v>-12</c:v>
                </c:pt>
                <c:pt idx="26">
                  <c:v>-12.8</c:v>
                </c:pt>
                <c:pt idx="27">
                  <c:v>-14.7</c:v>
                </c:pt>
                <c:pt idx="28">
                  <c:v>-14.3</c:v>
                </c:pt>
                <c:pt idx="29">
                  <c:v>-13.4</c:v>
                </c:pt>
                <c:pt idx="30">
                  <c:v>-13.8</c:v>
                </c:pt>
                <c:pt idx="31">
                  <c:v>-16.899999999999999</c:v>
                </c:pt>
                <c:pt idx="32">
                  <c:v>-18.100000000000001</c:v>
                </c:pt>
                <c:pt idx="33">
                  <c:v>-18.8</c:v>
                </c:pt>
                <c:pt idx="34">
                  <c:v>-18.399999999999999</c:v>
                </c:pt>
                <c:pt idx="35">
                  <c:v>-18.899999999999999</c:v>
                </c:pt>
                <c:pt idx="36">
                  <c:v>-18.5</c:v>
                </c:pt>
                <c:pt idx="37">
                  <c:v>-17.7</c:v>
                </c:pt>
                <c:pt idx="38">
                  <c:v>-16.7</c:v>
                </c:pt>
                <c:pt idx="39">
                  <c:v>-17.899999999999999</c:v>
                </c:pt>
                <c:pt idx="40">
                  <c:v>-17.899999999999999</c:v>
                </c:pt>
                <c:pt idx="41">
                  <c:v>-17.7</c:v>
                </c:pt>
                <c:pt idx="42">
                  <c:v>-18.399999999999999</c:v>
                </c:pt>
                <c:pt idx="43">
                  <c:v>-19.399999999999999</c:v>
                </c:pt>
                <c:pt idx="44">
                  <c:v>-21</c:v>
                </c:pt>
                <c:pt idx="45">
                  <c:v>-20.8</c:v>
                </c:pt>
                <c:pt idx="46">
                  <c:v>-21.3</c:v>
                </c:pt>
                <c:pt idx="47">
                  <c:v>-21.3</c:v>
                </c:pt>
                <c:pt idx="48">
                  <c:v>-19.7</c:v>
                </c:pt>
                <c:pt idx="49">
                  <c:v>-19.5</c:v>
                </c:pt>
                <c:pt idx="50">
                  <c:v>-19.2</c:v>
                </c:pt>
                <c:pt idx="51">
                  <c:v>-18.600000000000001</c:v>
                </c:pt>
                <c:pt idx="52">
                  <c:v>-18.5</c:v>
                </c:pt>
                <c:pt idx="53">
                  <c:v>-17.600000000000001</c:v>
                </c:pt>
                <c:pt idx="54">
                  <c:v>-17</c:v>
                </c:pt>
                <c:pt idx="55">
                  <c:v>-16.100000000000001</c:v>
                </c:pt>
                <c:pt idx="56">
                  <c:v>-14.4</c:v>
                </c:pt>
                <c:pt idx="57">
                  <c:v>-14.2</c:v>
                </c:pt>
                <c:pt idx="58">
                  <c:v>-14.1</c:v>
                </c:pt>
                <c:pt idx="59">
                  <c:v>-13</c:v>
                </c:pt>
                <c:pt idx="60">
                  <c:v>-12.2</c:v>
                </c:pt>
                <c:pt idx="61" formatCode="General">
                  <c:v>-12</c:v>
                </c:pt>
                <c:pt idx="62" formatCode="General">
                  <c:v>-10.7</c:v>
                </c:pt>
                <c:pt idx="63" formatCode="General">
                  <c:v>-10.6</c:v>
                </c:pt>
                <c:pt idx="64" formatCode="General">
                  <c:v>-9.5</c:v>
                </c:pt>
                <c:pt idx="65" formatCode="General">
                  <c:v>-9.4</c:v>
                </c:pt>
                <c:pt idx="66" formatCode="General">
                  <c:v>-9.8000000000000007</c:v>
                </c:pt>
                <c:pt idx="67" formatCode="General">
                  <c:v>-10.7</c:v>
                </c:pt>
                <c:pt idx="68" formatCode="General">
                  <c:v>-11.1</c:v>
                </c:pt>
                <c:pt idx="69" formatCode="General">
                  <c:v>-10.5</c:v>
                </c:pt>
                <c:pt idx="70" formatCode="General">
                  <c:v>-10.9</c:v>
                </c:pt>
                <c:pt idx="71" formatCode="General">
                  <c:v>-10.1</c:v>
                </c:pt>
                <c:pt idx="72" formatCode="General">
                  <c:v>-9.3000000000000007</c:v>
                </c:pt>
                <c:pt idx="73" formatCode="General">
                  <c:v>-7.7</c:v>
                </c:pt>
                <c:pt idx="74" formatCode="General">
                  <c:v>-6.8</c:v>
                </c:pt>
                <c:pt idx="75" formatCode="General">
                  <c:v>-6.8</c:v>
                </c:pt>
                <c:pt idx="76" formatCode="General">
                  <c:v>-7.1</c:v>
                </c:pt>
                <c:pt idx="77" formatCode="General">
                  <c:v>-7.6</c:v>
                </c:pt>
                <c:pt idx="78" formatCode="General">
                  <c:v>-8.5</c:v>
                </c:pt>
                <c:pt idx="79" formatCode="General">
                  <c:v>-7.4</c:v>
                </c:pt>
                <c:pt idx="80" formatCode="General">
                  <c:v>-7.3</c:v>
                </c:pt>
                <c:pt idx="81" formatCode="General">
                  <c:v>-6.7</c:v>
                </c:pt>
                <c:pt idx="82" formatCode="General">
                  <c:v>-6.3</c:v>
                </c:pt>
                <c:pt idx="83" formatCode="General">
                  <c:v>-5.4</c:v>
                </c:pt>
                <c:pt idx="84" formatCode="General">
                  <c:v>-6.2</c:v>
                </c:pt>
                <c:pt idx="85" formatCode="General">
                  <c:v>-7.4</c:v>
                </c:pt>
                <c:pt idx="86" formatCode="General">
                  <c:v>-8.6999999999999993</c:v>
                </c:pt>
                <c:pt idx="87" formatCode="General">
                  <c:v>-8.1999999999999993</c:v>
                </c:pt>
                <c:pt idx="88" formatCode="General">
                  <c:v>-7.9</c:v>
                </c:pt>
                <c:pt idx="89" formatCode="General">
                  <c:v>-7.7</c:v>
                </c:pt>
                <c:pt idx="90" formatCode="General">
                  <c:v>-8</c:v>
                </c:pt>
                <c:pt idx="91" formatCode="General">
                  <c:v>-7.8</c:v>
                </c:pt>
                <c:pt idx="92" formatCode="General">
                  <c:v>-7.5</c:v>
                </c:pt>
                <c:pt idx="93" formatCode="General">
                  <c:v>-6.7</c:v>
                </c:pt>
                <c:pt idx="94" formatCode="General">
                  <c:v>-6.1</c:v>
                </c:pt>
                <c:pt idx="95" formatCode="General">
                  <c:v>-5.8</c:v>
                </c:pt>
                <c:pt idx="96" formatCode="General">
                  <c:v>-6.1</c:v>
                </c:pt>
                <c:pt idx="97" formatCode="General">
                  <c:v>-7.1</c:v>
                </c:pt>
                <c:pt idx="98" formatCode="General">
                  <c:v>-6.6</c:v>
                </c:pt>
                <c:pt idx="99" formatCode="General">
                  <c:v>-6.1</c:v>
                </c:pt>
                <c:pt idx="100" formatCode="General">
                  <c:v>-5.9</c:v>
                </c:pt>
                <c:pt idx="101" formatCode="General">
                  <c:v>-4.8</c:v>
                </c:pt>
                <c:pt idx="102" formatCode="General">
                  <c:v>-4.0999999999999996</c:v>
                </c:pt>
                <c:pt idx="103" formatCode="General">
                  <c:v>-4</c:v>
                </c:pt>
                <c:pt idx="104" formatCode="General">
                  <c:v>-3.4</c:v>
                </c:pt>
                <c:pt idx="105" formatCode="General">
                  <c:v>-3</c:v>
                </c:pt>
                <c:pt idx="106" formatCode="General">
                  <c:v>-2.8</c:v>
                </c:pt>
                <c:pt idx="107" formatCode="General">
                  <c:v>-2.4</c:v>
                </c:pt>
                <c:pt idx="108" formatCode="General">
                  <c:v>-2.6</c:v>
                </c:pt>
                <c:pt idx="109" formatCode="General">
                  <c:v>-3</c:v>
                </c:pt>
                <c:pt idx="110" formatCode="General">
                  <c:v>-3.6</c:v>
                </c:pt>
                <c:pt idx="111" formatCode="General">
                  <c:v>-3.7</c:v>
                </c:pt>
                <c:pt idx="112" formatCode="General">
                  <c:v>-4.0999999999999996</c:v>
                </c:pt>
                <c:pt idx="113" formatCode="General">
                  <c:v>-4.0999999999999996</c:v>
                </c:pt>
                <c:pt idx="114" formatCode="General">
                  <c:v>-3.9</c:v>
                </c:pt>
                <c:pt idx="115" formatCode="General">
                  <c:v>-4.3</c:v>
                </c:pt>
                <c:pt idx="116" formatCode="General">
                  <c:v>-4.7</c:v>
                </c:pt>
                <c:pt idx="117" formatCode="General">
                  <c:v>-4.7</c:v>
                </c:pt>
                <c:pt idx="118" formatCode="General">
                  <c:v>-5.4</c:v>
                </c:pt>
                <c:pt idx="119" formatCode="General">
                  <c:v>-6.9</c:v>
                </c:pt>
                <c:pt idx="120" formatCode="General">
                  <c:v>-6.7</c:v>
                </c:pt>
                <c:pt idx="121" formatCode="General">
                  <c:v>-6.1</c:v>
                </c:pt>
                <c:pt idx="122" formatCode="General">
                  <c:v>-5.8</c:v>
                </c:pt>
                <c:pt idx="123" formatCode="General">
                  <c:v>-6.5</c:v>
                </c:pt>
                <c:pt idx="124" formatCode="General">
                  <c:v>-5.8</c:v>
                </c:pt>
                <c:pt idx="125" formatCode="General">
                  <c:v>-6.2</c:v>
                </c:pt>
                <c:pt idx="126" formatCode="General">
                  <c:v>-5.7</c:v>
                </c:pt>
                <c:pt idx="127" formatCode="General">
                  <c:v>-6.2</c:v>
                </c:pt>
                <c:pt idx="128" formatCode="General">
                  <c:v>-5.7</c:v>
                </c:pt>
                <c:pt idx="129" formatCode="General">
                  <c:v>-6.7</c:v>
                </c:pt>
                <c:pt idx="130" formatCode="General">
                  <c:v>-6.3</c:v>
                </c:pt>
                <c:pt idx="131" formatCode="General">
                  <c:v>-7</c:v>
                </c:pt>
                <c:pt idx="132" formatCode="General">
                  <c:v>-7.1</c:v>
                </c:pt>
                <c:pt idx="133" formatCode="General">
                  <c:v>-5.9</c:v>
                </c:pt>
                <c:pt idx="134" formatCode="General">
                  <c:v>-10.4</c:v>
                </c:pt>
                <c:pt idx="135" formatCode="General">
                  <c:v>-22</c:v>
                </c:pt>
                <c:pt idx="136" formatCode="General">
                  <c:v>-19.5</c:v>
                </c:pt>
                <c:pt idx="137" formatCode="General">
                  <c:v>-15.6</c:v>
                </c:pt>
                <c:pt idx="138" formatCode="General">
                  <c:v>-15.6</c:v>
                </c:pt>
                <c:pt idx="139" formatCode="General">
                  <c:v>-15.5</c:v>
                </c:pt>
              </c:numCache>
            </c:numRef>
          </c:val>
          <c:smooth val="0"/>
          <c:extLst>
            <c:ext xmlns:c16="http://schemas.microsoft.com/office/drawing/2014/chart" uri="{C3380CC4-5D6E-409C-BE32-E72D297353CC}">
              <c16:uniqueId val="{00000002-E249-46F2-A6C7-47E1D06218CD}"/>
            </c:ext>
          </c:extLst>
        </c:ser>
        <c:ser>
          <c:idx val="3"/>
          <c:order val="3"/>
          <c:tx>
            <c:strRef>
              <c:f>'ESI LV'!$F$1</c:f>
              <c:strCache>
                <c:ptCount val="1"/>
                <c:pt idx="0">
                  <c:v>Mazumtirdzniecība</c:v>
                </c:pt>
              </c:strCache>
            </c:strRef>
          </c:tx>
          <c:spPr>
            <a:ln w="28575" cap="rnd">
              <a:solidFill>
                <a:srgbClr val="9BBB59"/>
              </a:solidFill>
              <a:round/>
            </a:ln>
            <a:effectLst/>
          </c:spPr>
          <c:marker>
            <c:symbol val="none"/>
          </c:marker>
          <c:cat>
            <c:multiLvlStrRef>
              <c:f>'ESI LV'!$A$26:$B$165</c:f>
              <c:multiLvlStrCache>
                <c:ptCount val="14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pt idx="108">
                    <c:v>I</c:v>
                  </c:pt>
                  <c:pt idx="109">
                    <c:v>II</c:v>
                  </c:pt>
                  <c:pt idx="110">
                    <c:v>III</c:v>
                  </c:pt>
                  <c:pt idx="111">
                    <c:v>IV</c:v>
                  </c:pt>
                  <c:pt idx="112">
                    <c:v>V</c:v>
                  </c:pt>
                  <c:pt idx="113">
                    <c:v>VI</c:v>
                  </c:pt>
                  <c:pt idx="114">
                    <c:v>VII</c:v>
                  </c:pt>
                  <c:pt idx="115">
                    <c:v>VIII</c:v>
                  </c:pt>
                  <c:pt idx="116">
                    <c:v>IX</c:v>
                  </c:pt>
                  <c:pt idx="117">
                    <c:v>X</c:v>
                  </c:pt>
                  <c:pt idx="118">
                    <c:v>XI</c:v>
                  </c:pt>
                  <c:pt idx="119">
                    <c:v>XII</c:v>
                  </c:pt>
                  <c:pt idx="120">
                    <c:v>I</c:v>
                  </c:pt>
                  <c:pt idx="121">
                    <c:v>II</c:v>
                  </c:pt>
                  <c:pt idx="122">
                    <c:v>III</c:v>
                  </c:pt>
                  <c:pt idx="123">
                    <c:v>IV</c:v>
                  </c:pt>
                  <c:pt idx="124">
                    <c:v>V</c:v>
                  </c:pt>
                  <c:pt idx="125">
                    <c:v>VI</c:v>
                  </c:pt>
                  <c:pt idx="126">
                    <c:v>VII</c:v>
                  </c:pt>
                  <c:pt idx="127">
                    <c:v>VIII</c:v>
                  </c:pt>
                  <c:pt idx="128">
                    <c:v>IX</c:v>
                  </c:pt>
                  <c:pt idx="129">
                    <c:v>X</c:v>
                  </c:pt>
                  <c:pt idx="130">
                    <c:v>XI</c:v>
                  </c:pt>
                  <c:pt idx="131">
                    <c:v>XII</c:v>
                  </c:pt>
                  <c:pt idx="132">
                    <c:v>I</c:v>
                  </c:pt>
                  <c:pt idx="133">
                    <c:v>II</c:v>
                  </c:pt>
                  <c:pt idx="134">
                    <c:v>III</c:v>
                  </c:pt>
                  <c:pt idx="135">
                    <c:v>IV</c:v>
                  </c:pt>
                  <c:pt idx="136">
                    <c:v>V</c:v>
                  </c:pt>
                  <c:pt idx="137">
                    <c:v>VI</c:v>
                  </c:pt>
                  <c:pt idx="138">
                    <c:v>VII</c:v>
                  </c:pt>
                  <c:pt idx="139">
                    <c:v>VIII</c:v>
                  </c:pt>
                </c:lvl>
                <c:lvl>
                  <c:pt idx="0">
                    <c:v>2009</c:v>
                  </c:pt>
                  <c:pt idx="12">
                    <c:v>2010</c:v>
                  </c:pt>
                  <c:pt idx="24">
                    <c:v>2011</c:v>
                  </c:pt>
                  <c:pt idx="36">
                    <c:v>2012</c:v>
                  </c:pt>
                  <c:pt idx="48">
                    <c:v>2013</c:v>
                  </c:pt>
                  <c:pt idx="60">
                    <c:v>2014</c:v>
                  </c:pt>
                  <c:pt idx="72">
                    <c:v>2015</c:v>
                  </c:pt>
                  <c:pt idx="84">
                    <c:v>2016</c:v>
                  </c:pt>
                  <c:pt idx="96">
                    <c:v>2017</c:v>
                  </c:pt>
                  <c:pt idx="108">
                    <c:v>2018</c:v>
                  </c:pt>
                  <c:pt idx="120">
                    <c:v>2019</c:v>
                  </c:pt>
                  <c:pt idx="132">
                    <c:v>2020</c:v>
                  </c:pt>
                </c:lvl>
              </c:multiLvlStrCache>
            </c:multiLvlStrRef>
          </c:cat>
          <c:val>
            <c:numRef>
              <c:f>'ESI LV'!$F$26:$F$165</c:f>
              <c:numCache>
                <c:formatCode>0.0</c:formatCode>
                <c:ptCount val="140"/>
                <c:pt idx="0">
                  <c:v>-22</c:v>
                </c:pt>
                <c:pt idx="1">
                  <c:v>-22.2</c:v>
                </c:pt>
                <c:pt idx="2">
                  <c:v>-19.899999999999999</c:v>
                </c:pt>
                <c:pt idx="3">
                  <c:v>-22.6</c:v>
                </c:pt>
                <c:pt idx="4">
                  <c:v>-16.399999999999999</c:v>
                </c:pt>
                <c:pt idx="5">
                  <c:v>-17.399999999999999</c:v>
                </c:pt>
                <c:pt idx="6">
                  <c:v>-14.9</c:v>
                </c:pt>
                <c:pt idx="7">
                  <c:v>-12.7</c:v>
                </c:pt>
                <c:pt idx="8">
                  <c:v>-12.8</c:v>
                </c:pt>
                <c:pt idx="9">
                  <c:v>-12.1</c:v>
                </c:pt>
                <c:pt idx="10">
                  <c:v>-9.4</c:v>
                </c:pt>
                <c:pt idx="11">
                  <c:v>-7.9</c:v>
                </c:pt>
                <c:pt idx="12">
                  <c:v>-6.1</c:v>
                </c:pt>
                <c:pt idx="13">
                  <c:v>-7.5</c:v>
                </c:pt>
                <c:pt idx="14">
                  <c:v>-7.7</c:v>
                </c:pt>
                <c:pt idx="15">
                  <c:v>-2</c:v>
                </c:pt>
                <c:pt idx="16">
                  <c:v>-5.0999999999999996</c:v>
                </c:pt>
                <c:pt idx="17">
                  <c:v>-4.5</c:v>
                </c:pt>
                <c:pt idx="18">
                  <c:v>-3.3</c:v>
                </c:pt>
                <c:pt idx="19">
                  <c:v>-3.1</c:v>
                </c:pt>
                <c:pt idx="20">
                  <c:v>-1.5</c:v>
                </c:pt>
                <c:pt idx="21">
                  <c:v>0.3</c:v>
                </c:pt>
                <c:pt idx="22">
                  <c:v>-0.2</c:v>
                </c:pt>
                <c:pt idx="23">
                  <c:v>4.7</c:v>
                </c:pt>
                <c:pt idx="24">
                  <c:v>1.8</c:v>
                </c:pt>
                <c:pt idx="25">
                  <c:v>2</c:v>
                </c:pt>
                <c:pt idx="26">
                  <c:v>0.3</c:v>
                </c:pt>
                <c:pt idx="27">
                  <c:v>0.2</c:v>
                </c:pt>
                <c:pt idx="28">
                  <c:v>-1.6</c:v>
                </c:pt>
                <c:pt idx="29">
                  <c:v>-2.6</c:v>
                </c:pt>
                <c:pt idx="30">
                  <c:v>-3.1</c:v>
                </c:pt>
                <c:pt idx="31">
                  <c:v>-7.5</c:v>
                </c:pt>
                <c:pt idx="32">
                  <c:v>-9.4</c:v>
                </c:pt>
                <c:pt idx="33">
                  <c:v>-10.6</c:v>
                </c:pt>
                <c:pt idx="34">
                  <c:v>-11.8</c:v>
                </c:pt>
                <c:pt idx="35">
                  <c:v>-13</c:v>
                </c:pt>
                <c:pt idx="36">
                  <c:v>-14.8</c:v>
                </c:pt>
                <c:pt idx="37">
                  <c:v>-13</c:v>
                </c:pt>
                <c:pt idx="38">
                  <c:v>-11.5</c:v>
                </c:pt>
                <c:pt idx="39">
                  <c:v>-10.7</c:v>
                </c:pt>
                <c:pt idx="40">
                  <c:v>-16.3</c:v>
                </c:pt>
                <c:pt idx="41">
                  <c:v>-12.8</c:v>
                </c:pt>
                <c:pt idx="42">
                  <c:v>-14.1</c:v>
                </c:pt>
                <c:pt idx="43">
                  <c:v>-15.6</c:v>
                </c:pt>
                <c:pt idx="44">
                  <c:v>-17.3</c:v>
                </c:pt>
                <c:pt idx="45">
                  <c:v>-15.7</c:v>
                </c:pt>
                <c:pt idx="46">
                  <c:v>-13.8</c:v>
                </c:pt>
                <c:pt idx="47">
                  <c:v>-15.6</c:v>
                </c:pt>
                <c:pt idx="48">
                  <c:v>-15.8</c:v>
                </c:pt>
                <c:pt idx="49">
                  <c:v>-15.9</c:v>
                </c:pt>
                <c:pt idx="50">
                  <c:v>-17.3</c:v>
                </c:pt>
                <c:pt idx="51">
                  <c:v>-19.3</c:v>
                </c:pt>
                <c:pt idx="52">
                  <c:v>-16.600000000000001</c:v>
                </c:pt>
                <c:pt idx="53">
                  <c:v>-13.1</c:v>
                </c:pt>
                <c:pt idx="54">
                  <c:v>-12</c:v>
                </c:pt>
                <c:pt idx="55">
                  <c:v>-9.1999999999999993</c:v>
                </c:pt>
                <c:pt idx="56">
                  <c:v>-7.1</c:v>
                </c:pt>
                <c:pt idx="57">
                  <c:v>-6.8</c:v>
                </c:pt>
                <c:pt idx="58" formatCode="General">
                  <c:v>-6.7</c:v>
                </c:pt>
                <c:pt idx="59" formatCode="General">
                  <c:v>-3.5</c:v>
                </c:pt>
                <c:pt idx="60" formatCode="General">
                  <c:v>-3.1</c:v>
                </c:pt>
                <c:pt idx="61">
                  <c:v>-1.7</c:v>
                </c:pt>
                <c:pt idx="62" formatCode="General">
                  <c:v>-0.9</c:v>
                </c:pt>
                <c:pt idx="63" formatCode="General">
                  <c:v>-1.2</c:v>
                </c:pt>
                <c:pt idx="64" formatCode="General">
                  <c:v>-0.7</c:v>
                </c:pt>
                <c:pt idx="65" formatCode="General">
                  <c:v>-0.5</c:v>
                </c:pt>
                <c:pt idx="66" formatCode="General">
                  <c:v>-0.7</c:v>
                </c:pt>
                <c:pt idx="67" formatCode="General">
                  <c:v>-2.6</c:v>
                </c:pt>
                <c:pt idx="68" formatCode="General">
                  <c:v>-4.3</c:v>
                </c:pt>
                <c:pt idx="69" formatCode="General">
                  <c:v>-3.8</c:v>
                </c:pt>
                <c:pt idx="70" formatCode="General">
                  <c:v>-3.8</c:v>
                </c:pt>
                <c:pt idx="71" formatCode="General">
                  <c:v>-2.7</c:v>
                </c:pt>
                <c:pt idx="72" formatCode="General">
                  <c:v>-1.9</c:v>
                </c:pt>
                <c:pt idx="73" formatCode="General">
                  <c:v>-0.6</c:v>
                </c:pt>
                <c:pt idx="74" formatCode="General">
                  <c:v>0.4</c:v>
                </c:pt>
                <c:pt idx="75" formatCode="General">
                  <c:v>1.2</c:v>
                </c:pt>
                <c:pt idx="76" formatCode="General">
                  <c:v>2.4</c:v>
                </c:pt>
                <c:pt idx="77" formatCode="General">
                  <c:v>0.8</c:v>
                </c:pt>
                <c:pt idx="78" formatCode="General">
                  <c:v>2.7</c:v>
                </c:pt>
                <c:pt idx="79" formatCode="General">
                  <c:v>4.5999999999999996</c:v>
                </c:pt>
                <c:pt idx="80" formatCode="General">
                  <c:v>4.7</c:v>
                </c:pt>
                <c:pt idx="81" formatCode="General">
                  <c:v>6.9</c:v>
                </c:pt>
                <c:pt idx="82" formatCode="General">
                  <c:v>6.4</c:v>
                </c:pt>
                <c:pt idx="83" formatCode="General">
                  <c:v>3.6</c:v>
                </c:pt>
                <c:pt idx="84" formatCode="General">
                  <c:v>3.7</c:v>
                </c:pt>
                <c:pt idx="85" formatCode="General">
                  <c:v>2.1</c:v>
                </c:pt>
                <c:pt idx="86" formatCode="General">
                  <c:v>2.1</c:v>
                </c:pt>
                <c:pt idx="87" formatCode="General">
                  <c:v>1.7</c:v>
                </c:pt>
                <c:pt idx="88" formatCode="General">
                  <c:v>3.4</c:v>
                </c:pt>
                <c:pt idx="89" formatCode="General">
                  <c:v>1.6</c:v>
                </c:pt>
                <c:pt idx="90" formatCode="General">
                  <c:v>1.8</c:v>
                </c:pt>
                <c:pt idx="91" formatCode="General">
                  <c:v>-0.3</c:v>
                </c:pt>
                <c:pt idx="92" formatCode="General">
                  <c:v>0.4</c:v>
                </c:pt>
                <c:pt idx="93" formatCode="General">
                  <c:v>0.5</c:v>
                </c:pt>
                <c:pt idx="94" formatCode="General">
                  <c:v>1.6</c:v>
                </c:pt>
                <c:pt idx="95" formatCode="General">
                  <c:v>3.2</c:v>
                </c:pt>
                <c:pt idx="96" formatCode="General">
                  <c:v>2.2000000000000002</c:v>
                </c:pt>
                <c:pt idx="97" formatCode="General">
                  <c:v>1.7</c:v>
                </c:pt>
                <c:pt idx="98" formatCode="General">
                  <c:v>2.1</c:v>
                </c:pt>
                <c:pt idx="99" formatCode="General">
                  <c:v>3.6</c:v>
                </c:pt>
                <c:pt idx="100" formatCode="General">
                  <c:v>1.5</c:v>
                </c:pt>
                <c:pt idx="101" formatCode="General">
                  <c:v>4</c:v>
                </c:pt>
                <c:pt idx="102" formatCode="General">
                  <c:v>4.2</c:v>
                </c:pt>
                <c:pt idx="103" formatCode="General">
                  <c:v>1.8</c:v>
                </c:pt>
                <c:pt idx="104" formatCode="General">
                  <c:v>3.3</c:v>
                </c:pt>
                <c:pt idx="105" formatCode="General">
                  <c:v>5</c:v>
                </c:pt>
                <c:pt idx="106" formatCode="General">
                  <c:v>4.5</c:v>
                </c:pt>
                <c:pt idx="107" formatCode="General">
                  <c:v>6.2</c:v>
                </c:pt>
                <c:pt idx="108" formatCode="General">
                  <c:v>5.7</c:v>
                </c:pt>
                <c:pt idx="109" formatCode="General">
                  <c:v>5.0999999999999996</c:v>
                </c:pt>
                <c:pt idx="110" formatCode="General">
                  <c:v>2.7</c:v>
                </c:pt>
                <c:pt idx="111" formatCode="General">
                  <c:v>1.1000000000000001</c:v>
                </c:pt>
                <c:pt idx="112" formatCode="General">
                  <c:v>2.4</c:v>
                </c:pt>
                <c:pt idx="113" formatCode="General">
                  <c:v>2.6</c:v>
                </c:pt>
                <c:pt idx="114" formatCode="General">
                  <c:v>1.9</c:v>
                </c:pt>
                <c:pt idx="115" formatCode="General">
                  <c:v>3.2</c:v>
                </c:pt>
                <c:pt idx="116" formatCode="General">
                  <c:v>4.3</c:v>
                </c:pt>
                <c:pt idx="117" formatCode="General">
                  <c:v>1</c:v>
                </c:pt>
                <c:pt idx="118" formatCode="General">
                  <c:v>1.3</c:v>
                </c:pt>
                <c:pt idx="119" formatCode="General">
                  <c:v>1.7</c:v>
                </c:pt>
                <c:pt idx="120" formatCode="General">
                  <c:v>-0.4</c:v>
                </c:pt>
                <c:pt idx="121" formatCode="General">
                  <c:v>0.2</c:v>
                </c:pt>
                <c:pt idx="122" formatCode="General">
                  <c:v>1.7</c:v>
                </c:pt>
                <c:pt idx="123" formatCode="General">
                  <c:v>0.3</c:v>
                </c:pt>
                <c:pt idx="124" formatCode="General">
                  <c:v>0.6</c:v>
                </c:pt>
                <c:pt idx="125" formatCode="General">
                  <c:v>1.2</c:v>
                </c:pt>
                <c:pt idx="126" formatCode="General">
                  <c:v>0.6</c:v>
                </c:pt>
                <c:pt idx="127" formatCode="General">
                  <c:v>1.6</c:v>
                </c:pt>
                <c:pt idx="128" formatCode="General">
                  <c:v>1.2</c:v>
                </c:pt>
                <c:pt idx="129" formatCode="General">
                  <c:v>0</c:v>
                </c:pt>
                <c:pt idx="130" formatCode="General">
                  <c:v>0.9</c:v>
                </c:pt>
                <c:pt idx="131" formatCode="General">
                  <c:v>1.8</c:v>
                </c:pt>
                <c:pt idx="132" formatCode="General">
                  <c:v>1.2</c:v>
                </c:pt>
                <c:pt idx="133" formatCode="General">
                  <c:v>1.3</c:v>
                </c:pt>
                <c:pt idx="134" formatCode="General">
                  <c:v>-6.4</c:v>
                </c:pt>
                <c:pt idx="135" formatCode="General">
                  <c:v>-29.1</c:v>
                </c:pt>
                <c:pt idx="136" formatCode="General">
                  <c:v>-28.4</c:v>
                </c:pt>
                <c:pt idx="137" formatCode="General">
                  <c:v>-18.5</c:v>
                </c:pt>
                <c:pt idx="138" formatCode="General">
                  <c:v>-13.7</c:v>
                </c:pt>
                <c:pt idx="139" formatCode="General">
                  <c:v>-9.3000000000000007</c:v>
                </c:pt>
              </c:numCache>
            </c:numRef>
          </c:val>
          <c:smooth val="0"/>
          <c:extLst>
            <c:ext xmlns:c16="http://schemas.microsoft.com/office/drawing/2014/chart" uri="{C3380CC4-5D6E-409C-BE32-E72D297353CC}">
              <c16:uniqueId val="{00000003-E249-46F2-A6C7-47E1D06218CD}"/>
            </c:ext>
          </c:extLst>
        </c:ser>
        <c:ser>
          <c:idx val="4"/>
          <c:order val="4"/>
          <c:tx>
            <c:strRef>
              <c:f>'ESI LV'!$G$1</c:f>
              <c:strCache>
                <c:ptCount val="1"/>
                <c:pt idx="0">
                  <c:v>Būvniecība</c:v>
                </c:pt>
              </c:strCache>
            </c:strRef>
          </c:tx>
          <c:spPr>
            <a:ln w="28575" cap="rnd">
              <a:solidFill>
                <a:schemeClr val="accent5"/>
              </a:solidFill>
              <a:round/>
            </a:ln>
            <a:effectLst/>
          </c:spPr>
          <c:marker>
            <c:symbol val="none"/>
          </c:marker>
          <c:cat>
            <c:multiLvlStrRef>
              <c:f>'ESI LV'!$A$26:$B$165</c:f>
              <c:multiLvlStrCache>
                <c:ptCount val="14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pt idx="108">
                    <c:v>I</c:v>
                  </c:pt>
                  <c:pt idx="109">
                    <c:v>II</c:v>
                  </c:pt>
                  <c:pt idx="110">
                    <c:v>III</c:v>
                  </c:pt>
                  <c:pt idx="111">
                    <c:v>IV</c:v>
                  </c:pt>
                  <c:pt idx="112">
                    <c:v>V</c:v>
                  </c:pt>
                  <c:pt idx="113">
                    <c:v>VI</c:v>
                  </c:pt>
                  <c:pt idx="114">
                    <c:v>VII</c:v>
                  </c:pt>
                  <c:pt idx="115">
                    <c:v>VIII</c:v>
                  </c:pt>
                  <c:pt idx="116">
                    <c:v>IX</c:v>
                  </c:pt>
                  <c:pt idx="117">
                    <c:v>X</c:v>
                  </c:pt>
                  <c:pt idx="118">
                    <c:v>XI</c:v>
                  </c:pt>
                  <c:pt idx="119">
                    <c:v>XII</c:v>
                  </c:pt>
                  <c:pt idx="120">
                    <c:v>I</c:v>
                  </c:pt>
                  <c:pt idx="121">
                    <c:v>II</c:v>
                  </c:pt>
                  <c:pt idx="122">
                    <c:v>III</c:v>
                  </c:pt>
                  <c:pt idx="123">
                    <c:v>IV</c:v>
                  </c:pt>
                  <c:pt idx="124">
                    <c:v>V</c:v>
                  </c:pt>
                  <c:pt idx="125">
                    <c:v>VI</c:v>
                  </c:pt>
                  <c:pt idx="126">
                    <c:v>VII</c:v>
                  </c:pt>
                  <c:pt idx="127">
                    <c:v>VIII</c:v>
                  </c:pt>
                  <c:pt idx="128">
                    <c:v>IX</c:v>
                  </c:pt>
                  <c:pt idx="129">
                    <c:v>X</c:v>
                  </c:pt>
                  <c:pt idx="130">
                    <c:v>XI</c:v>
                  </c:pt>
                  <c:pt idx="131">
                    <c:v>XII</c:v>
                  </c:pt>
                  <c:pt idx="132">
                    <c:v>I</c:v>
                  </c:pt>
                  <c:pt idx="133">
                    <c:v>II</c:v>
                  </c:pt>
                  <c:pt idx="134">
                    <c:v>III</c:v>
                  </c:pt>
                  <c:pt idx="135">
                    <c:v>IV</c:v>
                  </c:pt>
                  <c:pt idx="136">
                    <c:v>V</c:v>
                  </c:pt>
                  <c:pt idx="137">
                    <c:v>VI</c:v>
                  </c:pt>
                  <c:pt idx="138">
                    <c:v>VII</c:v>
                  </c:pt>
                  <c:pt idx="139">
                    <c:v>VIII</c:v>
                  </c:pt>
                </c:lvl>
                <c:lvl>
                  <c:pt idx="0">
                    <c:v>2009</c:v>
                  </c:pt>
                  <c:pt idx="12">
                    <c:v>2010</c:v>
                  </c:pt>
                  <c:pt idx="24">
                    <c:v>2011</c:v>
                  </c:pt>
                  <c:pt idx="36">
                    <c:v>2012</c:v>
                  </c:pt>
                  <c:pt idx="48">
                    <c:v>2013</c:v>
                  </c:pt>
                  <c:pt idx="60">
                    <c:v>2014</c:v>
                  </c:pt>
                  <c:pt idx="72">
                    <c:v>2015</c:v>
                  </c:pt>
                  <c:pt idx="84">
                    <c:v>2016</c:v>
                  </c:pt>
                  <c:pt idx="96">
                    <c:v>2017</c:v>
                  </c:pt>
                  <c:pt idx="108">
                    <c:v>2018</c:v>
                  </c:pt>
                  <c:pt idx="120">
                    <c:v>2019</c:v>
                  </c:pt>
                  <c:pt idx="132">
                    <c:v>2020</c:v>
                  </c:pt>
                </c:lvl>
              </c:multiLvlStrCache>
            </c:multiLvlStrRef>
          </c:cat>
          <c:val>
            <c:numRef>
              <c:f>'ESI LV'!$G$26:$G$165</c:f>
              <c:numCache>
                <c:formatCode>0.0</c:formatCode>
                <c:ptCount val="140"/>
                <c:pt idx="0">
                  <c:v>-30.9</c:v>
                </c:pt>
                <c:pt idx="1">
                  <c:v>-32.200000000000003</c:v>
                </c:pt>
                <c:pt idx="2">
                  <c:v>-34.200000000000003</c:v>
                </c:pt>
                <c:pt idx="3">
                  <c:v>-37.200000000000003</c:v>
                </c:pt>
                <c:pt idx="4">
                  <c:v>-36.799999999999997</c:v>
                </c:pt>
                <c:pt idx="5">
                  <c:v>-37.299999999999997</c:v>
                </c:pt>
                <c:pt idx="6">
                  <c:v>-37.4</c:v>
                </c:pt>
                <c:pt idx="7">
                  <c:v>-34.700000000000003</c:v>
                </c:pt>
                <c:pt idx="8">
                  <c:v>-34.200000000000003</c:v>
                </c:pt>
                <c:pt idx="9">
                  <c:v>-33.700000000000003</c:v>
                </c:pt>
                <c:pt idx="10">
                  <c:v>-32.299999999999997</c:v>
                </c:pt>
                <c:pt idx="11">
                  <c:v>-33</c:v>
                </c:pt>
                <c:pt idx="12">
                  <c:v>-31.8</c:v>
                </c:pt>
                <c:pt idx="13">
                  <c:v>-32.799999999999997</c:v>
                </c:pt>
                <c:pt idx="14">
                  <c:v>-28.9</c:v>
                </c:pt>
                <c:pt idx="15">
                  <c:v>-27.2</c:v>
                </c:pt>
                <c:pt idx="16">
                  <c:v>-28.9</c:v>
                </c:pt>
                <c:pt idx="17">
                  <c:v>-29.3</c:v>
                </c:pt>
                <c:pt idx="18">
                  <c:v>-28.5</c:v>
                </c:pt>
                <c:pt idx="19">
                  <c:v>-26.9</c:v>
                </c:pt>
                <c:pt idx="20">
                  <c:v>-25.1</c:v>
                </c:pt>
                <c:pt idx="21">
                  <c:v>-24.3</c:v>
                </c:pt>
                <c:pt idx="22">
                  <c:v>-23.5</c:v>
                </c:pt>
                <c:pt idx="23">
                  <c:v>-24.5</c:v>
                </c:pt>
                <c:pt idx="24">
                  <c:v>-22.4</c:v>
                </c:pt>
                <c:pt idx="25">
                  <c:v>-19.8</c:v>
                </c:pt>
                <c:pt idx="26">
                  <c:v>-21.2</c:v>
                </c:pt>
                <c:pt idx="27">
                  <c:v>-20.3</c:v>
                </c:pt>
                <c:pt idx="28">
                  <c:v>-19.2</c:v>
                </c:pt>
                <c:pt idx="29">
                  <c:v>-19.3</c:v>
                </c:pt>
                <c:pt idx="30">
                  <c:v>-19.899999999999999</c:v>
                </c:pt>
                <c:pt idx="31">
                  <c:v>-19.5</c:v>
                </c:pt>
                <c:pt idx="32">
                  <c:v>-22.5</c:v>
                </c:pt>
                <c:pt idx="33">
                  <c:v>-21.9</c:v>
                </c:pt>
                <c:pt idx="34">
                  <c:v>-21.2</c:v>
                </c:pt>
                <c:pt idx="35">
                  <c:v>-23.6</c:v>
                </c:pt>
                <c:pt idx="36">
                  <c:v>-22.4</c:v>
                </c:pt>
                <c:pt idx="37">
                  <c:v>-20.8</c:v>
                </c:pt>
                <c:pt idx="38">
                  <c:v>-21.9</c:v>
                </c:pt>
                <c:pt idx="39">
                  <c:v>-22.4</c:v>
                </c:pt>
                <c:pt idx="40">
                  <c:v>-24.8</c:v>
                </c:pt>
                <c:pt idx="41">
                  <c:v>-24.5</c:v>
                </c:pt>
                <c:pt idx="42">
                  <c:v>-25.1</c:v>
                </c:pt>
                <c:pt idx="43">
                  <c:v>-27.6</c:v>
                </c:pt>
                <c:pt idx="44">
                  <c:v>-27.5</c:v>
                </c:pt>
                <c:pt idx="45">
                  <c:v>-28.7</c:v>
                </c:pt>
                <c:pt idx="46">
                  <c:v>-30.2</c:v>
                </c:pt>
                <c:pt idx="47">
                  <c:v>-29.9</c:v>
                </c:pt>
                <c:pt idx="48">
                  <c:v>-27</c:v>
                </c:pt>
                <c:pt idx="49">
                  <c:v>-27</c:v>
                </c:pt>
                <c:pt idx="50">
                  <c:v>-28.2</c:v>
                </c:pt>
                <c:pt idx="51">
                  <c:v>-29.2</c:v>
                </c:pt>
                <c:pt idx="52">
                  <c:v>-29.4</c:v>
                </c:pt>
                <c:pt idx="53">
                  <c:v>-28.6</c:v>
                </c:pt>
                <c:pt idx="54">
                  <c:v>-28.8</c:v>
                </c:pt>
                <c:pt idx="55">
                  <c:v>-28.5</c:v>
                </c:pt>
                <c:pt idx="56">
                  <c:v>-25.6</c:v>
                </c:pt>
                <c:pt idx="57">
                  <c:v>-25.5</c:v>
                </c:pt>
                <c:pt idx="58" formatCode="General">
                  <c:v>-26.5</c:v>
                </c:pt>
                <c:pt idx="59" formatCode="General">
                  <c:v>-23.8</c:v>
                </c:pt>
                <c:pt idx="60" formatCode="General">
                  <c:v>-25.6</c:v>
                </c:pt>
                <c:pt idx="61" formatCode="General">
                  <c:v>-24.5</c:v>
                </c:pt>
                <c:pt idx="62" formatCode="General">
                  <c:v>-25.1</c:v>
                </c:pt>
                <c:pt idx="63" formatCode="General">
                  <c:v>-26.4</c:v>
                </c:pt>
                <c:pt idx="64" formatCode="General">
                  <c:v>-26</c:v>
                </c:pt>
                <c:pt idx="65" formatCode="General">
                  <c:v>-26.5</c:v>
                </c:pt>
                <c:pt idx="66" formatCode="General">
                  <c:v>-24.7</c:v>
                </c:pt>
                <c:pt idx="67" formatCode="General">
                  <c:v>-25.1</c:v>
                </c:pt>
                <c:pt idx="68" formatCode="General">
                  <c:v>-24.4</c:v>
                </c:pt>
                <c:pt idx="69" formatCode="General">
                  <c:v>-22.3</c:v>
                </c:pt>
                <c:pt idx="70" formatCode="General">
                  <c:v>-22.8</c:v>
                </c:pt>
                <c:pt idx="71" formatCode="General">
                  <c:v>-22.3</c:v>
                </c:pt>
                <c:pt idx="72" formatCode="General">
                  <c:v>-23.4</c:v>
                </c:pt>
                <c:pt idx="73" formatCode="General">
                  <c:v>-23.3</c:v>
                </c:pt>
                <c:pt idx="74" formatCode="General">
                  <c:v>-23</c:v>
                </c:pt>
                <c:pt idx="75" formatCode="General">
                  <c:v>-23.6</c:v>
                </c:pt>
                <c:pt idx="76" formatCode="General">
                  <c:v>-23.2</c:v>
                </c:pt>
                <c:pt idx="77" formatCode="General">
                  <c:v>-22.1</c:v>
                </c:pt>
                <c:pt idx="78" formatCode="General">
                  <c:v>-21.2</c:v>
                </c:pt>
                <c:pt idx="79" formatCode="General">
                  <c:v>-20.6</c:v>
                </c:pt>
                <c:pt idx="80" formatCode="General">
                  <c:v>-20.399999999999999</c:v>
                </c:pt>
                <c:pt idx="81" formatCode="General">
                  <c:v>-17.8</c:v>
                </c:pt>
                <c:pt idx="82" formatCode="General">
                  <c:v>-15.3</c:v>
                </c:pt>
                <c:pt idx="83" formatCode="General">
                  <c:v>-15.2</c:v>
                </c:pt>
                <c:pt idx="84" formatCode="General">
                  <c:v>-16.600000000000001</c:v>
                </c:pt>
                <c:pt idx="85" formatCode="General">
                  <c:v>-15.3</c:v>
                </c:pt>
                <c:pt idx="86" formatCode="General">
                  <c:v>-17.3</c:v>
                </c:pt>
                <c:pt idx="87" formatCode="General">
                  <c:v>-16.5</c:v>
                </c:pt>
                <c:pt idx="88" formatCode="General">
                  <c:v>-15.5</c:v>
                </c:pt>
                <c:pt idx="89" formatCode="General">
                  <c:v>-15.8</c:v>
                </c:pt>
                <c:pt idx="90" formatCode="General">
                  <c:v>-14.1</c:v>
                </c:pt>
                <c:pt idx="91" formatCode="General">
                  <c:v>-13.8</c:v>
                </c:pt>
                <c:pt idx="92" formatCode="General">
                  <c:v>-13.2</c:v>
                </c:pt>
                <c:pt idx="93" formatCode="General">
                  <c:v>-12</c:v>
                </c:pt>
                <c:pt idx="94" formatCode="General">
                  <c:v>-10.7</c:v>
                </c:pt>
                <c:pt idx="95" formatCode="General">
                  <c:v>-9.9</c:v>
                </c:pt>
                <c:pt idx="96" formatCode="General">
                  <c:v>-10</c:v>
                </c:pt>
                <c:pt idx="97" formatCode="General">
                  <c:v>-7.9</c:v>
                </c:pt>
                <c:pt idx="98" formatCode="General">
                  <c:v>-7.5</c:v>
                </c:pt>
                <c:pt idx="99" formatCode="General">
                  <c:v>-4.5999999999999996</c:v>
                </c:pt>
                <c:pt idx="100" formatCode="General">
                  <c:v>-3.9</c:v>
                </c:pt>
                <c:pt idx="101" formatCode="General">
                  <c:v>-2.2999999999999998</c:v>
                </c:pt>
                <c:pt idx="102" formatCode="General">
                  <c:v>-1.1000000000000001</c:v>
                </c:pt>
                <c:pt idx="103" formatCode="General">
                  <c:v>-1.6</c:v>
                </c:pt>
                <c:pt idx="104" formatCode="General">
                  <c:v>-0.3</c:v>
                </c:pt>
                <c:pt idx="105" formatCode="General">
                  <c:v>1.1000000000000001</c:v>
                </c:pt>
                <c:pt idx="106" formatCode="General">
                  <c:v>2.5</c:v>
                </c:pt>
                <c:pt idx="107" formatCode="General">
                  <c:v>3.8</c:v>
                </c:pt>
                <c:pt idx="108" formatCode="General">
                  <c:v>5.2</c:v>
                </c:pt>
                <c:pt idx="109" formatCode="General">
                  <c:v>4.8</c:v>
                </c:pt>
                <c:pt idx="110" formatCode="General">
                  <c:v>5.4</c:v>
                </c:pt>
                <c:pt idx="111" formatCode="General">
                  <c:v>5</c:v>
                </c:pt>
                <c:pt idx="112" formatCode="General">
                  <c:v>6.6</c:v>
                </c:pt>
                <c:pt idx="113" formatCode="General">
                  <c:v>5.6</c:v>
                </c:pt>
                <c:pt idx="114" formatCode="General">
                  <c:v>5.7</c:v>
                </c:pt>
                <c:pt idx="115" formatCode="General">
                  <c:v>6.6</c:v>
                </c:pt>
                <c:pt idx="116" formatCode="General">
                  <c:v>7.9</c:v>
                </c:pt>
                <c:pt idx="117" formatCode="General">
                  <c:v>7.6</c:v>
                </c:pt>
                <c:pt idx="118" formatCode="General">
                  <c:v>7.8</c:v>
                </c:pt>
                <c:pt idx="119" formatCode="General">
                  <c:v>7.3</c:v>
                </c:pt>
                <c:pt idx="120" formatCode="General">
                  <c:v>7.8</c:v>
                </c:pt>
                <c:pt idx="121" formatCode="General">
                  <c:v>7</c:v>
                </c:pt>
                <c:pt idx="122" formatCode="General">
                  <c:v>7.1</c:v>
                </c:pt>
                <c:pt idx="123" formatCode="General">
                  <c:v>6</c:v>
                </c:pt>
                <c:pt idx="124" formatCode="General">
                  <c:v>4.3</c:v>
                </c:pt>
                <c:pt idx="125" formatCode="General">
                  <c:v>6.8</c:v>
                </c:pt>
                <c:pt idx="126" formatCode="General">
                  <c:v>4.3</c:v>
                </c:pt>
                <c:pt idx="127" formatCode="General">
                  <c:v>3.7</c:v>
                </c:pt>
                <c:pt idx="128" formatCode="General">
                  <c:v>3</c:v>
                </c:pt>
                <c:pt idx="129" formatCode="General">
                  <c:v>4.3</c:v>
                </c:pt>
                <c:pt idx="130" formatCode="General">
                  <c:v>2.9</c:v>
                </c:pt>
                <c:pt idx="131" formatCode="General">
                  <c:v>3.9</c:v>
                </c:pt>
                <c:pt idx="132" formatCode="General">
                  <c:v>4.5999999999999996</c:v>
                </c:pt>
                <c:pt idx="133" formatCode="General">
                  <c:v>3.6</c:v>
                </c:pt>
                <c:pt idx="134" formatCode="General">
                  <c:v>-1.9</c:v>
                </c:pt>
                <c:pt idx="135" formatCode="General">
                  <c:v>-18.5</c:v>
                </c:pt>
                <c:pt idx="136" formatCode="General">
                  <c:v>-19.7</c:v>
                </c:pt>
                <c:pt idx="137" formatCode="General">
                  <c:v>-13.7</c:v>
                </c:pt>
                <c:pt idx="138" formatCode="General">
                  <c:v>-13.3</c:v>
                </c:pt>
                <c:pt idx="139" formatCode="General">
                  <c:v>-13.5</c:v>
                </c:pt>
              </c:numCache>
            </c:numRef>
          </c:val>
          <c:smooth val="0"/>
          <c:extLst>
            <c:ext xmlns:c16="http://schemas.microsoft.com/office/drawing/2014/chart" uri="{C3380CC4-5D6E-409C-BE32-E72D297353CC}">
              <c16:uniqueId val="{00000004-E249-46F2-A6C7-47E1D06218CD}"/>
            </c:ext>
          </c:extLst>
        </c:ser>
        <c:dLbls>
          <c:showLegendKey val="0"/>
          <c:showVal val="0"/>
          <c:showCatName val="0"/>
          <c:showSerName val="0"/>
          <c:showPercent val="0"/>
          <c:showBubbleSize val="0"/>
        </c:dLbls>
        <c:marker val="1"/>
        <c:smooth val="0"/>
        <c:axId val="213670504"/>
        <c:axId val="213670896"/>
      </c:lineChart>
      <c:lineChart>
        <c:grouping val="standard"/>
        <c:varyColors val="0"/>
        <c:ser>
          <c:idx val="5"/>
          <c:order val="5"/>
          <c:tx>
            <c:strRef>
              <c:f>'ESI LV'!$H$1</c:f>
              <c:strCache>
                <c:ptCount val="1"/>
                <c:pt idx="0">
                  <c:v>ESI kopā (labā ass)</c:v>
                </c:pt>
              </c:strCache>
            </c:strRef>
          </c:tx>
          <c:spPr>
            <a:ln w="28575" cap="rnd">
              <a:solidFill>
                <a:srgbClr val="C00000"/>
              </a:solidFill>
              <a:round/>
            </a:ln>
            <a:effectLst/>
          </c:spPr>
          <c:marker>
            <c:symbol val="none"/>
          </c:marker>
          <c:cat>
            <c:multiLvlStrRef>
              <c:f>'ESI LV'!$A$26:$B$165</c:f>
              <c:multiLvlStrCache>
                <c:ptCount val="14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pt idx="108">
                    <c:v>I</c:v>
                  </c:pt>
                  <c:pt idx="109">
                    <c:v>II</c:v>
                  </c:pt>
                  <c:pt idx="110">
                    <c:v>III</c:v>
                  </c:pt>
                  <c:pt idx="111">
                    <c:v>IV</c:v>
                  </c:pt>
                  <c:pt idx="112">
                    <c:v>V</c:v>
                  </c:pt>
                  <c:pt idx="113">
                    <c:v>VI</c:v>
                  </c:pt>
                  <c:pt idx="114">
                    <c:v>VII</c:v>
                  </c:pt>
                  <c:pt idx="115">
                    <c:v>VIII</c:v>
                  </c:pt>
                  <c:pt idx="116">
                    <c:v>IX</c:v>
                  </c:pt>
                  <c:pt idx="117">
                    <c:v>X</c:v>
                  </c:pt>
                  <c:pt idx="118">
                    <c:v>XI</c:v>
                  </c:pt>
                  <c:pt idx="119">
                    <c:v>XII</c:v>
                  </c:pt>
                  <c:pt idx="120">
                    <c:v>I</c:v>
                  </c:pt>
                  <c:pt idx="121">
                    <c:v>II</c:v>
                  </c:pt>
                  <c:pt idx="122">
                    <c:v>III</c:v>
                  </c:pt>
                  <c:pt idx="123">
                    <c:v>IV</c:v>
                  </c:pt>
                  <c:pt idx="124">
                    <c:v>V</c:v>
                  </c:pt>
                  <c:pt idx="125">
                    <c:v>VI</c:v>
                  </c:pt>
                  <c:pt idx="126">
                    <c:v>VII</c:v>
                  </c:pt>
                  <c:pt idx="127">
                    <c:v>VIII</c:v>
                  </c:pt>
                  <c:pt idx="128">
                    <c:v>IX</c:v>
                  </c:pt>
                  <c:pt idx="129">
                    <c:v>X</c:v>
                  </c:pt>
                  <c:pt idx="130">
                    <c:v>XI</c:v>
                  </c:pt>
                  <c:pt idx="131">
                    <c:v>XII</c:v>
                  </c:pt>
                  <c:pt idx="132">
                    <c:v>I</c:v>
                  </c:pt>
                  <c:pt idx="133">
                    <c:v>II</c:v>
                  </c:pt>
                  <c:pt idx="134">
                    <c:v>III</c:v>
                  </c:pt>
                  <c:pt idx="135">
                    <c:v>IV</c:v>
                  </c:pt>
                  <c:pt idx="136">
                    <c:v>V</c:v>
                  </c:pt>
                  <c:pt idx="137">
                    <c:v>VI</c:v>
                  </c:pt>
                  <c:pt idx="138">
                    <c:v>VII</c:v>
                  </c:pt>
                  <c:pt idx="139">
                    <c:v>VIII</c:v>
                  </c:pt>
                </c:lvl>
                <c:lvl>
                  <c:pt idx="0">
                    <c:v>2009</c:v>
                  </c:pt>
                  <c:pt idx="12">
                    <c:v>2010</c:v>
                  </c:pt>
                  <c:pt idx="24">
                    <c:v>2011</c:v>
                  </c:pt>
                  <c:pt idx="36">
                    <c:v>2012</c:v>
                  </c:pt>
                  <c:pt idx="48">
                    <c:v>2013</c:v>
                  </c:pt>
                  <c:pt idx="60">
                    <c:v>2014</c:v>
                  </c:pt>
                  <c:pt idx="72">
                    <c:v>2015</c:v>
                  </c:pt>
                  <c:pt idx="84">
                    <c:v>2016</c:v>
                  </c:pt>
                  <c:pt idx="96">
                    <c:v>2017</c:v>
                  </c:pt>
                  <c:pt idx="108">
                    <c:v>2018</c:v>
                  </c:pt>
                  <c:pt idx="120">
                    <c:v>2019</c:v>
                  </c:pt>
                  <c:pt idx="132">
                    <c:v>2020</c:v>
                  </c:pt>
                </c:lvl>
              </c:multiLvlStrCache>
            </c:multiLvlStrRef>
          </c:cat>
          <c:val>
            <c:numRef>
              <c:f>'ESI LV'!$H$26:$H$165</c:f>
              <c:numCache>
                <c:formatCode>0.0</c:formatCode>
                <c:ptCount val="140"/>
                <c:pt idx="0">
                  <c:v>69.5</c:v>
                </c:pt>
                <c:pt idx="1">
                  <c:v>67</c:v>
                </c:pt>
                <c:pt idx="2">
                  <c:v>65.2</c:v>
                </c:pt>
                <c:pt idx="3">
                  <c:v>66.8</c:v>
                </c:pt>
                <c:pt idx="4">
                  <c:v>70.2</c:v>
                </c:pt>
                <c:pt idx="5">
                  <c:v>73</c:v>
                </c:pt>
                <c:pt idx="6">
                  <c:v>76</c:v>
                </c:pt>
                <c:pt idx="7">
                  <c:v>80.400000000000006</c:v>
                </c:pt>
                <c:pt idx="8">
                  <c:v>83.1</c:v>
                </c:pt>
                <c:pt idx="9">
                  <c:v>85.9</c:v>
                </c:pt>
                <c:pt idx="10">
                  <c:v>88.5</c:v>
                </c:pt>
                <c:pt idx="11">
                  <c:v>91.1</c:v>
                </c:pt>
                <c:pt idx="12">
                  <c:v>93.2</c:v>
                </c:pt>
                <c:pt idx="13">
                  <c:v>94.4</c:v>
                </c:pt>
                <c:pt idx="14">
                  <c:v>96.5</c:v>
                </c:pt>
                <c:pt idx="15">
                  <c:v>99.3</c:v>
                </c:pt>
                <c:pt idx="16">
                  <c:v>97.5</c:v>
                </c:pt>
                <c:pt idx="17">
                  <c:v>98.1</c:v>
                </c:pt>
                <c:pt idx="18">
                  <c:v>99.9</c:v>
                </c:pt>
                <c:pt idx="19">
                  <c:v>100.5</c:v>
                </c:pt>
                <c:pt idx="20">
                  <c:v>101.2</c:v>
                </c:pt>
                <c:pt idx="21">
                  <c:v>102</c:v>
                </c:pt>
                <c:pt idx="22">
                  <c:v>104</c:v>
                </c:pt>
                <c:pt idx="23">
                  <c:v>105.2</c:v>
                </c:pt>
                <c:pt idx="24">
                  <c:v>105.7</c:v>
                </c:pt>
                <c:pt idx="25">
                  <c:v>107.1</c:v>
                </c:pt>
                <c:pt idx="26">
                  <c:v>106.3</c:v>
                </c:pt>
                <c:pt idx="27">
                  <c:v>104.5</c:v>
                </c:pt>
                <c:pt idx="28">
                  <c:v>103.2</c:v>
                </c:pt>
                <c:pt idx="29">
                  <c:v>103</c:v>
                </c:pt>
                <c:pt idx="30">
                  <c:v>100.6</c:v>
                </c:pt>
                <c:pt idx="31">
                  <c:v>96.7</c:v>
                </c:pt>
                <c:pt idx="32">
                  <c:v>93.4</c:v>
                </c:pt>
                <c:pt idx="33">
                  <c:v>92.8</c:v>
                </c:pt>
                <c:pt idx="34">
                  <c:v>92.6</c:v>
                </c:pt>
                <c:pt idx="35">
                  <c:v>91.4</c:v>
                </c:pt>
                <c:pt idx="36">
                  <c:v>91.4</c:v>
                </c:pt>
                <c:pt idx="37">
                  <c:v>92.8</c:v>
                </c:pt>
                <c:pt idx="38">
                  <c:v>93.1</c:v>
                </c:pt>
                <c:pt idx="39">
                  <c:v>91.7</c:v>
                </c:pt>
                <c:pt idx="40">
                  <c:v>89</c:v>
                </c:pt>
                <c:pt idx="41">
                  <c:v>88.8</c:v>
                </c:pt>
                <c:pt idx="42">
                  <c:v>86.8</c:v>
                </c:pt>
                <c:pt idx="43">
                  <c:v>85.4</c:v>
                </c:pt>
                <c:pt idx="44">
                  <c:v>83.9</c:v>
                </c:pt>
                <c:pt idx="45">
                  <c:v>83.1</c:v>
                </c:pt>
                <c:pt idx="46">
                  <c:v>84.3</c:v>
                </c:pt>
                <c:pt idx="47">
                  <c:v>85.6</c:v>
                </c:pt>
                <c:pt idx="48">
                  <c:v>86.9</c:v>
                </c:pt>
                <c:pt idx="49">
                  <c:v>87.7</c:v>
                </c:pt>
                <c:pt idx="50">
                  <c:v>87.7</c:v>
                </c:pt>
                <c:pt idx="51">
                  <c:v>85.9</c:v>
                </c:pt>
                <c:pt idx="52">
                  <c:v>86.8</c:v>
                </c:pt>
                <c:pt idx="53">
                  <c:v>88.3</c:v>
                </c:pt>
                <c:pt idx="54">
                  <c:v>89.5</c:v>
                </c:pt>
                <c:pt idx="55">
                  <c:v>91.6</c:v>
                </c:pt>
                <c:pt idx="56">
                  <c:v>94.5</c:v>
                </c:pt>
                <c:pt idx="57">
                  <c:v>95.3</c:v>
                </c:pt>
                <c:pt idx="58" formatCode="General">
                  <c:v>96.7</c:v>
                </c:pt>
                <c:pt idx="59" formatCode="General">
                  <c:v>98.2</c:v>
                </c:pt>
                <c:pt idx="60" formatCode="General">
                  <c:v>99.1</c:v>
                </c:pt>
                <c:pt idx="61" formatCode="General">
                  <c:v>99.2</c:v>
                </c:pt>
                <c:pt idx="62" formatCode="General">
                  <c:v>100.4</c:v>
                </c:pt>
                <c:pt idx="63" formatCode="General">
                  <c:v>100.1</c:v>
                </c:pt>
                <c:pt idx="64" formatCode="General">
                  <c:v>100.3</c:v>
                </c:pt>
                <c:pt idx="65" formatCode="General">
                  <c:v>100.1</c:v>
                </c:pt>
                <c:pt idx="66" formatCode="General">
                  <c:v>100.2</c:v>
                </c:pt>
                <c:pt idx="67" formatCode="General">
                  <c:v>99.3</c:v>
                </c:pt>
                <c:pt idx="68" formatCode="General">
                  <c:v>98.5</c:v>
                </c:pt>
                <c:pt idx="69" formatCode="General">
                  <c:v>99.3</c:v>
                </c:pt>
                <c:pt idx="70" formatCode="General">
                  <c:v>99.2</c:v>
                </c:pt>
                <c:pt idx="71" formatCode="General">
                  <c:v>99.4</c:v>
                </c:pt>
                <c:pt idx="72" formatCode="General">
                  <c:v>99.8</c:v>
                </c:pt>
                <c:pt idx="73" formatCode="General">
                  <c:v>100.7</c:v>
                </c:pt>
                <c:pt idx="74" formatCode="General">
                  <c:v>101.7</c:v>
                </c:pt>
                <c:pt idx="75" formatCode="General">
                  <c:v>102</c:v>
                </c:pt>
                <c:pt idx="76" formatCode="General">
                  <c:v>102.3</c:v>
                </c:pt>
                <c:pt idx="77" formatCode="General">
                  <c:v>102.3</c:v>
                </c:pt>
                <c:pt idx="78" formatCode="General">
                  <c:v>102.8</c:v>
                </c:pt>
                <c:pt idx="79" formatCode="General">
                  <c:v>103.2</c:v>
                </c:pt>
                <c:pt idx="80" formatCode="General">
                  <c:v>104.4</c:v>
                </c:pt>
                <c:pt idx="81" formatCode="General">
                  <c:v>105.2</c:v>
                </c:pt>
                <c:pt idx="82" formatCode="General">
                  <c:v>105.2</c:v>
                </c:pt>
                <c:pt idx="83" formatCode="General">
                  <c:v>105.7</c:v>
                </c:pt>
                <c:pt idx="84" formatCode="General">
                  <c:v>104.9</c:v>
                </c:pt>
                <c:pt idx="85" formatCode="General">
                  <c:v>103.5</c:v>
                </c:pt>
                <c:pt idx="86" formatCode="General">
                  <c:v>102.3</c:v>
                </c:pt>
                <c:pt idx="87" formatCode="General">
                  <c:v>103.2</c:v>
                </c:pt>
                <c:pt idx="88" formatCode="General">
                  <c:v>103.5</c:v>
                </c:pt>
                <c:pt idx="89" formatCode="General">
                  <c:v>103.6</c:v>
                </c:pt>
                <c:pt idx="90" formatCode="General">
                  <c:v>103.7</c:v>
                </c:pt>
                <c:pt idx="91" formatCode="General">
                  <c:v>103</c:v>
                </c:pt>
                <c:pt idx="92" formatCode="General">
                  <c:v>103.8</c:v>
                </c:pt>
                <c:pt idx="93" formatCode="General">
                  <c:v>105.4</c:v>
                </c:pt>
                <c:pt idx="94" formatCode="General">
                  <c:v>105.7</c:v>
                </c:pt>
                <c:pt idx="95" formatCode="General">
                  <c:v>107.2</c:v>
                </c:pt>
                <c:pt idx="96" formatCode="General">
                  <c:v>107.2</c:v>
                </c:pt>
                <c:pt idx="97" formatCode="General">
                  <c:v>107.2</c:v>
                </c:pt>
                <c:pt idx="98" formatCode="General">
                  <c:v>106.9</c:v>
                </c:pt>
                <c:pt idx="99" formatCode="General">
                  <c:v>108.4</c:v>
                </c:pt>
                <c:pt idx="100" formatCode="General">
                  <c:v>108.5</c:v>
                </c:pt>
                <c:pt idx="101" formatCode="General">
                  <c:v>110.1</c:v>
                </c:pt>
                <c:pt idx="102" formatCode="General">
                  <c:v>111.3</c:v>
                </c:pt>
                <c:pt idx="103" formatCode="General">
                  <c:v>111.2</c:v>
                </c:pt>
                <c:pt idx="104" formatCode="General">
                  <c:v>112.3</c:v>
                </c:pt>
                <c:pt idx="105" formatCode="General">
                  <c:v>113.4</c:v>
                </c:pt>
                <c:pt idx="106" formatCode="General">
                  <c:v>113.8</c:v>
                </c:pt>
                <c:pt idx="107" formatCode="General">
                  <c:v>114.7</c:v>
                </c:pt>
                <c:pt idx="108" formatCode="General">
                  <c:v>114.2</c:v>
                </c:pt>
                <c:pt idx="109" formatCode="General">
                  <c:v>114.1</c:v>
                </c:pt>
                <c:pt idx="110" formatCode="General">
                  <c:v>112.4</c:v>
                </c:pt>
                <c:pt idx="111" formatCode="General">
                  <c:v>112.5</c:v>
                </c:pt>
                <c:pt idx="112" formatCode="General">
                  <c:v>111.9</c:v>
                </c:pt>
                <c:pt idx="113" formatCode="General">
                  <c:v>112.2</c:v>
                </c:pt>
                <c:pt idx="114" formatCode="General">
                  <c:v>111.6</c:v>
                </c:pt>
                <c:pt idx="115" formatCode="General">
                  <c:v>111.3</c:v>
                </c:pt>
                <c:pt idx="116" formatCode="General">
                  <c:v>110.7</c:v>
                </c:pt>
                <c:pt idx="117" formatCode="General">
                  <c:v>109.8</c:v>
                </c:pt>
                <c:pt idx="118" formatCode="General">
                  <c:v>109.5</c:v>
                </c:pt>
                <c:pt idx="119" formatCode="General">
                  <c:v>107.8</c:v>
                </c:pt>
                <c:pt idx="120" formatCode="General">
                  <c:v>106.2</c:v>
                </c:pt>
                <c:pt idx="121" formatCode="General">
                  <c:v>106.2</c:v>
                </c:pt>
                <c:pt idx="122" formatCode="General">
                  <c:v>105.7</c:v>
                </c:pt>
                <c:pt idx="123" formatCode="General">
                  <c:v>104</c:v>
                </c:pt>
                <c:pt idx="124" formatCode="General">
                  <c:v>105</c:v>
                </c:pt>
                <c:pt idx="125" formatCode="General">
                  <c:v>103.1</c:v>
                </c:pt>
                <c:pt idx="126" formatCode="General">
                  <c:v>102.4</c:v>
                </c:pt>
                <c:pt idx="127" formatCode="General">
                  <c:v>102.7</c:v>
                </c:pt>
                <c:pt idx="128" formatCode="General">
                  <c:v>101.3</c:v>
                </c:pt>
                <c:pt idx="129" formatCode="General">
                  <c:v>100.4</c:v>
                </c:pt>
                <c:pt idx="130" formatCode="General">
                  <c:v>100.9</c:v>
                </c:pt>
                <c:pt idx="131" formatCode="General">
                  <c:v>101</c:v>
                </c:pt>
                <c:pt idx="132" formatCode="General">
                  <c:v>102.5</c:v>
                </c:pt>
                <c:pt idx="133" formatCode="General">
                  <c:v>103</c:v>
                </c:pt>
                <c:pt idx="134" formatCode="General">
                  <c:v>94.5</c:v>
                </c:pt>
                <c:pt idx="135" formatCode="General">
                  <c:v>63.8</c:v>
                </c:pt>
                <c:pt idx="136" formatCode="General">
                  <c:v>66.7</c:v>
                </c:pt>
                <c:pt idx="137" formatCode="General">
                  <c:v>74.900000000000006</c:v>
                </c:pt>
                <c:pt idx="138" formatCode="General">
                  <c:v>81.900000000000006</c:v>
                </c:pt>
                <c:pt idx="139" formatCode="General">
                  <c:v>86.9</c:v>
                </c:pt>
              </c:numCache>
            </c:numRef>
          </c:val>
          <c:smooth val="0"/>
          <c:extLst>
            <c:ext xmlns:c16="http://schemas.microsoft.com/office/drawing/2014/chart" uri="{C3380CC4-5D6E-409C-BE32-E72D297353CC}">
              <c16:uniqueId val="{00000005-E249-46F2-A6C7-47E1D06218CD}"/>
            </c:ext>
          </c:extLst>
        </c:ser>
        <c:dLbls>
          <c:showLegendKey val="0"/>
          <c:showVal val="0"/>
          <c:showCatName val="0"/>
          <c:showSerName val="0"/>
          <c:showPercent val="0"/>
          <c:showBubbleSize val="0"/>
        </c:dLbls>
        <c:marker val="1"/>
        <c:smooth val="0"/>
        <c:axId val="213671680"/>
        <c:axId val="213671288"/>
      </c:lineChart>
      <c:catAx>
        <c:axId val="213670504"/>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3670896"/>
        <c:crosses val="autoZero"/>
        <c:auto val="1"/>
        <c:lblAlgn val="ctr"/>
        <c:lblOffset val="100"/>
        <c:noMultiLvlLbl val="0"/>
      </c:catAx>
      <c:valAx>
        <c:axId val="213670896"/>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3670504"/>
        <c:crosses val="autoZero"/>
        <c:crossBetween val="between"/>
      </c:valAx>
      <c:valAx>
        <c:axId val="21367128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3671680"/>
        <c:crosses val="max"/>
        <c:crossBetween val="between"/>
      </c:valAx>
      <c:catAx>
        <c:axId val="213671680"/>
        <c:scaling>
          <c:orientation val="minMax"/>
        </c:scaling>
        <c:delete val="1"/>
        <c:axPos val="b"/>
        <c:numFmt formatCode="General" sourceLinked="1"/>
        <c:majorTickMark val="out"/>
        <c:minorTickMark val="none"/>
        <c:tickLblPos val="nextTo"/>
        <c:crossAx val="213671288"/>
        <c:crosses val="autoZero"/>
        <c:auto val="1"/>
        <c:lblAlgn val="ctr"/>
        <c:lblOffset val="100"/>
        <c:noMultiLvlLbl val="0"/>
      </c:catAx>
      <c:spPr>
        <a:noFill/>
        <a:ln>
          <a:noFill/>
        </a:ln>
        <a:effectLst/>
      </c:spPr>
    </c:plotArea>
    <c:legend>
      <c:legendPos val="b"/>
      <c:layout>
        <c:manualLayout>
          <c:xMode val="edge"/>
          <c:yMode val="edge"/>
          <c:x val="7.7076811943173618E-2"/>
          <c:y val="0.88212158439137622"/>
          <c:w val="0.81695160125210675"/>
          <c:h val="9.384476850267539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212121212121213"/>
          <c:y val="0.11361084864391952"/>
          <c:w val="0.32969696969696971"/>
          <c:h val="0.62962962962962965"/>
        </c:manualLayout>
      </c:layout>
      <c:pieChart>
        <c:varyColors val="1"/>
        <c:ser>
          <c:idx val="0"/>
          <c:order val="0"/>
          <c:dPt>
            <c:idx val="0"/>
            <c:bubble3D val="0"/>
            <c:spPr>
              <a:pattFill prst="pct25">
                <a:fgClr>
                  <a:srgbClr val="0070C0"/>
                </a:fgClr>
                <a:bgClr>
                  <a:schemeClr val="bg1"/>
                </a:bgClr>
              </a:pattFill>
              <a:ln w="19050">
                <a:solidFill>
                  <a:schemeClr val="lt1"/>
                </a:solidFill>
              </a:ln>
              <a:effectLst/>
            </c:spPr>
            <c:extLst>
              <c:ext xmlns:c16="http://schemas.microsoft.com/office/drawing/2014/chart" uri="{C3380CC4-5D6E-409C-BE32-E72D297353CC}">
                <c16:uniqueId val="{00000001-3F12-48C6-9333-E3A3ACA8B812}"/>
              </c:ext>
            </c:extLst>
          </c:dPt>
          <c:dPt>
            <c:idx val="1"/>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3-3F12-48C6-9333-E3A3ACA8B812}"/>
              </c:ext>
            </c:extLst>
          </c:dPt>
          <c:dPt>
            <c:idx val="2"/>
            <c:bubble3D val="0"/>
            <c:spPr>
              <a:pattFill prst="pct25">
                <a:fgClr>
                  <a:srgbClr val="00B050"/>
                </a:fgClr>
                <a:bgClr>
                  <a:schemeClr val="bg1"/>
                </a:bgClr>
              </a:pattFill>
              <a:ln w="19050">
                <a:solidFill>
                  <a:schemeClr val="lt1"/>
                </a:solidFill>
              </a:ln>
              <a:effectLst/>
            </c:spPr>
            <c:extLst>
              <c:ext xmlns:c16="http://schemas.microsoft.com/office/drawing/2014/chart" uri="{C3380CC4-5D6E-409C-BE32-E72D297353CC}">
                <c16:uniqueId val="{00000005-3F12-48C6-9333-E3A3ACA8B812}"/>
              </c:ext>
            </c:extLst>
          </c:dPt>
          <c:dPt>
            <c:idx val="3"/>
            <c:bubble3D val="0"/>
            <c:spPr>
              <a:solidFill>
                <a:schemeClr val="tx1">
                  <a:lumMod val="50000"/>
                  <a:lumOff val="50000"/>
                </a:schemeClr>
              </a:solidFill>
              <a:ln w="19050">
                <a:solidFill>
                  <a:schemeClr val="lt1"/>
                </a:solidFill>
              </a:ln>
              <a:effectLst/>
            </c:spPr>
            <c:extLst>
              <c:ext xmlns:c16="http://schemas.microsoft.com/office/drawing/2014/chart" uri="{C3380CC4-5D6E-409C-BE32-E72D297353CC}">
                <c16:uniqueId val="{00000007-3F12-48C6-9333-E3A3ACA8B812}"/>
              </c:ext>
            </c:extLst>
          </c:dPt>
          <c:dPt>
            <c:idx val="4"/>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9-3F12-48C6-9333-E3A3ACA8B812}"/>
              </c:ext>
            </c:extLst>
          </c:dPt>
          <c:dPt>
            <c:idx val="5"/>
            <c:bubble3D val="0"/>
            <c:spPr>
              <a:pattFill prst="pct25">
                <a:fgClr>
                  <a:srgbClr val="7030A0"/>
                </a:fgClr>
                <a:bgClr>
                  <a:schemeClr val="bg1"/>
                </a:bgClr>
              </a:pattFill>
              <a:ln w="19050">
                <a:solidFill>
                  <a:schemeClr val="lt1"/>
                </a:solidFill>
              </a:ln>
              <a:effectLst/>
            </c:spPr>
            <c:extLst>
              <c:ext xmlns:c16="http://schemas.microsoft.com/office/drawing/2014/chart" uri="{C3380CC4-5D6E-409C-BE32-E72D297353CC}">
                <c16:uniqueId val="{0000000B-3F12-48C6-9333-E3A3ACA8B81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F12-48C6-9333-E3A3ACA8B812}"/>
              </c:ext>
            </c:extLst>
          </c:dPt>
          <c:dPt>
            <c:idx val="7"/>
            <c:bubble3D val="0"/>
            <c:spPr>
              <a:pattFill prst="pct25">
                <a:fgClr>
                  <a:srgbClr val="C313AE"/>
                </a:fgClr>
                <a:bgClr>
                  <a:schemeClr val="bg1"/>
                </a:bgClr>
              </a:pattFill>
              <a:ln w="19050">
                <a:solidFill>
                  <a:schemeClr val="lt1"/>
                </a:solidFill>
              </a:ln>
              <a:effectLst/>
            </c:spPr>
            <c:extLst>
              <c:ext xmlns:c16="http://schemas.microsoft.com/office/drawing/2014/chart" uri="{C3380CC4-5D6E-409C-BE32-E72D297353CC}">
                <c16:uniqueId val="{0000000F-3F12-48C6-9333-E3A3ACA8B812}"/>
              </c:ext>
            </c:extLst>
          </c:dPt>
          <c:dPt>
            <c:idx val="8"/>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11-3F12-48C6-9333-E3A3ACA8B812}"/>
              </c:ext>
            </c:extLst>
          </c:dPt>
          <c:dPt>
            <c:idx val="9"/>
            <c:bubble3D val="0"/>
            <c:spPr>
              <a:pattFill prst="pct25">
                <a:fgClr>
                  <a:schemeClr val="accent2">
                    <a:lumMod val="75000"/>
                  </a:schemeClr>
                </a:fgClr>
                <a:bgClr>
                  <a:schemeClr val="bg1"/>
                </a:bgClr>
              </a:pattFill>
              <a:ln w="19050">
                <a:solidFill>
                  <a:schemeClr val="lt1"/>
                </a:solidFill>
              </a:ln>
              <a:effectLst/>
            </c:spPr>
            <c:extLst>
              <c:ext xmlns:c16="http://schemas.microsoft.com/office/drawing/2014/chart" uri="{C3380CC4-5D6E-409C-BE32-E72D297353CC}">
                <c16:uniqueId val="{00000013-3F12-48C6-9333-E3A3ACA8B812}"/>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3F12-48C6-9333-E3A3ACA8B812}"/>
              </c:ext>
            </c:extLst>
          </c:dPt>
          <c:dLbls>
            <c:dLbl>
              <c:idx val="0"/>
              <c:layout>
                <c:manualLayout>
                  <c:x val="-2.800887616320687E-2"/>
                  <c:y val="8.8841863517060374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F12-48C6-9333-E3A3ACA8B812}"/>
                </c:ext>
              </c:extLst>
            </c:dLbl>
            <c:dLbl>
              <c:idx val="2"/>
              <c:layout>
                <c:manualLayout>
                  <c:x val="-1.3602767835838702E-2"/>
                  <c:y val="-3.417687372411781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3F12-48C6-9333-E3A3ACA8B812}"/>
                </c:ext>
              </c:extLst>
            </c:dLbl>
            <c:dLbl>
              <c:idx val="3"/>
              <c:layout>
                <c:manualLayout>
                  <c:x val="9.1467143879742308E-2"/>
                  <c:y val="-1.066666666666666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3F12-48C6-9333-E3A3ACA8B812}"/>
                </c:ext>
              </c:extLst>
            </c:dLbl>
            <c:dLbl>
              <c:idx val="4"/>
              <c:layout>
                <c:manualLayout>
                  <c:x val="-1.0198711524695777E-2"/>
                  <c:y val="3.3424671916010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3F12-48C6-9333-E3A3ACA8B812}"/>
                </c:ext>
              </c:extLst>
            </c:dLbl>
            <c:dLbl>
              <c:idx val="5"/>
              <c:layout>
                <c:manualLayout>
                  <c:x val="-6.3672631830112139E-2"/>
                  <c:y val="5.375643044619422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3F12-48C6-9333-E3A3ACA8B812}"/>
                </c:ext>
              </c:extLst>
            </c:dLbl>
            <c:dLbl>
              <c:idx val="6"/>
              <c:layout>
                <c:manualLayout>
                  <c:x val="-8.3151515151515157E-2"/>
                  <c:y val="5.169728783902012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3F12-48C6-9333-E3A3ACA8B812}"/>
                </c:ext>
              </c:extLst>
            </c:dLbl>
            <c:dLbl>
              <c:idx val="8"/>
              <c:layout>
                <c:manualLayout>
                  <c:x val="-5.242777380100215E-2"/>
                  <c:y val="-2.511628754738990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3F12-48C6-9333-E3A3ACA8B812}"/>
                </c:ext>
              </c:extLst>
            </c:dLbl>
            <c:dLbl>
              <c:idx val="9"/>
              <c:layout>
                <c:manualLayout>
                  <c:x val="-1.5598568360773085E-2"/>
                  <c:y val="-6.4118985126859146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3F12-48C6-9333-E3A3ACA8B812}"/>
                </c:ext>
              </c:extLst>
            </c:dLbl>
            <c:dLbl>
              <c:idx val="10"/>
              <c:layout>
                <c:manualLayout>
                  <c:x val="8.5674063469339066E-3"/>
                  <c:y val="-3.9517060367454072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3F12-48C6-9333-E3A3ACA8B81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'izlaide &amp; apgr. fakt. cenas'!$AI$60:$AI$70</c:f>
              <c:strCache>
                <c:ptCount val="11"/>
                <c:pt idx="0">
                  <c:v>Pārtika un dzērieni</c:v>
                </c:pt>
                <c:pt idx="1">
                  <c:v>Vieglā rūpniecība</c:v>
                </c:pt>
                <c:pt idx="2">
                  <c:v>Kokapstrāde</c:v>
                </c:pt>
                <c:pt idx="3">
                  <c:v>Papīra izstrādājumi un poligrāfija</c:v>
                </c:pt>
                <c:pt idx="4">
                  <c:v>Ķīmiskās vielas un produkti</c:v>
                </c:pt>
                <c:pt idx="5">
                  <c:v>Nemetālisko minerālu ražošana</c:v>
                </c:pt>
                <c:pt idx="6">
                  <c:v>Datoru, elektron. un opt.iek. ražošana</c:v>
                </c:pt>
                <c:pt idx="7">
                  <c:v>Metālapstrāde</c:v>
                </c:pt>
                <c:pt idx="8">
                  <c:v>Mašīnbūve</c:v>
                </c:pt>
                <c:pt idx="9">
                  <c:v>Mēbeļu ražošana</c:v>
                </c:pt>
                <c:pt idx="10">
                  <c:v>Pārējās apakšnozares</c:v>
                </c:pt>
              </c:strCache>
            </c:strRef>
          </c:cat>
          <c:val>
            <c:numRef>
              <c:f>'izlaide &amp; apgr. fakt. cenas'!$AO$60:$AO$70</c:f>
              <c:numCache>
                <c:formatCode>0.0</c:formatCode>
                <c:ptCount val="11"/>
                <c:pt idx="0">
                  <c:v>21.849804547802584</c:v>
                </c:pt>
                <c:pt idx="1">
                  <c:v>3.4931315854469771</c:v>
                </c:pt>
                <c:pt idx="2">
                  <c:v>26.731915371487172</c:v>
                </c:pt>
                <c:pt idx="3">
                  <c:v>4.0248685945903784</c:v>
                </c:pt>
                <c:pt idx="4">
                  <c:v>3.3078887912735504</c:v>
                </c:pt>
                <c:pt idx="5">
                  <c:v>5.8140332639292316</c:v>
                </c:pt>
                <c:pt idx="6">
                  <c:v>4.9126310531568977</c:v>
                </c:pt>
                <c:pt idx="7">
                  <c:v>9.1526687798845288</c:v>
                </c:pt>
                <c:pt idx="8">
                  <c:v>9.6523619842223436</c:v>
                </c:pt>
                <c:pt idx="9">
                  <c:v>2.5705244191069463</c:v>
                </c:pt>
                <c:pt idx="10">
                  <c:v>8.4901716090993897</c:v>
                </c:pt>
              </c:numCache>
            </c:numRef>
          </c:val>
          <c:extLst>
            <c:ext xmlns:c16="http://schemas.microsoft.com/office/drawing/2014/chart" uri="{C3380CC4-5D6E-409C-BE32-E72D297353CC}">
              <c16:uniqueId val="{00000016-3F12-48C6-9333-E3A3ACA8B812}"/>
            </c:ext>
          </c:extLst>
        </c:ser>
        <c:dLbls>
          <c:dLblPos val="bestFit"/>
          <c:showLegendKey val="0"/>
          <c:showVal val="1"/>
          <c:showCatName val="0"/>
          <c:showSerName val="0"/>
          <c:showPercent val="0"/>
          <c:showBubbleSize val="0"/>
          <c:showLeaderLines val="1"/>
        </c:dLbls>
        <c:firstSliceAng val="300"/>
      </c:pie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09264210641713"/>
          <c:y val="3.2850844139532057E-2"/>
          <c:w val="0.6520601472110974"/>
          <c:h val="0.80048578086155076"/>
        </c:manualLayout>
      </c:layout>
      <c:barChart>
        <c:barDir val="bar"/>
        <c:grouping val="clustered"/>
        <c:varyColors val="0"/>
        <c:ser>
          <c:idx val="1"/>
          <c:order val="0"/>
          <c:tx>
            <c:strRef>
              <c:f>'Subsect graf'!$T$4</c:f>
              <c:strCache>
                <c:ptCount val="1"/>
                <c:pt idx="0">
                  <c:v>2020 I-VII</c:v>
                </c:pt>
              </c:strCache>
            </c:strRef>
          </c:tx>
          <c:spPr>
            <a:solidFill>
              <a:srgbClr val="00B050"/>
            </a:solidFill>
            <a:ln>
              <a:solidFill>
                <a:srgbClr val="00B050"/>
              </a:solidFill>
            </a:ln>
            <a:effectLst/>
          </c:spPr>
          <c:invertIfNegative val="0"/>
          <c:dLbls>
            <c:dLbl>
              <c:idx val="0"/>
              <c:layout>
                <c:manualLayout>
                  <c:x val="-1.9410359662977558E-4"/>
                  <c:y val="-7.608072481444817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34F-4B97-91A4-8C54C818DEC6}"/>
                </c:ext>
              </c:extLst>
            </c:dLbl>
            <c:dLbl>
              <c:idx val="1"/>
              <c:layout>
                <c:manualLayout>
                  <c:x val="1.1369374928010498E-16"/>
                  <c:y val="-1.20481965810317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34F-4B97-91A4-8C54C818DEC6}"/>
                </c:ext>
              </c:extLst>
            </c:dLbl>
            <c:dLbl>
              <c:idx val="2"/>
              <c:layout>
                <c:manualLayout>
                  <c:x val="1.8959826024636397E-7"/>
                  <c:y val="5.55356323033878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34F-4B97-91A4-8C54C818DEC6}"/>
                </c:ext>
              </c:extLst>
            </c:dLbl>
            <c:dLbl>
              <c:idx val="3"/>
              <c:layout>
                <c:manualLayout>
                  <c:x val="-3.3499350912689759E-3"/>
                  <c:y val="-8.032131054021141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34F-4B97-91A4-8C54C818DEC6}"/>
                </c:ext>
              </c:extLst>
            </c:dLbl>
            <c:dLbl>
              <c:idx val="4"/>
              <c:layout>
                <c:manualLayout>
                  <c:x val="1.8959826024636397E-7"/>
                  <c:y val="5.16930433200800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34F-4B97-91A4-8C54C818DEC6}"/>
                </c:ext>
              </c:extLst>
            </c:dLbl>
            <c:dLbl>
              <c:idx val="6"/>
              <c:layout>
                <c:manualLayout>
                  <c:x val="-2.4078979051287341E-3"/>
                  <c:y val="1.43544433183475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34F-4B97-91A4-8C54C818DEC6}"/>
                </c:ext>
              </c:extLst>
            </c:dLbl>
            <c:dLbl>
              <c:idx val="7"/>
              <c:layout>
                <c:manualLayout>
                  <c:x val="1.1369374928010498E-16"/>
                  <c:y val="-8.032131054021141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34F-4B97-91A4-8C54C818DEC6}"/>
                </c:ext>
              </c:extLst>
            </c:dLbl>
            <c:dLbl>
              <c:idx val="8"/>
              <c:layout>
                <c:manualLayout>
                  <c:x val="-8.3747766893055749E-3"/>
                  <c:y val="-1.183632540755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34F-4B97-91A4-8C54C818DEC6}"/>
                </c:ext>
              </c:extLst>
            </c:dLbl>
            <c:dLbl>
              <c:idx val="9"/>
              <c:layout>
                <c:manualLayout>
                  <c:x val="1.1369374928010498E-16"/>
                  <c:y val="-8.032131054021141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34F-4B97-91A4-8C54C818DEC6}"/>
                </c:ext>
              </c:extLst>
            </c:dLbl>
            <c:dLbl>
              <c:idx val="10"/>
              <c:layout>
                <c:manualLayout>
                  <c:x val="0"/>
                  <c:y val="-8.032131054021177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34F-4B97-91A4-8C54C818DEC6}"/>
                </c:ext>
              </c:extLst>
            </c:dLbl>
            <c:dLbl>
              <c:idx val="12"/>
              <c:layout>
                <c:manualLayout>
                  <c:x val="1.8959826024636397E-7"/>
                  <c:y val="5.55356323033878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34F-4B97-91A4-8C54C818DEC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'Subsect graf'!$T$5:$T$17</c:f>
              <c:numCache>
                <c:formatCode>0.0</c:formatCode>
                <c:ptCount val="13"/>
                <c:pt idx="0">
                  <c:v>-3.5276370782473663</c:v>
                </c:pt>
                <c:pt idx="1">
                  <c:v>-3.3701100501245946</c:v>
                </c:pt>
                <c:pt idx="2">
                  <c:v>-8.7073346220691459</c:v>
                </c:pt>
                <c:pt idx="3">
                  <c:v>-4.2065103323819955</c:v>
                </c:pt>
                <c:pt idx="4">
                  <c:v>-1.4361563234398176</c:v>
                </c:pt>
                <c:pt idx="5">
                  <c:v>10.079553615822363</c:v>
                </c:pt>
                <c:pt idx="6">
                  <c:v>3.0833315342893748</c:v>
                </c:pt>
                <c:pt idx="7">
                  <c:v>-0.15089013008190477</c:v>
                </c:pt>
                <c:pt idx="8">
                  <c:v>-13.552651528224743</c:v>
                </c:pt>
                <c:pt idx="9">
                  <c:v>-2.1436049083358162</c:v>
                </c:pt>
                <c:pt idx="10">
                  <c:v>-3.5400420844163847</c:v>
                </c:pt>
                <c:pt idx="11">
                  <c:v>4.8709988223958902</c:v>
                </c:pt>
                <c:pt idx="12">
                  <c:v>-3.1941849453558859</c:v>
                </c:pt>
              </c:numCache>
            </c:numRef>
          </c:val>
          <c:extLst>
            <c:ext xmlns:c16="http://schemas.microsoft.com/office/drawing/2014/chart" uri="{C3380CC4-5D6E-409C-BE32-E72D297353CC}">
              <c16:uniqueId val="{0000000B-234F-4B97-91A4-8C54C818DEC6}"/>
            </c:ext>
          </c:extLst>
        </c:ser>
        <c:ser>
          <c:idx val="0"/>
          <c:order val="1"/>
          <c:tx>
            <c:strRef>
              <c:f>'Subsect graf'!$S$4</c:f>
              <c:strCache>
                <c:ptCount val="1"/>
                <c:pt idx="0">
                  <c:v>2019</c:v>
                </c:pt>
              </c:strCache>
            </c:strRef>
          </c:tx>
          <c:spPr>
            <a:solidFill>
              <a:schemeClr val="tx1">
                <a:lumMod val="50000"/>
                <a:lumOff val="50000"/>
              </a:schemeClr>
            </a:solidFill>
            <a:ln>
              <a:solidFill>
                <a:schemeClr val="tx1">
                  <a:lumMod val="50000"/>
                  <a:lumOff val="50000"/>
                </a:schemeClr>
              </a:solidFill>
            </a:ln>
            <a:effectLst/>
          </c:spPr>
          <c:invertIfNegative val="0"/>
          <c:dPt>
            <c:idx val="0"/>
            <c:invertIfNegative val="0"/>
            <c:bubble3D val="0"/>
            <c:spPr>
              <a:solidFill>
                <a:schemeClr val="tx1">
                  <a:lumMod val="50000"/>
                  <a:lumOff val="50000"/>
                </a:schemeClr>
              </a:solidFill>
              <a:ln>
                <a:solidFill>
                  <a:schemeClr val="tx1">
                    <a:lumMod val="50000"/>
                    <a:lumOff val="50000"/>
                  </a:schemeClr>
                </a:solidFill>
              </a:ln>
              <a:effectLst/>
            </c:spPr>
            <c:extLst>
              <c:ext xmlns:c16="http://schemas.microsoft.com/office/drawing/2014/chart" uri="{C3380CC4-5D6E-409C-BE32-E72D297353CC}">
                <c16:uniqueId val="{0000000D-234F-4B97-91A4-8C54C818DEC6}"/>
              </c:ext>
            </c:extLst>
          </c:dPt>
          <c:dPt>
            <c:idx val="1"/>
            <c:invertIfNegative val="0"/>
            <c:bubble3D val="0"/>
            <c:spPr>
              <a:solidFill>
                <a:schemeClr val="tx1">
                  <a:lumMod val="50000"/>
                  <a:lumOff val="50000"/>
                </a:schemeClr>
              </a:solidFill>
              <a:ln>
                <a:solidFill>
                  <a:schemeClr val="tx1">
                    <a:lumMod val="50000"/>
                    <a:lumOff val="50000"/>
                  </a:schemeClr>
                </a:solidFill>
              </a:ln>
              <a:effectLst/>
            </c:spPr>
            <c:extLst>
              <c:ext xmlns:c16="http://schemas.microsoft.com/office/drawing/2014/chart" uri="{C3380CC4-5D6E-409C-BE32-E72D297353CC}">
                <c16:uniqueId val="{0000000F-234F-4B97-91A4-8C54C818DEC6}"/>
              </c:ext>
            </c:extLst>
          </c:dPt>
          <c:dPt>
            <c:idx val="4"/>
            <c:invertIfNegative val="0"/>
            <c:bubble3D val="0"/>
            <c:spPr>
              <a:solidFill>
                <a:schemeClr val="tx1">
                  <a:lumMod val="50000"/>
                  <a:lumOff val="50000"/>
                </a:schemeClr>
              </a:solidFill>
              <a:ln>
                <a:solidFill>
                  <a:schemeClr val="tx1">
                    <a:lumMod val="50000"/>
                    <a:lumOff val="50000"/>
                  </a:schemeClr>
                </a:solidFill>
              </a:ln>
              <a:effectLst/>
            </c:spPr>
            <c:extLst>
              <c:ext xmlns:c16="http://schemas.microsoft.com/office/drawing/2014/chart" uri="{C3380CC4-5D6E-409C-BE32-E72D297353CC}">
                <c16:uniqueId val="{00000011-234F-4B97-91A4-8C54C818DEC6}"/>
              </c:ext>
            </c:extLst>
          </c:dPt>
          <c:dPt>
            <c:idx val="5"/>
            <c:invertIfNegative val="0"/>
            <c:bubble3D val="0"/>
            <c:spPr>
              <a:solidFill>
                <a:schemeClr val="tx1">
                  <a:lumMod val="50000"/>
                  <a:lumOff val="50000"/>
                </a:schemeClr>
              </a:solidFill>
              <a:ln>
                <a:solidFill>
                  <a:schemeClr val="tx1">
                    <a:lumMod val="50000"/>
                    <a:lumOff val="50000"/>
                  </a:schemeClr>
                </a:solidFill>
              </a:ln>
              <a:effectLst/>
            </c:spPr>
            <c:extLst>
              <c:ext xmlns:c16="http://schemas.microsoft.com/office/drawing/2014/chart" uri="{C3380CC4-5D6E-409C-BE32-E72D297353CC}">
                <c16:uniqueId val="{00000013-234F-4B97-91A4-8C54C818DEC6}"/>
              </c:ext>
            </c:extLst>
          </c:dPt>
          <c:dPt>
            <c:idx val="6"/>
            <c:invertIfNegative val="0"/>
            <c:bubble3D val="0"/>
            <c:spPr>
              <a:solidFill>
                <a:schemeClr val="tx1">
                  <a:lumMod val="50000"/>
                  <a:lumOff val="50000"/>
                </a:schemeClr>
              </a:solidFill>
              <a:ln>
                <a:solidFill>
                  <a:schemeClr val="tx1">
                    <a:lumMod val="50000"/>
                    <a:lumOff val="50000"/>
                  </a:schemeClr>
                </a:solidFill>
              </a:ln>
              <a:effectLst/>
            </c:spPr>
            <c:extLst>
              <c:ext xmlns:c16="http://schemas.microsoft.com/office/drawing/2014/chart" uri="{C3380CC4-5D6E-409C-BE32-E72D297353CC}">
                <c16:uniqueId val="{00000015-234F-4B97-91A4-8C54C818DEC6}"/>
              </c:ext>
            </c:extLst>
          </c:dPt>
          <c:dPt>
            <c:idx val="7"/>
            <c:invertIfNegative val="0"/>
            <c:bubble3D val="0"/>
            <c:spPr>
              <a:solidFill>
                <a:schemeClr val="tx1">
                  <a:lumMod val="50000"/>
                  <a:lumOff val="50000"/>
                </a:schemeClr>
              </a:solidFill>
              <a:ln>
                <a:solidFill>
                  <a:schemeClr val="tx1">
                    <a:lumMod val="50000"/>
                    <a:lumOff val="50000"/>
                  </a:schemeClr>
                </a:solidFill>
              </a:ln>
              <a:effectLst/>
            </c:spPr>
            <c:extLst>
              <c:ext xmlns:c16="http://schemas.microsoft.com/office/drawing/2014/chart" uri="{C3380CC4-5D6E-409C-BE32-E72D297353CC}">
                <c16:uniqueId val="{00000017-234F-4B97-91A4-8C54C818DEC6}"/>
              </c:ext>
            </c:extLst>
          </c:dPt>
          <c:dPt>
            <c:idx val="9"/>
            <c:invertIfNegative val="0"/>
            <c:bubble3D val="0"/>
            <c:spPr>
              <a:solidFill>
                <a:schemeClr val="tx1">
                  <a:lumMod val="50000"/>
                  <a:lumOff val="50000"/>
                </a:schemeClr>
              </a:solidFill>
              <a:ln>
                <a:solidFill>
                  <a:schemeClr val="tx1">
                    <a:lumMod val="50000"/>
                    <a:lumOff val="50000"/>
                  </a:schemeClr>
                </a:solidFill>
              </a:ln>
              <a:effectLst/>
            </c:spPr>
            <c:extLst>
              <c:ext xmlns:c16="http://schemas.microsoft.com/office/drawing/2014/chart" uri="{C3380CC4-5D6E-409C-BE32-E72D297353CC}">
                <c16:uniqueId val="{00000019-234F-4B97-91A4-8C54C818DEC6}"/>
              </c:ext>
            </c:extLst>
          </c:dPt>
          <c:dPt>
            <c:idx val="10"/>
            <c:invertIfNegative val="0"/>
            <c:bubble3D val="0"/>
            <c:spPr>
              <a:solidFill>
                <a:schemeClr val="tx1">
                  <a:lumMod val="50000"/>
                  <a:lumOff val="50000"/>
                </a:schemeClr>
              </a:solidFill>
              <a:ln>
                <a:solidFill>
                  <a:schemeClr val="tx1">
                    <a:lumMod val="50000"/>
                    <a:lumOff val="50000"/>
                  </a:schemeClr>
                </a:solidFill>
              </a:ln>
              <a:effectLst/>
            </c:spPr>
            <c:extLst>
              <c:ext xmlns:c16="http://schemas.microsoft.com/office/drawing/2014/chart" uri="{C3380CC4-5D6E-409C-BE32-E72D297353CC}">
                <c16:uniqueId val="{0000001B-234F-4B97-91A4-8C54C818DEC6}"/>
              </c:ext>
            </c:extLst>
          </c:dPt>
          <c:dPt>
            <c:idx val="11"/>
            <c:invertIfNegative val="0"/>
            <c:bubble3D val="0"/>
            <c:spPr>
              <a:solidFill>
                <a:schemeClr val="tx1">
                  <a:lumMod val="50000"/>
                  <a:lumOff val="50000"/>
                </a:schemeClr>
              </a:solidFill>
              <a:ln>
                <a:solidFill>
                  <a:schemeClr val="tx1">
                    <a:lumMod val="50000"/>
                    <a:lumOff val="50000"/>
                  </a:schemeClr>
                </a:solidFill>
              </a:ln>
              <a:effectLst/>
            </c:spPr>
            <c:extLst>
              <c:ext xmlns:c16="http://schemas.microsoft.com/office/drawing/2014/chart" uri="{C3380CC4-5D6E-409C-BE32-E72D297353CC}">
                <c16:uniqueId val="{0000001D-234F-4B97-91A4-8C54C818DEC6}"/>
              </c:ext>
            </c:extLst>
          </c:dPt>
          <c:dPt>
            <c:idx val="12"/>
            <c:invertIfNegative val="0"/>
            <c:bubble3D val="0"/>
            <c:spPr>
              <a:solidFill>
                <a:schemeClr val="tx1">
                  <a:lumMod val="50000"/>
                  <a:lumOff val="50000"/>
                </a:schemeClr>
              </a:solidFill>
              <a:ln>
                <a:solidFill>
                  <a:schemeClr val="tx1">
                    <a:lumMod val="50000"/>
                    <a:lumOff val="50000"/>
                  </a:schemeClr>
                </a:solidFill>
              </a:ln>
              <a:effectLst/>
            </c:spPr>
            <c:extLst>
              <c:ext xmlns:c16="http://schemas.microsoft.com/office/drawing/2014/chart" uri="{C3380CC4-5D6E-409C-BE32-E72D297353CC}">
                <c16:uniqueId val="{0000001F-234F-4B97-91A4-8C54C818DEC6}"/>
              </c:ext>
            </c:extLst>
          </c:dPt>
          <c:dPt>
            <c:idx val="13"/>
            <c:invertIfNegative val="0"/>
            <c:bubble3D val="0"/>
            <c:spPr>
              <a:solidFill>
                <a:schemeClr val="tx1">
                  <a:lumMod val="50000"/>
                  <a:lumOff val="50000"/>
                </a:schemeClr>
              </a:solidFill>
              <a:ln>
                <a:solidFill>
                  <a:schemeClr val="tx1">
                    <a:lumMod val="50000"/>
                    <a:lumOff val="50000"/>
                  </a:schemeClr>
                </a:solidFill>
              </a:ln>
              <a:effectLst/>
            </c:spPr>
            <c:extLst>
              <c:ext xmlns:c16="http://schemas.microsoft.com/office/drawing/2014/chart" uri="{C3380CC4-5D6E-409C-BE32-E72D297353CC}">
                <c16:uniqueId val="{00000021-234F-4B97-91A4-8C54C818DEC6}"/>
              </c:ext>
            </c:extLst>
          </c:dPt>
          <c:cat>
            <c:strRef>
              <c:f>'Subsect graf'!$R$5:$R$17</c:f>
              <c:strCache>
                <c:ptCount val="13"/>
                <c:pt idx="0">
                  <c:v>ELEKTROENERĢIJA UN GĀZES APGĀDE</c:v>
                </c:pt>
                <c:pt idx="1">
                  <c:v>Mēbeļu ražošana</c:v>
                </c:pt>
                <c:pt idx="2">
                  <c:v>Mašīnbūve </c:v>
                </c:pt>
                <c:pt idx="3">
                  <c:v>Gatavo metālizstrādājumu ražošana</c:v>
                </c:pt>
                <c:pt idx="4">
                  <c:v>Nemetālisko minerālu ražošana</c:v>
                </c:pt>
                <c:pt idx="5">
                  <c:v>Ķīmiskās vielas un produkti</c:v>
                </c:pt>
                <c:pt idx="6">
                  <c:v>Poligrāfija un papīra izstr. ražošana</c:v>
                </c:pt>
                <c:pt idx="7">
                  <c:v>Kokapstrāde</c:v>
                </c:pt>
                <c:pt idx="8">
                  <c:v>Vieglā rūpniecība</c:v>
                </c:pt>
                <c:pt idx="9">
                  <c:v>Pārtika un dzērieni</c:v>
                </c:pt>
                <c:pt idx="10">
                  <c:v>APSTRĀDES RŪPNIECĪBA</c:v>
                </c:pt>
                <c:pt idx="11">
                  <c:v>IEGUVES RŪPNIECĪBA</c:v>
                </c:pt>
                <c:pt idx="12">
                  <c:v>RŪPNIECĪBA</c:v>
                </c:pt>
              </c:strCache>
            </c:strRef>
          </c:cat>
          <c:val>
            <c:numRef>
              <c:f>'Subsect graf'!$S$5:$S$17</c:f>
              <c:numCache>
                <c:formatCode>0.0</c:formatCode>
                <c:ptCount val="13"/>
                <c:pt idx="0">
                  <c:v>-4.4420855540075479</c:v>
                </c:pt>
                <c:pt idx="1">
                  <c:v>-2.8136825147053344</c:v>
                </c:pt>
                <c:pt idx="2">
                  <c:v>3.928703621146326</c:v>
                </c:pt>
                <c:pt idx="3">
                  <c:v>13.481235190705476</c:v>
                </c:pt>
                <c:pt idx="4">
                  <c:v>-2.2676518339352612</c:v>
                </c:pt>
                <c:pt idx="5">
                  <c:v>-1.1548082890283808</c:v>
                </c:pt>
                <c:pt idx="6">
                  <c:v>5.2965070997832697</c:v>
                </c:pt>
                <c:pt idx="7">
                  <c:v>-0.20923068043259718</c:v>
                </c:pt>
                <c:pt idx="8">
                  <c:v>-2.9064518763057894</c:v>
                </c:pt>
                <c:pt idx="9">
                  <c:v>-0.76382795849399898</c:v>
                </c:pt>
                <c:pt idx="10">
                  <c:v>1.9743799013519805</c:v>
                </c:pt>
                <c:pt idx="11">
                  <c:v>-4.9873374978895697</c:v>
                </c:pt>
                <c:pt idx="12">
                  <c:v>0.81992518721146723</c:v>
                </c:pt>
              </c:numCache>
            </c:numRef>
          </c:val>
          <c:extLst>
            <c:ext xmlns:c16="http://schemas.microsoft.com/office/drawing/2014/chart" uri="{C3380CC4-5D6E-409C-BE32-E72D297353CC}">
              <c16:uniqueId val="{00000022-234F-4B97-91A4-8C54C818DEC6}"/>
            </c:ext>
          </c:extLst>
        </c:ser>
        <c:dLbls>
          <c:showLegendKey val="0"/>
          <c:showVal val="0"/>
          <c:showCatName val="0"/>
          <c:showSerName val="0"/>
          <c:showPercent val="0"/>
          <c:showBubbleSize val="0"/>
        </c:dLbls>
        <c:gapWidth val="50"/>
        <c:overlap val="-10"/>
        <c:axId val="239680264"/>
        <c:axId val="239680656"/>
      </c:barChart>
      <c:catAx>
        <c:axId val="23968026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239680656"/>
        <c:crosses val="autoZero"/>
        <c:auto val="1"/>
        <c:lblAlgn val="ctr"/>
        <c:lblOffset val="100"/>
        <c:noMultiLvlLbl val="0"/>
      </c:catAx>
      <c:valAx>
        <c:axId val="239680656"/>
        <c:scaling>
          <c:orientation val="minMax"/>
          <c:max val="20"/>
          <c:min val="-2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239680264"/>
        <c:crosses val="autoZero"/>
        <c:crossBetween val="between"/>
      </c:valAx>
      <c:spPr>
        <a:noFill/>
        <a:ln>
          <a:noFill/>
        </a:ln>
        <a:effectLst/>
      </c:spPr>
    </c:plotArea>
    <c:legend>
      <c:legendPos val="b"/>
      <c:layout>
        <c:manualLayout>
          <c:xMode val="edge"/>
          <c:yMode val="edge"/>
          <c:x val="0.45497443570177964"/>
          <c:y val="0.91298101879489457"/>
          <c:w val="0.30738269977838006"/>
          <c:h val="6.75925963990122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447297096964993E-2"/>
          <c:y val="3.9763677453204006E-2"/>
          <c:w val="0.9138012477016686"/>
          <c:h val="0.70188449674280728"/>
        </c:manualLayout>
      </c:layout>
      <c:areaChart>
        <c:grouping val="standard"/>
        <c:varyColors val="0"/>
        <c:ser>
          <c:idx val="0"/>
          <c:order val="0"/>
          <c:tx>
            <c:strRef>
              <c:f>'Apgr. indeksi'!$A$115</c:f>
              <c:strCache>
                <c:ptCount val="1"/>
                <c:pt idx="0">
                  <c:v>Visa apstrādes rūpniecības produkcija</c:v>
                </c:pt>
              </c:strCache>
            </c:strRef>
          </c:tx>
          <c:spPr>
            <a:pattFill prst="pct25">
              <a:fgClr>
                <a:schemeClr val="tx1">
                  <a:lumMod val="50000"/>
                  <a:lumOff val="50000"/>
                </a:schemeClr>
              </a:fgClr>
              <a:bgClr>
                <a:schemeClr val="bg1"/>
              </a:bgClr>
            </a:pattFill>
            <a:ln w="0">
              <a:solidFill>
                <a:schemeClr val="tx1">
                  <a:lumMod val="50000"/>
                  <a:lumOff val="50000"/>
                </a:schemeClr>
              </a:solidFill>
            </a:ln>
            <a:effectLst/>
          </c:spPr>
          <c:cat>
            <c:multiLvlStrRef>
              <c:f>'Apgr. indeksi'!$FZ$111:$IN$112</c:f>
              <c:multiLvlStrCache>
                <c:ptCount val="67"/>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lvl>
                <c:lvl>
                  <c:pt idx="0">
                    <c:v>2015</c:v>
                  </c:pt>
                  <c:pt idx="12">
                    <c:v>2016</c:v>
                  </c:pt>
                  <c:pt idx="24">
                    <c:v>2017</c:v>
                  </c:pt>
                  <c:pt idx="36">
                    <c:v>2018</c:v>
                  </c:pt>
                  <c:pt idx="48">
                    <c:v>2019</c:v>
                  </c:pt>
                  <c:pt idx="60">
                    <c:v>2020</c:v>
                  </c:pt>
                </c:lvl>
              </c:multiLvlStrCache>
            </c:multiLvlStrRef>
          </c:cat>
          <c:val>
            <c:numRef>
              <c:f>'Apgr. indeksi'!$FZ$115:$IN$115</c:f>
              <c:numCache>
                <c:formatCode>0.0</c:formatCode>
                <c:ptCount val="67"/>
                <c:pt idx="0">
                  <c:v>0.55741360089186287</c:v>
                </c:pt>
                <c:pt idx="1">
                  <c:v>-4.4324324324324351</c:v>
                </c:pt>
                <c:pt idx="2">
                  <c:v>0.38986354775829568</c:v>
                </c:pt>
                <c:pt idx="3">
                  <c:v>4.3689320388349557</c:v>
                </c:pt>
                <c:pt idx="4">
                  <c:v>0.38387715930902289</c:v>
                </c:pt>
                <c:pt idx="5">
                  <c:v>1.6634050880626177</c:v>
                </c:pt>
                <c:pt idx="6">
                  <c:v>1.1964107676969178</c:v>
                </c:pt>
                <c:pt idx="7">
                  <c:v>0.59940059940061019</c:v>
                </c:pt>
                <c:pt idx="8">
                  <c:v>-2.3741690408357101</c:v>
                </c:pt>
                <c:pt idx="9">
                  <c:v>0.46904315196998425</c:v>
                </c:pt>
                <c:pt idx="10">
                  <c:v>2.0325203252032509</c:v>
                </c:pt>
                <c:pt idx="11">
                  <c:v>0.22271714922050023</c:v>
                </c:pt>
                <c:pt idx="12">
                  <c:v>0.44345898004434048</c:v>
                </c:pt>
                <c:pt idx="13">
                  <c:v>5.0904977375565608</c:v>
                </c:pt>
                <c:pt idx="14">
                  <c:v>-0.38834951456310307</c:v>
                </c:pt>
                <c:pt idx="15">
                  <c:v>-4.1860465116279073</c:v>
                </c:pt>
                <c:pt idx="16">
                  <c:v>1.6252390057361481</c:v>
                </c:pt>
                <c:pt idx="17">
                  <c:v>-1.4436958614052031</c:v>
                </c:pt>
                <c:pt idx="18">
                  <c:v>6.5024630541871886</c:v>
                </c:pt>
                <c:pt idx="19">
                  <c:v>-1.9860973187686284</c:v>
                </c:pt>
                <c:pt idx="20">
                  <c:v>4.4747081712062311</c:v>
                </c:pt>
                <c:pt idx="21">
                  <c:v>2.7077497665733006</c:v>
                </c:pt>
                <c:pt idx="22">
                  <c:v>4.6812749003984067</c:v>
                </c:pt>
                <c:pt idx="23">
                  <c:v>7.1111111111111143</c:v>
                </c:pt>
                <c:pt idx="24">
                  <c:v>7.7262693156732922</c:v>
                </c:pt>
                <c:pt idx="25">
                  <c:v>5.7050592034445629</c:v>
                </c:pt>
                <c:pt idx="26">
                  <c:v>11.111111111111114</c:v>
                </c:pt>
                <c:pt idx="27">
                  <c:v>7.2815533980582501</c:v>
                </c:pt>
                <c:pt idx="28">
                  <c:v>10.53621825023518</c:v>
                </c:pt>
                <c:pt idx="29">
                  <c:v>13.0859375</c:v>
                </c:pt>
                <c:pt idx="30">
                  <c:v>2.3126734505087967</c:v>
                </c:pt>
                <c:pt idx="31">
                  <c:v>17.021276595744681</c:v>
                </c:pt>
                <c:pt idx="32">
                  <c:v>9.2178770949720672</c:v>
                </c:pt>
                <c:pt idx="33">
                  <c:v>10.545454545454547</c:v>
                </c:pt>
                <c:pt idx="34">
                  <c:v>15.3187440532826</c:v>
                </c:pt>
                <c:pt idx="35">
                  <c:v>9.1286307053941869</c:v>
                </c:pt>
                <c:pt idx="36">
                  <c:v>10.860655737704931</c:v>
                </c:pt>
                <c:pt idx="37">
                  <c:v>10.386965376782072</c:v>
                </c:pt>
                <c:pt idx="38">
                  <c:v>8.0701754385964932</c:v>
                </c:pt>
                <c:pt idx="39">
                  <c:v>6.6063348416289642</c:v>
                </c:pt>
                <c:pt idx="40">
                  <c:v>9.9574468085106247</c:v>
                </c:pt>
                <c:pt idx="41">
                  <c:v>8.0310880829015616</c:v>
                </c:pt>
                <c:pt idx="42">
                  <c:v>8.8607594936708978</c:v>
                </c:pt>
                <c:pt idx="43">
                  <c:v>9.4372294372294334</c:v>
                </c:pt>
                <c:pt idx="44">
                  <c:v>8.6104006820119423</c:v>
                </c:pt>
                <c:pt idx="45">
                  <c:v>9.2927631578947398</c:v>
                </c:pt>
                <c:pt idx="46">
                  <c:v>7.2607260726072553</c:v>
                </c:pt>
                <c:pt idx="47">
                  <c:v>10.836501901140679</c:v>
                </c:pt>
                <c:pt idx="48">
                  <c:v>10.905730129390022</c:v>
                </c:pt>
                <c:pt idx="49">
                  <c:v>11.900369003690031</c:v>
                </c:pt>
                <c:pt idx="50">
                  <c:v>6.57467532467534</c:v>
                </c:pt>
                <c:pt idx="51">
                  <c:v>7.6400679117147803</c:v>
                </c:pt>
                <c:pt idx="52">
                  <c:v>2.2445820433436552</c:v>
                </c:pt>
                <c:pt idx="53">
                  <c:v>1.5987210231814544</c:v>
                </c:pt>
                <c:pt idx="54">
                  <c:v>0.58139534883720501</c:v>
                </c:pt>
                <c:pt idx="55">
                  <c:v>2.2151898734176996</c:v>
                </c:pt>
                <c:pt idx="56">
                  <c:v>2.040816326530603</c:v>
                </c:pt>
                <c:pt idx="57">
                  <c:v>1.3544018058690597</c:v>
                </c:pt>
                <c:pt idx="58">
                  <c:v>-1.0769230769230802</c:v>
                </c:pt>
                <c:pt idx="59">
                  <c:v>-3.1732418524871377</c:v>
                </c:pt>
                <c:pt idx="60">
                  <c:v>2</c:v>
                </c:pt>
                <c:pt idx="61">
                  <c:v>5.1112943116240785</c:v>
                </c:pt>
                <c:pt idx="62">
                  <c:v>-1.2947448591013</c:v>
                </c:pt>
                <c:pt idx="63">
                  <c:v>-5.7570977917981025</c:v>
                </c:pt>
                <c:pt idx="64">
                  <c:v>-7.6457229371688129</c:v>
                </c:pt>
                <c:pt idx="65">
                  <c:v>-7.8678206136899576E-2</c:v>
                </c:pt>
                <c:pt idx="66">
                  <c:v>5.5326176713460029</c:v>
                </c:pt>
              </c:numCache>
            </c:numRef>
          </c:val>
          <c:extLst>
            <c:ext xmlns:c16="http://schemas.microsoft.com/office/drawing/2014/chart" uri="{C3380CC4-5D6E-409C-BE32-E72D297353CC}">
              <c16:uniqueId val="{00000000-9704-4923-93DC-4DDF91B8B15C}"/>
            </c:ext>
          </c:extLst>
        </c:ser>
        <c:dLbls>
          <c:showLegendKey val="0"/>
          <c:showVal val="0"/>
          <c:showCatName val="0"/>
          <c:showSerName val="0"/>
          <c:showPercent val="0"/>
          <c:showBubbleSize val="0"/>
        </c:dLbls>
        <c:axId val="116528976"/>
        <c:axId val="116529368"/>
      </c:areaChart>
      <c:lineChart>
        <c:grouping val="standard"/>
        <c:varyColors val="0"/>
        <c:ser>
          <c:idx val="1"/>
          <c:order val="1"/>
          <c:tx>
            <c:strRef>
              <c:f>'Apgr. indeksi'!$A$147</c:f>
              <c:strCache>
                <c:ptCount val="1"/>
                <c:pt idx="0">
                  <c:v>Vietējais tirgus</c:v>
                </c:pt>
              </c:strCache>
            </c:strRef>
          </c:tx>
          <c:spPr>
            <a:ln w="25400" cap="rnd">
              <a:solidFill>
                <a:srgbClr val="00B050"/>
              </a:solidFill>
              <a:round/>
            </a:ln>
            <a:effectLst/>
          </c:spPr>
          <c:marker>
            <c:symbol val="none"/>
          </c:marker>
          <c:cat>
            <c:multiLvlStrRef>
              <c:f>'Apgr. indeksi'!$FZ$110:$IN$112</c:f>
              <c:multiLvlStrCache>
                <c:ptCount val="67"/>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lvl>
                <c:lvl>
                  <c:pt idx="0">
                    <c:v>2015</c:v>
                  </c:pt>
                  <c:pt idx="12">
                    <c:v>2016</c:v>
                  </c:pt>
                  <c:pt idx="24">
                    <c:v>2017</c:v>
                  </c:pt>
                  <c:pt idx="36">
                    <c:v>2018</c:v>
                  </c:pt>
                  <c:pt idx="48">
                    <c:v>2019</c:v>
                  </c:pt>
                  <c:pt idx="60">
                    <c:v>2020</c:v>
                  </c:pt>
                </c:lvl>
              </c:multiLvlStrCache>
            </c:multiLvlStrRef>
          </c:cat>
          <c:val>
            <c:numRef>
              <c:f>'Apgr. indeksi'!$FZ$150:$IN$150</c:f>
              <c:numCache>
                <c:formatCode>0.0</c:formatCode>
                <c:ptCount val="67"/>
                <c:pt idx="0">
                  <c:v>-4.9622437971952564</c:v>
                </c:pt>
                <c:pt idx="1">
                  <c:v>-13.030303030303031</c:v>
                </c:pt>
                <c:pt idx="2">
                  <c:v>-3.2289628180039216</c:v>
                </c:pt>
                <c:pt idx="3">
                  <c:v>-6.2616822429906591</c:v>
                </c:pt>
                <c:pt idx="4">
                  <c:v>-7.4468085106382915</c:v>
                </c:pt>
                <c:pt idx="5">
                  <c:v>-3.1731640979147784</c:v>
                </c:pt>
                <c:pt idx="6">
                  <c:v>-4.0322580645161281</c:v>
                </c:pt>
                <c:pt idx="7">
                  <c:v>-1.4598540145985339</c:v>
                </c:pt>
                <c:pt idx="8">
                  <c:v>-4.7706422018348604</c:v>
                </c:pt>
                <c:pt idx="9">
                  <c:v>-4.8847926267281139</c:v>
                </c:pt>
                <c:pt idx="10">
                  <c:v>-5.8880308880308831</c:v>
                </c:pt>
                <c:pt idx="11">
                  <c:v>-6.3538611925708608</c:v>
                </c:pt>
                <c:pt idx="12">
                  <c:v>-4.9943246311010085</c:v>
                </c:pt>
                <c:pt idx="13">
                  <c:v>0.34843205574912872</c:v>
                </c:pt>
                <c:pt idx="14">
                  <c:v>-0.20222446916076819</c:v>
                </c:pt>
                <c:pt idx="15">
                  <c:v>-1.8943170488534378</c:v>
                </c:pt>
                <c:pt idx="16">
                  <c:v>2.4904214559386872</c:v>
                </c:pt>
                <c:pt idx="17">
                  <c:v>-2.1535580524344482</c:v>
                </c:pt>
                <c:pt idx="18">
                  <c:v>-3.9215686274509807</c:v>
                </c:pt>
                <c:pt idx="19">
                  <c:v>-6.018518518518519</c:v>
                </c:pt>
                <c:pt idx="20">
                  <c:v>0.57803468208092568</c:v>
                </c:pt>
                <c:pt idx="21">
                  <c:v>3.9728682170542555</c:v>
                </c:pt>
                <c:pt idx="22">
                  <c:v>4.4102564102564088</c:v>
                </c:pt>
                <c:pt idx="23">
                  <c:v>1.6701461377870572</c:v>
                </c:pt>
                <c:pt idx="24">
                  <c:v>3.823178016726402</c:v>
                </c:pt>
                <c:pt idx="25">
                  <c:v>4.1666666666666572</c:v>
                </c:pt>
                <c:pt idx="26">
                  <c:v>1.8237082066869306</c:v>
                </c:pt>
                <c:pt idx="27">
                  <c:v>4.2682926829268268</c:v>
                </c:pt>
                <c:pt idx="28">
                  <c:v>6.3551401869158894</c:v>
                </c:pt>
                <c:pt idx="29">
                  <c:v>7.4641148325358841</c:v>
                </c:pt>
                <c:pt idx="30">
                  <c:v>10.009718172983469</c:v>
                </c:pt>
                <c:pt idx="31">
                  <c:v>14.581280788177338</c:v>
                </c:pt>
                <c:pt idx="32">
                  <c:v>7.0881226053639779</c:v>
                </c:pt>
                <c:pt idx="33">
                  <c:v>6.4305684995340187</c:v>
                </c:pt>
                <c:pt idx="34">
                  <c:v>10.019646365422403</c:v>
                </c:pt>
                <c:pt idx="35">
                  <c:v>12.73100616016427</c:v>
                </c:pt>
                <c:pt idx="36">
                  <c:v>13.924050632911388</c:v>
                </c:pt>
                <c:pt idx="37">
                  <c:v>9.6666666666666714</c:v>
                </c:pt>
                <c:pt idx="38">
                  <c:v>12.93532338308458</c:v>
                </c:pt>
                <c:pt idx="39">
                  <c:v>8.089668615984408</c:v>
                </c:pt>
                <c:pt idx="40">
                  <c:v>11.423550087873465</c:v>
                </c:pt>
                <c:pt idx="41">
                  <c:v>8.2813891362422112</c:v>
                </c:pt>
                <c:pt idx="42">
                  <c:v>9.8056537102473413</c:v>
                </c:pt>
                <c:pt idx="43">
                  <c:v>8.1685296646603689</c:v>
                </c:pt>
                <c:pt idx="44">
                  <c:v>8.4973166368515223</c:v>
                </c:pt>
                <c:pt idx="45">
                  <c:v>8.3187390542907167</c:v>
                </c:pt>
                <c:pt idx="46">
                  <c:v>7.9464285714285694</c:v>
                </c:pt>
                <c:pt idx="47">
                  <c:v>8.5610200364298805</c:v>
                </c:pt>
                <c:pt idx="48">
                  <c:v>9.8989898989898961</c:v>
                </c:pt>
                <c:pt idx="49">
                  <c:v>9.1185410334346528</c:v>
                </c:pt>
                <c:pt idx="50">
                  <c:v>4.2290748898678459</c:v>
                </c:pt>
                <c:pt idx="51">
                  <c:v>9.3778178539224513</c:v>
                </c:pt>
                <c:pt idx="52">
                  <c:v>1.5772870662460718</c:v>
                </c:pt>
                <c:pt idx="53">
                  <c:v>5.1809210526315894</c:v>
                </c:pt>
                <c:pt idx="54">
                  <c:v>0.96540627514079347</c:v>
                </c:pt>
                <c:pt idx="55">
                  <c:v>2.1462639109697932</c:v>
                </c:pt>
                <c:pt idx="56">
                  <c:v>0.41220115416322756</c:v>
                </c:pt>
                <c:pt idx="57">
                  <c:v>9.2966855295068598</c:v>
                </c:pt>
                <c:pt idx="58">
                  <c:v>2.894954507857733</c:v>
                </c:pt>
                <c:pt idx="59">
                  <c:v>1.5100671140939568</c:v>
                </c:pt>
                <c:pt idx="60">
                  <c:v>-1.8382352941176379</c:v>
                </c:pt>
                <c:pt idx="61">
                  <c:v>-0.8356545961002837</c:v>
                </c:pt>
                <c:pt idx="62">
                  <c:v>3.5502958579881749</c:v>
                </c:pt>
                <c:pt idx="63">
                  <c:v>-5.0288540807914188</c:v>
                </c:pt>
                <c:pt idx="64">
                  <c:v>-5.4347826086956559</c:v>
                </c:pt>
                <c:pt idx="65">
                  <c:v>-3.7529319781078954</c:v>
                </c:pt>
                <c:pt idx="66">
                  <c:v>-1.5139442231075719</c:v>
                </c:pt>
              </c:numCache>
            </c:numRef>
          </c:val>
          <c:smooth val="1"/>
          <c:extLst>
            <c:ext xmlns:c16="http://schemas.microsoft.com/office/drawing/2014/chart" uri="{C3380CC4-5D6E-409C-BE32-E72D297353CC}">
              <c16:uniqueId val="{00000001-9704-4923-93DC-4DDF91B8B15C}"/>
            </c:ext>
          </c:extLst>
        </c:ser>
        <c:ser>
          <c:idx val="2"/>
          <c:order val="2"/>
          <c:tx>
            <c:strRef>
              <c:f>'Apgr. indeksi'!$A$182</c:f>
              <c:strCache>
                <c:ptCount val="1"/>
                <c:pt idx="0">
                  <c:v>Eksports</c:v>
                </c:pt>
              </c:strCache>
            </c:strRef>
          </c:tx>
          <c:spPr>
            <a:ln w="25400" cap="rnd">
              <a:solidFill>
                <a:srgbClr val="0070C0"/>
              </a:solidFill>
              <a:round/>
            </a:ln>
            <a:effectLst/>
          </c:spPr>
          <c:marker>
            <c:symbol val="none"/>
          </c:marker>
          <c:cat>
            <c:multiLvlStrRef>
              <c:f>'Apgr. indeksi'!$FZ$110:$IN$112</c:f>
              <c:multiLvlStrCache>
                <c:ptCount val="67"/>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lvl>
                <c:lvl>
                  <c:pt idx="0">
                    <c:v>2015</c:v>
                  </c:pt>
                  <c:pt idx="12">
                    <c:v>2016</c:v>
                  </c:pt>
                  <c:pt idx="24">
                    <c:v>2017</c:v>
                  </c:pt>
                  <c:pt idx="36">
                    <c:v>2018</c:v>
                  </c:pt>
                  <c:pt idx="48">
                    <c:v>2019</c:v>
                  </c:pt>
                  <c:pt idx="60">
                    <c:v>2020</c:v>
                  </c:pt>
                </c:lvl>
              </c:multiLvlStrCache>
            </c:multiLvlStrRef>
          </c:cat>
          <c:val>
            <c:numRef>
              <c:f>'Apgr. indeksi'!$FZ$185:$IN$185</c:f>
              <c:numCache>
                <c:formatCode>0.0</c:formatCode>
                <c:ptCount val="67"/>
                <c:pt idx="0">
                  <c:v>3.8680318543799643</c:v>
                </c:pt>
                <c:pt idx="1">
                  <c:v>0.90090090090090769</c:v>
                </c:pt>
                <c:pt idx="2">
                  <c:v>2.3323615160349789</c:v>
                </c:pt>
                <c:pt idx="3">
                  <c:v>10.824230387288978</c:v>
                </c:pt>
                <c:pt idx="4">
                  <c:v>5.3319919517102505</c:v>
                </c:pt>
                <c:pt idx="5">
                  <c:v>4.7082906857727664</c:v>
                </c:pt>
                <c:pt idx="6">
                  <c:v>4.7974413646055467</c:v>
                </c:pt>
                <c:pt idx="7">
                  <c:v>1.7932489451476812</c:v>
                </c:pt>
                <c:pt idx="8">
                  <c:v>-0.87209302325581461</c:v>
                </c:pt>
                <c:pt idx="9">
                  <c:v>3.6018957345971501</c:v>
                </c:pt>
                <c:pt idx="10">
                  <c:v>6.8062827225130889</c:v>
                </c:pt>
                <c:pt idx="11">
                  <c:v>4.9576783555018125</c:v>
                </c:pt>
                <c:pt idx="12">
                  <c:v>3.5049288061336341</c:v>
                </c:pt>
                <c:pt idx="13">
                  <c:v>7.8125</c:v>
                </c:pt>
                <c:pt idx="14">
                  <c:v>-0.4748338081671335</c:v>
                </c:pt>
                <c:pt idx="15">
                  <c:v>-5.3763440860215042</c:v>
                </c:pt>
                <c:pt idx="16">
                  <c:v>1.2416427889207284</c:v>
                </c:pt>
                <c:pt idx="17">
                  <c:v>-1.0752688172043037</c:v>
                </c:pt>
                <c:pt idx="18">
                  <c:v>13.021363173957283</c:v>
                </c:pt>
                <c:pt idx="19">
                  <c:v>0.62176165803109029</c:v>
                </c:pt>
                <c:pt idx="20">
                  <c:v>6.5493646138807406</c:v>
                </c:pt>
                <c:pt idx="21">
                  <c:v>2.1043000914913108</c:v>
                </c:pt>
                <c:pt idx="22">
                  <c:v>4.8039215686274446</c:v>
                </c:pt>
                <c:pt idx="23">
                  <c:v>10.36866359447005</c:v>
                </c:pt>
                <c:pt idx="24">
                  <c:v>9.735449735449734</c:v>
                </c:pt>
                <c:pt idx="25">
                  <c:v>6.4182194616977313</c:v>
                </c:pt>
                <c:pt idx="26">
                  <c:v>16.030534351145036</c:v>
                </c:pt>
                <c:pt idx="27">
                  <c:v>8.9015151515151558</c:v>
                </c:pt>
                <c:pt idx="28">
                  <c:v>12.924528301886795</c:v>
                </c:pt>
                <c:pt idx="29">
                  <c:v>16.403162055335969</c:v>
                </c:pt>
                <c:pt idx="30">
                  <c:v>-1.7101710171017004</c:v>
                </c:pt>
                <c:pt idx="31">
                  <c:v>18.537590113285276</c:v>
                </c:pt>
                <c:pt idx="32">
                  <c:v>10.458715596330279</c:v>
                </c:pt>
                <c:pt idx="33">
                  <c:v>12.634408602150543</c:v>
                </c:pt>
                <c:pt idx="34">
                  <c:v>18.241347053320851</c:v>
                </c:pt>
                <c:pt idx="35">
                  <c:v>7.2025052192066852</c:v>
                </c:pt>
                <c:pt idx="36">
                  <c:v>9.4503375120540056</c:v>
                </c:pt>
                <c:pt idx="37">
                  <c:v>10.797665369649806</c:v>
                </c:pt>
                <c:pt idx="38">
                  <c:v>5.8388157894736707</c:v>
                </c:pt>
                <c:pt idx="39">
                  <c:v>5.8260869565217348</c:v>
                </c:pt>
                <c:pt idx="40">
                  <c:v>9.0225563909774422</c:v>
                </c:pt>
                <c:pt idx="41">
                  <c:v>7.9796264855687582</c:v>
                </c:pt>
                <c:pt idx="42">
                  <c:v>8.2417582417582338</c:v>
                </c:pt>
                <c:pt idx="43">
                  <c:v>10.078192875760209</c:v>
                </c:pt>
                <c:pt idx="44">
                  <c:v>8.7209302325581319</c:v>
                </c:pt>
                <c:pt idx="45">
                  <c:v>9.8647573587907686</c:v>
                </c:pt>
                <c:pt idx="46">
                  <c:v>6.8829113924050631</c:v>
                </c:pt>
                <c:pt idx="47">
                  <c:v>12.171372930866596</c:v>
                </c:pt>
                <c:pt idx="48">
                  <c:v>11.277533039647579</c:v>
                </c:pt>
                <c:pt idx="49">
                  <c:v>13.257243195785776</c:v>
                </c:pt>
                <c:pt idx="50">
                  <c:v>7.7700077700077657</c:v>
                </c:pt>
                <c:pt idx="51">
                  <c:v>6.8200493015612125</c:v>
                </c:pt>
                <c:pt idx="52">
                  <c:v>2.7586206896551744</c:v>
                </c:pt>
                <c:pt idx="53">
                  <c:v>-0.47169811320755173</c:v>
                </c:pt>
                <c:pt idx="54">
                  <c:v>0.33840947546531197</c:v>
                </c:pt>
                <c:pt idx="55">
                  <c:v>2.2888713496448219</c:v>
                </c:pt>
                <c:pt idx="56">
                  <c:v>2.9029793735675895</c:v>
                </c:pt>
                <c:pt idx="57">
                  <c:v>-2.6792179580014448</c:v>
                </c:pt>
                <c:pt idx="58">
                  <c:v>-3.1088082901554372</c:v>
                </c:pt>
                <c:pt idx="59">
                  <c:v>-5.9895833333333286</c:v>
                </c:pt>
                <c:pt idx="60">
                  <c:v>3.8796516231195426</c:v>
                </c:pt>
                <c:pt idx="61">
                  <c:v>7.9844961240310255</c:v>
                </c:pt>
                <c:pt idx="62">
                  <c:v>-3.7490987743330919</c:v>
                </c:pt>
                <c:pt idx="63">
                  <c:v>-6.2307692307692264</c:v>
                </c:pt>
                <c:pt idx="64">
                  <c:v>-8.873974645786717</c:v>
                </c:pt>
                <c:pt idx="65">
                  <c:v>2.0537124802527558</c:v>
                </c:pt>
                <c:pt idx="66">
                  <c:v>9.7807757166947624</c:v>
                </c:pt>
              </c:numCache>
            </c:numRef>
          </c:val>
          <c:smooth val="1"/>
          <c:extLst>
            <c:ext xmlns:c16="http://schemas.microsoft.com/office/drawing/2014/chart" uri="{C3380CC4-5D6E-409C-BE32-E72D297353CC}">
              <c16:uniqueId val="{00000002-9704-4923-93DC-4DDF91B8B15C}"/>
            </c:ext>
          </c:extLst>
        </c:ser>
        <c:dLbls>
          <c:showLegendKey val="0"/>
          <c:showVal val="0"/>
          <c:showCatName val="0"/>
          <c:showSerName val="0"/>
          <c:showPercent val="0"/>
          <c:showBubbleSize val="0"/>
        </c:dLbls>
        <c:marker val="1"/>
        <c:smooth val="0"/>
        <c:axId val="116528976"/>
        <c:axId val="116529368"/>
      </c:lineChart>
      <c:catAx>
        <c:axId val="1165289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lv-LV"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6529368"/>
        <c:crosses val="autoZero"/>
        <c:auto val="1"/>
        <c:lblAlgn val="ctr"/>
        <c:lblOffset val="100"/>
        <c:noMultiLvlLbl val="0"/>
      </c:catAx>
      <c:valAx>
        <c:axId val="116529368"/>
        <c:scaling>
          <c:orientation val="minMax"/>
          <c:max val="20"/>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lv-LV"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6528976"/>
        <c:crosses val="autoZero"/>
        <c:crossBetween val="between"/>
      </c:valAx>
      <c:spPr>
        <a:noFill/>
        <a:ln>
          <a:noFill/>
        </a:ln>
        <a:effectLst/>
      </c:spPr>
    </c:plotArea>
    <c:legend>
      <c:legendPos val="b"/>
      <c:layout>
        <c:manualLayout>
          <c:xMode val="edge"/>
          <c:yMode val="edge"/>
          <c:x val="4.9999905200869874E-2"/>
          <c:y val="0.91203436231088175"/>
          <c:w val="0.9"/>
          <c:h val="8.7965637689118262E-2"/>
        </c:manualLayout>
      </c:layout>
      <c:overlay val="0"/>
      <c:spPr>
        <a:noFill/>
        <a:ln>
          <a:noFill/>
        </a:ln>
        <a:effectLst/>
      </c:spPr>
      <c:txPr>
        <a:bodyPr rot="0" spcFirstLastPara="1" vertOverflow="ellipsis" vert="horz" wrap="square" anchor="ctr" anchorCtr="1"/>
        <a:lstStyle/>
        <a:p>
          <a:pPr>
            <a:defRPr lang="lv-LV"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lgn="ctr">
        <a:defRPr lang="lv-LV"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280385868711139E-2"/>
          <c:y val="4.5862060924516723E-2"/>
          <c:w val="0.91036442045080024"/>
          <c:h val="0.67380393467598376"/>
        </c:manualLayout>
      </c:layout>
      <c:barChart>
        <c:barDir val="col"/>
        <c:grouping val="clustered"/>
        <c:varyColors val="0"/>
        <c:ser>
          <c:idx val="0"/>
          <c:order val="0"/>
          <c:spPr>
            <a:solidFill>
              <a:schemeClr val="tx1">
                <a:lumMod val="65000"/>
                <a:lumOff val="35000"/>
              </a:schemeClr>
            </a:solidFill>
            <a:ln>
              <a:noFill/>
            </a:ln>
            <a:effectLst/>
          </c:spPr>
          <c:invertIfNegative val="0"/>
          <c:dPt>
            <c:idx val="1"/>
            <c:invertIfNegative val="0"/>
            <c:bubble3D val="0"/>
            <c:spPr>
              <a:solidFill>
                <a:srgbClr val="C00000"/>
              </a:solidFill>
              <a:ln>
                <a:noFill/>
              </a:ln>
              <a:effectLst/>
            </c:spPr>
            <c:extLst>
              <c:ext xmlns:c16="http://schemas.microsoft.com/office/drawing/2014/chart" uri="{C3380CC4-5D6E-409C-BE32-E72D297353CC}">
                <c16:uniqueId val="{00000001-DEB3-4683-B9C2-92DAAAD9228C}"/>
              </c:ext>
            </c:extLst>
          </c:dPt>
          <c:dPt>
            <c:idx val="5"/>
            <c:invertIfNegative val="0"/>
            <c:bubble3D val="0"/>
            <c:spPr>
              <a:solidFill>
                <a:srgbClr val="00B050"/>
              </a:solidFill>
              <a:ln>
                <a:noFill/>
              </a:ln>
              <a:effectLst/>
            </c:spPr>
            <c:extLst>
              <c:ext xmlns:c16="http://schemas.microsoft.com/office/drawing/2014/chart" uri="{C3380CC4-5D6E-409C-BE32-E72D297353CC}">
                <c16:uniqueId val="{00000003-DEB3-4683-B9C2-92DAAAD9228C}"/>
              </c:ext>
            </c:extLst>
          </c:dPt>
          <c:dPt>
            <c:idx val="8"/>
            <c:invertIfNegative val="0"/>
            <c:bubble3D val="0"/>
            <c:spPr>
              <a:solidFill>
                <a:srgbClr val="0070C0"/>
              </a:solidFill>
              <a:ln>
                <a:noFill/>
              </a:ln>
              <a:effectLst/>
            </c:spPr>
            <c:extLst>
              <c:ext xmlns:c16="http://schemas.microsoft.com/office/drawing/2014/chart" uri="{C3380CC4-5D6E-409C-BE32-E72D297353CC}">
                <c16:uniqueId val="{00000005-DEB3-4683-B9C2-92DAAAD9228C}"/>
              </c:ext>
            </c:extLst>
          </c:dPt>
          <c:dPt>
            <c:idx val="16"/>
            <c:invertIfNegative val="0"/>
            <c:bubble3D val="0"/>
            <c:spPr>
              <a:solidFill>
                <a:srgbClr val="002060"/>
              </a:solidFill>
              <a:ln>
                <a:noFill/>
              </a:ln>
              <a:effectLst/>
            </c:spPr>
            <c:extLst>
              <c:ext xmlns:c16="http://schemas.microsoft.com/office/drawing/2014/chart" uri="{C3380CC4-5D6E-409C-BE32-E72D297353CC}">
                <c16:uniqueId val="{00000007-DEB3-4683-B9C2-92DAAAD9228C}"/>
              </c:ext>
            </c:extLst>
          </c:dPt>
          <c:dLbls>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B3-4683-B9C2-92DAAAD9228C}"/>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B3-4683-B9C2-92DAAAD9228C}"/>
                </c:ext>
              </c:extLst>
            </c:dLbl>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B3-4683-B9C2-92DAAAD9228C}"/>
                </c:ext>
              </c:extLst>
            </c:dLbl>
            <c:dLbl>
              <c:idx val="1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B3-4683-B9C2-92DAAAD9228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Sheet1!$A$14:$A$40</c:f>
              <c:strCache>
                <c:ptCount val="27"/>
                <c:pt idx="0">
                  <c:v>Somija</c:v>
                </c:pt>
                <c:pt idx="1">
                  <c:v>Latvija</c:v>
                </c:pt>
                <c:pt idx="2">
                  <c:v>Grieķija</c:v>
                </c:pt>
                <c:pt idx="3">
                  <c:v>Malta</c:v>
                </c:pt>
                <c:pt idx="4">
                  <c:v>Dānija</c:v>
                </c:pt>
                <c:pt idx="5">
                  <c:v>Lietuva</c:v>
                </c:pt>
                <c:pt idx="6">
                  <c:v>Horvātija</c:v>
                </c:pt>
                <c:pt idx="7">
                  <c:v>Nīderlande</c:v>
                </c:pt>
                <c:pt idx="8">
                  <c:v>Igaunija</c:v>
                </c:pt>
                <c:pt idx="9">
                  <c:v>Beļģija</c:v>
                </c:pt>
                <c:pt idx="10">
                  <c:v>Zviedrija</c:v>
                </c:pt>
                <c:pt idx="11">
                  <c:v>Bulgārija</c:v>
                </c:pt>
                <c:pt idx="12">
                  <c:v>Polija</c:v>
                </c:pt>
                <c:pt idx="13">
                  <c:v>Slovēnija</c:v>
                </c:pt>
                <c:pt idx="14">
                  <c:v>Austrija</c:v>
                </c:pt>
                <c:pt idx="15">
                  <c:v>Kipra</c:v>
                </c:pt>
                <c:pt idx="16">
                  <c:v>ES-27</c:v>
                </c:pt>
                <c:pt idx="17">
                  <c:v>Vācija</c:v>
                </c:pt>
                <c:pt idx="18">
                  <c:v>Čehija</c:v>
                </c:pt>
                <c:pt idx="19">
                  <c:v>Francija</c:v>
                </c:pt>
                <c:pt idx="20">
                  <c:v>Ungārija</c:v>
                </c:pt>
                <c:pt idx="21">
                  <c:v>Portugāle</c:v>
                </c:pt>
                <c:pt idx="22">
                  <c:v>Spānija</c:v>
                </c:pt>
                <c:pt idx="23">
                  <c:v>Luksemburga</c:v>
                </c:pt>
                <c:pt idx="24">
                  <c:v>Itālija</c:v>
                </c:pt>
                <c:pt idx="25">
                  <c:v>Rumānija</c:v>
                </c:pt>
                <c:pt idx="26">
                  <c:v>Slovākija</c:v>
                </c:pt>
              </c:strCache>
            </c:strRef>
          </c:cat>
          <c:val>
            <c:numRef>
              <c:f>Sheet1!$AC$14:$AC$40</c:f>
              <c:numCache>
                <c:formatCode>0.0</c:formatCode>
                <c:ptCount val="27"/>
                <c:pt idx="0">
                  <c:v>-6.0433295324971539</c:v>
                </c:pt>
                <c:pt idx="1">
                  <c:v>-6.066225165562912</c:v>
                </c:pt>
                <c:pt idx="2">
                  <c:v>-7.24805082298586</c:v>
                </c:pt>
                <c:pt idx="3">
                  <c:v>-7.6101468624833188</c:v>
                </c:pt>
                <c:pt idx="4">
                  <c:v>-7.6468934495361225</c:v>
                </c:pt>
                <c:pt idx="5">
                  <c:v>-7.7536431124553218</c:v>
                </c:pt>
                <c:pt idx="6">
                  <c:v>-9.4874923733984105</c:v>
                </c:pt>
                <c:pt idx="7">
                  <c:v>-10.855565777368909</c:v>
                </c:pt>
                <c:pt idx="8">
                  <c:v>-12.754674853474725</c:v>
                </c:pt>
                <c:pt idx="9">
                  <c:v>-12.762892538173446</c:v>
                </c:pt>
                <c:pt idx="10">
                  <c:v>-15.052245128494775</c:v>
                </c:pt>
                <c:pt idx="11">
                  <c:v>-15.060588574725926</c:v>
                </c:pt>
                <c:pt idx="12">
                  <c:v>-16.028900187316026</c:v>
                </c:pt>
                <c:pt idx="13">
                  <c:v>-17.725668179525982</c:v>
                </c:pt>
                <c:pt idx="14">
                  <c:v>-18.474726574046713</c:v>
                </c:pt>
                <c:pt idx="15">
                  <c:v>-20.28817104345805</c:v>
                </c:pt>
                <c:pt idx="16">
                  <c:v>-20.893682588597827</c:v>
                </c:pt>
                <c:pt idx="17">
                  <c:v>-22.617493472584854</c:v>
                </c:pt>
                <c:pt idx="18">
                  <c:v>-24.779492833517097</c:v>
                </c:pt>
                <c:pt idx="19">
                  <c:v>-24.805719614547741</c:v>
                </c:pt>
                <c:pt idx="20">
                  <c:v>-26.154702281580413</c:v>
                </c:pt>
                <c:pt idx="21">
                  <c:v>-26.227470478558104</c:v>
                </c:pt>
                <c:pt idx="22">
                  <c:v>-26.480117820324011</c:v>
                </c:pt>
                <c:pt idx="23">
                  <c:v>-26.786843769765966</c:v>
                </c:pt>
                <c:pt idx="24">
                  <c:v>-27.226233453670275</c:v>
                </c:pt>
                <c:pt idx="25">
                  <c:v>-29.214092140921395</c:v>
                </c:pt>
                <c:pt idx="26">
                  <c:v>-32.003325020781375</c:v>
                </c:pt>
              </c:numCache>
            </c:numRef>
          </c:val>
          <c:extLst>
            <c:ext xmlns:c16="http://schemas.microsoft.com/office/drawing/2014/chart" uri="{C3380CC4-5D6E-409C-BE32-E72D297353CC}">
              <c16:uniqueId val="{00000008-DEB3-4683-B9C2-92DAAAD9228C}"/>
            </c:ext>
          </c:extLst>
        </c:ser>
        <c:dLbls>
          <c:showLegendKey val="0"/>
          <c:showVal val="0"/>
          <c:showCatName val="0"/>
          <c:showSerName val="0"/>
          <c:showPercent val="0"/>
          <c:showBubbleSize val="0"/>
        </c:dLbls>
        <c:gapWidth val="50"/>
        <c:overlap val="-27"/>
        <c:axId val="1330918832"/>
        <c:axId val="1330919664"/>
      </c:barChart>
      <c:catAx>
        <c:axId val="13309188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1330919664"/>
        <c:crosses val="autoZero"/>
        <c:auto val="1"/>
        <c:lblAlgn val="ctr"/>
        <c:lblOffset val="100"/>
        <c:noMultiLvlLbl val="0"/>
      </c:catAx>
      <c:valAx>
        <c:axId val="1330919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crossAx val="133091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pattFill prst="dkUpDiag">
                <a:fgClr>
                  <a:srgbClr val="0070C0"/>
                </a:fgClr>
                <a:bgClr>
                  <a:schemeClr val="bg1"/>
                </a:bgClr>
              </a:pattFill>
              <a:ln w="19050">
                <a:solidFill>
                  <a:schemeClr val="lt1"/>
                </a:solidFill>
              </a:ln>
              <a:effectLst/>
            </c:spPr>
            <c:extLst>
              <c:ext xmlns:c16="http://schemas.microsoft.com/office/drawing/2014/chart" uri="{C3380CC4-5D6E-409C-BE32-E72D297353CC}">
                <c16:uniqueId val="{00000001-9605-4C2A-A90C-3CB2587A9322}"/>
              </c:ext>
            </c:extLst>
          </c:dPt>
          <c:dPt>
            <c:idx val="1"/>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3-9605-4C2A-A90C-3CB2587A9322}"/>
              </c:ext>
            </c:extLst>
          </c:dPt>
          <c:dPt>
            <c:idx val="2"/>
            <c:bubble3D val="0"/>
            <c:spPr>
              <a:solidFill>
                <a:schemeClr val="tx1">
                  <a:lumMod val="50000"/>
                  <a:lumOff val="50000"/>
                </a:schemeClr>
              </a:solidFill>
              <a:ln w="19050">
                <a:solidFill>
                  <a:schemeClr val="lt1"/>
                </a:solidFill>
              </a:ln>
              <a:effectLst/>
            </c:spPr>
            <c:extLst>
              <c:ext xmlns:c16="http://schemas.microsoft.com/office/drawing/2014/chart" uri="{C3380CC4-5D6E-409C-BE32-E72D297353CC}">
                <c16:uniqueId val="{00000005-9605-4C2A-A90C-3CB2587A9322}"/>
              </c:ext>
            </c:extLst>
          </c:dPt>
          <c:dLbls>
            <c:dLbl>
              <c:idx val="0"/>
              <c:layout>
                <c:manualLayout>
                  <c:x val="9.6927712160979881E-2"/>
                  <c:y val="1.4619883040935672E-3"/>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605-4C2A-A90C-3CB2587A9322}"/>
                </c:ext>
              </c:extLst>
            </c:dLbl>
            <c:dLbl>
              <c:idx val="1"/>
              <c:layout>
                <c:manualLayout>
                  <c:x val="-2.5000000000000001E-2"/>
                  <c:y val="5.6458534788414609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4444444444444444"/>
                      <c:h val="0.20760233918128654"/>
                    </c:manualLayout>
                  </c15:layout>
                </c:ext>
                <c:ext xmlns:c16="http://schemas.microsoft.com/office/drawing/2014/chart" uri="{C3380CC4-5D6E-409C-BE32-E72D297353CC}">
                  <c16:uniqueId val="{00000003-9605-4C2A-A90C-3CB2587A9322}"/>
                </c:ext>
              </c:extLst>
            </c:dLbl>
            <c:dLbl>
              <c:idx val="2"/>
              <c:layout>
                <c:manualLayout>
                  <c:x val="3.3333333333333333E-2"/>
                  <c:y val="1.943730717870792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8402777777777777"/>
                      <c:h val="0.195906432748538"/>
                    </c:manualLayout>
                  </c15:layout>
                </c:ext>
                <c:ext xmlns:c16="http://schemas.microsoft.com/office/drawing/2014/chart" uri="{C3380CC4-5D6E-409C-BE32-E72D297353CC}">
                  <c16:uniqueId val="{00000005-9605-4C2A-A90C-3CB2587A932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0"/>
            <c:extLst>
              <c:ext xmlns:c15="http://schemas.microsoft.com/office/drawing/2012/chart" uri="{CE6537A1-D6FC-4f65-9D91-7224C49458BB}"/>
            </c:extLst>
          </c:dLbls>
          <c:cat>
            <c:strRef>
              <c:f>'[lauks_tirdzn.xlsx]Tirdzniecība(G)'!$B$8:$B$10</c:f>
              <c:strCache>
                <c:ptCount val="3"/>
                <c:pt idx="0">
                  <c:v>Automobiļu un motociklu tirdzniecība un remonts</c:v>
                </c:pt>
                <c:pt idx="1">
                  <c:v>Vairumtirdzniecība</c:v>
                </c:pt>
                <c:pt idx="2">
                  <c:v>Mazumtirdzniecība</c:v>
                </c:pt>
              </c:strCache>
            </c:strRef>
          </c:cat>
          <c:val>
            <c:numRef>
              <c:f>'[lauks_tirdzn.xlsx]Tirdzniecība(G)'!$N$8:$N$10</c:f>
              <c:numCache>
                <c:formatCode>0%</c:formatCode>
                <c:ptCount val="3"/>
                <c:pt idx="0">
                  <c:v>9.7000000000000003E-2</c:v>
                </c:pt>
                <c:pt idx="1">
                  <c:v>0.47299999999999998</c:v>
                </c:pt>
                <c:pt idx="2">
                  <c:v>0.43099999999999999</c:v>
                </c:pt>
              </c:numCache>
            </c:numRef>
          </c:val>
          <c:extLst>
            <c:ext xmlns:c16="http://schemas.microsoft.com/office/drawing/2014/chart" uri="{C3380CC4-5D6E-409C-BE32-E72D297353CC}">
              <c16:uniqueId val="{00000006-9605-4C2A-A90C-3CB2587A9322}"/>
            </c:ext>
          </c:extLst>
        </c:ser>
        <c:dLbls>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1"/>
          <c:tx>
            <c:strRef>
              <c:f>Mazumtirdzniecība!$L$2</c:f>
              <c:strCache>
                <c:ptCount val="1"/>
                <c:pt idx="0">
                  <c:v>Degviela</c:v>
                </c:pt>
              </c:strCache>
            </c:strRef>
          </c:tx>
          <c:spPr>
            <a:solidFill>
              <a:schemeClr val="tx1">
                <a:lumMod val="50000"/>
                <a:lumOff val="50000"/>
              </a:schemeClr>
            </a:solidFill>
            <a:ln>
              <a:solidFill>
                <a:schemeClr val="tx1">
                  <a:lumMod val="50000"/>
                  <a:lumOff val="50000"/>
                </a:schemeClr>
              </a:solidFill>
            </a:ln>
            <a:effectLst/>
          </c:spPr>
          <c:invertIfNegative val="0"/>
          <c:cat>
            <c:multiLvlStrRef>
              <c:f>Mazumtirdzniecība!$A$183:$B$250</c:f>
              <c:multiLvlStrCache>
                <c:ptCount val="6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lvl>
                <c:lvl>
                  <c:pt idx="0">
                    <c:v>2015</c:v>
                  </c:pt>
                  <c:pt idx="12">
                    <c:v>2016</c:v>
                  </c:pt>
                  <c:pt idx="24">
                    <c:v>2017</c:v>
                  </c:pt>
                  <c:pt idx="36">
                    <c:v>2018</c:v>
                  </c:pt>
                  <c:pt idx="48">
                    <c:v>2019</c:v>
                  </c:pt>
                  <c:pt idx="60">
                    <c:v>2020</c:v>
                  </c:pt>
                </c:lvl>
              </c:multiLvlStrCache>
            </c:multiLvlStrRef>
          </c:cat>
          <c:val>
            <c:numRef>
              <c:f>Mazumtirdzniecība!$L$183:$L$250</c:f>
              <c:numCache>
                <c:formatCode>0.0</c:formatCode>
                <c:ptCount val="68"/>
                <c:pt idx="0">
                  <c:v>1.7149243536465817</c:v>
                </c:pt>
                <c:pt idx="1">
                  <c:v>4.3743284765561272</c:v>
                </c:pt>
                <c:pt idx="2">
                  <c:v>4.0001141219226408</c:v>
                </c:pt>
                <c:pt idx="3">
                  <c:v>0.63121542987744994</c:v>
                </c:pt>
                <c:pt idx="4">
                  <c:v>2.6532121130539359</c:v>
                </c:pt>
                <c:pt idx="5">
                  <c:v>2.7125288245809789</c:v>
                </c:pt>
                <c:pt idx="6">
                  <c:v>1.6695303312728023</c:v>
                </c:pt>
                <c:pt idx="7">
                  <c:v>2.4089923633437405</c:v>
                </c:pt>
                <c:pt idx="8">
                  <c:v>8.1984016616855615E-2</c:v>
                </c:pt>
                <c:pt idx="9">
                  <c:v>2.6000896244693799</c:v>
                </c:pt>
                <c:pt idx="10">
                  <c:v>-1.3972550988530983</c:v>
                </c:pt>
                <c:pt idx="11">
                  <c:v>-0.23585785800510842</c:v>
                </c:pt>
                <c:pt idx="12">
                  <c:v>5.1361570755265068E-2</c:v>
                </c:pt>
                <c:pt idx="13">
                  <c:v>-1.423574337641375</c:v>
                </c:pt>
                <c:pt idx="14">
                  <c:v>-1.5049564132460806</c:v>
                </c:pt>
                <c:pt idx="15">
                  <c:v>6.3854049217918443E-2</c:v>
                </c:pt>
                <c:pt idx="16">
                  <c:v>1.6425577659198083</c:v>
                </c:pt>
                <c:pt idx="17">
                  <c:v>0.8258180535750711</c:v>
                </c:pt>
                <c:pt idx="18">
                  <c:v>1.9743163282875269</c:v>
                </c:pt>
                <c:pt idx="19">
                  <c:v>-9.990578934229237E-2</c:v>
                </c:pt>
                <c:pt idx="20">
                  <c:v>-0.27381320699775746</c:v>
                </c:pt>
                <c:pt idx="21">
                  <c:v>-0.76695202278754426</c:v>
                </c:pt>
                <c:pt idx="22">
                  <c:v>1.8648146578213218</c:v>
                </c:pt>
                <c:pt idx="23">
                  <c:v>1.5544752882548956</c:v>
                </c:pt>
                <c:pt idx="24">
                  <c:v>1.6075275253363388</c:v>
                </c:pt>
                <c:pt idx="25">
                  <c:v>2.1803258284716773</c:v>
                </c:pt>
                <c:pt idx="26">
                  <c:v>1.8402935736026236</c:v>
                </c:pt>
                <c:pt idx="27">
                  <c:v>1.2199028717582008</c:v>
                </c:pt>
                <c:pt idx="28">
                  <c:v>0.12295483468139119</c:v>
                </c:pt>
                <c:pt idx="29">
                  <c:v>-0.28479405816711062</c:v>
                </c:pt>
                <c:pt idx="30">
                  <c:v>-0.42094555042996074</c:v>
                </c:pt>
                <c:pt idx="31">
                  <c:v>-0.3560699912096168</c:v>
                </c:pt>
                <c:pt idx="32">
                  <c:v>-0.34488911133392708</c:v>
                </c:pt>
                <c:pt idx="33">
                  <c:v>-0.224724626864235</c:v>
                </c:pt>
                <c:pt idx="34">
                  <c:v>0.97130183748832888</c:v>
                </c:pt>
                <c:pt idx="35">
                  <c:v>1.1404367366115999</c:v>
                </c:pt>
                <c:pt idx="36">
                  <c:v>0.5878955283624101</c:v>
                </c:pt>
                <c:pt idx="37">
                  <c:v>1.7081194808282756</c:v>
                </c:pt>
                <c:pt idx="38">
                  <c:v>1.1651849400451557</c:v>
                </c:pt>
                <c:pt idx="39">
                  <c:v>0.64012259604385502</c:v>
                </c:pt>
                <c:pt idx="40">
                  <c:v>1.3303341145396146</c:v>
                </c:pt>
                <c:pt idx="41">
                  <c:v>0.842538790347646</c:v>
                </c:pt>
                <c:pt idx="42">
                  <c:v>1.2082951850648125</c:v>
                </c:pt>
                <c:pt idx="43">
                  <c:v>0.1585931724223571</c:v>
                </c:pt>
                <c:pt idx="44">
                  <c:v>-1.6450210912319536E-2</c:v>
                </c:pt>
                <c:pt idx="45">
                  <c:v>-0.21742440848603309</c:v>
                </c:pt>
                <c:pt idx="46">
                  <c:v>-0.20732526698280107</c:v>
                </c:pt>
                <c:pt idx="47">
                  <c:v>-0.43425416990017657</c:v>
                </c:pt>
                <c:pt idx="48">
                  <c:v>0.47075612258348709</c:v>
                </c:pt>
                <c:pt idx="49">
                  <c:v>-0.32329674480853882</c:v>
                </c:pt>
                <c:pt idx="50">
                  <c:v>0.46811941039766208</c:v>
                </c:pt>
                <c:pt idx="51">
                  <c:v>0.85059004725072918</c:v>
                </c:pt>
                <c:pt idx="52">
                  <c:v>-0.49484013870518484</c:v>
                </c:pt>
                <c:pt idx="53">
                  <c:v>0.17522640684125326</c:v>
                </c:pt>
                <c:pt idx="54">
                  <c:v>-0.33658602182339592</c:v>
                </c:pt>
                <c:pt idx="55">
                  <c:v>0.35101994716406781</c:v>
                </c:pt>
                <c:pt idx="56">
                  <c:v>-7.9944235800342323E-2</c:v>
                </c:pt>
                <c:pt idx="57">
                  <c:v>-0.51676551191014086</c:v>
                </c:pt>
                <c:pt idx="58">
                  <c:v>-0.11122570571451125</c:v>
                </c:pt>
                <c:pt idx="59">
                  <c:v>0.49466778428800195</c:v>
                </c:pt>
                <c:pt idx="60">
                  <c:v>-1.1993304818379762</c:v>
                </c:pt>
                <c:pt idx="61">
                  <c:v>1.3584314204661552</c:v>
                </c:pt>
                <c:pt idx="62">
                  <c:v>0.45918663389244985</c:v>
                </c:pt>
                <c:pt idx="63">
                  <c:v>-0.80506114718707378</c:v>
                </c:pt>
                <c:pt idx="64">
                  <c:v>0.41118378515495468</c:v>
                </c:pt>
                <c:pt idx="65">
                  <c:v>1.1142055025998194</c:v>
                </c:pt>
                <c:pt idx="66">
                  <c:v>1.1512511199399011</c:v>
                </c:pt>
                <c:pt idx="67">
                  <c:v>1.9727784295460022</c:v>
                </c:pt>
              </c:numCache>
            </c:numRef>
          </c:val>
          <c:extLst>
            <c:ext xmlns:c16="http://schemas.microsoft.com/office/drawing/2014/chart" uri="{C3380CC4-5D6E-409C-BE32-E72D297353CC}">
              <c16:uniqueId val="{00000000-9EA0-436B-AADF-A2A3BF5C0995}"/>
            </c:ext>
          </c:extLst>
        </c:ser>
        <c:ser>
          <c:idx val="2"/>
          <c:order val="2"/>
          <c:tx>
            <c:strRef>
              <c:f>Mazumtirdzniecība!$M$2</c:f>
              <c:strCache>
                <c:ptCount val="1"/>
                <c:pt idx="0">
                  <c:v>Pārtika</c:v>
                </c:pt>
              </c:strCache>
            </c:strRef>
          </c:tx>
          <c:spPr>
            <a:pattFill prst="dkUpDiag">
              <a:fgClr>
                <a:srgbClr val="00B050"/>
              </a:fgClr>
              <a:bgClr>
                <a:schemeClr val="bg1"/>
              </a:bgClr>
            </a:pattFill>
            <a:ln>
              <a:solidFill>
                <a:srgbClr val="00B050"/>
              </a:solidFill>
            </a:ln>
            <a:effectLst/>
          </c:spPr>
          <c:invertIfNegative val="0"/>
          <c:cat>
            <c:multiLvlStrRef>
              <c:f>Mazumtirdzniecība!$A$183:$B$250</c:f>
              <c:multiLvlStrCache>
                <c:ptCount val="6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lvl>
                <c:lvl>
                  <c:pt idx="0">
                    <c:v>2015</c:v>
                  </c:pt>
                  <c:pt idx="12">
                    <c:v>2016</c:v>
                  </c:pt>
                  <c:pt idx="24">
                    <c:v>2017</c:v>
                  </c:pt>
                  <c:pt idx="36">
                    <c:v>2018</c:v>
                  </c:pt>
                  <c:pt idx="48">
                    <c:v>2019</c:v>
                  </c:pt>
                  <c:pt idx="60">
                    <c:v>2020</c:v>
                  </c:pt>
                </c:lvl>
              </c:multiLvlStrCache>
            </c:multiLvlStrRef>
          </c:cat>
          <c:val>
            <c:numRef>
              <c:f>Mazumtirdzniecība!$M$183:$M$250</c:f>
              <c:numCache>
                <c:formatCode>0.0</c:formatCode>
                <c:ptCount val="68"/>
                <c:pt idx="0">
                  <c:v>1.9992678055506861</c:v>
                </c:pt>
                <c:pt idx="1">
                  <c:v>2.5450550551815994</c:v>
                </c:pt>
                <c:pt idx="2">
                  <c:v>0.68860060267986023</c:v>
                </c:pt>
                <c:pt idx="3">
                  <c:v>0.4300872929103523</c:v>
                </c:pt>
                <c:pt idx="4">
                  <c:v>-8.2746380612293891E-2</c:v>
                </c:pt>
                <c:pt idx="5">
                  <c:v>1.2231462413262497</c:v>
                </c:pt>
                <c:pt idx="6">
                  <c:v>1.0786833270143297</c:v>
                </c:pt>
                <c:pt idx="7">
                  <c:v>1.0794656856594675</c:v>
                </c:pt>
                <c:pt idx="8">
                  <c:v>1.1578582222811546</c:v>
                </c:pt>
                <c:pt idx="9">
                  <c:v>1.3446321450564604</c:v>
                </c:pt>
                <c:pt idx="10">
                  <c:v>1.1607531801953823</c:v>
                </c:pt>
                <c:pt idx="11">
                  <c:v>1.5948830162285907</c:v>
                </c:pt>
                <c:pt idx="12">
                  <c:v>0.27934869509624988</c:v>
                </c:pt>
                <c:pt idx="13">
                  <c:v>9.8243551300253654E-2</c:v>
                </c:pt>
                <c:pt idx="14">
                  <c:v>0.30942087467122753</c:v>
                </c:pt>
                <c:pt idx="15">
                  <c:v>-4.1932257947859125E-2</c:v>
                </c:pt>
                <c:pt idx="16">
                  <c:v>0.73687190861691299</c:v>
                </c:pt>
                <c:pt idx="17">
                  <c:v>0.32255673523024986</c:v>
                </c:pt>
                <c:pt idx="18">
                  <c:v>-1.5303572676597794</c:v>
                </c:pt>
                <c:pt idx="19">
                  <c:v>-0.87996945931023907</c:v>
                </c:pt>
                <c:pt idx="20">
                  <c:v>-0.51769736684592205</c:v>
                </c:pt>
                <c:pt idx="21">
                  <c:v>-1.1585736240934448</c:v>
                </c:pt>
                <c:pt idx="22">
                  <c:v>-0.77511240240016865</c:v>
                </c:pt>
                <c:pt idx="23">
                  <c:v>-2.3376756574442719</c:v>
                </c:pt>
                <c:pt idx="24">
                  <c:v>-4.4133577946711883E-2</c:v>
                </c:pt>
                <c:pt idx="25">
                  <c:v>-0.14125240577669312</c:v>
                </c:pt>
                <c:pt idx="26">
                  <c:v>8.3911846709855575E-2</c:v>
                </c:pt>
                <c:pt idx="27">
                  <c:v>1.1713374397144813</c:v>
                </c:pt>
                <c:pt idx="28">
                  <c:v>1.5025092853307256</c:v>
                </c:pt>
                <c:pt idx="29">
                  <c:v>0.88158653377459451</c:v>
                </c:pt>
                <c:pt idx="30">
                  <c:v>2.4570186109186811</c:v>
                </c:pt>
                <c:pt idx="31">
                  <c:v>3.0957151258977333</c:v>
                </c:pt>
                <c:pt idx="32">
                  <c:v>2.1958415654420755</c:v>
                </c:pt>
                <c:pt idx="33">
                  <c:v>1.6902126710623016</c:v>
                </c:pt>
                <c:pt idx="34">
                  <c:v>2.2913082274426135</c:v>
                </c:pt>
                <c:pt idx="35">
                  <c:v>3.9358698349066774</c:v>
                </c:pt>
                <c:pt idx="36">
                  <c:v>2.5259284478988659</c:v>
                </c:pt>
                <c:pt idx="37">
                  <c:v>1.8965169287212487</c:v>
                </c:pt>
                <c:pt idx="38">
                  <c:v>2.682768323215504</c:v>
                </c:pt>
                <c:pt idx="39">
                  <c:v>0.68718976322311676</c:v>
                </c:pt>
                <c:pt idx="40">
                  <c:v>2.570208510096994</c:v>
                </c:pt>
                <c:pt idx="41">
                  <c:v>2.6786391435322452</c:v>
                </c:pt>
                <c:pt idx="42">
                  <c:v>2.0161909532883073</c:v>
                </c:pt>
                <c:pt idx="43">
                  <c:v>1.1112938789696307</c:v>
                </c:pt>
                <c:pt idx="44">
                  <c:v>0.78028193972068349</c:v>
                </c:pt>
                <c:pt idx="45">
                  <c:v>1.6354927969645496</c:v>
                </c:pt>
                <c:pt idx="46">
                  <c:v>1.6153147564567849</c:v>
                </c:pt>
                <c:pt idx="47">
                  <c:v>0.62101616690001615</c:v>
                </c:pt>
                <c:pt idx="48">
                  <c:v>-0.24744809883355448</c:v>
                </c:pt>
                <c:pt idx="49">
                  <c:v>1.4396918560460041</c:v>
                </c:pt>
                <c:pt idx="50">
                  <c:v>0.19619169760146152</c:v>
                </c:pt>
                <c:pt idx="51">
                  <c:v>2.6969329773591326</c:v>
                </c:pt>
                <c:pt idx="52">
                  <c:v>-0.1449420632036372</c:v>
                </c:pt>
                <c:pt idx="53">
                  <c:v>0.29771028157093599</c:v>
                </c:pt>
                <c:pt idx="54">
                  <c:v>0.56566091904660798</c:v>
                </c:pt>
                <c:pt idx="55">
                  <c:v>0.17514770306747099</c:v>
                </c:pt>
                <c:pt idx="56">
                  <c:v>0.30633921611379461</c:v>
                </c:pt>
                <c:pt idx="57">
                  <c:v>3.7229834410862528E-2</c:v>
                </c:pt>
                <c:pt idx="58">
                  <c:v>0.4629234963579904</c:v>
                </c:pt>
                <c:pt idx="59">
                  <c:v>0.26626113605090657</c:v>
                </c:pt>
                <c:pt idx="60">
                  <c:v>1.7875164086537401</c:v>
                </c:pt>
                <c:pt idx="61">
                  <c:v>1.1753560736000888</c:v>
                </c:pt>
                <c:pt idx="62">
                  <c:v>3.0615116792741146</c:v>
                </c:pt>
                <c:pt idx="63">
                  <c:v>-1.5521771372250965</c:v>
                </c:pt>
                <c:pt idx="64">
                  <c:v>0.71428735895869144</c:v>
                </c:pt>
                <c:pt idx="65">
                  <c:v>2.2323503395287396</c:v>
                </c:pt>
                <c:pt idx="66">
                  <c:v>0.74462422934345429</c:v>
                </c:pt>
                <c:pt idx="67">
                  <c:v>1.6909610982083045</c:v>
                </c:pt>
              </c:numCache>
            </c:numRef>
          </c:val>
          <c:extLst>
            <c:ext xmlns:c16="http://schemas.microsoft.com/office/drawing/2014/chart" uri="{C3380CC4-5D6E-409C-BE32-E72D297353CC}">
              <c16:uniqueId val="{00000001-9EA0-436B-AADF-A2A3BF5C0995}"/>
            </c:ext>
          </c:extLst>
        </c:ser>
        <c:ser>
          <c:idx val="3"/>
          <c:order val="3"/>
          <c:tx>
            <c:strRef>
              <c:f>Mazumtirdzniecība!$N$2</c:f>
              <c:strCache>
                <c:ptCount val="1"/>
                <c:pt idx="0">
                  <c:v>Nepārtika (-degviela)</c:v>
                </c:pt>
              </c:strCache>
            </c:strRef>
          </c:tx>
          <c:spPr>
            <a:solidFill>
              <a:srgbClr val="0070C0"/>
            </a:solidFill>
            <a:ln>
              <a:solidFill>
                <a:srgbClr val="0070C0"/>
              </a:solidFill>
            </a:ln>
            <a:effectLst/>
          </c:spPr>
          <c:invertIfNegative val="0"/>
          <c:cat>
            <c:multiLvlStrRef>
              <c:f>Mazumtirdzniecība!$A$183:$B$250</c:f>
              <c:multiLvlStrCache>
                <c:ptCount val="6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lvl>
                <c:lvl>
                  <c:pt idx="0">
                    <c:v>2015</c:v>
                  </c:pt>
                  <c:pt idx="12">
                    <c:v>2016</c:v>
                  </c:pt>
                  <c:pt idx="24">
                    <c:v>2017</c:v>
                  </c:pt>
                  <c:pt idx="36">
                    <c:v>2018</c:v>
                  </c:pt>
                  <c:pt idx="48">
                    <c:v>2019</c:v>
                  </c:pt>
                  <c:pt idx="60">
                    <c:v>2020</c:v>
                  </c:pt>
                </c:lvl>
              </c:multiLvlStrCache>
            </c:multiLvlStrRef>
          </c:cat>
          <c:val>
            <c:numRef>
              <c:f>Mazumtirdzniecība!$N$183:$N$250</c:f>
              <c:numCache>
                <c:formatCode>0.0</c:formatCode>
                <c:ptCount val="68"/>
                <c:pt idx="0">
                  <c:v>2.8048080202332581</c:v>
                </c:pt>
                <c:pt idx="1">
                  <c:v>2.4216774171405522</c:v>
                </c:pt>
                <c:pt idx="2">
                  <c:v>2.7552927625958574</c:v>
                </c:pt>
                <c:pt idx="3">
                  <c:v>2.5791905177287173</c:v>
                </c:pt>
                <c:pt idx="4">
                  <c:v>2.9755091141347552</c:v>
                </c:pt>
                <c:pt idx="5">
                  <c:v>3.2194369788084081</c:v>
                </c:pt>
                <c:pt idx="6">
                  <c:v>2.2758235590673013</c:v>
                </c:pt>
                <c:pt idx="7">
                  <c:v>2.1471755584309511</c:v>
                </c:pt>
                <c:pt idx="8">
                  <c:v>3.3010668324314056</c:v>
                </c:pt>
                <c:pt idx="9">
                  <c:v>1.2502239410495923</c:v>
                </c:pt>
                <c:pt idx="10">
                  <c:v>0.3612193754363216</c:v>
                </c:pt>
                <c:pt idx="11">
                  <c:v>0.30190230069587731</c:v>
                </c:pt>
                <c:pt idx="12">
                  <c:v>2.6615916063192757</c:v>
                </c:pt>
                <c:pt idx="13">
                  <c:v>3.3853494504073467</c:v>
                </c:pt>
                <c:pt idx="14">
                  <c:v>2.8690723152020592</c:v>
                </c:pt>
                <c:pt idx="15">
                  <c:v>2.2293848693342624</c:v>
                </c:pt>
                <c:pt idx="16">
                  <c:v>0.90107783560468124</c:v>
                </c:pt>
                <c:pt idx="17">
                  <c:v>0.70359505521373567</c:v>
                </c:pt>
                <c:pt idx="18">
                  <c:v>1.3387485958684622</c:v>
                </c:pt>
                <c:pt idx="19">
                  <c:v>2.0576211934574884</c:v>
                </c:pt>
                <c:pt idx="20">
                  <c:v>1.8469017126265179</c:v>
                </c:pt>
                <c:pt idx="21">
                  <c:v>2.285586960035181</c:v>
                </c:pt>
                <c:pt idx="22">
                  <c:v>3.804033726963997</c:v>
                </c:pt>
                <c:pt idx="23">
                  <c:v>3.2751581127498759</c:v>
                </c:pt>
                <c:pt idx="24">
                  <c:v>1.8857867145702985</c:v>
                </c:pt>
                <c:pt idx="25">
                  <c:v>0.5553128425394378</c:v>
                </c:pt>
                <c:pt idx="26">
                  <c:v>0.3796600949037362</c:v>
                </c:pt>
                <c:pt idx="27">
                  <c:v>1.2008005771316894</c:v>
                </c:pt>
                <c:pt idx="28">
                  <c:v>2.7384780909972637</c:v>
                </c:pt>
                <c:pt idx="29">
                  <c:v>3.1497944426777815</c:v>
                </c:pt>
                <c:pt idx="30">
                  <c:v>2.6523599241390499</c:v>
                </c:pt>
                <c:pt idx="31">
                  <c:v>2.904249337372903</c:v>
                </c:pt>
                <c:pt idx="32">
                  <c:v>3.2627372666674712</c:v>
                </c:pt>
                <c:pt idx="33">
                  <c:v>3.0264094568946351</c:v>
                </c:pt>
                <c:pt idx="34">
                  <c:v>2.597603579450948</c:v>
                </c:pt>
                <c:pt idx="35">
                  <c:v>2.2686165804048812</c:v>
                </c:pt>
                <c:pt idx="36">
                  <c:v>3.2144639934931041</c:v>
                </c:pt>
                <c:pt idx="37">
                  <c:v>0.17508109735905786</c:v>
                </c:pt>
                <c:pt idx="38">
                  <c:v>2.3411957197251225</c:v>
                </c:pt>
                <c:pt idx="39">
                  <c:v>1.8003421393477237</c:v>
                </c:pt>
                <c:pt idx="40">
                  <c:v>2.8429400082881808</c:v>
                </c:pt>
                <c:pt idx="41">
                  <c:v>1.6679606171727186</c:v>
                </c:pt>
                <c:pt idx="42">
                  <c:v>1.1892405282966356</c:v>
                </c:pt>
                <c:pt idx="43">
                  <c:v>0.27160734307903089</c:v>
                </c:pt>
                <c:pt idx="44">
                  <c:v>2.3709227710808247</c:v>
                </c:pt>
                <c:pt idx="45">
                  <c:v>0.95552602716191137</c:v>
                </c:pt>
                <c:pt idx="46">
                  <c:v>2.2692866581536628</c:v>
                </c:pt>
                <c:pt idx="47">
                  <c:v>1.918450660764254</c:v>
                </c:pt>
                <c:pt idx="48">
                  <c:v>0.9190210963507498</c:v>
                </c:pt>
                <c:pt idx="49">
                  <c:v>4.5528230065880528</c:v>
                </c:pt>
                <c:pt idx="50">
                  <c:v>3.02299355561818</c:v>
                </c:pt>
                <c:pt idx="51">
                  <c:v>2.6911586099424909</c:v>
                </c:pt>
                <c:pt idx="52">
                  <c:v>1.8946363620690072</c:v>
                </c:pt>
                <c:pt idx="53">
                  <c:v>1.5194481317241297</c:v>
                </c:pt>
                <c:pt idx="54">
                  <c:v>1.1202530889281519</c:v>
                </c:pt>
                <c:pt idx="55">
                  <c:v>1.7706723127798054</c:v>
                </c:pt>
                <c:pt idx="56">
                  <c:v>-0.88742236263008811</c:v>
                </c:pt>
                <c:pt idx="57">
                  <c:v>0.58329500102180931</c:v>
                </c:pt>
                <c:pt idx="58">
                  <c:v>1.3043486326631499</c:v>
                </c:pt>
                <c:pt idx="59">
                  <c:v>1.6953894153419222</c:v>
                </c:pt>
                <c:pt idx="60">
                  <c:v>1.0096787213124876</c:v>
                </c:pt>
                <c:pt idx="61">
                  <c:v>3.1197570869269242</c:v>
                </c:pt>
                <c:pt idx="62">
                  <c:v>-3.0219911235905879</c:v>
                </c:pt>
                <c:pt idx="63">
                  <c:v>-5.8449428227923752</c:v>
                </c:pt>
                <c:pt idx="64">
                  <c:v>-1.5289385839526448</c:v>
                </c:pt>
                <c:pt idx="65">
                  <c:v>1.0132915459152299</c:v>
                </c:pt>
                <c:pt idx="66">
                  <c:v>1.1390032811794386</c:v>
                </c:pt>
                <c:pt idx="67">
                  <c:v>0.81314333224928437</c:v>
                </c:pt>
              </c:numCache>
            </c:numRef>
          </c:val>
          <c:extLst>
            <c:ext xmlns:c16="http://schemas.microsoft.com/office/drawing/2014/chart" uri="{C3380CC4-5D6E-409C-BE32-E72D297353CC}">
              <c16:uniqueId val="{00000002-9EA0-436B-AADF-A2A3BF5C0995}"/>
            </c:ext>
          </c:extLst>
        </c:ser>
        <c:dLbls>
          <c:showLegendKey val="0"/>
          <c:showVal val="0"/>
          <c:showCatName val="0"/>
          <c:showSerName val="0"/>
          <c:showPercent val="0"/>
          <c:showBubbleSize val="0"/>
        </c:dLbls>
        <c:gapWidth val="50"/>
        <c:overlap val="100"/>
        <c:axId val="343843672"/>
        <c:axId val="343844064"/>
      </c:barChart>
      <c:lineChart>
        <c:grouping val="standard"/>
        <c:varyColors val="0"/>
        <c:ser>
          <c:idx val="0"/>
          <c:order val="0"/>
          <c:tx>
            <c:strRef>
              <c:f>Mazumtirdzniecība!$K$2</c:f>
              <c:strCache>
                <c:ptCount val="1"/>
                <c:pt idx="0">
                  <c:v>Mazumtirdzniecība</c:v>
                </c:pt>
              </c:strCache>
            </c:strRef>
          </c:tx>
          <c:spPr>
            <a:ln w="28575" cap="rnd">
              <a:solidFill>
                <a:schemeClr val="tx1"/>
              </a:solidFill>
              <a:prstDash val="sysDash"/>
              <a:round/>
            </a:ln>
            <a:effectLst/>
          </c:spPr>
          <c:marker>
            <c:symbol val="none"/>
          </c:marker>
          <c:cat>
            <c:multiLvlStrRef>
              <c:f>Mazumtirdzniecība!$A$183:$B$250</c:f>
              <c:multiLvlStrCache>
                <c:ptCount val="6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lvl>
                <c:lvl>
                  <c:pt idx="0">
                    <c:v>2015</c:v>
                  </c:pt>
                  <c:pt idx="12">
                    <c:v>2016</c:v>
                  </c:pt>
                  <c:pt idx="24">
                    <c:v>2017</c:v>
                  </c:pt>
                  <c:pt idx="36">
                    <c:v>2018</c:v>
                  </c:pt>
                  <c:pt idx="48">
                    <c:v>2019</c:v>
                  </c:pt>
                  <c:pt idx="60">
                    <c:v>2020</c:v>
                  </c:pt>
                </c:lvl>
              </c:multiLvlStrCache>
            </c:multiLvlStrRef>
          </c:cat>
          <c:val>
            <c:numRef>
              <c:f>Mazumtirdzniecība!$K$183:$K$250</c:f>
              <c:numCache>
                <c:formatCode>0.0</c:formatCode>
                <c:ptCount val="68"/>
                <c:pt idx="0">
                  <c:v>6.4593301435406758</c:v>
                </c:pt>
                <c:pt idx="1">
                  <c:v>9.0330788804071425</c:v>
                </c:pt>
                <c:pt idx="2">
                  <c:v>7.0469798657718075</c:v>
                </c:pt>
                <c:pt idx="3">
                  <c:v>3.7919826652220934</c:v>
                </c:pt>
                <c:pt idx="4">
                  <c:v>5.5201698513800412</c:v>
                </c:pt>
                <c:pt idx="5">
                  <c:v>7.052631578947377</c:v>
                </c:pt>
                <c:pt idx="6">
                  <c:v>4.98046875</c:v>
                </c:pt>
                <c:pt idx="7">
                  <c:v>5.5715658021133541</c:v>
                </c:pt>
                <c:pt idx="8">
                  <c:v>4.4852191641182593</c:v>
                </c:pt>
                <c:pt idx="9">
                  <c:v>5.1102204408817631</c:v>
                </c:pt>
                <c:pt idx="10">
                  <c:v>-0.31479538300104304</c:v>
                </c:pt>
                <c:pt idx="11">
                  <c:v>1.5287769784172678</c:v>
                </c:pt>
                <c:pt idx="12">
                  <c:v>3.0337078651685445</c:v>
                </c:pt>
                <c:pt idx="13">
                  <c:v>1.5169194865811031</c:v>
                </c:pt>
                <c:pt idx="14">
                  <c:v>1.1494252873563093</c:v>
                </c:pt>
                <c:pt idx="15">
                  <c:v>2.1920668058455162</c:v>
                </c:pt>
                <c:pt idx="16">
                  <c:v>3.3199195171026208</c:v>
                </c:pt>
                <c:pt idx="17">
                  <c:v>1.9665683382497523</c:v>
                </c:pt>
                <c:pt idx="18">
                  <c:v>1.9534883720930152</c:v>
                </c:pt>
                <c:pt idx="19">
                  <c:v>1.0919017288443911</c:v>
                </c:pt>
                <c:pt idx="20">
                  <c:v>1.073170731707318</c:v>
                </c:pt>
                <c:pt idx="21">
                  <c:v>0.28598665395613843</c:v>
                </c:pt>
                <c:pt idx="22">
                  <c:v>4.9473684210526336</c:v>
                </c:pt>
                <c:pt idx="23">
                  <c:v>2.4800708591673937</c:v>
                </c:pt>
                <c:pt idx="24">
                  <c:v>3.598691384950925</c:v>
                </c:pt>
                <c:pt idx="25">
                  <c:v>2.4137931034482696</c:v>
                </c:pt>
                <c:pt idx="26">
                  <c:v>2.2727272727272707</c:v>
                </c:pt>
                <c:pt idx="27">
                  <c:v>3.6772216547497294</c:v>
                </c:pt>
                <c:pt idx="28">
                  <c:v>4.3816942551119675</c:v>
                </c:pt>
                <c:pt idx="29">
                  <c:v>3.6644165863066513</c:v>
                </c:pt>
                <c:pt idx="30">
                  <c:v>4.3795620437956373</c:v>
                </c:pt>
                <c:pt idx="31">
                  <c:v>5.4005400540054094</c:v>
                </c:pt>
                <c:pt idx="32">
                  <c:v>4.9227799227799407</c:v>
                </c:pt>
                <c:pt idx="33">
                  <c:v>4.4676806083650211</c:v>
                </c:pt>
                <c:pt idx="34">
                  <c:v>5.8174523570712067</c:v>
                </c:pt>
                <c:pt idx="35">
                  <c:v>7.0872947277441645</c:v>
                </c:pt>
                <c:pt idx="36">
                  <c:v>6.315789473684208</c:v>
                </c:pt>
                <c:pt idx="37">
                  <c:v>3.4792368125701634</c:v>
                </c:pt>
                <c:pt idx="38">
                  <c:v>6.1616161616161458</c:v>
                </c:pt>
                <c:pt idx="39">
                  <c:v>3.1527093596059208</c:v>
                </c:pt>
                <c:pt idx="40">
                  <c:v>6.7164179104477695</c:v>
                </c:pt>
                <c:pt idx="41">
                  <c:v>5.1162790697674376</c:v>
                </c:pt>
                <c:pt idx="42">
                  <c:v>4.3706293706293753</c:v>
                </c:pt>
                <c:pt idx="43">
                  <c:v>1.4517506404782221</c:v>
                </c:pt>
                <c:pt idx="44">
                  <c:v>3.3118675252989727</c:v>
                </c:pt>
                <c:pt idx="45">
                  <c:v>2.3657870791628621</c:v>
                </c:pt>
                <c:pt idx="46">
                  <c:v>3.7914691943127909</c:v>
                </c:pt>
                <c:pt idx="47">
                  <c:v>2.1791767554479424</c:v>
                </c:pt>
                <c:pt idx="48">
                  <c:v>1.2871287128712883</c:v>
                </c:pt>
                <c:pt idx="49">
                  <c:v>5.7483731019522644</c:v>
                </c:pt>
                <c:pt idx="50">
                  <c:v>3.8058991436726863</c:v>
                </c:pt>
                <c:pt idx="51">
                  <c:v>6.2082139446036244</c:v>
                </c:pt>
                <c:pt idx="52">
                  <c:v>1.3986013986013957</c:v>
                </c:pt>
                <c:pt idx="53">
                  <c:v>2.1238938053097289</c:v>
                </c:pt>
                <c:pt idx="54">
                  <c:v>1.3400335008375119</c:v>
                </c:pt>
                <c:pt idx="55">
                  <c:v>2.4410774410774438</c:v>
                </c:pt>
                <c:pt idx="56">
                  <c:v>-0.80142475512020583</c:v>
                </c:pt>
                <c:pt idx="57">
                  <c:v>8.8888888888893902E-2</c:v>
                </c:pt>
                <c:pt idx="58">
                  <c:v>1.7351598173515947</c:v>
                </c:pt>
                <c:pt idx="59">
                  <c:v>2.6066350710900466</c:v>
                </c:pt>
                <c:pt idx="60">
                  <c:v>1.4662756598240456</c:v>
                </c:pt>
                <c:pt idx="61">
                  <c:v>5.9487179487179409</c:v>
                </c:pt>
                <c:pt idx="62">
                  <c:v>-0.45829514207149646</c:v>
                </c:pt>
                <c:pt idx="63">
                  <c:v>-8.9028776978417277</c:v>
                </c:pt>
                <c:pt idx="64">
                  <c:v>-0.60344827586207295</c:v>
                </c:pt>
                <c:pt idx="65">
                  <c:v>4.2461005199306623</c:v>
                </c:pt>
                <c:pt idx="66">
                  <c:v>3.140495867768589</c:v>
                </c:pt>
                <c:pt idx="67">
                  <c:v>4.3549712407559449</c:v>
                </c:pt>
              </c:numCache>
            </c:numRef>
          </c:val>
          <c:smooth val="0"/>
          <c:extLst>
            <c:ext xmlns:c16="http://schemas.microsoft.com/office/drawing/2014/chart" uri="{C3380CC4-5D6E-409C-BE32-E72D297353CC}">
              <c16:uniqueId val="{00000003-9EA0-436B-AADF-A2A3BF5C0995}"/>
            </c:ext>
          </c:extLst>
        </c:ser>
        <c:dLbls>
          <c:showLegendKey val="0"/>
          <c:showVal val="0"/>
          <c:showCatName val="0"/>
          <c:showSerName val="0"/>
          <c:showPercent val="0"/>
          <c:showBubbleSize val="0"/>
        </c:dLbls>
        <c:marker val="1"/>
        <c:smooth val="0"/>
        <c:axId val="343843672"/>
        <c:axId val="343844064"/>
      </c:lineChart>
      <c:catAx>
        <c:axId val="343843672"/>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343844064"/>
        <c:crosses val="autoZero"/>
        <c:auto val="1"/>
        <c:lblAlgn val="ctr"/>
        <c:lblOffset val="100"/>
        <c:noMultiLvlLbl val="0"/>
      </c:catAx>
      <c:valAx>
        <c:axId val="343844064"/>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343843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sz="90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280425793643544"/>
          <c:y val="9.0061469589028637E-2"/>
          <c:w val="0.38043517182161973"/>
          <c:h val="0.70981627296587924"/>
        </c:manualLayout>
      </c:layout>
      <c:pieChart>
        <c:varyColors val="1"/>
        <c:ser>
          <c:idx val="0"/>
          <c:order val="0"/>
          <c:spPr>
            <a:solidFill>
              <a:srgbClr val="0070C0"/>
            </a:solidFill>
          </c:spPr>
          <c:dPt>
            <c:idx val="0"/>
            <c:bubble3D val="0"/>
            <c:spPr>
              <a:pattFill prst="dkUpDiag">
                <a:fgClr>
                  <a:srgbClr val="0070C0"/>
                </a:fgClr>
                <a:bgClr>
                  <a:schemeClr val="bg1"/>
                </a:bgClr>
              </a:pattFill>
              <a:ln w="12700">
                <a:solidFill>
                  <a:srgbClr val="0070C0"/>
                </a:solidFill>
              </a:ln>
              <a:effectLst/>
            </c:spPr>
            <c:extLst>
              <c:ext xmlns:c16="http://schemas.microsoft.com/office/drawing/2014/chart" uri="{C3380CC4-5D6E-409C-BE32-E72D297353CC}">
                <c16:uniqueId val="{00000001-B733-405F-A841-F5CCA6960375}"/>
              </c:ext>
            </c:extLst>
          </c:dPt>
          <c:dPt>
            <c:idx val="1"/>
            <c:bubble3D val="0"/>
            <c:spPr>
              <a:pattFill prst="dkUpDiag">
                <a:fgClr>
                  <a:srgbClr val="00B050"/>
                </a:fgClr>
                <a:bgClr>
                  <a:schemeClr val="bg1"/>
                </a:bgClr>
              </a:pattFill>
              <a:ln w="12700">
                <a:solidFill>
                  <a:srgbClr val="00B050"/>
                </a:solidFill>
              </a:ln>
              <a:effectLst/>
            </c:spPr>
            <c:extLst>
              <c:ext xmlns:c16="http://schemas.microsoft.com/office/drawing/2014/chart" uri="{C3380CC4-5D6E-409C-BE32-E72D297353CC}">
                <c16:uniqueId val="{00000003-B733-405F-A841-F5CCA6960375}"/>
              </c:ext>
            </c:extLst>
          </c:dPt>
          <c:dPt>
            <c:idx val="2"/>
            <c:bubble3D val="0"/>
            <c:spPr>
              <a:solidFill>
                <a:schemeClr val="tx1">
                  <a:lumMod val="65000"/>
                  <a:lumOff val="35000"/>
                </a:schemeClr>
              </a:solidFill>
              <a:ln w="19050">
                <a:solidFill>
                  <a:schemeClr val="tx1">
                    <a:lumMod val="65000"/>
                    <a:lumOff val="35000"/>
                  </a:schemeClr>
                </a:solidFill>
              </a:ln>
              <a:effectLst/>
            </c:spPr>
            <c:extLst>
              <c:ext xmlns:c16="http://schemas.microsoft.com/office/drawing/2014/chart" uri="{C3380CC4-5D6E-409C-BE32-E72D297353CC}">
                <c16:uniqueId val="{00000005-B733-405F-A841-F5CCA6960375}"/>
              </c:ext>
            </c:extLst>
          </c:dPt>
          <c:dPt>
            <c:idx val="3"/>
            <c:bubble3D val="0"/>
            <c:spPr>
              <a:pattFill prst="dkUpDiag">
                <a:fgClr>
                  <a:schemeClr val="tx2">
                    <a:lumMod val="75000"/>
                  </a:schemeClr>
                </a:fgClr>
                <a:bgClr>
                  <a:schemeClr val="bg1"/>
                </a:bgClr>
              </a:pattFill>
              <a:ln w="19050">
                <a:solidFill>
                  <a:schemeClr val="lt1"/>
                </a:solidFill>
              </a:ln>
              <a:effectLst/>
            </c:spPr>
            <c:extLst>
              <c:ext xmlns:c16="http://schemas.microsoft.com/office/drawing/2014/chart" uri="{C3380CC4-5D6E-409C-BE32-E72D297353CC}">
                <c16:uniqueId val="{00000007-B733-405F-A841-F5CCA6960375}"/>
              </c:ext>
            </c:extLst>
          </c:dPt>
          <c:dPt>
            <c:idx val="4"/>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09-B733-405F-A841-F5CCA6960375}"/>
              </c:ext>
            </c:extLst>
          </c:dPt>
          <c:dLbls>
            <c:dLbl>
              <c:idx val="0"/>
              <c:layout>
                <c:manualLayout>
                  <c:x val="6.8258521049138002E-3"/>
                  <c:y val="-0.13708103229177801"/>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24417560333960578"/>
                      <c:h val="0.36843566967922114"/>
                    </c:manualLayout>
                  </c15:layout>
                </c:ext>
                <c:ext xmlns:c16="http://schemas.microsoft.com/office/drawing/2014/chart" uri="{C3380CC4-5D6E-409C-BE32-E72D297353CC}">
                  <c16:uniqueId val="{00000001-B733-405F-A841-F5CCA6960375}"/>
                </c:ext>
              </c:extLst>
            </c:dLbl>
            <c:dLbl>
              <c:idx val="1"/>
              <c:layout>
                <c:manualLayout>
                  <c:x val="0.11732673207032404"/>
                  <c:y val="-4.179250320982604E-3"/>
                </c:manualLayout>
              </c:layout>
              <c:showLegendKey val="0"/>
              <c:showVal val="0"/>
              <c:showCatName val="1"/>
              <c:showSerName val="0"/>
              <c:showPercent val="1"/>
              <c:showBubbleSize val="0"/>
              <c:extLst>
                <c:ext xmlns:c15="http://schemas.microsoft.com/office/drawing/2012/chart" uri="{CE6537A1-D6FC-4f65-9D91-7224C49458BB}">
                  <c15:layout>
                    <c:manualLayout>
                      <c:w val="0.24160866202629541"/>
                      <c:h val="0.32183886105145942"/>
                    </c:manualLayout>
                  </c15:layout>
                </c:ext>
                <c:ext xmlns:c16="http://schemas.microsoft.com/office/drawing/2014/chart" uri="{C3380CC4-5D6E-409C-BE32-E72D297353CC}">
                  <c16:uniqueId val="{00000003-B733-405F-A841-F5CCA6960375}"/>
                </c:ext>
              </c:extLst>
            </c:dLbl>
            <c:dLbl>
              <c:idx val="2"/>
              <c:layout>
                <c:manualLayout>
                  <c:x val="-2.1655065738592449E-2"/>
                  <c:y val="-1.069639022394928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36040216550657383"/>
                      <c:h val="0.19376026272577998"/>
                    </c:manualLayout>
                  </c15:layout>
                </c:ext>
                <c:ext xmlns:c16="http://schemas.microsoft.com/office/drawing/2014/chart" uri="{C3380CC4-5D6E-409C-BE32-E72D297353CC}">
                  <c16:uniqueId val="{00000005-B733-405F-A841-F5CCA6960375}"/>
                </c:ext>
              </c:extLst>
            </c:dLbl>
            <c:dLbl>
              <c:idx val="3"/>
              <c:layout>
                <c:manualLayout>
                  <c:x val="-5.8546382398255901E-2"/>
                  <c:y val="3.92178250445966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733-405F-A841-F5CCA6960375}"/>
                </c:ext>
              </c:extLst>
            </c:dLbl>
            <c:dLbl>
              <c:idx val="4"/>
              <c:layout>
                <c:manualLayout>
                  <c:x val="-0.20521377983204539"/>
                  <c:y val="1.97418082920630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733-405F-A841-F5CCA696037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Sheet1!$B$7:$B$11</c:f>
              <c:strCache>
                <c:ptCount val="5"/>
                <c:pt idx="0">
                  <c:v>Sauszemes un cauruļvadu transports</c:v>
                </c:pt>
                <c:pt idx="1">
                  <c:v>Ūdens transports</c:v>
                </c:pt>
                <c:pt idx="2">
                  <c:v>Gaisa transports</c:v>
                </c:pt>
                <c:pt idx="3">
                  <c:v>Uzglabāšanas un transporta palīgdarbības</c:v>
                </c:pt>
                <c:pt idx="4">
                  <c:v>Pasta un kurjeru darbība</c:v>
                </c:pt>
              </c:strCache>
            </c:strRef>
          </c:cat>
          <c:val>
            <c:numRef>
              <c:f>Sheet1!$C$7:$C$11</c:f>
              <c:numCache>
                <c:formatCode>0.0%</c:formatCode>
                <c:ptCount val="5"/>
                <c:pt idx="0">
                  <c:v>0.46</c:v>
                </c:pt>
                <c:pt idx="1">
                  <c:v>3.8059999999999997E-2</c:v>
                </c:pt>
                <c:pt idx="2">
                  <c:v>4.3572E-2</c:v>
                </c:pt>
                <c:pt idx="3">
                  <c:v>0.42263400000000001</c:v>
                </c:pt>
                <c:pt idx="4">
                  <c:v>3.5278999999999998E-2</c:v>
                </c:pt>
              </c:numCache>
            </c:numRef>
          </c:val>
          <c:extLst>
            <c:ext xmlns:c16="http://schemas.microsoft.com/office/drawing/2014/chart" uri="{C3380CC4-5D6E-409C-BE32-E72D297353CC}">
              <c16:uniqueId val="{0000000A-B733-405F-A841-F5CCA696037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803149606299214E-2"/>
          <c:y val="3.2407407407407406E-2"/>
          <c:w val="0.89019685039370078"/>
          <c:h val="0.87904043598448012"/>
        </c:manualLayout>
      </c:layout>
      <c:barChart>
        <c:barDir val="col"/>
        <c:grouping val="clustered"/>
        <c:varyColors val="0"/>
        <c:ser>
          <c:idx val="0"/>
          <c:order val="0"/>
          <c:tx>
            <c:strRef>
              <c:f>'Baltijas A-krasta VISAS EE osta'!$X$25</c:f>
              <c:strCache>
                <c:ptCount val="1"/>
                <c:pt idx="0">
                  <c:v>2010 I-VI</c:v>
                </c:pt>
              </c:strCache>
            </c:strRef>
          </c:tx>
          <c:spPr>
            <a:pattFill prst="dkUpDiag">
              <a:fgClr>
                <a:srgbClr val="5B9BD5">
                  <a:lumMod val="50000"/>
                </a:srgbClr>
              </a:fgClr>
              <a:bgClr>
                <a:sysClr val="window" lastClr="FFFFFF"/>
              </a:bgClr>
            </a:pattFill>
            <a:ln>
              <a:solidFill>
                <a:srgbClr val="5B9BD5"/>
              </a:solidFill>
            </a:ln>
            <a:effectLst/>
          </c:spPr>
          <c:invertIfNegative val="0"/>
          <c:dPt>
            <c:idx val="0"/>
            <c:invertIfNegative val="0"/>
            <c:bubble3D val="0"/>
            <c:spPr>
              <a:pattFill prst="dkUpDiag">
                <a:fgClr>
                  <a:srgbClr val="5B9BD5">
                    <a:lumMod val="50000"/>
                  </a:srgbClr>
                </a:fgClr>
                <a:bgClr>
                  <a:sysClr val="window" lastClr="FFFFFF"/>
                </a:bgClr>
              </a:pattFill>
              <a:ln>
                <a:solidFill>
                  <a:srgbClr val="5B9BD5"/>
                </a:solidFill>
              </a:ln>
              <a:effectLst/>
            </c:spPr>
            <c:extLst>
              <c:ext xmlns:c16="http://schemas.microsoft.com/office/drawing/2014/chart" uri="{C3380CC4-5D6E-409C-BE32-E72D297353CC}">
                <c16:uniqueId val="{00000001-B42D-4335-8FF6-543DC2B4CB1F}"/>
              </c:ext>
            </c:extLst>
          </c:dPt>
          <c:dPt>
            <c:idx val="1"/>
            <c:invertIfNegative val="0"/>
            <c:bubble3D val="0"/>
            <c:spPr>
              <a:pattFill prst="dkUpDiag">
                <a:fgClr>
                  <a:srgbClr val="00B050"/>
                </a:fgClr>
                <a:bgClr>
                  <a:sysClr val="window" lastClr="FFFFFF"/>
                </a:bgClr>
              </a:pattFill>
              <a:ln>
                <a:solidFill>
                  <a:srgbClr val="00B050"/>
                </a:solidFill>
              </a:ln>
              <a:effectLst/>
            </c:spPr>
            <c:extLst>
              <c:ext xmlns:c16="http://schemas.microsoft.com/office/drawing/2014/chart" uri="{C3380CC4-5D6E-409C-BE32-E72D297353CC}">
                <c16:uniqueId val="{00000003-B42D-4335-8FF6-543DC2B4CB1F}"/>
              </c:ext>
            </c:extLst>
          </c:dPt>
          <c:dLbls>
            <c:dLbl>
              <c:idx val="0"/>
              <c:layout>
                <c:manualLayout>
                  <c:x val="-1.2843565373747753E-2"/>
                  <c:y val="0.68475111930471422"/>
                </c:manualLayout>
              </c:layout>
              <c:tx>
                <c:rich>
                  <a:bodyPr/>
                  <a:lstStyle/>
                  <a:p>
                    <a:r>
                      <a:rPr lang="en-US"/>
                      <a:t>2010.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2D-4335-8FF6-543DC2B4CB1F}"/>
                </c:ext>
              </c:extLst>
            </c:dLbl>
            <c:dLbl>
              <c:idx val="1"/>
              <c:layout>
                <c:manualLayout>
                  <c:x val="-5.1374261494991011E-3"/>
                  <c:y val="0.57413747695549122"/>
                </c:manualLayout>
              </c:layout>
              <c:tx>
                <c:rich>
                  <a:bodyPr/>
                  <a:lstStyle/>
                  <a:p>
                    <a:r>
                      <a:rPr lang="en-US"/>
                      <a:t>2010.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2D-4335-8FF6-543DC2B4CB1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'Baltijas A-krasta VISAS EE osta'!$V$26:$V$27</c:f>
              <c:strCache>
                <c:ptCount val="2"/>
                <c:pt idx="0">
                  <c:v>Ostas</c:v>
                </c:pt>
                <c:pt idx="1">
                  <c:v>Dzelzceļš</c:v>
                </c:pt>
              </c:strCache>
            </c:strRef>
          </c:cat>
          <c:val>
            <c:numRef>
              <c:f>'Baltijas A-krasta VISAS EE osta'!$X$26:$X$27</c:f>
              <c:numCache>
                <c:formatCode>General</c:formatCode>
                <c:ptCount val="2"/>
                <c:pt idx="0">
                  <c:v>40776.409999999996</c:v>
                </c:pt>
                <c:pt idx="1">
                  <c:v>32917.5</c:v>
                </c:pt>
              </c:numCache>
            </c:numRef>
          </c:val>
          <c:extLst>
            <c:ext xmlns:c16="http://schemas.microsoft.com/office/drawing/2014/chart" uri="{C3380CC4-5D6E-409C-BE32-E72D297353CC}">
              <c16:uniqueId val="{00000004-B42D-4335-8FF6-543DC2B4CB1F}"/>
            </c:ext>
          </c:extLst>
        </c:ser>
        <c:ser>
          <c:idx val="1"/>
          <c:order val="1"/>
          <c:tx>
            <c:strRef>
              <c:f>'Baltijas A-krasta VISAS EE osta'!$Y$25</c:f>
              <c:strCache>
                <c:ptCount val="1"/>
                <c:pt idx="0">
                  <c:v>2011 I-VI</c:v>
                </c:pt>
              </c:strCache>
            </c:strRef>
          </c:tx>
          <c:spPr>
            <a:pattFill prst="dkUpDiag">
              <a:fgClr>
                <a:srgbClr val="5B9BD5">
                  <a:lumMod val="50000"/>
                </a:srgbClr>
              </a:fgClr>
              <a:bgClr>
                <a:sysClr val="window" lastClr="FFFFFF"/>
              </a:bgClr>
            </a:pattFill>
            <a:ln>
              <a:solidFill>
                <a:srgbClr val="5B9BD5"/>
              </a:solidFill>
            </a:ln>
            <a:effectLst/>
          </c:spPr>
          <c:invertIfNegative val="0"/>
          <c:dPt>
            <c:idx val="0"/>
            <c:invertIfNegative val="0"/>
            <c:bubble3D val="0"/>
            <c:spPr>
              <a:pattFill prst="dkUpDiag">
                <a:fgClr>
                  <a:srgbClr val="5B9BD5">
                    <a:lumMod val="50000"/>
                  </a:srgbClr>
                </a:fgClr>
                <a:bgClr>
                  <a:sysClr val="window" lastClr="FFFFFF"/>
                </a:bgClr>
              </a:pattFill>
              <a:ln>
                <a:solidFill>
                  <a:srgbClr val="264478"/>
                </a:solidFill>
              </a:ln>
              <a:effectLst/>
            </c:spPr>
            <c:extLst>
              <c:ext xmlns:c16="http://schemas.microsoft.com/office/drawing/2014/chart" uri="{C3380CC4-5D6E-409C-BE32-E72D297353CC}">
                <c16:uniqueId val="{00000006-B42D-4335-8FF6-543DC2B4CB1F}"/>
              </c:ext>
            </c:extLst>
          </c:dPt>
          <c:dPt>
            <c:idx val="1"/>
            <c:invertIfNegative val="0"/>
            <c:bubble3D val="0"/>
            <c:spPr>
              <a:pattFill prst="dkUpDiag">
                <a:fgClr>
                  <a:srgbClr val="00B050"/>
                </a:fgClr>
                <a:bgClr>
                  <a:sysClr val="window" lastClr="FFFFFF"/>
                </a:bgClr>
              </a:pattFill>
              <a:ln>
                <a:solidFill>
                  <a:srgbClr val="5B9BD5"/>
                </a:solidFill>
              </a:ln>
              <a:effectLst/>
            </c:spPr>
            <c:extLst>
              <c:ext xmlns:c16="http://schemas.microsoft.com/office/drawing/2014/chart" uri="{C3380CC4-5D6E-409C-BE32-E72D297353CC}">
                <c16:uniqueId val="{00000008-B42D-4335-8FF6-543DC2B4CB1F}"/>
              </c:ext>
            </c:extLst>
          </c:dPt>
          <c:cat>
            <c:strRef>
              <c:f>'Baltijas A-krasta VISAS EE osta'!$V$26:$V$27</c:f>
              <c:strCache>
                <c:ptCount val="2"/>
                <c:pt idx="0">
                  <c:v>Ostas</c:v>
                </c:pt>
                <c:pt idx="1">
                  <c:v>Dzelzceļš</c:v>
                </c:pt>
              </c:strCache>
            </c:strRef>
          </c:cat>
          <c:val>
            <c:numRef>
              <c:f>'Baltijas A-krasta VISAS EE osta'!$Y$26:$Y$27</c:f>
              <c:numCache>
                <c:formatCode>General</c:formatCode>
                <c:ptCount val="2"/>
                <c:pt idx="0">
                  <c:v>45674.09</c:v>
                </c:pt>
                <c:pt idx="1">
                  <c:v>38885.699999999997</c:v>
                </c:pt>
              </c:numCache>
            </c:numRef>
          </c:val>
          <c:extLst>
            <c:ext xmlns:c16="http://schemas.microsoft.com/office/drawing/2014/chart" uri="{C3380CC4-5D6E-409C-BE32-E72D297353CC}">
              <c16:uniqueId val="{00000009-B42D-4335-8FF6-543DC2B4CB1F}"/>
            </c:ext>
          </c:extLst>
        </c:ser>
        <c:ser>
          <c:idx val="2"/>
          <c:order val="2"/>
          <c:tx>
            <c:strRef>
              <c:f>'Baltijas A-krasta VISAS EE osta'!$Z$25</c:f>
              <c:strCache>
                <c:ptCount val="1"/>
                <c:pt idx="0">
                  <c:v>2012 I-VI</c:v>
                </c:pt>
              </c:strCache>
            </c:strRef>
          </c:tx>
          <c:spPr>
            <a:solidFill>
              <a:schemeClr val="accent3"/>
            </a:solidFill>
            <a:ln>
              <a:solidFill>
                <a:srgbClr val="5B9BD5"/>
              </a:solidFill>
            </a:ln>
            <a:effectLst/>
          </c:spPr>
          <c:invertIfNegative val="0"/>
          <c:dPt>
            <c:idx val="0"/>
            <c:invertIfNegative val="0"/>
            <c:bubble3D val="0"/>
            <c:spPr>
              <a:pattFill prst="dkUpDiag">
                <a:fgClr>
                  <a:srgbClr val="5B9BD5">
                    <a:lumMod val="50000"/>
                  </a:srgbClr>
                </a:fgClr>
                <a:bgClr>
                  <a:sysClr val="window" lastClr="FFFFFF"/>
                </a:bgClr>
              </a:pattFill>
              <a:ln>
                <a:solidFill>
                  <a:srgbClr val="264478"/>
                </a:solidFill>
              </a:ln>
              <a:effectLst/>
            </c:spPr>
            <c:extLst>
              <c:ext xmlns:c16="http://schemas.microsoft.com/office/drawing/2014/chart" uri="{C3380CC4-5D6E-409C-BE32-E72D297353CC}">
                <c16:uniqueId val="{0000000B-B42D-4335-8FF6-543DC2B4CB1F}"/>
              </c:ext>
            </c:extLst>
          </c:dPt>
          <c:dPt>
            <c:idx val="1"/>
            <c:invertIfNegative val="0"/>
            <c:bubble3D val="0"/>
            <c:spPr>
              <a:pattFill prst="dkUpDiag">
                <a:fgClr>
                  <a:srgbClr val="00B050"/>
                </a:fgClr>
                <a:bgClr>
                  <a:sysClr val="window" lastClr="FFFFFF"/>
                </a:bgClr>
              </a:pattFill>
              <a:ln>
                <a:solidFill>
                  <a:srgbClr val="00B050"/>
                </a:solidFill>
              </a:ln>
              <a:effectLst/>
            </c:spPr>
            <c:extLst>
              <c:ext xmlns:c16="http://schemas.microsoft.com/office/drawing/2014/chart" uri="{C3380CC4-5D6E-409C-BE32-E72D297353CC}">
                <c16:uniqueId val="{0000000D-B42D-4335-8FF6-543DC2B4CB1F}"/>
              </c:ext>
            </c:extLst>
          </c:dPt>
          <c:cat>
            <c:strRef>
              <c:f>'Baltijas A-krasta VISAS EE osta'!$V$26:$V$27</c:f>
              <c:strCache>
                <c:ptCount val="2"/>
                <c:pt idx="0">
                  <c:v>Ostas</c:v>
                </c:pt>
                <c:pt idx="1">
                  <c:v>Dzelzceļš</c:v>
                </c:pt>
              </c:strCache>
            </c:strRef>
          </c:cat>
          <c:val>
            <c:numRef>
              <c:f>'Baltijas A-krasta VISAS EE osta'!$Z$26:$Z$27</c:f>
              <c:numCache>
                <c:formatCode>General</c:formatCode>
                <c:ptCount val="2"/>
                <c:pt idx="0">
                  <c:v>52148.599999999991</c:v>
                </c:pt>
                <c:pt idx="1">
                  <c:v>43019.099999999991</c:v>
                </c:pt>
              </c:numCache>
            </c:numRef>
          </c:val>
          <c:extLst>
            <c:ext xmlns:c16="http://schemas.microsoft.com/office/drawing/2014/chart" uri="{C3380CC4-5D6E-409C-BE32-E72D297353CC}">
              <c16:uniqueId val="{0000000E-B42D-4335-8FF6-543DC2B4CB1F}"/>
            </c:ext>
          </c:extLst>
        </c:ser>
        <c:ser>
          <c:idx val="3"/>
          <c:order val="3"/>
          <c:tx>
            <c:strRef>
              <c:f>'Baltijas A-krasta VISAS EE osta'!$AA$25</c:f>
              <c:strCache>
                <c:ptCount val="1"/>
                <c:pt idx="0">
                  <c:v>2013 I-VI</c:v>
                </c:pt>
              </c:strCache>
            </c:strRef>
          </c:tx>
          <c:spPr>
            <a:pattFill prst="dkUpDiag">
              <a:fgClr>
                <a:srgbClr val="5B9BD5">
                  <a:lumMod val="50000"/>
                </a:srgbClr>
              </a:fgClr>
              <a:bgClr>
                <a:sysClr val="window" lastClr="FFFFFF"/>
              </a:bgClr>
            </a:pattFill>
            <a:ln>
              <a:noFill/>
            </a:ln>
            <a:effectLst/>
          </c:spPr>
          <c:invertIfNegative val="0"/>
          <c:dPt>
            <c:idx val="0"/>
            <c:invertIfNegative val="0"/>
            <c:bubble3D val="0"/>
            <c:spPr>
              <a:pattFill prst="dkUpDiag">
                <a:fgClr>
                  <a:srgbClr val="5B9BD5">
                    <a:lumMod val="50000"/>
                  </a:srgbClr>
                </a:fgClr>
                <a:bgClr>
                  <a:sysClr val="window" lastClr="FFFFFF"/>
                </a:bgClr>
              </a:pattFill>
              <a:ln>
                <a:solidFill>
                  <a:srgbClr val="264478"/>
                </a:solidFill>
              </a:ln>
              <a:effectLst/>
            </c:spPr>
            <c:extLst>
              <c:ext xmlns:c16="http://schemas.microsoft.com/office/drawing/2014/chart" uri="{C3380CC4-5D6E-409C-BE32-E72D297353CC}">
                <c16:uniqueId val="{00000010-B42D-4335-8FF6-543DC2B4CB1F}"/>
              </c:ext>
            </c:extLst>
          </c:dPt>
          <c:dPt>
            <c:idx val="1"/>
            <c:invertIfNegative val="0"/>
            <c:bubble3D val="0"/>
            <c:spPr>
              <a:pattFill prst="dkUpDiag">
                <a:fgClr>
                  <a:srgbClr val="00B050"/>
                </a:fgClr>
                <a:bgClr>
                  <a:sysClr val="window" lastClr="FFFFFF"/>
                </a:bgClr>
              </a:pattFill>
              <a:ln>
                <a:solidFill>
                  <a:srgbClr val="00B050"/>
                </a:solidFill>
              </a:ln>
              <a:effectLst/>
            </c:spPr>
            <c:extLst>
              <c:ext xmlns:c16="http://schemas.microsoft.com/office/drawing/2014/chart" uri="{C3380CC4-5D6E-409C-BE32-E72D297353CC}">
                <c16:uniqueId val="{00000012-B42D-4335-8FF6-543DC2B4CB1F}"/>
              </c:ext>
            </c:extLst>
          </c:dPt>
          <c:cat>
            <c:strRef>
              <c:f>'Baltijas A-krasta VISAS EE osta'!$V$26:$V$27</c:f>
              <c:strCache>
                <c:ptCount val="2"/>
                <c:pt idx="0">
                  <c:v>Ostas</c:v>
                </c:pt>
                <c:pt idx="1">
                  <c:v>Dzelzceļš</c:v>
                </c:pt>
              </c:strCache>
            </c:strRef>
          </c:cat>
          <c:val>
            <c:numRef>
              <c:f>'Baltijas A-krasta VISAS EE osta'!$AA$26:$AA$27</c:f>
              <c:numCache>
                <c:formatCode>General</c:formatCode>
                <c:ptCount val="2"/>
                <c:pt idx="0">
                  <c:v>48172.800000000003</c:v>
                </c:pt>
                <c:pt idx="1">
                  <c:v>37820.400000000001</c:v>
                </c:pt>
              </c:numCache>
            </c:numRef>
          </c:val>
          <c:extLst>
            <c:ext xmlns:c16="http://schemas.microsoft.com/office/drawing/2014/chart" uri="{C3380CC4-5D6E-409C-BE32-E72D297353CC}">
              <c16:uniqueId val="{00000013-B42D-4335-8FF6-543DC2B4CB1F}"/>
            </c:ext>
          </c:extLst>
        </c:ser>
        <c:ser>
          <c:idx val="4"/>
          <c:order val="4"/>
          <c:tx>
            <c:strRef>
              <c:f>'Baltijas A-krasta VISAS EE osta'!$AB$25</c:f>
              <c:strCache>
                <c:ptCount val="1"/>
                <c:pt idx="0">
                  <c:v>2014 I-VI</c:v>
                </c:pt>
              </c:strCache>
            </c:strRef>
          </c:tx>
          <c:spPr>
            <a:pattFill prst="dkUpDiag">
              <a:fgClr>
                <a:srgbClr val="5B9BD5">
                  <a:lumMod val="50000"/>
                </a:srgbClr>
              </a:fgClr>
              <a:bgClr>
                <a:sysClr val="window" lastClr="FFFFFF"/>
              </a:bgClr>
            </a:pattFill>
            <a:ln>
              <a:solidFill>
                <a:srgbClr val="5B9BD5"/>
              </a:solidFill>
            </a:ln>
            <a:effectLst/>
          </c:spPr>
          <c:invertIfNegative val="0"/>
          <c:dPt>
            <c:idx val="0"/>
            <c:invertIfNegative val="0"/>
            <c:bubble3D val="0"/>
            <c:spPr>
              <a:pattFill prst="dkUpDiag">
                <a:fgClr>
                  <a:srgbClr val="5B9BD5">
                    <a:lumMod val="50000"/>
                  </a:srgbClr>
                </a:fgClr>
                <a:bgClr>
                  <a:sysClr val="window" lastClr="FFFFFF"/>
                </a:bgClr>
              </a:pattFill>
              <a:ln>
                <a:solidFill>
                  <a:srgbClr val="264478"/>
                </a:solidFill>
              </a:ln>
              <a:effectLst/>
            </c:spPr>
            <c:extLst>
              <c:ext xmlns:c16="http://schemas.microsoft.com/office/drawing/2014/chart" uri="{C3380CC4-5D6E-409C-BE32-E72D297353CC}">
                <c16:uniqueId val="{00000015-B42D-4335-8FF6-543DC2B4CB1F}"/>
              </c:ext>
            </c:extLst>
          </c:dPt>
          <c:dPt>
            <c:idx val="1"/>
            <c:invertIfNegative val="0"/>
            <c:bubble3D val="0"/>
            <c:spPr>
              <a:pattFill prst="dkUpDiag">
                <a:fgClr>
                  <a:srgbClr val="00B050"/>
                </a:fgClr>
                <a:bgClr>
                  <a:sysClr val="window" lastClr="FFFFFF"/>
                </a:bgClr>
              </a:pattFill>
              <a:ln>
                <a:solidFill>
                  <a:srgbClr val="5B9BD5"/>
                </a:solidFill>
              </a:ln>
              <a:effectLst/>
            </c:spPr>
            <c:extLst>
              <c:ext xmlns:c16="http://schemas.microsoft.com/office/drawing/2014/chart" uri="{C3380CC4-5D6E-409C-BE32-E72D297353CC}">
                <c16:uniqueId val="{00000017-B42D-4335-8FF6-543DC2B4CB1F}"/>
              </c:ext>
            </c:extLst>
          </c:dPt>
          <c:cat>
            <c:strRef>
              <c:f>'Baltijas A-krasta VISAS EE osta'!$V$26:$V$27</c:f>
              <c:strCache>
                <c:ptCount val="2"/>
                <c:pt idx="0">
                  <c:v>Ostas</c:v>
                </c:pt>
                <c:pt idx="1">
                  <c:v>Dzelzceļš</c:v>
                </c:pt>
              </c:strCache>
            </c:strRef>
          </c:cat>
          <c:val>
            <c:numRef>
              <c:f>'Baltijas A-krasta VISAS EE osta'!$AB$26:$AB$27</c:f>
              <c:numCache>
                <c:formatCode>General</c:formatCode>
                <c:ptCount val="2"/>
                <c:pt idx="0">
                  <c:v>50030.2</c:v>
                </c:pt>
                <c:pt idx="1">
                  <c:v>38891.100000000006</c:v>
                </c:pt>
              </c:numCache>
            </c:numRef>
          </c:val>
          <c:extLst>
            <c:ext xmlns:c16="http://schemas.microsoft.com/office/drawing/2014/chart" uri="{C3380CC4-5D6E-409C-BE32-E72D297353CC}">
              <c16:uniqueId val="{00000018-B42D-4335-8FF6-543DC2B4CB1F}"/>
            </c:ext>
          </c:extLst>
        </c:ser>
        <c:ser>
          <c:idx val="5"/>
          <c:order val="5"/>
          <c:tx>
            <c:strRef>
              <c:f>'Baltijas A-krasta VISAS EE osta'!$AC$25</c:f>
              <c:strCache>
                <c:ptCount val="1"/>
                <c:pt idx="0">
                  <c:v>2015 I-VI</c:v>
                </c:pt>
              </c:strCache>
            </c:strRef>
          </c:tx>
          <c:spPr>
            <a:pattFill prst="dkUpDiag">
              <a:fgClr>
                <a:srgbClr val="5B9BD5">
                  <a:lumMod val="50000"/>
                </a:srgbClr>
              </a:fgClr>
              <a:bgClr>
                <a:sysClr val="window" lastClr="FFFFFF"/>
              </a:bgClr>
            </a:pattFill>
            <a:ln>
              <a:solidFill>
                <a:srgbClr val="5B9BD5"/>
              </a:solidFill>
            </a:ln>
            <a:effectLst/>
          </c:spPr>
          <c:invertIfNegative val="0"/>
          <c:dPt>
            <c:idx val="0"/>
            <c:invertIfNegative val="0"/>
            <c:bubble3D val="0"/>
            <c:spPr>
              <a:pattFill prst="dkUpDiag">
                <a:fgClr>
                  <a:srgbClr val="5B9BD5">
                    <a:lumMod val="50000"/>
                  </a:srgbClr>
                </a:fgClr>
                <a:bgClr>
                  <a:sysClr val="window" lastClr="FFFFFF"/>
                </a:bgClr>
              </a:pattFill>
              <a:ln>
                <a:solidFill>
                  <a:srgbClr val="264478"/>
                </a:solidFill>
              </a:ln>
              <a:effectLst/>
            </c:spPr>
            <c:extLst>
              <c:ext xmlns:c16="http://schemas.microsoft.com/office/drawing/2014/chart" uri="{C3380CC4-5D6E-409C-BE32-E72D297353CC}">
                <c16:uniqueId val="{0000001A-B42D-4335-8FF6-543DC2B4CB1F}"/>
              </c:ext>
            </c:extLst>
          </c:dPt>
          <c:dPt>
            <c:idx val="1"/>
            <c:invertIfNegative val="0"/>
            <c:bubble3D val="0"/>
            <c:spPr>
              <a:pattFill prst="dkUpDiag">
                <a:fgClr>
                  <a:srgbClr val="00B050"/>
                </a:fgClr>
                <a:bgClr>
                  <a:sysClr val="window" lastClr="FFFFFF"/>
                </a:bgClr>
              </a:pattFill>
              <a:ln>
                <a:solidFill>
                  <a:srgbClr val="00B050"/>
                </a:solidFill>
              </a:ln>
              <a:effectLst/>
            </c:spPr>
            <c:extLst>
              <c:ext xmlns:c16="http://schemas.microsoft.com/office/drawing/2014/chart" uri="{C3380CC4-5D6E-409C-BE32-E72D297353CC}">
                <c16:uniqueId val="{0000001C-B42D-4335-8FF6-543DC2B4CB1F}"/>
              </c:ext>
            </c:extLst>
          </c:dPt>
          <c:cat>
            <c:strRef>
              <c:f>'Baltijas A-krasta VISAS EE osta'!$V$26:$V$27</c:f>
              <c:strCache>
                <c:ptCount val="2"/>
                <c:pt idx="0">
                  <c:v>Ostas</c:v>
                </c:pt>
                <c:pt idx="1">
                  <c:v>Dzelzceļš</c:v>
                </c:pt>
              </c:strCache>
            </c:strRef>
          </c:cat>
          <c:val>
            <c:numRef>
              <c:f>'Baltijas A-krasta VISAS EE osta'!$AC$26:$AC$27</c:f>
              <c:numCache>
                <c:formatCode>General</c:formatCode>
                <c:ptCount val="2"/>
                <c:pt idx="0">
                  <c:v>47478.500000000007</c:v>
                </c:pt>
                <c:pt idx="1">
                  <c:v>38506.300000000003</c:v>
                </c:pt>
              </c:numCache>
            </c:numRef>
          </c:val>
          <c:extLst>
            <c:ext xmlns:c16="http://schemas.microsoft.com/office/drawing/2014/chart" uri="{C3380CC4-5D6E-409C-BE32-E72D297353CC}">
              <c16:uniqueId val="{0000001D-B42D-4335-8FF6-543DC2B4CB1F}"/>
            </c:ext>
          </c:extLst>
        </c:ser>
        <c:ser>
          <c:idx val="6"/>
          <c:order val="6"/>
          <c:tx>
            <c:strRef>
              <c:f>'Baltijas A-krasta VISAS EE osta'!$AD$25</c:f>
              <c:strCache>
                <c:ptCount val="1"/>
                <c:pt idx="0">
                  <c:v>2016 I-VI</c:v>
                </c:pt>
              </c:strCache>
            </c:strRef>
          </c:tx>
          <c:spPr>
            <a:solidFill>
              <a:schemeClr val="accent1">
                <a:lumMod val="60000"/>
              </a:schemeClr>
            </a:solidFill>
            <a:ln>
              <a:noFill/>
            </a:ln>
            <a:effectLst/>
          </c:spPr>
          <c:invertIfNegative val="0"/>
          <c:dPt>
            <c:idx val="0"/>
            <c:invertIfNegative val="0"/>
            <c:bubble3D val="0"/>
            <c:spPr>
              <a:pattFill prst="dkUpDiag">
                <a:fgClr>
                  <a:srgbClr val="5B9BD5">
                    <a:lumMod val="50000"/>
                  </a:srgbClr>
                </a:fgClr>
                <a:bgClr>
                  <a:sysClr val="window" lastClr="FFFFFF"/>
                </a:bgClr>
              </a:pattFill>
              <a:ln>
                <a:solidFill>
                  <a:srgbClr val="264478"/>
                </a:solidFill>
              </a:ln>
              <a:effectLst/>
            </c:spPr>
            <c:extLst>
              <c:ext xmlns:c16="http://schemas.microsoft.com/office/drawing/2014/chart" uri="{C3380CC4-5D6E-409C-BE32-E72D297353CC}">
                <c16:uniqueId val="{0000001F-B42D-4335-8FF6-543DC2B4CB1F}"/>
              </c:ext>
            </c:extLst>
          </c:dPt>
          <c:dPt>
            <c:idx val="1"/>
            <c:invertIfNegative val="0"/>
            <c:bubble3D val="0"/>
            <c:spPr>
              <a:pattFill prst="dkUpDiag">
                <a:fgClr>
                  <a:srgbClr val="00B050"/>
                </a:fgClr>
                <a:bgClr>
                  <a:sysClr val="window" lastClr="FFFFFF"/>
                </a:bgClr>
              </a:pattFill>
              <a:ln>
                <a:solidFill>
                  <a:srgbClr val="00B050"/>
                </a:solidFill>
              </a:ln>
              <a:effectLst/>
            </c:spPr>
            <c:extLst>
              <c:ext xmlns:c16="http://schemas.microsoft.com/office/drawing/2014/chart" uri="{C3380CC4-5D6E-409C-BE32-E72D297353CC}">
                <c16:uniqueId val="{00000021-B42D-4335-8FF6-543DC2B4CB1F}"/>
              </c:ext>
            </c:extLst>
          </c:dPt>
          <c:cat>
            <c:strRef>
              <c:f>'Baltijas A-krasta VISAS EE osta'!$V$26:$V$27</c:f>
              <c:strCache>
                <c:ptCount val="2"/>
                <c:pt idx="0">
                  <c:v>Ostas</c:v>
                </c:pt>
                <c:pt idx="1">
                  <c:v>Dzelzceļš</c:v>
                </c:pt>
              </c:strCache>
            </c:strRef>
          </c:cat>
          <c:val>
            <c:numRef>
              <c:f>'Baltijas A-krasta VISAS EE osta'!$AD$26:$AD$27</c:f>
              <c:numCache>
                <c:formatCode>General</c:formatCode>
                <c:ptCount val="2"/>
                <c:pt idx="0">
                  <c:v>41104.299999999996</c:v>
                </c:pt>
                <c:pt idx="1">
                  <c:v>30600.199999999997</c:v>
                </c:pt>
              </c:numCache>
            </c:numRef>
          </c:val>
          <c:extLst>
            <c:ext xmlns:c16="http://schemas.microsoft.com/office/drawing/2014/chart" uri="{C3380CC4-5D6E-409C-BE32-E72D297353CC}">
              <c16:uniqueId val="{00000022-B42D-4335-8FF6-543DC2B4CB1F}"/>
            </c:ext>
          </c:extLst>
        </c:ser>
        <c:ser>
          <c:idx val="7"/>
          <c:order val="7"/>
          <c:tx>
            <c:strRef>
              <c:f>'Baltijas A-krasta VISAS EE osta'!$AE$25</c:f>
              <c:strCache>
                <c:ptCount val="1"/>
                <c:pt idx="0">
                  <c:v>2017 I-VI</c:v>
                </c:pt>
              </c:strCache>
            </c:strRef>
          </c:tx>
          <c:spPr>
            <a:pattFill prst="dkUpDiag">
              <a:fgClr>
                <a:srgbClr val="5B9BD5">
                  <a:lumMod val="50000"/>
                </a:srgbClr>
              </a:fgClr>
              <a:bgClr>
                <a:sysClr val="window" lastClr="FFFFFF"/>
              </a:bgClr>
            </a:pattFill>
            <a:ln>
              <a:solidFill>
                <a:srgbClr val="5B9BD5"/>
              </a:solidFill>
            </a:ln>
            <a:effectLst/>
          </c:spPr>
          <c:invertIfNegative val="0"/>
          <c:dPt>
            <c:idx val="0"/>
            <c:invertIfNegative val="0"/>
            <c:bubble3D val="0"/>
            <c:spPr>
              <a:pattFill prst="dkUpDiag">
                <a:fgClr>
                  <a:srgbClr val="5B9BD5">
                    <a:lumMod val="50000"/>
                  </a:srgbClr>
                </a:fgClr>
                <a:bgClr>
                  <a:sysClr val="window" lastClr="FFFFFF"/>
                </a:bgClr>
              </a:pattFill>
              <a:ln>
                <a:solidFill>
                  <a:srgbClr val="264478"/>
                </a:solidFill>
              </a:ln>
              <a:effectLst/>
            </c:spPr>
            <c:extLst>
              <c:ext xmlns:c16="http://schemas.microsoft.com/office/drawing/2014/chart" uri="{C3380CC4-5D6E-409C-BE32-E72D297353CC}">
                <c16:uniqueId val="{00000024-B42D-4335-8FF6-543DC2B4CB1F}"/>
              </c:ext>
            </c:extLst>
          </c:dPt>
          <c:dPt>
            <c:idx val="1"/>
            <c:invertIfNegative val="0"/>
            <c:bubble3D val="0"/>
            <c:spPr>
              <a:pattFill prst="dkUpDiag">
                <a:fgClr>
                  <a:srgbClr val="00B050"/>
                </a:fgClr>
                <a:bgClr>
                  <a:sysClr val="window" lastClr="FFFFFF"/>
                </a:bgClr>
              </a:pattFill>
              <a:ln>
                <a:solidFill>
                  <a:srgbClr val="00B050"/>
                </a:solidFill>
              </a:ln>
              <a:effectLst/>
            </c:spPr>
            <c:extLst>
              <c:ext xmlns:c16="http://schemas.microsoft.com/office/drawing/2014/chart" uri="{C3380CC4-5D6E-409C-BE32-E72D297353CC}">
                <c16:uniqueId val="{00000026-B42D-4335-8FF6-543DC2B4CB1F}"/>
              </c:ext>
            </c:extLst>
          </c:dPt>
          <c:cat>
            <c:strRef>
              <c:f>'Baltijas A-krasta VISAS EE osta'!$V$26:$V$27</c:f>
              <c:strCache>
                <c:ptCount val="2"/>
                <c:pt idx="0">
                  <c:v>Ostas</c:v>
                </c:pt>
                <c:pt idx="1">
                  <c:v>Dzelzceļš</c:v>
                </c:pt>
              </c:strCache>
            </c:strRef>
          </c:cat>
          <c:val>
            <c:numRef>
              <c:f>'Baltijas A-krasta VISAS EE osta'!$AE$26:$AE$27</c:f>
              <c:numCache>
                <c:formatCode>0.0</c:formatCode>
                <c:ptCount val="2"/>
                <c:pt idx="0" formatCode="General">
                  <c:v>43058.499999999993</c:v>
                </c:pt>
                <c:pt idx="1">
                  <c:v>30368.699999999997</c:v>
                </c:pt>
              </c:numCache>
            </c:numRef>
          </c:val>
          <c:extLst>
            <c:ext xmlns:c16="http://schemas.microsoft.com/office/drawing/2014/chart" uri="{C3380CC4-5D6E-409C-BE32-E72D297353CC}">
              <c16:uniqueId val="{00000027-B42D-4335-8FF6-543DC2B4CB1F}"/>
            </c:ext>
          </c:extLst>
        </c:ser>
        <c:ser>
          <c:idx val="8"/>
          <c:order val="8"/>
          <c:tx>
            <c:strRef>
              <c:f>'Baltijas A-krasta VISAS EE osta'!$AF$25</c:f>
              <c:strCache>
                <c:ptCount val="1"/>
                <c:pt idx="0">
                  <c:v>2018 I-VI</c:v>
                </c:pt>
              </c:strCache>
            </c:strRef>
          </c:tx>
          <c:spPr>
            <a:pattFill prst="dkUpDiag">
              <a:fgClr>
                <a:srgbClr val="5B9BD5">
                  <a:lumMod val="50000"/>
                </a:srgbClr>
              </a:fgClr>
              <a:bgClr>
                <a:sysClr val="window" lastClr="FFFFFF"/>
              </a:bgClr>
            </a:pattFill>
            <a:ln>
              <a:solidFill>
                <a:srgbClr val="264478"/>
              </a:solidFill>
            </a:ln>
            <a:effectLst/>
          </c:spPr>
          <c:invertIfNegative val="0"/>
          <c:dPt>
            <c:idx val="1"/>
            <c:invertIfNegative val="0"/>
            <c:bubble3D val="0"/>
            <c:spPr>
              <a:pattFill prst="dkUpDiag">
                <a:fgClr>
                  <a:srgbClr val="00B050"/>
                </a:fgClr>
                <a:bgClr>
                  <a:sysClr val="window" lastClr="FFFFFF"/>
                </a:bgClr>
              </a:pattFill>
              <a:ln>
                <a:solidFill>
                  <a:srgbClr val="00B050"/>
                </a:solidFill>
              </a:ln>
              <a:effectLst/>
            </c:spPr>
            <c:extLst>
              <c:ext xmlns:c16="http://schemas.microsoft.com/office/drawing/2014/chart" uri="{C3380CC4-5D6E-409C-BE32-E72D297353CC}">
                <c16:uniqueId val="{00000029-B42D-4335-8FF6-543DC2B4CB1F}"/>
              </c:ext>
            </c:extLst>
          </c:dPt>
          <c:cat>
            <c:strRef>
              <c:f>'Baltijas A-krasta VISAS EE osta'!$V$26:$V$27</c:f>
              <c:strCache>
                <c:ptCount val="2"/>
                <c:pt idx="0">
                  <c:v>Ostas</c:v>
                </c:pt>
                <c:pt idx="1">
                  <c:v>Dzelzceļš</c:v>
                </c:pt>
              </c:strCache>
            </c:strRef>
          </c:cat>
          <c:val>
            <c:numRef>
              <c:f>'Baltijas A-krasta VISAS EE osta'!$AF$26:$AF$27</c:f>
              <c:numCache>
                <c:formatCode>0.0</c:formatCode>
                <c:ptCount val="2"/>
                <c:pt idx="0" formatCode="General">
                  <c:v>43468.44</c:v>
                </c:pt>
                <c:pt idx="1">
                  <c:v>32337.700000000004</c:v>
                </c:pt>
              </c:numCache>
            </c:numRef>
          </c:val>
          <c:extLst>
            <c:ext xmlns:c16="http://schemas.microsoft.com/office/drawing/2014/chart" uri="{C3380CC4-5D6E-409C-BE32-E72D297353CC}">
              <c16:uniqueId val="{0000002A-B42D-4335-8FF6-543DC2B4CB1F}"/>
            </c:ext>
          </c:extLst>
        </c:ser>
        <c:ser>
          <c:idx val="9"/>
          <c:order val="9"/>
          <c:tx>
            <c:strRef>
              <c:f>'Baltijas A-krasta VISAS EE osta'!$AG$25</c:f>
              <c:strCache>
                <c:ptCount val="1"/>
                <c:pt idx="0">
                  <c:v>2019 I-VI</c:v>
                </c:pt>
              </c:strCache>
            </c:strRef>
          </c:tx>
          <c:spPr>
            <a:pattFill prst="dkUpDiag">
              <a:fgClr>
                <a:srgbClr val="5B9BD5">
                  <a:lumMod val="50000"/>
                </a:srgbClr>
              </a:fgClr>
              <a:bgClr>
                <a:sysClr val="window" lastClr="FFFFFF"/>
              </a:bgClr>
            </a:pattFill>
            <a:ln>
              <a:noFill/>
            </a:ln>
            <a:effectLst/>
          </c:spPr>
          <c:invertIfNegative val="0"/>
          <c:dPt>
            <c:idx val="0"/>
            <c:invertIfNegative val="0"/>
            <c:bubble3D val="0"/>
            <c:spPr>
              <a:pattFill prst="dkUpDiag">
                <a:fgClr>
                  <a:srgbClr val="5B9BD5">
                    <a:lumMod val="50000"/>
                  </a:srgbClr>
                </a:fgClr>
                <a:bgClr>
                  <a:sysClr val="window" lastClr="FFFFFF"/>
                </a:bgClr>
              </a:pattFill>
              <a:ln>
                <a:solidFill>
                  <a:srgbClr val="264478"/>
                </a:solidFill>
              </a:ln>
              <a:effectLst/>
            </c:spPr>
            <c:extLst>
              <c:ext xmlns:c16="http://schemas.microsoft.com/office/drawing/2014/chart" uri="{C3380CC4-5D6E-409C-BE32-E72D297353CC}">
                <c16:uniqueId val="{0000002C-B42D-4335-8FF6-543DC2B4CB1F}"/>
              </c:ext>
            </c:extLst>
          </c:dPt>
          <c:dPt>
            <c:idx val="1"/>
            <c:invertIfNegative val="0"/>
            <c:bubble3D val="0"/>
            <c:spPr>
              <a:pattFill prst="dkUpDiag">
                <a:fgClr>
                  <a:srgbClr val="00B050"/>
                </a:fgClr>
                <a:bgClr>
                  <a:sysClr val="window" lastClr="FFFFFF"/>
                </a:bgClr>
              </a:pattFill>
              <a:ln>
                <a:solidFill>
                  <a:srgbClr val="00B050"/>
                </a:solidFill>
              </a:ln>
              <a:effectLst/>
            </c:spPr>
            <c:extLst>
              <c:ext xmlns:c16="http://schemas.microsoft.com/office/drawing/2014/chart" uri="{C3380CC4-5D6E-409C-BE32-E72D297353CC}">
                <c16:uniqueId val="{0000002E-B42D-4335-8FF6-543DC2B4CB1F}"/>
              </c:ext>
            </c:extLst>
          </c:dPt>
          <c:dLbls>
            <c:dLbl>
              <c:idx val="0"/>
              <c:layout>
                <c:manualLayout>
                  <c:x val="3.0824556896994513E-2"/>
                  <c:y val="0.7058203845140900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2020. </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B42D-4335-8FF6-543DC2B4CB1F}"/>
                </c:ext>
              </c:extLst>
            </c:dLbl>
            <c:dLbl>
              <c:idx val="1"/>
              <c:layout>
                <c:manualLayout>
                  <c:x val="3.8530696121243067E-2"/>
                  <c:y val="0.5030287068738476"/>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2020.</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6.7428718212175706E-2"/>
                      <c:h val="7.5559859731781615E-2"/>
                    </c:manualLayout>
                  </c15:layout>
                </c:ext>
                <c:ext xmlns:c16="http://schemas.microsoft.com/office/drawing/2014/chart" uri="{C3380CC4-5D6E-409C-BE32-E72D297353CC}">
                  <c16:uniqueId val="{0000002E-B42D-4335-8FF6-543DC2B4CB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'Baltijas A-krasta VISAS EE osta'!$V$26:$V$27</c:f>
              <c:strCache>
                <c:ptCount val="2"/>
                <c:pt idx="0">
                  <c:v>Ostas</c:v>
                </c:pt>
                <c:pt idx="1">
                  <c:v>Dzelzceļš</c:v>
                </c:pt>
              </c:strCache>
            </c:strRef>
          </c:cat>
          <c:val>
            <c:numRef>
              <c:f>'Baltijas A-krasta VISAS EE osta'!$AG$26:$AG$27</c:f>
              <c:numCache>
                <c:formatCode>General</c:formatCode>
                <c:ptCount val="2"/>
                <c:pt idx="0">
                  <c:v>42321.4</c:v>
                </c:pt>
                <c:pt idx="1">
                  <c:v>28372.7</c:v>
                </c:pt>
              </c:numCache>
            </c:numRef>
          </c:val>
          <c:extLst>
            <c:ext xmlns:c16="http://schemas.microsoft.com/office/drawing/2014/chart" uri="{C3380CC4-5D6E-409C-BE32-E72D297353CC}">
              <c16:uniqueId val="{0000002F-B42D-4335-8FF6-543DC2B4CB1F}"/>
            </c:ext>
          </c:extLst>
        </c:ser>
        <c:ser>
          <c:idx val="10"/>
          <c:order val="10"/>
          <c:tx>
            <c:strRef>
              <c:f>'Baltijas A-krasta VISAS EE osta'!$AH$25</c:f>
              <c:strCache>
                <c:ptCount val="1"/>
              </c:strCache>
            </c:strRef>
          </c:tx>
          <c:spPr>
            <a:pattFill prst="dkUpDiag">
              <a:fgClr>
                <a:srgbClr val="264478"/>
              </a:fgClr>
              <a:bgClr>
                <a:sysClr val="window" lastClr="FFFFFF"/>
              </a:bgClr>
            </a:pattFill>
            <a:ln>
              <a:solidFill>
                <a:srgbClr val="5B9BD5"/>
              </a:solidFill>
            </a:ln>
            <a:effectLst/>
          </c:spPr>
          <c:invertIfNegative val="0"/>
          <c:dPt>
            <c:idx val="0"/>
            <c:invertIfNegative val="0"/>
            <c:bubble3D val="0"/>
            <c:spPr>
              <a:pattFill prst="dkUpDiag">
                <a:fgClr>
                  <a:srgbClr val="264478"/>
                </a:fgClr>
                <a:bgClr>
                  <a:sysClr val="window" lastClr="FFFFFF"/>
                </a:bgClr>
              </a:pattFill>
              <a:ln>
                <a:solidFill>
                  <a:srgbClr val="264478"/>
                </a:solidFill>
              </a:ln>
              <a:effectLst/>
            </c:spPr>
            <c:extLst>
              <c:ext xmlns:c16="http://schemas.microsoft.com/office/drawing/2014/chart" uri="{C3380CC4-5D6E-409C-BE32-E72D297353CC}">
                <c16:uniqueId val="{00000031-B42D-4335-8FF6-543DC2B4CB1F}"/>
              </c:ext>
            </c:extLst>
          </c:dPt>
          <c:dPt>
            <c:idx val="1"/>
            <c:invertIfNegative val="0"/>
            <c:bubble3D val="0"/>
            <c:spPr>
              <a:pattFill prst="dkUpDiag">
                <a:fgClr>
                  <a:srgbClr val="00B050"/>
                </a:fgClr>
                <a:bgClr>
                  <a:sysClr val="window" lastClr="FFFFFF"/>
                </a:bgClr>
              </a:pattFill>
              <a:ln>
                <a:solidFill>
                  <a:srgbClr val="00B050"/>
                </a:solidFill>
              </a:ln>
              <a:effectLst/>
            </c:spPr>
            <c:extLst>
              <c:ext xmlns:c16="http://schemas.microsoft.com/office/drawing/2014/chart" uri="{C3380CC4-5D6E-409C-BE32-E72D297353CC}">
                <c16:uniqueId val="{00000033-B42D-4335-8FF6-543DC2B4CB1F}"/>
              </c:ext>
            </c:extLst>
          </c:dPt>
          <c:cat>
            <c:strRef>
              <c:f>'Baltijas A-krasta VISAS EE osta'!$V$26:$V$27</c:f>
              <c:strCache>
                <c:ptCount val="2"/>
                <c:pt idx="0">
                  <c:v>Ostas</c:v>
                </c:pt>
                <c:pt idx="1">
                  <c:v>Dzelzceļš</c:v>
                </c:pt>
              </c:strCache>
            </c:strRef>
          </c:cat>
          <c:val>
            <c:numRef>
              <c:f>'Baltijas A-krasta VISAS EE osta'!$AH$26:$AH$27</c:f>
              <c:numCache>
                <c:formatCode>General</c:formatCode>
                <c:ptCount val="2"/>
                <c:pt idx="0">
                  <c:v>29744.100000000002</c:v>
                </c:pt>
                <c:pt idx="1">
                  <c:v>15384.6</c:v>
                </c:pt>
              </c:numCache>
            </c:numRef>
          </c:val>
          <c:extLst>
            <c:ext xmlns:c16="http://schemas.microsoft.com/office/drawing/2014/chart" uri="{C3380CC4-5D6E-409C-BE32-E72D297353CC}">
              <c16:uniqueId val="{00000034-B42D-4335-8FF6-543DC2B4CB1F}"/>
            </c:ext>
          </c:extLst>
        </c:ser>
        <c:dLbls>
          <c:showLegendKey val="0"/>
          <c:showVal val="0"/>
          <c:showCatName val="0"/>
          <c:showSerName val="0"/>
          <c:showPercent val="0"/>
          <c:showBubbleSize val="0"/>
        </c:dLbls>
        <c:gapWidth val="219"/>
        <c:overlap val="-27"/>
        <c:axId val="221658064"/>
        <c:axId val="221658456"/>
      </c:barChart>
      <c:catAx>
        <c:axId val="22165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21658456"/>
        <c:crosses val="autoZero"/>
        <c:auto val="1"/>
        <c:lblAlgn val="ctr"/>
        <c:lblOffset val="100"/>
        <c:noMultiLvlLbl val="0"/>
      </c:catAx>
      <c:valAx>
        <c:axId val="221658456"/>
        <c:scaling>
          <c:orientation val="minMax"/>
          <c:max val="6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21658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36252272263436E-2"/>
          <c:y val="5.1400554097404488E-2"/>
          <c:w val="0.89141528195051567"/>
          <c:h val="0.73344738382522323"/>
        </c:manualLayout>
      </c:layout>
      <c:lineChart>
        <c:grouping val="standard"/>
        <c:varyColors val="0"/>
        <c:ser>
          <c:idx val="0"/>
          <c:order val="0"/>
          <c:tx>
            <c:strRef>
              <c:f>ind!$M$15</c:f>
              <c:strCache>
                <c:ptCount val="1"/>
                <c:pt idx="0">
                  <c:v>Dzelzceļš</c:v>
                </c:pt>
              </c:strCache>
            </c:strRef>
          </c:tx>
          <c:spPr>
            <a:ln>
              <a:prstDash val="sysDash"/>
            </a:ln>
          </c:spPr>
          <c:marker>
            <c:symbol val="none"/>
          </c:marker>
          <c:cat>
            <c:numRef>
              <c:f>ind!$L$16:$L$26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formatCode="0">
                  <c:v>2020</c:v>
                </c:pt>
              </c:numCache>
            </c:numRef>
          </c:cat>
          <c:val>
            <c:numRef>
              <c:f>ind!$M$16:$M$26</c:f>
              <c:numCache>
                <c:formatCode>General</c:formatCode>
                <c:ptCount val="11"/>
                <c:pt idx="0">
                  <c:v>1</c:v>
                </c:pt>
                <c:pt idx="1">
                  <c:v>0.96769297914972141</c:v>
                </c:pt>
                <c:pt idx="2">
                  <c:v>0.94164500962167941</c:v>
                </c:pt>
                <c:pt idx="3">
                  <c:v>0.93892713313627085</c:v>
                </c:pt>
                <c:pt idx="4">
                  <c:v>0.93021802527426767</c:v>
                </c:pt>
                <c:pt idx="5">
                  <c:v>0.80947090681849754</c:v>
                </c:pt>
                <c:pt idx="6">
                  <c:v>0.80894518618445843</c:v>
                </c:pt>
                <c:pt idx="7">
                  <c:v>0.82776201718015363</c:v>
                </c:pt>
                <c:pt idx="8">
                  <c:v>0.86451286527664817</c:v>
                </c:pt>
                <c:pt idx="9">
                  <c:v>0.88737675322871823</c:v>
                </c:pt>
                <c:pt idx="10">
                  <c:v>0.60476719503243592</c:v>
                </c:pt>
              </c:numCache>
            </c:numRef>
          </c:val>
          <c:smooth val="1"/>
          <c:extLst>
            <c:ext xmlns:c16="http://schemas.microsoft.com/office/drawing/2014/chart" uri="{C3380CC4-5D6E-409C-BE32-E72D297353CC}">
              <c16:uniqueId val="{00000000-0148-48E5-B661-362B726E1FCF}"/>
            </c:ext>
          </c:extLst>
        </c:ser>
        <c:ser>
          <c:idx val="1"/>
          <c:order val="1"/>
          <c:tx>
            <c:strRef>
              <c:f>ind!$N$15</c:f>
              <c:strCache>
                <c:ptCount val="1"/>
                <c:pt idx="0">
                  <c:v>Autobusi</c:v>
                </c:pt>
              </c:strCache>
            </c:strRef>
          </c:tx>
          <c:spPr>
            <a:ln>
              <a:solidFill>
                <a:schemeClr val="accent6">
                  <a:lumMod val="75000"/>
                </a:schemeClr>
              </a:solidFill>
              <a:prstDash val="sysDash"/>
            </a:ln>
          </c:spPr>
          <c:marker>
            <c:symbol val="none"/>
          </c:marker>
          <c:cat>
            <c:numRef>
              <c:f>ind!$L$16:$L$26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formatCode="0">
                  <c:v>2020</c:v>
                </c:pt>
              </c:numCache>
            </c:numRef>
          </c:cat>
          <c:val>
            <c:numRef>
              <c:f>ind!$N$16:$N$26</c:f>
              <c:numCache>
                <c:formatCode>General</c:formatCode>
                <c:ptCount val="11"/>
                <c:pt idx="0">
                  <c:v>1</c:v>
                </c:pt>
                <c:pt idx="1">
                  <c:v>1.0397558287934243</c:v>
                </c:pt>
                <c:pt idx="2">
                  <c:v>1.0188047811004852</c:v>
                </c:pt>
                <c:pt idx="3">
                  <c:v>1.0350584987659319</c:v>
                </c:pt>
                <c:pt idx="4">
                  <c:v>1.020508301146362</c:v>
                </c:pt>
                <c:pt idx="5">
                  <c:v>1.0166458646067005</c:v>
                </c:pt>
                <c:pt idx="6">
                  <c:v>1.0054450797506</c:v>
                </c:pt>
                <c:pt idx="7">
                  <c:v>0.99003468884053814</c:v>
                </c:pt>
                <c:pt idx="8">
                  <c:v>0.98492975088127654</c:v>
                </c:pt>
                <c:pt idx="9">
                  <c:v>0.98671479251350735</c:v>
                </c:pt>
                <c:pt idx="10">
                  <c:v>0.59167383494408732</c:v>
                </c:pt>
              </c:numCache>
            </c:numRef>
          </c:val>
          <c:smooth val="1"/>
          <c:extLst>
            <c:ext xmlns:c16="http://schemas.microsoft.com/office/drawing/2014/chart" uri="{C3380CC4-5D6E-409C-BE32-E72D297353CC}">
              <c16:uniqueId val="{00000001-0148-48E5-B661-362B726E1FCF}"/>
            </c:ext>
          </c:extLst>
        </c:ser>
        <c:ser>
          <c:idx val="2"/>
          <c:order val="2"/>
          <c:tx>
            <c:strRef>
              <c:f>ind!$O$15</c:f>
              <c:strCache>
                <c:ptCount val="1"/>
                <c:pt idx="0">
                  <c:v>Tramvaji</c:v>
                </c:pt>
              </c:strCache>
            </c:strRef>
          </c:tx>
          <c:spPr>
            <a:ln>
              <a:solidFill>
                <a:schemeClr val="accent3"/>
              </a:solidFill>
              <a:prstDash val="sysDash"/>
            </a:ln>
          </c:spPr>
          <c:marker>
            <c:symbol val="none"/>
          </c:marker>
          <c:cat>
            <c:numRef>
              <c:f>ind!$L$16:$L$26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formatCode="0">
                  <c:v>2020</c:v>
                </c:pt>
              </c:numCache>
            </c:numRef>
          </c:cat>
          <c:val>
            <c:numRef>
              <c:f>ind!$O$16:$O$26</c:f>
              <c:numCache>
                <c:formatCode>General</c:formatCode>
                <c:ptCount val="11"/>
                <c:pt idx="0">
                  <c:v>1</c:v>
                </c:pt>
                <c:pt idx="1">
                  <c:v>1.0175773233213414</c:v>
                </c:pt>
                <c:pt idx="2">
                  <c:v>0.9691575922930199</c:v>
                </c:pt>
                <c:pt idx="3">
                  <c:v>1.0384866117777725</c:v>
                </c:pt>
                <c:pt idx="4">
                  <c:v>1.095101045464423</c:v>
                </c:pt>
                <c:pt idx="5">
                  <c:v>1.0643455585870536</c:v>
                </c:pt>
                <c:pt idx="6">
                  <c:v>1.0077504406403168</c:v>
                </c:pt>
                <c:pt idx="7">
                  <c:v>1.0074075862568512</c:v>
                </c:pt>
                <c:pt idx="8">
                  <c:v>1.0326291136489847</c:v>
                </c:pt>
                <c:pt idx="9">
                  <c:v>1.0093391602482074</c:v>
                </c:pt>
                <c:pt idx="10">
                  <c:v>0.55500398387135719</c:v>
                </c:pt>
              </c:numCache>
            </c:numRef>
          </c:val>
          <c:smooth val="1"/>
          <c:extLst>
            <c:ext xmlns:c16="http://schemas.microsoft.com/office/drawing/2014/chart" uri="{C3380CC4-5D6E-409C-BE32-E72D297353CC}">
              <c16:uniqueId val="{00000002-0148-48E5-B661-362B726E1FCF}"/>
            </c:ext>
          </c:extLst>
        </c:ser>
        <c:ser>
          <c:idx val="3"/>
          <c:order val="3"/>
          <c:tx>
            <c:strRef>
              <c:f>ind!$P$15</c:f>
              <c:strCache>
                <c:ptCount val="1"/>
                <c:pt idx="0">
                  <c:v>Trolejbusi</c:v>
                </c:pt>
              </c:strCache>
            </c:strRef>
          </c:tx>
          <c:spPr>
            <a:ln>
              <a:prstDash val="sysDash"/>
            </a:ln>
          </c:spPr>
          <c:marker>
            <c:symbol val="none"/>
          </c:marker>
          <c:cat>
            <c:numRef>
              <c:f>ind!$L$16:$L$26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formatCode="0">
                  <c:v>2020</c:v>
                </c:pt>
              </c:numCache>
            </c:numRef>
          </c:cat>
          <c:val>
            <c:numRef>
              <c:f>ind!$P$16:$P$26</c:f>
              <c:numCache>
                <c:formatCode>General</c:formatCode>
                <c:ptCount val="11"/>
                <c:pt idx="0">
                  <c:v>1</c:v>
                </c:pt>
                <c:pt idx="1">
                  <c:v>1.0528972476485354</c:v>
                </c:pt>
                <c:pt idx="2">
                  <c:v>1.0382679159737338</c:v>
                </c:pt>
                <c:pt idx="3">
                  <c:v>1.0844363921526208</c:v>
                </c:pt>
                <c:pt idx="4">
                  <c:v>1.087190095681057</c:v>
                </c:pt>
                <c:pt idx="5">
                  <c:v>1.0209795252452869</c:v>
                </c:pt>
                <c:pt idx="6">
                  <c:v>0.98708328263093581</c:v>
                </c:pt>
                <c:pt idx="7">
                  <c:v>0.98010212589517898</c:v>
                </c:pt>
                <c:pt idx="8">
                  <c:v>0.95087050382408733</c:v>
                </c:pt>
                <c:pt idx="9">
                  <c:v>0.90947481330250624</c:v>
                </c:pt>
                <c:pt idx="10">
                  <c:v>0.62299500187035506</c:v>
                </c:pt>
              </c:numCache>
            </c:numRef>
          </c:val>
          <c:smooth val="1"/>
          <c:extLst>
            <c:ext xmlns:c16="http://schemas.microsoft.com/office/drawing/2014/chart" uri="{C3380CC4-5D6E-409C-BE32-E72D297353CC}">
              <c16:uniqueId val="{00000003-0148-48E5-B661-362B726E1FCF}"/>
            </c:ext>
          </c:extLst>
        </c:ser>
        <c:ser>
          <c:idx val="4"/>
          <c:order val="4"/>
          <c:tx>
            <c:strRef>
              <c:f>ind!$Q$15</c:f>
              <c:strCache>
                <c:ptCount val="1"/>
                <c:pt idx="0">
                  <c:v>Lidosta</c:v>
                </c:pt>
              </c:strCache>
            </c:strRef>
          </c:tx>
          <c:spPr>
            <a:ln>
              <a:solidFill>
                <a:schemeClr val="tx2">
                  <a:lumMod val="50000"/>
                </a:schemeClr>
              </a:solidFill>
              <a:prstDash val="sysDash"/>
            </a:ln>
            <a:effectLst>
              <a:outerShdw blurRad="50800" dist="38100" dir="2700000" algn="tl" rotWithShape="0">
                <a:prstClr val="black">
                  <a:alpha val="40000"/>
                </a:prstClr>
              </a:outerShdw>
            </a:effectLst>
          </c:spPr>
          <c:marker>
            <c:symbol val="none"/>
          </c:marker>
          <c:cat>
            <c:numRef>
              <c:f>ind!$L$16:$L$26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formatCode="0">
                  <c:v>2020</c:v>
                </c:pt>
              </c:numCache>
            </c:numRef>
          </c:cat>
          <c:val>
            <c:numRef>
              <c:f>ind!$Q$16:$Q$26</c:f>
              <c:numCache>
                <c:formatCode>General</c:formatCode>
                <c:ptCount val="11"/>
                <c:pt idx="0">
                  <c:v>1</c:v>
                </c:pt>
                <c:pt idx="1">
                  <c:v>1.1385841011311322</c:v>
                </c:pt>
                <c:pt idx="2">
                  <c:v>1.0699752270929384</c:v>
                </c:pt>
                <c:pt idx="3">
                  <c:v>1.0838999019873228</c:v>
                </c:pt>
                <c:pt idx="4">
                  <c:v>1.064519840525306</c:v>
                </c:pt>
                <c:pt idx="5">
                  <c:v>1.1347447540779336</c:v>
                </c:pt>
                <c:pt idx="6">
                  <c:v>1.2058734084875256</c:v>
                </c:pt>
                <c:pt idx="7">
                  <c:v>1.3110386718017097</c:v>
                </c:pt>
                <c:pt idx="8">
                  <c:v>1.5500139165588909</c:v>
                </c:pt>
                <c:pt idx="9">
                  <c:v>1.6978220943394695</c:v>
                </c:pt>
                <c:pt idx="10">
                  <c:v>0.62996180226837528</c:v>
                </c:pt>
              </c:numCache>
            </c:numRef>
          </c:val>
          <c:smooth val="1"/>
          <c:extLst>
            <c:ext xmlns:c16="http://schemas.microsoft.com/office/drawing/2014/chart" uri="{C3380CC4-5D6E-409C-BE32-E72D297353CC}">
              <c16:uniqueId val="{00000004-0148-48E5-B661-362B726E1FCF}"/>
            </c:ext>
          </c:extLst>
        </c:ser>
        <c:ser>
          <c:idx val="5"/>
          <c:order val="5"/>
          <c:tx>
            <c:strRef>
              <c:f>ind!$R$15</c:f>
              <c:strCache>
                <c:ptCount val="1"/>
                <c:pt idx="0">
                  <c:v>Jūras ostas</c:v>
                </c:pt>
              </c:strCache>
            </c:strRef>
          </c:tx>
          <c:spPr>
            <a:ln>
              <a:solidFill>
                <a:srgbClr val="C00000"/>
              </a:solidFill>
              <a:prstDash val="sysDash"/>
            </a:ln>
            <a:effectLst>
              <a:outerShdw blurRad="50800" dist="38100" dir="2700000" algn="tl" rotWithShape="0">
                <a:prstClr val="black">
                  <a:alpha val="40000"/>
                </a:prstClr>
              </a:outerShdw>
            </a:effectLst>
          </c:spPr>
          <c:marker>
            <c:symbol val="none"/>
          </c:marker>
          <c:cat>
            <c:numRef>
              <c:f>ind!$L$16:$L$26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formatCode="0">
                  <c:v>2020</c:v>
                </c:pt>
              </c:numCache>
            </c:numRef>
          </c:cat>
          <c:val>
            <c:numRef>
              <c:f>ind!$R$16:$R$26</c:f>
              <c:numCache>
                <c:formatCode>General</c:formatCode>
                <c:ptCount val="11"/>
                <c:pt idx="0">
                  <c:v>1</c:v>
                </c:pt>
                <c:pt idx="1">
                  <c:v>1.2099453776874864</c:v>
                </c:pt>
                <c:pt idx="2">
                  <c:v>1.3150612599228546</c:v>
                </c:pt>
                <c:pt idx="3">
                  <c:v>1.3860076190817128</c:v>
                </c:pt>
                <c:pt idx="4">
                  <c:v>1.4243774816458887</c:v>
                </c:pt>
                <c:pt idx="5">
                  <c:v>0.97899233617035242</c:v>
                </c:pt>
                <c:pt idx="6">
                  <c:v>1.0212582522649913</c:v>
                </c:pt>
                <c:pt idx="7">
                  <c:v>1.4078177625435919</c:v>
                </c:pt>
                <c:pt idx="8">
                  <c:v>1.5353762257205164</c:v>
                </c:pt>
                <c:pt idx="9">
                  <c:v>1.5297111371643533</c:v>
                </c:pt>
                <c:pt idx="10">
                  <c:v>0.61730074490395603</c:v>
                </c:pt>
              </c:numCache>
            </c:numRef>
          </c:val>
          <c:smooth val="1"/>
          <c:extLst>
            <c:ext xmlns:c16="http://schemas.microsoft.com/office/drawing/2014/chart" uri="{C3380CC4-5D6E-409C-BE32-E72D297353CC}">
              <c16:uniqueId val="{00000005-0148-48E5-B661-362B726E1FCF}"/>
            </c:ext>
          </c:extLst>
        </c:ser>
        <c:dLbls>
          <c:showLegendKey val="0"/>
          <c:showVal val="0"/>
          <c:showCatName val="0"/>
          <c:showSerName val="0"/>
          <c:showPercent val="0"/>
          <c:showBubbleSize val="0"/>
        </c:dLbls>
        <c:smooth val="0"/>
        <c:axId val="282258760"/>
        <c:axId val="282259152"/>
      </c:lineChart>
      <c:catAx>
        <c:axId val="282258760"/>
        <c:scaling>
          <c:orientation val="minMax"/>
        </c:scaling>
        <c:delete val="0"/>
        <c:axPos val="b"/>
        <c:numFmt formatCode="General" sourceLinked="0"/>
        <c:majorTickMark val="out"/>
        <c:minorTickMark val="none"/>
        <c:tickLblPos val="nextTo"/>
        <c:txPr>
          <a:bodyPr/>
          <a:lstStyle/>
          <a:p>
            <a:pPr algn="ctr">
              <a:defRPr lang="en-GB"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2259152"/>
        <c:crosses val="autoZero"/>
        <c:auto val="1"/>
        <c:lblAlgn val="ctr"/>
        <c:lblOffset val="100"/>
        <c:noMultiLvlLbl val="0"/>
      </c:catAx>
      <c:valAx>
        <c:axId val="282259152"/>
        <c:scaling>
          <c:orientation val="minMax"/>
          <c:min val="0"/>
        </c:scaling>
        <c:delete val="0"/>
        <c:axPos val="l"/>
        <c:majorGridlines>
          <c:spPr>
            <a:ln>
              <a:solidFill>
                <a:schemeClr val="bg1">
                  <a:lumMod val="75000"/>
                </a:schemeClr>
              </a:solidFill>
            </a:ln>
          </c:spPr>
        </c:majorGridlines>
        <c:numFmt formatCode="#,##0.0" sourceLinked="0"/>
        <c:majorTickMark val="out"/>
        <c:minorTickMark val="none"/>
        <c:tickLblPos val="nextTo"/>
        <c:txPr>
          <a:bodyPr/>
          <a:lstStyle/>
          <a:p>
            <a:pPr algn="ctr">
              <a:defRPr lang="en-GB"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2258760"/>
        <c:crosses val="autoZero"/>
        <c:crossBetween val="between"/>
      </c:valAx>
    </c:plotArea>
    <c:legend>
      <c:legendPos val="r"/>
      <c:layout>
        <c:manualLayout>
          <c:xMode val="edge"/>
          <c:yMode val="edge"/>
          <c:x val="6.9799850822628725E-4"/>
          <c:y val="0.87672547049000316"/>
          <c:w val="0.99930200149177373"/>
          <c:h val="0.12327462436769927"/>
        </c:manualLayout>
      </c:layout>
      <c:overlay val="0"/>
      <c:txPr>
        <a:bodyPr/>
        <a:lstStyle/>
        <a:p>
          <a:pPr algn="ctr">
            <a:defRPr lang="en-GB"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'Būvn apj_2019'!$A$6</c:f>
              <c:strCache>
                <c:ptCount val="1"/>
                <c:pt idx="0">
                  <c:v>Ēku būvniecība</c:v>
                </c:pt>
              </c:strCache>
            </c:strRef>
          </c:tx>
          <c:spPr>
            <a:solidFill>
              <a:srgbClr val="0070C0"/>
            </a:solidFill>
            <a:ln>
              <a:solidFill>
                <a:srgbClr val="0070C0"/>
              </a:solidFill>
            </a:ln>
            <a:effectLst/>
          </c:spPr>
          <c:invertIfNegative val="0"/>
          <c:cat>
            <c:multiLvlStrRef>
              <c:f>'Būvn apj_2019'!$B$3:$W$4</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'Būvn apj_2019'!$B$6:$W$6</c:f>
              <c:numCache>
                <c:formatCode>0.0</c:formatCode>
                <c:ptCount val="22"/>
                <c:pt idx="0">
                  <c:v>99939.9</c:v>
                </c:pt>
                <c:pt idx="1">
                  <c:v>116689.9</c:v>
                </c:pt>
                <c:pt idx="2">
                  <c:v>160866</c:v>
                </c:pt>
                <c:pt idx="3">
                  <c:v>132873.29999999999</c:v>
                </c:pt>
                <c:pt idx="4">
                  <c:v>85076</c:v>
                </c:pt>
                <c:pt idx="5">
                  <c:v>101606.1</c:v>
                </c:pt>
                <c:pt idx="6">
                  <c:v>129975.9</c:v>
                </c:pt>
                <c:pt idx="7">
                  <c:v>140724.29999999999</c:v>
                </c:pt>
                <c:pt idx="8">
                  <c:v>89924.2</c:v>
                </c:pt>
                <c:pt idx="9">
                  <c:v>124532.5</c:v>
                </c:pt>
                <c:pt idx="10">
                  <c:v>175236.9</c:v>
                </c:pt>
                <c:pt idx="11">
                  <c:v>188067</c:v>
                </c:pt>
                <c:pt idx="12">
                  <c:v>137616.20000000001</c:v>
                </c:pt>
                <c:pt idx="13">
                  <c:v>193656.2</c:v>
                </c:pt>
                <c:pt idx="14">
                  <c:v>202311.5</c:v>
                </c:pt>
                <c:pt idx="15">
                  <c:v>229381.6</c:v>
                </c:pt>
                <c:pt idx="16">
                  <c:v>151617.5</c:v>
                </c:pt>
                <c:pt idx="17">
                  <c:v>211010.3</c:v>
                </c:pt>
                <c:pt idx="18">
                  <c:v>234182.5</c:v>
                </c:pt>
                <c:pt idx="19">
                  <c:v>259133.2</c:v>
                </c:pt>
                <c:pt idx="20">
                  <c:v>182468.8</c:v>
                </c:pt>
                <c:pt idx="21">
                  <c:v>205826.3</c:v>
                </c:pt>
              </c:numCache>
            </c:numRef>
          </c:val>
          <c:extLst>
            <c:ext xmlns:c16="http://schemas.microsoft.com/office/drawing/2014/chart" uri="{C3380CC4-5D6E-409C-BE32-E72D297353CC}">
              <c16:uniqueId val="{00000000-04D3-44C4-A67C-5AAF3DB17B6C}"/>
            </c:ext>
          </c:extLst>
        </c:ser>
        <c:ser>
          <c:idx val="1"/>
          <c:order val="1"/>
          <c:tx>
            <c:strRef>
              <c:f>'Būvn apj_2019'!$A$7</c:f>
              <c:strCache>
                <c:ptCount val="1"/>
                <c:pt idx="0">
                  <c:v>Inženierbūvniecība</c:v>
                </c:pt>
              </c:strCache>
            </c:strRef>
          </c:tx>
          <c:spPr>
            <a:pattFill prst="dkUpDiag">
              <a:fgClr>
                <a:srgbClr val="00B050"/>
              </a:fgClr>
              <a:bgClr>
                <a:schemeClr val="bg1"/>
              </a:bgClr>
            </a:pattFill>
            <a:ln>
              <a:solidFill>
                <a:srgbClr val="00B050"/>
              </a:solidFill>
            </a:ln>
            <a:effectLst/>
          </c:spPr>
          <c:invertIfNegative val="0"/>
          <c:cat>
            <c:multiLvlStrRef>
              <c:f>'Būvn apj_2019'!$B$3:$W$4</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'Būvn apj_2019'!$B$7:$W$7</c:f>
              <c:numCache>
                <c:formatCode>0.0</c:formatCode>
                <c:ptCount val="22"/>
                <c:pt idx="0">
                  <c:v>64677.2</c:v>
                </c:pt>
                <c:pt idx="1">
                  <c:v>162983</c:v>
                </c:pt>
                <c:pt idx="2">
                  <c:v>257271</c:v>
                </c:pt>
                <c:pt idx="3">
                  <c:v>199231.2</c:v>
                </c:pt>
                <c:pt idx="4">
                  <c:v>40783.599999999999</c:v>
                </c:pt>
                <c:pt idx="5">
                  <c:v>113014.7</c:v>
                </c:pt>
                <c:pt idx="6">
                  <c:v>183266.4</c:v>
                </c:pt>
                <c:pt idx="7">
                  <c:v>161617.1</c:v>
                </c:pt>
                <c:pt idx="8">
                  <c:v>51035.3</c:v>
                </c:pt>
                <c:pt idx="9">
                  <c:v>148570</c:v>
                </c:pt>
                <c:pt idx="10">
                  <c:v>252171.2</c:v>
                </c:pt>
                <c:pt idx="11">
                  <c:v>206273.2</c:v>
                </c:pt>
                <c:pt idx="12">
                  <c:v>76159.399999999994</c:v>
                </c:pt>
                <c:pt idx="13">
                  <c:v>195353.1</c:v>
                </c:pt>
                <c:pt idx="14">
                  <c:v>274682.2</c:v>
                </c:pt>
                <c:pt idx="15">
                  <c:v>210765.1</c:v>
                </c:pt>
                <c:pt idx="16">
                  <c:v>77993.3</c:v>
                </c:pt>
                <c:pt idx="17">
                  <c:v>195290.9</c:v>
                </c:pt>
                <c:pt idx="18">
                  <c:v>291660.2</c:v>
                </c:pt>
                <c:pt idx="19">
                  <c:v>227641.60000000001</c:v>
                </c:pt>
                <c:pt idx="20">
                  <c:v>91587.199999999997</c:v>
                </c:pt>
                <c:pt idx="21">
                  <c:v>179916.5</c:v>
                </c:pt>
              </c:numCache>
            </c:numRef>
          </c:val>
          <c:extLst>
            <c:ext xmlns:c16="http://schemas.microsoft.com/office/drawing/2014/chart" uri="{C3380CC4-5D6E-409C-BE32-E72D297353CC}">
              <c16:uniqueId val="{00000001-04D3-44C4-A67C-5AAF3DB17B6C}"/>
            </c:ext>
          </c:extLst>
        </c:ser>
        <c:ser>
          <c:idx val="2"/>
          <c:order val="2"/>
          <c:tx>
            <c:strRef>
              <c:f>'Būvn apj_2019'!$A$17</c:f>
              <c:strCache>
                <c:ptCount val="1"/>
                <c:pt idx="0">
                  <c:v>Specializētie būvdarbi</c:v>
                </c:pt>
              </c:strCache>
            </c:strRef>
          </c:tx>
          <c:spPr>
            <a:solidFill>
              <a:schemeClr val="tx1">
                <a:lumMod val="65000"/>
                <a:lumOff val="35000"/>
              </a:schemeClr>
            </a:solidFill>
            <a:ln>
              <a:solidFill>
                <a:schemeClr val="tx1">
                  <a:lumMod val="65000"/>
                  <a:lumOff val="35000"/>
                </a:schemeClr>
              </a:solidFill>
            </a:ln>
            <a:effectLst/>
          </c:spPr>
          <c:invertIfNegative val="0"/>
          <c:cat>
            <c:multiLvlStrRef>
              <c:f>'Būvn apj_2019'!$B$3:$W$4</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'Būvn apj_2019'!$B$17:$W$17</c:f>
              <c:numCache>
                <c:formatCode>0.0</c:formatCode>
                <c:ptCount val="22"/>
                <c:pt idx="0">
                  <c:v>87922.1</c:v>
                </c:pt>
                <c:pt idx="1">
                  <c:v>125420.3</c:v>
                </c:pt>
                <c:pt idx="2">
                  <c:v>167516.29999999999</c:v>
                </c:pt>
                <c:pt idx="3">
                  <c:v>168336.3</c:v>
                </c:pt>
                <c:pt idx="4">
                  <c:v>77627.899999999994</c:v>
                </c:pt>
                <c:pt idx="5">
                  <c:v>110786</c:v>
                </c:pt>
                <c:pt idx="6">
                  <c:v>142781</c:v>
                </c:pt>
                <c:pt idx="7">
                  <c:v>138693.5</c:v>
                </c:pt>
                <c:pt idx="8">
                  <c:v>81010.7</c:v>
                </c:pt>
                <c:pt idx="9">
                  <c:v>111330</c:v>
                </c:pt>
                <c:pt idx="10">
                  <c:v>153423.1</c:v>
                </c:pt>
                <c:pt idx="11">
                  <c:v>154378.1</c:v>
                </c:pt>
                <c:pt idx="12">
                  <c:v>98944.1</c:v>
                </c:pt>
                <c:pt idx="13">
                  <c:v>140767.29999999999</c:v>
                </c:pt>
                <c:pt idx="14">
                  <c:v>191961.3</c:v>
                </c:pt>
                <c:pt idx="15">
                  <c:v>235462.2</c:v>
                </c:pt>
                <c:pt idx="16">
                  <c:v>125189.8</c:v>
                </c:pt>
                <c:pt idx="17">
                  <c:v>146863.70000000001</c:v>
                </c:pt>
                <c:pt idx="18">
                  <c:v>204089.1</c:v>
                </c:pt>
                <c:pt idx="19">
                  <c:v>217704.5</c:v>
                </c:pt>
                <c:pt idx="20">
                  <c:v>140716.9</c:v>
                </c:pt>
                <c:pt idx="21">
                  <c:v>167221.79999999999</c:v>
                </c:pt>
              </c:numCache>
            </c:numRef>
          </c:val>
          <c:extLst>
            <c:ext xmlns:c16="http://schemas.microsoft.com/office/drawing/2014/chart" uri="{C3380CC4-5D6E-409C-BE32-E72D297353CC}">
              <c16:uniqueId val="{00000002-04D3-44C4-A67C-5AAF3DB17B6C}"/>
            </c:ext>
          </c:extLst>
        </c:ser>
        <c:dLbls>
          <c:showLegendKey val="0"/>
          <c:showVal val="0"/>
          <c:showCatName val="0"/>
          <c:showSerName val="0"/>
          <c:showPercent val="0"/>
          <c:showBubbleSize val="0"/>
        </c:dLbls>
        <c:gapWidth val="50"/>
        <c:overlap val="100"/>
        <c:axId val="440031896"/>
        <c:axId val="440031568"/>
      </c:barChart>
      <c:catAx>
        <c:axId val="44003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440031568"/>
        <c:crosses val="autoZero"/>
        <c:auto val="1"/>
        <c:lblAlgn val="ctr"/>
        <c:lblOffset val="100"/>
        <c:noMultiLvlLbl val="0"/>
      </c:catAx>
      <c:valAx>
        <c:axId val="440031568"/>
        <c:scaling>
          <c:orientation val="minMax"/>
          <c:max val="730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440031896"/>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'IKP cet'!$F$3</c:f>
              <c:strCache>
                <c:ptCount val="1"/>
                <c:pt idx="0">
                  <c:v>pret iepriekšējā gada atbilstošo periodu (sezonāli neizlīdzināts)</c:v>
                </c:pt>
              </c:strCache>
            </c:strRef>
          </c:tx>
          <c:spPr>
            <a:pattFill prst="dkUpDiag">
              <a:fgClr>
                <a:schemeClr val="tx1">
                  <a:lumMod val="65000"/>
                  <a:lumOff val="35000"/>
                </a:schemeClr>
              </a:fgClr>
              <a:bgClr>
                <a:schemeClr val="bg1"/>
              </a:bgClr>
            </a:pattFill>
            <a:ln>
              <a:solidFill>
                <a:schemeClr val="tx1">
                  <a:lumMod val="65000"/>
                  <a:lumOff val="35000"/>
                </a:schemeClr>
              </a:solidFill>
            </a:ln>
            <a:effectLst/>
          </c:spPr>
          <c:invertIfNegative val="0"/>
          <c:cat>
            <c:multiLvlStrRef>
              <c:f>'IKP cet'!$B$44:$C$85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'IKP cet'!$F$44:$F$85</c:f>
              <c:numCache>
                <c:formatCode>0.0</c:formatCode>
                <c:ptCount val="42"/>
                <c:pt idx="0">
                  <c:v>-10.662417860956737</c:v>
                </c:pt>
                <c:pt idx="1">
                  <c:v>-5.6361637198409369</c:v>
                </c:pt>
                <c:pt idx="2">
                  <c:v>-1.0266293399669451</c:v>
                </c:pt>
                <c:pt idx="3">
                  <c:v>-0.64939096470600077</c:v>
                </c:pt>
                <c:pt idx="4">
                  <c:v>2.4458137292426585</c:v>
                </c:pt>
                <c:pt idx="5">
                  <c:v>6.3411961675672046</c:v>
                </c:pt>
                <c:pt idx="6">
                  <c:v>9.2207724907931805</c:v>
                </c:pt>
                <c:pt idx="7">
                  <c:v>7.3296216867215378</c:v>
                </c:pt>
                <c:pt idx="8">
                  <c:v>8.2035974942459404</c:v>
                </c:pt>
                <c:pt idx="9">
                  <c:v>4.2204659032448006</c:v>
                </c:pt>
                <c:pt idx="10">
                  <c:v>3.1233126905280955</c:v>
                </c:pt>
                <c:pt idx="11">
                  <c:v>2.2427201392034277</c:v>
                </c:pt>
                <c:pt idx="12">
                  <c:v>1.0055038559092964</c:v>
                </c:pt>
                <c:pt idx="13">
                  <c:v>2.0952042627529863</c:v>
                </c:pt>
                <c:pt idx="14">
                  <c:v>3.0357960202045717</c:v>
                </c:pt>
                <c:pt idx="15">
                  <c:v>2.9006438079175894</c:v>
                </c:pt>
                <c:pt idx="16">
                  <c:v>1.7213837347007939</c:v>
                </c:pt>
                <c:pt idx="17">
                  <c:v>1.284518419260138</c:v>
                </c:pt>
                <c:pt idx="18">
                  <c:v>1.0703307730395579</c:v>
                </c:pt>
                <c:pt idx="19">
                  <c:v>0.35187018448051788</c:v>
                </c:pt>
                <c:pt idx="20">
                  <c:v>3.2735902633979919</c:v>
                </c:pt>
                <c:pt idx="21">
                  <c:v>4.2536374288382603</c:v>
                </c:pt>
                <c:pt idx="22">
                  <c:v>4.5729136149899432</c:v>
                </c:pt>
                <c:pt idx="23">
                  <c:v>3.8362371578826071</c:v>
                </c:pt>
                <c:pt idx="24">
                  <c:v>3.1545118651152819</c:v>
                </c:pt>
                <c:pt idx="25">
                  <c:v>2.6989391784486543</c:v>
                </c:pt>
                <c:pt idx="26">
                  <c:v>1.1301407983447262</c:v>
                </c:pt>
                <c:pt idx="27">
                  <c:v>2.6359596601508741</c:v>
                </c:pt>
                <c:pt idx="28">
                  <c:v>3.062301685304945</c:v>
                </c:pt>
                <c:pt idx="29">
                  <c:v>3.0544179844454931</c:v>
                </c:pt>
                <c:pt idx="30">
                  <c:v>3.8757412230222315</c:v>
                </c:pt>
                <c:pt idx="31">
                  <c:v>2.9897167834163696</c:v>
                </c:pt>
                <c:pt idx="32">
                  <c:v>1.9156539641803931</c:v>
                </c:pt>
                <c:pt idx="33">
                  <c:v>4.5700355167959401</c:v>
                </c:pt>
                <c:pt idx="34">
                  <c:v>4.3556786325395223</c:v>
                </c:pt>
                <c:pt idx="35">
                  <c:v>4.9406388539453445</c:v>
                </c:pt>
                <c:pt idx="36">
                  <c:v>3.3582165151797625</c:v>
                </c:pt>
                <c:pt idx="37">
                  <c:v>1.743596474575952</c:v>
                </c:pt>
                <c:pt idx="38">
                  <c:v>2.6072018237073422</c:v>
                </c:pt>
                <c:pt idx="39">
                  <c:v>0.75979767080802674</c:v>
                </c:pt>
                <c:pt idx="40">
                  <c:v>-0.96865462366044142</c:v>
                </c:pt>
                <c:pt idx="41">
                  <c:v>-8.8923630105704632</c:v>
                </c:pt>
              </c:numCache>
            </c:numRef>
          </c:val>
          <c:extLst>
            <c:ext xmlns:c16="http://schemas.microsoft.com/office/drawing/2014/chart" uri="{C3380CC4-5D6E-409C-BE32-E72D297353CC}">
              <c16:uniqueId val="{00000000-11E8-4658-A391-916E5C165698}"/>
            </c:ext>
          </c:extLst>
        </c:ser>
        <c:dLbls>
          <c:showLegendKey val="0"/>
          <c:showVal val="0"/>
          <c:showCatName val="0"/>
          <c:showSerName val="0"/>
          <c:showPercent val="0"/>
          <c:showBubbleSize val="0"/>
        </c:dLbls>
        <c:gapWidth val="50"/>
        <c:overlap val="-27"/>
        <c:axId val="291496352"/>
        <c:axId val="291495176"/>
      </c:barChart>
      <c:lineChart>
        <c:grouping val="standard"/>
        <c:varyColors val="0"/>
        <c:ser>
          <c:idx val="1"/>
          <c:order val="1"/>
          <c:tx>
            <c:strRef>
              <c:f>'IKP cet'!$G$3</c:f>
              <c:strCache>
                <c:ptCount val="1"/>
                <c:pt idx="0">
                  <c:v>pret iepriekšējo periodu (sezonāli izlīdzināts)</c:v>
                </c:pt>
              </c:strCache>
            </c:strRef>
          </c:tx>
          <c:spPr>
            <a:ln w="31750" cap="rnd">
              <a:solidFill>
                <a:srgbClr val="0070C0"/>
              </a:solidFill>
              <a:round/>
            </a:ln>
            <a:effectLst/>
          </c:spPr>
          <c:marker>
            <c:symbol val="none"/>
          </c:marker>
          <c:cat>
            <c:multiLvlStrRef>
              <c:f>'IKP cet'!$B$44:$C$85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'IKP cet'!$G$44:$G$85</c:f>
              <c:numCache>
                <c:formatCode>0.0</c:formatCode>
                <c:ptCount val="42"/>
                <c:pt idx="0">
                  <c:v>-0.73437461805455939</c:v>
                </c:pt>
                <c:pt idx="1">
                  <c:v>-0.59587531196150678</c:v>
                </c:pt>
                <c:pt idx="2">
                  <c:v>-0.30667762138948262</c:v>
                </c:pt>
                <c:pt idx="3">
                  <c:v>1.222598894818347</c:v>
                </c:pt>
                <c:pt idx="4">
                  <c:v>1.7830526205710555</c:v>
                </c:pt>
                <c:pt idx="5">
                  <c:v>3.5035576449389509</c:v>
                </c:pt>
                <c:pt idx="6">
                  <c:v>1.9257826175348356</c:v>
                </c:pt>
                <c:pt idx="7">
                  <c:v>0.30115211521152219</c:v>
                </c:pt>
                <c:pt idx="8">
                  <c:v>2.1003713568983642</c:v>
                </c:pt>
                <c:pt idx="9">
                  <c:v>-0.30983926890166913</c:v>
                </c:pt>
                <c:pt idx="10">
                  <c:v>1.0340090951891483</c:v>
                </c:pt>
                <c:pt idx="11">
                  <c:v>0.26442597172312787</c:v>
                </c:pt>
                <c:pt idx="12">
                  <c:v>0.75699909537485155</c:v>
                </c:pt>
                <c:pt idx="13">
                  <c:v>0.10287799240205686</c:v>
                </c:pt>
                <c:pt idx="14">
                  <c:v>1.3365916713910906</c:v>
                </c:pt>
                <c:pt idx="15">
                  <c:v>0.84086479607998399</c:v>
                </c:pt>
                <c:pt idx="16">
                  <c:v>-0.88264411893158012</c:v>
                </c:pt>
                <c:pt idx="17">
                  <c:v>0.55156627544781145</c:v>
                </c:pt>
                <c:pt idx="18">
                  <c:v>0.46328822119352253</c:v>
                </c:pt>
                <c:pt idx="19">
                  <c:v>0.55916759239987357</c:v>
                </c:pt>
                <c:pt idx="20">
                  <c:v>1.6118159242575842</c:v>
                </c:pt>
                <c:pt idx="21">
                  <c:v>1.3894799466083612</c:v>
                </c:pt>
                <c:pt idx="22">
                  <c:v>0.81868418220558681</c:v>
                </c:pt>
                <c:pt idx="23">
                  <c:v>-0.13810622325827637</c:v>
                </c:pt>
                <c:pt idx="24">
                  <c:v>1.6243131429417872</c:v>
                </c:pt>
                <c:pt idx="25">
                  <c:v>-0.66946976931291147</c:v>
                </c:pt>
                <c:pt idx="26">
                  <c:v>0.23062544415743957</c:v>
                </c:pt>
                <c:pt idx="27">
                  <c:v>1.1932930470329381</c:v>
                </c:pt>
                <c:pt idx="28">
                  <c:v>1.2942073799151501</c:v>
                </c:pt>
                <c:pt idx="29">
                  <c:v>0.84933301107879799</c:v>
                </c:pt>
                <c:pt idx="30">
                  <c:v>0.56567958007421737</c:v>
                </c:pt>
                <c:pt idx="31">
                  <c:v>0.53849778720073971</c:v>
                </c:pt>
                <c:pt idx="32">
                  <c:v>0.98958134214578308</c:v>
                </c:pt>
                <c:pt idx="33">
                  <c:v>1.7498187824512712</c:v>
                </c:pt>
                <c:pt idx="34">
                  <c:v>1.4189006381131435</c:v>
                </c:pt>
                <c:pt idx="35">
                  <c:v>0.89801067992635808</c:v>
                </c:pt>
                <c:pt idx="36">
                  <c:v>-0.52624774234119798</c:v>
                </c:pt>
                <c:pt idx="37">
                  <c:v>0.64213358940118326</c:v>
                </c:pt>
                <c:pt idx="38">
                  <c:v>0.52166144303089368</c:v>
                </c:pt>
                <c:pt idx="39">
                  <c:v>0.11474510761689771</c:v>
                </c:pt>
                <c:pt idx="40">
                  <c:v>-2.266938525107804</c:v>
                </c:pt>
                <c:pt idx="41">
                  <c:v>-7.0768087815224163</c:v>
                </c:pt>
              </c:numCache>
            </c:numRef>
          </c:val>
          <c:smooth val="0"/>
          <c:extLst>
            <c:ext xmlns:c16="http://schemas.microsoft.com/office/drawing/2014/chart" uri="{C3380CC4-5D6E-409C-BE32-E72D297353CC}">
              <c16:uniqueId val="{00000001-11E8-4658-A391-916E5C165698}"/>
            </c:ext>
          </c:extLst>
        </c:ser>
        <c:dLbls>
          <c:showLegendKey val="0"/>
          <c:showVal val="0"/>
          <c:showCatName val="0"/>
          <c:showSerName val="0"/>
          <c:showPercent val="0"/>
          <c:showBubbleSize val="0"/>
        </c:dLbls>
        <c:marker val="1"/>
        <c:smooth val="0"/>
        <c:axId val="291496352"/>
        <c:axId val="291495176"/>
      </c:lineChart>
      <c:catAx>
        <c:axId val="291496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91495176"/>
        <c:crosses val="autoZero"/>
        <c:auto val="0"/>
        <c:lblAlgn val="ctr"/>
        <c:lblOffset val="100"/>
        <c:tickLblSkip val="1"/>
        <c:tickMarkSkip val="1"/>
        <c:noMultiLvlLbl val="0"/>
      </c:catAx>
      <c:valAx>
        <c:axId val="291495176"/>
        <c:scaling>
          <c:orientation val="minMax"/>
          <c:max val="10"/>
          <c:min val="-1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91496352"/>
        <c:crosses val="autoZero"/>
        <c:crossBetween val="between"/>
        <c:majorUnit val="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PC070c!$A$11</c:f>
              <c:strCache>
                <c:ptCount val="1"/>
                <c:pt idx="0">
                  <c:v>Mājokļi kopā </c:v>
                </c:pt>
              </c:strCache>
            </c:strRef>
          </c:tx>
          <c:spPr>
            <a:pattFill prst="dkUpDiag">
              <a:fgClr>
                <a:srgbClr val="0070C0"/>
              </a:fgClr>
              <a:bgClr>
                <a:schemeClr val="bg1"/>
              </a:bgClr>
            </a:pattFill>
            <a:ln>
              <a:solidFill>
                <a:srgbClr val="0070C0"/>
              </a:solidFill>
            </a:ln>
            <a:effectLst/>
          </c:spPr>
          <c:cat>
            <c:multiLvlStrRef>
              <c:f>PC070c!$AL$3:$BG$4</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PC070c!$AL$11:$BG$11</c:f>
              <c:numCache>
                <c:formatCode>0.0</c:formatCode>
                <c:ptCount val="22"/>
                <c:pt idx="0">
                  <c:v>-6.5383499371312581</c:v>
                </c:pt>
                <c:pt idx="1">
                  <c:v>-4.6139180171592074</c:v>
                </c:pt>
                <c:pt idx="2">
                  <c:v>-7.9236977256052938</c:v>
                </c:pt>
                <c:pt idx="3">
                  <c:v>6.565185875530716</c:v>
                </c:pt>
                <c:pt idx="4">
                  <c:v>7.0992445410328173</c:v>
                </c:pt>
                <c:pt idx="5">
                  <c:v>9.454327403557869</c:v>
                </c:pt>
                <c:pt idx="6">
                  <c:v>9.6015936254979977</c:v>
                </c:pt>
                <c:pt idx="7">
                  <c:v>7.7640656884656494</c:v>
                </c:pt>
                <c:pt idx="8">
                  <c:v>9.2955841144071911</c:v>
                </c:pt>
                <c:pt idx="9">
                  <c:v>9.139883126369611</c:v>
                </c:pt>
                <c:pt idx="10">
                  <c:v>8.7968011632133738</c:v>
                </c:pt>
                <c:pt idx="11">
                  <c:v>7.9260595130748328</c:v>
                </c:pt>
                <c:pt idx="12">
                  <c:v>11.413668110688704</c:v>
                </c:pt>
                <c:pt idx="13">
                  <c:v>8.684012381828822</c:v>
                </c:pt>
                <c:pt idx="14">
                  <c:v>7.2001336451720732</c:v>
                </c:pt>
                <c:pt idx="15">
                  <c:v>11.061909933996162</c:v>
                </c:pt>
                <c:pt idx="16">
                  <c:v>6.3640691953658148</c:v>
                </c:pt>
                <c:pt idx="17">
                  <c:v>7.913170656608429</c:v>
                </c:pt>
                <c:pt idx="18">
                  <c:v>12.653888109708603</c:v>
                </c:pt>
                <c:pt idx="19">
                  <c:v>8.8467614533965246</c:v>
                </c:pt>
                <c:pt idx="20">
                  <c:v>8.7511190689346705</c:v>
                </c:pt>
                <c:pt idx="21">
                  <c:v>1.5978315143733539</c:v>
                </c:pt>
              </c:numCache>
            </c:numRef>
          </c:val>
          <c:extLst>
            <c:ext xmlns:c16="http://schemas.microsoft.com/office/drawing/2014/chart" uri="{C3380CC4-5D6E-409C-BE32-E72D297353CC}">
              <c16:uniqueId val="{00000000-837A-48C7-AFC7-1C8DAF266EC3}"/>
            </c:ext>
          </c:extLst>
        </c:ser>
        <c:dLbls>
          <c:showLegendKey val="0"/>
          <c:showVal val="0"/>
          <c:showCatName val="0"/>
          <c:showSerName val="0"/>
          <c:showPercent val="0"/>
          <c:showBubbleSize val="0"/>
        </c:dLbls>
        <c:axId val="1736990752"/>
        <c:axId val="1736992000"/>
      </c:areaChart>
      <c:lineChart>
        <c:grouping val="standard"/>
        <c:varyColors val="0"/>
        <c:ser>
          <c:idx val="1"/>
          <c:order val="1"/>
          <c:tx>
            <c:strRef>
              <c:f>PC070c!$A$12</c:f>
              <c:strCache>
                <c:ptCount val="1"/>
                <c:pt idx="0">
                  <c:v>Jaunie mājokļi  </c:v>
                </c:pt>
              </c:strCache>
            </c:strRef>
          </c:tx>
          <c:spPr>
            <a:ln w="28575" cap="rnd">
              <a:solidFill>
                <a:schemeClr val="tx1">
                  <a:lumMod val="65000"/>
                  <a:lumOff val="35000"/>
                </a:schemeClr>
              </a:solidFill>
              <a:round/>
            </a:ln>
            <a:effectLst/>
          </c:spPr>
          <c:marker>
            <c:symbol val="none"/>
          </c:marker>
          <c:cat>
            <c:multiLvlStrRef>
              <c:f>PC070c!$AL$3:$BG$4</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PC070c!$AL$12:$BG$12</c:f>
              <c:numCache>
                <c:formatCode>0.0</c:formatCode>
                <c:ptCount val="22"/>
                <c:pt idx="0">
                  <c:v>-11.334002006018054</c:v>
                </c:pt>
                <c:pt idx="1">
                  <c:v>-12.536650377609945</c:v>
                </c:pt>
                <c:pt idx="2">
                  <c:v>-16.989392153561212</c:v>
                </c:pt>
                <c:pt idx="3">
                  <c:v>14.614050303555942</c:v>
                </c:pt>
                <c:pt idx="4">
                  <c:v>6.1394487865076144</c:v>
                </c:pt>
                <c:pt idx="5">
                  <c:v>14.750101584721662</c:v>
                </c:pt>
                <c:pt idx="6">
                  <c:v>8.2758620689655231</c:v>
                </c:pt>
                <c:pt idx="7">
                  <c:v>1.2674990541051869</c:v>
                </c:pt>
                <c:pt idx="8">
                  <c:v>8.342214901656817</c:v>
                </c:pt>
                <c:pt idx="9">
                  <c:v>2.1689093484419288</c:v>
                </c:pt>
                <c:pt idx="10">
                  <c:v>13.366429374297482</c:v>
                </c:pt>
                <c:pt idx="11">
                  <c:v>10.031757892770401</c:v>
                </c:pt>
                <c:pt idx="12">
                  <c:v>14.630656412090872</c:v>
                </c:pt>
                <c:pt idx="13">
                  <c:v>8.2748462005025658</c:v>
                </c:pt>
                <c:pt idx="14">
                  <c:v>-2.2804263405767244</c:v>
                </c:pt>
                <c:pt idx="15">
                  <c:v>4.6264855687606143</c:v>
                </c:pt>
                <c:pt idx="16">
                  <c:v>-2.473084724606025</c:v>
                </c:pt>
                <c:pt idx="17">
                  <c:v>6.2259923175416247</c:v>
                </c:pt>
                <c:pt idx="18">
                  <c:v>19.506214593726227</c:v>
                </c:pt>
                <c:pt idx="19">
                  <c:v>12.746450304259639</c:v>
                </c:pt>
                <c:pt idx="20">
                  <c:v>15.630749540036803</c:v>
                </c:pt>
                <c:pt idx="21">
                  <c:v>9.213500075335233</c:v>
                </c:pt>
              </c:numCache>
            </c:numRef>
          </c:val>
          <c:smooth val="1"/>
          <c:extLst>
            <c:ext xmlns:c16="http://schemas.microsoft.com/office/drawing/2014/chart" uri="{C3380CC4-5D6E-409C-BE32-E72D297353CC}">
              <c16:uniqueId val="{00000001-837A-48C7-AFC7-1C8DAF266EC3}"/>
            </c:ext>
          </c:extLst>
        </c:ser>
        <c:ser>
          <c:idx val="2"/>
          <c:order val="2"/>
          <c:tx>
            <c:strRef>
              <c:f>PC070c!$A$13</c:f>
              <c:strCache>
                <c:ptCount val="1"/>
                <c:pt idx="0">
                  <c:v>Lietotie mājokļi  </c:v>
                </c:pt>
              </c:strCache>
            </c:strRef>
          </c:tx>
          <c:spPr>
            <a:ln w="28575" cap="rnd">
              <a:solidFill>
                <a:srgbClr val="00B050"/>
              </a:solidFill>
              <a:round/>
            </a:ln>
            <a:effectLst/>
          </c:spPr>
          <c:marker>
            <c:symbol val="none"/>
          </c:marker>
          <c:cat>
            <c:multiLvlStrRef>
              <c:f>PC070c!$AL$3:$BG$4</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PC070c!$AL$13:$BG$13</c:f>
              <c:numCache>
                <c:formatCode>0.0</c:formatCode>
                <c:ptCount val="22"/>
                <c:pt idx="0">
                  <c:v>-5.1612268973653102</c:v>
                </c:pt>
                <c:pt idx="1">
                  <c:v>-2.303878681831435</c:v>
                </c:pt>
                <c:pt idx="2">
                  <c:v>-5.223109441052145</c:v>
                </c:pt>
                <c:pt idx="3">
                  <c:v>4.511970534069988</c:v>
                </c:pt>
                <c:pt idx="4">
                  <c:v>7.1524826370892498</c:v>
                </c:pt>
                <c:pt idx="5">
                  <c:v>8.0796019900497527</c:v>
                </c:pt>
                <c:pt idx="6">
                  <c:v>9.5549608484488004</c:v>
                </c:pt>
                <c:pt idx="7">
                  <c:v>9.1532060695056288</c:v>
                </c:pt>
                <c:pt idx="8">
                  <c:v>9.5385508367998426</c:v>
                </c:pt>
                <c:pt idx="9">
                  <c:v>10.633400846989502</c:v>
                </c:pt>
                <c:pt idx="10">
                  <c:v>7.9887813263367349</c:v>
                </c:pt>
                <c:pt idx="11">
                  <c:v>7.5426008968609892</c:v>
                </c:pt>
                <c:pt idx="12">
                  <c:v>10.801024463481411</c:v>
                </c:pt>
                <c:pt idx="13">
                  <c:v>8.7709078805026195</c:v>
                </c:pt>
                <c:pt idx="14">
                  <c:v>9.0315013404825635</c:v>
                </c:pt>
                <c:pt idx="15">
                  <c:v>12.284213159869893</c:v>
                </c:pt>
                <c:pt idx="16">
                  <c:v>8.0902279611031673</c:v>
                </c:pt>
                <c:pt idx="17">
                  <c:v>8.1707596970392302</c:v>
                </c:pt>
                <c:pt idx="18">
                  <c:v>11.280159827877682</c:v>
                </c:pt>
                <c:pt idx="19">
                  <c:v>8.0585264408793904</c:v>
                </c:pt>
                <c:pt idx="20">
                  <c:v>7.2782243197404028</c:v>
                </c:pt>
                <c:pt idx="21">
                  <c:v>-0.10608953957138567</c:v>
                </c:pt>
              </c:numCache>
            </c:numRef>
          </c:val>
          <c:smooth val="1"/>
          <c:extLst>
            <c:ext xmlns:c16="http://schemas.microsoft.com/office/drawing/2014/chart" uri="{C3380CC4-5D6E-409C-BE32-E72D297353CC}">
              <c16:uniqueId val="{00000002-837A-48C7-AFC7-1C8DAF266EC3}"/>
            </c:ext>
          </c:extLst>
        </c:ser>
        <c:dLbls>
          <c:showLegendKey val="0"/>
          <c:showVal val="0"/>
          <c:showCatName val="0"/>
          <c:showSerName val="0"/>
          <c:showPercent val="0"/>
          <c:showBubbleSize val="0"/>
        </c:dLbls>
        <c:marker val="1"/>
        <c:smooth val="0"/>
        <c:axId val="1736990752"/>
        <c:axId val="1736992000"/>
      </c:lineChart>
      <c:catAx>
        <c:axId val="17369907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36992000"/>
        <c:crosses val="autoZero"/>
        <c:auto val="1"/>
        <c:lblAlgn val="ctr"/>
        <c:lblOffset val="100"/>
        <c:noMultiLvlLbl val="0"/>
      </c:catAx>
      <c:valAx>
        <c:axId val="1736992000"/>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73699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752405949256341E-2"/>
          <c:y val="5.5555555555555552E-2"/>
          <c:w val="0.93640616797900267"/>
          <c:h val="0.4692690686391473"/>
        </c:manualLayout>
      </c:layout>
      <c:areaChart>
        <c:grouping val="standard"/>
        <c:varyColors val="0"/>
        <c:ser>
          <c:idx val="0"/>
          <c:order val="0"/>
          <c:tx>
            <c:strRef>
              <c:f>Sheet1!$A$12</c:f>
              <c:strCache>
                <c:ptCount val="1"/>
                <c:pt idx="0">
                  <c:v>Pavisam</c:v>
                </c:pt>
              </c:strCache>
            </c:strRef>
          </c:tx>
          <c:spPr>
            <a:pattFill prst="dkUpDiag">
              <a:fgClr>
                <a:srgbClr val="0070C0"/>
              </a:fgClr>
              <a:bgClr>
                <a:schemeClr val="bg1"/>
              </a:bgClr>
            </a:pattFill>
            <a:ln>
              <a:noFill/>
            </a:ln>
            <a:effectLst/>
          </c:spPr>
          <c:cat>
            <c:multiLvlStrRef>
              <c:f>Sheet1!$V$10:$AQ$11</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Sheet1!$V$12:$AQ$12</c:f>
              <c:numCache>
                <c:formatCode>0.0</c:formatCode>
                <c:ptCount val="22"/>
                <c:pt idx="0">
                  <c:v>1.2048192771084416</c:v>
                </c:pt>
                <c:pt idx="1">
                  <c:v>0</c:v>
                </c:pt>
                <c:pt idx="2">
                  <c:v>0</c:v>
                </c:pt>
                <c:pt idx="3">
                  <c:v>-0.59940059940059598</c:v>
                </c:pt>
                <c:pt idx="4">
                  <c:v>-1.0912698412698347</c:v>
                </c:pt>
                <c:pt idx="5">
                  <c:v>-0.7992007992007899</c:v>
                </c:pt>
                <c:pt idx="6">
                  <c:v>-0.10030090270812764</c:v>
                </c:pt>
                <c:pt idx="7">
                  <c:v>0</c:v>
                </c:pt>
                <c:pt idx="8">
                  <c:v>0.3009027081243687</c:v>
                </c:pt>
                <c:pt idx="9">
                  <c:v>2.0140986908358514</c:v>
                </c:pt>
                <c:pt idx="10">
                  <c:v>2.1084337349397657</c:v>
                </c:pt>
                <c:pt idx="11">
                  <c:v>3.0150753768844254</c:v>
                </c:pt>
                <c:pt idx="12">
                  <c:v>3.5999999999999943</c:v>
                </c:pt>
                <c:pt idx="13">
                  <c:v>4.0473840078973353</c:v>
                </c:pt>
                <c:pt idx="14">
                  <c:v>4.7197640117994126</c:v>
                </c:pt>
                <c:pt idx="15">
                  <c:v>5.0731707317073216</c:v>
                </c:pt>
                <c:pt idx="16">
                  <c:v>5.0193050193050226</c:v>
                </c:pt>
                <c:pt idx="17">
                  <c:v>4.2694497153700155</c:v>
                </c:pt>
                <c:pt idx="18">
                  <c:v>3.7558685446009434</c:v>
                </c:pt>
                <c:pt idx="19">
                  <c:v>3.2497678737233002</c:v>
                </c:pt>
                <c:pt idx="20">
                  <c:v>2.481617647058826</c:v>
                </c:pt>
                <c:pt idx="21">
                  <c:v>1.4558689717925404</c:v>
                </c:pt>
              </c:numCache>
            </c:numRef>
          </c:val>
          <c:extLst>
            <c:ext xmlns:c16="http://schemas.microsoft.com/office/drawing/2014/chart" uri="{C3380CC4-5D6E-409C-BE32-E72D297353CC}">
              <c16:uniqueId val="{00000000-8341-4A0A-B268-767A99270CAB}"/>
            </c:ext>
          </c:extLst>
        </c:ser>
        <c:dLbls>
          <c:showLegendKey val="0"/>
          <c:showVal val="0"/>
          <c:showCatName val="0"/>
          <c:showSerName val="0"/>
          <c:showPercent val="0"/>
          <c:showBubbleSize val="0"/>
        </c:dLbls>
        <c:axId val="428555632"/>
        <c:axId val="428555960"/>
      </c:areaChart>
      <c:lineChart>
        <c:grouping val="standard"/>
        <c:varyColors val="0"/>
        <c:ser>
          <c:idx val="1"/>
          <c:order val="1"/>
          <c:tx>
            <c:strRef>
              <c:f>Sheet1!$A$13</c:f>
              <c:strCache>
                <c:ptCount val="1"/>
                <c:pt idx="0">
                  <c:v>Būvmateriāli</c:v>
                </c:pt>
              </c:strCache>
            </c:strRef>
          </c:tx>
          <c:spPr>
            <a:ln w="28575" cap="rnd">
              <a:solidFill>
                <a:srgbClr val="00B050"/>
              </a:solidFill>
              <a:round/>
            </a:ln>
            <a:effectLst/>
          </c:spPr>
          <c:marker>
            <c:symbol val="none"/>
          </c:marker>
          <c:cat>
            <c:multiLvlStrRef>
              <c:f>Sheet1!$V$10:$AQ$11</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Sheet1!$V$13:$AQ$13</c:f>
              <c:numCache>
                <c:formatCode>0.0</c:formatCode>
                <c:ptCount val="22"/>
                <c:pt idx="0">
                  <c:v>-0.38834951456310307</c:v>
                </c:pt>
                <c:pt idx="1">
                  <c:v>-1.9588638589617915</c:v>
                </c:pt>
                <c:pt idx="2">
                  <c:v>-2.0771513353115694</c:v>
                </c:pt>
                <c:pt idx="3">
                  <c:v>-3.0571992110453721</c:v>
                </c:pt>
                <c:pt idx="4">
                  <c:v>-4.4834307992202724</c:v>
                </c:pt>
                <c:pt idx="5">
                  <c:v>-3.696303696303687</c:v>
                </c:pt>
                <c:pt idx="6">
                  <c:v>-2.6262626262626299</c:v>
                </c:pt>
                <c:pt idx="7">
                  <c:v>-1.932858596134281</c:v>
                </c:pt>
                <c:pt idx="8">
                  <c:v>-0.61224489795918657</c:v>
                </c:pt>
                <c:pt idx="9">
                  <c:v>1.7634854771784205</c:v>
                </c:pt>
                <c:pt idx="10">
                  <c:v>1.8672199170124486</c:v>
                </c:pt>
                <c:pt idx="11">
                  <c:v>2.3858921161825606</c:v>
                </c:pt>
                <c:pt idx="12">
                  <c:v>2.669404517453799</c:v>
                </c:pt>
                <c:pt idx="13">
                  <c:v>3.6697247706422047</c:v>
                </c:pt>
                <c:pt idx="14">
                  <c:v>3.767820773930751</c:v>
                </c:pt>
                <c:pt idx="15">
                  <c:v>4.7619047619047592</c:v>
                </c:pt>
                <c:pt idx="16">
                  <c:v>4.5</c:v>
                </c:pt>
                <c:pt idx="17">
                  <c:v>3.343166175024578</c:v>
                </c:pt>
                <c:pt idx="18">
                  <c:v>3.6310107948969517</c:v>
                </c:pt>
                <c:pt idx="19">
                  <c:v>2.2243713733075339</c:v>
                </c:pt>
                <c:pt idx="20">
                  <c:v>1.1483253588516789</c:v>
                </c:pt>
                <c:pt idx="21">
                  <c:v>-0.57088487155090206</c:v>
                </c:pt>
              </c:numCache>
            </c:numRef>
          </c:val>
          <c:smooth val="1"/>
          <c:extLst>
            <c:ext xmlns:c16="http://schemas.microsoft.com/office/drawing/2014/chart" uri="{C3380CC4-5D6E-409C-BE32-E72D297353CC}">
              <c16:uniqueId val="{00000001-8341-4A0A-B268-767A99270CAB}"/>
            </c:ext>
          </c:extLst>
        </c:ser>
        <c:ser>
          <c:idx val="2"/>
          <c:order val="2"/>
          <c:tx>
            <c:strRef>
              <c:f>Sheet1!$A$14</c:f>
              <c:strCache>
                <c:ptCount val="1"/>
                <c:pt idx="0">
                  <c:v>Strādnieku darba samaksa</c:v>
                </c:pt>
              </c:strCache>
            </c:strRef>
          </c:tx>
          <c:spPr>
            <a:ln w="28575" cap="rnd">
              <a:solidFill>
                <a:srgbClr val="0070C0"/>
              </a:solidFill>
              <a:round/>
            </a:ln>
            <a:effectLst/>
          </c:spPr>
          <c:marker>
            <c:symbol val="none"/>
          </c:marker>
          <c:cat>
            <c:multiLvlStrRef>
              <c:f>Sheet1!$V$10:$AQ$11</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Sheet1!$V$14:$AQ$14</c:f>
              <c:numCache>
                <c:formatCode>0.0</c:formatCode>
                <c:ptCount val="22"/>
                <c:pt idx="0">
                  <c:v>7.206208425720618</c:v>
                </c:pt>
                <c:pt idx="1">
                  <c:v>6.4962726304579235</c:v>
                </c:pt>
                <c:pt idx="2">
                  <c:v>6.526315789473685</c:v>
                </c:pt>
                <c:pt idx="3">
                  <c:v>6.4718162839248521</c:v>
                </c:pt>
                <c:pt idx="4">
                  <c:v>5.9979317476732064</c:v>
                </c:pt>
                <c:pt idx="5">
                  <c:v>4.7000000000000028</c:v>
                </c:pt>
                <c:pt idx="6">
                  <c:v>4.6442687747035478</c:v>
                </c:pt>
                <c:pt idx="7">
                  <c:v>3.8235294117647101</c:v>
                </c:pt>
                <c:pt idx="8">
                  <c:v>3.0243902439024453</c:v>
                </c:pt>
                <c:pt idx="9">
                  <c:v>4.4890162368672435</c:v>
                </c:pt>
                <c:pt idx="10">
                  <c:v>4.3437204910292735</c:v>
                </c:pt>
                <c:pt idx="11">
                  <c:v>6.0434372049102905</c:v>
                </c:pt>
                <c:pt idx="12">
                  <c:v>7.9545454545454533</c:v>
                </c:pt>
                <c:pt idx="13">
                  <c:v>7.2212065813528312</c:v>
                </c:pt>
                <c:pt idx="14">
                  <c:v>9.1402714932126656</c:v>
                </c:pt>
                <c:pt idx="15">
                  <c:v>8.8156723063223552</c:v>
                </c:pt>
                <c:pt idx="16">
                  <c:v>8.1578947368421098</c:v>
                </c:pt>
                <c:pt idx="17">
                  <c:v>8.3546462063086153</c:v>
                </c:pt>
                <c:pt idx="18">
                  <c:v>6.3847429519071568</c:v>
                </c:pt>
                <c:pt idx="19">
                  <c:v>7.6104746317512308</c:v>
                </c:pt>
                <c:pt idx="20">
                  <c:v>7.9480940794809385</c:v>
                </c:pt>
                <c:pt idx="21">
                  <c:v>7.238394964594832</c:v>
                </c:pt>
              </c:numCache>
            </c:numRef>
          </c:val>
          <c:smooth val="1"/>
          <c:extLst>
            <c:ext xmlns:c16="http://schemas.microsoft.com/office/drawing/2014/chart" uri="{C3380CC4-5D6E-409C-BE32-E72D297353CC}">
              <c16:uniqueId val="{00000002-8341-4A0A-B268-767A99270CAB}"/>
            </c:ext>
          </c:extLst>
        </c:ser>
        <c:ser>
          <c:idx val="3"/>
          <c:order val="3"/>
          <c:tx>
            <c:strRef>
              <c:f>Sheet1!$A$15</c:f>
              <c:strCache>
                <c:ptCount val="1"/>
                <c:pt idx="0">
                  <c:v>Izmaksas mašīnu un mehānismu uzturēšanai un ekspluatācijai</c:v>
                </c:pt>
              </c:strCache>
            </c:strRef>
          </c:tx>
          <c:spPr>
            <a:ln w="28575" cap="rnd">
              <a:solidFill>
                <a:schemeClr val="tx1">
                  <a:lumMod val="50000"/>
                  <a:lumOff val="50000"/>
                </a:schemeClr>
              </a:solidFill>
              <a:round/>
            </a:ln>
            <a:effectLst/>
          </c:spPr>
          <c:marker>
            <c:symbol val="none"/>
          </c:marker>
          <c:cat>
            <c:multiLvlStrRef>
              <c:f>Sheet1!$V$10:$AQ$11</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Sheet1!$V$15:$AQ$15</c:f>
              <c:numCache>
                <c:formatCode>0.0</c:formatCode>
                <c:ptCount val="22"/>
                <c:pt idx="0">
                  <c:v>1.2121212121212182</c:v>
                </c:pt>
                <c:pt idx="1">
                  <c:v>-9.9800399201598111E-2</c:v>
                </c:pt>
                <c:pt idx="2">
                  <c:v>-0.19980019980019392</c:v>
                </c:pt>
                <c:pt idx="3">
                  <c:v>-0.79522862823061757</c:v>
                </c:pt>
                <c:pt idx="4">
                  <c:v>0.49900199600797635</c:v>
                </c:pt>
                <c:pt idx="5">
                  <c:v>0.99900099900099804</c:v>
                </c:pt>
                <c:pt idx="6">
                  <c:v>1.601601601601601</c:v>
                </c:pt>
                <c:pt idx="7">
                  <c:v>1.4028056112224476</c:v>
                </c:pt>
                <c:pt idx="8">
                  <c:v>0.29791459781529284</c:v>
                </c:pt>
                <c:pt idx="9">
                  <c:v>0.79129574678536585</c:v>
                </c:pt>
                <c:pt idx="10">
                  <c:v>0.88669950738916725</c:v>
                </c:pt>
                <c:pt idx="11">
                  <c:v>1.9762845849802346</c:v>
                </c:pt>
                <c:pt idx="12">
                  <c:v>2.4752475247524757</c:v>
                </c:pt>
                <c:pt idx="13">
                  <c:v>2.5515210991167692</c:v>
                </c:pt>
                <c:pt idx="14">
                  <c:v>3.22265625</c:v>
                </c:pt>
                <c:pt idx="15">
                  <c:v>3.1007751937984409</c:v>
                </c:pt>
                <c:pt idx="16">
                  <c:v>3.6714975845410578</c:v>
                </c:pt>
                <c:pt idx="17">
                  <c:v>3.0622009569378008</c:v>
                </c:pt>
                <c:pt idx="18">
                  <c:v>2.2705771050141834</c:v>
                </c:pt>
                <c:pt idx="19">
                  <c:v>1.691729323308266</c:v>
                </c:pt>
                <c:pt idx="20">
                  <c:v>1.0251630941286152</c:v>
                </c:pt>
                <c:pt idx="21">
                  <c:v>0.46425255338904492</c:v>
                </c:pt>
              </c:numCache>
            </c:numRef>
          </c:val>
          <c:smooth val="1"/>
          <c:extLst>
            <c:ext xmlns:c16="http://schemas.microsoft.com/office/drawing/2014/chart" uri="{C3380CC4-5D6E-409C-BE32-E72D297353CC}">
              <c16:uniqueId val="{00000003-8341-4A0A-B268-767A99270CAB}"/>
            </c:ext>
          </c:extLst>
        </c:ser>
        <c:dLbls>
          <c:showLegendKey val="0"/>
          <c:showVal val="0"/>
          <c:showCatName val="0"/>
          <c:showSerName val="0"/>
          <c:showPercent val="0"/>
          <c:showBubbleSize val="0"/>
        </c:dLbls>
        <c:marker val="1"/>
        <c:smooth val="0"/>
        <c:axId val="428555632"/>
        <c:axId val="428555960"/>
      </c:lineChart>
      <c:catAx>
        <c:axId val="4285556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8555960"/>
        <c:crosses val="autoZero"/>
        <c:auto val="1"/>
        <c:lblAlgn val="ctr"/>
        <c:lblOffset val="100"/>
        <c:noMultiLvlLbl val="0"/>
      </c:catAx>
      <c:valAx>
        <c:axId val="428555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8555632"/>
        <c:crosses val="autoZero"/>
        <c:crossBetween val="between"/>
      </c:valAx>
      <c:spPr>
        <a:noFill/>
        <a:ln>
          <a:noFill/>
        </a:ln>
        <a:effectLst/>
      </c:spPr>
    </c:plotArea>
    <c:legend>
      <c:legendPos val="b"/>
      <c:layout>
        <c:manualLayout>
          <c:xMode val="edge"/>
          <c:yMode val="edge"/>
          <c:x val="0"/>
          <c:y val="0.70221506402608758"/>
          <c:w val="1"/>
          <c:h val="0.2674819056708820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888271017091007E-2"/>
          <c:y val="3.0909999166440789E-2"/>
          <c:w val="0.91866697429462363"/>
          <c:h val="0.64793151588385689"/>
        </c:manualLayout>
      </c:layout>
      <c:barChart>
        <c:barDir val="col"/>
        <c:grouping val="stacked"/>
        <c:varyColors val="0"/>
        <c:ser>
          <c:idx val="6"/>
          <c:order val="0"/>
          <c:tx>
            <c:strRef>
              <c:f>Atļaujas!$B$62</c:f>
              <c:strCache>
                <c:ptCount val="1"/>
                <c:pt idx="0">
                  <c:v>Pārējās</c:v>
                </c:pt>
              </c:strCache>
            </c:strRef>
          </c:tx>
          <c:spPr>
            <a:solidFill>
              <a:srgbClr val="0070C0"/>
            </a:solidFill>
            <a:ln>
              <a:solidFill>
                <a:schemeClr val="accent1"/>
              </a:solidFill>
            </a:ln>
            <a:effectLst/>
          </c:spPr>
          <c:invertIfNegative val="0"/>
          <c:cat>
            <c:multiLvlStrRef>
              <c:f>Atļaujas!$AY$47:$BT$48</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Atļaujas!$AY$62:$BT$62</c:f>
              <c:numCache>
                <c:formatCode>0</c:formatCode>
                <c:ptCount val="22"/>
                <c:pt idx="0">
                  <c:v>105.19999999999999</c:v>
                </c:pt>
                <c:pt idx="1">
                  <c:v>126.70000000000005</c:v>
                </c:pt>
                <c:pt idx="2">
                  <c:v>105.20000000000005</c:v>
                </c:pt>
                <c:pt idx="3">
                  <c:v>129.99999999999997</c:v>
                </c:pt>
                <c:pt idx="4">
                  <c:v>106.20000000000002</c:v>
                </c:pt>
                <c:pt idx="5">
                  <c:v>107.89999999999992</c:v>
                </c:pt>
                <c:pt idx="6">
                  <c:v>94.699999999999932</c:v>
                </c:pt>
                <c:pt idx="7">
                  <c:v>70.699999999999989</c:v>
                </c:pt>
                <c:pt idx="8">
                  <c:v>30.899999999999977</c:v>
                </c:pt>
                <c:pt idx="9">
                  <c:v>55.899999999999977</c:v>
                </c:pt>
                <c:pt idx="10">
                  <c:v>79.899999999999977</c:v>
                </c:pt>
                <c:pt idx="11">
                  <c:v>57.399999999999977</c:v>
                </c:pt>
                <c:pt idx="12">
                  <c:v>44.5</c:v>
                </c:pt>
                <c:pt idx="13">
                  <c:v>86.099999999999852</c:v>
                </c:pt>
                <c:pt idx="14">
                  <c:v>81.699999999999989</c:v>
                </c:pt>
                <c:pt idx="15">
                  <c:v>73.299999999999955</c:v>
                </c:pt>
                <c:pt idx="16">
                  <c:v>105</c:v>
                </c:pt>
                <c:pt idx="17">
                  <c:v>141.10000000000002</c:v>
                </c:pt>
                <c:pt idx="18">
                  <c:v>145.5</c:v>
                </c:pt>
                <c:pt idx="19">
                  <c:v>155.69999999999993</c:v>
                </c:pt>
                <c:pt idx="20">
                  <c:v>101.39999999999998</c:v>
                </c:pt>
                <c:pt idx="21">
                  <c:v>118.49999999999989</c:v>
                </c:pt>
              </c:numCache>
            </c:numRef>
          </c:val>
          <c:extLst>
            <c:ext xmlns:c16="http://schemas.microsoft.com/office/drawing/2014/chart" uri="{C3380CC4-5D6E-409C-BE32-E72D297353CC}">
              <c16:uniqueId val="{00000000-2E04-4B2D-B006-79A92F02E74B}"/>
            </c:ext>
          </c:extLst>
        </c:ser>
        <c:ser>
          <c:idx val="2"/>
          <c:order val="1"/>
          <c:tx>
            <c:strRef>
              <c:f>Atļaujas!$B$54</c:f>
              <c:strCache>
                <c:ptCount val="1"/>
                <c:pt idx="0">
                  <c:v>Biroju ēkas</c:v>
                </c:pt>
              </c:strCache>
            </c:strRef>
          </c:tx>
          <c:spPr>
            <a:pattFill prst="dkUpDiag">
              <a:fgClr>
                <a:schemeClr val="accent2">
                  <a:lumMod val="75000"/>
                </a:schemeClr>
              </a:fgClr>
              <a:bgClr>
                <a:schemeClr val="bg1"/>
              </a:bgClr>
            </a:pattFill>
            <a:ln>
              <a:solidFill>
                <a:schemeClr val="accent2">
                  <a:lumMod val="75000"/>
                </a:schemeClr>
              </a:solidFill>
            </a:ln>
            <a:effectLst/>
          </c:spPr>
          <c:invertIfNegative val="0"/>
          <c:cat>
            <c:multiLvlStrRef>
              <c:f>Atļaujas!$AY$47:$BT$48</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Atļaujas!$AY$54:$BT$54</c:f>
              <c:numCache>
                <c:formatCode>0.0</c:formatCode>
                <c:ptCount val="22"/>
                <c:pt idx="0">
                  <c:v>13.8</c:v>
                </c:pt>
                <c:pt idx="1">
                  <c:v>13</c:v>
                </c:pt>
                <c:pt idx="2">
                  <c:v>30.2</c:v>
                </c:pt>
                <c:pt idx="3">
                  <c:v>7.7</c:v>
                </c:pt>
                <c:pt idx="4">
                  <c:v>26.7</c:v>
                </c:pt>
                <c:pt idx="5">
                  <c:v>10.199999999999999</c:v>
                </c:pt>
                <c:pt idx="6">
                  <c:v>7.9</c:v>
                </c:pt>
                <c:pt idx="7">
                  <c:v>32.6</c:v>
                </c:pt>
                <c:pt idx="8">
                  <c:v>7.8</c:v>
                </c:pt>
                <c:pt idx="9">
                  <c:v>10.199999999999999</c:v>
                </c:pt>
                <c:pt idx="10">
                  <c:v>27.1</c:v>
                </c:pt>
                <c:pt idx="11">
                  <c:v>24.2</c:v>
                </c:pt>
                <c:pt idx="12">
                  <c:v>16.3</c:v>
                </c:pt>
                <c:pt idx="13">
                  <c:v>78.900000000000006</c:v>
                </c:pt>
                <c:pt idx="14">
                  <c:v>33.200000000000003</c:v>
                </c:pt>
                <c:pt idx="15">
                  <c:v>20.8</c:v>
                </c:pt>
                <c:pt idx="16">
                  <c:v>9.6</c:v>
                </c:pt>
                <c:pt idx="17">
                  <c:v>11.9</c:v>
                </c:pt>
                <c:pt idx="18">
                  <c:v>19</c:v>
                </c:pt>
                <c:pt idx="19">
                  <c:v>42.3</c:v>
                </c:pt>
                <c:pt idx="20">
                  <c:v>12.7</c:v>
                </c:pt>
                <c:pt idx="21">
                  <c:v>33.299999999999997</c:v>
                </c:pt>
              </c:numCache>
            </c:numRef>
          </c:val>
          <c:extLst>
            <c:ext xmlns:c16="http://schemas.microsoft.com/office/drawing/2014/chart" uri="{C3380CC4-5D6E-409C-BE32-E72D297353CC}">
              <c16:uniqueId val="{00000001-2E04-4B2D-B006-79A92F02E74B}"/>
            </c:ext>
          </c:extLst>
        </c:ser>
        <c:ser>
          <c:idx val="3"/>
          <c:order val="2"/>
          <c:tx>
            <c:strRef>
              <c:f>Atļaujas!$B$55</c:f>
              <c:strCache>
                <c:ptCount val="1"/>
                <c:pt idx="0">
                  <c:v>Tirdzniecības ēkas</c:v>
                </c:pt>
              </c:strCache>
            </c:strRef>
          </c:tx>
          <c:spPr>
            <a:solidFill>
              <a:schemeClr val="accent4">
                <a:lumMod val="60000"/>
                <a:lumOff val="40000"/>
              </a:schemeClr>
            </a:solidFill>
            <a:ln>
              <a:solidFill>
                <a:schemeClr val="accent4">
                  <a:lumMod val="60000"/>
                  <a:lumOff val="40000"/>
                </a:schemeClr>
              </a:solidFill>
            </a:ln>
            <a:effectLst/>
          </c:spPr>
          <c:invertIfNegative val="0"/>
          <c:cat>
            <c:multiLvlStrRef>
              <c:f>Atļaujas!$AY$47:$BT$48</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Atļaujas!$AY$55:$BT$55</c:f>
              <c:numCache>
                <c:formatCode>0.0</c:formatCode>
                <c:ptCount val="22"/>
                <c:pt idx="0">
                  <c:v>18.7</c:v>
                </c:pt>
                <c:pt idx="1">
                  <c:v>26.9</c:v>
                </c:pt>
                <c:pt idx="2">
                  <c:v>22.8</c:v>
                </c:pt>
                <c:pt idx="3">
                  <c:v>16.600000000000001</c:v>
                </c:pt>
                <c:pt idx="4">
                  <c:v>24.3</c:v>
                </c:pt>
                <c:pt idx="5">
                  <c:v>12.1</c:v>
                </c:pt>
                <c:pt idx="6">
                  <c:v>9.4</c:v>
                </c:pt>
                <c:pt idx="7">
                  <c:v>69.2</c:v>
                </c:pt>
                <c:pt idx="8">
                  <c:v>10.199999999999999</c:v>
                </c:pt>
                <c:pt idx="9">
                  <c:v>12.5</c:v>
                </c:pt>
                <c:pt idx="10">
                  <c:v>41</c:v>
                </c:pt>
                <c:pt idx="11">
                  <c:v>71.400000000000006</c:v>
                </c:pt>
                <c:pt idx="12">
                  <c:v>23</c:v>
                </c:pt>
                <c:pt idx="13">
                  <c:v>25.9</c:v>
                </c:pt>
                <c:pt idx="14">
                  <c:v>28.3</c:v>
                </c:pt>
                <c:pt idx="15">
                  <c:v>64.5</c:v>
                </c:pt>
                <c:pt idx="16">
                  <c:v>13.7</c:v>
                </c:pt>
                <c:pt idx="17">
                  <c:v>44.5</c:v>
                </c:pt>
                <c:pt idx="18">
                  <c:v>99.4</c:v>
                </c:pt>
                <c:pt idx="19">
                  <c:v>35.700000000000003</c:v>
                </c:pt>
                <c:pt idx="20">
                  <c:v>22.5</c:v>
                </c:pt>
                <c:pt idx="21">
                  <c:v>8.8000000000000007</c:v>
                </c:pt>
              </c:numCache>
            </c:numRef>
          </c:val>
          <c:extLst>
            <c:ext xmlns:c16="http://schemas.microsoft.com/office/drawing/2014/chart" uri="{C3380CC4-5D6E-409C-BE32-E72D297353CC}">
              <c16:uniqueId val="{00000002-2E04-4B2D-B006-79A92F02E74B}"/>
            </c:ext>
          </c:extLst>
        </c:ser>
        <c:ser>
          <c:idx val="5"/>
          <c:order val="3"/>
          <c:tx>
            <c:strRef>
              <c:f>Atļaujas!$B$58</c:f>
              <c:strCache>
                <c:ptCount val="1"/>
                <c:pt idx="0">
                  <c:v>Plašizklaides pasākumu, izglītības, veselības apr. iestāžu ēkas</c:v>
                </c:pt>
              </c:strCache>
            </c:strRef>
          </c:tx>
          <c:spPr>
            <a:pattFill prst="dkUpDiag">
              <a:fgClr>
                <a:schemeClr val="tx1">
                  <a:lumMod val="65000"/>
                  <a:lumOff val="35000"/>
                </a:schemeClr>
              </a:fgClr>
              <a:bgClr>
                <a:schemeClr val="bg1"/>
              </a:bgClr>
            </a:pattFill>
            <a:ln>
              <a:solidFill>
                <a:schemeClr val="tx1">
                  <a:lumMod val="65000"/>
                  <a:lumOff val="35000"/>
                </a:schemeClr>
              </a:solidFill>
            </a:ln>
            <a:effectLst/>
          </c:spPr>
          <c:invertIfNegative val="0"/>
          <c:cat>
            <c:multiLvlStrRef>
              <c:f>Atļaujas!$AY$47:$BT$48</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Atļaujas!$AY$58:$BT$58</c:f>
              <c:numCache>
                <c:formatCode>0.0</c:formatCode>
                <c:ptCount val="22"/>
                <c:pt idx="0">
                  <c:v>34.200000000000003</c:v>
                </c:pt>
                <c:pt idx="1">
                  <c:v>25.1</c:v>
                </c:pt>
                <c:pt idx="2">
                  <c:v>49.1</c:v>
                </c:pt>
                <c:pt idx="3">
                  <c:v>25.1</c:v>
                </c:pt>
                <c:pt idx="4">
                  <c:v>32.6</c:v>
                </c:pt>
                <c:pt idx="5">
                  <c:v>47.3</c:v>
                </c:pt>
                <c:pt idx="6">
                  <c:v>11.5</c:v>
                </c:pt>
                <c:pt idx="7">
                  <c:v>13.6</c:v>
                </c:pt>
                <c:pt idx="8">
                  <c:v>26.6</c:v>
                </c:pt>
                <c:pt idx="9">
                  <c:v>30.4</c:v>
                </c:pt>
                <c:pt idx="10">
                  <c:v>58.1</c:v>
                </c:pt>
                <c:pt idx="11">
                  <c:v>21.5</c:v>
                </c:pt>
                <c:pt idx="12">
                  <c:v>22.2</c:v>
                </c:pt>
                <c:pt idx="13">
                  <c:v>57.1</c:v>
                </c:pt>
                <c:pt idx="14">
                  <c:v>36.799999999999997</c:v>
                </c:pt>
                <c:pt idx="15">
                  <c:v>26.1</c:v>
                </c:pt>
                <c:pt idx="16">
                  <c:v>26.6</c:v>
                </c:pt>
                <c:pt idx="17">
                  <c:v>93.5</c:v>
                </c:pt>
                <c:pt idx="18">
                  <c:v>68.5</c:v>
                </c:pt>
                <c:pt idx="19">
                  <c:v>83.3</c:v>
                </c:pt>
                <c:pt idx="20">
                  <c:v>27.9</c:v>
                </c:pt>
                <c:pt idx="21">
                  <c:v>79.400000000000006</c:v>
                </c:pt>
              </c:numCache>
            </c:numRef>
          </c:val>
          <c:extLst>
            <c:ext xmlns:c16="http://schemas.microsoft.com/office/drawing/2014/chart" uri="{C3380CC4-5D6E-409C-BE32-E72D297353CC}">
              <c16:uniqueId val="{00000003-2E04-4B2D-B006-79A92F02E74B}"/>
            </c:ext>
          </c:extLst>
        </c:ser>
        <c:ser>
          <c:idx val="4"/>
          <c:order val="4"/>
          <c:tx>
            <c:strRef>
              <c:f>Atļaujas!$B$57</c:f>
              <c:strCache>
                <c:ptCount val="1"/>
                <c:pt idx="0">
                  <c:v>Rūpnieciskās ražošanas ēkas un noliktavas</c:v>
                </c:pt>
              </c:strCache>
            </c:strRef>
          </c:tx>
          <c:spPr>
            <a:solidFill>
              <a:srgbClr val="00B050"/>
            </a:solidFill>
            <a:ln>
              <a:solidFill>
                <a:srgbClr val="00B050"/>
              </a:solidFill>
            </a:ln>
            <a:effectLst/>
          </c:spPr>
          <c:invertIfNegative val="0"/>
          <c:cat>
            <c:multiLvlStrRef>
              <c:f>Atļaujas!$AY$47:$BT$48</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Atļaujas!$AY$57:$BT$57</c:f>
              <c:numCache>
                <c:formatCode>0.0</c:formatCode>
                <c:ptCount val="22"/>
                <c:pt idx="0">
                  <c:v>85.4</c:v>
                </c:pt>
                <c:pt idx="1">
                  <c:v>75.3</c:v>
                </c:pt>
                <c:pt idx="2">
                  <c:v>223.4</c:v>
                </c:pt>
                <c:pt idx="3">
                  <c:v>83.9</c:v>
                </c:pt>
                <c:pt idx="4">
                  <c:v>61.1</c:v>
                </c:pt>
                <c:pt idx="5">
                  <c:v>61.2</c:v>
                </c:pt>
                <c:pt idx="6">
                  <c:v>131.80000000000001</c:v>
                </c:pt>
                <c:pt idx="7">
                  <c:v>39.6</c:v>
                </c:pt>
                <c:pt idx="8">
                  <c:v>53.4</c:v>
                </c:pt>
                <c:pt idx="9">
                  <c:v>39.5</c:v>
                </c:pt>
                <c:pt idx="10">
                  <c:v>169</c:v>
                </c:pt>
                <c:pt idx="11">
                  <c:v>74</c:v>
                </c:pt>
                <c:pt idx="12">
                  <c:v>55.1</c:v>
                </c:pt>
                <c:pt idx="13">
                  <c:v>115.2</c:v>
                </c:pt>
                <c:pt idx="14">
                  <c:v>93.8</c:v>
                </c:pt>
                <c:pt idx="15">
                  <c:v>114.3</c:v>
                </c:pt>
                <c:pt idx="16">
                  <c:v>203.9</c:v>
                </c:pt>
                <c:pt idx="17">
                  <c:v>134</c:v>
                </c:pt>
                <c:pt idx="18">
                  <c:v>110.4</c:v>
                </c:pt>
                <c:pt idx="19">
                  <c:v>283.10000000000002</c:v>
                </c:pt>
                <c:pt idx="20">
                  <c:v>138.1</c:v>
                </c:pt>
                <c:pt idx="21">
                  <c:v>82</c:v>
                </c:pt>
              </c:numCache>
            </c:numRef>
          </c:val>
          <c:extLst>
            <c:ext xmlns:c16="http://schemas.microsoft.com/office/drawing/2014/chart" uri="{C3380CC4-5D6E-409C-BE32-E72D297353CC}">
              <c16:uniqueId val="{00000004-2E04-4B2D-B006-79A92F02E74B}"/>
            </c:ext>
          </c:extLst>
        </c:ser>
        <c:ser>
          <c:idx val="1"/>
          <c:order val="5"/>
          <c:tx>
            <c:strRef>
              <c:f>Atļaujas!$B$51</c:f>
              <c:strCache>
                <c:ptCount val="1"/>
                <c:pt idx="0">
                  <c:v>Divu vai vairāku dzīvokļu mājas</c:v>
                </c:pt>
              </c:strCache>
            </c:strRef>
          </c:tx>
          <c:spPr>
            <a:solidFill>
              <a:schemeClr val="tx1">
                <a:lumMod val="50000"/>
                <a:lumOff val="50000"/>
              </a:schemeClr>
            </a:solidFill>
            <a:ln>
              <a:solidFill>
                <a:schemeClr val="tx1">
                  <a:lumMod val="50000"/>
                  <a:lumOff val="50000"/>
                </a:schemeClr>
              </a:solidFill>
            </a:ln>
            <a:effectLst/>
          </c:spPr>
          <c:invertIfNegative val="0"/>
          <c:cat>
            <c:multiLvlStrRef>
              <c:f>Atļaujas!$AY$47:$BT$48</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Atļaujas!$AY$51:$BT$51</c:f>
              <c:numCache>
                <c:formatCode>0.0</c:formatCode>
                <c:ptCount val="22"/>
                <c:pt idx="0">
                  <c:v>9.4</c:v>
                </c:pt>
                <c:pt idx="1">
                  <c:v>36.799999999999997</c:v>
                </c:pt>
                <c:pt idx="2">
                  <c:v>41.2</c:v>
                </c:pt>
                <c:pt idx="3">
                  <c:v>17.2</c:v>
                </c:pt>
                <c:pt idx="4">
                  <c:v>18.5</c:v>
                </c:pt>
                <c:pt idx="5">
                  <c:v>17.2</c:v>
                </c:pt>
                <c:pt idx="6">
                  <c:v>67.5</c:v>
                </c:pt>
                <c:pt idx="7">
                  <c:v>52.2</c:v>
                </c:pt>
                <c:pt idx="8">
                  <c:v>33.6</c:v>
                </c:pt>
                <c:pt idx="9">
                  <c:v>46</c:v>
                </c:pt>
                <c:pt idx="10">
                  <c:v>44.8</c:v>
                </c:pt>
                <c:pt idx="11">
                  <c:v>58.1</c:v>
                </c:pt>
                <c:pt idx="12">
                  <c:v>69.5</c:v>
                </c:pt>
                <c:pt idx="13">
                  <c:v>53.1</c:v>
                </c:pt>
                <c:pt idx="14">
                  <c:v>71.7</c:v>
                </c:pt>
                <c:pt idx="15">
                  <c:v>76.8</c:v>
                </c:pt>
                <c:pt idx="16">
                  <c:v>60.4</c:v>
                </c:pt>
                <c:pt idx="17">
                  <c:v>39.799999999999997</c:v>
                </c:pt>
                <c:pt idx="18">
                  <c:v>39</c:v>
                </c:pt>
                <c:pt idx="19">
                  <c:v>92.8</c:v>
                </c:pt>
                <c:pt idx="20">
                  <c:v>59.8</c:v>
                </c:pt>
                <c:pt idx="21">
                  <c:v>63.3</c:v>
                </c:pt>
              </c:numCache>
            </c:numRef>
          </c:val>
          <c:extLst>
            <c:ext xmlns:c16="http://schemas.microsoft.com/office/drawing/2014/chart" uri="{C3380CC4-5D6E-409C-BE32-E72D297353CC}">
              <c16:uniqueId val="{00000005-2E04-4B2D-B006-79A92F02E74B}"/>
            </c:ext>
          </c:extLst>
        </c:ser>
        <c:ser>
          <c:idx val="0"/>
          <c:order val="6"/>
          <c:tx>
            <c:strRef>
              <c:f>Atļaujas!$B$49</c:f>
              <c:strCache>
                <c:ptCount val="1"/>
                <c:pt idx="0">
                  <c:v>Viena dzīvokļa mājas</c:v>
                </c:pt>
              </c:strCache>
            </c:strRef>
          </c:tx>
          <c:spPr>
            <a:pattFill prst="dkUpDiag">
              <a:fgClr>
                <a:schemeClr val="accent6"/>
              </a:fgClr>
              <a:bgClr>
                <a:schemeClr val="bg1"/>
              </a:bgClr>
            </a:pattFill>
            <a:ln>
              <a:solidFill>
                <a:schemeClr val="accent6"/>
              </a:solidFill>
            </a:ln>
            <a:effectLst/>
          </c:spPr>
          <c:invertIfNegative val="0"/>
          <c:cat>
            <c:multiLvlStrRef>
              <c:f>Atļaujas!$AY$47:$BT$48</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Atļaujas!$AY$49:$BT$49</c:f>
              <c:numCache>
                <c:formatCode>0.0</c:formatCode>
                <c:ptCount val="22"/>
                <c:pt idx="0">
                  <c:v>74.5</c:v>
                </c:pt>
                <c:pt idx="1">
                  <c:v>120.2</c:v>
                </c:pt>
                <c:pt idx="2">
                  <c:v>120.4</c:v>
                </c:pt>
                <c:pt idx="3">
                  <c:v>87.4</c:v>
                </c:pt>
                <c:pt idx="4">
                  <c:v>70.7</c:v>
                </c:pt>
                <c:pt idx="5">
                  <c:v>93.4</c:v>
                </c:pt>
                <c:pt idx="6">
                  <c:v>114.3</c:v>
                </c:pt>
                <c:pt idx="7">
                  <c:v>80.8</c:v>
                </c:pt>
                <c:pt idx="8">
                  <c:v>108.7</c:v>
                </c:pt>
                <c:pt idx="9">
                  <c:v>119.3</c:v>
                </c:pt>
                <c:pt idx="10">
                  <c:v>179.7</c:v>
                </c:pt>
                <c:pt idx="11">
                  <c:v>123.2</c:v>
                </c:pt>
                <c:pt idx="12">
                  <c:v>98.4</c:v>
                </c:pt>
                <c:pt idx="13">
                  <c:v>157.6</c:v>
                </c:pt>
                <c:pt idx="14">
                  <c:v>163.80000000000001</c:v>
                </c:pt>
                <c:pt idx="15">
                  <c:v>119</c:v>
                </c:pt>
                <c:pt idx="16">
                  <c:v>102.9</c:v>
                </c:pt>
                <c:pt idx="17">
                  <c:v>164.8</c:v>
                </c:pt>
                <c:pt idx="18">
                  <c:v>159.80000000000001</c:v>
                </c:pt>
                <c:pt idx="19">
                  <c:v>127.6</c:v>
                </c:pt>
                <c:pt idx="20">
                  <c:v>129.69999999999999</c:v>
                </c:pt>
                <c:pt idx="21">
                  <c:v>112.5</c:v>
                </c:pt>
              </c:numCache>
            </c:numRef>
          </c:val>
          <c:extLst>
            <c:ext xmlns:c16="http://schemas.microsoft.com/office/drawing/2014/chart" uri="{C3380CC4-5D6E-409C-BE32-E72D297353CC}">
              <c16:uniqueId val="{00000006-2E04-4B2D-B006-79A92F02E74B}"/>
            </c:ext>
          </c:extLst>
        </c:ser>
        <c:dLbls>
          <c:showLegendKey val="0"/>
          <c:showVal val="0"/>
          <c:showCatName val="0"/>
          <c:showSerName val="0"/>
          <c:showPercent val="0"/>
          <c:showBubbleSize val="0"/>
        </c:dLbls>
        <c:gapWidth val="50"/>
        <c:overlap val="100"/>
        <c:axId val="281642072"/>
        <c:axId val="281639120"/>
      </c:barChart>
      <c:catAx>
        <c:axId val="281642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281639120"/>
        <c:crosses val="autoZero"/>
        <c:auto val="1"/>
        <c:lblAlgn val="ctr"/>
        <c:lblOffset val="100"/>
        <c:noMultiLvlLbl val="0"/>
      </c:catAx>
      <c:valAx>
        <c:axId val="281639120"/>
        <c:scaling>
          <c:orientation val="minMax"/>
          <c:max val="85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281642072"/>
        <c:crosses val="autoZero"/>
        <c:crossBetween val="between"/>
      </c:valAx>
      <c:spPr>
        <a:noFill/>
        <a:ln>
          <a:noFill/>
        </a:ln>
        <a:effectLst/>
      </c:spPr>
    </c:plotArea>
    <c:legend>
      <c:legendPos val="b"/>
      <c:layout>
        <c:manualLayout>
          <c:xMode val="edge"/>
          <c:yMode val="edge"/>
          <c:x val="1.1489209199935224E-3"/>
          <c:y val="0.80761393972357121"/>
          <c:w val="0.99885110388787146"/>
          <c:h val="0.1747161889276805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'nerezidentu noguldījumi'!$A$7</c:f>
              <c:strCache>
                <c:ptCount val="1"/>
                <c:pt idx="0">
                  <c:v>Nerezidenti</c:v>
                </c:pt>
              </c:strCache>
            </c:strRef>
          </c:tx>
          <c:spPr>
            <a:ln w="28575" cap="rnd">
              <a:solidFill>
                <a:schemeClr val="accent1"/>
              </a:solidFill>
              <a:round/>
            </a:ln>
            <a:effectLst/>
          </c:spPr>
          <c:marker>
            <c:symbol val="none"/>
          </c:marker>
          <c:cat>
            <c:numRef>
              <c:f>'nerezidentu noguldījumi'!$B$6:$BR$6</c:f>
              <c:numCache>
                <c:formatCode>mmm\-yy</c:formatCode>
                <c:ptCount val="68"/>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pt idx="64">
                  <c:v>43952</c:v>
                </c:pt>
                <c:pt idx="65">
                  <c:v>43983</c:v>
                </c:pt>
                <c:pt idx="66">
                  <c:v>44013</c:v>
                </c:pt>
                <c:pt idx="67">
                  <c:v>44044</c:v>
                </c:pt>
              </c:numCache>
            </c:numRef>
          </c:cat>
          <c:val>
            <c:numRef>
              <c:f>'nerezidentu noguldījumi'!$B$7:$BR$7</c:f>
              <c:numCache>
                <c:formatCode>0.00</c:formatCode>
                <c:ptCount val="68"/>
                <c:pt idx="0">
                  <c:v>11719.700000000003</c:v>
                </c:pt>
                <c:pt idx="1">
                  <c:v>11862.800000000005</c:v>
                </c:pt>
                <c:pt idx="2">
                  <c:v>11987.199999999999</c:v>
                </c:pt>
                <c:pt idx="3">
                  <c:v>11903.599999999999</c:v>
                </c:pt>
                <c:pt idx="4">
                  <c:v>12074.2</c:v>
                </c:pt>
                <c:pt idx="5">
                  <c:v>11740.9</c:v>
                </c:pt>
                <c:pt idx="6">
                  <c:v>11908.699999999999</c:v>
                </c:pt>
                <c:pt idx="7">
                  <c:v>11749.199999999999</c:v>
                </c:pt>
                <c:pt idx="8">
                  <c:v>11676.800000000005</c:v>
                </c:pt>
                <c:pt idx="9">
                  <c:v>11835.300000000001</c:v>
                </c:pt>
                <c:pt idx="10">
                  <c:v>12403.699999999997</c:v>
                </c:pt>
                <c:pt idx="11">
                  <c:v>12078.099999999999</c:v>
                </c:pt>
                <c:pt idx="12">
                  <c:v>11899.100000000004</c:v>
                </c:pt>
                <c:pt idx="13">
                  <c:v>11712.3</c:v>
                </c:pt>
                <c:pt idx="14">
                  <c:v>10977.100000000002</c:v>
                </c:pt>
                <c:pt idx="15">
                  <c:v>10595.599999999997</c:v>
                </c:pt>
                <c:pt idx="16">
                  <c:v>10315.6</c:v>
                </c:pt>
                <c:pt idx="17">
                  <c:v>10348.500000000002</c:v>
                </c:pt>
                <c:pt idx="18">
                  <c:v>10010.099999999999</c:v>
                </c:pt>
                <c:pt idx="19">
                  <c:v>9767.5</c:v>
                </c:pt>
                <c:pt idx="20">
                  <c:v>9461.7000000000007</c:v>
                </c:pt>
                <c:pt idx="21">
                  <c:v>9537.4</c:v>
                </c:pt>
                <c:pt idx="22">
                  <c:v>9505.2999999999975</c:v>
                </c:pt>
                <c:pt idx="23">
                  <c:v>8877.9000000000015</c:v>
                </c:pt>
                <c:pt idx="24">
                  <c:v>8803.6</c:v>
                </c:pt>
                <c:pt idx="25">
                  <c:v>8781.6999999999989</c:v>
                </c:pt>
                <c:pt idx="26">
                  <c:v>8704.4000000000015</c:v>
                </c:pt>
                <c:pt idx="27">
                  <c:v>8588.7000000000007</c:v>
                </c:pt>
                <c:pt idx="28">
                  <c:v>8368.6</c:v>
                </c:pt>
                <c:pt idx="29">
                  <c:v>8091.9</c:v>
                </c:pt>
                <c:pt idx="30">
                  <c:v>7861</c:v>
                </c:pt>
                <c:pt idx="31">
                  <c:v>7988.4</c:v>
                </c:pt>
                <c:pt idx="32">
                  <c:v>7659.4999999999973</c:v>
                </c:pt>
                <c:pt idx="33">
                  <c:v>7756.2999999999956</c:v>
                </c:pt>
                <c:pt idx="34">
                  <c:v>7752.5000000000009</c:v>
                </c:pt>
                <c:pt idx="35">
                  <c:v>7866.8999999999978</c:v>
                </c:pt>
                <c:pt idx="36">
                  <c:v>7899</c:v>
                </c:pt>
                <c:pt idx="37">
                  <c:v>6724.3000000000011</c:v>
                </c:pt>
                <c:pt idx="38">
                  <c:v>5659.2000000000007</c:v>
                </c:pt>
                <c:pt idx="39">
                  <c:v>5266.3999999999978</c:v>
                </c:pt>
                <c:pt idx="40">
                  <c:v>4990.5</c:v>
                </c:pt>
                <c:pt idx="41">
                  <c:v>4879.5</c:v>
                </c:pt>
                <c:pt idx="42">
                  <c:v>3134.0999999999995</c:v>
                </c:pt>
                <c:pt idx="43">
                  <c:v>3074</c:v>
                </c:pt>
                <c:pt idx="44">
                  <c:v>3015.0999999999985</c:v>
                </c:pt>
                <c:pt idx="45">
                  <c:v>3092.9999999999991</c:v>
                </c:pt>
                <c:pt idx="46">
                  <c:v>2986.3999999999996</c:v>
                </c:pt>
                <c:pt idx="47">
                  <c:v>3160.2</c:v>
                </c:pt>
                <c:pt idx="48">
                  <c:v>3041.2999999999997</c:v>
                </c:pt>
                <c:pt idx="49">
                  <c:v>2992.9</c:v>
                </c:pt>
                <c:pt idx="50">
                  <c:v>2975.7000000000007</c:v>
                </c:pt>
                <c:pt idx="51">
                  <c:v>2926.8000000000006</c:v>
                </c:pt>
                <c:pt idx="52">
                  <c:v>2987.1</c:v>
                </c:pt>
                <c:pt idx="53">
                  <c:v>2985.4</c:v>
                </c:pt>
                <c:pt idx="54">
                  <c:v>2852.400000000001</c:v>
                </c:pt>
                <c:pt idx="55">
                  <c:v>2834.0000000000005</c:v>
                </c:pt>
                <c:pt idx="56">
                  <c:v>2684.9999999999995</c:v>
                </c:pt>
                <c:pt idx="57">
                  <c:v>2727.7</c:v>
                </c:pt>
                <c:pt idx="58">
                  <c:v>2652.0000000000005</c:v>
                </c:pt>
                <c:pt idx="59">
                  <c:v>2693.2000000000003</c:v>
                </c:pt>
                <c:pt idx="60">
                  <c:v>2752.5000000000005</c:v>
                </c:pt>
                <c:pt idx="61">
                  <c:v>2777.1000000000004</c:v>
                </c:pt>
                <c:pt idx="62">
                  <c:v>2667.6000000000008</c:v>
                </c:pt>
                <c:pt idx="63">
                  <c:v>2778.8</c:v>
                </c:pt>
                <c:pt idx="64">
                  <c:v>2875.8</c:v>
                </c:pt>
                <c:pt idx="65">
                  <c:v>2866.6</c:v>
                </c:pt>
                <c:pt idx="66">
                  <c:v>2789</c:v>
                </c:pt>
                <c:pt idx="67" formatCode="General">
                  <c:v>2744.1</c:v>
                </c:pt>
              </c:numCache>
            </c:numRef>
          </c:val>
          <c:smooth val="0"/>
          <c:extLst>
            <c:ext xmlns:c16="http://schemas.microsoft.com/office/drawing/2014/chart" uri="{C3380CC4-5D6E-409C-BE32-E72D297353CC}">
              <c16:uniqueId val="{00000000-C7C5-4B17-9278-25A770991806}"/>
            </c:ext>
          </c:extLst>
        </c:ser>
        <c:ser>
          <c:idx val="1"/>
          <c:order val="1"/>
          <c:tx>
            <c:strRef>
              <c:f>'nerezidentu noguldījumi'!$A$8</c:f>
              <c:strCache>
                <c:ptCount val="1"/>
                <c:pt idx="0">
                  <c:v>Rezidenti </c:v>
                </c:pt>
              </c:strCache>
            </c:strRef>
          </c:tx>
          <c:spPr>
            <a:ln w="28575" cap="rnd">
              <a:solidFill>
                <a:schemeClr val="accent2"/>
              </a:solidFill>
              <a:round/>
            </a:ln>
            <a:effectLst/>
          </c:spPr>
          <c:marker>
            <c:symbol val="none"/>
          </c:marker>
          <c:cat>
            <c:numRef>
              <c:f>'nerezidentu noguldījumi'!$B$6:$BR$6</c:f>
              <c:numCache>
                <c:formatCode>mmm\-yy</c:formatCode>
                <c:ptCount val="68"/>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pt idx="64">
                  <c:v>43952</c:v>
                </c:pt>
                <c:pt idx="65">
                  <c:v>43983</c:v>
                </c:pt>
                <c:pt idx="66">
                  <c:v>44013</c:v>
                </c:pt>
                <c:pt idx="67">
                  <c:v>44044</c:v>
                </c:pt>
              </c:numCache>
            </c:numRef>
          </c:cat>
          <c:val>
            <c:numRef>
              <c:f>'nerezidentu noguldījumi'!$B$8:$BR$8</c:f>
              <c:numCache>
                <c:formatCode>General</c:formatCode>
                <c:ptCount val="68"/>
                <c:pt idx="0">
                  <c:v>9474.3000000000011</c:v>
                </c:pt>
                <c:pt idx="1">
                  <c:v>9606.0999999999985</c:v>
                </c:pt>
                <c:pt idx="2">
                  <c:v>9677.9999999999982</c:v>
                </c:pt>
                <c:pt idx="3">
                  <c:v>9729.4</c:v>
                </c:pt>
                <c:pt idx="4">
                  <c:v>9714.9000000000015</c:v>
                </c:pt>
                <c:pt idx="5">
                  <c:v>9769.0999999999985</c:v>
                </c:pt>
                <c:pt idx="6">
                  <c:v>9897.1999999999989</c:v>
                </c:pt>
                <c:pt idx="7">
                  <c:v>9953.2000000000007</c:v>
                </c:pt>
                <c:pt idx="8">
                  <c:v>10012.6</c:v>
                </c:pt>
                <c:pt idx="9">
                  <c:v>10047</c:v>
                </c:pt>
                <c:pt idx="10">
                  <c:v>10248.299999999997</c:v>
                </c:pt>
                <c:pt idx="11">
                  <c:v>10546.4</c:v>
                </c:pt>
                <c:pt idx="12">
                  <c:v>10465.199999999999</c:v>
                </c:pt>
                <c:pt idx="13">
                  <c:v>10767.699999999999</c:v>
                </c:pt>
                <c:pt idx="14">
                  <c:v>10755.1</c:v>
                </c:pt>
                <c:pt idx="15">
                  <c:v>10896.399999999998</c:v>
                </c:pt>
                <c:pt idx="16">
                  <c:v>10940.3</c:v>
                </c:pt>
                <c:pt idx="17">
                  <c:v>10997.300000000001</c:v>
                </c:pt>
                <c:pt idx="18">
                  <c:v>10876.999999999998</c:v>
                </c:pt>
                <c:pt idx="19">
                  <c:v>10999.3</c:v>
                </c:pt>
                <c:pt idx="20">
                  <c:v>10999.3</c:v>
                </c:pt>
                <c:pt idx="21">
                  <c:v>11033.2</c:v>
                </c:pt>
                <c:pt idx="22">
                  <c:v>11113.399999999998</c:v>
                </c:pt>
                <c:pt idx="23">
                  <c:v>11389.6</c:v>
                </c:pt>
                <c:pt idx="24">
                  <c:v>11119.299999999997</c:v>
                </c:pt>
                <c:pt idx="25">
                  <c:v>11292.899999999998</c:v>
                </c:pt>
                <c:pt idx="26">
                  <c:v>11280.200000000003</c:v>
                </c:pt>
                <c:pt idx="27">
                  <c:v>11348.3</c:v>
                </c:pt>
                <c:pt idx="28">
                  <c:v>11194.6</c:v>
                </c:pt>
                <c:pt idx="29">
                  <c:v>11249.1</c:v>
                </c:pt>
                <c:pt idx="30">
                  <c:v>11180.9</c:v>
                </c:pt>
                <c:pt idx="31">
                  <c:v>11325.3</c:v>
                </c:pt>
                <c:pt idx="32">
                  <c:v>11115.4</c:v>
                </c:pt>
                <c:pt idx="33">
                  <c:v>11343.599999999999</c:v>
                </c:pt>
                <c:pt idx="34">
                  <c:v>11550.499999999998</c:v>
                </c:pt>
                <c:pt idx="35">
                  <c:v>11702.499999999998</c:v>
                </c:pt>
                <c:pt idx="36">
                  <c:v>11772.599999999999</c:v>
                </c:pt>
                <c:pt idx="37">
                  <c:v>11655.000000000002</c:v>
                </c:pt>
                <c:pt idx="38">
                  <c:v>11709.8</c:v>
                </c:pt>
                <c:pt idx="39">
                  <c:v>11919</c:v>
                </c:pt>
                <c:pt idx="40">
                  <c:v>11670.599999999999</c:v>
                </c:pt>
                <c:pt idx="41">
                  <c:v>11696.599999999999</c:v>
                </c:pt>
                <c:pt idx="42">
                  <c:v>11652.599999999999</c:v>
                </c:pt>
                <c:pt idx="43">
                  <c:v>11745.300000000001</c:v>
                </c:pt>
                <c:pt idx="44">
                  <c:v>11628.399999999998</c:v>
                </c:pt>
                <c:pt idx="45">
                  <c:v>11753.899999999998</c:v>
                </c:pt>
                <c:pt idx="46">
                  <c:v>11895.2</c:v>
                </c:pt>
                <c:pt idx="47">
                  <c:v>12376.699999999999</c:v>
                </c:pt>
                <c:pt idx="48">
                  <c:v>12445.9</c:v>
                </c:pt>
                <c:pt idx="49">
                  <c:v>12495.999999999998</c:v>
                </c:pt>
                <c:pt idx="50">
                  <c:v>12589.1</c:v>
                </c:pt>
                <c:pt idx="51">
                  <c:v>12588.6</c:v>
                </c:pt>
                <c:pt idx="52">
                  <c:v>12472.2</c:v>
                </c:pt>
                <c:pt idx="53">
                  <c:v>12536.100000000002</c:v>
                </c:pt>
                <c:pt idx="54">
                  <c:v>12908.699999999999</c:v>
                </c:pt>
                <c:pt idx="55">
                  <c:v>13142.7</c:v>
                </c:pt>
                <c:pt idx="56">
                  <c:v>12773.7</c:v>
                </c:pt>
                <c:pt idx="57">
                  <c:v>12967.900000000001</c:v>
                </c:pt>
                <c:pt idx="58">
                  <c:v>12961.4</c:v>
                </c:pt>
                <c:pt idx="59">
                  <c:v>13430.300000000003</c:v>
                </c:pt>
                <c:pt idx="60">
                  <c:v>13365.499999999998</c:v>
                </c:pt>
                <c:pt idx="61">
                  <c:v>13456.000000000004</c:v>
                </c:pt>
                <c:pt idx="62">
                  <c:v>13811.6</c:v>
                </c:pt>
                <c:pt idx="63">
                  <c:v>13958.9</c:v>
                </c:pt>
                <c:pt idx="64">
                  <c:v>13883.000000000002</c:v>
                </c:pt>
                <c:pt idx="65">
                  <c:v>13867.599999999999</c:v>
                </c:pt>
                <c:pt idx="66">
                  <c:v>13933.400000000001</c:v>
                </c:pt>
                <c:pt idx="67">
                  <c:v>14088.2</c:v>
                </c:pt>
              </c:numCache>
            </c:numRef>
          </c:val>
          <c:smooth val="0"/>
          <c:extLst>
            <c:ext xmlns:c16="http://schemas.microsoft.com/office/drawing/2014/chart" uri="{C3380CC4-5D6E-409C-BE32-E72D297353CC}">
              <c16:uniqueId val="{00000001-C7C5-4B17-9278-25A770991806}"/>
            </c:ext>
          </c:extLst>
        </c:ser>
        <c:dLbls>
          <c:showLegendKey val="0"/>
          <c:showVal val="0"/>
          <c:showCatName val="0"/>
          <c:showSerName val="0"/>
          <c:showPercent val="0"/>
          <c:showBubbleSize val="0"/>
        </c:dLbls>
        <c:smooth val="0"/>
        <c:axId val="1689077728"/>
        <c:axId val="1689081888"/>
      </c:lineChart>
      <c:catAx>
        <c:axId val="1689077728"/>
        <c:scaling>
          <c:orientation val="minMax"/>
        </c:scaling>
        <c:delete val="0"/>
        <c:axPos val="b"/>
        <c:majorGridlines>
          <c:spPr>
            <a:ln w="9525" cap="flat" cmpd="sng" algn="ctr">
              <a:solidFill>
                <a:schemeClr val="tx1">
                  <a:lumMod val="15000"/>
                  <a:lumOff val="85000"/>
                </a:schemeClr>
              </a:solidFill>
              <a:round/>
            </a:ln>
            <a:effectLst/>
          </c:spPr>
        </c:majorGridlines>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89081888"/>
        <c:crosses val="autoZero"/>
        <c:auto val="0"/>
        <c:lblAlgn val="ctr"/>
        <c:lblOffset val="100"/>
        <c:tickLblSkip val="3"/>
        <c:tickMarkSkip val="12"/>
        <c:noMultiLvlLbl val="0"/>
      </c:catAx>
      <c:valAx>
        <c:axId val="1689081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8907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Sheet!$B$14</c:f>
              <c:strCache>
                <c:ptCount val="1"/>
                <c:pt idx="0">
                  <c:v>mājsaimniecībām mājokļa iegādei</c:v>
                </c:pt>
              </c:strCache>
            </c:strRef>
          </c:tx>
          <c:spPr>
            <a:solidFill>
              <a:schemeClr val="accent1"/>
            </a:solidFill>
            <a:ln>
              <a:noFill/>
            </a:ln>
            <a:effectLst/>
          </c:spPr>
          <c:invertIfNegative val="0"/>
          <c:cat>
            <c:numRef>
              <c:f>Sheet!$C$13:$BQ$13</c:f>
              <c:numCache>
                <c:formatCode>mmm\-yy</c:formatCode>
                <c:ptCount val="67"/>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pt idx="64">
                  <c:v>43952</c:v>
                </c:pt>
                <c:pt idx="65">
                  <c:v>43983</c:v>
                </c:pt>
                <c:pt idx="66">
                  <c:v>44013</c:v>
                </c:pt>
              </c:numCache>
            </c:numRef>
          </c:cat>
          <c:val>
            <c:numRef>
              <c:f>Sheet!$C$14:$BQ$14</c:f>
              <c:numCache>
                <c:formatCode>#\ ##0.0</c:formatCode>
                <c:ptCount val="67"/>
                <c:pt idx="0">
                  <c:v>13.200000000000001</c:v>
                </c:pt>
                <c:pt idx="1">
                  <c:v>22.4</c:v>
                </c:pt>
                <c:pt idx="2">
                  <c:v>24.799999999999997</c:v>
                </c:pt>
                <c:pt idx="3">
                  <c:v>28.099999999999998</c:v>
                </c:pt>
                <c:pt idx="4">
                  <c:v>25.599999999999998</c:v>
                </c:pt>
                <c:pt idx="5">
                  <c:v>28</c:v>
                </c:pt>
                <c:pt idx="6">
                  <c:v>35.700000000000003</c:v>
                </c:pt>
                <c:pt idx="7">
                  <c:v>33.700000000000003</c:v>
                </c:pt>
                <c:pt idx="8">
                  <c:v>35.099999999999994</c:v>
                </c:pt>
                <c:pt idx="9">
                  <c:v>39.1</c:v>
                </c:pt>
                <c:pt idx="10">
                  <c:v>34.1</c:v>
                </c:pt>
                <c:pt idx="11">
                  <c:v>36.299999999999997</c:v>
                </c:pt>
                <c:pt idx="12">
                  <c:v>31.400000000000002</c:v>
                </c:pt>
                <c:pt idx="13">
                  <c:v>29.799999999999997</c:v>
                </c:pt>
                <c:pt idx="14">
                  <c:v>44.3</c:v>
                </c:pt>
                <c:pt idx="15">
                  <c:v>39.200000000000003</c:v>
                </c:pt>
                <c:pt idx="16">
                  <c:v>40</c:v>
                </c:pt>
                <c:pt idx="17">
                  <c:v>43.2</c:v>
                </c:pt>
                <c:pt idx="18">
                  <c:v>41.199999999999996</c:v>
                </c:pt>
                <c:pt idx="19">
                  <c:v>45.300000000000004</c:v>
                </c:pt>
                <c:pt idx="20">
                  <c:v>44.699999999999996</c:v>
                </c:pt>
                <c:pt idx="21">
                  <c:v>54.4</c:v>
                </c:pt>
                <c:pt idx="22">
                  <c:v>43.4</c:v>
                </c:pt>
                <c:pt idx="23">
                  <c:v>42.399999999999991</c:v>
                </c:pt>
                <c:pt idx="24">
                  <c:v>35.799999999999997</c:v>
                </c:pt>
                <c:pt idx="25">
                  <c:v>36.9</c:v>
                </c:pt>
                <c:pt idx="26">
                  <c:v>46.8</c:v>
                </c:pt>
                <c:pt idx="27">
                  <c:v>41.7</c:v>
                </c:pt>
                <c:pt idx="28">
                  <c:v>52.400000000000006</c:v>
                </c:pt>
                <c:pt idx="29">
                  <c:v>52.5</c:v>
                </c:pt>
                <c:pt idx="30">
                  <c:v>42.800000000000004</c:v>
                </c:pt>
                <c:pt idx="31">
                  <c:v>47.199999999999996</c:v>
                </c:pt>
                <c:pt idx="32">
                  <c:v>50.5</c:v>
                </c:pt>
                <c:pt idx="33">
                  <c:v>48.900000000000006</c:v>
                </c:pt>
                <c:pt idx="34">
                  <c:v>49.899999999999991</c:v>
                </c:pt>
                <c:pt idx="35">
                  <c:v>49.1</c:v>
                </c:pt>
                <c:pt idx="36">
                  <c:v>56.300000000000004</c:v>
                </c:pt>
                <c:pt idx="37">
                  <c:v>40.099999999999994</c:v>
                </c:pt>
                <c:pt idx="38">
                  <c:v>46.6</c:v>
                </c:pt>
                <c:pt idx="39">
                  <c:v>52.900000000000006</c:v>
                </c:pt>
                <c:pt idx="40">
                  <c:v>52.900000000000006</c:v>
                </c:pt>
                <c:pt idx="41">
                  <c:v>54</c:v>
                </c:pt>
                <c:pt idx="42">
                  <c:v>47.6</c:v>
                </c:pt>
                <c:pt idx="43">
                  <c:v>54.300000000000004</c:v>
                </c:pt>
                <c:pt idx="44">
                  <c:v>43.7</c:v>
                </c:pt>
                <c:pt idx="45">
                  <c:v>52.400000000000006</c:v>
                </c:pt>
                <c:pt idx="46">
                  <c:v>49.3</c:v>
                </c:pt>
                <c:pt idx="47">
                  <c:v>42.3</c:v>
                </c:pt>
                <c:pt idx="48">
                  <c:v>46.400000000000006</c:v>
                </c:pt>
                <c:pt idx="49">
                  <c:v>45.7</c:v>
                </c:pt>
                <c:pt idx="50">
                  <c:v>47.599999999999994</c:v>
                </c:pt>
                <c:pt idx="51">
                  <c:v>49.000000000000007</c:v>
                </c:pt>
                <c:pt idx="52">
                  <c:v>52.4</c:v>
                </c:pt>
                <c:pt idx="53">
                  <c:v>46.6</c:v>
                </c:pt>
                <c:pt idx="54">
                  <c:v>50.9</c:v>
                </c:pt>
                <c:pt idx="55">
                  <c:v>47.2</c:v>
                </c:pt>
                <c:pt idx="56">
                  <c:v>47.599999999999994</c:v>
                </c:pt>
                <c:pt idx="57">
                  <c:v>49.300000000000004</c:v>
                </c:pt>
                <c:pt idx="58">
                  <c:v>45.099999999999994</c:v>
                </c:pt>
                <c:pt idx="59">
                  <c:v>42.7</c:v>
                </c:pt>
                <c:pt idx="60">
                  <c:v>41.1</c:v>
                </c:pt>
                <c:pt idx="61">
                  <c:v>43.399999999999991</c:v>
                </c:pt>
                <c:pt idx="62">
                  <c:v>40.999999999999986</c:v>
                </c:pt>
                <c:pt idx="63">
                  <c:v>26.799999999999997</c:v>
                </c:pt>
                <c:pt idx="64">
                  <c:v>27.6</c:v>
                </c:pt>
                <c:pt idx="65">
                  <c:v>39.4</c:v>
                </c:pt>
                <c:pt idx="66">
                  <c:v>53.800000000000004</c:v>
                </c:pt>
              </c:numCache>
            </c:numRef>
          </c:val>
          <c:extLst>
            <c:ext xmlns:c16="http://schemas.microsoft.com/office/drawing/2014/chart" uri="{C3380CC4-5D6E-409C-BE32-E72D297353CC}">
              <c16:uniqueId val="{00000000-B994-4BF0-91A2-0D8DA8DC62CE}"/>
            </c:ext>
          </c:extLst>
        </c:ser>
        <c:ser>
          <c:idx val="1"/>
          <c:order val="1"/>
          <c:tx>
            <c:strRef>
              <c:f>Sheet!$B$15</c:f>
              <c:strCache>
                <c:ptCount val="1"/>
                <c:pt idx="0">
                  <c:v> patēriņa kredīti mājsaimniecībām</c:v>
                </c:pt>
              </c:strCache>
            </c:strRef>
          </c:tx>
          <c:spPr>
            <a:solidFill>
              <a:schemeClr val="accent2"/>
            </a:solidFill>
            <a:ln>
              <a:noFill/>
            </a:ln>
            <a:effectLst/>
          </c:spPr>
          <c:invertIfNegative val="0"/>
          <c:cat>
            <c:numRef>
              <c:f>Sheet!$C$13:$BQ$13</c:f>
              <c:numCache>
                <c:formatCode>mmm\-yy</c:formatCode>
                <c:ptCount val="67"/>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pt idx="64">
                  <c:v>43952</c:v>
                </c:pt>
                <c:pt idx="65">
                  <c:v>43983</c:v>
                </c:pt>
                <c:pt idx="66">
                  <c:v>44013</c:v>
                </c:pt>
              </c:numCache>
            </c:numRef>
          </c:cat>
          <c:val>
            <c:numRef>
              <c:f>Sheet!$C$15:$BQ$15</c:f>
              <c:numCache>
                <c:formatCode>#\ ##0.0</c:formatCode>
                <c:ptCount val="67"/>
                <c:pt idx="0">
                  <c:v>8.9</c:v>
                </c:pt>
                <c:pt idx="1">
                  <c:v>11.299999999999999</c:v>
                </c:pt>
                <c:pt idx="2">
                  <c:v>11.4</c:v>
                </c:pt>
                <c:pt idx="3">
                  <c:v>14.4</c:v>
                </c:pt>
                <c:pt idx="4">
                  <c:v>14.3</c:v>
                </c:pt>
                <c:pt idx="5">
                  <c:v>14.3</c:v>
                </c:pt>
                <c:pt idx="6">
                  <c:v>17.600000000000001</c:v>
                </c:pt>
                <c:pt idx="7">
                  <c:v>14.900000000000002</c:v>
                </c:pt>
                <c:pt idx="8">
                  <c:v>15.2</c:v>
                </c:pt>
                <c:pt idx="9">
                  <c:v>17.400000000000002</c:v>
                </c:pt>
                <c:pt idx="10">
                  <c:v>14</c:v>
                </c:pt>
                <c:pt idx="11">
                  <c:v>15.8</c:v>
                </c:pt>
                <c:pt idx="12">
                  <c:v>14.6</c:v>
                </c:pt>
                <c:pt idx="13">
                  <c:v>16.600000000000001</c:v>
                </c:pt>
                <c:pt idx="14">
                  <c:v>18.7</c:v>
                </c:pt>
                <c:pt idx="15">
                  <c:v>20.100000000000001</c:v>
                </c:pt>
                <c:pt idx="16">
                  <c:v>21.3</c:v>
                </c:pt>
                <c:pt idx="17">
                  <c:v>20.2</c:v>
                </c:pt>
                <c:pt idx="18">
                  <c:v>18.7</c:v>
                </c:pt>
                <c:pt idx="19">
                  <c:v>19.2</c:v>
                </c:pt>
                <c:pt idx="20">
                  <c:v>17.600000000000001</c:v>
                </c:pt>
                <c:pt idx="21">
                  <c:v>19</c:v>
                </c:pt>
                <c:pt idx="22">
                  <c:v>18.600000000000001</c:v>
                </c:pt>
                <c:pt idx="23">
                  <c:v>19.400000000000002</c:v>
                </c:pt>
                <c:pt idx="24">
                  <c:v>20.099999999999998</c:v>
                </c:pt>
                <c:pt idx="25">
                  <c:v>18.8</c:v>
                </c:pt>
                <c:pt idx="26">
                  <c:v>22.7</c:v>
                </c:pt>
                <c:pt idx="27">
                  <c:v>21.1</c:v>
                </c:pt>
                <c:pt idx="28">
                  <c:v>22.5</c:v>
                </c:pt>
                <c:pt idx="29">
                  <c:v>21.3</c:v>
                </c:pt>
                <c:pt idx="30">
                  <c:v>21.8</c:v>
                </c:pt>
                <c:pt idx="31">
                  <c:v>23.3</c:v>
                </c:pt>
                <c:pt idx="32">
                  <c:v>18.8</c:v>
                </c:pt>
                <c:pt idx="33">
                  <c:v>18.7</c:v>
                </c:pt>
                <c:pt idx="34">
                  <c:v>17</c:v>
                </c:pt>
                <c:pt idx="35">
                  <c:v>16.200000000000003</c:v>
                </c:pt>
                <c:pt idx="36">
                  <c:v>20</c:v>
                </c:pt>
                <c:pt idx="37">
                  <c:v>16.7</c:v>
                </c:pt>
                <c:pt idx="38">
                  <c:v>18.299999999999997</c:v>
                </c:pt>
                <c:pt idx="39">
                  <c:v>19.7</c:v>
                </c:pt>
                <c:pt idx="40">
                  <c:v>21.2</c:v>
                </c:pt>
                <c:pt idx="41">
                  <c:v>20.399999999999999</c:v>
                </c:pt>
                <c:pt idx="42">
                  <c:v>22.400000000000002</c:v>
                </c:pt>
                <c:pt idx="43">
                  <c:v>23.9</c:v>
                </c:pt>
                <c:pt idx="44">
                  <c:v>20.599999999999998</c:v>
                </c:pt>
                <c:pt idx="45">
                  <c:v>24</c:v>
                </c:pt>
                <c:pt idx="46">
                  <c:v>20.2</c:v>
                </c:pt>
                <c:pt idx="47">
                  <c:v>18.600000000000001</c:v>
                </c:pt>
                <c:pt idx="48">
                  <c:v>17.900000000000002</c:v>
                </c:pt>
                <c:pt idx="49">
                  <c:v>17</c:v>
                </c:pt>
                <c:pt idx="50">
                  <c:v>19.399999999999999</c:v>
                </c:pt>
                <c:pt idx="51">
                  <c:v>21</c:v>
                </c:pt>
                <c:pt idx="52">
                  <c:v>23.599999999999998</c:v>
                </c:pt>
                <c:pt idx="53">
                  <c:v>20.599999999999998</c:v>
                </c:pt>
                <c:pt idx="54">
                  <c:v>19.100000000000001</c:v>
                </c:pt>
                <c:pt idx="55">
                  <c:v>18.3</c:v>
                </c:pt>
                <c:pt idx="56">
                  <c:v>17.700000000000003</c:v>
                </c:pt>
                <c:pt idx="57">
                  <c:v>20.5</c:v>
                </c:pt>
                <c:pt idx="58">
                  <c:v>18.400000000000002</c:v>
                </c:pt>
                <c:pt idx="59">
                  <c:v>15.399999999999999</c:v>
                </c:pt>
                <c:pt idx="60">
                  <c:v>15.2</c:v>
                </c:pt>
                <c:pt idx="61">
                  <c:v>15.2</c:v>
                </c:pt>
                <c:pt idx="62">
                  <c:v>13.8</c:v>
                </c:pt>
                <c:pt idx="63">
                  <c:v>8</c:v>
                </c:pt>
                <c:pt idx="64">
                  <c:v>12.2</c:v>
                </c:pt>
                <c:pt idx="65">
                  <c:v>13.7</c:v>
                </c:pt>
                <c:pt idx="66">
                  <c:v>16.3</c:v>
                </c:pt>
              </c:numCache>
            </c:numRef>
          </c:val>
          <c:extLst>
            <c:ext xmlns:c16="http://schemas.microsoft.com/office/drawing/2014/chart" uri="{C3380CC4-5D6E-409C-BE32-E72D297353CC}">
              <c16:uniqueId val="{00000001-B994-4BF0-91A2-0D8DA8DC62CE}"/>
            </c:ext>
          </c:extLst>
        </c:ser>
        <c:ser>
          <c:idx val="2"/>
          <c:order val="2"/>
          <c:tx>
            <c:strRef>
              <c:f>Sheet!$B$16</c:f>
              <c:strCache>
                <c:ptCount val="1"/>
                <c:pt idx="0">
                  <c:v> pārējie kredīti mājsaimniecībām</c:v>
                </c:pt>
              </c:strCache>
            </c:strRef>
          </c:tx>
          <c:spPr>
            <a:solidFill>
              <a:schemeClr val="accent3"/>
            </a:solidFill>
            <a:ln>
              <a:noFill/>
            </a:ln>
            <a:effectLst/>
          </c:spPr>
          <c:invertIfNegative val="0"/>
          <c:cat>
            <c:numRef>
              <c:f>Sheet!$C$13:$BQ$13</c:f>
              <c:numCache>
                <c:formatCode>mmm\-yy</c:formatCode>
                <c:ptCount val="67"/>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pt idx="64">
                  <c:v>43952</c:v>
                </c:pt>
                <c:pt idx="65">
                  <c:v>43983</c:v>
                </c:pt>
                <c:pt idx="66">
                  <c:v>44013</c:v>
                </c:pt>
              </c:numCache>
            </c:numRef>
          </c:cat>
          <c:val>
            <c:numRef>
              <c:f>Sheet!$C$16:$BQ$16</c:f>
              <c:numCache>
                <c:formatCode>#\ ##0.0</c:formatCode>
                <c:ptCount val="67"/>
                <c:pt idx="0">
                  <c:v>2.3999999999999986</c:v>
                </c:pt>
                <c:pt idx="1">
                  <c:v>3.1999999999999993</c:v>
                </c:pt>
                <c:pt idx="2">
                  <c:v>11.9</c:v>
                </c:pt>
                <c:pt idx="3">
                  <c:v>4.6000000000000005</c:v>
                </c:pt>
                <c:pt idx="4">
                  <c:v>2.2999999999999998</c:v>
                </c:pt>
                <c:pt idx="5">
                  <c:v>4.2999999999999989</c:v>
                </c:pt>
                <c:pt idx="6">
                  <c:v>4.1000000000000014</c:v>
                </c:pt>
                <c:pt idx="7">
                  <c:v>3.0000000000000009</c:v>
                </c:pt>
                <c:pt idx="8">
                  <c:v>4.6999999999999993</c:v>
                </c:pt>
                <c:pt idx="9">
                  <c:v>3.2</c:v>
                </c:pt>
                <c:pt idx="10">
                  <c:v>4.5</c:v>
                </c:pt>
                <c:pt idx="11">
                  <c:v>5.4999999999999982</c:v>
                </c:pt>
                <c:pt idx="12">
                  <c:v>3.7000000000000011</c:v>
                </c:pt>
                <c:pt idx="13">
                  <c:v>5.0999999999999996</c:v>
                </c:pt>
                <c:pt idx="14">
                  <c:v>4.9999999999999991</c:v>
                </c:pt>
                <c:pt idx="15">
                  <c:v>6.5000000000000009</c:v>
                </c:pt>
                <c:pt idx="16">
                  <c:v>2.9000000000000004</c:v>
                </c:pt>
                <c:pt idx="17">
                  <c:v>3.8999999999999995</c:v>
                </c:pt>
                <c:pt idx="18">
                  <c:v>5</c:v>
                </c:pt>
                <c:pt idx="19">
                  <c:v>5.1999999999999993</c:v>
                </c:pt>
                <c:pt idx="20">
                  <c:v>3.7</c:v>
                </c:pt>
                <c:pt idx="21">
                  <c:v>13</c:v>
                </c:pt>
                <c:pt idx="22">
                  <c:v>5.8999999999999995</c:v>
                </c:pt>
                <c:pt idx="23">
                  <c:v>21.9</c:v>
                </c:pt>
                <c:pt idx="24">
                  <c:v>2.5999999999999996</c:v>
                </c:pt>
                <c:pt idx="25">
                  <c:v>1.5999999999999996</c:v>
                </c:pt>
                <c:pt idx="26">
                  <c:v>3.8000000000000007</c:v>
                </c:pt>
                <c:pt idx="27">
                  <c:v>3.9999999999999996</c:v>
                </c:pt>
                <c:pt idx="28">
                  <c:v>4.2000000000000011</c:v>
                </c:pt>
                <c:pt idx="29">
                  <c:v>6.3</c:v>
                </c:pt>
                <c:pt idx="30">
                  <c:v>2.9</c:v>
                </c:pt>
                <c:pt idx="31">
                  <c:v>5.2</c:v>
                </c:pt>
                <c:pt idx="32">
                  <c:v>5.4</c:v>
                </c:pt>
                <c:pt idx="33">
                  <c:v>4.3000000000000007</c:v>
                </c:pt>
                <c:pt idx="34">
                  <c:v>4.5999999999999979</c:v>
                </c:pt>
                <c:pt idx="35">
                  <c:v>7.1999999999999993</c:v>
                </c:pt>
                <c:pt idx="36">
                  <c:v>3.8000000000000003</c:v>
                </c:pt>
                <c:pt idx="37">
                  <c:v>3.1000000000000005</c:v>
                </c:pt>
                <c:pt idx="38">
                  <c:v>3.3999999999999986</c:v>
                </c:pt>
                <c:pt idx="39">
                  <c:v>6.2</c:v>
                </c:pt>
                <c:pt idx="40">
                  <c:v>8.1999999999999993</c:v>
                </c:pt>
                <c:pt idx="41">
                  <c:v>7.5</c:v>
                </c:pt>
                <c:pt idx="42">
                  <c:v>4.4000000000000004</c:v>
                </c:pt>
                <c:pt idx="43">
                  <c:v>6</c:v>
                </c:pt>
                <c:pt idx="44">
                  <c:v>3.2999999999999989</c:v>
                </c:pt>
                <c:pt idx="45">
                  <c:v>8.5</c:v>
                </c:pt>
                <c:pt idx="46">
                  <c:v>5.3000000000000007</c:v>
                </c:pt>
                <c:pt idx="47">
                  <c:v>6.6999999999999993</c:v>
                </c:pt>
                <c:pt idx="48">
                  <c:v>4.7</c:v>
                </c:pt>
                <c:pt idx="49">
                  <c:v>4.0999999999999996</c:v>
                </c:pt>
                <c:pt idx="50">
                  <c:v>5.6000000000000005</c:v>
                </c:pt>
                <c:pt idx="51">
                  <c:v>5.0999999999999979</c:v>
                </c:pt>
                <c:pt idx="52">
                  <c:v>5.2</c:v>
                </c:pt>
                <c:pt idx="53">
                  <c:v>5.5</c:v>
                </c:pt>
                <c:pt idx="54">
                  <c:v>5.3999999999999986</c:v>
                </c:pt>
                <c:pt idx="55">
                  <c:v>4.6000000000000014</c:v>
                </c:pt>
                <c:pt idx="56">
                  <c:v>6.8999999999999986</c:v>
                </c:pt>
                <c:pt idx="57">
                  <c:v>5.9</c:v>
                </c:pt>
                <c:pt idx="58">
                  <c:v>7.3999999999999995</c:v>
                </c:pt>
                <c:pt idx="59">
                  <c:v>6.1</c:v>
                </c:pt>
                <c:pt idx="60">
                  <c:v>3.5999999999999996</c:v>
                </c:pt>
                <c:pt idx="61">
                  <c:v>5</c:v>
                </c:pt>
                <c:pt idx="62">
                  <c:v>4.5</c:v>
                </c:pt>
                <c:pt idx="63">
                  <c:v>8.6999999999999993</c:v>
                </c:pt>
                <c:pt idx="64">
                  <c:v>6.7999999999999989</c:v>
                </c:pt>
                <c:pt idx="65">
                  <c:v>4.3999999999999995</c:v>
                </c:pt>
                <c:pt idx="66">
                  <c:v>6</c:v>
                </c:pt>
              </c:numCache>
            </c:numRef>
          </c:val>
          <c:extLst>
            <c:ext xmlns:c16="http://schemas.microsoft.com/office/drawing/2014/chart" uri="{C3380CC4-5D6E-409C-BE32-E72D297353CC}">
              <c16:uniqueId val="{00000002-B994-4BF0-91A2-0D8DA8DC62CE}"/>
            </c:ext>
          </c:extLst>
        </c:ser>
        <c:ser>
          <c:idx val="3"/>
          <c:order val="3"/>
          <c:tx>
            <c:strRef>
              <c:f>Sheet!$B$17</c:f>
              <c:strCache>
                <c:ptCount val="1"/>
                <c:pt idx="0">
                  <c:v> kredīti nefinanšu sabiedrībām</c:v>
                </c:pt>
              </c:strCache>
            </c:strRef>
          </c:tx>
          <c:spPr>
            <a:solidFill>
              <a:schemeClr val="accent4"/>
            </a:solidFill>
            <a:ln>
              <a:noFill/>
            </a:ln>
            <a:effectLst/>
          </c:spPr>
          <c:invertIfNegative val="0"/>
          <c:cat>
            <c:numRef>
              <c:f>Sheet!$C$13:$BQ$13</c:f>
              <c:numCache>
                <c:formatCode>mmm\-yy</c:formatCode>
                <c:ptCount val="67"/>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pt idx="64">
                  <c:v>43952</c:v>
                </c:pt>
                <c:pt idx="65">
                  <c:v>43983</c:v>
                </c:pt>
                <c:pt idx="66">
                  <c:v>44013</c:v>
                </c:pt>
              </c:numCache>
            </c:numRef>
          </c:cat>
          <c:val>
            <c:numRef>
              <c:f>Sheet!$C$17:$BQ$17</c:f>
              <c:numCache>
                <c:formatCode>#\ ##0.0</c:formatCode>
                <c:ptCount val="67"/>
                <c:pt idx="0">
                  <c:v>25.799999999999997</c:v>
                </c:pt>
                <c:pt idx="1">
                  <c:v>128.19999999999999</c:v>
                </c:pt>
                <c:pt idx="2">
                  <c:v>95.100000000000023</c:v>
                </c:pt>
                <c:pt idx="3">
                  <c:v>50.600000000000023</c:v>
                </c:pt>
                <c:pt idx="4">
                  <c:v>175.7</c:v>
                </c:pt>
                <c:pt idx="5">
                  <c:v>83.399999999999977</c:v>
                </c:pt>
                <c:pt idx="6">
                  <c:v>108.5</c:v>
                </c:pt>
                <c:pt idx="7">
                  <c:v>81.600000000000023</c:v>
                </c:pt>
                <c:pt idx="8">
                  <c:v>104.49999999999997</c:v>
                </c:pt>
                <c:pt idx="9">
                  <c:v>66.7</c:v>
                </c:pt>
                <c:pt idx="10">
                  <c:v>96.9</c:v>
                </c:pt>
                <c:pt idx="11">
                  <c:v>101.5</c:v>
                </c:pt>
                <c:pt idx="12">
                  <c:v>97.199999999999989</c:v>
                </c:pt>
                <c:pt idx="13">
                  <c:v>113.50000000000003</c:v>
                </c:pt>
                <c:pt idx="14">
                  <c:v>116.80000000000001</c:v>
                </c:pt>
                <c:pt idx="15">
                  <c:v>156.39999999999998</c:v>
                </c:pt>
                <c:pt idx="16">
                  <c:v>195.80000000000007</c:v>
                </c:pt>
                <c:pt idx="17">
                  <c:v>108.00000000000003</c:v>
                </c:pt>
                <c:pt idx="18">
                  <c:v>141.79999999999998</c:v>
                </c:pt>
                <c:pt idx="19">
                  <c:v>121.60000000000002</c:v>
                </c:pt>
                <c:pt idx="20">
                  <c:v>149.69999999999999</c:v>
                </c:pt>
                <c:pt idx="21">
                  <c:v>183.90000000000003</c:v>
                </c:pt>
                <c:pt idx="22">
                  <c:v>101.80000000000001</c:v>
                </c:pt>
                <c:pt idx="23">
                  <c:v>134.30000000000001</c:v>
                </c:pt>
                <c:pt idx="24">
                  <c:v>72.599999999999994</c:v>
                </c:pt>
                <c:pt idx="25">
                  <c:v>145.30000000000001</c:v>
                </c:pt>
                <c:pt idx="26">
                  <c:v>123.5</c:v>
                </c:pt>
                <c:pt idx="27">
                  <c:v>114.70000000000002</c:v>
                </c:pt>
                <c:pt idx="28">
                  <c:v>118.09999999999997</c:v>
                </c:pt>
                <c:pt idx="29">
                  <c:v>93.599999999999966</c:v>
                </c:pt>
                <c:pt idx="30">
                  <c:v>142.60000000000002</c:v>
                </c:pt>
                <c:pt idx="31">
                  <c:v>171.6</c:v>
                </c:pt>
                <c:pt idx="32">
                  <c:v>114.40000000000003</c:v>
                </c:pt>
                <c:pt idx="33">
                  <c:v>121.79999999999995</c:v>
                </c:pt>
                <c:pt idx="34">
                  <c:v>111.89999999999998</c:v>
                </c:pt>
                <c:pt idx="35">
                  <c:v>233.29999999999995</c:v>
                </c:pt>
                <c:pt idx="36">
                  <c:v>94.699999999999989</c:v>
                </c:pt>
                <c:pt idx="37">
                  <c:v>56.199999999999989</c:v>
                </c:pt>
                <c:pt idx="38">
                  <c:v>95.599999999999966</c:v>
                </c:pt>
                <c:pt idx="39">
                  <c:v>66.399999999999977</c:v>
                </c:pt>
                <c:pt idx="40">
                  <c:v>69.699999999999989</c:v>
                </c:pt>
                <c:pt idx="41">
                  <c:v>177.39999999999998</c:v>
                </c:pt>
                <c:pt idx="42">
                  <c:v>61.399999999999977</c:v>
                </c:pt>
                <c:pt idx="43">
                  <c:v>90.6</c:v>
                </c:pt>
                <c:pt idx="44">
                  <c:v>47.199999999999989</c:v>
                </c:pt>
                <c:pt idx="45">
                  <c:v>102.70000000000002</c:v>
                </c:pt>
                <c:pt idx="46">
                  <c:v>143.5</c:v>
                </c:pt>
                <c:pt idx="47">
                  <c:v>302.40000000000003</c:v>
                </c:pt>
                <c:pt idx="48">
                  <c:v>53</c:v>
                </c:pt>
                <c:pt idx="49">
                  <c:v>87.600000000000023</c:v>
                </c:pt>
                <c:pt idx="50">
                  <c:v>118.60000000000002</c:v>
                </c:pt>
                <c:pt idx="51">
                  <c:v>78.800000000000011</c:v>
                </c:pt>
                <c:pt idx="52">
                  <c:v>132.39999999999998</c:v>
                </c:pt>
                <c:pt idx="53">
                  <c:v>76.699999999999989</c:v>
                </c:pt>
                <c:pt idx="54">
                  <c:v>94</c:v>
                </c:pt>
                <c:pt idx="55">
                  <c:v>49.300000000000011</c:v>
                </c:pt>
                <c:pt idx="56">
                  <c:v>112.10000000000002</c:v>
                </c:pt>
                <c:pt idx="57">
                  <c:v>94.9</c:v>
                </c:pt>
                <c:pt idx="58">
                  <c:v>18.099999999999994</c:v>
                </c:pt>
                <c:pt idx="59">
                  <c:v>82.800000000000011</c:v>
                </c:pt>
                <c:pt idx="60">
                  <c:v>72.599999999999994</c:v>
                </c:pt>
                <c:pt idx="61">
                  <c:v>128.70000000000002</c:v>
                </c:pt>
                <c:pt idx="62">
                  <c:v>139</c:v>
                </c:pt>
                <c:pt idx="63">
                  <c:v>33.299999999999955</c:v>
                </c:pt>
                <c:pt idx="64">
                  <c:v>16.800000000000011</c:v>
                </c:pt>
                <c:pt idx="65">
                  <c:v>165</c:v>
                </c:pt>
                <c:pt idx="66">
                  <c:v>48.399999999999977</c:v>
                </c:pt>
              </c:numCache>
            </c:numRef>
          </c:val>
          <c:extLst>
            <c:ext xmlns:c16="http://schemas.microsoft.com/office/drawing/2014/chart" uri="{C3380CC4-5D6E-409C-BE32-E72D297353CC}">
              <c16:uniqueId val="{00000003-B994-4BF0-91A2-0D8DA8DC62CE}"/>
            </c:ext>
          </c:extLst>
        </c:ser>
        <c:dLbls>
          <c:showLegendKey val="0"/>
          <c:showVal val="0"/>
          <c:showCatName val="0"/>
          <c:showSerName val="0"/>
          <c:showPercent val="0"/>
          <c:showBubbleSize val="0"/>
        </c:dLbls>
        <c:gapWidth val="50"/>
        <c:overlap val="100"/>
        <c:axId val="473983024"/>
        <c:axId val="473982696"/>
      </c:barChart>
      <c:catAx>
        <c:axId val="473983024"/>
        <c:scaling>
          <c:orientation val="minMax"/>
        </c:scaling>
        <c:delete val="0"/>
        <c:axPos val="b"/>
        <c:majorGridlines>
          <c:spPr>
            <a:ln w="9525" cap="flat" cmpd="sng" algn="ctr">
              <a:solidFill>
                <a:schemeClr val="tx1">
                  <a:lumMod val="15000"/>
                  <a:lumOff val="85000"/>
                </a:schemeClr>
              </a:solidFill>
              <a:round/>
            </a:ln>
            <a:effectLst/>
          </c:spPr>
        </c:majorGridlines>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73982696"/>
        <c:crosses val="autoZero"/>
        <c:auto val="0"/>
        <c:lblAlgn val="ctr"/>
        <c:lblOffset val="100"/>
        <c:tickMarkSkip val="12"/>
        <c:noMultiLvlLbl val="0"/>
      </c:catAx>
      <c:valAx>
        <c:axId val="473982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73983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98792650918636"/>
          <c:y val="0.15572739974667349"/>
          <c:w val="0.48502624671916017"/>
          <c:h val="0.83896431864935817"/>
        </c:manualLayout>
      </c:layout>
      <c:pieChart>
        <c:varyColors val="1"/>
        <c:ser>
          <c:idx val="0"/>
          <c:order val="0"/>
          <c:dPt>
            <c:idx val="0"/>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1-E08C-4880-AADE-87D28A1FBCBC}"/>
              </c:ext>
            </c:extLst>
          </c:dPt>
          <c:dPt>
            <c:idx val="1"/>
            <c:bubble3D val="0"/>
            <c:spPr>
              <a:pattFill prst="dkUpDiag">
                <a:fgClr>
                  <a:srgbClr val="0070C0"/>
                </a:fgClr>
                <a:bgClr>
                  <a:schemeClr val="bg1"/>
                </a:bgClr>
              </a:pattFill>
              <a:ln w="19050">
                <a:solidFill>
                  <a:schemeClr val="lt1"/>
                </a:solidFill>
              </a:ln>
              <a:effectLst/>
            </c:spPr>
            <c:extLst>
              <c:ext xmlns:c16="http://schemas.microsoft.com/office/drawing/2014/chart" uri="{C3380CC4-5D6E-409C-BE32-E72D297353CC}">
                <c16:uniqueId val="{00000003-E08C-4880-AADE-87D28A1FBCBC}"/>
              </c:ext>
            </c:extLst>
          </c:dPt>
          <c:dPt>
            <c:idx val="2"/>
            <c:bubble3D val="0"/>
            <c:spPr>
              <a:solidFill>
                <a:schemeClr val="tx1">
                  <a:lumMod val="65000"/>
                  <a:lumOff val="35000"/>
                </a:schemeClr>
              </a:solidFill>
              <a:ln w="19050">
                <a:solidFill>
                  <a:schemeClr val="lt1"/>
                </a:solidFill>
              </a:ln>
              <a:effectLst/>
            </c:spPr>
            <c:extLst>
              <c:ext xmlns:c16="http://schemas.microsoft.com/office/drawing/2014/chart" uri="{C3380CC4-5D6E-409C-BE32-E72D297353CC}">
                <c16:uniqueId val="{00000005-E08C-4880-AADE-87D28A1FBCBC}"/>
              </c:ext>
            </c:extLst>
          </c:dPt>
          <c:dLbls>
            <c:dLbl>
              <c:idx val="0"/>
              <c:layout>
                <c:manualLayout>
                  <c:x val="-2.6118503937007875E-2"/>
                  <c:y val="0.1644441832830597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5993333333333329"/>
                      <c:h val="0.37834188636868155"/>
                    </c:manualLayout>
                  </c15:layout>
                </c:ext>
                <c:ext xmlns:c16="http://schemas.microsoft.com/office/drawing/2014/chart" uri="{C3380CC4-5D6E-409C-BE32-E72D297353CC}">
                  <c16:uniqueId val="{00000001-E08C-4880-AADE-87D28A1FBCBC}"/>
                </c:ext>
              </c:extLst>
            </c:dLbl>
            <c:dLbl>
              <c:idx val="1"/>
              <c:layout>
                <c:manualLayout>
                  <c:x val="1.4398950131233589E-2"/>
                  <c:y val="3.143129496872592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82501312335958"/>
                      <c:h val="0.29439469320066336"/>
                    </c:manualLayout>
                  </c15:layout>
                </c:ext>
                <c:ext xmlns:c16="http://schemas.microsoft.com/office/drawing/2014/chart" uri="{C3380CC4-5D6E-409C-BE32-E72D297353CC}">
                  <c16:uniqueId val="{00000003-E08C-4880-AADE-87D28A1FBCBC}"/>
                </c:ext>
              </c:extLst>
            </c:dLbl>
            <c:dLbl>
              <c:idx val="2"/>
              <c:layout>
                <c:manualLayout>
                  <c:x val="5.0000131233595799E-2"/>
                  <c:y val="0"/>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499999999999997"/>
                      <c:h val="0.15920398009950248"/>
                    </c:manualLayout>
                  </c15:layout>
                </c:ext>
                <c:ext xmlns:c16="http://schemas.microsoft.com/office/drawing/2014/chart" uri="{C3380CC4-5D6E-409C-BE32-E72D297353CC}">
                  <c16:uniqueId val="{00000005-E08C-4880-AADE-87D28A1FBC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'Lauksaimniecība(A)'!$B$8:$B$10</c:f>
              <c:strCache>
                <c:ptCount val="3"/>
                <c:pt idx="0">
                  <c:v>Lauksaimniecība (lopkopība un augkopība)</c:v>
                </c:pt>
                <c:pt idx="1">
                  <c:v>Mežsaimniecība un mežizstrāde</c:v>
                </c:pt>
                <c:pt idx="2">
                  <c:v>Zivsaimniecība</c:v>
                </c:pt>
              </c:strCache>
            </c:strRef>
          </c:cat>
          <c:val>
            <c:numRef>
              <c:f>'Lauksaimniecība(A)'!$N$8:$N$10</c:f>
              <c:numCache>
                <c:formatCode>0%</c:formatCode>
                <c:ptCount val="3"/>
                <c:pt idx="0">
                  <c:v>0.502</c:v>
                </c:pt>
                <c:pt idx="1">
                  <c:v>0.47</c:v>
                </c:pt>
                <c:pt idx="2">
                  <c:v>2.8000000000000001E-2</c:v>
                </c:pt>
              </c:numCache>
            </c:numRef>
          </c:val>
          <c:extLst>
            <c:ext xmlns:c16="http://schemas.microsoft.com/office/drawing/2014/chart" uri="{C3380CC4-5D6E-409C-BE32-E72D297353CC}">
              <c16:uniqueId val="{00000006-E08C-4880-AADE-87D28A1FBCBC}"/>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Kopā!$B$3</c:f>
              <c:strCache>
                <c:ptCount val="1"/>
                <c:pt idx="0">
                  <c:v>Lauksaimniecības produkcija kopā</c:v>
                </c:pt>
              </c:strCache>
            </c:strRef>
          </c:tx>
          <c:spPr>
            <a:pattFill prst="dkUpDiag">
              <a:fgClr>
                <a:schemeClr val="tx1">
                  <a:lumMod val="50000"/>
                  <a:lumOff val="50000"/>
                </a:schemeClr>
              </a:fgClr>
              <a:bgClr>
                <a:schemeClr val="bg1"/>
              </a:bgClr>
            </a:pattFill>
            <a:ln>
              <a:solidFill>
                <a:schemeClr val="tx1">
                  <a:lumMod val="50000"/>
                  <a:lumOff val="50000"/>
                </a:schemeClr>
              </a:solidFill>
            </a:ln>
            <a:effectLst/>
          </c:spPr>
          <c:cat>
            <c:strRef>
              <c:f>Kopā!$A$5:$A$14</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Kopā!$B$5:$B$14</c:f>
              <c:numCache>
                <c:formatCode>0.0</c:formatCode>
                <c:ptCount val="10"/>
                <c:pt idx="0">
                  <c:v>100</c:v>
                </c:pt>
                <c:pt idx="1">
                  <c:v>102.3</c:v>
                </c:pt>
                <c:pt idx="2">
                  <c:v>118.6</c:v>
                </c:pt>
                <c:pt idx="3">
                  <c:v>119.5</c:v>
                </c:pt>
                <c:pt idx="4">
                  <c:v>123.4</c:v>
                </c:pt>
                <c:pt idx="5">
                  <c:v>142.69999999999999</c:v>
                </c:pt>
                <c:pt idx="6">
                  <c:v>134.5</c:v>
                </c:pt>
                <c:pt idx="7">
                  <c:v>136.19999999999999</c:v>
                </c:pt>
                <c:pt idx="8">
                  <c:v>122.6</c:v>
                </c:pt>
                <c:pt idx="9" formatCode="General">
                  <c:v>147.4</c:v>
                </c:pt>
              </c:numCache>
            </c:numRef>
          </c:val>
          <c:extLst>
            <c:ext xmlns:c16="http://schemas.microsoft.com/office/drawing/2014/chart" uri="{C3380CC4-5D6E-409C-BE32-E72D297353CC}">
              <c16:uniqueId val="{00000000-62B0-446E-BD43-A16DE67C8C6A}"/>
            </c:ext>
          </c:extLst>
        </c:ser>
        <c:dLbls>
          <c:showLegendKey val="0"/>
          <c:showVal val="0"/>
          <c:showCatName val="0"/>
          <c:showSerName val="0"/>
          <c:showPercent val="0"/>
          <c:showBubbleSize val="0"/>
        </c:dLbls>
        <c:axId val="962158304"/>
        <c:axId val="962144160"/>
      </c:areaChart>
      <c:lineChart>
        <c:grouping val="standard"/>
        <c:varyColors val="0"/>
        <c:ser>
          <c:idx val="1"/>
          <c:order val="1"/>
          <c:tx>
            <c:strRef>
              <c:f>Kopā!$C$3</c:f>
              <c:strCache>
                <c:ptCount val="1"/>
                <c:pt idx="0">
                  <c:v>Augkopība</c:v>
                </c:pt>
              </c:strCache>
            </c:strRef>
          </c:tx>
          <c:spPr>
            <a:ln w="28575" cap="rnd">
              <a:solidFill>
                <a:srgbClr val="0070C0"/>
              </a:solidFill>
              <a:round/>
            </a:ln>
            <a:effectLst/>
          </c:spPr>
          <c:marker>
            <c:symbol val="diamond"/>
            <c:size val="8"/>
            <c:spPr>
              <a:solidFill>
                <a:srgbClr val="0070C0"/>
              </a:solidFill>
              <a:ln w="9525">
                <a:solidFill>
                  <a:srgbClr val="0070C0"/>
                </a:solidFill>
              </a:ln>
              <a:effectLst/>
            </c:spPr>
          </c:marker>
          <c:cat>
            <c:strRef>
              <c:f>Kopā!$A$5:$A$14</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Kopā!$C$5:$C$14</c:f>
              <c:numCache>
                <c:formatCode>0.0</c:formatCode>
                <c:ptCount val="10"/>
                <c:pt idx="0">
                  <c:v>100</c:v>
                </c:pt>
                <c:pt idx="1">
                  <c:v>103.2</c:v>
                </c:pt>
                <c:pt idx="2">
                  <c:v>130.9</c:v>
                </c:pt>
                <c:pt idx="3">
                  <c:v>129.69999999999999</c:v>
                </c:pt>
                <c:pt idx="4">
                  <c:v>131.30000000000001</c:v>
                </c:pt>
                <c:pt idx="5">
                  <c:v>165.6</c:v>
                </c:pt>
                <c:pt idx="6">
                  <c:v>149.19999999999999</c:v>
                </c:pt>
                <c:pt idx="7">
                  <c:v>150.6</c:v>
                </c:pt>
                <c:pt idx="8">
                  <c:v>119</c:v>
                </c:pt>
                <c:pt idx="9" formatCode="General">
                  <c:v>169.8</c:v>
                </c:pt>
              </c:numCache>
            </c:numRef>
          </c:val>
          <c:smooth val="1"/>
          <c:extLst>
            <c:ext xmlns:c16="http://schemas.microsoft.com/office/drawing/2014/chart" uri="{C3380CC4-5D6E-409C-BE32-E72D297353CC}">
              <c16:uniqueId val="{00000001-62B0-446E-BD43-A16DE67C8C6A}"/>
            </c:ext>
          </c:extLst>
        </c:ser>
        <c:ser>
          <c:idx val="2"/>
          <c:order val="2"/>
          <c:tx>
            <c:strRef>
              <c:f>Kopā!$D$3</c:f>
              <c:strCache>
                <c:ptCount val="1"/>
                <c:pt idx="0">
                  <c:v>Lopkopība</c:v>
                </c:pt>
              </c:strCache>
            </c:strRef>
          </c:tx>
          <c:spPr>
            <a:ln w="28575" cap="rnd">
              <a:solidFill>
                <a:srgbClr val="00B050"/>
              </a:solidFill>
              <a:round/>
            </a:ln>
            <a:effectLst/>
          </c:spPr>
          <c:marker>
            <c:symbol val="diamond"/>
            <c:size val="9"/>
            <c:spPr>
              <a:solidFill>
                <a:srgbClr val="00B050"/>
              </a:solidFill>
              <a:ln w="9525">
                <a:noFill/>
              </a:ln>
              <a:effectLst/>
            </c:spPr>
          </c:marker>
          <c:cat>
            <c:strRef>
              <c:f>Kopā!$A$5:$A$14</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Kopā!$D$5:$D$14</c:f>
              <c:numCache>
                <c:formatCode>0.0</c:formatCode>
                <c:ptCount val="10"/>
                <c:pt idx="0">
                  <c:v>100</c:v>
                </c:pt>
                <c:pt idx="1">
                  <c:v>99.7</c:v>
                </c:pt>
                <c:pt idx="2">
                  <c:v>102.5</c:v>
                </c:pt>
                <c:pt idx="3">
                  <c:v>106.6</c:v>
                </c:pt>
                <c:pt idx="4">
                  <c:v>112.7</c:v>
                </c:pt>
                <c:pt idx="5">
                  <c:v>116.6</c:v>
                </c:pt>
                <c:pt idx="6">
                  <c:v>114.9</c:v>
                </c:pt>
                <c:pt idx="7">
                  <c:v>120.6</c:v>
                </c:pt>
                <c:pt idx="8">
                  <c:v>121.1</c:v>
                </c:pt>
                <c:pt idx="9" formatCode="General">
                  <c:v>119.4</c:v>
                </c:pt>
              </c:numCache>
            </c:numRef>
          </c:val>
          <c:smooth val="1"/>
          <c:extLst>
            <c:ext xmlns:c16="http://schemas.microsoft.com/office/drawing/2014/chart" uri="{C3380CC4-5D6E-409C-BE32-E72D297353CC}">
              <c16:uniqueId val="{00000002-62B0-446E-BD43-A16DE67C8C6A}"/>
            </c:ext>
          </c:extLst>
        </c:ser>
        <c:dLbls>
          <c:showLegendKey val="0"/>
          <c:showVal val="0"/>
          <c:showCatName val="0"/>
          <c:showSerName val="0"/>
          <c:showPercent val="0"/>
          <c:showBubbleSize val="0"/>
        </c:dLbls>
        <c:marker val="1"/>
        <c:smooth val="0"/>
        <c:axId val="962158304"/>
        <c:axId val="962144160"/>
      </c:lineChart>
      <c:catAx>
        <c:axId val="96215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62144160"/>
        <c:crosses val="autoZero"/>
        <c:auto val="1"/>
        <c:lblAlgn val="ctr"/>
        <c:lblOffset val="100"/>
        <c:noMultiLvlLbl val="0"/>
      </c:catAx>
      <c:valAx>
        <c:axId val="962144160"/>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62158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'Cenas eur'!$A$4</c:f>
              <c:strCache>
                <c:ptCount val="1"/>
                <c:pt idx="0">
                  <c:v>Graudi</c:v>
                </c:pt>
              </c:strCache>
            </c:strRef>
          </c:tx>
          <c:spPr>
            <a:ln w="28575" cap="rnd">
              <a:solidFill>
                <a:srgbClr val="0070C0"/>
              </a:solidFill>
              <a:round/>
            </a:ln>
            <a:effectLst/>
          </c:spPr>
          <c:marker>
            <c:symbol val="none"/>
          </c:marker>
          <c:cat>
            <c:strRef>
              <c:f>'Cenas eur'!$B$3:$P$3</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'Cenas eur'!$B$4:$P$4</c:f>
              <c:numCache>
                <c:formatCode>0.00</c:formatCode>
                <c:ptCount val="15"/>
                <c:pt idx="0">
                  <c:v>85.09</c:v>
                </c:pt>
                <c:pt idx="1">
                  <c:v>104.34</c:v>
                </c:pt>
                <c:pt idx="2">
                  <c:v>176.19</c:v>
                </c:pt>
                <c:pt idx="3">
                  <c:v>142.37</c:v>
                </c:pt>
                <c:pt idx="4">
                  <c:v>104.23</c:v>
                </c:pt>
                <c:pt idx="5">
                  <c:v>150.91</c:v>
                </c:pt>
                <c:pt idx="6">
                  <c:v>191.66</c:v>
                </c:pt>
                <c:pt idx="7">
                  <c:v>207.2</c:v>
                </c:pt>
                <c:pt idx="8">
                  <c:v>177.3</c:v>
                </c:pt>
                <c:pt idx="9">
                  <c:v>148.13</c:v>
                </c:pt>
                <c:pt idx="10">
                  <c:v>144.34</c:v>
                </c:pt>
                <c:pt idx="11">
                  <c:v>132.31</c:v>
                </c:pt>
                <c:pt idx="12">
                  <c:v>145.16999999999999</c:v>
                </c:pt>
                <c:pt idx="13">
                  <c:v>168.34</c:v>
                </c:pt>
                <c:pt idx="14">
                  <c:v>158.24</c:v>
                </c:pt>
              </c:numCache>
            </c:numRef>
          </c:val>
          <c:smooth val="1"/>
          <c:extLst>
            <c:ext xmlns:c16="http://schemas.microsoft.com/office/drawing/2014/chart" uri="{C3380CC4-5D6E-409C-BE32-E72D297353CC}">
              <c16:uniqueId val="{00000000-4286-47AC-B810-519E82036DCB}"/>
            </c:ext>
          </c:extLst>
        </c:ser>
        <c:ser>
          <c:idx val="2"/>
          <c:order val="2"/>
          <c:tx>
            <c:strRef>
              <c:f>'Cenas eur'!$A$44</c:f>
              <c:strCache>
                <c:ptCount val="1"/>
                <c:pt idx="0">
                  <c:v>Piens</c:v>
                </c:pt>
              </c:strCache>
            </c:strRef>
          </c:tx>
          <c:spPr>
            <a:ln w="28575" cap="rnd">
              <a:solidFill>
                <a:srgbClr val="00B050"/>
              </a:solidFill>
              <a:round/>
            </a:ln>
            <a:effectLst/>
          </c:spPr>
          <c:marker>
            <c:symbol val="none"/>
          </c:marker>
          <c:cat>
            <c:strRef>
              <c:f>'Cenas eur'!$B$3:$P$3</c:f>
              <c:strCach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strCache>
            </c:strRef>
          </c:cat>
          <c:val>
            <c:numRef>
              <c:f>'Cenas eur'!$B$44:$P$44</c:f>
              <c:numCache>
                <c:formatCode>0.00</c:formatCode>
                <c:ptCount val="15"/>
                <c:pt idx="0">
                  <c:v>220.83</c:v>
                </c:pt>
                <c:pt idx="1">
                  <c:v>231.6</c:v>
                </c:pt>
                <c:pt idx="2">
                  <c:v>260.83</c:v>
                </c:pt>
                <c:pt idx="3">
                  <c:v>272.79000000000002</c:v>
                </c:pt>
                <c:pt idx="4">
                  <c:v>183.88</c:v>
                </c:pt>
                <c:pt idx="5">
                  <c:v>253.02</c:v>
                </c:pt>
                <c:pt idx="6">
                  <c:v>294.72000000000003</c:v>
                </c:pt>
                <c:pt idx="7">
                  <c:v>271.43</c:v>
                </c:pt>
                <c:pt idx="8">
                  <c:v>305.3</c:v>
                </c:pt>
                <c:pt idx="9">
                  <c:v>290.61</c:v>
                </c:pt>
                <c:pt idx="10">
                  <c:v>216.06</c:v>
                </c:pt>
                <c:pt idx="11">
                  <c:v>214.52</c:v>
                </c:pt>
                <c:pt idx="12">
                  <c:v>305.88</c:v>
                </c:pt>
                <c:pt idx="13">
                  <c:v>283.37</c:v>
                </c:pt>
                <c:pt idx="14">
                  <c:v>293.5</c:v>
                </c:pt>
              </c:numCache>
            </c:numRef>
          </c:val>
          <c:smooth val="1"/>
          <c:extLst>
            <c:ext xmlns:c16="http://schemas.microsoft.com/office/drawing/2014/chart" uri="{C3380CC4-5D6E-409C-BE32-E72D297353CC}">
              <c16:uniqueId val="{00000001-4286-47AC-B810-519E82036DCB}"/>
            </c:ext>
          </c:extLst>
        </c:ser>
        <c:dLbls>
          <c:showLegendKey val="0"/>
          <c:showVal val="0"/>
          <c:showCatName val="0"/>
          <c:showSerName val="0"/>
          <c:showPercent val="0"/>
          <c:showBubbleSize val="0"/>
        </c:dLbls>
        <c:marker val="1"/>
        <c:smooth val="0"/>
        <c:axId val="956682448"/>
        <c:axId val="956676208"/>
      </c:lineChart>
      <c:lineChart>
        <c:grouping val="standard"/>
        <c:varyColors val="0"/>
        <c:ser>
          <c:idx val="1"/>
          <c:order val="1"/>
          <c:tx>
            <c:strRef>
              <c:f>'Cenas eur'!$A$39</c:f>
              <c:strCache>
                <c:ptCount val="1"/>
                <c:pt idx="0">
                  <c:v>Lauksaimniecības dzīvnieki (kautsvarā)</c:v>
                </c:pt>
              </c:strCache>
            </c:strRef>
          </c:tx>
          <c:spPr>
            <a:ln w="28575" cap="rnd">
              <a:solidFill>
                <a:schemeClr val="tx1">
                  <a:lumMod val="50000"/>
                  <a:lumOff val="50000"/>
                </a:schemeClr>
              </a:solidFill>
              <a:round/>
            </a:ln>
            <a:effectLst/>
          </c:spPr>
          <c:marker>
            <c:symbol val="none"/>
          </c:marker>
          <c:val>
            <c:numRef>
              <c:f>'Cenas eur'!$B$39:$P$39</c:f>
              <c:numCache>
                <c:formatCode>0.00</c:formatCode>
                <c:ptCount val="15"/>
                <c:pt idx="0">
                  <c:v>1320.03</c:v>
                </c:pt>
                <c:pt idx="1">
                  <c:v>1366.75</c:v>
                </c:pt>
                <c:pt idx="2">
                  <c:v>1338.24</c:v>
                </c:pt>
                <c:pt idx="3">
                  <c:v>1634.94</c:v>
                </c:pt>
                <c:pt idx="4">
                  <c:v>1501.1</c:v>
                </c:pt>
                <c:pt idx="5">
                  <c:v>1469.61</c:v>
                </c:pt>
                <c:pt idx="6">
                  <c:v>1654.96</c:v>
                </c:pt>
                <c:pt idx="7">
                  <c:v>1836.19</c:v>
                </c:pt>
                <c:pt idx="8">
                  <c:v>1772.47</c:v>
                </c:pt>
                <c:pt idx="9">
                  <c:v>1549.82</c:v>
                </c:pt>
                <c:pt idx="10">
                  <c:v>1455.68</c:v>
                </c:pt>
                <c:pt idx="11">
                  <c:v>1492.19</c:v>
                </c:pt>
                <c:pt idx="12">
                  <c:v>1529.48</c:v>
                </c:pt>
                <c:pt idx="13">
                  <c:v>1458.78</c:v>
                </c:pt>
                <c:pt idx="14">
                  <c:v>1577.46</c:v>
                </c:pt>
              </c:numCache>
            </c:numRef>
          </c:val>
          <c:smooth val="1"/>
          <c:extLst>
            <c:ext xmlns:c16="http://schemas.microsoft.com/office/drawing/2014/chart" uri="{C3380CC4-5D6E-409C-BE32-E72D297353CC}">
              <c16:uniqueId val="{00000002-4286-47AC-B810-519E82036DCB}"/>
            </c:ext>
          </c:extLst>
        </c:ser>
        <c:dLbls>
          <c:showLegendKey val="0"/>
          <c:showVal val="0"/>
          <c:showCatName val="0"/>
          <c:showSerName val="0"/>
          <c:showPercent val="0"/>
          <c:showBubbleSize val="0"/>
        </c:dLbls>
        <c:marker val="1"/>
        <c:smooth val="0"/>
        <c:axId val="964553984"/>
        <c:axId val="964553152"/>
      </c:lineChart>
      <c:catAx>
        <c:axId val="95668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56676208"/>
        <c:crosses val="autoZero"/>
        <c:auto val="1"/>
        <c:lblAlgn val="ctr"/>
        <c:lblOffset val="100"/>
        <c:noMultiLvlLbl val="0"/>
      </c:catAx>
      <c:valAx>
        <c:axId val="956676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56682448"/>
        <c:crosses val="autoZero"/>
        <c:crossBetween val="between"/>
      </c:valAx>
      <c:valAx>
        <c:axId val="964553152"/>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64553984"/>
        <c:crosses val="max"/>
        <c:crossBetween val="between"/>
      </c:valAx>
      <c:catAx>
        <c:axId val="964553984"/>
        <c:scaling>
          <c:orientation val="minMax"/>
        </c:scaling>
        <c:delete val="1"/>
        <c:axPos val="b"/>
        <c:majorTickMark val="out"/>
        <c:minorTickMark val="none"/>
        <c:tickLblPos val="nextTo"/>
        <c:crossAx val="9645531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BySource!$L$1</c:f>
              <c:strCache>
                <c:ptCount val="1"/>
                <c:pt idx="0">
                  <c:v>Pamatinflācija</c:v>
                </c:pt>
              </c:strCache>
            </c:strRef>
          </c:tx>
          <c:spPr>
            <a:solidFill>
              <a:schemeClr val="accent1"/>
            </a:solidFill>
            <a:ln>
              <a:noFill/>
            </a:ln>
          </c:spPr>
          <c:invertIfNegative val="0"/>
          <c:cat>
            <c:multiLvlStrRef>
              <c:f>BySource!$A$134:$B$201</c:f>
              <c:multiLvlStrCache>
                <c:ptCount val="6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lvl>
                <c:lvl>
                  <c:pt idx="0">
                    <c:v>2015</c:v>
                  </c:pt>
                  <c:pt idx="12">
                    <c:v>2016</c:v>
                  </c:pt>
                  <c:pt idx="24">
                    <c:v>2017</c:v>
                  </c:pt>
                  <c:pt idx="36">
                    <c:v>2018</c:v>
                  </c:pt>
                  <c:pt idx="48">
                    <c:v>2019</c:v>
                  </c:pt>
                  <c:pt idx="60">
                    <c:v>2020</c:v>
                  </c:pt>
                </c:lvl>
              </c:multiLvlStrCache>
            </c:multiLvlStrRef>
          </c:cat>
          <c:val>
            <c:numRef>
              <c:f>BySource!$L$134:$L$201</c:f>
              <c:numCache>
                <c:formatCode>#\ ##0.0</c:formatCode>
                <c:ptCount val="68"/>
                <c:pt idx="0">
                  <c:v>0.65922703245154191</c:v>
                </c:pt>
                <c:pt idx="1">
                  <c:v>0.5114154077850942</c:v>
                </c:pt>
                <c:pt idx="2">
                  <c:v>0.67592314182225322</c:v>
                </c:pt>
                <c:pt idx="3">
                  <c:v>0.59126012490950208</c:v>
                </c:pt>
                <c:pt idx="4">
                  <c:v>0.78091483209483503</c:v>
                </c:pt>
                <c:pt idx="5">
                  <c:v>0.60989589013833978</c:v>
                </c:pt>
                <c:pt idx="6">
                  <c:v>0.36710090251858851</c:v>
                </c:pt>
                <c:pt idx="7">
                  <c:v>0.46217294810447795</c:v>
                </c:pt>
                <c:pt idx="8">
                  <c:v>0.30149994733582774</c:v>
                </c:pt>
                <c:pt idx="9">
                  <c:v>0.60453720383739551</c:v>
                </c:pt>
                <c:pt idx="10">
                  <c:v>0.49217522668943037</c:v>
                </c:pt>
                <c:pt idx="11">
                  <c:v>0.50113098641132869</c:v>
                </c:pt>
                <c:pt idx="12">
                  <c:v>0.22974621020138983</c:v>
                </c:pt>
                <c:pt idx="13">
                  <c:v>0.49760142564668969</c:v>
                </c:pt>
                <c:pt idx="14">
                  <c:v>0.64051454803596775</c:v>
                </c:pt>
                <c:pt idx="15">
                  <c:v>0.41964154916742591</c:v>
                </c:pt>
                <c:pt idx="16">
                  <c:v>0.70845128486779085</c:v>
                </c:pt>
                <c:pt idx="17" formatCode="0.0">
                  <c:v>0.61495181553140155</c:v>
                </c:pt>
                <c:pt idx="18">
                  <c:v>0.84749419313534113</c:v>
                </c:pt>
                <c:pt idx="19" formatCode="0.0">
                  <c:v>0.56602398032710011</c:v>
                </c:pt>
                <c:pt idx="20">
                  <c:v>0.70819976194658585</c:v>
                </c:pt>
                <c:pt idx="21">
                  <c:v>0.82366837655649527</c:v>
                </c:pt>
                <c:pt idx="22">
                  <c:v>0.88293763769473521</c:v>
                </c:pt>
                <c:pt idx="23">
                  <c:v>1.278105464679129</c:v>
                </c:pt>
                <c:pt idx="24">
                  <c:v>1.5407412072308968</c:v>
                </c:pt>
                <c:pt idx="25">
                  <c:v>1.4361403792811016</c:v>
                </c:pt>
                <c:pt idx="26" formatCode="0.000">
                  <c:v>1.6245594079338732</c:v>
                </c:pt>
                <c:pt idx="27" formatCode="0.000">
                  <c:v>1.9776098861213867</c:v>
                </c:pt>
                <c:pt idx="28" formatCode="0.000">
                  <c:v>1.485859007214319</c:v>
                </c:pt>
                <c:pt idx="29" formatCode="0.000">
                  <c:v>1.6924932865781954</c:v>
                </c:pt>
                <c:pt idx="30" formatCode="0.000">
                  <c:v>1.4319484971323546</c:v>
                </c:pt>
                <c:pt idx="31" formatCode="0.000">
                  <c:v>1.8718385852814594</c:v>
                </c:pt>
                <c:pt idx="32" formatCode="0.000">
                  <c:v>1.5973688667930093</c:v>
                </c:pt>
                <c:pt idx="33" formatCode="0.000">
                  <c:v>1.6755369345884346</c:v>
                </c:pt>
                <c:pt idx="34" formatCode="0.000">
                  <c:v>1.5503366667797651</c:v>
                </c:pt>
                <c:pt idx="35" formatCode="0.000">
                  <c:v>1.1611873855773489</c:v>
                </c:pt>
                <c:pt idx="36" formatCode="0.000">
                  <c:v>1.2238262620642182</c:v>
                </c:pt>
                <c:pt idx="37" formatCode="0.000">
                  <c:v>1.2907718295672268</c:v>
                </c:pt>
                <c:pt idx="38" formatCode="0.000">
                  <c:v>1.2670477776129232</c:v>
                </c:pt>
                <c:pt idx="39" formatCode="0.000">
                  <c:v>0.98527089573845839</c:v>
                </c:pt>
                <c:pt idx="40" formatCode="0.000">
                  <c:v>0.98585971991311006</c:v>
                </c:pt>
                <c:pt idx="41" formatCode="0.000">
                  <c:v>1.2062116608889122</c:v>
                </c:pt>
                <c:pt idx="42" formatCode="0.000">
                  <c:v>1.0126232734032783</c:v>
                </c:pt>
                <c:pt idx="43" formatCode="0.000">
                  <c:v>1.0503295896981033</c:v>
                </c:pt>
                <c:pt idx="44" formatCode="0.000">
                  <c:v>1.2072967825954954</c:v>
                </c:pt>
                <c:pt idx="45" formatCode="0.000">
                  <c:v>1.0957378705291934</c:v>
                </c:pt>
                <c:pt idx="46" formatCode="0.000">
                  <c:v>1.2784197433078166</c:v>
                </c:pt>
                <c:pt idx="47" formatCode="0.000">
                  <c:v>1.3327464203503485</c:v>
                </c:pt>
                <c:pt idx="48" formatCode="0.000">
                  <c:v>1.6455762541620371</c:v>
                </c:pt>
                <c:pt idx="49" formatCode="0.000">
                  <c:v>1.4890595181960273</c:v>
                </c:pt>
                <c:pt idx="50" formatCode="0.000">
                  <c:v>1.327383077069922</c:v>
                </c:pt>
                <c:pt idx="51" formatCode="0.000">
                  <c:v>1.7672288924447788</c:v>
                </c:pt>
                <c:pt idx="52" formatCode="0.000">
                  <c:v>1.6033368621956283</c:v>
                </c:pt>
                <c:pt idx="53" formatCode="0.000">
                  <c:v>1.6368725521326195</c:v>
                </c:pt>
                <c:pt idx="54" formatCode="0.000">
                  <c:v>1.893577807511664</c:v>
                </c:pt>
                <c:pt idx="55" formatCode="0.000">
                  <c:v>1.9571298157800154</c:v>
                </c:pt>
                <c:pt idx="56" formatCode="0.000">
                  <c:v>1.9836049273069449</c:v>
                </c:pt>
                <c:pt idx="57" formatCode="0.000">
                  <c:v>1.7411892825096993</c:v>
                </c:pt>
                <c:pt idx="58" formatCode="0.000">
                  <c:v>1.5779329186807882</c:v>
                </c:pt>
                <c:pt idx="59" formatCode="0.000">
                  <c:v>1.3033704068031084</c:v>
                </c:pt>
                <c:pt idx="60" formatCode="0.000">
                  <c:v>1.0107503088287251</c:v>
                </c:pt>
                <c:pt idx="61" formatCode="0.000">
                  <c:v>1.1137979076711841</c:v>
                </c:pt>
                <c:pt idx="62" formatCode="0.000">
                  <c:v>1.0563844377712499</c:v>
                </c:pt>
                <c:pt idx="63" formatCode="0.000">
                  <c:v>0.78071680565529267</c:v>
                </c:pt>
                <c:pt idx="64" formatCode="0.000">
                  <c:v>0.62973515690089332</c:v>
                </c:pt>
                <c:pt idx="65" formatCode="0.000">
                  <c:v>0.20707063678107751</c:v>
                </c:pt>
                <c:pt idx="66" formatCode="0.000">
                  <c:v>0.87722116997585464</c:v>
                </c:pt>
                <c:pt idx="67" formatCode="0.000">
                  <c:v>0.51443482582976485</c:v>
                </c:pt>
              </c:numCache>
            </c:numRef>
          </c:val>
          <c:extLst>
            <c:ext xmlns:c16="http://schemas.microsoft.com/office/drawing/2014/chart" uri="{C3380CC4-5D6E-409C-BE32-E72D297353CC}">
              <c16:uniqueId val="{00000000-D91D-4E38-B305-26E13D93FED5}"/>
            </c:ext>
          </c:extLst>
        </c:ser>
        <c:ser>
          <c:idx val="2"/>
          <c:order val="1"/>
          <c:tx>
            <c:strRef>
              <c:f>BySource!$D$1</c:f>
              <c:strCache>
                <c:ptCount val="1"/>
                <c:pt idx="0">
                  <c:v>Nodokļi</c:v>
                </c:pt>
              </c:strCache>
            </c:strRef>
          </c:tx>
          <c:spPr>
            <a:solidFill>
              <a:schemeClr val="accent6"/>
            </a:solidFill>
            <a:ln>
              <a:noFill/>
            </a:ln>
          </c:spPr>
          <c:invertIfNegative val="0"/>
          <c:cat>
            <c:multiLvlStrRef>
              <c:f>BySource!$A$134:$B$201</c:f>
              <c:multiLvlStrCache>
                <c:ptCount val="6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lvl>
                <c:lvl>
                  <c:pt idx="0">
                    <c:v>2015</c:v>
                  </c:pt>
                  <c:pt idx="12">
                    <c:v>2016</c:v>
                  </c:pt>
                  <c:pt idx="24">
                    <c:v>2017</c:v>
                  </c:pt>
                  <c:pt idx="36">
                    <c:v>2018</c:v>
                  </c:pt>
                  <c:pt idx="48">
                    <c:v>2019</c:v>
                  </c:pt>
                  <c:pt idx="60">
                    <c:v>2020</c:v>
                  </c:pt>
                </c:lvl>
              </c:multiLvlStrCache>
            </c:multiLvlStrRef>
          </c:cat>
          <c:val>
            <c:numRef>
              <c:f>BySource!$D$134:$D$201</c:f>
              <c:numCache>
                <c:formatCode>0.0</c:formatCode>
                <c:ptCount val="68"/>
                <c:pt idx="0">
                  <c:v>3.975110435042728E-2</c:v>
                </c:pt>
                <c:pt idx="1">
                  <c:v>5.033931078827214E-2</c:v>
                </c:pt>
                <c:pt idx="2">
                  <c:v>7.0846318374551132E-2</c:v>
                </c:pt>
                <c:pt idx="3">
                  <c:v>7.0542368500414732E-2</c:v>
                </c:pt>
                <c:pt idx="4">
                  <c:v>6.1167376763404668E-2</c:v>
                </c:pt>
                <c:pt idx="5">
                  <c:v>8.0236226804220045E-2</c:v>
                </c:pt>
                <c:pt idx="6">
                  <c:v>0.10923488517972091</c:v>
                </c:pt>
                <c:pt idx="7">
                  <c:v>0.18064227301821667</c:v>
                </c:pt>
                <c:pt idx="8">
                  <c:v>0.18937283258491089</c:v>
                </c:pt>
                <c:pt idx="9">
                  <c:v>0.19008779667691877</c:v>
                </c:pt>
                <c:pt idx="10">
                  <c:v>0.18065237371484022</c:v>
                </c:pt>
                <c:pt idx="11">
                  <c:v>0.19234719652208021</c:v>
                </c:pt>
                <c:pt idx="12">
                  <c:v>0.30259155774963187</c:v>
                </c:pt>
                <c:pt idx="13">
                  <c:v>0.30131232542679465</c:v>
                </c:pt>
                <c:pt idx="14">
                  <c:v>0.3392153772210027</c:v>
                </c:pt>
                <c:pt idx="15">
                  <c:v>0.3472019756389777</c:v>
                </c:pt>
                <c:pt idx="16">
                  <c:v>0.34428781865147862</c:v>
                </c:pt>
                <c:pt idx="17">
                  <c:v>0.33499434167341136</c:v>
                </c:pt>
                <c:pt idx="18">
                  <c:v>0.66819587114790302</c:v>
                </c:pt>
                <c:pt idx="19">
                  <c:v>0.59149972755125901</c:v>
                </c:pt>
                <c:pt idx="20">
                  <c:v>0.57226503211953439</c:v>
                </c:pt>
                <c:pt idx="21">
                  <c:v>0.5716057465338098</c:v>
                </c:pt>
                <c:pt idx="22" formatCode="0.00">
                  <c:v>0.59203918491890217</c:v>
                </c:pt>
                <c:pt idx="23" formatCode="0.00">
                  <c:v>0.57268704576687313</c:v>
                </c:pt>
                <c:pt idx="24" formatCode="0.000">
                  <c:v>0.4208896258503847</c:v>
                </c:pt>
                <c:pt idx="25" formatCode="0.000">
                  <c:v>0.41957212712528946</c:v>
                </c:pt>
                <c:pt idx="26" formatCode="0.000">
                  <c:v>0.43402548124944484</c:v>
                </c:pt>
                <c:pt idx="27" formatCode="0.000">
                  <c:v>0.43183529366772611</c:v>
                </c:pt>
                <c:pt idx="28" formatCode="0.000">
                  <c:v>0.44051944544596378</c:v>
                </c:pt>
                <c:pt idx="29" formatCode="0.000">
                  <c:v>0.44915811935617445</c:v>
                </c:pt>
                <c:pt idx="30" formatCode="0.000">
                  <c:v>0.11301168717383625</c:v>
                </c:pt>
                <c:pt idx="31" formatCode="0.000">
                  <c:v>0.11988776552356306</c:v>
                </c:pt>
                <c:pt idx="32" formatCode="0.000">
                  <c:v>0.13109693782886733</c:v>
                </c:pt>
                <c:pt idx="33" formatCode="0.000">
                  <c:v>0.13204300441380656</c:v>
                </c:pt>
                <c:pt idx="34" formatCode="0.000">
                  <c:v>0.121573528374741</c:v>
                </c:pt>
                <c:pt idx="35" formatCode="0.000">
                  <c:v>0.13477238884960219</c:v>
                </c:pt>
                <c:pt idx="36" formatCode="0.000">
                  <c:v>0.13640064937607832</c:v>
                </c:pt>
                <c:pt idx="37" formatCode="0.000">
                  <c:v>0.11705618380664085</c:v>
                </c:pt>
                <c:pt idx="38" formatCode="0.000">
                  <c:v>0.41517073877550548</c:v>
                </c:pt>
                <c:pt idx="39" formatCode="0.000">
                  <c:v>0.39483662952688459</c:v>
                </c:pt>
                <c:pt idx="40" formatCode="0.000">
                  <c:v>0.38240236593225507</c:v>
                </c:pt>
                <c:pt idx="41" formatCode="0.000">
                  <c:v>0.37837334310564241</c:v>
                </c:pt>
                <c:pt idx="42" formatCode="0.000">
                  <c:v>0.49769156232781775</c:v>
                </c:pt>
                <c:pt idx="43" formatCode="0.000">
                  <c:v>0.52632916648460704</c:v>
                </c:pt>
                <c:pt idx="44" formatCode="0.000">
                  <c:v>0.50216708101762375</c:v>
                </c:pt>
                <c:pt idx="45" formatCode="0.000">
                  <c:v>0.4911630385366017</c:v>
                </c:pt>
                <c:pt idx="46" formatCode="0.000">
                  <c:v>0.49284154331015184</c:v>
                </c:pt>
                <c:pt idx="47" formatCode="0.000">
                  <c:v>0.48594111962383391</c:v>
                </c:pt>
                <c:pt idx="48" formatCode="0.000">
                  <c:v>0.5328868667311415</c:v>
                </c:pt>
                <c:pt idx="49" formatCode="0.000">
                  <c:v>0.54254461311924462</c:v>
                </c:pt>
                <c:pt idx="50" formatCode="0.000">
                  <c:v>0.36474076746926265</c:v>
                </c:pt>
                <c:pt idx="51" formatCode="0.000">
                  <c:v>0.37561348004606643</c:v>
                </c:pt>
                <c:pt idx="52" formatCode="0.000">
                  <c:v>0.39147306960274353</c:v>
                </c:pt>
                <c:pt idx="53" formatCode="0.000">
                  <c:v>0.38368775508643704</c:v>
                </c:pt>
                <c:pt idx="54" formatCode="0.000">
                  <c:v>0.29736520498462315</c:v>
                </c:pt>
                <c:pt idx="55" formatCode="0.000">
                  <c:v>6.4419453762365464E-2</c:v>
                </c:pt>
                <c:pt idx="56" formatCode="0.000">
                  <c:v>9.3893321481153258E-2</c:v>
                </c:pt>
                <c:pt idx="57" formatCode="0.000">
                  <c:v>9.5819446626044247E-2</c:v>
                </c:pt>
                <c:pt idx="58" formatCode="0.000">
                  <c:v>8.8823606723376081E-2</c:v>
                </c:pt>
                <c:pt idx="59" formatCode="0.000">
                  <c:v>0.1063827609780521</c:v>
                </c:pt>
                <c:pt idx="60" formatCode="0.000">
                  <c:v>0.30498869670396722</c:v>
                </c:pt>
                <c:pt idx="61" formatCode="0.000">
                  <c:v>0.31324070333822451</c:v>
                </c:pt>
                <c:pt idx="62" formatCode="0.000">
                  <c:v>0.23311568197434962</c:v>
                </c:pt>
                <c:pt idx="63" formatCode="0.000">
                  <c:v>0.21550151325480105</c:v>
                </c:pt>
                <c:pt idx="64" formatCode="0.000">
                  <c:v>0.20851117028598543</c:v>
                </c:pt>
                <c:pt idx="65" formatCode="0.000">
                  <c:v>0.20973803244189737</c:v>
                </c:pt>
                <c:pt idx="66" formatCode="0.000">
                  <c:v>0.11981826191622691</c:v>
                </c:pt>
                <c:pt idx="67" formatCode="0.000">
                  <c:v>0.31362677779549486</c:v>
                </c:pt>
              </c:numCache>
            </c:numRef>
          </c:val>
          <c:extLst>
            <c:ext xmlns:c16="http://schemas.microsoft.com/office/drawing/2014/chart" uri="{C3380CC4-5D6E-409C-BE32-E72D297353CC}">
              <c16:uniqueId val="{00000001-D91D-4E38-B305-26E13D93FED5}"/>
            </c:ext>
          </c:extLst>
        </c:ser>
        <c:ser>
          <c:idx val="1"/>
          <c:order val="2"/>
          <c:tx>
            <c:strRef>
              <c:f>BySource!$N$1</c:f>
              <c:strCache>
                <c:ptCount val="1"/>
                <c:pt idx="0">
                  <c:v>Importētā inflācija</c:v>
                </c:pt>
              </c:strCache>
            </c:strRef>
          </c:tx>
          <c:spPr>
            <a:solidFill>
              <a:srgbClr val="C00000"/>
            </a:solidFill>
            <a:ln>
              <a:noFill/>
            </a:ln>
          </c:spPr>
          <c:invertIfNegative val="0"/>
          <c:cat>
            <c:multiLvlStrRef>
              <c:f>BySource!$A$134:$B$201</c:f>
              <c:multiLvlStrCache>
                <c:ptCount val="6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lvl>
                <c:lvl>
                  <c:pt idx="0">
                    <c:v>2015</c:v>
                  </c:pt>
                  <c:pt idx="12">
                    <c:v>2016</c:v>
                  </c:pt>
                  <c:pt idx="24">
                    <c:v>2017</c:v>
                  </c:pt>
                  <c:pt idx="36">
                    <c:v>2018</c:v>
                  </c:pt>
                  <c:pt idx="48">
                    <c:v>2019</c:v>
                  </c:pt>
                  <c:pt idx="60">
                    <c:v>2020</c:v>
                  </c:pt>
                </c:lvl>
              </c:multiLvlStrCache>
            </c:multiLvlStrRef>
          </c:cat>
          <c:val>
            <c:numRef>
              <c:f>BySource!$N$134:$N$201</c:f>
              <c:numCache>
                <c:formatCode>#\ ##0.0</c:formatCode>
                <c:ptCount val="68"/>
                <c:pt idx="0">
                  <c:v>-1.0989781368019691</c:v>
                </c:pt>
                <c:pt idx="1">
                  <c:v>-0.66175471857336632</c:v>
                </c:pt>
                <c:pt idx="2">
                  <c:v>-0.34676946019680432</c:v>
                </c:pt>
                <c:pt idx="3">
                  <c:v>-0.16180249340991684</c:v>
                </c:pt>
                <c:pt idx="4">
                  <c:v>0.35791779114176031</c:v>
                </c:pt>
                <c:pt idx="5">
                  <c:v>-9.0132116942559903E-2</c:v>
                </c:pt>
                <c:pt idx="6">
                  <c:v>-0.47633578769830942</c:v>
                </c:pt>
                <c:pt idx="7">
                  <c:v>-0.54281522112269465</c:v>
                </c:pt>
                <c:pt idx="8">
                  <c:v>-0.99087277992073863</c:v>
                </c:pt>
                <c:pt idx="9">
                  <c:v>-0.99462500051431446</c:v>
                </c:pt>
                <c:pt idx="10">
                  <c:v>-0.67282760040427059</c:v>
                </c:pt>
                <c:pt idx="11">
                  <c:v>-0.39347818293340886</c:v>
                </c:pt>
                <c:pt idx="12">
                  <c:v>-0.83233776795102166</c:v>
                </c:pt>
                <c:pt idx="13">
                  <c:v>-1.2989137510734843</c:v>
                </c:pt>
                <c:pt idx="14">
                  <c:v>-1.5797299252569703</c:v>
                </c:pt>
                <c:pt idx="15">
                  <c:v>-1.5668435248064037</c:v>
                </c:pt>
                <c:pt idx="16">
                  <c:v>-1.8527391035192695</c:v>
                </c:pt>
                <c:pt idx="17">
                  <c:v>-1.4499461572048129</c:v>
                </c:pt>
                <c:pt idx="18">
                  <c:v>-1.4156900642832442</c:v>
                </c:pt>
                <c:pt idx="19">
                  <c:v>-1.1575237078783591</c:v>
                </c:pt>
                <c:pt idx="20">
                  <c:v>-0.68046479406612026</c:v>
                </c:pt>
                <c:pt idx="21">
                  <c:v>-0.39527412309030507</c:v>
                </c:pt>
                <c:pt idx="22">
                  <c:v>-0.17497682261363734</c:v>
                </c:pt>
                <c:pt idx="23">
                  <c:v>0.34920748955399811</c:v>
                </c:pt>
                <c:pt idx="24">
                  <c:v>0.93836916691871841</c:v>
                </c:pt>
                <c:pt idx="25">
                  <c:v>1.4442874935936088</c:v>
                </c:pt>
                <c:pt idx="26" formatCode="0.000">
                  <c:v>1.3414151108166819</c:v>
                </c:pt>
                <c:pt idx="27" formatCode="0.000">
                  <c:v>0.99055482021088714</c:v>
                </c:pt>
                <c:pt idx="28" formatCode="0.000">
                  <c:v>0.87362154733971709</c:v>
                </c:pt>
                <c:pt idx="29" formatCode="0.000">
                  <c:v>0.85834859406563013</c:v>
                </c:pt>
                <c:pt idx="30" formatCode="0.000">
                  <c:v>1.0550398156938092</c:v>
                </c:pt>
                <c:pt idx="31" formatCode="0.000">
                  <c:v>1.1082736491949776</c:v>
                </c:pt>
                <c:pt idx="32" formatCode="0.000">
                  <c:v>1.1715341953781233</c:v>
                </c:pt>
                <c:pt idx="33" formatCode="0.000">
                  <c:v>0.99242006099775881</c:v>
                </c:pt>
                <c:pt idx="34" formatCode="0.000">
                  <c:v>1.0280898048454941</c:v>
                </c:pt>
                <c:pt idx="35" formatCode="0.000">
                  <c:v>0.90404022557304919</c:v>
                </c:pt>
                <c:pt idx="36" formatCode="0.000">
                  <c:v>0.6397730885597035</c:v>
                </c:pt>
                <c:pt idx="37" formatCode="0.000">
                  <c:v>0.3921719866261324</c:v>
                </c:pt>
                <c:pt idx="38" formatCode="0.000">
                  <c:v>0.5177814836115715</c:v>
                </c:pt>
                <c:pt idx="39" formatCode="0.000">
                  <c:v>0.61989247473465703</c:v>
                </c:pt>
                <c:pt idx="40" formatCode="0.000">
                  <c:v>0.93173791415463469</c:v>
                </c:pt>
                <c:pt idx="41" formatCode="0.000">
                  <c:v>1.2154149960054452</c:v>
                </c:pt>
                <c:pt idx="42" formatCode="0.000">
                  <c:v>1.089685164268904</c:v>
                </c:pt>
                <c:pt idx="43" formatCode="0.000">
                  <c:v>1.2233412438172895</c:v>
                </c:pt>
                <c:pt idx="44" formatCode="0.000">
                  <c:v>1.490536136386881</c:v>
                </c:pt>
                <c:pt idx="45" formatCode="0.000">
                  <c:v>1.6130990909342051</c:v>
                </c:pt>
                <c:pt idx="46" formatCode="0.000">
                  <c:v>1.2287387133820316</c:v>
                </c:pt>
                <c:pt idx="47" formatCode="0.000">
                  <c:v>0.78131246002581767</c:v>
                </c:pt>
                <c:pt idx="48" formatCode="0.000">
                  <c:v>0.82153687910682138</c:v>
                </c:pt>
                <c:pt idx="49" formatCode="0.000">
                  <c:v>0.86839586868472796</c:v>
                </c:pt>
                <c:pt idx="50" formatCode="0.000">
                  <c:v>1.1078761554608152</c:v>
                </c:pt>
                <c:pt idx="51" formatCode="0.000">
                  <c:v>1.2571576275091547</c:v>
                </c:pt>
                <c:pt idx="52" formatCode="0.000">
                  <c:v>1.305190068201628</c:v>
                </c:pt>
                <c:pt idx="53" formatCode="0.000">
                  <c:v>0.97943969278094345</c:v>
                </c:pt>
                <c:pt idx="54" formatCode="0.000">
                  <c:v>0.70905698750371271</c:v>
                </c:pt>
                <c:pt idx="55" formatCode="0.000">
                  <c:v>1.1784507304576193</c:v>
                </c:pt>
                <c:pt idx="56" formatCode="0.000">
                  <c:v>0.52250175121190179</c:v>
                </c:pt>
                <c:pt idx="57" formatCode="0.000">
                  <c:v>0.46299127086425634</c:v>
                </c:pt>
                <c:pt idx="58" formatCode="0.000">
                  <c:v>0.43324347459583573</c:v>
                </c:pt>
                <c:pt idx="59" formatCode="0.000">
                  <c:v>0.89024683221883927</c:v>
                </c:pt>
                <c:pt idx="60" formatCode="0.000">
                  <c:v>0.88426099446730777</c:v>
                </c:pt>
                <c:pt idx="61" formatCode="0.000">
                  <c:v>0.87296138899059128</c:v>
                </c:pt>
                <c:pt idx="62" formatCode="0.000">
                  <c:v>0.11049988025440044</c:v>
                </c:pt>
                <c:pt idx="63" formatCode="0.000">
                  <c:v>-0.99621831891009371</c:v>
                </c:pt>
                <c:pt idx="64" formatCode="0.000">
                  <c:v>-1.4382463271868786</c:v>
                </c:pt>
                <c:pt idx="65" formatCode="0.000">
                  <c:v>-1.1168086692229751</c:v>
                </c:pt>
                <c:pt idx="66" formatCode="0.000">
                  <c:v>-0.49703943189208161</c:v>
                </c:pt>
                <c:pt idx="67" formatCode="0.000">
                  <c:v>-1.0280616036252597</c:v>
                </c:pt>
              </c:numCache>
            </c:numRef>
          </c:val>
          <c:extLst>
            <c:ext xmlns:c16="http://schemas.microsoft.com/office/drawing/2014/chart" uri="{C3380CC4-5D6E-409C-BE32-E72D297353CC}">
              <c16:uniqueId val="{00000002-D91D-4E38-B305-26E13D93FED5}"/>
            </c:ext>
          </c:extLst>
        </c:ser>
        <c:dLbls>
          <c:showLegendKey val="0"/>
          <c:showVal val="0"/>
          <c:showCatName val="0"/>
          <c:showSerName val="0"/>
          <c:showPercent val="0"/>
          <c:showBubbleSize val="0"/>
        </c:dLbls>
        <c:gapWidth val="22"/>
        <c:overlap val="100"/>
        <c:axId val="348883032"/>
        <c:axId val="348885384"/>
      </c:barChart>
      <c:lineChart>
        <c:grouping val="standard"/>
        <c:varyColors val="0"/>
        <c:ser>
          <c:idx val="3"/>
          <c:order val="3"/>
          <c:tx>
            <c:strRef>
              <c:f>BySource!$C$1</c:f>
              <c:strCache>
                <c:ptCount val="1"/>
                <c:pt idx="0">
                  <c:v>PCI</c:v>
                </c:pt>
              </c:strCache>
            </c:strRef>
          </c:tx>
          <c:spPr>
            <a:ln w="19050">
              <a:solidFill>
                <a:schemeClr val="tx1"/>
              </a:solidFill>
              <a:prstDash val="dash"/>
            </a:ln>
            <a:effectLst/>
          </c:spPr>
          <c:marker>
            <c:symbol val="none"/>
          </c:marker>
          <c:val>
            <c:numRef>
              <c:f>BySource!$C$134:$C$201</c:f>
              <c:numCache>
                <c:formatCode>0.0</c:formatCode>
                <c:ptCount val="68"/>
                <c:pt idx="0">
                  <c:v>-0.4</c:v>
                </c:pt>
                <c:pt idx="1">
                  <c:v>-0.1</c:v>
                </c:pt>
                <c:pt idx="2">
                  <c:v>0.4</c:v>
                </c:pt>
                <c:pt idx="3">
                  <c:v>0.5</c:v>
                </c:pt>
                <c:pt idx="4">
                  <c:v>1.2</c:v>
                </c:pt>
                <c:pt idx="5">
                  <c:v>0.6</c:v>
                </c:pt>
                <c:pt idx="6">
                  <c:v>0</c:v>
                </c:pt>
                <c:pt idx="7">
                  <c:v>0.1</c:v>
                </c:pt>
                <c:pt idx="8">
                  <c:v>-0.5</c:v>
                </c:pt>
                <c:pt idx="9">
                  <c:v>-0.2</c:v>
                </c:pt>
                <c:pt idx="10">
                  <c:v>0</c:v>
                </c:pt>
                <c:pt idx="11">
                  <c:v>0.3</c:v>
                </c:pt>
                <c:pt idx="12">
                  <c:v>-0.3</c:v>
                </c:pt>
                <c:pt idx="13">
                  <c:v>-0.5</c:v>
                </c:pt>
                <c:pt idx="14">
                  <c:v>-0.6</c:v>
                </c:pt>
                <c:pt idx="15">
                  <c:v>-0.8</c:v>
                </c:pt>
                <c:pt idx="16">
                  <c:v>-0.8</c:v>
                </c:pt>
                <c:pt idx="17">
                  <c:v>-0.5</c:v>
                </c:pt>
                <c:pt idx="18">
                  <c:v>0.1</c:v>
                </c:pt>
                <c:pt idx="19">
                  <c:v>0</c:v>
                </c:pt>
                <c:pt idx="20">
                  <c:v>0.6</c:v>
                </c:pt>
                <c:pt idx="21">
                  <c:v>1</c:v>
                </c:pt>
                <c:pt idx="22">
                  <c:v>1.3</c:v>
                </c:pt>
                <c:pt idx="23">
                  <c:v>2.2000000000000002</c:v>
                </c:pt>
                <c:pt idx="24" formatCode="0.000">
                  <c:v>2.9</c:v>
                </c:pt>
                <c:pt idx="25" formatCode="0.000">
                  <c:v>3.3</c:v>
                </c:pt>
                <c:pt idx="26" formatCode="0.000">
                  <c:v>3.4</c:v>
                </c:pt>
                <c:pt idx="27" formatCode="0.000">
                  <c:v>3.4</c:v>
                </c:pt>
                <c:pt idx="28" formatCode="0.000">
                  <c:v>2.8</c:v>
                </c:pt>
                <c:pt idx="29" formatCode="0.000">
                  <c:v>3</c:v>
                </c:pt>
                <c:pt idx="30" formatCode="0.000">
                  <c:v>2.6</c:v>
                </c:pt>
                <c:pt idx="31" formatCode="0.000">
                  <c:v>3.1</c:v>
                </c:pt>
                <c:pt idx="32" formatCode="0.000">
                  <c:v>2.9</c:v>
                </c:pt>
                <c:pt idx="33" formatCode="0.000">
                  <c:v>2.8</c:v>
                </c:pt>
                <c:pt idx="34" formatCode="0.000">
                  <c:v>2.7</c:v>
                </c:pt>
                <c:pt idx="35" formatCode="0.000">
                  <c:v>2.2000000000000002</c:v>
                </c:pt>
                <c:pt idx="36" formatCode="0.000">
                  <c:v>2</c:v>
                </c:pt>
                <c:pt idx="37" formatCode="0.000">
                  <c:v>1.8</c:v>
                </c:pt>
                <c:pt idx="38" formatCode="0.000">
                  <c:v>2.2000000000000002</c:v>
                </c:pt>
                <c:pt idx="39" formatCode="0.000">
                  <c:v>2</c:v>
                </c:pt>
                <c:pt idx="40" formatCode="0.000">
                  <c:v>2.2999999999999998</c:v>
                </c:pt>
                <c:pt idx="41" formatCode="0.000">
                  <c:v>2.8</c:v>
                </c:pt>
                <c:pt idx="42" formatCode="0.000">
                  <c:v>2.6</c:v>
                </c:pt>
                <c:pt idx="43" formatCode="0.000">
                  <c:v>2.8</c:v>
                </c:pt>
                <c:pt idx="44" formatCode="0.000">
                  <c:v>3.2</c:v>
                </c:pt>
                <c:pt idx="45" formatCode="0.000">
                  <c:v>3.2</c:v>
                </c:pt>
                <c:pt idx="46" formatCode="0.000">
                  <c:v>3</c:v>
                </c:pt>
                <c:pt idx="47" formatCode="0.000">
                  <c:v>2.6</c:v>
                </c:pt>
                <c:pt idx="48" formatCode="0.000">
                  <c:v>3</c:v>
                </c:pt>
                <c:pt idx="49" formatCode="0.000">
                  <c:v>2.9</c:v>
                </c:pt>
                <c:pt idx="50" formatCode="0.000">
                  <c:v>2.8</c:v>
                </c:pt>
                <c:pt idx="51" formatCode="0.000">
                  <c:v>3.4</c:v>
                </c:pt>
                <c:pt idx="52" formatCode="0.000">
                  <c:v>3.3</c:v>
                </c:pt>
                <c:pt idx="53" formatCode="0.000">
                  <c:v>3</c:v>
                </c:pt>
                <c:pt idx="54" formatCode="0.000">
                  <c:v>2.9</c:v>
                </c:pt>
                <c:pt idx="55" formatCode="0.000">
                  <c:v>3.2</c:v>
                </c:pt>
                <c:pt idx="56" formatCode="0.000">
                  <c:v>2.6</c:v>
                </c:pt>
                <c:pt idx="57" formatCode="0.000">
                  <c:v>2.2999999999999998</c:v>
                </c:pt>
                <c:pt idx="58" formatCode="0.000">
                  <c:v>2.1</c:v>
                </c:pt>
                <c:pt idx="59" formatCode="0.000">
                  <c:v>2.2999999999999998</c:v>
                </c:pt>
                <c:pt idx="60" formatCode="0.000">
                  <c:v>2.2000000000000002</c:v>
                </c:pt>
                <c:pt idx="61" formatCode="0.000">
                  <c:v>2.2999999999999998</c:v>
                </c:pt>
                <c:pt idx="62" formatCode="0.000">
                  <c:v>1.4</c:v>
                </c:pt>
                <c:pt idx="63" formatCode="0.000">
                  <c:v>0</c:v>
                </c:pt>
                <c:pt idx="64" formatCode="0.000">
                  <c:v>-0.6</c:v>
                </c:pt>
                <c:pt idx="65" formatCode="0.000">
                  <c:v>-0.7</c:v>
                </c:pt>
                <c:pt idx="66" formatCode="0.000">
                  <c:v>0.5</c:v>
                </c:pt>
                <c:pt idx="67" formatCode="0.000">
                  <c:v>-0.2</c:v>
                </c:pt>
              </c:numCache>
            </c:numRef>
          </c:val>
          <c:smooth val="0"/>
          <c:extLst>
            <c:ext xmlns:c16="http://schemas.microsoft.com/office/drawing/2014/chart" uri="{C3380CC4-5D6E-409C-BE32-E72D297353CC}">
              <c16:uniqueId val="{00000003-D91D-4E38-B305-26E13D93FED5}"/>
            </c:ext>
          </c:extLst>
        </c:ser>
        <c:dLbls>
          <c:showLegendKey val="0"/>
          <c:showVal val="0"/>
          <c:showCatName val="0"/>
          <c:showSerName val="0"/>
          <c:showPercent val="0"/>
          <c:showBubbleSize val="0"/>
        </c:dLbls>
        <c:marker val="1"/>
        <c:smooth val="0"/>
        <c:axId val="348883032"/>
        <c:axId val="348885384"/>
      </c:lineChart>
      <c:catAx>
        <c:axId val="348883032"/>
        <c:scaling>
          <c:orientation val="minMax"/>
        </c:scaling>
        <c:delete val="0"/>
        <c:axPos val="b"/>
        <c:numFmt formatCode="General" sourceLinked="0"/>
        <c:majorTickMark val="none"/>
        <c:minorTickMark val="none"/>
        <c:tickLblPos val="low"/>
        <c:spPr>
          <a:ln>
            <a:solidFill>
              <a:schemeClr val="tx1"/>
            </a:solidFill>
          </a:ln>
        </c:spPr>
        <c:txPr>
          <a:bodyPr/>
          <a:lstStyle/>
          <a:p>
            <a:pPr>
              <a:defRPr sz="900" b="0">
                <a:latin typeface="Times New Roman" panose="02020603050405020304" pitchFamily="18" charset="0"/>
                <a:cs typeface="Times New Roman" panose="02020603050405020304" pitchFamily="18" charset="0"/>
              </a:defRPr>
            </a:pPr>
            <a:endParaRPr lang="lv-LV"/>
          </a:p>
        </c:txPr>
        <c:crossAx val="348885384"/>
        <c:crosses val="autoZero"/>
        <c:auto val="1"/>
        <c:lblAlgn val="ctr"/>
        <c:lblOffset val="100"/>
        <c:noMultiLvlLbl val="0"/>
      </c:catAx>
      <c:valAx>
        <c:axId val="348885384"/>
        <c:scaling>
          <c:orientation val="minMax"/>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txPr>
          <a:bodyPr/>
          <a:lstStyle/>
          <a:p>
            <a:pPr>
              <a:defRPr b="0">
                <a:latin typeface="Times New Roman" panose="02020603050405020304" pitchFamily="18" charset="0"/>
                <a:cs typeface="Times New Roman" panose="02020603050405020304" pitchFamily="18" charset="0"/>
              </a:defRPr>
            </a:pPr>
            <a:endParaRPr lang="lv-LV"/>
          </a:p>
        </c:txPr>
        <c:crossAx val="348883032"/>
        <c:crosses val="autoZero"/>
        <c:crossBetween val="between"/>
      </c:valAx>
      <c:spPr>
        <a:noFill/>
      </c:spPr>
    </c:plotArea>
    <c:legend>
      <c:legendPos val="b"/>
      <c:overlay val="0"/>
      <c:txPr>
        <a:bodyPr/>
        <a:lstStyle/>
        <a:p>
          <a:pPr>
            <a:defRPr b="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ln>
      <a:no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ysClr val="windowText" lastClr="000000">
                <a:lumMod val="50000"/>
                <a:lumOff val="50000"/>
              </a:sysClr>
            </a:solidFill>
            <a:ln>
              <a:noFill/>
            </a:ln>
            <a:effectLst/>
          </c:spPr>
          <c:invertIfNegative val="0"/>
          <c:dPt>
            <c:idx val="10"/>
            <c:invertIfNegative val="0"/>
            <c:bubble3D val="0"/>
            <c:spPr>
              <a:solidFill>
                <a:srgbClr val="002060"/>
              </a:solidFill>
              <a:ln>
                <a:noFill/>
              </a:ln>
              <a:effectLst/>
            </c:spPr>
            <c:extLst>
              <c:ext xmlns:c16="http://schemas.microsoft.com/office/drawing/2014/chart" uri="{C3380CC4-5D6E-409C-BE32-E72D297353CC}">
                <c16:uniqueId val="{00000001-73C0-4D50-8D5F-86B31AF82345}"/>
              </c:ext>
            </c:extLst>
          </c:dPt>
          <c:dPt>
            <c:idx val="14"/>
            <c:invertIfNegative val="0"/>
            <c:bubble3D val="0"/>
            <c:spPr>
              <a:solidFill>
                <a:srgbClr val="002060"/>
              </a:solidFill>
              <a:ln>
                <a:noFill/>
              </a:ln>
              <a:effectLst/>
            </c:spPr>
            <c:extLst>
              <c:ext xmlns:c16="http://schemas.microsoft.com/office/drawing/2014/chart" uri="{C3380CC4-5D6E-409C-BE32-E72D297353CC}">
                <c16:uniqueId val="{00000003-73C0-4D50-8D5F-86B31AF82345}"/>
              </c:ext>
            </c:extLst>
          </c:dPt>
          <c:dPt>
            <c:idx val="17"/>
            <c:invertIfNegative val="0"/>
            <c:bubble3D val="0"/>
            <c:spPr>
              <a:solidFill>
                <a:srgbClr val="C00000"/>
              </a:solidFill>
              <a:ln>
                <a:noFill/>
              </a:ln>
              <a:effectLst/>
            </c:spPr>
            <c:extLst>
              <c:ext xmlns:c16="http://schemas.microsoft.com/office/drawing/2014/chart" uri="{C3380CC4-5D6E-409C-BE32-E72D297353CC}">
                <c16:uniqueId val="{00000005-73C0-4D50-8D5F-86B31AF82345}"/>
              </c:ext>
            </c:extLst>
          </c:dPt>
          <c:cat>
            <c:strRef>
              <c:f>Data!$AA$11:$AA$39</c:f>
              <c:strCache>
                <c:ptCount val="29"/>
                <c:pt idx="0">
                  <c:v>PL</c:v>
                </c:pt>
                <c:pt idx="1">
                  <c:v>HU</c:v>
                </c:pt>
                <c:pt idx="2">
                  <c:v>CZ</c:v>
                </c:pt>
                <c:pt idx="3">
                  <c:v>RO</c:v>
                </c:pt>
                <c:pt idx="4">
                  <c:v>SK</c:v>
                </c:pt>
                <c:pt idx="5">
                  <c:v>BG</c:v>
                </c:pt>
                <c:pt idx="6">
                  <c:v>AT</c:v>
                </c:pt>
                <c:pt idx="7">
                  <c:v>LT</c:v>
                </c:pt>
                <c:pt idx="8">
                  <c:v>NL</c:v>
                </c:pt>
                <c:pt idx="9">
                  <c:v>MT</c:v>
                </c:pt>
                <c:pt idx="10">
                  <c:v>ES vidēji</c:v>
                </c:pt>
                <c:pt idx="11">
                  <c:v>DE</c:v>
                </c:pt>
                <c:pt idx="12">
                  <c:v>SE</c:v>
                </c:pt>
                <c:pt idx="13">
                  <c:v>FR</c:v>
                </c:pt>
                <c:pt idx="14">
                  <c:v>Eizozonā vidēji</c:v>
                </c:pt>
                <c:pt idx="15">
                  <c:v>FI</c:v>
                </c:pt>
                <c:pt idx="16">
                  <c:v>BE</c:v>
                </c:pt>
                <c:pt idx="17">
                  <c:v>LV</c:v>
                </c:pt>
                <c:pt idx="18">
                  <c:v>DK</c:v>
                </c:pt>
                <c:pt idx="19">
                  <c:v>LU</c:v>
                </c:pt>
                <c:pt idx="20">
                  <c:v>HR</c:v>
                </c:pt>
                <c:pt idx="21">
                  <c:v>PT</c:v>
                </c:pt>
                <c:pt idx="22">
                  <c:v>IT</c:v>
                </c:pt>
                <c:pt idx="23">
                  <c:v>SI</c:v>
                </c:pt>
                <c:pt idx="24">
                  <c:v>IE</c:v>
                </c:pt>
                <c:pt idx="25">
                  <c:v>ES</c:v>
                </c:pt>
                <c:pt idx="26">
                  <c:v>EE</c:v>
                </c:pt>
                <c:pt idx="27">
                  <c:v>EL</c:v>
                </c:pt>
                <c:pt idx="28">
                  <c:v>CY</c:v>
                </c:pt>
              </c:strCache>
            </c:strRef>
          </c:cat>
          <c:val>
            <c:numRef>
              <c:f>Data!$AB$11:$AB$39</c:f>
              <c:numCache>
                <c:formatCode>0.00</c:formatCode>
                <c:ptCount val="29"/>
                <c:pt idx="0">
                  <c:v>3.6518199233716331</c:v>
                </c:pt>
                <c:pt idx="1">
                  <c:v>3.560936424145051</c:v>
                </c:pt>
                <c:pt idx="2">
                  <c:v>3.4879665155214643</c:v>
                </c:pt>
                <c:pt idx="3">
                  <c:v>2.5712364656511366</c:v>
                </c:pt>
                <c:pt idx="4">
                  <c:v>2.2472969945645196</c:v>
                </c:pt>
                <c:pt idx="5">
                  <c:v>1.6402836473031892</c:v>
                </c:pt>
                <c:pt idx="6">
                  <c:v>1.53629481837918</c:v>
                </c:pt>
                <c:pt idx="7">
                  <c:v>1.4265253509023386</c:v>
                </c:pt>
                <c:pt idx="8">
                  <c:v>1.2047764588812371</c:v>
                </c:pt>
                <c:pt idx="9">
                  <c:v>0.99528424844190344</c:v>
                </c:pt>
                <c:pt idx="10">
                  <c:v>0.98561407680418067</c:v>
                </c:pt>
                <c:pt idx="11">
                  <c:v>0.83184789067142006</c:v>
                </c:pt>
                <c:pt idx="12">
                  <c:v>0.76142429753037166</c:v>
                </c:pt>
                <c:pt idx="13">
                  <c:v>0.75313607772459157</c:v>
                </c:pt>
                <c:pt idx="14">
                  <c:v>0.52251476672166886</c:v>
                </c:pt>
                <c:pt idx="15">
                  <c:v>0.46667956282040424</c:v>
                </c:pt>
                <c:pt idx="16">
                  <c:v>0.45640358619406274</c:v>
                </c:pt>
                <c:pt idx="17">
                  <c:v>0.40243072771929123</c:v>
                </c:pt>
                <c:pt idx="18">
                  <c:v>0.30484087306426044</c:v>
                </c:pt>
                <c:pt idx="19">
                  <c:v>0.22844021494686267</c:v>
                </c:pt>
                <c:pt idx="20">
                  <c:v>0.13373372399789782</c:v>
                </c:pt>
                <c:pt idx="21">
                  <c:v>7.7271355267114095E-2</c:v>
                </c:pt>
                <c:pt idx="22">
                  <c:v>4.8596768314904303E-2</c:v>
                </c:pt>
                <c:pt idx="23">
                  <c:v>3.5779882164915976E-2</c:v>
                </c:pt>
                <c:pt idx="24">
                  <c:v>-0.11075559931085126</c:v>
                </c:pt>
                <c:pt idx="25">
                  <c:v>-0.14182180930976809</c:v>
                </c:pt>
                <c:pt idx="26">
                  <c:v>-0.3063795020765902</c:v>
                </c:pt>
                <c:pt idx="27">
                  <c:v>-0.77912864796105641</c:v>
                </c:pt>
                <c:pt idx="28">
                  <c:v>-1.0164947685892014</c:v>
                </c:pt>
              </c:numCache>
            </c:numRef>
          </c:val>
          <c:extLst>
            <c:ext xmlns:c16="http://schemas.microsoft.com/office/drawing/2014/chart" uri="{C3380CC4-5D6E-409C-BE32-E72D297353CC}">
              <c16:uniqueId val="{00000006-73C0-4D50-8D5F-86B31AF82345}"/>
            </c:ext>
          </c:extLst>
        </c:ser>
        <c:dLbls>
          <c:showLegendKey val="0"/>
          <c:showVal val="0"/>
          <c:showCatName val="0"/>
          <c:showSerName val="0"/>
          <c:showPercent val="0"/>
          <c:showBubbleSize val="0"/>
        </c:dLbls>
        <c:gapWidth val="50"/>
        <c:overlap val="-18"/>
        <c:axId val="575320975"/>
        <c:axId val="575321391"/>
      </c:barChart>
      <c:catAx>
        <c:axId val="575320975"/>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75321391"/>
        <c:crosses val="autoZero"/>
        <c:auto val="1"/>
        <c:lblAlgn val="ctr"/>
        <c:lblOffset val="100"/>
        <c:noMultiLvlLbl val="0"/>
      </c:catAx>
      <c:valAx>
        <c:axId val="57532139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75320975"/>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0"/>
          <c:tx>
            <c:strRef>
              <c:f>'IKP nozares &amp; izlietojums (2)'!$BE$22</c:f>
              <c:strCache>
                <c:ptCount val="1"/>
                <c:pt idx="0">
                  <c:v>2020 1.pusg.</c:v>
                </c:pt>
              </c:strCache>
            </c:strRef>
          </c:tx>
          <c:spPr>
            <a:pattFill prst="dkUpDiag">
              <a:fgClr>
                <a:srgbClr val="00B050"/>
              </a:fgClr>
              <a:bgClr>
                <a:schemeClr val="bg1"/>
              </a:bgClr>
            </a:pattFill>
            <a:ln>
              <a:solidFill>
                <a:srgbClr val="00B050"/>
              </a:solidFill>
            </a:ln>
            <a:effectLst/>
          </c:spPr>
          <c:invertIfNegative val="0"/>
          <c:dPt>
            <c:idx val="3"/>
            <c:invertIfNegative val="0"/>
            <c:bubble3D val="0"/>
            <c:spPr>
              <a:solidFill>
                <a:srgbClr val="00B050"/>
              </a:solidFill>
              <a:ln>
                <a:solidFill>
                  <a:srgbClr val="00B050"/>
                </a:solidFill>
              </a:ln>
              <a:effectLst/>
            </c:spPr>
            <c:extLst>
              <c:ext xmlns:c16="http://schemas.microsoft.com/office/drawing/2014/chart" uri="{C3380CC4-5D6E-409C-BE32-E72D297353CC}">
                <c16:uniqueId val="{00000001-1AB4-495C-A1FD-698D34D32231}"/>
              </c:ext>
            </c:extLst>
          </c:dPt>
          <c:dLbls>
            <c:dLbl>
              <c:idx val="4"/>
              <c:layout>
                <c:manualLayout>
                  <c:x val="-1.626016260162591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AB4-495C-A1FD-698D34D32231}"/>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'IKP nozares &amp; izlietojums (2)'!$AM$47:$AM$52</c:f>
              <c:numCache>
                <c:formatCode>0.0</c:formatCode>
                <c:ptCount val="6"/>
                <c:pt idx="0">
                  <c:v>-5.3443990637944472</c:v>
                </c:pt>
                <c:pt idx="1">
                  <c:v>-6.3450126565201543</c:v>
                </c:pt>
                <c:pt idx="2">
                  <c:v>-0.64573711104720655</c:v>
                </c:pt>
                <c:pt idx="3">
                  <c:v>2.3839962151267047</c:v>
                </c:pt>
                <c:pt idx="4">
                  <c:v>-12.212610596810725</c:v>
                </c:pt>
                <c:pt idx="5">
                  <c:v>-5.1923683549223725</c:v>
                </c:pt>
              </c:numCache>
            </c:numRef>
          </c:val>
          <c:extLst>
            <c:ext xmlns:c16="http://schemas.microsoft.com/office/drawing/2014/chart" uri="{C3380CC4-5D6E-409C-BE32-E72D297353CC}">
              <c16:uniqueId val="{00000003-1AB4-495C-A1FD-698D34D32231}"/>
            </c:ext>
          </c:extLst>
        </c:ser>
        <c:ser>
          <c:idx val="0"/>
          <c:order val="1"/>
          <c:tx>
            <c:strRef>
              <c:f>'IKP nozares &amp; izlietojums (2)'!$BE$23</c:f>
              <c:strCache>
                <c:ptCount val="1"/>
                <c:pt idx="0">
                  <c:v>2019</c:v>
                </c:pt>
              </c:strCache>
            </c:strRef>
          </c:tx>
          <c:spPr>
            <a:solidFill>
              <a:schemeClr val="bg1">
                <a:lumMod val="65000"/>
              </a:schemeClr>
            </a:solidFill>
            <a:ln>
              <a:noFill/>
            </a:ln>
            <a:effectLst/>
          </c:spPr>
          <c:invertIfNegative val="0"/>
          <c:dPt>
            <c:idx val="0"/>
            <c:invertIfNegative val="0"/>
            <c:bubble3D val="0"/>
            <c:extLst>
              <c:ext xmlns:c16="http://schemas.microsoft.com/office/drawing/2014/chart" uri="{C3380CC4-5D6E-409C-BE32-E72D297353CC}">
                <c16:uniqueId val="{00000004-1AB4-495C-A1FD-698D34D32231}"/>
              </c:ext>
            </c:extLst>
          </c:dPt>
          <c:dPt>
            <c:idx val="1"/>
            <c:invertIfNegative val="0"/>
            <c:bubble3D val="0"/>
            <c:extLst>
              <c:ext xmlns:c16="http://schemas.microsoft.com/office/drawing/2014/chart" uri="{C3380CC4-5D6E-409C-BE32-E72D297353CC}">
                <c16:uniqueId val="{00000005-1AB4-495C-A1FD-698D34D32231}"/>
              </c:ext>
            </c:extLst>
          </c:dPt>
          <c:dPt>
            <c:idx val="2"/>
            <c:invertIfNegative val="0"/>
            <c:bubble3D val="0"/>
            <c:extLst>
              <c:ext xmlns:c16="http://schemas.microsoft.com/office/drawing/2014/chart" uri="{C3380CC4-5D6E-409C-BE32-E72D297353CC}">
                <c16:uniqueId val="{00000006-1AB4-495C-A1FD-698D34D32231}"/>
              </c:ext>
            </c:extLst>
          </c:dPt>
          <c:dLbls>
            <c:dLbl>
              <c:idx val="1"/>
              <c:layout>
                <c:manualLayout>
                  <c:x val="-7.3011080494811515E-3"/>
                  <c:y val="-4.066924281235254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AB4-495C-A1FD-698D34D32231}"/>
                </c:ext>
              </c:extLst>
            </c:dLbl>
            <c:dLbl>
              <c:idx val="2"/>
              <c:layout>
                <c:manualLayout>
                  <c:x val="5.5949232442791712E-4"/>
                  <c:y val="-8.133851167175619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AB4-495C-A1FD-698D34D32231}"/>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'IKP nozares &amp; izlietojums (2)'!$A$47:$A$52</c:f>
              <c:strCache>
                <c:ptCount val="6"/>
                <c:pt idx="0">
                  <c:v>Eksports</c:v>
                </c:pt>
                <c:pt idx="1">
                  <c:v>Imports</c:v>
                </c:pt>
                <c:pt idx="2">
                  <c:v>Investīcijas</c:v>
                </c:pt>
                <c:pt idx="3">
                  <c:v>Sabiedriskais patēriņš</c:v>
                </c:pt>
                <c:pt idx="4">
                  <c:v>Privātais patēriņš</c:v>
                </c:pt>
                <c:pt idx="5">
                  <c:v>IKP</c:v>
                </c:pt>
              </c:strCache>
            </c:strRef>
          </c:cat>
          <c:val>
            <c:numRef>
              <c:f>'IKP nozares &amp; izlietojums (2)'!$AJ$47:$AJ$52</c:f>
              <c:numCache>
                <c:formatCode>0.0</c:formatCode>
                <c:ptCount val="6"/>
                <c:pt idx="0">
                  <c:v>2.112147933622821</c:v>
                </c:pt>
                <c:pt idx="1">
                  <c:v>2.956779007807353</c:v>
                </c:pt>
                <c:pt idx="2">
                  <c:v>2.0833920474695899</c:v>
                </c:pt>
                <c:pt idx="3">
                  <c:v>2.6328526159003385</c:v>
                </c:pt>
                <c:pt idx="4">
                  <c:v>2.1808227858821416</c:v>
                </c:pt>
                <c:pt idx="5">
                  <c:v>2.0540815076232066</c:v>
                </c:pt>
              </c:numCache>
            </c:numRef>
          </c:val>
          <c:extLst>
            <c:ext xmlns:c16="http://schemas.microsoft.com/office/drawing/2014/chart" uri="{C3380CC4-5D6E-409C-BE32-E72D297353CC}">
              <c16:uniqueId val="{00000007-1AB4-495C-A1FD-698D34D32231}"/>
            </c:ext>
          </c:extLst>
        </c:ser>
        <c:dLbls>
          <c:showLegendKey val="0"/>
          <c:showVal val="0"/>
          <c:showCatName val="0"/>
          <c:showSerName val="0"/>
          <c:showPercent val="0"/>
          <c:showBubbleSize val="0"/>
        </c:dLbls>
        <c:gapWidth val="50"/>
        <c:overlap val="-10"/>
        <c:axId val="212682872"/>
        <c:axId val="212683264"/>
      </c:barChart>
      <c:catAx>
        <c:axId val="212682872"/>
        <c:scaling>
          <c:orientation val="minMax"/>
        </c:scaling>
        <c:delete val="0"/>
        <c:axPos val="l"/>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2683264"/>
        <c:crosses val="autoZero"/>
        <c:auto val="1"/>
        <c:lblAlgn val="ctr"/>
        <c:lblOffset val="100"/>
        <c:noMultiLvlLbl val="0"/>
      </c:catAx>
      <c:valAx>
        <c:axId val="212683264"/>
        <c:scaling>
          <c:orientation val="minMax"/>
          <c:min val="-15"/>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2682872"/>
        <c:crosses val="autoZero"/>
        <c:crossBetween val="between"/>
        <c:majorUnit val="5"/>
      </c:valAx>
      <c:spPr>
        <a:noFill/>
        <a:ln>
          <a:noFill/>
        </a:ln>
        <a:effectLst/>
      </c:spPr>
    </c:plotArea>
    <c:legend>
      <c:legendPos val="b"/>
      <c:layout>
        <c:manualLayout>
          <c:xMode val="edge"/>
          <c:yMode val="edge"/>
          <c:x val="0.392788215787439"/>
          <c:y val="0.90752711893076532"/>
          <c:w val="0.45495786226905899"/>
          <c:h val="7.29079979085602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sz="900" b="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340211123244631E-2"/>
          <c:y val="2.8368794326241134E-2"/>
          <c:w val="0.91689579860911552"/>
          <c:h val="0.7104410884809611"/>
        </c:manualLayout>
      </c:layout>
      <c:barChart>
        <c:barDir val="col"/>
        <c:grouping val="clustered"/>
        <c:varyColors val="0"/>
        <c:ser>
          <c:idx val="5"/>
          <c:order val="5"/>
          <c:tx>
            <c:strRef>
              <c:f>Sheet2!$A$10</c:f>
              <c:strCache>
                <c:ptCount val="1"/>
                <c:pt idx="0">
                  <c:v>Latvija kopā</c:v>
                </c:pt>
              </c:strCache>
            </c:strRef>
          </c:tx>
          <c:spPr>
            <a:solidFill>
              <a:srgbClr val="FF9F9F"/>
            </a:solidFill>
            <a:ln>
              <a:noFill/>
            </a:ln>
            <a:effectLst/>
          </c:spPr>
          <c:invertIfNegative val="0"/>
          <c:cat>
            <c:strRef>
              <c:f>Sheet2!$B$4:$FI$4</c:f>
              <c:strCache>
                <c:ptCount val="164"/>
                <c:pt idx="0">
                  <c:v>2007`I</c:v>
                </c:pt>
                <c:pt idx="1">
                  <c:v>II</c:v>
                </c:pt>
                <c:pt idx="2">
                  <c:v>III</c:v>
                </c:pt>
                <c:pt idx="3">
                  <c:v>IV</c:v>
                </c:pt>
                <c:pt idx="4">
                  <c:v>V</c:v>
                </c:pt>
                <c:pt idx="5">
                  <c:v>VI</c:v>
                </c:pt>
                <c:pt idx="6">
                  <c:v>VII</c:v>
                </c:pt>
                <c:pt idx="7">
                  <c:v>VIII</c:v>
                </c:pt>
                <c:pt idx="8">
                  <c:v>IX</c:v>
                </c:pt>
                <c:pt idx="9">
                  <c:v>X</c:v>
                </c:pt>
                <c:pt idx="10">
                  <c:v>XI</c:v>
                </c:pt>
                <c:pt idx="11">
                  <c:v>XII</c:v>
                </c:pt>
                <c:pt idx="12">
                  <c:v>2008`I</c:v>
                </c:pt>
                <c:pt idx="13">
                  <c:v>II</c:v>
                </c:pt>
                <c:pt idx="14">
                  <c:v>III</c:v>
                </c:pt>
                <c:pt idx="15">
                  <c:v>IV</c:v>
                </c:pt>
                <c:pt idx="16">
                  <c:v>V</c:v>
                </c:pt>
                <c:pt idx="17">
                  <c:v>VI</c:v>
                </c:pt>
                <c:pt idx="18">
                  <c:v>VII</c:v>
                </c:pt>
                <c:pt idx="19">
                  <c:v>VIII</c:v>
                </c:pt>
                <c:pt idx="20">
                  <c:v>IX</c:v>
                </c:pt>
                <c:pt idx="21">
                  <c:v>X</c:v>
                </c:pt>
                <c:pt idx="22">
                  <c:v>XI</c:v>
                </c:pt>
                <c:pt idx="23">
                  <c:v>XII</c:v>
                </c:pt>
                <c:pt idx="24">
                  <c:v>2009`I</c:v>
                </c:pt>
                <c:pt idx="25">
                  <c:v>II</c:v>
                </c:pt>
                <c:pt idx="26">
                  <c:v>III</c:v>
                </c:pt>
                <c:pt idx="27">
                  <c:v>IV</c:v>
                </c:pt>
                <c:pt idx="28">
                  <c:v>V</c:v>
                </c:pt>
                <c:pt idx="29">
                  <c:v>VI</c:v>
                </c:pt>
                <c:pt idx="30">
                  <c:v>VII</c:v>
                </c:pt>
                <c:pt idx="31">
                  <c:v>VIII</c:v>
                </c:pt>
                <c:pt idx="32">
                  <c:v>IX</c:v>
                </c:pt>
                <c:pt idx="33">
                  <c:v>X</c:v>
                </c:pt>
                <c:pt idx="34">
                  <c:v>XI</c:v>
                </c:pt>
                <c:pt idx="35">
                  <c:v>XII</c:v>
                </c:pt>
                <c:pt idx="36">
                  <c:v>2010`I</c:v>
                </c:pt>
                <c:pt idx="37">
                  <c:v>II</c:v>
                </c:pt>
                <c:pt idx="38">
                  <c:v>III</c:v>
                </c:pt>
                <c:pt idx="39">
                  <c:v>IV</c:v>
                </c:pt>
                <c:pt idx="40">
                  <c:v>V</c:v>
                </c:pt>
                <c:pt idx="41">
                  <c:v>VI</c:v>
                </c:pt>
                <c:pt idx="42">
                  <c:v>VII</c:v>
                </c:pt>
                <c:pt idx="43">
                  <c:v>VIII</c:v>
                </c:pt>
                <c:pt idx="44">
                  <c:v>IX</c:v>
                </c:pt>
                <c:pt idx="45">
                  <c:v>X</c:v>
                </c:pt>
                <c:pt idx="46">
                  <c:v>XI</c:v>
                </c:pt>
                <c:pt idx="47">
                  <c:v>XII</c:v>
                </c:pt>
                <c:pt idx="48">
                  <c:v>2011`I</c:v>
                </c:pt>
                <c:pt idx="49">
                  <c:v>II</c:v>
                </c:pt>
                <c:pt idx="50">
                  <c:v>III</c:v>
                </c:pt>
                <c:pt idx="51">
                  <c:v>IV</c:v>
                </c:pt>
                <c:pt idx="52">
                  <c:v>V</c:v>
                </c:pt>
                <c:pt idx="53">
                  <c:v>VI</c:v>
                </c:pt>
                <c:pt idx="54">
                  <c:v>VII</c:v>
                </c:pt>
                <c:pt idx="55">
                  <c:v>VIII</c:v>
                </c:pt>
                <c:pt idx="56">
                  <c:v>IX</c:v>
                </c:pt>
                <c:pt idx="57">
                  <c:v>X</c:v>
                </c:pt>
                <c:pt idx="58">
                  <c:v>XI</c:v>
                </c:pt>
                <c:pt idx="59">
                  <c:v>XII</c:v>
                </c:pt>
                <c:pt idx="60">
                  <c:v>2012`I</c:v>
                </c:pt>
                <c:pt idx="61">
                  <c:v>II</c:v>
                </c:pt>
                <c:pt idx="62">
                  <c:v>III</c:v>
                </c:pt>
                <c:pt idx="63">
                  <c:v>IV</c:v>
                </c:pt>
                <c:pt idx="64">
                  <c:v>V</c:v>
                </c:pt>
                <c:pt idx="65">
                  <c:v>VI</c:v>
                </c:pt>
                <c:pt idx="66">
                  <c:v>VII</c:v>
                </c:pt>
                <c:pt idx="67">
                  <c:v>VIII</c:v>
                </c:pt>
                <c:pt idx="68">
                  <c:v>IX</c:v>
                </c:pt>
                <c:pt idx="69">
                  <c:v>X</c:v>
                </c:pt>
                <c:pt idx="70">
                  <c:v>XI</c:v>
                </c:pt>
                <c:pt idx="71">
                  <c:v>XII</c:v>
                </c:pt>
                <c:pt idx="72">
                  <c:v>2013`I</c:v>
                </c:pt>
                <c:pt idx="73">
                  <c:v>II</c:v>
                </c:pt>
                <c:pt idx="74">
                  <c:v>III</c:v>
                </c:pt>
                <c:pt idx="75">
                  <c:v>IV</c:v>
                </c:pt>
                <c:pt idx="76">
                  <c:v>V</c:v>
                </c:pt>
                <c:pt idx="77">
                  <c:v>VI</c:v>
                </c:pt>
                <c:pt idx="78">
                  <c:v>VII</c:v>
                </c:pt>
                <c:pt idx="79">
                  <c:v>VIII</c:v>
                </c:pt>
                <c:pt idx="80">
                  <c:v>IX</c:v>
                </c:pt>
                <c:pt idx="81">
                  <c:v>X</c:v>
                </c:pt>
                <c:pt idx="82">
                  <c:v>XI</c:v>
                </c:pt>
                <c:pt idx="83">
                  <c:v>XII</c:v>
                </c:pt>
                <c:pt idx="84">
                  <c:v>2014`I</c:v>
                </c:pt>
                <c:pt idx="85">
                  <c:v>II</c:v>
                </c:pt>
                <c:pt idx="86">
                  <c:v>III</c:v>
                </c:pt>
                <c:pt idx="87">
                  <c:v>IV</c:v>
                </c:pt>
                <c:pt idx="88">
                  <c:v>V</c:v>
                </c:pt>
                <c:pt idx="89">
                  <c:v>VI</c:v>
                </c:pt>
                <c:pt idx="90">
                  <c:v>VII</c:v>
                </c:pt>
                <c:pt idx="91">
                  <c:v>VIII</c:v>
                </c:pt>
                <c:pt idx="92">
                  <c:v>IX</c:v>
                </c:pt>
                <c:pt idx="93">
                  <c:v>X</c:v>
                </c:pt>
                <c:pt idx="94">
                  <c:v>XI</c:v>
                </c:pt>
                <c:pt idx="95">
                  <c:v>XII</c:v>
                </c:pt>
                <c:pt idx="96">
                  <c:v>2015`I</c:v>
                </c:pt>
                <c:pt idx="97">
                  <c:v>II</c:v>
                </c:pt>
                <c:pt idx="98">
                  <c:v>III</c:v>
                </c:pt>
                <c:pt idx="99">
                  <c:v>IV</c:v>
                </c:pt>
                <c:pt idx="100">
                  <c:v>V</c:v>
                </c:pt>
                <c:pt idx="101">
                  <c:v>VI</c:v>
                </c:pt>
                <c:pt idx="102">
                  <c:v>VII</c:v>
                </c:pt>
                <c:pt idx="103">
                  <c:v>VIII</c:v>
                </c:pt>
                <c:pt idx="104">
                  <c:v>IX</c:v>
                </c:pt>
                <c:pt idx="105">
                  <c:v>X</c:v>
                </c:pt>
                <c:pt idx="106">
                  <c:v>XI</c:v>
                </c:pt>
                <c:pt idx="107">
                  <c:v>XII</c:v>
                </c:pt>
                <c:pt idx="108">
                  <c:v>2016`I</c:v>
                </c:pt>
                <c:pt idx="109">
                  <c:v>II</c:v>
                </c:pt>
                <c:pt idx="110">
                  <c:v>III</c:v>
                </c:pt>
                <c:pt idx="111">
                  <c:v>IV</c:v>
                </c:pt>
                <c:pt idx="112">
                  <c:v>V</c:v>
                </c:pt>
                <c:pt idx="113">
                  <c:v>VI</c:v>
                </c:pt>
                <c:pt idx="114">
                  <c:v>VII</c:v>
                </c:pt>
                <c:pt idx="115">
                  <c:v>VIII</c:v>
                </c:pt>
                <c:pt idx="116">
                  <c:v>IX</c:v>
                </c:pt>
                <c:pt idx="117">
                  <c:v>X</c:v>
                </c:pt>
                <c:pt idx="118">
                  <c:v>XI</c:v>
                </c:pt>
                <c:pt idx="119">
                  <c:v>XII</c:v>
                </c:pt>
                <c:pt idx="120">
                  <c:v>2017`I</c:v>
                </c:pt>
                <c:pt idx="121">
                  <c:v>II</c:v>
                </c:pt>
                <c:pt idx="122">
                  <c:v>III</c:v>
                </c:pt>
                <c:pt idx="123">
                  <c:v>IV</c:v>
                </c:pt>
                <c:pt idx="124">
                  <c:v>V</c:v>
                </c:pt>
                <c:pt idx="125">
                  <c:v>VI</c:v>
                </c:pt>
                <c:pt idx="126">
                  <c:v>VII</c:v>
                </c:pt>
                <c:pt idx="127">
                  <c:v>VIII</c:v>
                </c:pt>
                <c:pt idx="128">
                  <c:v>IX</c:v>
                </c:pt>
                <c:pt idx="129">
                  <c:v>X</c:v>
                </c:pt>
                <c:pt idx="130">
                  <c:v>XI</c:v>
                </c:pt>
                <c:pt idx="131">
                  <c:v>XII</c:v>
                </c:pt>
                <c:pt idx="132">
                  <c:v>2018`I</c:v>
                </c:pt>
                <c:pt idx="133">
                  <c:v>II</c:v>
                </c:pt>
                <c:pt idx="134">
                  <c:v>III</c:v>
                </c:pt>
                <c:pt idx="135">
                  <c:v>IV</c:v>
                </c:pt>
                <c:pt idx="136">
                  <c:v>V</c:v>
                </c:pt>
                <c:pt idx="137">
                  <c:v>VI</c:v>
                </c:pt>
                <c:pt idx="138">
                  <c:v>VII</c:v>
                </c:pt>
                <c:pt idx="139">
                  <c:v>VIII</c:v>
                </c:pt>
                <c:pt idx="140">
                  <c:v>IX</c:v>
                </c:pt>
                <c:pt idx="141">
                  <c:v>X</c:v>
                </c:pt>
                <c:pt idx="142">
                  <c:v>XI</c:v>
                </c:pt>
                <c:pt idx="143">
                  <c:v>XII</c:v>
                </c:pt>
                <c:pt idx="144">
                  <c:v>2019`I</c:v>
                </c:pt>
                <c:pt idx="145">
                  <c:v>II</c:v>
                </c:pt>
                <c:pt idx="146">
                  <c:v>III</c:v>
                </c:pt>
                <c:pt idx="147">
                  <c:v>IV</c:v>
                </c:pt>
                <c:pt idx="148">
                  <c:v>V</c:v>
                </c:pt>
                <c:pt idx="149">
                  <c:v>VI</c:v>
                </c:pt>
                <c:pt idx="150">
                  <c:v>VII</c:v>
                </c:pt>
                <c:pt idx="151">
                  <c:v>VIII</c:v>
                </c:pt>
                <c:pt idx="152">
                  <c:v>IX</c:v>
                </c:pt>
                <c:pt idx="153">
                  <c:v>X</c:v>
                </c:pt>
                <c:pt idx="154">
                  <c:v>XI</c:v>
                </c:pt>
                <c:pt idx="155">
                  <c:v>XII</c:v>
                </c:pt>
                <c:pt idx="156">
                  <c:v>2020`I</c:v>
                </c:pt>
                <c:pt idx="157">
                  <c:v>II</c:v>
                </c:pt>
                <c:pt idx="158">
                  <c:v>III</c:v>
                </c:pt>
                <c:pt idx="159">
                  <c:v>IV</c:v>
                </c:pt>
                <c:pt idx="160">
                  <c:v>V</c:v>
                </c:pt>
                <c:pt idx="161">
                  <c:v>VI</c:v>
                </c:pt>
                <c:pt idx="162">
                  <c:v>VII</c:v>
                </c:pt>
                <c:pt idx="163">
                  <c:v>VIII</c:v>
                </c:pt>
              </c:strCache>
            </c:strRef>
          </c:cat>
          <c:val>
            <c:numRef>
              <c:f>Sheet2!$B$10:$FI$10</c:f>
              <c:numCache>
                <c:formatCode>General</c:formatCode>
                <c:ptCount val="164"/>
                <c:pt idx="0">
                  <c:v>6.5</c:v>
                </c:pt>
                <c:pt idx="1">
                  <c:v>6.5</c:v>
                </c:pt>
                <c:pt idx="2">
                  <c:v>6.3</c:v>
                </c:pt>
                <c:pt idx="3">
                  <c:v>6.1</c:v>
                </c:pt>
                <c:pt idx="4">
                  <c:v>5.9</c:v>
                </c:pt>
                <c:pt idx="5">
                  <c:v>5.8</c:v>
                </c:pt>
                <c:pt idx="6">
                  <c:v>5.7</c:v>
                </c:pt>
                <c:pt idx="7">
                  <c:v>5.4</c:v>
                </c:pt>
                <c:pt idx="8">
                  <c:v>5.0999999999999996</c:v>
                </c:pt>
                <c:pt idx="9">
                  <c:v>4.9000000000000004</c:v>
                </c:pt>
                <c:pt idx="10">
                  <c:v>4.8</c:v>
                </c:pt>
                <c:pt idx="11">
                  <c:v>4.9000000000000004</c:v>
                </c:pt>
                <c:pt idx="12">
                  <c:v>5</c:v>
                </c:pt>
                <c:pt idx="13">
                  <c:v>5</c:v>
                </c:pt>
                <c:pt idx="14">
                  <c:v>4.9000000000000004</c:v>
                </c:pt>
                <c:pt idx="15">
                  <c:v>4.8</c:v>
                </c:pt>
                <c:pt idx="16">
                  <c:v>4.8</c:v>
                </c:pt>
                <c:pt idx="17">
                  <c:v>4.9000000000000004</c:v>
                </c:pt>
                <c:pt idx="18">
                  <c:v>5.0999999999999996</c:v>
                </c:pt>
                <c:pt idx="19">
                  <c:v>5.2</c:v>
                </c:pt>
                <c:pt idx="20">
                  <c:v>5.3</c:v>
                </c:pt>
                <c:pt idx="21">
                  <c:v>5.6</c:v>
                </c:pt>
                <c:pt idx="22">
                  <c:v>6.1</c:v>
                </c:pt>
                <c:pt idx="23">
                  <c:v>7</c:v>
                </c:pt>
                <c:pt idx="24">
                  <c:v>8.3000000000000007</c:v>
                </c:pt>
                <c:pt idx="25">
                  <c:v>9.5</c:v>
                </c:pt>
                <c:pt idx="26">
                  <c:v>10.7</c:v>
                </c:pt>
                <c:pt idx="27">
                  <c:v>11</c:v>
                </c:pt>
                <c:pt idx="28">
                  <c:v>11.3</c:v>
                </c:pt>
                <c:pt idx="29">
                  <c:v>11.5</c:v>
                </c:pt>
                <c:pt idx="30">
                  <c:v>11.8</c:v>
                </c:pt>
                <c:pt idx="31">
                  <c:v>12.3</c:v>
                </c:pt>
                <c:pt idx="32">
                  <c:v>13.2</c:v>
                </c:pt>
                <c:pt idx="33">
                  <c:v>14.1</c:v>
                </c:pt>
                <c:pt idx="34">
                  <c:v>15.1</c:v>
                </c:pt>
                <c:pt idx="35">
                  <c:v>16</c:v>
                </c:pt>
                <c:pt idx="36">
                  <c:v>16.600000000000001</c:v>
                </c:pt>
                <c:pt idx="37">
                  <c:v>17.100000000000001</c:v>
                </c:pt>
                <c:pt idx="38">
                  <c:v>17.3</c:v>
                </c:pt>
                <c:pt idx="39">
                  <c:v>16.7</c:v>
                </c:pt>
                <c:pt idx="40">
                  <c:v>16.2</c:v>
                </c:pt>
                <c:pt idx="41">
                  <c:v>15.6</c:v>
                </c:pt>
                <c:pt idx="42">
                  <c:v>15.3</c:v>
                </c:pt>
                <c:pt idx="43">
                  <c:v>15</c:v>
                </c:pt>
                <c:pt idx="44">
                  <c:v>14.6</c:v>
                </c:pt>
                <c:pt idx="45">
                  <c:v>14.3</c:v>
                </c:pt>
                <c:pt idx="46">
                  <c:v>14.3</c:v>
                </c:pt>
                <c:pt idx="47">
                  <c:v>14.3</c:v>
                </c:pt>
                <c:pt idx="48">
                  <c:v>14.5</c:v>
                </c:pt>
                <c:pt idx="49">
                  <c:v>14.5</c:v>
                </c:pt>
                <c:pt idx="50">
                  <c:v>14.4</c:v>
                </c:pt>
                <c:pt idx="51">
                  <c:v>13.9</c:v>
                </c:pt>
                <c:pt idx="52">
                  <c:v>13.2</c:v>
                </c:pt>
                <c:pt idx="53">
                  <c:v>12.6</c:v>
                </c:pt>
                <c:pt idx="54">
                  <c:v>12.1</c:v>
                </c:pt>
                <c:pt idx="55">
                  <c:v>11.8</c:v>
                </c:pt>
                <c:pt idx="56">
                  <c:v>11.6</c:v>
                </c:pt>
                <c:pt idx="57">
                  <c:v>11.5</c:v>
                </c:pt>
                <c:pt idx="58">
                  <c:v>11.5</c:v>
                </c:pt>
                <c:pt idx="59">
                  <c:v>11.5</c:v>
                </c:pt>
                <c:pt idx="60">
                  <c:v>11.7</c:v>
                </c:pt>
                <c:pt idx="61">
                  <c:v>11.8</c:v>
                </c:pt>
                <c:pt idx="62">
                  <c:v>11.7</c:v>
                </c:pt>
                <c:pt idx="63">
                  <c:v>12.9</c:v>
                </c:pt>
                <c:pt idx="64">
                  <c:v>12.3</c:v>
                </c:pt>
                <c:pt idx="65">
                  <c:v>11.9</c:v>
                </c:pt>
                <c:pt idx="66">
                  <c:v>11.6</c:v>
                </c:pt>
                <c:pt idx="67">
                  <c:v>11.3</c:v>
                </c:pt>
                <c:pt idx="68">
                  <c:v>11</c:v>
                </c:pt>
                <c:pt idx="69">
                  <c:v>10.7</c:v>
                </c:pt>
                <c:pt idx="70">
                  <c:v>10.6</c:v>
                </c:pt>
                <c:pt idx="71">
                  <c:v>10.5</c:v>
                </c:pt>
                <c:pt idx="72">
                  <c:v>10.9</c:v>
                </c:pt>
                <c:pt idx="73">
                  <c:v>10.9</c:v>
                </c:pt>
                <c:pt idx="74">
                  <c:v>10.8</c:v>
                </c:pt>
                <c:pt idx="75">
                  <c:v>10.4</c:v>
                </c:pt>
                <c:pt idx="76">
                  <c:v>9.9</c:v>
                </c:pt>
                <c:pt idx="77">
                  <c:v>9.6</c:v>
                </c:pt>
                <c:pt idx="78" formatCode="#\ ##0.0">
                  <c:v>9.5</c:v>
                </c:pt>
                <c:pt idx="79">
                  <c:v>9.3000000000000007</c:v>
                </c:pt>
                <c:pt idx="80">
                  <c:v>9.1</c:v>
                </c:pt>
                <c:pt idx="81">
                  <c:v>9.1</c:v>
                </c:pt>
                <c:pt idx="82" formatCode="#\ ##0.0">
                  <c:v>9.3000000000000007</c:v>
                </c:pt>
                <c:pt idx="83">
                  <c:v>9.5</c:v>
                </c:pt>
                <c:pt idx="84" formatCode="#\ ##0.0">
                  <c:v>9.8000000000000007</c:v>
                </c:pt>
                <c:pt idx="85" formatCode="#\ ##0.0">
                  <c:v>9.9</c:v>
                </c:pt>
                <c:pt idx="86" formatCode="#\ ##0.0">
                  <c:v>9.8000000000000007</c:v>
                </c:pt>
                <c:pt idx="87" formatCode="#\ ##0.0">
                  <c:v>9.6</c:v>
                </c:pt>
                <c:pt idx="88" formatCode="#\ ##0.0">
                  <c:v>9.1</c:v>
                </c:pt>
                <c:pt idx="89" formatCode="#\ ##0.0">
                  <c:v>8.9</c:v>
                </c:pt>
                <c:pt idx="90" formatCode="#\ ##0.0">
                  <c:v>8.6</c:v>
                </c:pt>
                <c:pt idx="91" formatCode="#\ ##0.0">
                  <c:v>8.4</c:v>
                </c:pt>
                <c:pt idx="92" formatCode="#\ ##0.0">
                  <c:v>8.1999999999999993</c:v>
                </c:pt>
                <c:pt idx="93" formatCode="#\ ##0.0">
                  <c:v>8.1999999999999993</c:v>
                </c:pt>
                <c:pt idx="94" formatCode="#\ ##0.0">
                  <c:v>8.3000000000000007</c:v>
                </c:pt>
                <c:pt idx="95" formatCode="#\ ##0.0">
                  <c:v>8.5</c:v>
                </c:pt>
                <c:pt idx="96" formatCode="#\ ##0.0">
                  <c:v>9</c:v>
                </c:pt>
                <c:pt idx="97" formatCode="#\ ##0.0">
                  <c:v>9.1</c:v>
                </c:pt>
                <c:pt idx="98" formatCode="#\ ##0.0">
                  <c:v>9.1999999999999993</c:v>
                </c:pt>
                <c:pt idx="99" formatCode="#\ ##0.0">
                  <c:v>8.8000000000000007</c:v>
                </c:pt>
                <c:pt idx="100" formatCode="#\ ##0.0">
                  <c:v>8.6</c:v>
                </c:pt>
                <c:pt idx="101" formatCode="#\ ##0.0">
                  <c:v>8.6</c:v>
                </c:pt>
                <c:pt idx="102" formatCode="#\ ##0.0">
                  <c:v>8.6</c:v>
                </c:pt>
                <c:pt idx="103" formatCode="#\ ##0.0">
                  <c:v>8.5</c:v>
                </c:pt>
                <c:pt idx="104" formatCode="#\ ##0.0">
                  <c:v>8.3000000000000007</c:v>
                </c:pt>
                <c:pt idx="105" formatCode="#\ ##0.0">
                  <c:v>8.3000000000000007</c:v>
                </c:pt>
                <c:pt idx="106" formatCode="#\ ##0.0">
                  <c:v>8.4</c:v>
                </c:pt>
                <c:pt idx="107" formatCode="#\ ##0.0">
                  <c:v>8.6999999999999993</c:v>
                </c:pt>
                <c:pt idx="108" formatCode="#\ ##0.0">
                  <c:v>9.1</c:v>
                </c:pt>
                <c:pt idx="109" formatCode="#\ ##0.0">
                  <c:v>9.1999999999999993</c:v>
                </c:pt>
                <c:pt idx="110" formatCode="#\ ##0.0">
                  <c:v>9.1</c:v>
                </c:pt>
                <c:pt idx="111" formatCode="#\ ##0.0">
                  <c:v>8.8000000000000007</c:v>
                </c:pt>
                <c:pt idx="112" formatCode="#\ ##0.0">
                  <c:v>8.4</c:v>
                </c:pt>
                <c:pt idx="113" formatCode="#\ ##0.0">
                  <c:v>8.3000000000000007</c:v>
                </c:pt>
                <c:pt idx="114" formatCode="#\ ##0.0">
                  <c:v>8.3000000000000007</c:v>
                </c:pt>
                <c:pt idx="115" formatCode="#\ ##0.0">
                  <c:v>8.1</c:v>
                </c:pt>
                <c:pt idx="116" formatCode="#\ ##0.0">
                  <c:v>7.9</c:v>
                </c:pt>
                <c:pt idx="117" formatCode="#\ ##0.0">
                  <c:v>7.9</c:v>
                </c:pt>
                <c:pt idx="118" formatCode="#\ ##0.0">
                  <c:v>8</c:v>
                </c:pt>
                <c:pt idx="119" formatCode="0.0">
                  <c:v>8.4</c:v>
                </c:pt>
                <c:pt idx="120" formatCode="#\ ##0.0">
                  <c:v>8.5</c:v>
                </c:pt>
                <c:pt idx="121" formatCode="#\ ##0.0">
                  <c:v>8.4</c:v>
                </c:pt>
                <c:pt idx="122" formatCode="#\ ##0.0">
                  <c:v>8.3000000000000007</c:v>
                </c:pt>
                <c:pt idx="123" formatCode="#\ ##0.0">
                  <c:v>7.8</c:v>
                </c:pt>
                <c:pt idx="124" formatCode="#\ ##0.0">
                  <c:v>7.4</c:v>
                </c:pt>
                <c:pt idx="125" formatCode="#\ ##0.0">
                  <c:v>7.2</c:v>
                </c:pt>
                <c:pt idx="126" formatCode="#\ ##0.0">
                  <c:v>7.1</c:v>
                </c:pt>
                <c:pt idx="127" formatCode="#\ ##0.0">
                  <c:v>6.9</c:v>
                </c:pt>
                <c:pt idx="128" formatCode="#\ ##0.0">
                  <c:v>6.6</c:v>
                </c:pt>
                <c:pt idx="129" formatCode="#\ ##0.0">
                  <c:v>6.6</c:v>
                </c:pt>
                <c:pt idx="130" formatCode="#\ ##0.0">
                  <c:v>6.7</c:v>
                </c:pt>
                <c:pt idx="131" formatCode="#\ ##0.0">
                  <c:v>6.8</c:v>
                </c:pt>
                <c:pt idx="132" formatCode="#\ ##0.0">
                  <c:v>7</c:v>
                </c:pt>
                <c:pt idx="133" formatCode="#\ ##0.0">
                  <c:v>7.1</c:v>
                </c:pt>
                <c:pt idx="134" formatCode="#\ ##0.0">
                  <c:v>7</c:v>
                </c:pt>
                <c:pt idx="135" formatCode="#\ ##0.0">
                  <c:v>6.7</c:v>
                </c:pt>
                <c:pt idx="136" formatCode="#\ ##0.0">
                  <c:v>6.4</c:v>
                </c:pt>
                <c:pt idx="137" formatCode="#\ ##0.0">
                  <c:v>6.4</c:v>
                </c:pt>
                <c:pt idx="138" formatCode="#\ ##0.0">
                  <c:v>6.4</c:v>
                </c:pt>
                <c:pt idx="139" formatCode="#\ ##0.0">
                  <c:v>6.3</c:v>
                </c:pt>
                <c:pt idx="140" formatCode="#\ ##0.0">
                  <c:v>6.1</c:v>
                </c:pt>
                <c:pt idx="141" formatCode="#\ ##0.0">
                  <c:v>6.1</c:v>
                </c:pt>
                <c:pt idx="142" formatCode="#\ ##0.0">
                  <c:v>6.2</c:v>
                </c:pt>
                <c:pt idx="143" formatCode="#\ ##0.0">
                  <c:v>6.4</c:v>
                </c:pt>
                <c:pt idx="144" formatCode="#\ ##0.0">
                  <c:v>6.7</c:v>
                </c:pt>
                <c:pt idx="145" formatCode="#\ ##0.0">
                  <c:v>6.7</c:v>
                </c:pt>
                <c:pt idx="146" formatCode="#\ ##0.0">
                  <c:v>6.6</c:v>
                </c:pt>
                <c:pt idx="147" formatCode="#\ ##0.0">
                  <c:v>6.3</c:v>
                </c:pt>
                <c:pt idx="148" formatCode="#\ ##0.0">
                  <c:v>6.1</c:v>
                </c:pt>
                <c:pt idx="149" formatCode="#\ ##0.0">
                  <c:v>6</c:v>
                </c:pt>
                <c:pt idx="150" formatCode="#\ ##0.0">
                  <c:v>6</c:v>
                </c:pt>
                <c:pt idx="151" formatCode="#\ ##0.0">
                  <c:v>5.9</c:v>
                </c:pt>
                <c:pt idx="152" formatCode="#\ ##0.0">
                  <c:v>5.7</c:v>
                </c:pt>
                <c:pt idx="153" formatCode="#\ ##0.0">
                  <c:v>5.7</c:v>
                </c:pt>
                <c:pt idx="154" formatCode="#\ ##0.0">
                  <c:v>5.8</c:v>
                </c:pt>
                <c:pt idx="155" formatCode="#\ ##0.0">
                  <c:v>6.2</c:v>
                </c:pt>
                <c:pt idx="156">
                  <c:v>6.4</c:v>
                </c:pt>
                <c:pt idx="157">
                  <c:v>6.3</c:v>
                </c:pt>
                <c:pt idx="158">
                  <c:v>6.8</c:v>
                </c:pt>
                <c:pt idx="159">
                  <c:v>8</c:v>
                </c:pt>
                <c:pt idx="160">
                  <c:v>8.4</c:v>
                </c:pt>
                <c:pt idx="161">
                  <c:v>8.6</c:v>
                </c:pt>
                <c:pt idx="162">
                  <c:v>8.6</c:v>
                </c:pt>
                <c:pt idx="163">
                  <c:v>8.1999999999999993</c:v>
                </c:pt>
              </c:numCache>
            </c:numRef>
          </c:val>
          <c:extLst>
            <c:ext xmlns:c16="http://schemas.microsoft.com/office/drawing/2014/chart" uri="{C3380CC4-5D6E-409C-BE32-E72D297353CC}">
              <c16:uniqueId val="{00000000-F621-4679-8299-C93BAB7CE2F0}"/>
            </c:ext>
          </c:extLst>
        </c:ser>
        <c:dLbls>
          <c:showLegendKey val="0"/>
          <c:showVal val="0"/>
          <c:showCatName val="0"/>
          <c:showSerName val="0"/>
          <c:showPercent val="0"/>
          <c:showBubbleSize val="0"/>
        </c:dLbls>
        <c:gapWidth val="0"/>
        <c:axId val="336009504"/>
        <c:axId val="336013816"/>
      </c:barChart>
      <c:lineChart>
        <c:grouping val="standard"/>
        <c:varyColors val="0"/>
        <c:ser>
          <c:idx val="0"/>
          <c:order val="0"/>
          <c:tx>
            <c:strRef>
              <c:f>Sheet2!$A$5</c:f>
              <c:strCache>
                <c:ptCount val="1"/>
                <c:pt idx="0">
                  <c:v>Rīgas reģions</c:v>
                </c:pt>
              </c:strCache>
            </c:strRef>
          </c:tx>
          <c:spPr>
            <a:ln w="28575" cap="rnd">
              <a:solidFill>
                <a:srgbClr val="ED7D31"/>
              </a:solidFill>
              <a:round/>
            </a:ln>
            <a:effectLst/>
          </c:spPr>
          <c:marker>
            <c:symbol val="none"/>
          </c:marker>
          <c:cat>
            <c:strRef>
              <c:f>Sheet2!$B$4:$FI$4</c:f>
              <c:strCache>
                <c:ptCount val="164"/>
                <c:pt idx="0">
                  <c:v>2007`I</c:v>
                </c:pt>
                <c:pt idx="1">
                  <c:v>II</c:v>
                </c:pt>
                <c:pt idx="2">
                  <c:v>III</c:v>
                </c:pt>
                <c:pt idx="3">
                  <c:v>IV</c:v>
                </c:pt>
                <c:pt idx="4">
                  <c:v>V</c:v>
                </c:pt>
                <c:pt idx="5">
                  <c:v>VI</c:v>
                </c:pt>
                <c:pt idx="6">
                  <c:v>VII</c:v>
                </c:pt>
                <c:pt idx="7">
                  <c:v>VIII</c:v>
                </c:pt>
                <c:pt idx="8">
                  <c:v>IX</c:v>
                </c:pt>
                <c:pt idx="9">
                  <c:v>X</c:v>
                </c:pt>
                <c:pt idx="10">
                  <c:v>XI</c:v>
                </c:pt>
                <c:pt idx="11">
                  <c:v>XII</c:v>
                </c:pt>
                <c:pt idx="12">
                  <c:v>2008`I</c:v>
                </c:pt>
                <c:pt idx="13">
                  <c:v>II</c:v>
                </c:pt>
                <c:pt idx="14">
                  <c:v>III</c:v>
                </c:pt>
                <c:pt idx="15">
                  <c:v>IV</c:v>
                </c:pt>
                <c:pt idx="16">
                  <c:v>V</c:v>
                </c:pt>
                <c:pt idx="17">
                  <c:v>VI</c:v>
                </c:pt>
                <c:pt idx="18">
                  <c:v>VII</c:v>
                </c:pt>
                <c:pt idx="19">
                  <c:v>VIII</c:v>
                </c:pt>
                <c:pt idx="20">
                  <c:v>IX</c:v>
                </c:pt>
                <c:pt idx="21">
                  <c:v>X</c:v>
                </c:pt>
                <c:pt idx="22">
                  <c:v>XI</c:v>
                </c:pt>
                <c:pt idx="23">
                  <c:v>XII</c:v>
                </c:pt>
                <c:pt idx="24">
                  <c:v>2009`I</c:v>
                </c:pt>
                <c:pt idx="25">
                  <c:v>II</c:v>
                </c:pt>
                <c:pt idx="26">
                  <c:v>III</c:v>
                </c:pt>
                <c:pt idx="27">
                  <c:v>IV</c:v>
                </c:pt>
                <c:pt idx="28">
                  <c:v>V</c:v>
                </c:pt>
                <c:pt idx="29">
                  <c:v>VI</c:v>
                </c:pt>
                <c:pt idx="30">
                  <c:v>VII</c:v>
                </c:pt>
                <c:pt idx="31">
                  <c:v>VIII</c:v>
                </c:pt>
                <c:pt idx="32">
                  <c:v>IX</c:v>
                </c:pt>
                <c:pt idx="33">
                  <c:v>X</c:v>
                </c:pt>
                <c:pt idx="34">
                  <c:v>XI</c:v>
                </c:pt>
                <c:pt idx="35">
                  <c:v>XII</c:v>
                </c:pt>
                <c:pt idx="36">
                  <c:v>2010`I</c:v>
                </c:pt>
                <c:pt idx="37">
                  <c:v>II</c:v>
                </c:pt>
                <c:pt idx="38">
                  <c:v>III</c:v>
                </c:pt>
                <c:pt idx="39">
                  <c:v>IV</c:v>
                </c:pt>
                <c:pt idx="40">
                  <c:v>V</c:v>
                </c:pt>
                <c:pt idx="41">
                  <c:v>VI</c:v>
                </c:pt>
                <c:pt idx="42">
                  <c:v>VII</c:v>
                </c:pt>
                <c:pt idx="43">
                  <c:v>VIII</c:v>
                </c:pt>
                <c:pt idx="44">
                  <c:v>IX</c:v>
                </c:pt>
                <c:pt idx="45">
                  <c:v>X</c:v>
                </c:pt>
                <c:pt idx="46">
                  <c:v>XI</c:v>
                </c:pt>
                <c:pt idx="47">
                  <c:v>XII</c:v>
                </c:pt>
                <c:pt idx="48">
                  <c:v>2011`I</c:v>
                </c:pt>
                <c:pt idx="49">
                  <c:v>II</c:v>
                </c:pt>
                <c:pt idx="50">
                  <c:v>III</c:v>
                </c:pt>
                <c:pt idx="51">
                  <c:v>IV</c:v>
                </c:pt>
                <c:pt idx="52">
                  <c:v>V</c:v>
                </c:pt>
                <c:pt idx="53">
                  <c:v>VI</c:v>
                </c:pt>
                <c:pt idx="54">
                  <c:v>VII</c:v>
                </c:pt>
                <c:pt idx="55">
                  <c:v>VIII</c:v>
                </c:pt>
                <c:pt idx="56">
                  <c:v>IX</c:v>
                </c:pt>
                <c:pt idx="57">
                  <c:v>X</c:v>
                </c:pt>
                <c:pt idx="58">
                  <c:v>XI</c:v>
                </c:pt>
                <c:pt idx="59">
                  <c:v>XII</c:v>
                </c:pt>
                <c:pt idx="60">
                  <c:v>2012`I</c:v>
                </c:pt>
                <c:pt idx="61">
                  <c:v>II</c:v>
                </c:pt>
                <c:pt idx="62">
                  <c:v>III</c:v>
                </c:pt>
                <c:pt idx="63">
                  <c:v>IV</c:v>
                </c:pt>
                <c:pt idx="64">
                  <c:v>V</c:v>
                </c:pt>
                <c:pt idx="65">
                  <c:v>VI</c:v>
                </c:pt>
                <c:pt idx="66">
                  <c:v>VII</c:v>
                </c:pt>
                <c:pt idx="67">
                  <c:v>VIII</c:v>
                </c:pt>
                <c:pt idx="68">
                  <c:v>IX</c:v>
                </c:pt>
                <c:pt idx="69">
                  <c:v>X</c:v>
                </c:pt>
                <c:pt idx="70">
                  <c:v>XI</c:v>
                </c:pt>
                <c:pt idx="71">
                  <c:v>XII</c:v>
                </c:pt>
                <c:pt idx="72">
                  <c:v>2013`I</c:v>
                </c:pt>
                <c:pt idx="73">
                  <c:v>II</c:v>
                </c:pt>
                <c:pt idx="74">
                  <c:v>III</c:v>
                </c:pt>
                <c:pt idx="75">
                  <c:v>IV</c:v>
                </c:pt>
                <c:pt idx="76">
                  <c:v>V</c:v>
                </c:pt>
                <c:pt idx="77">
                  <c:v>VI</c:v>
                </c:pt>
                <c:pt idx="78">
                  <c:v>VII</c:v>
                </c:pt>
                <c:pt idx="79">
                  <c:v>VIII</c:v>
                </c:pt>
                <c:pt idx="80">
                  <c:v>IX</c:v>
                </c:pt>
                <c:pt idx="81">
                  <c:v>X</c:v>
                </c:pt>
                <c:pt idx="82">
                  <c:v>XI</c:v>
                </c:pt>
                <c:pt idx="83">
                  <c:v>XII</c:v>
                </c:pt>
                <c:pt idx="84">
                  <c:v>2014`I</c:v>
                </c:pt>
                <c:pt idx="85">
                  <c:v>II</c:v>
                </c:pt>
                <c:pt idx="86">
                  <c:v>III</c:v>
                </c:pt>
                <c:pt idx="87">
                  <c:v>IV</c:v>
                </c:pt>
                <c:pt idx="88">
                  <c:v>V</c:v>
                </c:pt>
                <c:pt idx="89">
                  <c:v>VI</c:v>
                </c:pt>
                <c:pt idx="90">
                  <c:v>VII</c:v>
                </c:pt>
                <c:pt idx="91">
                  <c:v>VIII</c:v>
                </c:pt>
                <c:pt idx="92">
                  <c:v>IX</c:v>
                </c:pt>
                <c:pt idx="93">
                  <c:v>X</c:v>
                </c:pt>
                <c:pt idx="94">
                  <c:v>XI</c:v>
                </c:pt>
                <c:pt idx="95">
                  <c:v>XII</c:v>
                </c:pt>
                <c:pt idx="96">
                  <c:v>2015`I</c:v>
                </c:pt>
                <c:pt idx="97">
                  <c:v>II</c:v>
                </c:pt>
                <c:pt idx="98">
                  <c:v>III</c:v>
                </c:pt>
                <c:pt idx="99">
                  <c:v>IV</c:v>
                </c:pt>
                <c:pt idx="100">
                  <c:v>V</c:v>
                </c:pt>
                <c:pt idx="101">
                  <c:v>VI</c:v>
                </c:pt>
                <c:pt idx="102">
                  <c:v>VII</c:v>
                </c:pt>
                <c:pt idx="103">
                  <c:v>VIII</c:v>
                </c:pt>
                <c:pt idx="104">
                  <c:v>IX</c:v>
                </c:pt>
                <c:pt idx="105">
                  <c:v>X</c:v>
                </c:pt>
                <c:pt idx="106">
                  <c:v>XI</c:v>
                </c:pt>
                <c:pt idx="107">
                  <c:v>XII</c:v>
                </c:pt>
                <c:pt idx="108">
                  <c:v>2016`I</c:v>
                </c:pt>
                <c:pt idx="109">
                  <c:v>II</c:v>
                </c:pt>
                <c:pt idx="110">
                  <c:v>III</c:v>
                </c:pt>
                <c:pt idx="111">
                  <c:v>IV</c:v>
                </c:pt>
                <c:pt idx="112">
                  <c:v>V</c:v>
                </c:pt>
                <c:pt idx="113">
                  <c:v>VI</c:v>
                </c:pt>
                <c:pt idx="114">
                  <c:v>VII</c:v>
                </c:pt>
                <c:pt idx="115">
                  <c:v>VIII</c:v>
                </c:pt>
                <c:pt idx="116">
                  <c:v>IX</c:v>
                </c:pt>
                <c:pt idx="117">
                  <c:v>X</c:v>
                </c:pt>
                <c:pt idx="118">
                  <c:v>XI</c:v>
                </c:pt>
                <c:pt idx="119">
                  <c:v>XII</c:v>
                </c:pt>
                <c:pt idx="120">
                  <c:v>2017`I</c:v>
                </c:pt>
                <c:pt idx="121">
                  <c:v>II</c:v>
                </c:pt>
                <c:pt idx="122">
                  <c:v>III</c:v>
                </c:pt>
                <c:pt idx="123">
                  <c:v>IV</c:v>
                </c:pt>
                <c:pt idx="124">
                  <c:v>V</c:v>
                </c:pt>
                <c:pt idx="125">
                  <c:v>VI</c:v>
                </c:pt>
                <c:pt idx="126">
                  <c:v>VII</c:v>
                </c:pt>
                <c:pt idx="127">
                  <c:v>VIII</c:v>
                </c:pt>
                <c:pt idx="128">
                  <c:v>IX</c:v>
                </c:pt>
                <c:pt idx="129">
                  <c:v>X</c:v>
                </c:pt>
                <c:pt idx="130">
                  <c:v>XI</c:v>
                </c:pt>
                <c:pt idx="131">
                  <c:v>XII</c:v>
                </c:pt>
                <c:pt idx="132">
                  <c:v>2018`I</c:v>
                </c:pt>
                <c:pt idx="133">
                  <c:v>II</c:v>
                </c:pt>
                <c:pt idx="134">
                  <c:v>III</c:v>
                </c:pt>
                <c:pt idx="135">
                  <c:v>IV</c:v>
                </c:pt>
                <c:pt idx="136">
                  <c:v>V</c:v>
                </c:pt>
                <c:pt idx="137">
                  <c:v>VI</c:v>
                </c:pt>
                <c:pt idx="138">
                  <c:v>VII</c:v>
                </c:pt>
                <c:pt idx="139">
                  <c:v>VIII</c:v>
                </c:pt>
                <c:pt idx="140">
                  <c:v>IX</c:v>
                </c:pt>
                <c:pt idx="141">
                  <c:v>X</c:v>
                </c:pt>
                <c:pt idx="142">
                  <c:v>XI</c:v>
                </c:pt>
                <c:pt idx="143">
                  <c:v>XII</c:v>
                </c:pt>
                <c:pt idx="144">
                  <c:v>2019`I</c:v>
                </c:pt>
                <c:pt idx="145">
                  <c:v>II</c:v>
                </c:pt>
                <c:pt idx="146">
                  <c:v>III</c:v>
                </c:pt>
                <c:pt idx="147">
                  <c:v>IV</c:v>
                </c:pt>
                <c:pt idx="148">
                  <c:v>V</c:v>
                </c:pt>
                <c:pt idx="149">
                  <c:v>VI</c:v>
                </c:pt>
                <c:pt idx="150">
                  <c:v>VII</c:v>
                </c:pt>
                <c:pt idx="151">
                  <c:v>VIII</c:v>
                </c:pt>
                <c:pt idx="152">
                  <c:v>IX</c:v>
                </c:pt>
                <c:pt idx="153">
                  <c:v>X</c:v>
                </c:pt>
                <c:pt idx="154">
                  <c:v>XI</c:v>
                </c:pt>
                <c:pt idx="155">
                  <c:v>XII</c:v>
                </c:pt>
                <c:pt idx="156">
                  <c:v>2020`I</c:v>
                </c:pt>
                <c:pt idx="157">
                  <c:v>II</c:v>
                </c:pt>
                <c:pt idx="158">
                  <c:v>III</c:v>
                </c:pt>
                <c:pt idx="159">
                  <c:v>IV</c:v>
                </c:pt>
                <c:pt idx="160">
                  <c:v>V</c:v>
                </c:pt>
                <c:pt idx="161">
                  <c:v>VI</c:v>
                </c:pt>
                <c:pt idx="162">
                  <c:v>VII</c:v>
                </c:pt>
                <c:pt idx="163">
                  <c:v>VIII</c:v>
                </c:pt>
              </c:strCache>
            </c:strRef>
          </c:cat>
          <c:val>
            <c:numRef>
              <c:f>Sheet2!$B$5:$FI$5</c:f>
              <c:numCache>
                <c:formatCode>General</c:formatCode>
                <c:ptCount val="164"/>
                <c:pt idx="1">
                  <c:v>4.2</c:v>
                </c:pt>
                <c:pt idx="2">
                  <c:v>4.0999999999999996</c:v>
                </c:pt>
                <c:pt idx="3">
                  <c:v>4</c:v>
                </c:pt>
                <c:pt idx="4">
                  <c:v>3.9</c:v>
                </c:pt>
                <c:pt idx="5">
                  <c:v>3.9</c:v>
                </c:pt>
                <c:pt idx="6">
                  <c:v>3.9</c:v>
                </c:pt>
                <c:pt idx="7">
                  <c:v>3.7</c:v>
                </c:pt>
                <c:pt idx="8">
                  <c:v>3.6</c:v>
                </c:pt>
                <c:pt idx="9">
                  <c:v>3.5</c:v>
                </c:pt>
                <c:pt idx="10">
                  <c:v>3.4</c:v>
                </c:pt>
                <c:pt idx="11">
                  <c:v>3.4</c:v>
                </c:pt>
                <c:pt idx="12">
                  <c:v>3.5</c:v>
                </c:pt>
                <c:pt idx="13">
                  <c:v>3.5</c:v>
                </c:pt>
                <c:pt idx="14">
                  <c:v>3.5</c:v>
                </c:pt>
                <c:pt idx="15">
                  <c:v>3.4</c:v>
                </c:pt>
                <c:pt idx="16">
                  <c:v>3.4</c:v>
                </c:pt>
                <c:pt idx="17">
                  <c:v>3.6</c:v>
                </c:pt>
                <c:pt idx="18">
                  <c:v>3.8</c:v>
                </c:pt>
                <c:pt idx="19">
                  <c:v>3.9</c:v>
                </c:pt>
                <c:pt idx="20">
                  <c:v>4</c:v>
                </c:pt>
                <c:pt idx="21">
                  <c:v>4.3</c:v>
                </c:pt>
                <c:pt idx="22">
                  <c:v>4.8</c:v>
                </c:pt>
                <c:pt idx="23">
                  <c:v>5.5</c:v>
                </c:pt>
                <c:pt idx="24">
                  <c:v>6.6</c:v>
                </c:pt>
                <c:pt idx="25">
                  <c:v>7.6</c:v>
                </c:pt>
                <c:pt idx="26">
                  <c:v>8.6999999999999993</c:v>
                </c:pt>
                <c:pt idx="27">
                  <c:v>9.1</c:v>
                </c:pt>
                <c:pt idx="28">
                  <c:v>9.5</c:v>
                </c:pt>
                <c:pt idx="29">
                  <c:v>9.8000000000000007</c:v>
                </c:pt>
                <c:pt idx="30">
                  <c:v>10.1</c:v>
                </c:pt>
                <c:pt idx="31">
                  <c:v>10.5</c:v>
                </c:pt>
                <c:pt idx="32">
                  <c:v>11.1</c:v>
                </c:pt>
                <c:pt idx="33">
                  <c:v>11.7</c:v>
                </c:pt>
                <c:pt idx="34">
                  <c:v>12.5</c:v>
                </c:pt>
                <c:pt idx="35">
                  <c:v>13.2</c:v>
                </c:pt>
                <c:pt idx="36">
                  <c:v>13.7</c:v>
                </c:pt>
                <c:pt idx="37">
                  <c:v>14.1</c:v>
                </c:pt>
                <c:pt idx="38">
                  <c:v>14.2</c:v>
                </c:pt>
                <c:pt idx="39">
                  <c:v>13.7</c:v>
                </c:pt>
                <c:pt idx="40">
                  <c:v>13.2</c:v>
                </c:pt>
                <c:pt idx="41">
                  <c:v>12.6</c:v>
                </c:pt>
                <c:pt idx="42">
                  <c:v>12.3</c:v>
                </c:pt>
                <c:pt idx="43">
                  <c:v>11.9</c:v>
                </c:pt>
                <c:pt idx="44">
                  <c:v>11.6</c:v>
                </c:pt>
                <c:pt idx="45">
                  <c:v>11.2</c:v>
                </c:pt>
                <c:pt idx="46">
                  <c:v>11</c:v>
                </c:pt>
                <c:pt idx="47">
                  <c:v>10.9</c:v>
                </c:pt>
                <c:pt idx="48">
                  <c:v>11</c:v>
                </c:pt>
                <c:pt idx="49">
                  <c:v>10.9</c:v>
                </c:pt>
                <c:pt idx="50">
                  <c:v>10.8</c:v>
                </c:pt>
                <c:pt idx="51">
                  <c:v>10.5</c:v>
                </c:pt>
                <c:pt idx="52">
                  <c:v>9.9</c:v>
                </c:pt>
                <c:pt idx="53">
                  <c:v>9.4</c:v>
                </c:pt>
                <c:pt idx="54">
                  <c:v>9</c:v>
                </c:pt>
                <c:pt idx="55">
                  <c:v>8.8000000000000007</c:v>
                </c:pt>
                <c:pt idx="56">
                  <c:v>8.6</c:v>
                </c:pt>
                <c:pt idx="57">
                  <c:v>8.5</c:v>
                </c:pt>
                <c:pt idx="58">
                  <c:v>8.5</c:v>
                </c:pt>
                <c:pt idx="59">
                  <c:v>8.3000000000000007</c:v>
                </c:pt>
                <c:pt idx="60">
                  <c:v>8.4</c:v>
                </c:pt>
                <c:pt idx="61">
                  <c:v>8.4</c:v>
                </c:pt>
                <c:pt idx="62">
                  <c:v>8.3000000000000007</c:v>
                </c:pt>
                <c:pt idx="63" formatCode="0.0">
                  <c:v>9</c:v>
                </c:pt>
                <c:pt idx="64" formatCode="0.0">
                  <c:v>8.5</c:v>
                </c:pt>
                <c:pt idx="65">
                  <c:v>8.1</c:v>
                </c:pt>
                <c:pt idx="66">
                  <c:v>7.8</c:v>
                </c:pt>
                <c:pt idx="67">
                  <c:v>7.6</c:v>
                </c:pt>
                <c:pt idx="68">
                  <c:v>7.3</c:v>
                </c:pt>
                <c:pt idx="69">
                  <c:v>7</c:v>
                </c:pt>
                <c:pt idx="70">
                  <c:v>6.8</c:v>
                </c:pt>
                <c:pt idx="71">
                  <c:v>6.8</c:v>
                </c:pt>
                <c:pt idx="72">
                  <c:v>7</c:v>
                </c:pt>
                <c:pt idx="73">
                  <c:v>7</c:v>
                </c:pt>
                <c:pt idx="74">
                  <c:v>7</c:v>
                </c:pt>
                <c:pt idx="75">
                  <c:v>6.8</c:v>
                </c:pt>
                <c:pt idx="76">
                  <c:v>6.5</c:v>
                </c:pt>
                <c:pt idx="77">
                  <c:v>6.2</c:v>
                </c:pt>
                <c:pt idx="78">
                  <c:v>6.2</c:v>
                </c:pt>
                <c:pt idx="79">
                  <c:v>6.1</c:v>
                </c:pt>
                <c:pt idx="80">
                  <c:v>6</c:v>
                </c:pt>
                <c:pt idx="81">
                  <c:v>6</c:v>
                </c:pt>
                <c:pt idx="82">
                  <c:v>6</c:v>
                </c:pt>
                <c:pt idx="83">
                  <c:v>6</c:v>
                </c:pt>
                <c:pt idx="84">
                  <c:v>6.2</c:v>
                </c:pt>
                <c:pt idx="85">
                  <c:v>6.2</c:v>
                </c:pt>
                <c:pt idx="86">
                  <c:v>6.2</c:v>
                </c:pt>
                <c:pt idx="87">
                  <c:v>6</c:v>
                </c:pt>
                <c:pt idx="88">
                  <c:v>5.8</c:v>
                </c:pt>
                <c:pt idx="89">
                  <c:v>5.5</c:v>
                </c:pt>
                <c:pt idx="90">
                  <c:v>5.4</c:v>
                </c:pt>
                <c:pt idx="91">
                  <c:v>5.3</c:v>
                </c:pt>
                <c:pt idx="92">
                  <c:v>5.2</c:v>
                </c:pt>
                <c:pt idx="93">
                  <c:v>5.2</c:v>
                </c:pt>
                <c:pt idx="94">
                  <c:v>5.2</c:v>
                </c:pt>
                <c:pt idx="95">
                  <c:v>5.2</c:v>
                </c:pt>
                <c:pt idx="96">
                  <c:v>5.5</c:v>
                </c:pt>
                <c:pt idx="97">
                  <c:v>5.6</c:v>
                </c:pt>
                <c:pt idx="98">
                  <c:v>5.6</c:v>
                </c:pt>
                <c:pt idx="99">
                  <c:v>5.4</c:v>
                </c:pt>
                <c:pt idx="100">
                  <c:v>5.3</c:v>
                </c:pt>
                <c:pt idx="101">
                  <c:v>5.3</c:v>
                </c:pt>
                <c:pt idx="102">
                  <c:v>5.4</c:v>
                </c:pt>
                <c:pt idx="103">
                  <c:v>5.3</c:v>
                </c:pt>
                <c:pt idx="104">
                  <c:v>5.2</c:v>
                </c:pt>
                <c:pt idx="105">
                  <c:v>5.2</c:v>
                </c:pt>
                <c:pt idx="106">
                  <c:v>5.2</c:v>
                </c:pt>
                <c:pt idx="107">
                  <c:v>5.4</c:v>
                </c:pt>
                <c:pt idx="108">
                  <c:v>5.6</c:v>
                </c:pt>
                <c:pt idx="109">
                  <c:v>5.7</c:v>
                </c:pt>
                <c:pt idx="110">
                  <c:v>5.7</c:v>
                </c:pt>
                <c:pt idx="111">
                  <c:v>5.3</c:v>
                </c:pt>
                <c:pt idx="112">
                  <c:v>5.3</c:v>
                </c:pt>
                <c:pt idx="113">
                  <c:v>5.3</c:v>
                </c:pt>
                <c:pt idx="114">
                  <c:v>5.3</c:v>
                </c:pt>
                <c:pt idx="115">
                  <c:v>5.2</c:v>
                </c:pt>
                <c:pt idx="116">
                  <c:v>5.0999999999999996</c:v>
                </c:pt>
                <c:pt idx="117">
                  <c:v>5.0999999999999996</c:v>
                </c:pt>
                <c:pt idx="118" formatCode="0.0">
                  <c:v>5.0999999999999996</c:v>
                </c:pt>
                <c:pt idx="119">
                  <c:v>5.3</c:v>
                </c:pt>
                <c:pt idx="120">
                  <c:v>5.4</c:v>
                </c:pt>
                <c:pt idx="121">
                  <c:v>5.3</c:v>
                </c:pt>
                <c:pt idx="122">
                  <c:v>5.0999999999999996</c:v>
                </c:pt>
                <c:pt idx="123">
                  <c:v>4.9000000000000004</c:v>
                </c:pt>
                <c:pt idx="124">
                  <c:v>4.7</c:v>
                </c:pt>
                <c:pt idx="125">
                  <c:v>4.5999999999999996</c:v>
                </c:pt>
                <c:pt idx="126">
                  <c:v>4.5999999999999996</c:v>
                </c:pt>
                <c:pt idx="127">
                  <c:v>4.5999999999999996</c:v>
                </c:pt>
                <c:pt idx="128">
                  <c:v>4.2</c:v>
                </c:pt>
                <c:pt idx="129">
                  <c:v>4.2</c:v>
                </c:pt>
                <c:pt idx="130">
                  <c:v>4.2</c:v>
                </c:pt>
                <c:pt idx="131">
                  <c:v>4.3</c:v>
                </c:pt>
                <c:pt idx="132">
                  <c:v>4.4000000000000004</c:v>
                </c:pt>
                <c:pt idx="133">
                  <c:v>4.4000000000000004</c:v>
                </c:pt>
                <c:pt idx="134">
                  <c:v>4.3</c:v>
                </c:pt>
                <c:pt idx="135">
                  <c:v>4.2</c:v>
                </c:pt>
                <c:pt idx="136">
                  <c:v>4.0999999999999996</c:v>
                </c:pt>
                <c:pt idx="137">
                  <c:v>4.2</c:v>
                </c:pt>
                <c:pt idx="138">
                  <c:v>4.2</c:v>
                </c:pt>
                <c:pt idx="139">
                  <c:v>4.2</c:v>
                </c:pt>
                <c:pt idx="140">
                  <c:v>4.0999999999999996</c:v>
                </c:pt>
                <c:pt idx="141">
                  <c:v>4.0999999999999996</c:v>
                </c:pt>
                <c:pt idx="142">
                  <c:v>4.0999999999999996</c:v>
                </c:pt>
                <c:pt idx="143">
                  <c:v>4.2</c:v>
                </c:pt>
                <c:pt idx="144">
                  <c:v>4.4000000000000004</c:v>
                </c:pt>
                <c:pt idx="145">
                  <c:v>4.4000000000000004</c:v>
                </c:pt>
                <c:pt idx="146">
                  <c:v>4.2</c:v>
                </c:pt>
                <c:pt idx="147">
                  <c:v>4.0999999999999996</c:v>
                </c:pt>
                <c:pt idx="148">
                  <c:v>4</c:v>
                </c:pt>
                <c:pt idx="149">
                  <c:v>4.0999999999999996</c:v>
                </c:pt>
                <c:pt idx="150">
                  <c:v>4.0999999999999996</c:v>
                </c:pt>
                <c:pt idx="151">
                  <c:v>4.0999999999999996</c:v>
                </c:pt>
                <c:pt idx="152">
                  <c:v>3.9</c:v>
                </c:pt>
                <c:pt idx="153">
                  <c:v>3.9</c:v>
                </c:pt>
                <c:pt idx="154">
                  <c:v>3.9</c:v>
                </c:pt>
                <c:pt idx="155">
                  <c:v>4.3</c:v>
                </c:pt>
                <c:pt idx="156">
                  <c:v>4.3</c:v>
                </c:pt>
                <c:pt idx="157">
                  <c:v>4.3</c:v>
                </c:pt>
                <c:pt idx="158">
                  <c:v>4.7</c:v>
                </c:pt>
                <c:pt idx="159">
                  <c:v>6.3</c:v>
                </c:pt>
                <c:pt idx="160">
                  <c:v>6.8</c:v>
                </c:pt>
                <c:pt idx="161">
                  <c:v>6.9</c:v>
                </c:pt>
                <c:pt idx="162">
                  <c:v>6.9</c:v>
                </c:pt>
                <c:pt idx="163">
                  <c:v>6.6</c:v>
                </c:pt>
              </c:numCache>
            </c:numRef>
          </c:val>
          <c:smooth val="1"/>
          <c:extLst>
            <c:ext xmlns:c16="http://schemas.microsoft.com/office/drawing/2014/chart" uri="{C3380CC4-5D6E-409C-BE32-E72D297353CC}">
              <c16:uniqueId val="{00000001-F621-4679-8299-C93BAB7CE2F0}"/>
            </c:ext>
          </c:extLst>
        </c:ser>
        <c:ser>
          <c:idx val="1"/>
          <c:order val="1"/>
          <c:tx>
            <c:strRef>
              <c:f>Sheet2!$A$6</c:f>
              <c:strCache>
                <c:ptCount val="1"/>
                <c:pt idx="0">
                  <c:v>Kurzeme</c:v>
                </c:pt>
              </c:strCache>
            </c:strRef>
          </c:tx>
          <c:spPr>
            <a:ln w="28575" cap="rnd">
              <a:solidFill>
                <a:srgbClr val="FFC000"/>
              </a:solidFill>
              <a:round/>
            </a:ln>
            <a:effectLst/>
          </c:spPr>
          <c:marker>
            <c:symbol val="none"/>
          </c:marker>
          <c:cat>
            <c:strRef>
              <c:f>Sheet2!$B$4:$FI$4</c:f>
              <c:strCache>
                <c:ptCount val="164"/>
                <c:pt idx="0">
                  <c:v>2007`I</c:v>
                </c:pt>
                <c:pt idx="1">
                  <c:v>II</c:v>
                </c:pt>
                <c:pt idx="2">
                  <c:v>III</c:v>
                </c:pt>
                <c:pt idx="3">
                  <c:v>IV</c:v>
                </c:pt>
                <c:pt idx="4">
                  <c:v>V</c:v>
                </c:pt>
                <c:pt idx="5">
                  <c:v>VI</c:v>
                </c:pt>
                <c:pt idx="6">
                  <c:v>VII</c:v>
                </c:pt>
                <c:pt idx="7">
                  <c:v>VIII</c:v>
                </c:pt>
                <c:pt idx="8">
                  <c:v>IX</c:v>
                </c:pt>
                <c:pt idx="9">
                  <c:v>X</c:v>
                </c:pt>
                <c:pt idx="10">
                  <c:v>XI</c:v>
                </c:pt>
                <c:pt idx="11">
                  <c:v>XII</c:v>
                </c:pt>
                <c:pt idx="12">
                  <c:v>2008`I</c:v>
                </c:pt>
                <c:pt idx="13">
                  <c:v>II</c:v>
                </c:pt>
                <c:pt idx="14">
                  <c:v>III</c:v>
                </c:pt>
                <c:pt idx="15">
                  <c:v>IV</c:v>
                </c:pt>
                <c:pt idx="16">
                  <c:v>V</c:v>
                </c:pt>
                <c:pt idx="17">
                  <c:v>VI</c:v>
                </c:pt>
                <c:pt idx="18">
                  <c:v>VII</c:v>
                </c:pt>
                <c:pt idx="19">
                  <c:v>VIII</c:v>
                </c:pt>
                <c:pt idx="20">
                  <c:v>IX</c:v>
                </c:pt>
                <c:pt idx="21">
                  <c:v>X</c:v>
                </c:pt>
                <c:pt idx="22">
                  <c:v>XI</c:v>
                </c:pt>
                <c:pt idx="23">
                  <c:v>XII</c:v>
                </c:pt>
                <c:pt idx="24">
                  <c:v>2009`I</c:v>
                </c:pt>
                <c:pt idx="25">
                  <c:v>II</c:v>
                </c:pt>
                <c:pt idx="26">
                  <c:v>III</c:v>
                </c:pt>
                <c:pt idx="27">
                  <c:v>IV</c:v>
                </c:pt>
                <c:pt idx="28">
                  <c:v>V</c:v>
                </c:pt>
                <c:pt idx="29">
                  <c:v>VI</c:v>
                </c:pt>
                <c:pt idx="30">
                  <c:v>VII</c:v>
                </c:pt>
                <c:pt idx="31">
                  <c:v>VIII</c:v>
                </c:pt>
                <c:pt idx="32">
                  <c:v>IX</c:v>
                </c:pt>
                <c:pt idx="33">
                  <c:v>X</c:v>
                </c:pt>
                <c:pt idx="34">
                  <c:v>XI</c:v>
                </c:pt>
                <c:pt idx="35">
                  <c:v>XII</c:v>
                </c:pt>
                <c:pt idx="36">
                  <c:v>2010`I</c:v>
                </c:pt>
                <c:pt idx="37">
                  <c:v>II</c:v>
                </c:pt>
                <c:pt idx="38">
                  <c:v>III</c:v>
                </c:pt>
                <c:pt idx="39">
                  <c:v>IV</c:v>
                </c:pt>
                <c:pt idx="40">
                  <c:v>V</c:v>
                </c:pt>
                <c:pt idx="41">
                  <c:v>VI</c:v>
                </c:pt>
                <c:pt idx="42">
                  <c:v>VII</c:v>
                </c:pt>
                <c:pt idx="43">
                  <c:v>VIII</c:v>
                </c:pt>
                <c:pt idx="44">
                  <c:v>IX</c:v>
                </c:pt>
                <c:pt idx="45">
                  <c:v>X</c:v>
                </c:pt>
                <c:pt idx="46">
                  <c:v>XI</c:v>
                </c:pt>
                <c:pt idx="47">
                  <c:v>XII</c:v>
                </c:pt>
                <c:pt idx="48">
                  <c:v>2011`I</c:v>
                </c:pt>
                <c:pt idx="49">
                  <c:v>II</c:v>
                </c:pt>
                <c:pt idx="50">
                  <c:v>III</c:v>
                </c:pt>
                <c:pt idx="51">
                  <c:v>IV</c:v>
                </c:pt>
                <c:pt idx="52">
                  <c:v>V</c:v>
                </c:pt>
                <c:pt idx="53">
                  <c:v>VI</c:v>
                </c:pt>
                <c:pt idx="54">
                  <c:v>VII</c:v>
                </c:pt>
                <c:pt idx="55">
                  <c:v>VIII</c:v>
                </c:pt>
                <c:pt idx="56">
                  <c:v>IX</c:v>
                </c:pt>
                <c:pt idx="57">
                  <c:v>X</c:v>
                </c:pt>
                <c:pt idx="58">
                  <c:v>XI</c:v>
                </c:pt>
                <c:pt idx="59">
                  <c:v>XII</c:v>
                </c:pt>
                <c:pt idx="60">
                  <c:v>2012`I</c:v>
                </c:pt>
                <c:pt idx="61">
                  <c:v>II</c:v>
                </c:pt>
                <c:pt idx="62">
                  <c:v>III</c:v>
                </c:pt>
                <c:pt idx="63">
                  <c:v>IV</c:v>
                </c:pt>
                <c:pt idx="64">
                  <c:v>V</c:v>
                </c:pt>
                <c:pt idx="65">
                  <c:v>VI</c:v>
                </c:pt>
                <c:pt idx="66">
                  <c:v>VII</c:v>
                </c:pt>
                <c:pt idx="67">
                  <c:v>VIII</c:v>
                </c:pt>
                <c:pt idx="68">
                  <c:v>IX</c:v>
                </c:pt>
                <c:pt idx="69">
                  <c:v>X</c:v>
                </c:pt>
                <c:pt idx="70">
                  <c:v>XI</c:v>
                </c:pt>
                <c:pt idx="71">
                  <c:v>XII</c:v>
                </c:pt>
                <c:pt idx="72">
                  <c:v>2013`I</c:v>
                </c:pt>
                <c:pt idx="73">
                  <c:v>II</c:v>
                </c:pt>
                <c:pt idx="74">
                  <c:v>III</c:v>
                </c:pt>
                <c:pt idx="75">
                  <c:v>IV</c:v>
                </c:pt>
                <c:pt idx="76">
                  <c:v>V</c:v>
                </c:pt>
                <c:pt idx="77">
                  <c:v>VI</c:v>
                </c:pt>
                <c:pt idx="78">
                  <c:v>VII</c:v>
                </c:pt>
                <c:pt idx="79">
                  <c:v>VIII</c:v>
                </c:pt>
                <c:pt idx="80">
                  <c:v>IX</c:v>
                </c:pt>
                <c:pt idx="81">
                  <c:v>X</c:v>
                </c:pt>
                <c:pt idx="82">
                  <c:v>XI</c:v>
                </c:pt>
                <c:pt idx="83">
                  <c:v>XII</c:v>
                </c:pt>
                <c:pt idx="84">
                  <c:v>2014`I</c:v>
                </c:pt>
                <c:pt idx="85">
                  <c:v>II</c:v>
                </c:pt>
                <c:pt idx="86">
                  <c:v>III</c:v>
                </c:pt>
                <c:pt idx="87">
                  <c:v>IV</c:v>
                </c:pt>
                <c:pt idx="88">
                  <c:v>V</c:v>
                </c:pt>
                <c:pt idx="89">
                  <c:v>VI</c:v>
                </c:pt>
                <c:pt idx="90">
                  <c:v>VII</c:v>
                </c:pt>
                <c:pt idx="91">
                  <c:v>VIII</c:v>
                </c:pt>
                <c:pt idx="92">
                  <c:v>IX</c:v>
                </c:pt>
                <c:pt idx="93">
                  <c:v>X</c:v>
                </c:pt>
                <c:pt idx="94">
                  <c:v>XI</c:v>
                </c:pt>
                <c:pt idx="95">
                  <c:v>XII</c:v>
                </c:pt>
                <c:pt idx="96">
                  <c:v>2015`I</c:v>
                </c:pt>
                <c:pt idx="97">
                  <c:v>II</c:v>
                </c:pt>
                <c:pt idx="98">
                  <c:v>III</c:v>
                </c:pt>
                <c:pt idx="99">
                  <c:v>IV</c:v>
                </c:pt>
                <c:pt idx="100">
                  <c:v>V</c:v>
                </c:pt>
                <c:pt idx="101">
                  <c:v>VI</c:v>
                </c:pt>
                <c:pt idx="102">
                  <c:v>VII</c:v>
                </c:pt>
                <c:pt idx="103">
                  <c:v>VIII</c:v>
                </c:pt>
                <c:pt idx="104">
                  <c:v>IX</c:v>
                </c:pt>
                <c:pt idx="105">
                  <c:v>X</c:v>
                </c:pt>
                <c:pt idx="106">
                  <c:v>XI</c:v>
                </c:pt>
                <c:pt idx="107">
                  <c:v>XII</c:v>
                </c:pt>
                <c:pt idx="108">
                  <c:v>2016`I</c:v>
                </c:pt>
                <c:pt idx="109">
                  <c:v>II</c:v>
                </c:pt>
                <c:pt idx="110">
                  <c:v>III</c:v>
                </c:pt>
                <c:pt idx="111">
                  <c:v>IV</c:v>
                </c:pt>
                <c:pt idx="112">
                  <c:v>V</c:v>
                </c:pt>
                <c:pt idx="113">
                  <c:v>VI</c:v>
                </c:pt>
                <c:pt idx="114">
                  <c:v>VII</c:v>
                </c:pt>
                <c:pt idx="115">
                  <c:v>VIII</c:v>
                </c:pt>
                <c:pt idx="116">
                  <c:v>IX</c:v>
                </c:pt>
                <c:pt idx="117">
                  <c:v>X</c:v>
                </c:pt>
                <c:pt idx="118">
                  <c:v>XI</c:v>
                </c:pt>
                <c:pt idx="119">
                  <c:v>XII</c:v>
                </c:pt>
                <c:pt idx="120">
                  <c:v>2017`I</c:v>
                </c:pt>
                <c:pt idx="121">
                  <c:v>II</c:v>
                </c:pt>
                <c:pt idx="122">
                  <c:v>III</c:v>
                </c:pt>
                <c:pt idx="123">
                  <c:v>IV</c:v>
                </c:pt>
                <c:pt idx="124">
                  <c:v>V</c:v>
                </c:pt>
                <c:pt idx="125">
                  <c:v>VI</c:v>
                </c:pt>
                <c:pt idx="126">
                  <c:v>VII</c:v>
                </c:pt>
                <c:pt idx="127">
                  <c:v>VIII</c:v>
                </c:pt>
                <c:pt idx="128">
                  <c:v>IX</c:v>
                </c:pt>
                <c:pt idx="129">
                  <c:v>X</c:v>
                </c:pt>
                <c:pt idx="130">
                  <c:v>XI</c:v>
                </c:pt>
                <c:pt idx="131">
                  <c:v>XII</c:v>
                </c:pt>
                <c:pt idx="132">
                  <c:v>2018`I</c:v>
                </c:pt>
                <c:pt idx="133">
                  <c:v>II</c:v>
                </c:pt>
                <c:pt idx="134">
                  <c:v>III</c:v>
                </c:pt>
                <c:pt idx="135">
                  <c:v>IV</c:v>
                </c:pt>
                <c:pt idx="136">
                  <c:v>V</c:v>
                </c:pt>
                <c:pt idx="137">
                  <c:v>VI</c:v>
                </c:pt>
                <c:pt idx="138">
                  <c:v>VII</c:v>
                </c:pt>
                <c:pt idx="139">
                  <c:v>VIII</c:v>
                </c:pt>
                <c:pt idx="140">
                  <c:v>IX</c:v>
                </c:pt>
                <c:pt idx="141">
                  <c:v>X</c:v>
                </c:pt>
                <c:pt idx="142">
                  <c:v>XI</c:v>
                </c:pt>
                <c:pt idx="143">
                  <c:v>XII</c:v>
                </c:pt>
                <c:pt idx="144">
                  <c:v>2019`I</c:v>
                </c:pt>
                <c:pt idx="145">
                  <c:v>II</c:v>
                </c:pt>
                <c:pt idx="146">
                  <c:v>III</c:v>
                </c:pt>
                <c:pt idx="147">
                  <c:v>IV</c:v>
                </c:pt>
                <c:pt idx="148">
                  <c:v>V</c:v>
                </c:pt>
                <c:pt idx="149">
                  <c:v>VI</c:v>
                </c:pt>
                <c:pt idx="150">
                  <c:v>VII</c:v>
                </c:pt>
                <c:pt idx="151">
                  <c:v>VIII</c:v>
                </c:pt>
                <c:pt idx="152">
                  <c:v>IX</c:v>
                </c:pt>
                <c:pt idx="153">
                  <c:v>X</c:v>
                </c:pt>
                <c:pt idx="154">
                  <c:v>XI</c:v>
                </c:pt>
                <c:pt idx="155">
                  <c:v>XII</c:v>
                </c:pt>
                <c:pt idx="156">
                  <c:v>2020`I</c:v>
                </c:pt>
                <c:pt idx="157">
                  <c:v>II</c:v>
                </c:pt>
                <c:pt idx="158">
                  <c:v>III</c:v>
                </c:pt>
                <c:pt idx="159">
                  <c:v>IV</c:v>
                </c:pt>
                <c:pt idx="160">
                  <c:v>V</c:v>
                </c:pt>
                <c:pt idx="161">
                  <c:v>VI</c:v>
                </c:pt>
                <c:pt idx="162">
                  <c:v>VII</c:v>
                </c:pt>
                <c:pt idx="163">
                  <c:v>VIII</c:v>
                </c:pt>
              </c:strCache>
            </c:strRef>
          </c:cat>
          <c:val>
            <c:numRef>
              <c:f>Sheet2!$B$6:$FI$6</c:f>
              <c:numCache>
                <c:formatCode>General</c:formatCode>
                <c:ptCount val="164"/>
                <c:pt idx="1">
                  <c:v>6.6</c:v>
                </c:pt>
                <c:pt idx="2">
                  <c:v>6.4</c:v>
                </c:pt>
                <c:pt idx="3">
                  <c:v>6.1</c:v>
                </c:pt>
                <c:pt idx="4">
                  <c:v>5.7</c:v>
                </c:pt>
                <c:pt idx="5">
                  <c:v>5.7</c:v>
                </c:pt>
                <c:pt idx="6">
                  <c:v>5.6</c:v>
                </c:pt>
                <c:pt idx="7">
                  <c:v>5.4</c:v>
                </c:pt>
                <c:pt idx="8">
                  <c:v>4.9000000000000004</c:v>
                </c:pt>
                <c:pt idx="9">
                  <c:v>4.8</c:v>
                </c:pt>
                <c:pt idx="10">
                  <c:v>4.8</c:v>
                </c:pt>
                <c:pt idx="11">
                  <c:v>5.0999999999999996</c:v>
                </c:pt>
                <c:pt idx="12">
                  <c:v>5.3</c:v>
                </c:pt>
                <c:pt idx="13">
                  <c:v>5.3</c:v>
                </c:pt>
                <c:pt idx="14">
                  <c:v>5.2</c:v>
                </c:pt>
                <c:pt idx="15">
                  <c:v>5.2</c:v>
                </c:pt>
                <c:pt idx="16">
                  <c:v>5.0999999999999996</c:v>
                </c:pt>
                <c:pt idx="17">
                  <c:v>5.4</c:v>
                </c:pt>
                <c:pt idx="18">
                  <c:v>5.5</c:v>
                </c:pt>
                <c:pt idx="19">
                  <c:v>5.5</c:v>
                </c:pt>
                <c:pt idx="20">
                  <c:v>5.5</c:v>
                </c:pt>
                <c:pt idx="21">
                  <c:v>5.7</c:v>
                </c:pt>
                <c:pt idx="22">
                  <c:v>6.3</c:v>
                </c:pt>
                <c:pt idx="23">
                  <c:v>7.5</c:v>
                </c:pt>
                <c:pt idx="24">
                  <c:v>9.1</c:v>
                </c:pt>
                <c:pt idx="25">
                  <c:v>10.6</c:v>
                </c:pt>
                <c:pt idx="26">
                  <c:v>11.9</c:v>
                </c:pt>
                <c:pt idx="27">
                  <c:v>12</c:v>
                </c:pt>
                <c:pt idx="28">
                  <c:v>12.4</c:v>
                </c:pt>
                <c:pt idx="29">
                  <c:v>12.7</c:v>
                </c:pt>
                <c:pt idx="30">
                  <c:v>13.1</c:v>
                </c:pt>
                <c:pt idx="31">
                  <c:v>13.6</c:v>
                </c:pt>
                <c:pt idx="32">
                  <c:v>14.6</c:v>
                </c:pt>
                <c:pt idx="33">
                  <c:v>15.7</c:v>
                </c:pt>
                <c:pt idx="34">
                  <c:v>16.7</c:v>
                </c:pt>
                <c:pt idx="35">
                  <c:v>17.7</c:v>
                </c:pt>
                <c:pt idx="36">
                  <c:v>18.399999999999999</c:v>
                </c:pt>
                <c:pt idx="37">
                  <c:v>18.899999999999999</c:v>
                </c:pt>
                <c:pt idx="38">
                  <c:v>19</c:v>
                </c:pt>
                <c:pt idx="39">
                  <c:v>17.899999999999999</c:v>
                </c:pt>
                <c:pt idx="40">
                  <c:v>17.100000000000001</c:v>
                </c:pt>
                <c:pt idx="41">
                  <c:v>16.7</c:v>
                </c:pt>
                <c:pt idx="42">
                  <c:v>16.399999999999999</c:v>
                </c:pt>
                <c:pt idx="43">
                  <c:v>16.100000000000001</c:v>
                </c:pt>
                <c:pt idx="44">
                  <c:v>15.5</c:v>
                </c:pt>
                <c:pt idx="45">
                  <c:v>15.4</c:v>
                </c:pt>
                <c:pt idx="46">
                  <c:v>15.5</c:v>
                </c:pt>
                <c:pt idx="47">
                  <c:v>15.7</c:v>
                </c:pt>
                <c:pt idx="48">
                  <c:v>16</c:v>
                </c:pt>
                <c:pt idx="49">
                  <c:v>16</c:v>
                </c:pt>
                <c:pt idx="50">
                  <c:v>15.7</c:v>
                </c:pt>
                <c:pt idx="51">
                  <c:v>14.8</c:v>
                </c:pt>
                <c:pt idx="52">
                  <c:v>13.9</c:v>
                </c:pt>
                <c:pt idx="53">
                  <c:v>13.2</c:v>
                </c:pt>
                <c:pt idx="54">
                  <c:v>12.8</c:v>
                </c:pt>
                <c:pt idx="55">
                  <c:v>12.5</c:v>
                </c:pt>
                <c:pt idx="56">
                  <c:v>12.1</c:v>
                </c:pt>
                <c:pt idx="57">
                  <c:v>12</c:v>
                </c:pt>
                <c:pt idx="58">
                  <c:v>12</c:v>
                </c:pt>
                <c:pt idx="59">
                  <c:v>12.1</c:v>
                </c:pt>
                <c:pt idx="60">
                  <c:v>12.4</c:v>
                </c:pt>
                <c:pt idx="61">
                  <c:v>12.6</c:v>
                </c:pt>
                <c:pt idx="62">
                  <c:v>12.3</c:v>
                </c:pt>
                <c:pt idx="63" formatCode="0.0">
                  <c:v>13.9</c:v>
                </c:pt>
                <c:pt idx="64" formatCode="0.0">
                  <c:v>13.2</c:v>
                </c:pt>
                <c:pt idx="65">
                  <c:v>12.7</c:v>
                </c:pt>
                <c:pt idx="66">
                  <c:v>12.4</c:v>
                </c:pt>
                <c:pt idx="67">
                  <c:v>12</c:v>
                </c:pt>
                <c:pt idx="68">
                  <c:v>11.6</c:v>
                </c:pt>
                <c:pt idx="69">
                  <c:v>11.3</c:v>
                </c:pt>
                <c:pt idx="70">
                  <c:v>11.2</c:v>
                </c:pt>
                <c:pt idx="71">
                  <c:v>11.4</c:v>
                </c:pt>
                <c:pt idx="72">
                  <c:v>12.2</c:v>
                </c:pt>
                <c:pt idx="73">
                  <c:v>12.2</c:v>
                </c:pt>
                <c:pt idx="74">
                  <c:v>12</c:v>
                </c:pt>
                <c:pt idx="75">
                  <c:v>11.1</c:v>
                </c:pt>
                <c:pt idx="76">
                  <c:v>10.5</c:v>
                </c:pt>
                <c:pt idx="77">
                  <c:v>10.5</c:v>
                </c:pt>
                <c:pt idx="78">
                  <c:v>10.3</c:v>
                </c:pt>
                <c:pt idx="79">
                  <c:v>10</c:v>
                </c:pt>
                <c:pt idx="80">
                  <c:v>9.6999999999999993</c:v>
                </c:pt>
                <c:pt idx="81">
                  <c:v>9.8000000000000007</c:v>
                </c:pt>
                <c:pt idx="82">
                  <c:v>11</c:v>
                </c:pt>
                <c:pt idx="83">
                  <c:v>11.5</c:v>
                </c:pt>
                <c:pt idx="84">
                  <c:v>12.1</c:v>
                </c:pt>
                <c:pt idx="85">
                  <c:v>12.4</c:v>
                </c:pt>
                <c:pt idx="86">
                  <c:v>12.2</c:v>
                </c:pt>
                <c:pt idx="87">
                  <c:v>11.6</c:v>
                </c:pt>
                <c:pt idx="88">
                  <c:v>11</c:v>
                </c:pt>
                <c:pt idx="89">
                  <c:v>11.1</c:v>
                </c:pt>
                <c:pt idx="90">
                  <c:v>10.9</c:v>
                </c:pt>
                <c:pt idx="91">
                  <c:v>10.4</c:v>
                </c:pt>
                <c:pt idx="92">
                  <c:v>9.6999999999999993</c:v>
                </c:pt>
                <c:pt idx="93">
                  <c:v>9.8000000000000007</c:v>
                </c:pt>
                <c:pt idx="94">
                  <c:v>10</c:v>
                </c:pt>
                <c:pt idx="95">
                  <c:v>10.7</c:v>
                </c:pt>
                <c:pt idx="96">
                  <c:v>11.4</c:v>
                </c:pt>
                <c:pt idx="97">
                  <c:v>11.5</c:v>
                </c:pt>
                <c:pt idx="98">
                  <c:v>11.3</c:v>
                </c:pt>
                <c:pt idx="99">
                  <c:v>10.5</c:v>
                </c:pt>
                <c:pt idx="100">
                  <c:v>10.3</c:v>
                </c:pt>
                <c:pt idx="101">
                  <c:v>10.9</c:v>
                </c:pt>
                <c:pt idx="102">
                  <c:v>10.9</c:v>
                </c:pt>
                <c:pt idx="103">
                  <c:v>10.7</c:v>
                </c:pt>
                <c:pt idx="104">
                  <c:v>10.3</c:v>
                </c:pt>
                <c:pt idx="105">
                  <c:v>10.199999999999999</c:v>
                </c:pt>
                <c:pt idx="106">
                  <c:v>10.5</c:v>
                </c:pt>
                <c:pt idx="107">
                  <c:v>11</c:v>
                </c:pt>
                <c:pt idx="108">
                  <c:v>11.4</c:v>
                </c:pt>
                <c:pt idx="109">
                  <c:v>11.5</c:v>
                </c:pt>
                <c:pt idx="110">
                  <c:v>11.6</c:v>
                </c:pt>
                <c:pt idx="111">
                  <c:v>10.8</c:v>
                </c:pt>
                <c:pt idx="112">
                  <c:v>10.4</c:v>
                </c:pt>
                <c:pt idx="113">
                  <c:v>10.4</c:v>
                </c:pt>
                <c:pt idx="114">
                  <c:v>10.3</c:v>
                </c:pt>
                <c:pt idx="115">
                  <c:v>9.9</c:v>
                </c:pt>
                <c:pt idx="116">
                  <c:v>9.6</c:v>
                </c:pt>
                <c:pt idx="117">
                  <c:v>9.5</c:v>
                </c:pt>
                <c:pt idx="118" formatCode="0.0">
                  <c:v>9.8000000000000007</c:v>
                </c:pt>
                <c:pt idx="119">
                  <c:v>10.4</c:v>
                </c:pt>
                <c:pt idx="120">
                  <c:v>10.6</c:v>
                </c:pt>
                <c:pt idx="121">
                  <c:v>10.5</c:v>
                </c:pt>
                <c:pt idx="122">
                  <c:v>9.9</c:v>
                </c:pt>
                <c:pt idx="123">
                  <c:v>9</c:v>
                </c:pt>
                <c:pt idx="124">
                  <c:v>8.4</c:v>
                </c:pt>
                <c:pt idx="125">
                  <c:v>8</c:v>
                </c:pt>
                <c:pt idx="126">
                  <c:v>7.7</c:v>
                </c:pt>
                <c:pt idx="127">
                  <c:v>7.5</c:v>
                </c:pt>
                <c:pt idx="128">
                  <c:v>7.2</c:v>
                </c:pt>
                <c:pt idx="129">
                  <c:v>7.2</c:v>
                </c:pt>
                <c:pt idx="130">
                  <c:v>7.3</c:v>
                </c:pt>
                <c:pt idx="131">
                  <c:v>7.7</c:v>
                </c:pt>
                <c:pt idx="132">
                  <c:v>8.1</c:v>
                </c:pt>
                <c:pt idx="133">
                  <c:v>8.1</c:v>
                </c:pt>
                <c:pt idx="134">
                  <c:v>8.1</c:v>
                </c:pt>
                <c:pt idx="135">
                  <c:v>7.4</c:v>
                </c:pt>
                <c:pt idx="136">
                  <c:v>7.1</c:v>
                </c:pt>
                <c:pt idx="137">
                  <c:v>7.1</c:v>
                </c:pt>
                <c:pt idx="138">
                  <c:v>7.1</c:v>
                </c:pt>
                <c:pt idx="139">
                  <c:v>7</c:v>
                </c:pt>
                <c:pt idx="140">
                  <c:v>6.9</c:v>
                </c:pt>
                <c:pt idx="141">
                  <c:v>6.9</c:v>
                </c:pt>
                <c:pt idx="142">
                  <c:v>7</c:v>
                </c:pt>
                <c:pt idx="143">
                  <c:v>7.5</c:v>
                </c:pt>
                <c:pt idx="144">
                  <c:v>7.9</c:v>
                </c:pt>
                <c:pt idx="145">
                  <c:v>8.1</c:v>
                </c:pt>
                <c:pt idx="146">
                  <c:v>7.8</c:v>
                </c:pt>
                <c:pt idx="147">
                  <c:v>7.1</c:v>
                </c:pt>
                <c:pt idx="148">
                  <c:v>6.7</c:v>
                </c:pt>
                <c:pt idx="149">
                  <c:v>6.6</c:v>
                </c:pt>
                <c:pt idx="150">
                  <c:v>6.5</c:v>
                </c:pt>
                <c:pt idx="151">
                  <c:v>6.3</c:v>
                </c:pt>
                <c:pt idx="152">
                  <c:v>6.1</c:v>
                </c:pt>
                <c:pt idx="153">
                  <c:v>6.2</c:v>
                </c:pt>
                <c:pt idx="154">
                  <c:v>6.2</c:v>
                </c:pt>
                <c:pt idx="155">
                  <c:v>7.2</c:v>
                </c:pt>
                <c:pt idx="156">
                  <c:v>7.4</c:v>
                </c:pt>
                <c:pt idx="157">
                  <c:v>7.3</c:v>
                </c:pt>
                <c:pt idx="158">
                  <c:v>7.7</c:v>
                </c:pt>
                <c:pt idx="159">
                  <c:v>8.6</c:v>
                </c:pt>
                <c:pt idx="160">
                  <c:v>8.9</c:v>
                </c:pt>
                <c:pt idx="161">
                  <c:v>9.1999999999999993</c:v>
                </c:pt>
                <c:pt idx="162">
                  <c:v>9.1</c:v>
                </c:pt>
                <c:pt idx="163">
                  <c:v>8.6</c:v>
                </c:pt>
              </c:numCache>
            </c:numRef>
          </c:val>
          <c:smooth val="0"/>
          <c:extLst>
            <c:ext xmlns:c16="http://schemas.microsoft.com/office/drawing/2014/chart" uri="{C3380CC4-5D6E-409C-BE32-E72D297353CC}">
              <c16:uniqueId val="{00000002-F621-4679-8299-C93BAB7CE2F0}"/>
            </c:ext>
          </c:extLst>
        </c:ser>
        <c:ser>
          <c:idx val="2"/>
          <c:order val="2"/>
          <c:tx>
            <c:strRef>
              <c:f>Sheet2!$A$7</c:f>
              <c:strCache>
                <c:ptCount val="1"/>
                <c:pt idx="0">
                  <c:v>Latgale</c:v>
                </c:pt>
              </c:strCache>
            </c:strRef>
          </c:tx>
          <c:spPr>
            <a:ln w="28575" cap="rnd">
              <a:solidFill>
                <a:srgbClr val="70AD47"/>
              </a:solidFill>
              <a:round/>
            </a:ln>
            <a:effectLst/>
          </c:spPr>
          <c:marker>
            <c:symbol val="none"/>
          </c:marker>
          <c:cat>
            <c:strRef>
              <c:f>Sheet2!$B$4:$FI$4</c:f>
              <c:strCache>
                <c:ptCount val="164"/>
                <c:pt idx="0">
                  <c:v>2007`I</c:v>
                </c:pt>
                <c:pt idx="1">
                  <c:v>II</c:v>
                </c:pt>
                <c:pt idx="2">
                  <c:v>III</c:v>
                </c:pt>
                <c:pt idx="3">
                  <c:v>IV</c:v>
                </c:pt>
                <c:pt idx="4">
                  <c:v>V</c:v>
                </c:pt>
                <c:pt idx="5">
                  <c:v>VI</c:v>
                </c:pt>
                <c:pt idx="6">
                  <c:v>VII</c:v>
                </c:pt>
                <c:pt idx="7">
                  <c:v>VIII</c:v>
                </c:pt>
                <c:pt idx="8">
                  <c:v>IX</c:v>
                </c:pt>
                <c:pt idx="9">
                  <c:v>X</c:v>
                </c:pt>
                <c:pt idx="10">
                  <c:v>XI</c:v>
                </c:pt>
                <c:pt idx="11">
                  <c:v>XII</c:v>
                </c:pt>
                <c:pt idx="12">
                  <c:v>2008`I</c:v>
                </c:pt>
                <c:pt idx="13">
                  <c:v>II</c:v>
                </c:pt>
                <c:pt idx="14">
                  <c:v>III</c:v>
                </c:pt>
                <c:pt idx="15">
                  <c:v>IV</c:v>
                </c:pt>
                <c:pt idx="16">
                  <c:v>V</c:v>
                </c:pt>
                <c:pt idx="17">
                  <c:v>VI</c:v>
                </c:pt>
                <c:pt idx="18">
                  <c:v>VII</c:v>
                </c:pt>
                <c:pt idx="19">
                  <c:v>VIII</c:v>
                </c:pt>
                <c:pt idx="20">
                  <c:v>IX</c:v>
                </c:pt>
                <c:pt idx="21">
                  <c:v>X</c:v>
                </c:pt>
                <c:pt idx="22">
                  <c:v>XI</c:v>
                </c:pt>
                <c:pt idx="23">
                  <c:v>XII</c:v>
                </c:pt>
                <c:pt idx="24">
                  <c:v>2009`I</c:v>
                </c:pt>
                <c:pt idx="25">
                  <c:v>II</c:v>
                </c:pt>
                <c:pt idx="26">
                  <c:v>III</c:v>
                </c:pt>
                <c:pt idx="27">
                  <c:v>IV</c:v>
                </c:pt>
                <c:pt idx="28">
                  <c:v>V</c:v>
                </c:pt>
                <c:pt idx="29">
                  <c:v>VI</c:v>
                </c:pt>
                <c:pt idx="30">
                  <c:v>VII</c:v>
                </c:pt>
                <c:pt idx="31">
                  <c:v>VIII</c:v>
                </c:pt>
                <c:pt idx="32">
                  <c:v>IX</c:v>
                </c:pt>
                <c:pt idx="33">
                  <c:v>X</c:v>
                </c:pt>
                <c:pt idx="34">
                  <c:v>XI</c:v>
                </c:pt>
                <c:pt idx="35">
                  <c:v>XII</c:v>
                </c:pt>
                <c:pt idx="36">
                  <c:v>2010`I</c:v>
                </c:pt>
                <c:pt idx="37">
                  <c:v>II</c:v>
                </c:pt>
                <c:pt idx="38">
                  <c:v>III</c:v>
                </c:pt>
                <c:pt idx="39">
                  <c:v>IV</c:v>
                </c:pt>
                <c:pt idx="40">
                  <c:v>V</c:v>
                </c:pt>
                <c:pt idx="41">
                  <c:v>VI</c:v>
                </c:pt>
                <c:pt idx="42">
                  <c:v>VII</c:v>
                </c:pt>
                <c:pt idx="43">
                  <c:v>VIII</c:v>
                </c:pt>
                <c:pt idx="44">
                  <c:v>IX</c:v>
                </c:pt>
                <c:pt idx="45">
                  <c:v>X</c:v>
                </c:pt>
                <c:pt idx="46">
                  <c:v>XI</c:v>
                </c:pt>
                <c:pt idx="47">
                  <c:v>XII</c:v>
                </c:pt>
                <c:pt idx="48">
                  <c:v>2011`I</c:v>
                </c:pt>
                <c:pt idx="49">
                  <c:v>II</c:v>
                </c:pt>
                <c:pt idx="50">
                  <c:v>III</c:v>
                </c:pt>
                <c:pt idx="51">
                  <c:v>IV</c:v>
                </c:pt>
                <c:pt idx="52">
                  <c:v>V</c:v>
                </c:pt>
                <c:pt idx="53">
                  <c:v>VI</c:v>
                </c:pt>
                <c:pt idx="54">
                  <c:v>VII</c:v>
                </c:pt>
                <c:pt idx="55">
                  <c:v>VIII</c:v>
                </c:pt>
                <c:pt idx="56">
                  <c:v>IX</c:v>
                </c:pt>
                <c:pt idx="57">
                  <c:v>X</c:v>
                </c:pt>
                <c:pt idx="58">
                  <c:v>XI</c:v>
                </c:pt>
                <c:pt idx="59">
                  <c:v>XII</c:v>
                </c:pt>
                <c:pt idx="60">
                  <c:v>2012`I</c:v>
                </c:pt>
                <c:pt idx="61">
                  <c:v>II</c:v>
                </c:pt>
                <c:pt idx="62">
                  <c:v>III</c:v>
                </c:pt>
                <c:pt idx="63">
                  <c:v>IV</c:v>
                </c:pt>
                <c:pt idx="64">
                  <c:v>V</c:v>
                </c:pt>
                <c:pt idx="65">
                  <c:v>VI</c:v>
                </c:pt>
                <c:pt idx="66">
                  <c:v>VII</c:v>
                </c:pt>
                <c:pt idx="67">
                  <c:v>VIII</c:v>
                </c:pt>
                <c:pt idx="68">
                  <c:v>IX</c:v>
                </c:pt>
                <c:pt idx="69">
                  <c:v>X</c:v>
                </c:pt>
                <c:pt idx="70">
                  <c:v>XI</c:v>
                </c:pt>
                <c:pt idx="71">
                  <c:v>XII</c:v>
                </c:pt>
                <c:pt idx="72">
                  <c:v>2013`I</c:v>
                </c:pt>
                <c:pt idx="73">
                  <c:v>II</c:v>
                </c:pt>
                <c:pt idx="74">
                  <c:v>III</c:v>
                </c:pt>
                <c:pt idx="75">
                  <c:v>IV</c:v>
                </c:pt>
                <c:pt idx="76">
                  <c:v>V</c:v>
                </c:pt>
                <c:pt idx="77">
                  <c:v>VI</c:v>
                </c:pt>
                <c:pt idx="78">
                  <c:v>VII</c:v>
                </c:pt>
                <c:pt idx="79">
                  <c:v>VIII</c:v>
                </c:pt>
                <c:pt idx="80">
                  <c:v>IX</c:v>
                </c:pt>
                <c:pt idx="81">
                  <c:v>X</c:v>
                </c:pt>
                <c:pt idx="82">
                  <c:v>XI</c:v>
                </c:pt>
                <c:pt idx="83">
                  <c:v>XII</c:v>
                </c:pt>
                <c:pt idx="84">
                  <c:v>2014`I</c:v>
                </c:pt>
                <c:pt idx="85">
                  <c:v>II</c:v>
                </c:pt>
                <c:pt idx="86">
                  <c:v>III</c:v>
                </c:pt>
                <c:pt idx="87">
                  <c:v>IV</c:v>
                </c:pt>
                <c:pt idx="88">
                  <c:v>V</c:v>
                </c:pt>
                <c:pt idx="89">
                  <c:v>VI</c:v>
                </c:pt>
                <c:pt idx="90">
                  <c:v>VII</c:v>
                </c:pt>
                <c:pt idx="91">
                  <c:v>VIII</c:v>
                </c:pt>
                <c:pt idx="92">
                  <c:v>IX</c:v>
                </c:pt>
                <c:pt idx="93">
                  <c:v>X</c:v>
                </c:pt>
                <c:pt idx="94">
                  <c:v>XI</c:v>
                </c:pt>
                <c:pt idx="95">
                  <c:v>XII</c:v>
                </c:pt>
                <c:pt idx="96">
                  <c:v>2015`I</c:v>
                </c:pt>
                <c:pt idx="97">
                  <c:v>II</c:v>
                </c:pt>
                <c:pt idx="98">
                  <c:v>III</c:v>
                </c:pt>
                <c:pt idx="99">
                  <c:v>IV</c:v>
                </c:pt>
                <c:pt idx="100">
                  <c:v>V</c:v>
                </c:pt>
                <c:pt idx="101">
                  <c:v>VI</c:v>
                </c:pt>
                <c:pt idx="102">
                  <c:v>VII</c:v>
                </c:pt>
                <c:pt idx="103">
                  <c:v>VIII</c:v>
                </c:pt>
                <c:pt idx="104">
                  <c:v>IX</c:v>
                </c:pt>
                <c:pt idx="105">
                  <c:v>X</c:v>
                </c:pt>
                <c:pt idx="106">
                  <c:v>XI</c:v>
                </c:pt>
                <c:pt idx="107">
                  <c:v>XII</c:v>
                </c:pt>
                <c:pt idx="108">
                  <c:v>2016`I</c:v>
                </c:pt>
                <c:pt idx="109">
                  <c:v>II</c:v>
                </c:pt>
                <c:pt idx="110">
                  <c:v>III</c:v>
                </c:pt>
                <c:pt idx="111">
                  <c:v>IV</c:v>
                </c:pt>
                <c:pt idx="112">
                  <c:v>V</c:v>
                </c:pt>
                <c:pt idx="113">
                  <c:v>VI</c:v>
                </c:pt>
                <c:pt idx="114">
                  <c:v>VII</c:v>
                </c:pt>
                <c:pt idx="115">
                  <c:v>VIII</c:v>
                </c:pt>
                <c:pt idx="116">
                  <c:v>IX</c:v>
                </c:pt>
                <c:pt idx="117">
                  <c:v>X</c:v>
                </c:pt>
                <c:pt idx="118">
                  <c:v>XI</c:v>
                </c:pt>
                <c:pt idx="119">
                  <c:v>XII</c:v>
                </c:pt>
                <c:pt idx="120">
                  <c:v>2017`I</c:v>
                </c:pt>
                <c:pt idx="121">
                  <c:v>II</c:v>
                </c:pt>
                <c:pt idx="122">
                  <c:v>III</c:v>
                </c:pt>
                <c:pt idx="123">
                  <c:v>IV</c:v>
                </c:pt>
                <c:pt idx="124">
                  <c:v>V</c:v>
                </c:pt>
                <c:pt idx="125">
                  <c:v>VI</c:v>
                </c:pt>
                <c:pt idx="126">
                  <c:v>VII</c:v>
                </c:pt>
                <c:pt idx="127">
                  <c:v>VIII</c:v>
                </c:pt>
                <c:pt idx="128">
                  <c:v>IX</c:v>
                </c:pt>
                <c:pt idx="129">
                  <c:v>X</c:v>
                </c:pt>
                <c:pt idx="130">
                  <c:v>XI</c:v>
                </c:pt>
                <c:pt idx="131">
                  <c:v>XII</c:v>
                </c:pt>
                <c:pt idx="132">
                  <c:v>2018`I</c:v>
                </c:pt>
                <c:pt idx="133">
                  <c:v>II</c:v>
                </c:pt>
                <c:pt idx="134">
                  <c:v>III</c:v>
                </c:pt>
                <c:pt idx="135">
                  <c:v>IV</c:v>
                </c:pt>
                <c:pt idx="136">
                  <c:v>V</c:v>
                </c:pt>
                <c:pt idx="137">
                  <c:v>VI</c:v>
                </c:pt>
                <c:pt idx="138">
                  <c:v>VII</c:v>
                </c:pt>
                <c:pt idx="139">
                  <c:v>VIII</c:v>
                </c:pt>
                <c:pt idx="140">
                  <c:v>IX</c:v>
                </c:pt>
                <c:pt idx="141">
                  <c:v>X</c:v>
                </c:pt>
                <c:pt idx="142">
                  <c:v>XI</c:v>
                </c:pt>
                <c:pt idx="143">
                  <c:v>XII</c:v>
                </c:pt>
                <c:pt idx="144">
                  <c:v>2019`I</c:v>
                </c:pt>
                <c:pt idx="145">
                  <c:v>II</c:v>
                </c:pt>
                <c:pt idx="146">
                  <c:v>III</c:v>
                </c:pt>
                <c:pt idx="147">
                  <c:v>IV</c:v>
                </c:pt>
                <c:pt idx="148">
                  <c:v>V</c:v>
                </c:pt>
                <c:pt idx="149">
                  <c:v>VI</c:v>
                </c:pt>
                <c:pt idx="150">
                  <c:v>VII</c:v>
                </c:pt>
                <c:pt idx="151">
                  <c:v>VIII</c:v>
                </c:pt>
                <c:pt idx="152">
                  <c:v>IX</c:v>
                </c:pt>
                <c:pt idx="153">
                  <c:v>X</c:v>
                </c:pt>
                <c:pt idx="154">
                  <c:v>XI</c:v>
                </c:pt>
                <c:pt idx="155">
                  <c:v>XII</c:v>
                </c:pt>
                <c:pt idx="156">
                  <c:v>2020`I</c:v>
                </c:pt>
                <c:pt idx="157">
                  <c:v>II</c:v>
                </c:pt>
                <c:pt idx="158">
                  <c:v>III</c:v>
                </c:pt>
                <c:pt idx="159">
                  <c:v>IV</c:v>
                </c:pt>
                <c:pt idx="160">
                  <c:v>V</c:v>
                </c:pt>
                <c:pt idx="161">
                  <c:v>VI</c:v>
                </c:pt>
                <c:pt idx="162">
                  <c:v>VII</c:v>
                </c:pt>
                <c:pt idx="163">
                  <c:v>VIII</c:v>
                </c:pt>
              </c:strCache>
            </c:strRef>
          </c:cat>
          <c:val>
            <c:numRef>
              <c:f>Sheet2!$B$7:$FI$7</c:f>
              <c:numCache>
                <c:formatCode>General</c:formatCode>
                <c:ptCount val="164"/>
                <c:pt idx="1">
                  <c:v>13.9</c:v>
                </c:pt>
                <c:pt idx="2">
                  <c:v>13.7</c:v>
                </c:pt>
                <c:pt idx="3">
                  <c:v>12.8</c:v>
                </c:pt>
                <c:pt idx="4">
                  <c:v>12.4</c:v>
                </c:pt>
                <c:pt idx="5">
                  <c:v>12.1</c:v>
                </c:pt>
                <c:pt idx="6">
                  <c:v>11.7</c:v>
                </c:pt>
                <c:pt idx="7">
                  <c:v>11.1</c:v>
                </c:pt>
                <c:pt idx="8">
                  <c:v>10.3</c:v>
                </c:pt>
                <c:pt idx="9">
                  <c:v>9.6999999999999993</c:v>
                </c:pt>
                <c:pt idx="10">
                  <c:v>9.4</c:v>
                </c:pt>
                <c:pt idx="11">
                  <c:v>9.4</c:v>
                </c:pt>
                <c:pt idx="12">
                  <c:v>9.6</c:v>
                </c:pt>
                <c:pt idx="13">
                  <c:v>9.6</c:v>
                </c:pt>
                <c:pt idx="14">
                  <c:v>9.5</c:v>
                </c:pt>
                <c:pt idx="15">
                  <c:v>9.3000000000000007</c:v>
                </c:pt>
                <c:pt idx="16">
                  <c:v>9.1</c:v>
                </c:pt>
                <c:pt idx="17">
                  <c:v>9.3000000000000007</c:v>
                </c:pt>
                <c:pt idx="18">
                  <c:v>9.3000000000000007</c:v>
                </c:pt>
                <c:pt idx="19">
                  <c:v>9.1999999999999993</c:v>
                </c:pt>
                <c:pt idx="20">
                  <c:v>9.3000000000000007</c:v>
                </c:pt>
                <c:pt idx="21">
                  <c:v>9.5</c:v>
                </c:pt>
                <c:pt idx="22">
                  <c:v>10</c:v>
                </c:pt>
                <c:pt idx="23">
                  <c:v>10.8</c:v>
                </c:pt>
                <c:pt idx="24">
                  <c:v>12.2</c:v>
                </c:pt>
                <c:pt idx="25">
                  <c:v>13.4</c:v>
                </c:pt>
                <c:pt idx="26">
                  <c:v>14.8</c:v>
                </c:pt>
                <c:pt idx="27">
                  <c:v>14.9</c:v>
                </c:pt>
                <c:pt idx="28">
                  <c:v>15.2</c:v>
                </c:pt>
                <c:pt idx="29">
                  <c:v>15.5</c:v>
                </c:pt>
                <c:pt idx="30">
                  <c:v>15.7</c:v>
                </c:pt>
                <c:pt idx="31">
                  <c:v>16.3</c:v>
                </c:pt>
                <c:pt idx="32">
                  <c:v>17.600000000000001</c:v>
                </c:pt>
                <c:pt idx="33">
                  <c:v>18.899999999999999</c:v>
                </c:pt>
                <c:pt idx="34">
                  <c:v>20.2</c:v>
                </c:pt>
                <c:pt idx="35">
                  <c:v>21.1</c:v>
                </c:pt>
                <c:pt idx="36">
                  <c:v>21.8</c:v>
                </c:pt>
                <c:pt idx="37">
                  <c:v>22.6</c:v>
                </c:pt>
                <c:pt idx="38">
                  <c:v>22.9</c:v>
                </c:pt>
                <c:pt idx="39">
                  <c:v>23.1</c:v>
                </c:pt>
                <c:pt idx="40">
                  <c:v>22.8</c:v>
                </c:pt>
                <c:pt idx="41">
                  <c:v>22.4</c:v>
                </c:pt>
                <c:pt idx="42">
                  <c:v>22.4</c:v>
                </c:pt>
                <c:pt idx="43">
                  <c:v>22.3</c:v>
                </c:pt>
                <c:pt idx="44">
                  <c:v>22</c:v>
                </c:pt>
                <c:pt idx="45">
                  <c:v>21.9</c:v>
                </c:pt>
                <c:pt idx="46">
                  <c:v>22.1</c:v>
                </c:pt>
                <c:pt idx="47">
                  <c:v>22.3</c:v>
                </c:pt>
                <c:pt idx="48">
                  <c:v>22.6</c:v>
                </c:pt>
                <c:pt idx="49">
                  <c:v>22.8</c:v>
                </c:pt>
                <c:pt idx="50">
                  <c:v>22.7</c:v>
                </c:pt>
                <c:pt idx="51">
                  <c:v>22.5</c:v>
                </c:pt>
                <c:pt idx="52">
                  <c:v>21.7</c:v>
                </c:pt>
                <c:pt idx="53">
                  <c:v>20.9</c:v>
                </c:pt>
                <c:pt idx="54">
                  <c:v>20.399999999999999</c:v>
                </c:pt>
                <c:pt idx="55">
                  <c:v>20</c:v>
                </c:pt>
                <c:pt idx="56">
                  <c:v>19.7</c:v>
                </c:pt>
                <c:pt idx="57">
                  <c:v>19.600000000000001</c:v>
                </c:pt>
                <c:pt idx="58">
                  <c:v>19.7</c:v>
                </c:pt>
                <c:pt idx="59">
                  <c:v>19.8</c:v>
                </c:pt>
                <c:pt idx="60">
                  <c:v>20.2</c:v>
                </c:pt>
                <c:pt idx="61">
                  <c:v>20.399999999999999</c:v>
                </c:pt>
                <c:pt idx="62">
                  <c:v>20.3</c:v>
                </c:pt>
                <c:pt idx="63" formatCode="0.0">
                  <c:v>24.1</c:v>
                </c:pt>
                <c:pt idx="64" formatCode="0.0">
                  <c:v>23.4</c:v>
                </c:pt>
                <c:pt idx="65">
                  <c:v>22.9</c:v>
                </c:pt>
                <c:pt idx="66">
                  <c:v>22.5</c:v>
                </c:pt>
                <c:pt idx="67">
                  <c:v>22</c:v>
                </c:pt>
                <c:pt idx="68">
                  <c:v>21.6</c:v>
                </c:pt>
                <c:pt idx="69">
                  <c:v>21.3</c:v>
                </c:pt>
                <c:pt idx="70">
                  <c:v>21.2</c:v>
                </c:pt>
                <c:pt idx="71">
                  <c:v>21.1</c:v>
                </c:pt>
                <c:pt idx="72">
                  <c:v>21.5</c:v>
                </c:pt>
                <c:pt idx="73">
                  <c:v>21.5</c:v>
                </c:pt>
                <c:pt idx="74">
                  <c:v>21.4</c:v>
                </c:pt>
                <c:pt idx="75">
                  <c:v>21</c:v>
                </c:pt>
                <c:pt idx="76">
                  <c:v>20.2</c:v>
                </c:pt>
                <c:pt idx="77">
                  <c:v>19.8</c:v>
                </c:pt>
                <c:pt idx="78">
                  <c:v>19.100000000000001</c:v>
                </c:pt>
                <c:pt idx="79">
                  <c:v>18.899999999999999</c:v>
                </c:pt>
                <c:pt idx="80">
                  <c:v>18.600000000000001</c:v>
                </c:pt>
                <c:pt idx="81">
                  <c:v>18.600000000000001</c:v>
                </c:pt>
                <c:pt idx="82">
                  <c:v>18.7</c:v>
                </c:pt>
                <c:pt idx="83">
                  <c:v>18.8</c:v>
                </c:pt>
                <c:pt idx="84">
                  <c:v>19.3</c:v>
                </c:pt>
                <c:pt idx="85">
                  <c:v>19.5</c:v>
                </c:pt>
                <c:pt idx="86">
                  <c:v>19.399999999999999</c:v>
                </c:pt>
                <c:pt idx="87">
                  <c:v>19.7</c:v>
                </c:pt>
                <c:pt idx="88">
                  <c:v>19</c:v>
                </c:pt>
                <c:pt idx="89">
                  <c:v>18.5</c:v>
                </c:pt>
                <c:pt idx="90">
                  <c:v>18.100000000000001</c:v>
                </c:pt>
                <c:pt idx="91">
                  <c:v>17.8</c:v>
                </c:pt>
                <c:pt idx="92">
                  <c:v>17.600000000000001</c:v>
                </c:pt>
                <c:pt idx="93">
                  <c:v>17.600000000000001</c:v>
                </c:pt>
                <c:pt idx="94">
                  <c:v>17.600000000000001</c:v>
                </c:pt>
                <c:pt idx="95">
                  <c:v>17.8</c:v>
                </c:pt>
                <c:pt idx="96">
                  <c:v>18.5</c:v>
                </c:pt>
                <c:pt idx="97">
                  <c:v>18.8</c:v>
                </c:pt>
                <c:pt idx="98">
                  <c:v>19.8</c:v>
                </c:pt>
                <c:pt idx="99">
                  <c:v>19.3</c:v>
                </c:pt>
                <c:pt idx="100">
                  <c:v>18.899999999999999</c:v>
                </c:pt>
                <c:pt idx="101">
                  <c:v>18.7</c:v>
                </c:pt>
                <c:pt idx="102">
                  <c:v>18.5</c:v>
                </c:pt>
                <c:pt idx="103">
                  <c:v>18.399999999999999</c:v>
                </c:pt>
                <c:pt idx="104">
                  <c:v>18.3</c:v>
                </c:pt>
                <c:pt idx="105">
                  <c:v>18.100000000000001</c:v>
                </c:pt>
                <c:pt idx="106">
                  <c:v>18.3</c:v>
                </c:pt>
                <c:pt idx="107">
                  <c:v>18.5</c:v>
                </c:pt>
                <c:pt idx="108">
                  <c:v>19.100000000000001</c:v>
                </c:pt>
                <c:pt idx="109">
                  <c:v>19.3</c:v>
                </c:pt>
                <c:pt idx="110">
                  <c:v>19.100000000000001</c:v>
                </c:pt>
                <c:pt idx="111">
                  <c:v>18.8</c:v>
                </c:pt>
                <c:pt idx="112">
                  <c:v>18.3</c:v>
                </c:pt>
                <c:pt idx="113">
                  <c:v>18</c:v>
                </c:pt>
                <c:pt idx="114">
                  <c:v>17.8</c:v>
                </c:pt>
                <c:pt idx="115">
                  <c:v>17.5</c:v>
                </c:pt>
                <c:pt idx="116">
                  <c:v>17.399999999999999</c:v>
                </c:pt>
                <c:pt idx="117">
                  <c:v>17.3</c:v>
                </c:pt>
                <c:pt idx="118" formatCode="0.0">
                  <c:v>17.600000000000001</c:v>
                </c:pt>
                <c:pt idx="119">
                  <c:v>17.899999999999999</c:v>
                </c:pt>
                <c:pt idx="120">
                  <c:v>18.2</c:v>
                </c:pt>
                <c:pt idx="121">
                  <c:v>18.2</c:v>
                </c:pt>
                <c:pt idx="122">
                  <c:v>18.399999999999999</c:v>
                </c:pt>
                <c:pt idx="123">
                  <c:v>17.7</c:v>
                </c:pt>
                <c:pt idx="124">
                  <c:v>17.100000000000001</c:v>
                </c:pt>
                <c:pt idx="125">
                  <c:v>16.600000000000001</c:v>
                </c:pt>
                <c:pt idx="126">
                  <c:v>16.399999999999999</c:v>
                </c:pt>
                <c:pt idx="127">
                  <c:v>16</c:v>
                </c:pt>
                <c:pt idx="128">
                  <c:v>15.7</c:v>
                </c:pt>
                <c:pt idx="129">
                  <c:v>15.6</c:v>
                </c:pt>
                <c:pt idx="130">
                  <c:v>15.7</c:v>
                </c:pt>
                <c:pt idx="131">
                  <c:v>15.8</c:v>
                </c:pt>
                <c:pt idx="132">
                  <c:v>16</c:v>
                </c:pt>
                <c:pt idx="133">
                  <c:v>16</c:v>
                </c:pt>
                <c:pt idx="134">
                  <c:v>16.399999999999999</c:v>
                </c:pt>
                <c:pt idx="135">
                  <c:v>15.9</c:v>
                </c:pt>
                <c:pt idx="136">
                  <c:v>15.4</c:v>
                </c:pt>
                <c:pt idx="137">
                  <c:v>14.9</c:v>
                </c:pt>
                <c:pt idx="138">
                  <c:v>14.7</c:v>
                </c:pt>
                <c:pt idx="139">
                  <c:v>14.4</c:v>
                </c:pt>
                <c:pt idx="140">
                  <c:v>14.3</c:v>
                </c:pt>
                <c:pt idx="141">
                  <c:v>14.2</c:v>
                </c:pt>
                <c:pt idx="142">
                  <c:v>14.4</c:v>
                </c:pt>
                <c:pt idx="143">
                  <c:v>14.7</c:v>
                </c:pt>
                <c:pt idx="144">
                  <c:v>15</c:v>
                </c:pt>
                <c:pt idx="145">
                  <c:v>15.2</c:v>
                </c:pt>
                <c:pt idx="146">
                  <c:v>15.4</c:v>
                </c:pt>
                <c:pt idx="147">
                  <c:v>14.9</c:v>
                </c:pt>
                <c:pt idx="148">
                  <c:v>14.4</c:v>
                </c:pt>
                <c:pt idx="149">
                  <c:v>14.1</c:v>
                </c:pt>
                <c:pt idx="150">
                  <c:v>13.8</c:v>
                </c:pt>
                <c:pt idx="151">
                  <c:v>13.6</c:v>
                </c:pt>
                <c:pt idx="152">
                  <c:v>13.3</c:v>
                </c:pt>
                <c:pt idx="153">
                  <c:v>13.2</c:v>
                </c:pt>
                <c:pt idx="154">
                  <c:v>13.3</c:v>
                </c:pt>
                <c:pt idx="155">
                  <c:v>13.8</c:v>
                </c:pt>
                <c:pt idx="156">
                  <c:v>13.9</c:v>
                </c:pt>
                <c:pt idx="157">
                  <c:v>13.9</c:v>
                </c:pt>
                <c:pt idx="158">
                  <c:v>14.5</c:v>
                </c:pt>
                <c:pt idx="159">
                  <c:v>15.3</c:v>
                </c:pt>
                <c:pt idx="160">
                  <c:v>15.7</c:v>
                </c:pt>
                <c:pt idx="161">
                  <c:v>16</c:v>
                </c:pt>
                <c:pt idx="162">
                  <c:v>16.100000000000001</c:v>
                </c:pt>
                <c:pt idx="163">
                  <c:v>15.8</c:v>
                </c:pt>
              </c:numCache>
            </c:numRef>
          </c:val>
          <c:smooth val="1"/>
          <c:extLst>
            <c:ext xmlns:c16="http://schemas.microsoft.com/office/drawing/2014/chart" uri="{C3380CC4-5D6E-409C-BE32-E72D297353CC}">
              <c16:uniqueId val="{00000003-F621-4679-8299-C93BAB7CE2F0}"/>
            </c:ext>
          </c:extLst>
        </c:ser>
        <c:ser>
          <c:idx val="3"/>
          <c:order val="3"/>
          <c:tx>
            <c:strRef>
              <c:f>Sheet2!$A$8</c:f>
              <c:strCache>
                <c:ptCount val="1"/>
                <c:pt idx="0">
                  <c:v>Vidzeme</c:v>
                </c:pt>
              </c:strCache>
            </c:strRef>
          </c:tx>
          <c:spPr>
            <a:ln w="28575" cap="rnd">
              <a:solidFill>
                <a:srgbClr val="A5A5A5"/>
              </a:solidFill>
              <a:round/>
            </a:ln>
            <a:effectLst/>
          </c:spPr>
          <c:marker>
            <c:symbol val="none"/>
          </c:marker>
          <c:cat>
            <c:strRef>
              <c:f>Sheet2!$B$4:$FI$4</c:f>
              <c:strCache>
                <c:ptCount val="164"/>
                <c:pt idx="0">
                  <c:v>2007`I</c:v>
                </c:pt>
                <c:pt idx="1">
                  <c:v>II</c:v>
                </c:pt>
                <c:pt idx="2">
                  <c:v>III</c:v>
                </c:pt>
                <c:pt idx="3">
                  <c:v>IV</c:v>
                </c:pt>
                <c:pt idx="4">
                  <c:v>V</c:v>
                </c:pt>
                <c:pt idx="5">
                  <c:v>VI</c:v>
                </c:pt>
                <c:pt idx="6">
                  <c:v>VII</c:v>
                </c:pt>
                <c:pt idx="7">
                  <c:v>VIII</c:v>
                </c:pt>
                <c:pt idx="8">
                  <c:v>IX</c:v>
                </c:pt>
                <c:pt idx="9">
                  <c:v>X</c:v>
                </c:pt>
                <c:pt idx="10">
                  <c:v>XI</c:v>
                </c:pt>
                <c:pt idx="11">
                  <c:v>XII</c:v>
                </c:pt>
                <c:pt idx="12">
                  <c:v>2008`I</c:v>
                </c:pt>
                <c:pt idx="13">
                  <c:v>II</c:v>
                </c:pt>
                <c:pt idx="14">
                  <c:v>III</c:v>
                </c:pt>
                <c:pt idx="15">
                  <c:v>IV</c:v>
                </c:pt>
                <c:pt idx="16">
                  <c:v>V</c:v>
                </c:pt>
                <c:pt idx="17">
                  <c:v>VI</c:v>
                </c:pt>
                <c:pt idx="18">
                  <c:v>VII</c:v>
                </c:pt>
                <c:pt idx="19">
                  <c:v>VIII</c:v>
                </c:pt>
                <c:pt idx="20">
                  <c:v>IX</c:v>
                </c:pt>
                <c:pt idx="21">
                  <c:v>X</c:v>
                </c:pt>
                <c:pt idx="22">
                  <c:v>XI</c:v>
                </c:pt>
                <c:pt idx="23">
                  <c:v>XII</c:v>
                </c:pt>
                <c:pt idx="24">
                  <c:v>2009`I</c:v>
                </c:pt>
                <c:pt idx="25">
                  <c:v>II</c:v>
                </c:pt>
                <c:pt idx="26">
                  <c:v>III</c:v>
                </c:pt>
                <c:pt idx="27">
                  <c:v>IV</c:v>
                </c:pt>
                <c:pt idx="28">
                  <c:v>V</c:v>
                </c:pt>
                <c:pt idx="29">
                  <c:v>VI</c:v>
                </c:pt>
                <c:pt idx="30">
                  <c:v>VII</c:v>
                </c:pt>
                <c:pt idx="31">
                  <c:v>VIII</c:v>
                </c:pt>
                <c:pt idx="32">
                  <c:v>IX</c:v>
                </c:pt>
                <c:pt idx="33">
                  <c:v>X</c:v>
                </c:pt>
                <c:pt idx="34">
                  <c:v>XI</c:v>
                </c:pt>
                <c:pt idx="35">
                  <c:v>XII</c:v>
                </c:pt>
                <c:pt idx="36">
                  <c:v>2010`I</c:v>
                </c:pt>
                <c:pt idx="37">
                  <c:v>II</c:v>
                </c:pt>
                <c:pt idx="38">
                  <c:v>III</c:v>
                </c:pt>
                <c:pt idx="39">
                  <c:v>IV</c:v>
                </c:pt>
                <c:pt idx="40">
                  <c:v>V</c:v>
                </c:pt>
                <c:pt idx="41">
                  <c:v>VI</c:v>
                </c:pt>
                <c:pt idx="42">
                  <c:v>VII</c:v>
                </c:pt>
                <c:pt idx="43">
                  <c:v>VIII</c:v>
                </c:pt>
                <c:pt idx="44">
                  <c:v>IX</c:v>
                </c:pt>
                <c:pt idx="45">
                  <c:v>X</c:v>
                </c:pt>
                <c:pt idx="46">
                  <c:v>XI</c:v>
                </c:pt>
                <c:pt idx="47">
                  <c:v>XII</c:v>
                </c:pt>
                <c:pt idx="48">
                  <c:v>2011`I</c:v>
                </c:pt>
                <c:pt idx="49">
                  <c:v>II</c:v>
                </c:pt>
                <c:pt idx="50">
                  <c:v>III</c:v>
                </c:pt>
                <c:pt idx="51">
                  <c:v>IV</c:v>
                </c:pt>
                <c:pt idx="52">
                  <c:v>V</c:v>
                </c:pt>
                <c:pt idx="53">
                  <c:v>VI</c:v>
                </c:pt>
                <c:pt idx="54">
                  <c:v>VII</c:v>
                </c:pt>
                <c:pt idx="55">
                  <c:v>VIII</c:v>
                </c:pt>
                <c:pt idx="56">
                  <c:v>IX</c:v>
                </c:pt>
                <c:pt idx="57">
                  <c:v>X</c:v>
                </c:pt>
                <c:pt idx="58">
                  <c:v>XI</c:v>
                </c:pt>
                <c:pt idx="59">
                  <c:v>XII</c:v>
                </c:pt>
                <c:pt idx="60">
                  <c:v>2012`I</c:v>
                </c:pt>
                <c:pt idx="61">
                  <c:v>II</c:v>
                </c:pt>
                <c:pt idx="62">
                  <c:v>III</c:v>
                </c:pt>
                <c:pt idx="63">
                  <c:v>IV</c:v>
                </c:pt>
                <c:pt idx="64">
                  <c:v>V</c:v>
                </c:pt>
                <c:pt idx="65">
                  <c:v>VI</c:v>
                </c:pt>
                <c:pt idx="66">
                  <c:v>VII</c:v>
                </c:pt>
                <c:pt idx="67">
                  <c:v>VIII</c:v>
                </c:pt>
                <c:pt idx="68">
                  <c:v>IX</c:v>
                </c:pt>
                <c:pt idx="69">
                  <c:v>X</c:v>
                </c:pt>
                <c:pt idx="70">
                  <c:v>XI</c:v>
                </c:pt>
                <c:pt idx="71">
                  <c:v>XII</c:v>
                </c:pt>
                <c:pt idx="72">
                  <c:v>2013`I</c:v>
                </c:pt>
                <c:pt idx="73">
                  <c:v>II</c:v>
                </c:pt>
                <c:pt idx="74">
                  <c:v>III</c:v>
                </c:pt>
                <c:pt idx="75">
                  <c:v>IV</c:v>
                </c:pt>
                <c:pt idx="76">
                  <c:v>V</c:v>
                </c:pt>
                <c:pt idx="77">
                  <c:v>VI</c:v>
                </c:pt>
                <c:pt idx="78">
                  <c:v>VII</c:v>
                </c:pt>
                <c:pt idx="79">
                  <c:v>VIII</c:v>
                </c:pt>
                <c:pt idx="80">
                  <c:v>IX</c:v>
                </c:pt>
                <c:pt idx="81">
                  <c:v>X</c:v>
                </c:pt>
                <c:pt idx="82">
                  <c:v>XI</c:v>
                </c:pt>
                <c:pt idx="83">
                  <c:v>XII</c:v>
                </c:pt>
                <c:pt idx="84">
                  <c:v>2014`I</c:v>
                </c:pt>
                <c:pt idx="85">
                  <c:v>II</c:v>
                </c:pt>
                <c:pt idx="86">
                  <c:v>III</c:v>
                </c:pt>
                <c:pt idx="87">
                  <c:v>IV</c:v>
                </c:pt>
                <c:pt idx="88">
                  <c:v>V</c:v>
                </c:pt>
                <c:pt idx="89">
                  <c:v>VI</c:v>
                </c:pt>
                <c:pt idx="90">
                  <c:v>VII</c:v>
                </c:pt>
                <c:pt idx="91">
                  <c:v>VIII</c:v>
                </c:pt>
                <c:pt idx="92">
                  <c:v>IX</c:v>
                </c:pt>
                <c:pt idx="93">
                  <c:v>X</c:v>
                </c:pt>
                <c:pt idx="94">
                  <c:v>XI</c:v>
                </c:pt>
                <c:pt idx="95">
                  <c:v>XII</c:v>
                </c:pt>
                <c:pt idx="96">
                  <c:v>2015`I</c:v>
                </c:pt>
                <c:pt idx="97">
                  <c:v>II</c:v>
                </c:pt>
                <c:pt idx="98">
                  <c:v>III</c:v>
                </c:pt>
                <c:pt idx="99">
                  <c:v>IV</c:v>
                </c:pt>
                <c:pt idx="100">
                  <c:v>V</c:v>
                </c:pt>
                <c:pt idx="101">
                  <c:v>VI</c:v>
                </c:pt>
                <c:pt idx="102">
                  <c:v>VII</c:v>
                </c:pt>
                <c:pt idx="103">
                  <c:v>VIII</c:v>
                </c:pt>
                <c:pt idx="104">
                  <c:v>IX</c:v>
                </c:pt>
                <c:pt idx="105">
                  <c:v>X</c:v>
                </c:pt>
                <c:pt idx="106">
                  <c:v>XI</c:v>
                </c:pt>
                <c:pt idx="107">
                  <c:v>XII</c:v>
                </c:pt>
                <c:pt idx="108">
                  <c:v>2016`I</c:v>
                </c:pt>
                <c:pt idx="109">
                  <c:v>II</c:v>
                </c:pt>
                <c:pt idx="110">
                  <c:v>III</c:v>
                </c:pt>
                <c:pt idx="111">
                  <c:v>IV</c:v>
                </c:pt>
                <c:pt idx="112">
                  <c:v>V</c:v>
                </c:pt>
                <c:pt idx="113">
                  <c:v>VI</c:v>
                </c:pt>
                <c:pt idx="114">
                  <c:v>VII</c:v>
                </c:pt>
                <c:pt idx="115">
                  <c:v>VIII</c:v>
                </c:pt>
                <c:pt idx="116">
                  <c:v>IX</c:v>
                </c:pt>
                <c:pt idx="117">
                  <c:v>X</c:v>
                </c:pt>
                <c:pt idx="118">
                  <c:v>XI</c:v>
                </c:pt>
                <c:pt idx="119">
                  <c:v>XII</c:v>
                </c:pt>
                <c:pt idx="120">
                  <c:v>2017`I</c:v>
                </c:pt>
                <c:pt idx="121">
                  <c:v>II</c:v>
                </c:pt>
                <c:pt idx="122">
                  <c:v>III</c:v>
                </c:pt>
                <c:pt idx="123">
                  <c:v>IV</c:v>
                </c:pt>
                <c:pt idx="124">
                  <c:v>V</c:v>
                </c:pt>
                <c:pt idx="125">
                  <c:v>VI</c:v>
                </c:pt>
                <c:pt idx="126">
                  <c:v>VII</c:v>
                </c:pt>
                <c:pt idx="127">
                  <c:v>VIII</c:v>
                </c:pt>
                <c:pt idx="128">
                  <c:v>IX</c:v>
                </c:pt>
                <c:pt idx="129">
                  <c:v>X</c:v>
                </c:pt>
                <c:pt idx="130">
                  <c:v>XI</c:v>
                </c:pt>
                <c:pt idx="131">
                  <c:v>XII</c:v>
                </c:pt>
                <c:pt idx="132">
                  <c:v>2018`I</c:v>
                </c:pt>
                <c:pt idx="133">
                  <c:v>II</c:v>
                </c:pt>
                <c:pt idx="134">
                  <c:v>III</c:v>
                </c:pt>
                <c:pt idx="135">
                  <c:v>IV</c:v>
                </c:pt>
                <c:pt idx="136">
                  <c:v>V</c:v>
                </c:pt>
                <c:pt idx="137">
                  <c:v>VI</c:v>
                </c:pt>
                <c:pt idx="138">
                  <c:v>VII</c:v>
                </c:pt>
                <c:pt idx="139">
                  <c:v>VIII</c:v>
                </c:pt>
                <c:pt idx="140">
                  <c:v>IX</c:v>
                </c:pt>
                <c:pt idx="141">
                  <c:v>X</c:v>
                </c:pt>
                <c:pt idx="142">
                  <c:v>XI</c:v>
                </c:pt>
                <c:pt idx="143">
                  <c:v>XII</c:v>
                </c:pt>
                <c:pt idx="144">
                  <c:v>2019`I</c:v>
                </c:pt>
                <c:pt idx="145">
                  <c:v>II</c:v>
                </c:pt>
                <c:pt idx="146">
                  <c:v>III</c:v>
                </c:pt>
                <c:pt idx="147">
                  <c:v>IV</c:v>
                </c:pt>
                <c:pt idx="148">
                  <c:v>V</c:v>
                </c:pt>
                <c:pt idx="149">
                  <c:v>VI</c:v>
                </c:pt>
                <c:pt idx="150">
                  <c:v>VII</c:v>
                </c:pt>
                <c:pt idx="151">
                  <c:v>VIII</c:v>
                </c:pt>
                <c:pt idx="152">
                  <c:v>IX</c:v>
                </c:pt>
                <c:pt idx="153">
                  <c:v>X</c:v>
                </c:pt>
                <c:pt idx="154">
                  <c:v>XI</c:v>
                </c:pt>
                <c:pt idx="155">
                  <c:v>XII</c:v>
                </c:pt>
                <c:pt idx="156">
                  <c:v>2020`I</c:v>
                </c:pt>
                <c:pt idx="157">
                  <c:v>II</c:v>
                </c:pt>
                <c:pt idx="158">
                  <c:v>III</c:v>
                </c:pt>
                <c:pt idx="159">
                  <c:v>IV</c:v>
                </c:pt>
                <c:pt idx="160">
                  <c:v>V</c:v>
                </c:pt>
                <c:pt idx="161">
                  <c:v>VI</c:v>
                </c:pt>
                <c:pt idx="162">
                  <c:v>VII</c:v>
                </c:pt>
                <c:pt idx="163">
                  <c:v>VIII</c:v>
                </c:pt>
              </c:strCache>
            </c:strRef>
          </c:cat>
          <c:val>
            <c:numRef>
              <c:f>Sheet2!$B$8:$FI$8</c:f>
              <c:numCache>
                <c:formatCode>General</c:formatCode>
                <c:ptCount val="164"/>
                <c:pt idx="1">
                  <c:v>6.8</c:v>
                </c:pt>
                <c:pt idx="2">
                  <c:v>6.6</c:v>
                </c:pt>
                <c:pt idx="3">
                  <c:v>6.4</c:v>
                </c:pt>
                <c:pt idx="4">
                  <c:v>6.1</c:v>
                </c:pt>
                <c:pt idx="5">
                  <c:v>6</c:v>
                </c:pt>
                <c:pt idx="6">
                  <c:v>5.7</c:v>
                </c:pt>
                <c:pt idx="7">
                  <c:v>5.5</c:v>
                </c:pt>
                <c:pt idx="8">
                  <c:v>5.2</c:v>
                </c:pt>
                <c:pt idx="9">
                  <c:v>4.9000000000000004</c:v>
                </c:pt>
                <c:pt idx="10">
                  <c:v>5</c:v>
                </c:pt>
                <c:pt idx="11">
                  <c:v>5</c:v>
                </c:pt>
                <c:pt idx="12">
                  <c:v>5.2</c:v>
                </c:pt>
                <c:pt idx="13">
                  <c:v>5.0999999999999996</c:v>
                </c:pt>
                <c:pt idx="14">
                  <c:v>4.9000000000000004</c:v>
                </c:pt>
                <c:pt idx="15">
                  <c:v>4.8</c:v>
                </c:pt>
                <c:pt idx="16">
                  <c:v>4.8</c:v>
                </c:pt>
                <c:pt idx="17">
                  <c:v>4.9000000000000004</c:v>
                </c:pt>
                <c:pt idx="18">
                  <c:v>5.0999999999999996</c:v>
                </c:pt>
                <c:pt idx="19">
                  <c:v>5.2</c:v>
                </c:pt>
                <c:pt idx="20">
                  <c:v>5.3</c:v>
                </c:pt>
                <c:pt idx="21">
                  <c:v>5.7</c:v>
                </c:pt>
                <c:pt idx="22">
                  <c:v>6.4</c:v>
                </c:pt>
                <c:pt idx="23">
                  <c:v>7.4</c:v>
                </c:pt>
                <c:pt idx="24">
                  <c:v>8.8000000000000007</c:v>
                </c:pt>
                <c:pt idx="25">
                  <c:v>10.199999999999999</c:v>
                </c:pt>
                <c:pt idx="26">
                  <c:v>11.5</c:v>
                </c:pt>
                <c:pt idx="27">
                  <c:v>11.9</c:v>
                </c:pt>
                <c:pt idx="28">
                  <c:v>12</c:v>
                </c:pt>
                <c:pt idx="29">
                  <c:v>12</c:v>
                </c:pt>
                <c:pt idx="30">
                  <c:v>12.2</c:v>
                </c:pt>
                <c:pt idx="31">
                  <c:v>12.7</c:v>
                </c:pt>
                <c:pt idx="32">
                  <c:v>14</c:v>
                </c:pt>
                <c:pt idx="33">
                  <c:v>15.3</c:v>
                </c:pt>
                <c:pt idx="34">
                  <c:v>16.8</c:v>
                </c:pt>
                <c:pt idx="35">
                  <c:v>17.899999999999999</c:v>
                </c:pt>
                <c:pt idx="36">
                  <c:v>18.600000000000001</c:v>
                </c:pt>
                <c:pt idx="37">
                  <c:v>19.2</c:v>
                </c:pt>
                <c:pt idx="38">
                  <c:v>19.5</c:v>
                </c:pt>
                <c:pt idx="39">
                  <c:v>18.7</c:v>
                </c:pt>
                <c:pt idx="40">
                  <c:v>17.899999999999999</c:v>
                </c:pt>
                <c:pt idx="41">
                  <c:v>17.399999999999999</c:v>
                </c:pt>
                <c:pt idx="42">
                  <c:v>17.100000000000001</c:v>
                </c:pt>
                <c:pt idx="43">
                  <c:v>16.7</c:v>
                </c:pt>
                <c:pt idx="44">
                  <c:v>16.3</c:v>
                </c:pt>
                <c:pt idx="45">
                  <c:v>16</c:v>
                </c:pt>
                <c:pt idx="46">
                  <c:v>16</c:v>
                </c:pt>
                <c:pt idx="47">
                  <c:v>16.2</c:v>
                </c:pt>
                <c:pt idx="48">
                  <c:v>16.399999999999999</c:v>
                </c:pt>
                <c:pt idx="49">
                  <c:v>16.399999999999999</c:v>
                </c:pt>
                <c:pt idx="50">
                  <c:v>16.399999999999999</c:v>
                </c:pt>
                <c:pt idx="51">
                  <c:v>15.7</c:v>
                </c:pt>
                <c:pt idx="52">
                  <c:v>14.8</c:v>
                </c:pt>
                <c:pt idx="53">
                  <c:v>14.2</c:v>
                </c:pt>
                <c:pt idx="54">
                  <c:v>13.7</c:v>
                </c:pt>
                <c:pt idx="55">
                  <c:v>13.3</c:v>
                </c:pt>
                <c:pt idx="56">
                  <c:v>13</c:v>
                </c:pt>
                <c:pt idx="57">
                  <c:v>12.9</c:v>
                </c:pt>
                <c:pt idx="58">
                  <c:v>12.9</c:v>
                </c:pt>
                <c:pt idx="59">
                  <c:v>13</c:v>
                </c:pt>
                <c:pt idx="60">
                  <c:v>13.4</c:v>
                </c:pt>
                <c:pt idx="61">
                  <c:v>13.5</c:v>
                </c:pt>
                <c:pt idx="62">
                  <c:v>13.4</c:v>
                </c:pt>
                <c:pt idx="63" formatCode="0.0">
                  <c:v>15.1</c:v>
                </c:pt>
                <c:pt idx="64" formatCode="0.0">
                  <c:v>14.4</c:v>
                </c:pt>
                <c:pt idx="65">
                  <c:v>13.9</c:v>
                </c:pt>
                <c:pt idx="66">
                  <c:v>13.7</c:v>
                </c:pt>
                <c:pt idx="67">
                  <c:v>13.4</c:v>
                </c:pt>
                <c:pt idx="68">
                  <c:v>13</c:v>
                </c:pt>
                <c:pt idx="69">
                  <c:v>12.8</c:v>
                </c:pt>
                <c:pt idx="70">
                  <c:v>12.8</c:v>
                </c:pt>
                <c:pt idx="71">
                  <c:v>12.8</c:v>
                </c:pt>
                <c:pt idx="72">
                  <c:v>13.3</c:v>
                </c:pt>
                <c:pt idx="73">
                  <c:v>13.3</c:v>
                </c:pt>
                <c:pt idx="74">
                  <c:v>13.1</c:v>
                </c:pt>
                <c:pt idx="75">
                  <c:v>12.5</c:v>
                </c:pt>
                <c:pt idx="76">
                  <c:v>11.7</c:v>
                </c:pt>
                <c:pt idx="77">
                  <c:v>11.2</c:v>
                </c:pt>
                <c:pt idx="78">
                  <c:v>11</c:v>
                </c:pt>
                <c:pt idx="79">
                  <c:v>10.8</c:v>
                </c:pt>
                <c:pt idx="80">
                  <c:v>10.7</c:v>
                </c:pt>
                <c:pt idx="81">
                  <c:v>10.7</c:v>
                </c:pt>
                <c:pt idx="82">
                  <c:v>11</c:v>
                </c:pt>
                <c:pt idx="83">
                  <c:v>11.2</c:v>
                </c:pt>
                <c:pt idx="84">
                  <c:v>11.5</c:v>
                </c:pt>
                <c:pt idx="85">
                  <c:v>11.6</c:v>
                </c:pt>
                <c:pt idx="86">
                  <c:v>11.4</c:v>
                </c:pt>
                <c:pt idx="87">
                  <c:v>11</c:v>
                </c:pt>
                <c:pt idx="88">
                  <c:v>10.4</c:v>
                </c:pt>
                <c:pt idx="89">
                  <c:v>10.1</c:v>
                </c:pt>
                <c:pt idx="90">
                  <c:v>9.8000000000000007</c:v>
                </c:pt>
                <c:pt idx="91">
                  <c:v>9.6</c:v>
                </c:pt>
                <c:pt idx="92">
                  <c:v>9.4</c:v>
                </c:pt>
                <c:pt idx="93">
                  <c:v>9.4</c:v>
                </c:pt>
                <c:pt idx="94">
                  <c:v>9.6</c:v>
                </c:pt>
                <c:pt idx="95">
                  <c:v>9.9</c:v>
                </c:pt>
                <c:pt idx="96">
                  <c:v>10.4</c:v>
                </c:pt>
                <c:pt idx="97">
                  <c:v>10.6</c:v>
                </c:pt>
                <c:pt idx="98">
                  <c:v>10.199999999999999</c:v>
                </c:pt>
                <c:pt idx="99">
                  <c:v>9.6999999999999993</c:v>
                </c:pt>
                <c:pt idx="100">
                  <c:v>9.4</c:v>
                </c:pt>
                <c:pt idx="101">
                  <c:v>9.4</c:v>
                </c:pt>
                <c:pt idx="102">
                  <c:v>9.4</c:v>
                </c:pt>
                <c:pt idx="103">
                  <c:v>9.1999999999999993</c:v>
                </c:pt>
                <c:pt idx="104">
                  <c:v>9</c:v>
                </c:pt>
                <c:pt idx="105">
                  <c:v>9</c:v>
                </c:pt>
                <c:pt idx="106">
                  <c:v>9.1999999999999993</c:v>
                </c:pt>
                <c:pt idx="107">
                  <c:v>9.5</c:v>
                </c:pt>
                <c:pt idx="108">
                  <c:v>10</c:v>
                </c:pt>
                <c:pt idx="109">
                  <c:v>10</c:v>
                </c:pt>
                <c:pt idx="110">
                  <c:v>10.1</c:v>
                </c:pt>
                <c:pt idx="111">
                  <c:v>9.5</c:v>
                </c:pt>
                <c:pt idx="112">
                  <c:v>9.1</c:v>
                </c:pt>
                <c:pt idx="113">
                  <c:v>8.9</c:v>
                </c:pt>
                <c:pt idx="114">
                  <c:v>8.6999999999999993</c:v>
                </c:pt>
                <c:pt idx="115">
                  <c:v>8.6</c:v>
                </c:pt>
                <c:pt idx="116">
                  <c:v>8.6</c:v>
                </c:pt>
                <c:pt idx="117">
                  <c:v>8.6</c:v>
                </c:pt>
                <c:pt idx="118" formatCode="0.0">
                  <c:v>8.8000000000000007</c:v>
                </c:pt>
                <c:pt idx="119">
                  <c:v>9.1999999999999993</c:v>
                </c:pt>
                <c:pt idx="120">
                  <c:v>9.4</c:v>
                </c:pt>
                <c:pt idx="121">
                  <c:v>9.1999999999999993</c:v>
                </c:pt>
                <c:pt idx="122">
                  <c:v>9.3000000000000007</c:v>
                </c:pt>
                <c:pt idx="123">
                  <c:v>8.4</c:v>
                </c:pt>
                <c:pt idx="124">
                  <c:v>8</c:v>
                </c:pt>
                <c:pt idx="125">
                  <c:v>7.8</c:v>
                </c:pt>
                <c:pt idx="126">
                  <c:v>7.6</c:v>
                </c:pt>
                <c:pt idx="127">
                  <c:v>7.4</c:v>
                </c:pt>
                <c:pt idx="128">
                  <c:v>7.1</c:v>
                </c:pt>
                <c:pt idx="129">
                  <c:v>7</c:v>
                </c:pt>
                <c:pt idx="130">
                  <c:v>7.2</c:v>
                </c:pt>
                <c:pt idx="131">
                  <c:v>7.5</c:v>
                </c:pt>
                <c:pt idx="132">
                  <c:v>7.8</c:v>
                </c:pt>
                <c:pt idx="133">
                  <c:v>7.8</c:v>
                </c:pt>
                <c:pt idx="134">
                  <c:v>7.5</c:v>
                </c:pt>
                <c:pt idx="135">
                  <c:v>7.1</c:v>
                </c:pt>
                <c:pt idx="136">
                  <c:v>6.6</c:v>
                </c:pt>
                <c:pt idx="137">
                  <c:v>6.5</c:v>
                </c:pt>
                <c:pt idx="138">
                  <c:v>6.4</c:v>
                </c:pt>
                <c:pt idx="139">
                  <c:v>6.3</c:v>
                </c:pt>
                <c:pt idx="140">
                  <c:v>6.1</c:v>
                </c:pt>
                <c:pt idx="141">
                  <c:v>6.1</c:v>
                </c:pt>
                <c:pt idx="142">
                  <c:v>6.2</c:v>
                </c:pt>
                <c:pt idx="143">
                  <c:v>6.4</c:v>
                </c:pt>
                <c:pt idx="144">
                  <c:v>6.7</c:v>
                </c:pt>
                <c:pt idx="145">
                  <c:v>6.8</c:v>
                </c:pt>
                <c:pt idx="146">
                  <c:v>6.6</c:v>
                </c:pt>
                <c:pt idx="147">
                  <c:v>6.2</c:v>
                </c:pt>
                <c:pt idx="148">
                  <c:v>5.8</c:v>
                </c:pt>
                <c:pt idx="149">
                  <c:v>5.8</c:v>
                </c:pt>
                <c:pt idx="150">
                  <c:v>5.7</c:v>
                </c:pt>
                <c:pt idx="151">
                  <c:v>5.6</c:v>
                </c:pt>
                <c:pt idx="152">
                  <c:v>5.4</c:v>
                </c:pt>
                <c:pt idx="153">
                  <c:v>5.4</c:v>
                </c:pt>
                <c:pt idx="154">
                  <c:v>5.6</c:v>
                </c:pt>
                <c:pt idx="155">
                  <c:v>5.9</c:v>
                </c:pt>
                <c:pt idx="156">
                  <c:v>6</c:v>
                </c:pt>
                <c:pt idx="157">
                  <c:v>6</c:v>
                </c:pt>
                <c:pt idx="158">
                  <c:v>6.7</c:v>
                </c:pt>
                <c:pt idx="159">
                  <c:v>7.7</c:v>
                </c:pt>
                <c:pt idx="160">
                  <c:v>8</c:v>
                </c:pt>
                <c:pt idx="161">
                  <c:v>8.1999999999999993</c:v>
                </c:pt>
                <c:pt idx="162">
                  <c:v>8.1999999999999993</c:v>
                </c:pt>
                <c:pt idx="163">
                  <c:v>7.8</c:v>
                </c:pt>
              </c:numCache>
            </c:numRef>
          </c:val>
          <c:smooth val="1"/>
          <c:extLst>
            <c:ext xmlns:c16="http://schemas.microsoft.com/office/drawing/2014/chart" uri="{C3380CC4-5D6E-409C-BE32-E72D297353CC}">
              <c16:uniqueId val="{00000004-F621-4679-8299-C93BAB7CE2F0}"/>
            </c:ext>
          </c:extLst>
        </c:ser>
        <c:ser>
          <c:idx val="4"/>
          <c:order val="4"/>
          <c:tx>
            <c:strRef>
              <c:f>Sheet2!$A$9</c:f>
              <c:strCache>
                <c:ptCount val="1"/>
                <c:pt idx="0">
                  <c:v>Zemgale</c:v>
                </c:pt>
              </c:strCache>
            </c:strRef>
          </c:tx>
          <c:spPr>
            <a:ln w="28575" cap="rnd">
              <a:solidFill>
                <a:schemeClr val="accent5"/>
              </a:solidFill>
              <a:round/>
            </a:ln>
            <a:effectLst/>
          </c:spPr>
          <c:marker>
            <c:symbol val="none"/>
          </c:marker>
          <c:cat>
            <c:strRef>
              <c:f>Sheet2!$B$4:$FI$4</c:f>
              <c:strCache>
                <c:ptCount val="164"/>
                <c:pt idx="0">
                  <c:v>2007`I</c:v>
                </c:pt>
                <c:pt idx="1">
                  <c:v>II</c:v>
                </c:pt>
                <c:pt idx="2">
                  <c:v>III</c:v>
                </c:pt>
                <c:pt idx="3">
                  <c:v>IV</c:v>
                </c:pt>
                <c:pt idx="4">
                  <c:v>V</c:v>
                </c:pt>
                <c:pt idx="5">
                  <c:v>VI</c:v>
                </c:pt>
                <c:pt idx="6">
                  <c:v>VII</c:v>
                </c:pt>
                <c:pt idx="7">
                  <c:v>VIII</c:v>
                </c:pt>
                <c:pt idx="8">
                  <c:v>IX</c:v>
                </c:pt>
                <c:pt idx="9">
                  <c:v>X</c:v>
                </c:pt>
                <c:pt idx="10">
                  <c:v>XI</c:v>
                </c:pt>
                <c:pt idx="11">
                  <c:v>XII</c:v>
                </c:pt>
                <c:pt idx="12">
                  <c:v>2008`I</c:v>
                </c:pt>
                <c:pt idx="13">
                  <c:v>II</c:v>
                </c:pt>
                <c:pt idx="14">
                  <c:v>III</c:v>
                </c:pt>
                <c:pt idx="15">
                  <c:v>IV</c:v>
                </c:pt>
                <c:pt idx="16">
                  <c:v>V</c:v>
                </c:pt>
                <c:pt idx="17">
                  <c:v>VI</c:v>
                </c:pt>
                <c:pt idx="18">
                  <c:v>VII</c:v>
                </c:pt>
                <c:pt idx="19">
                  <c:v>VIII</c:v>
                </c:pt>
                <c:pt idx="20">
                  <c:v>IX</c:v>
                </c:pt>
                <c:pt idx="21">
                  <c:v>X</c:v>
                </c:pt>
                <c:pt idx="22">
                  <c:v>XI</c:v>
                </c:pt>
                <c:pt idx="23">
                  <c:v>XII</c:v>
                </c:pt>
                <c:pt idx="24">
                  <c:v>2009`I</c:v>
                </c:pt>
                <c:pt idx="25">
                  <c:v>II</c:v>
                </c:pt>
                <c:pt idx="26">
                  <c:v>III</c:v>
                </c:pt>
                <c:pt idx="27">
                  <c:v>IV</c:v>
                </c:pt>
                <c:pt idx="28">
                  <c:v>V</c:v>
                </c:pt>
                <c:pt idx="29">
                  <c:v>VI</c:v>
                </c:pt>
                <c:pt idx="30">
                  <c:v>VII</c:v>
                </c:pt>
                <c:pt idx="31">
                  <c:v>VIII</c:v>
                </c:pt>
                <c:pt idx="32">
                  <c:v>IX</c:v>
                </c:pt>
                <c:pt idx="33">
                  <c:v>X</c:v>
                </c:pt>
                <c:pt idx="34">
                  <c:v>XI</c:v>
                </c:pt>
                <c:pt idx="35">
                  <c:v>XII</c:v>
                </c:pt>
                <c:pt idx="36">
                  <c:v>2010`I</c:v>
                </c:pt>
                <c:pt idx="37">
                  <c:v>II</c:v>
                </c:pt>
                <c:pt idx="38">
                  <c:v>III</c:v>
                </c:pt>
                <c:pt idx="39">
                  <c:v>IV</c:v>
                </c:pt>
                <c:pt idx="40">
                  <c:v>V</c:v>
                </c:pt>
                <c:pt idx="41">
                  <c:v>VI</c:v>
                </c:pt>
                <c:pt idx="42">
                  <c:v>VII</c:v>
                </c:pt>
                <c:pt idx="43">
                  <c:v>VIII</c:v>
                </c:pt>
                <c:pt idx="44">
                  <c:v>IX</c:v>
                </c:pt>
                <c:pt idx="45">
                  <c:v>X</c:v>
                </c:pt>
                <c:pt idx="46">
                  <c:v>XI</c:v>
                </c:pt>
                <c:pt idx="47">
                  <c:v>XII</c:v>
                </c:pt>
                <c:pt idx="48">
                  <c:v>2011`I</c:v>
                </c:pt>
                <c:pt idx="49">
                  <c:v>II</c:v>
                </c:pt>
                <c:pt idx="50">
                  <c:v>III</c:v>
                </c:pt>
                <c:pt idx="51">
                  <c:v>IV</c:v>
                </c:pt>
                <c:pt idx="52">
                  <c:v>V</c:v>
                </c:pt>
                <c:pt idx="53">
                  <c:v>VI</c:v>
                </c:pt>
                <c:pt idx="54">
                  <c:v>VII</c:v>
                </c:pt>
                <c:pt idx="55">
                  <c:v>VIII</c:v>
                </c:pt>
                <c:pt idx="56">
                  <c:v>IX</c:v>
                </c:pt>
                <c:pt idx="57">
                  <c:v>X</c:v>
                </c:pt>
                <c:pt idx="58">
                  <c:v>XI</c:v>
                </c:pt>
                <c:pt idx="59">
                  <c:v>XII</c:v>
                </c:pt>
                <c:pt idx="60">
                  <c:v>2012`I</c:v>
                </c:pt>
                <c:pt idx="61">
                  <c:v>II</c:v>
                </c:pt>
                <c:pt idx="62">
                  <c:v>III</c:v>
                </c:pt>
                <c:pt idx="63">
                  <c:v>IV</c:v>
                </c:pt>
                <c:pt idx="64">
                  <c:v>V</c:v>
                </c:pt>
                <c:pt idx="65">
                  <c:v>VI</c:v>
                </c:pt>
                <c:pt idx="66">
                  <c:v>VII</c:v>
                </c:pt>
                <c:pt idx="67">
                  <c:v>VIII</c:v>
                </c:pt>
                <c:pt idx="68">
                  <c:v>IX</c:v>
                </c:pt>
                <c:pt idx="69">
                  <c:v>X</c:v>
                </c:pt>
                <c:pt idx="70">
                  <c:v>XI</c:v>
                </c:pt>
                <c:pt idx="71">
                  <c:v>XII</c:v>
                </c:pt>
                <c:pt idx="72">
                  <c:v>2013`I</c:v>
                </c:pt>
                <c:pt idx="73">
                  <c:v>II</c:v>
                </c:pt>
                <c:pt idx="74">
                  <c:v>III</c:v>
                </c:pt>
                <c:pt idx="75">
                  <c:v>IV</c:v>
                </c:pt>
                <c:pt idx="76">
                  <c:v>V</c:v>
                </c:pt>
                <c:pt idx="77">
                  <c:v>VI</c:v>
                </c:pt>
                <c:pt idx="78">
                  <c:v>VII</c:v>
                </c:pt>
                <c:pt idx="79">
                  <c:v>VIII</c:v>
                </c:pt>
                <c:pt idx="80">
                  <c:v>IX</c:v>
                </c:pt>
                <c:pt idx="81">
                  <c:v>X</c:v>
                </c:pt>
                <c:pt idx="82">
                  <c:v>XI</c:v>
                </c:pt>
                <c:pt idx="83">
                  <c:v>XII</c:v>
                </c:pt>
                <c:pt idx="84">
                  <c:v>2014`I</c:v>
                </c:pt>
                <c:pt idx="85">
                  <c:v>II</c:v>
                </c:pt>
                <c:pt idx="86">
                  <c:v>III</c:v>
                </c:pt>
                <c:pt idx="87">
                  <c:v>IV</c:v>
                </c:pt>
                <c:pt idx="88">
                  <c:v>V</c:v>
                </c:pt>
                <c:pt idx="89">
                  <c:v>VI</c:v>
                </c:pt>
                <c:pt idx="90">
                  <c:v>VII</c:v>
                </c:pt>
                <c:pt idx="91">
                  <c:v>VIII</c:v>
                </c:pt>
                <c:pt idx="92">
                  <c:v>IX</c:v>
                </c:pt>
                <c:pt idx="93">
                  <c:v>X</c:v>
                </c:pt>
                <c:pt idx="94">
                  <c:v>XI</c:v>
                </c:pt>
                <c:pt idx="95">
                  <c:v>XII</c:v>
                </c:pt>
                <c:pt idx="96">
                  <c:v>2015`I</c:v>
                </c:pt>
                <c:pt idx="97">
                  <c:v>II</c:v>
                </c:pt>
                <c:pt idx="98">
                  <c:v>III</c:v>
                </c:pt>
                <c:pt idx="99">
                  <c:v>IV</c:v>
                </c:pt>
                <c:pt idx="100">
                  <c:v>V</c:v>
                </c:pt>
                <c:pt idx="101">
                  <c:v>VI</c:v>
                </c:pt>
                <c:pt idx="102">
                  <c:v>VII</c:v>
                </c:pt>
                <c:pt idx="103">
                  <c:v>VIII</c:v>
                </c:pt>
                <c:pt idx="104">
                  <c:v>IX</c:v>
                </c:pt>
                <c:pt idx="105">
                  <c:v>X</c:v>
                </c:pt>
                <c:pt idx="106">
                  <c:v>XI</c:v>
                </c:pt>
                <c:pt idx="107">
                  <c:v>XII</c:v>
                </c:pt>
                <c:pt idx="108">
                  <c:v>2016`I</c:v>
                </c:pt>
                <c:pt idx="109">
                  <c:v>II</c:v>
                </c:pt>
                <c:pt idx="110">
                  <c:v>III</c:v>
                </c:pt>
                <c:pt idx="111">
                  <c:v>IV</c:v>
                </c:pt>
                <c:pt idx="112">
                  <c:v>V</c:v>
                </c:pt>
                <c:pt idx="113">
                  <c:v>VI</c:v>
                </c:pt>
                <c:pt idx="114">
                  <c:v>VII</c:v>
                </c:pt>
                <c:pt idx="115">
                  <c:v>VIII</c:v>
                </c:pt>
                <c:pt idx="116">
                  <c:v>IX</c:v>
                </c:pt>
                <c:pt idx="117">
                  <c:v>X</c:v>
                </c:pt>
                <c:pt idx="118">
                  <c:v>XI</c:v>
                </c:pt>
                <c:pt idx="119">
                  <c:v>XII</c:v>
                </c:pt>
                <c:pt idx="120">
                  <c:v>2017`I</c:v>
                </c:pt>
                <c:pt idx="121">
                  <c:v>II</c:v>
                </c:pt>
                <c:pt idx="122">
                  <c:v>III</c:v>
                </c:pt>
                <c:pt idx="123">
                  <c:v>IV</c:v>
                </c:pt>
                <c:pt idx="124">
                  <c:v>V</c:v>
                </c:pt>
                <c:pt idx="125">
                  <c:v>VI</c:v>
                </c:pt>
                <c:pt idx="126">
                  <c:v>VII</c:v>
                </c:pt>
                <c:pt idx="127">
                  <c:v>VIII</c:v>
                </c:pt>
                <c:pt idx="128">
                  <c:v>IX</c:v>
                </c:pt>
                <c:pt idx="129">
                  <c:v>X</c:v>
                </c:pt>
                <c:pt idx="130">
                  <c:v>XI</c:v>
                </c:pt>
                <c:pt idx="131">
                  <c:v>XII</c:v>
                </c:pt>
                <c:pt idx="132">
                  <c:v>2018`I</c:v>
                </c:pt>
                <c:pt idx="133">
                  <c:v>II</c:v>
                </c:pt>
                <c:pt idx="134">
                  <c:v>III</c:v>
                </c:pt>
                <c:pt idx="135">
                  <c:v>IV</c:v>
                </c:pt>
                <c:pt idx="136">
                  <c:v>V</c:v>
                </c:pt>
                <c:pt idx="137">
                  <c:v>VI</c:v>
                </c:pt>
                <c:pt idx="138">
                  <c:v>VII</c:v>
                </c:pt>
                <c:pt idx="139">
                  <c:v>VIII</c:v>
                </c:pt>
                <c:pt idx="140">
                  <c:v>IX</c:v>
                </c:pt>
                <c:pt idx="141">
                  <c:v>X</c:v>
                </c:pt>
                <c:pt idx="142">
                  <c:v>XI</c:v>
                </c:pt>
                <c:pt idx="143">
                  <c:v>XII</c:v>
                </c:pt>
                <c:pt idx="144">
                  <c:v>2019`I</c:v>
                </c:pt>
                <c:pt idx="145">
                  <c:v>II</c:v>
                </c:pt>
                <c:pt idx="146">
                  <c:v>III</c:v>
                </c:pt>
                <c:pt idx="147">
                  <c:v>IV</c:v>
                </c:pt>
                <c:pt idx="148">
                  <c:v>V</c:v>
                </c:pt>
                <c:pt idx="149">
                  <c:v>VI</c:v>
                </c:pt>
                <c:pt idx="150">
                  <c:v>VII</c:v>
                </c:pt>
                <c:pt idx="151">
                  <c:v>VIII</c:v>
                </c:pt>
                <c:pt idx="152">
                  <c:v>IX</c:v>
                </c:pt>
                <c:pt idx="153">
                  <c:v>X</c:v>
                </c:pt>
                <c:pt idx="154">
                  <c:v>XI</c:v>
                </c:pt>
                <c:pt idx="155">
                  <c:v>XII</c:v>
                </c:pt>
                <c:pt idx="156">
                  <c:v>2020`I</c:v>
                </c:pt>
                <c:pt idx="157">
                  <c:v>II</c:v>
                </c:pt>
                <c:pt idx="158">
                  <c:v>III</c:v>
                </c:pt>
                <c:pt idx="159">
                  <c:v>IV</c:v>
                </c:pt>
                <c:pt idx="160">
                  <c:v>V</c:v>
                </c:pt>
                <c:pt idx="161">
                  <c:v>VI</c:v>
                </c:pt>
                <c:pt idx="162">
                  <c:v>VII</c:v>
                </c:pt>
                <c:pt idx="163">
                  <c:v>VIII</c:v>
                </c:pt>
              </c:strCache>
            </c:strRef>
          </c:cat>
          <c:val>
            <c:numRef>
              <c:f>Sheet2!$B$9:$FI$9</c:f>
              <c:numCache>
                <c:formatCode>General</c:formatCode>
                <c:ptCount val="164"/>
                <c:pt idx="1">
                  <c:v>7</c:v>
                </c:pt>
                <c:pt idx="2">
                  <c:v>6.8</c:v>
                </c:pt>
                <c:pt idx="3">
                  <c:v>6.5</c:v>
                </c:pt>
                <c:pt idx="4">
                  <c:v>6.1</c:v>
                </c:pt>
                <c:pt idx="5">
                  <c:v>5.9</c:v>
                </c:pt>
                <c:pt idx="6">
                  <c:v>5.7</c:v>
                </c:pt>
                <c:pt idx="7">
                  <c:v>5.4</c:v>
                </c:pt>
                <c:pt idx="8">
                  <c:v>5.0999999999999996</c:v>
                </c:pt>
                <c:pt idx="9">
                  <c:v>4.8</c:v>
                </c:pt>
                <c:pt idx="10">
                  <c:v>4.8</c:v>
                </c:pt>
                <c:pt idx="11">
                  <c:v>4.9000000000000004</c:v>
                </c:pt>
                <c:pt idx="12">
                  <c:v>5</c:v>
                </c:pt>
                <c:pt idx="13">
                  <c:v>5.0999999999999996</c:v>
                </c:pt>
                <c:pt idx="14">
                  <c:v>5</c:v>
                </c:pt>
                <c:pt idx="15">
                  <c:v>4.9000000000000004</c:v>
                </c:pt>
                <c:pt idx="16">
                  <c:v>4.9000000000000004</c:v>
                </c:pt>
                <c:pt idx="17">
                  <c:v>4.9000000000000004</c:v>
                </c:pt>
                <c:pt idx="18">
                  <c:v>4.9000000000000004</c:v>
                </c:pt>
                <c:pt idx="19">
                  <c:v>5.0999999999999996</c:v>
                </c:pt>
                <c:pt idx="20">
                  <c:v>5.3</c:v>
                </c:pt>
                <c:pt idx="21">
                  <c:v>5.7</c:v>
                </c:pt>
                <c:pt idx="22">
                  <c:v>6.5</c:v>
                </c:pt>
                <c:pt idx="23">
                  <c:v>7.6</c:v>
                </c:pt>
                <c:pt idx="24">
                  <c:v>9.1999999999999993</c:v>
                </c:pt>
                <c:pt idx="25">
                  <c:v>10.7</c:v>
                </c:pt>
                <c:pt idx="26">
                  <c:v>12.2</c:v>
                </c:pt>
                <c:pt idx="27">
                  <c:v>12.2</c:v>
                </c:pt>
                <c:pt idx="28">
                  <c:v>12.3</c:v>
                </c:pt>
                <c:pt idx="29">
                  <c:v>12.3</c:v>
                </c:pt>
                <c:pt idx="30">
                  <c:v>12.5</c:v>
                </c:pt>
                <c:pt idx="31">
                  <c:v>13.1</c:v>
                </c:pt>
                <c:pt idx="32">
                  <c:v>14.2</c:v>
                </c:pt>
                <c:pt idx="33">
                  <c:v>15.1</c:v>
                </c:pt>
                <c:pt idx="34">
                  <c:v>16.5</c:v>
                </c:pt>
                <c:pt idx="35">
                  <c:v>17.8</c:v>
                </c:pt>
                <c:pt idx="36">
                  <c:v>18.899999999999999</c:v>
                </c:pt>
                <c:pt idx="37">
                  <c:v>19.5</c:v>
                </c:pt>
                <c:pt idx="38">
                  <c:v>19.8</c:v>
                </c:pt>
                <c:pt idx="39">
                  <c:v>18.7</c:v>
                </c:pt>
                <c:pt idx="40">
                  <c:v>17.8</c:v>
                </c:pt>
                <c:pt idx="41">
                  <c:v>17</c:v>
                </c:pt>
                <c:pt idx="42">
                  <c:v>16.399999999999999</c:v>
                </c:pt>
                <c:pt idx="43">
                  <c:v>16.100000000000001</c:v>
                </c:pt>
                <c:pt idx="44">
                  <c:v>15.6</c:v>
                </c:pt>
                <c:pt idx="45">
                  <c:v>15.4</c:v>
                </c:pt>
                <c:pt idx="46">
                  <c:v>15.5</c:v>
                </c:pt>
                <c:pt idx="47">
                  <c:v>15.8</c:v>
                </c:pt>
                <c:pt idx="48">
                  <c:v>16.100000000000001</c:v>
                </c:pt>
                <c:pt idx="49">
                  <c:v>16.3</c:v>
                </c:pt>
                <c:pt idx="50">
                  <c:v>16.100000000000001</c:v>
                </c:pt>
                <c:pt idx="51">
                  <c:v>15.4</c:v>
                </c:pt>
                <c:pt idx="52">
                  <c:v>14.5</c:v>
                </c:pt>
                <c:pt idx="53">
                  <c:v>13.9</c:v>
                </c:pt>
                <c:pt idx="54">
                  <c:v>13.2</c:v>
                </c:pt>
                <c:pt idx="55">
                  <c:v>12.9</c:v>
                </c:pt>
                <c:pt idx="56">
                  <c:v>12.6</c:v>
                </c:pt>
                <c:pt idx="57">
                  <c:v>12.5</c:v>
                </c:pt>
                <c:pt idx="58">
                  <c:v>12.5</c:v>
                </c:pt>
                <c:pt idx="59">
                  <c:v>12.7</c:v>
                </c:pt>
                <c:pt idx="60">
                  <c:v>13.1</c:v>
                </c:pt>
                <c:pt idx="61">
                  <c:v>13.3</c:v>
                </c:pt>
                <c:pt idx="62">
                  <c:v>13.1</c:v>
                </c:pt>
                <c:pt idx="63" formatCode="0.0">
                  <c:v>14.4</c:v>
                </c:pt>
                <c:pt idx="64" formatCode="0.0">
                  <c:v>13.6</c:v>
                </c:pt>
                <c:pt idx="65">
                  <c:v>13</c:v>
                </c:pt>
                <c:pt idx="66">
                  <c:v>12.7</c:v>
                </c:pt>
                <c:pt idx="67">
                  <c:v>12.4</c:v>
                </c:pt>
                <c:pt idx="68">
                  <c:v>12.1</c:v>
                </c:pt>
                <c:pt idx="69">
                  <c:v>11.8</c:v>
                </c:pt>
                <c:pt idx="70">
                  <c:v>11.7</c:v>
                </c:pt>
                <c:pt idx="71">
                  <c:v>11.7</c:v>
                </c:pt>
                <c:pt idx="72">
                  <c:v>12.1</c:v>
                </c:pt>
                <c:pt idx="73">
                  <c:v>12</c:v>
                </c:pt>
                <c:pt idx="74">
                  <c:v>11.8</c:v>
                </c:pt>
                <c:pt idx="75">
                  <c:v>11.2</c:v>
                </c:pt>
                <c:pt idx="76">
                  <c:v>10.5</c:v>
                </c:pt>
                <c:pt idx="77">
                  <c:v>10.1</c:v>
                </c:pt>
                <c:pt idx="78">
                  <c:v>9.6999999999999993</c:v>
                </c:pt>
                <c:pt idx="79">
                  <c:v>9.4</c:v>
                </c:pt>
                <c:pt idx="80">
                  <c:v>9.1999999999999993</c:v>
                </c:pt>
                <c:pt idx="81">
                  <c:v>9.1999999999999993</c:v>
                </c:pt>
                <c:pt idx="82">
                  <c:v>9.4</c:v>
                </c:pt>
                <c:pt idx="83">
                  <c:v>9.8000000000000007</c:v>
                </c:pt>
                <c:pt idx="84">
                  <c:v>10.4</c:v>
                </c:pt>
                <c:pt idx="85">
                  <c:v>10.5</c:v>
                </c:pt>
                <c:pt idx="86">
                  <c:v>10.199999999999999</c:v>
                </c:pt>
                <c:pt idx="87">
                  <c:v>9.6</c:v>
                </c:pt>
                <c:pt idx="88">
                  <c:v>8.9</c:v>
                </c:pt>
                <c:pt idx="89">
                  <c:v>8.6</c:v>
                </c:pt>
                <c:pt idx="90">
                  <c:v>8.1999999999999993</c:v>
                </c:pt>
                <c:pt idx="91">
                  <c:v>7.9</c:v>
                </c:pt>
                <c:pt idx="92">
                  <c:v>7.8</c:v>
                </c:pt>
                <c:pt idx="93">
                  <c:v>7.7</c:v>
                </c:pt>
                <c:pt idx="94">
                  <c:v>8</c:v>
                </c:pt>
                <c:pt idx="95">
                  <c:v>8.3000000000000007</c:v>
                </c:pt>
                <c:pt idx="96">
                  <c:v>9</c:v>
                </c:pt>
                <c:pt idx="97">
                  <c:v>9.3000000000000007</c:v>
                </c:pt>
                <c:pt idx="98">
                  <c:v>9.6</c:v>
                </c:pt>
                <c:pt idx="99">
                  <c:v>9</c:v>
                </c:pt>
                <c:pt idx="100">
                  <c:v>8.5</c:v>
                </c:pt>
                <c:pt idx="101">
                  <c:v>8.3000000000000007</c:v>
                </c:pt>
                <c:pt idx="102">
                  <c:v>8.1</c:v>
                </c:pt>
                <c:pt idx="103">
                  <c:v>8</c:v>
                </c:pt>
                <c:pt idx="104">
                  <c:v>8</c:v>
                </c:pt>
                <c:pt idx="105">
                  <c:v>7.9</c:v>
                </c:pt>
                <c:pt idx="106">
                  <c:v>8.3000000000000007</c:v>
                </c:pt>
                <c:pt idx="107">
                  <c:v>8.6999999999999993</c:v>
                </c:pt>
                <c:pt idx="108">
                  <c:v>9.5</c:v>
                </c:pt>
                <c:pt idx="109">
                  <c:v>9.6999999999999993</c:v>
                </c:pt>
                <c:pt idx="110">
                  <c:v>9.4</c:v>
                </c:pt>
                <c:pt idx="111">
                  <c:v>8.8000000000000007</c:v>
                </c:pt>
                <c:pt idx="112">
                  <c:v>8.1999999999999993</c:v>
                </c:pt>
                <c:pt idx="113">
                  <c:v>8</c:v>
                </c:pt>
                <c:pt idx="114">
                  <c:v>7.7</c:v>
                </c:pt>
                <c:pt idx="115">
                  <c:v>7.4</c:v>
                </c:pt>
                <c:pt idx="116">
                  <c:v>7.3</c:v>
                </c:pt>
                <c:pt idx="117">
                  <c:v>7.4</c:v>
                </c:pt>
                <c:pt idx="118" formatCode="0.0">
                  <c:v>7.7</c:v>
                </c:pt>
                <c:pt idx="119">
                  <c:v>8.1999999999999993</c:v>
                </c:pt>
                <c:pt idx="120">
                  <c:v>8.5</c:v>
                </c:pt>
                <c:pt idx="121">
                  <c:v>8.5</c:v>
                </c:pt>
                <c:pt idx="122">
                  <c:v>8.1999999999999993</c:v>
                </c:pt>
                <c:pt idx="123">
                  <c:v>7.4</c:v>
                </c:pt>
                <c:pt idx="124">
                  <c:v>7</c:v>
                </c:pt>
                <c:pt idx="125">
                  <c:v>6.7</c:v>
                </c:pt>
                <c:pt idx="126">
                  <c:v>6.5</c:v>
                </c:pt>
                <c:pt idx="127">
                  <c:v>6.3</c:v>
                </c:pt>
                <c:pt idx="128">
                  <c:v>6</c:v>
                </c:pt>
                <c:pt idx="129">
                  <c:v>6</c:v>
                </c:pt>
                <c:pt idx="130">
                  <c:v>6.2</c:v>
                </c:pt>
                <c:pt idx="131">
                  <c:v>6.5</c:v>
                </c:pt>
                <c:pt idx="132">
                  <c:v>6.9</c:v>
                </c:pt>
                <c:pt idx="133">
                  <c:v>6.9</c:v>
                </c:pt>
                <c:pt idx="134">
                  <c:v>6.8</c:v>
                </c:pt>
                <c:pt idx="135">
                  <c:v>6.4</c:v>
                </c:pt>
                <c:pt idx="136">
                  <c:v>6</c:v>
                </c:pt>
                <c:pt idx="137">
                  <c:v>5.9</c:v>
                </c:pt>
                <c:pt idx="138">
                  <c:v>5.8</c:v>
                </c:pt>
                <c:pt idx="139">
                  <c:v>5.6</c:v>
                </c:pt>
                <c:pt idx="140">
                  <c:v>5.6</c:v>
                </c:pt>
                <c:pt idx="141">
                  <c:v>5.6</c:v>
                </c:pt>
                <c:pt idx="142">
                  <c:v>5.8</c:v>
                </c:pt>
                <c:pt idx="143">
                  <c:v>6.2</c:v>
                </c:pt>
                <c:pt idx="144">
                  <c:v>6.6</c:v>
                </c:pt>
                <c:pt idx="145">
                  <c:v>6.6</c:v>
                </c:pt>
                <c:pt idx="146">
                  <c:v>6.7</c:v>
                </c:pt>
                <c:pt idx="147">
                  <c:v>6.2</c:v>
                </c:pt>
                <c:pt idx="148">
                  <c:v>5.8</c:v>
                </c:pt>
                <c:pt idx="149">
                  <c:v>5.8</c:v>
                </c:pt>
                <c:pt idx="150">
                  <c:v>5.7</c:v>
                </c:pt>
                <c:pt idx="151">
                  <c:v>5.5</c:v>
                </c:pt>
                <c:pt idx="152">
                  <c:v>5.3</c:v>
                </c:pt>
                <c:pt idx="153">
                  <c:v>5.4</c:v>
                </c:pt>
                <c:pt idx="154">
                  <c:v>5.7</c:v>
                </c:pt>
                <c:pt idx="155">
                  <c:v>6.3</c:v>
                </c:pt>
                <c:pt idx="156">
                  <c:v>6.5</c:v>
                </c:pt>
                <c:pt idx="157">
                  <c:v>6.5</c:v>
                </c:pt>
                <c:pt idx="158">
                  <c:v>6.8</c:v>
                </c:pt>
                <c:pt idx="159">
                  <c:v>7.7</c:v>
                </c:pt>
                <c:pt idx="160">
                  <c:v>8</c:v>
                </c:pt>
                <c:pt idx="161">
                  <c:v>8.1999999999999993</c:v>
                </c:pt>
                <c:pt idx="162">
                  <c:v>8</c:v>
                </c:pt>
                <c:pt idx="163">
                  <c:v>7.6</c:v>
                </c:pt>
              </c:numCache>
            </c:numRef>
          </c:val>
          <c:smooth val="1"/>
          <c:extLst>
            <c:ext xmlns:c16="http://schemas.microsoft.com/office/drawing/2014/chart" uri="{C3380CC4-5D6E-409C-BE32-E72D297353CC}">
              <c16:uniqueId val="{00000005-F621-4679-8299-C93BAB7CE2F0}"/>
            </c:ext>
          </c:extLst>
        </c:ser>
        <c:dLbls>
          <c:showLegendKey val="0"/>
          <c:showVal val="0"/>
          <c:showCatName val="0"/>
          <c:showSerName val="0"/>
          <c:showPercent val="0"/>
          <c:showBubbleSize val="0"/>
        </c:dLbls>
        <c:marker val="1"/>
        <c:smooth val="0"/>
        <c:axId val="336009504"/>
        <c:axId val="336013816"/>
      </c:lineChart>
      <c:catAx>
        <c:axId val="336009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36013816"/>
        <c:crosses val="autoZero"/>
        <c:auto val="1"/>
        <c:lblAlgn val="ctr"/>
        <c:lblOffset val="100"/>
        <c:tickMarkSkip val="12"/>
        <c:noMultiLvlLbl val="0"/>
      </c:catAx>
      <c:valAx>
        <c:axId val="336013816"/>
        <c:scaling>
          <c:orientation val="minMax"/>
          <c:max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36009504"/>
        <c:crosses val="autoZero"/>
        <c:crossBetween val="between"/>
      </c:valAx>
      <c:spPr>
        <a:noFill/>
        <a:ln>
          <a:noFill/>
        </a:ln>
        <a:effectLst/>
      </c:spPr>
    </c:plotArea>
    <c:legend>
      <c:legendPos val="b"/>
      <c:layout>
        <c:manualLayout>
          <c:xMode val="edge"/>
          <c:yMode val="edge"/>
          <c:x val="7.6483705960112655E-2"/>
          <c:y val="0.87860517435320584"/>
          <c:w val="0.81584360434477865"/>
          <c:h val="0.106752187891407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309109627610056E-2"/>
          <c:y val="2.4909386326709162E-2"/>
          <c:w val="0.88720401341597288"/>
          <c:h val="0.59425893191922441"/>
        </c:manualLayout>
      </c:layout>
      <c:barChart>
        <c:barDir val="col"/>
        <c:grouping val="stacked"/>
        <c:varyColors val="0"/>
        <c:ser>
          <c:idx val="0"/>
          <c:order val="0"/>
          <c:tx>
            <c:strRef>
              <c:f>grafiks!$R$2</c:f>
              <c:strCache>
                <c:ptCount val="1"/>
                <c:pt idx="0">
                  <c:v>Sabiedriskajā sektorā</c:v>
                </c:pt>
              </c:strCache>
            </c:strRef>
          </c:tx>
          <c:spPr>
            <a:solidFill>
              <a:schemeClr val="accent1"/>
            </a:solidFill>
            <a:ln>
              <a:noFill/>
            </a:ln>
            <a:effectLst/>
          </c:spPr>
          <c:invertIfNegative val="0"/>
          <c:cat>
            <c:strRef>
              <c:f>grafiks!$Q$3:$Q$21</c:f>
              <c:strCache>
                <c:ptCount val="19"/>
                <c:pt idx="0">
                  <c:v>Veselība</c:v>
                </c:pt>
                <c:pt idx="1">
                  <c:v>IKT</c:v>
                </c:pt>
                <c:pt idx="2">
                  <c:v>Izglītība</c:v>
                </c:pt>
                <c:pt idx="3">
                  <c:v>Ieguves rūpniecība</c:v>
                </c:pt>
                <c:pt idx="4">
                  <c:v>Elektroenerģija</c:v>
                </c:pt>
                <c:pt idx="5">
                  <c:v>NĪ operācijas</c:v>
                </c:pt>
                <c:pt idx="6">
                  <c:v>Ūdens apgāde</c:v>
                </c:pt>
                <c:pt idx="7">
                  <c:v>Lauksaimniecība</c:v>
                </c:pt>
                <c:pt idx="8">
                  <c:v>Finanšu pakalpojumi</c:v>
                </c:pt>
                <c:pt idx="9">
                  <c:v>Valsts pārvalde</c:v>
                </c:pt>
                <c:pt idx="10">
                  <c:v>Citi pakalpojumi</c:v>
                </c:pt>
                <c:pt idx="11">
                  <c:v>Profesionālie pak</c:v>
                </c:pt>
                <c:pt idx="12">
                  <c:v>Būvniecība</c:v>
                </c:pt>
                <c:pt idx="13">
                  <c:v>Administratīvie pak</c:v>
                </c:pt>
                <c:pt idx="14">
                  <c:v>Māksla, izklaide</c:v>
                </c:pt>
                <c:pt idx="15">
                  <c:v>Apstrādes rūpniecība</c:v>
                </c:pt>
                <c:pt idx="16">
                  <c:v>Transports</c:v>
                </c:pt>
                <c:pt idx="17">
                  <c:v>Tirdzniecība</c:v>
                </c:pt>
                <c:pt idx="18">
                  <c:v>Izmitināšana, ēdināšana</c:v>
                </c:pt>
              </c:strCache>
            </c:strRef>
          </c:cat>
          <c:val>
            <c:numRef>
              <c:f>grafiks!$R$3:$R$21</c:f>
              <c:numCache>
                <c:formatCode>General</c:formatCode>
                <c:ptCount val="19"/>
                <c:pt idx="0">
                  <c:v>792</c:v>
                </c:pt>
                <c:pt idx="1">
                  <c:v>41</c:v>
                </c:pt>
                <c:pt idx="2">
                  <c:v>80</c:v>
                </c:pt>
                <c:pt idx="4">
                  <c:v>-63</c:v>
                </c:pt>
                <c:pt idx="5">
                  <c:v>-214</c:v>
                </c:pt>
                <c:pt idx="6">
                  <c:v>-11</c:v>
                </c:pt>
                <c:pt idx="7">
                  <c:v>-49</c:v>
                </c:pt>
                <c:pt idx="8">
                  <c:v>-57</c:v>
                </c:pt>
                <c:pt idx="9">
                  <c:v>-1283</c:v>
                </c:pt>
                <c:pt idx="10">
                  <c:v>-534</c:v>
                </c:pt>
                <c:pt idx="11">
                  <c:v>111</c:v>
                </c:pt>
                <c:pt idx="12">
                  <c:v>-186</c:v>
                </c:pt>
                <c:pt idx="13">
                  <c:v>193</c:v>
                </c:pt>
                <c:pt idx="14">
                  <c:v>-1227</c:v>
                </c:pt>
                <c:pt idx="15">
                  <c:v>-187</c:v>
                </c:pt>
                <c:pt idx="16">
                  <c:v>-3267</c:v>
                </c:pt>
                <c:pt idx="17">
                  <c:v>3</c:v>
                </c:pt>
                <c:pt idx="18">
                  <c:v>-19</c:v>
                </c:pt>
              </c:numCache>
            </c:numRef>
          </c:val>
          <c:extLst>
            <c:ext xmlns:c16="http://schemas.microsoft.com/office/drawing/2014/chart" uri="{C3380CC4-5D6E-409C-BE32-E72D297353CC}">
              <c16:uniqueId val="{00000000-C781-4C6D-9CDE-E89908D65781}"/>
            </c:ext>
          </c:extLst>
        </c:ser>
        <c:ser>
          <c:idx val="1"/>
          <c:order val="1"/>
          <c:tx>
            <c:strRef>
              <c:f>grafiks!$S$2</c:f>
              <c:strCache>
                <c:ptCount val="1"/>
                <c:pt idx="0">
                  <c:v>Privātajā sektorā</c:v>
                </c:pt>
              </c:strCache>
            </c:strRef>
          </c:tx>
          <c:spPr>
            <a:solidFill>
              <a:schemeClr val="accent2"/>
            </a:solidFill>
            <a:ln>
              <a:noFill/>
            </a:ln>
            <a:effectLst/>
          </c:spPr>
          <c:invertIfNegative val="0"/>
          <c:cat>
            <c:strRef>
              <c:f>grafiks!$Q$3:$Q$21</c:f>
              <c:strCache>
                <c:ptCount val="19"/>
                <c:pt idx="0">
                  <c:v>Veselība</c:v>
                </c:pt>
                <c:pt idx="1">
                  <c:v>IKT</c:v>
                </c:pt>
                <c:pt idx="2">
                  <c:v>Izglītība</c:v>
                </c:pt>
                <c:pt idx="3">
                  <c:v>Ieguves rūpniecība</c:v>
                </c:pt>
                <c:pt idx="4">
                  <c:v>Elektroenerģija</c:v>
                </c:pt>
                <c:pt idx="5">
                  <c:v>NĪ operācijas</c:v>
                </c:pt>
                <c:pt idx="6">
                  <c:v>Ūdens apgāde</c:v>
                </c:pt>
                <c:pt idx="7">
                  <c:v>Lauksaimniecība</c:v>
                </c:pt>
                <c:pt idx="8">
                  <c:v>Finanšu pakalpojumi</c:v>
                </c:pt>
                <c:pt idx="9">
                  <c:v>Valsts pārvalde</c:v>
                </c:pt>
                <c:pt idx="10">
                  <c:v>Citi pakalpojumi</c:v>
                </c:pt>
                <c:pt idx="11">
                  <c:v>Profesionālie pak</c:v>
                </c:pt>
                <c:pt idx="12">
                  <c:v>Būvniecība</c:v>
                </c:pt>
                <c:pt idx="13">
                  <c:v>Administratīvie pak</c:v>
                </c:pt>
                <c:pt idx="14">
                  <c:v>Māksla, izklaide</c:v>
                </c:pt>
                <c:pt idx="15">
                  <c:v>Apstrādes rūpniecība</c:v>
                </c:pt>
                <c:pt idx="16">
                  <c:v>Transports</c:v>
                </c:pt>
                <c:pt idx="17">
                  <c:v>Tirdzniecība</c:v>
                </c:pt>
                <c:pt idx="18">
                  <c:v>Izmitināšana, ēdināšana</c:v>
                </c:pt>
              </c:strCache>
            </c:strRef>
          </c:cat>
          <c:val>
            <c:numRef>
              <c:f>grafiks!$S$3:$S$21</c:f>
              <c:numCache>
                <c:formatCode>General</c:formatCode>
                <c:ptCount val="19"/>
                <c:pt idx="0">
                  <c:v>650</c:v>
                </c:pt>
                <c:pt idx="1">
                  <c:v>615</c:v>
                </c:pt>
                <c:pt idx="2">
                  <c:v>136</c:v>
                </c:pt>
                <c:pt idx="3">
                  <c:v>73</c:v>
                </c:pt>
                <c:pt idx="4">
                  <c:v>-77</c:v>
                </c:pt>
                <c:pt idx="5">
                  <c:v>10</c:v>
                </c:pt>
                <c:pt idx="6">
                  <c:v>-378</c:v>
                </c:pt>
                <c:pt idx="7">
                  <c:v>-515</c:v>
                </c:pt>
                <c:pt idx="8">
                  <c:v>-567</c:v>
                </c:pt>
                <c:pt idx="9">
                  <c:v>-3</c:v>
                </c:pt>
                <c:pt idx="10">
                  <c:v>-1162</c:v>
                </c:pt>
                <c:pt idx="11">
                  <c:v>-2028</c:v>
                </c:pt>
                <c:pt idx="12">
                  <c:v>-2085</c:v>
                </c:pt>
                <c:pt idx="13">
                  <c:v>-3002</c:v>
                </c:pt>
                <c:pt idx="14">
                  <c:v>-1632</c:v>
                </c:pt>
                <c:pt idx="15">
                  <c:v>-4118</c:v>
                </c:pt>
                <c:pt idx="16">
                  <c:v>-3369</c:v>
                </c:pt>
                <c:pt idx="17">
                  <c:v>-8154</c:v>
                </c:pt>
                <c:pt idx="18">
                  <c:v>-10116</c:v>
                </c:pt>
              </c:numCache>
            </c:numRef>
          </c:val>
          <c:extLst>
            <c:ext xmlns:c16="http://schemas.microsoft.com/office/drawing/2014/chart" uri="{C3380CC4-5D6E-409C-BE32-E72D297353CC}">
              <c16:uniqueId val="{00000001-C781-4C6D-9CDE-E89908D65781}"/>
            </c:ext>
          </c:extLst>
        </c:ser>
        <c:dLbls>
          <c:showLegendKey val="0"/>
          <c:showVal val="0"/>
          <c:showCatName val="0"/>
          <c:showSerName val="0"/>
          <c:showPercent val="0"/>
          <c:showBubbleSize val="0"/>
        </c:dLbls>
        <c:gapWidth val="50"/>
        <c:overlap val="100"/>
        <c:axId val="460450312"/>
        <c:axId val="403186216"/>
      </c:barChart>
      <c:lineChart>
        <c:grouping val="stacked"/>
        <c:varyColors val="0"/>
        <c:ser>
          <c:idx val="2"/>
          <c:order val="2"/>
          <c:tx>
            <c:strRef>
              <c:f>grafiks!$T$2</c:f>
              <c:strCache>
                <c:ptCount val="1"/>
                <c:pt idx="0">
                  <c:v>Pavisam</c:v>
                </c:pt>
              </c:strCache>
            </c:strRef>
          </c:tx>
          <c:spPr>
            <a:ln w="28575" cap="rnd">
              <a:noFill/>
              <a:round/>
            </a:ln>
            <a:effectLst/>
          </c:spPr>
          <c:marker>
            <c:symbol val="diamond"/>
            <c:size val="7"/>
            <c:spPr>
              <a:solidFill>
                <a:schemeClr val="tx1">
                  <a:lumMod val="85000"/>
                  <a:lumOff val="15000"/>
                </a:schemeClr>
              </a:solidFill>
              <a:ln w="9525">
                <a:solidFill>
                  <a:schemeClr val="tx1">
                    <a:lumMod val="85000"/>
                    <a:lumOff val="15000"/>
                  </a:schemeClr>
                </a:solidFill>
              </a:ln>
              <a:effectLst/>
            </c:spPr>
          </c:marker>
          <c:cat>
            <c:strRef>
              <c:f>grafiks!$Q$3:$Q$21</c:f>
              <c:strCache>
                <c:ptCount val="19"/>
                <c:pt idx="0">
                  <c:v>Veselība</c:v>
                </c:pt>
                <c:pt idx="1">
                  <c:v>IKT</c:v>
                </c:pt>
                <c:pt idx="2">
                  <c:v>Izglītība</c:v>
                </c:pt>
                <c:pt idx="3">
                  <c:v>Ieguves rūpniecība</c:v>
                </c:pt>
                <c:pt idx="4">
                  <c:v>Elektroenerģija</c:v>
                </c:pt>
                <c:pt idx="5">
                  <c:v>NĪ operācijas</c:v>
                </c:pt>
                <c:pt idx="6">
                  <c:v>Ūdens apgāde</c:v>
                </c:pt>
                <c:pt idx="7">
                  <c:v>Lauksaimniecība</c:v>
                </c:pt>
                <c:pt idx="8">
                  <c:v>Finanšu pakalpojumi</c:v>
                </c:pt>
                <c:pt idx="9">
                  <c:v>Valsts pārvalde</c:v>
                </c:pt>
                <c:pt idx="10">
                  <c:v>Citi pakalpojumi</c:v>
                </c:pt>
                <c:pt idx="11">
                  <c:v>Profesionālie pak</c:v>
                </c:pt>
                <c:pt idx="12">
                  <c:v>Būvniecība</c:v>
                </c:pt>
                <c:pt idx="13">
                  <c:v>Administratīvie pak</c:v>
                </c:pt>
                <c:pt idx="14">
                  <c:v>Māksla, izklaide</c:v>
                </c:pt>
                <c:pt idx="15">
                  <c:v>Apstrādes rūpniecība</c:v>
                </c:pt>
                <c:pt idx="16">
                  <c:v>Transports</c:v>
                </c:pt>
                <c:pt idx="17">
                  <c:v>Tirdzniecība</c:v>
                </c:pt>
                <c:pt idx="18">
                  <c:v>Izmitināšana, ēdināšana</c:v>
                </c:pt>
              </c:strCache>
            </c:strRef>
          </c:cat>
          <c:val>
            <c:numRef>
              <c:f>grafiks!$T$3:$T$21</c:f>
              <c:numCache>
                <c:formatCode>General</c:formatCode>
                <c:ptCount val="19"/>
                <c:pt idx="0">
                  <c:v>1441</c:v>
                </c:pt>
                <c:pt idx="1">
                  <c:v>656</c:v>
                </c:pt>
                <c:pt idx="2">
                  <c:v>216</c:v>
                </c:pt>
                <c:pt idx="3">
                  <c:v>73</c:v>
                </c:pt>
                <c:pt idx="4">
                  <c:v>-140</c:v>
                </c:pt>
                <c:pt idx="5">
                  <c:v>-205</c:v>
                </c:pt>
                <c:pt idx="6">
                  <c:v>-389</c:v>
                </c:pt>
                <c:pt idx="7">
                  <c:v>-564</c:v>
                </c:pt>
                <c:pt idx="8">
                  <c:v>-624</c:v>
                </c:pt>
                <c:pt idx="9">
                  <c:v>-1286</c:v>
                </c:pt>
                <c:pt idx="10">
                  <c:v>-1696</c:v>
                </c:pt>
                <c:pt idx="11">
                  <c:v>-1918</c:v>
                </c:pt>
                <c:pt idx="12">
                  <c:v>-2271</c:v>
                </c:pt>
                <c:pt idx="13">
                  <c:v>-2809</c:v>
                </c:pt>
                <c:pt idx="14">
                  <c:v>-2859</c:v>
                </c:pt>
                <c:pt idx="15">
                  <c:v>-4305</c:v>
                </c:pt>
                <c:pt idx="16">
                  <c:v>-6635</c:v>
                </c:pt>
                <c:pt idx="17">
                  <c:v>-8151</c:v>
                </c:pt>
                <c:pt idx="18">
                  <c:v>-10135</c:v>
                </c:pt>
              </c:numCache>
            </c:numRef>
          </c:val>
          <c:smooth val="0"/>
          <c:extLst>
            <c:ext xmlns:c16="http://schemas.microsoft.com/office/drawing/2014/chart" uri="{C3380CC4-5D6E-409C-BE32-E72D297353CC}">
              <c16:uniqueId val="{00000002-C781-4C6D-9CDE-E89908D65781}"/>
            </c:ext>
          </c:extLst>
        </c:ser>
        <c:dLbls>
          <c:showLegendKey val="0"/>
          <c:showVal val="0"/>
          <c:showCatName val="0"/>
          <c:showSerName val="0"/>
          <c:showPercent val="0"/>
          <c:showBubbleSize val="0"/>
        </c:dLbls>
        <c:marker val="1"/>
        <c:smooth val="0"/>
        <c:axId val="460450312"/>
        <c:axId val="403186216"/>
      </c:lineChart>
      <c:catAx>
        <c:axId val="4604503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3186216"/>
        <c:crosses val="autoZero"/>
        <c:auto val="1"/>
        <c:lblAlgn val="ctr"/>
        <c:lblOffset val="100"/>
        <c:noMultiLvlLbl val="0"/>
      </c:catAx>
      <c:valAx>
        <c:axId val="403186216"/>
        <c:scaling>
          <c:orientation val="minMax"/>
          <c:max val="3000"/>
          <c:min val="-1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60450312"/>
        <c:crosses val="autoZero"/>
        <c:crossBetween val="between"/>
      </c:valAx>
      <c:spPr>
        <a:noFill/>
        <a:ln>
          <a:solidFill>
            <a:sysClr val="window" lastClr="FFFFFF">
              <a:lumMod val="85000"/>
            </a:sysClr>
          </a:solidFill>
        </a:ln>
        <a:effectLst/>
      </c:spPr>
    </c:plotArea>
    <c:legend>
      <c:legendPos val="b"/>
      <c:layout>
        <c:manualLayout>
          <c:xMode val="edge"/>
          <c:yMode val="edge"/>
          <c:x val="0.13135045152825675"/>
          <c:y val="0.52955807642688735"/>
          <c:w val="0.57356184979646629"/>
          <c:h val="7.653114789222775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477653286535763E-2"/>
          <c:y val="2.9754427143007051E-2"/>
          <c:w val="0.88905920475951528"/>
          <c:h val="0.62891530988905275"/>
        </c:manualLayout>
      </c:layout>
      <c:lineChart>
        <c:grouping val="standard"/>
        <c:varyColors val="0"/>
        <c:ser>
          <c:idx val="0"/>
          <c:order val="0"/>
          <c:tx>
            <c:strRef>
              <c:f>'graf2 (2)'!$A$13</c:f>
              <c:strCache>
                <c:ptCount val="1"/>
                <c:pt idx="0">
                  <c:v>ES27</c:v>
                </c:pt>
              </c:strCache>
            </c:strRef>
          </c:tx>
          <c:spPr>
            <a:ln w="28575" cap="rnd">
              <a:solidFill>
                <a:sysClr val="windowText" lastClr="000000"/>
              </a:solidFill>
              <a:prstDash val="sysDash"/>
              <a:round/>
            </a:ln>
            <a:effectLst/>
          </c:spPr>
          <c:marker>
            <c:symbol val="none"/>
          </c:marker>
          <c:cat>
            <c:strRef>
              <c:f>'graf2 (2)'!$B$12:$AQ$12</c:f>
              <c:strCache>
                <c:ptCount val="42"/>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pt idx="36">
                  <c:v>2019Q1</c:v>
                </c:pt>
                <c:pt idx="37">
                  <c:v>2019Q2</c:v>
                </c:pt>
                <c:pt idx="38">
                  <c:v>2019Q3</c:v>
                </c:pt>
                <c:pt idx="39">
                  <c:v>2019Q4</c:v>
                </c:pt>
                <c:pt idx="40">
                  <c:v>2020Q1</c:v>
                </c:pt>
                <c:pt idx="41">
                  <c:v>2020Q2</c:v>
                </c:pt>
              </c:strCache>
            </c:strRef>
          </c:cat>
          <c:val>
            <c:numRef>
              <c:f>'graf2 (2)'!$B$13:$AQ$13</c:f>
              <c:numCache>
                <c:formatCode>#\ ##0.0</c:formatCode>
                <c:ptCount val="42"/>
                <c:pt idx="0">
                  <c:v>10.4</c:v>
                </c:pt>
                <c:pt idx="1">
                  <c:v>9.8000000000000007</c:v>
                </c:pt>
                <c:pt idx="2">
                  <c:v>9.4</c:v>
                </c:pt>
                <c:pt idx="3">
                  <c:v>9.8000000000000007</c:v>
                </c:pt>
                <c:pt idx="4">
                  <c:v>10.199999999999999</c:v>
                </c:pt>
                <c:pt idx="5">
                  <c:v>9.6</c:v>
                </c:pt>
                <c:pt idx="6">
                  <c:v>9.5</c:v>
                </c:pt>
                <c:pt idx="7">
                  <c:v>10.199999999999999</c:v>
                </c:pt>
                <c:pt idx="8">
                  <c:v>11</c:v>
                </c:pt>
                <c:pt idx="9">
                  <c:v>10.6</c:v>
                </c:pt>
                <c:pt idx="10">
                  <c:v>10.6</c:v>
                </c:pt>
                <c:pt idx="11">
                  <c:v>11.2</c:v>
                </c:pt>
                <c:pt idx="12">
                  <c:v>12</c:v>
                </c:pt>
                <c:pt idx="13">
                  <c:v>11.3</c:v>
                </c:pt>
                <c:pt idx="14">
                  <c:v>10.9</c:v>
                </c:pt>
                <c:pt idx="15">
                  <c:v>11.2</c:v>
                </c:pt>
                <c:pt idx="16">
                  <c:v>11.6</c:v>
                </c:pt>
                <c:pt idx="17">
                  <c:v>10.7</c:v>
                </c:pt>
                <c:pt idx="18">
                  <c:v>10.3</c:v>
                </c:pt>
                <c:pt idx="19">
                  <c:v>10.6</c:v>
                </c:pt>
                <c:pt idx="20">
                  <c:v>10.8</c:v>
                </c:pt>
                <c:pt idx="21">
                  <c:v>10.1</c:v>
                </c:pt>
                <c:pt idx="22">
                  <c:v>9.5</c:v>
                </c:pt>
                <c:pt idx="23">
                  <c:v>9.6999999999999993</c:v>
                </c:pt>
                <c:pt idx="24">
                  <c:v>9.8000000000000007</c:v>
                </c:pt>
                <c:pt idx="25">
                  <c:v>9.1</c:v>
                </c:pt>
                <c:pt idx="26">
                  <c:v>8.6999999999999993</c:v>
                </c:pt>
                <c:pt idx="27">
                  <c:v>8.8000000000000007</c:v>
                </c:pt>
                <c:pt idx="28">
                  <c:v>8.9</c:v>
                </c:pt>
                <c:pt idx="29">
                  <c:v>8.1</c:v>
                </c:pt>
                <c:pt idx="30">
                  <c:v>7.8</c:v>
                </c:pt>
                <c:pt idx="31">
                  <c:v>7.8</c:v>
                </c:pt>
                <c:pt idx="32">
                  <c:v>7.9</c:v>
                </c:pt>
                <c:pt idx="33">
                  <c:v>7.2</c:v>
                </c:pt>
                <c:pt idx="34">
                  <c:v>6.9</c:v>
                </c:pt>
                <c:pt idx="35">
                  <c:v>7</c:v>
                </c:pt>
                <c:pt idx="36">
                  <c:v>7.2</c:v>
                </c:pt>
                <c:pt idx="37">
                  <c:v>6.6</c:v>
                </c:pt>
                <c:pt idx="38">
                  <c:v>6.4</c:v>
                </c:pt>
                <c:pt idx="39">
                  <c:v>6.5</c:v>
                </c:pt>
                <c:pt idx="40">
                  <c:v>6.8</c:v>
                </c:pt>
              </c:numCache>
            </c:numRef>
          </c:val>
          <c:smooth val="0"/>
          <c:extLst>
            <c:ext xmlns:c16="http://schemas.microsoft.com/office/drawing/2014/chart" uri="{C3380CC4-5D6E-409C-BE32-E72D297353CC}">
              <c16:uniqueId val="{00000000-FFFF-4568-B86C-8B5D545FC63D}"/>
            </c:ext>
          </c:extLst>
        </c:ser>
        <c:ser>
          <c:idx val="1"/>
          <c:order val="1"/>
          <c:tx>
            <c:strRef>
              <c:f>'graf2 (2)'!$A$14</c:f>
              <c:strCache>
                <c:ptCount val="1"/>
                <c:pt idx="0">
                  <c:v>Igaunija</c:v>
                </c:pt>
              </c:strCache>
            </c:strRef>
          </c:tx>
          <c:spPr>
            <a:ln w="28575" cap="rnd">
              <a:solidFill>
                <a:srgbClr val="094E7D"/>
              </a:solidFill>
              <a:round/>
            </a:ln>
            <a:effectLst/>
          </c:spPr>
          <c:marker>
            <c:symbol val="none"/>
          </c:marker>
          <c:cat>
            <c:strRef>
              <c:f>'graf2 (2)'!$B$12:$AQ$12</c:f>
              <c:strCache>
                <c:ptCount val="42"/>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pt idx="36">
                  <c:v>2019Q1</c:v>
                </c:pt>
                <c:pt idx="37">
                  <c:v>2019Q2</c:v>
                </c:pt>
                <c:pt idx="38">
                  <c:v>2019Q3</c:v>
                </c:pt>
                <c:pt idx="39">
                  <c:v>2019Q4</c:v>
                </c:pt>
                <c:pt idx="40">
                  <c:v>2020Q1</c:v>
                </c:pt>
                <c:pt idx="41">
                  <c:v>2020Q2</c:v>
                </c:pt>
              </c:strCache>
            </c:strRef>
          </c:cat>
          <c:val>
            <c:numRef>
              <c:f>'graf2 (2)'!$B$14:$AQ$14</c:f>
              <c:numCache>
                <c:formatCode>#\ ##0.0</c:formatCode>
                <c:ptCount val="42"/>
                <c:pt idx="0">
                  <c:v>19.5</c:v>
                </c:pt>
                <c:pt idx="1">
                  <c:v>18.3</c:v>
                </c:pt>
                <c:pt idx="2">
                  <c:v>15.4</c:v>
                </c:pt>
                <c:pt idx="3">
                  <c:v>13.6</c:v>
                </c:pt>
                <c:pt idx="4">
                  <c:v>14.3</c:v>
                </c:pt>
                <c:pt idx="5">
                  <c:v>13</c:v>
                </c:pt>
                <c:pt idx="6">
                  <c:v>10.7</c:v>
                </c:pt>
                <c:pt idx="7">
                  <c:v>11.3</c:v>
                </c:pt>
                <c:pt idx="8">
                  <c:v>11.3</c:v>
                </c:pt>
                <c:pt idx="9">
                  <c:v>10.1</c:v>
                </c:pt>
                <c:pt idx="10">
                  <c:v>9.5</c:v>
                </c:pt>
                <c:pt idx="11">
                  <c:v>9.1</c:v>
                </c:pt>
                <c:pt idx="12">
                  <c:v>10</c:v>
                </c:pt>
                <c:pt idx="13">
                  <c:v>8</c:v>
                </c:pt>
                <c:pt idx="14">
                  <c:v>7.8</c:v>
                </c:pt>
                <c:pt idx="15">
                  <c:v>8.6999999999999993</c:v>
                </c:pt>
                <c:pt idx="16">
                  <c:v>8.5</c:v>
                </c:pt>
                <c:pt idx="17">
                  <c:v>7</c:v>
                </c:pt>
                <c:pt idx="18">
                  <c:v>7.5</c:v>
                </c:pt>
                <c:pt idx="19">
                  <c:v>6.3</c:v>
                </c:pt>
                <c:pt idx="20">
                  <c:v>6.6</c:v>
                </c:pt>
                <c:pt idx="21">
                  <c:v>6.5</c:v>
                </c:pt>
                <c:pt idx="22">
                  <c:v>5.2</c:v>
                </c:pt>
                <c:pt idx="23">
                  <c:v>6.4</c:v>
                </c:pt>
                <c:pt idx="24">
                  <c:v>6.5</c:v>
                </c:pt>
                <c:pt idx="25">
                  <c:v>6.5</c:v>
                </c:pt>
                <c:pt idx="26">
                  <c:v>7.5</c:v>
                </c:pt>
                <c:pt idx="27">
                  <c:v>6.6</c:v>
                </c:pt>
                <c:pt idx="28">
                  <c:v>5.6</c:v>
                </c:pt>
                <c:pt idx="29">
                  <c:v>7</c:v>
                </c:pt>
                <c:pt idx="30">
                  <c:v>5.2</c:v>
                </c:pt>
                <c:pt idx="31">
                  <c:v>5.3</c:v>
                </c:pt>
                <c:pt idx="32">
                  <c:v>6.8</c:v>
                </c:pt>
                <c:pt idx="33">
                  <c:v>5.0999999999999996</c:v>
                </c:pt>
                <c:pt idx="34">
                  <c:v>5.2</c:v>
                </c:pt>
                <c:pt idx="35">
                  <c:v>4.4000000000000004</c:v>
                </c:pt>
                <c:pt idx="36">
                  <c:v>4.7</c:v>
                </c:pt>
                <c:pt idx="37">
                  <c:v>5.0999999999999996</c:v>
                </c:pt>
                <c:pt idx="38">
                  <c:v>3.9</c:v>
                </c:pt>
                <c:pt idx="39">
                  <c:v>4.0999999999999996</c:v>
                </c:pt>
                <c:pt idx="40">
                  <c:v>5</c:v>
                </c:pt>
                <c:pt idx="41" formatCode="General">
                  <c:v>7.1</c:v>
                </c:pt>
              </c:numCache>
            </c:numRef>
          </c:val>
          <c:smooth val="0"/>
          <c:extLst>
            <c:ext xmlns:c16="http://schemas.microsoft.com/office/drawing/2014/chart" uri="{C3380CC4-5D6E-409C-BE32-E72D297353CC}">
              <c16:uniqueId val="{00000001-FFFF-4568-B86C-8B5D545FC63D}"/>
            </c:ext>
          </c:extLst>
        </c:ser>
        <c:ser>
          <c:idx val="2"/>
          <c:order val="2"/>
          <c:tx>
            <c:strRef>
              <c:f>'graf2 (2)'!$A$15</c:f>
              <c:strCache>
                <c:ptCount val="1"/>
                <c:pt idx="0">
                  <c:v>Latvija</c:v>
                </c:pt>
              </c:strCache>
            </c:strRef>
          </c:tx>
          <c:spPr>
            <a:ln w="28575" cap="rnd">
              <a:solidFill>
                <a:srgbClr val="FF1919"/>
              </a:solidFill>
              <a:round/>
            </a:ln>
            <a:effectLst/>
          </c:spPr>
          <c:marker>
            <c:symbol val="none"/>
          </c:marker>
          <c:cat>
            <c:strRef>
              <c:f>'graf2 (2)'!$B$12:$AQ$12</c:f>
              <c:strCache>
                <c:ptCount val="42"/>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pt idx="36">
                  <c:v>2019Q1</c:v>
                </c:pt>
                <c:pt idx="37">
                  <c:v>2019Q2</c:v>
                </c:pt>
                <c:pt idx="38">
                  <c:v>2019Q3</c:v>
                </c:pt>
                <c:pt idx="39">
                  <c:v>2019Q4</c:v>
                </c:pt>
                <c:pt idx="40">
                  <c:v>2020Q1</c:v>
                </c:pt>
                <c:pt idx="41">
                  <c:v>2020Q2</c:v>
                </c:pt>
              </c:strCache>
            </c:strRef>
          </c:cat>
          <c:val>
            <c:numRef>
              <c:f>'graf2 (2)'!$B$15:$AQ$15</c:f>
              <c:numCache>
                <c:formatCode>#\ ##0.0</c:formatCode>
                <c:ptCount val="42"/>
                <c:pt idx="0">
                  <c:v>21.3</c:v>
                </c:pt>
                <c:pt idx="1">
                  <c:v>20.399999999999999</c:v>
                </c:pt>
                <c:pt idx="2">
                  <c:v>18.5</c:v>
                </c:pt>
                <c:pt idx="3">
                  <c:v>17.8</c:v>
                </c:pt>
                <c:pt idx="4">
                  <c:v>17.600000000000001</c:v>
                </c:pt>
                <c:pt idx="5">
                  <c:v>17.100000000000001</c:v>
                </c:pt>
                <c:pt idx="6">
                  <c:v>15.1</c:v>
                </c:pt>
                <c:pt idx="7">
                  <c:v>15</c:v>
                </c:pt>
                <c:pt idx="8">
                  <c:v>16.3</c:v>
                </c:pt>
                <c:pt idx="9">
                  <c:v>16.3</c:v>
                </c:pt>
                <c:pt idx="10">
                  <c:v>13.7</c:v>
                </c:pt>
                <c:pt idx="11">
                  <c:v>13.9</c:v>
                </c:pt>
                <c:pt idx="12">
                  <c:v>13</c:v>
                </c:pt>
                <c:pt idx="13">
                  <c:v>11.4</c:v>
                </c:pt>
                <c:pt idx="14">
                  <c:v>11.8</c:v>
                </c:pt>
                <c:pt idx="15">
                  <c:v>11.3</c:v>
                </c:pt>
                <c:pt idx="16">
                  <c:v>11.9</c:v>
                </c:pt>
                <c:pt idx="17">
                  <c:v>10.7</c:v>
                </c:pt>
                <c:pt idx="18">
                  <c:v>10.6</c:v>
                </c:pt>
                <c:pt idx="19">
                  <c:v>10.199999999999999</c:v>
                </c:pt>
                <c:pt idx="20">
                  <c:v>10.199999999999999</c:v>
                </c:pt>
                <c:pt idx="21">
                  <c:v>9.8000000000000007</c:v>
                </c:pt>
                <c:pt idx="22">
                  <c:v>9.6999999999999993</c:v>
                </c:pt>
                <c:pt idx="23">
                  <c:v>9.8000000000000007</c:v>
                </c:pt>
                <c:pt idx="24">
                  <c:v>10.3</c:v>
                </c:pt>
                <c:pt idx="25">
                  <c:v>9.5</c:v>
                </c:pt>
                <c:pt idx="26">
                  <c:v>9.5</c:v>
                </c:pt>
                <c:pt idx="27">
                  <c:v>9.3000000000000007</c:v>
                </c:pt>
                <c:pt idx="28">
                  <c:v>9.4</c:v>
                </c:pt>
                <c:pt idx="29">
                  <c:v>8.9</c:v>
                </c:pt>
                <c:pt idx="30">
                  <c:v>8.5</c:v>
                </c:pt>
                <c:pt idx="31">
                  <c:v>8.1</c:v>
                </c:pt>
                <c:pt idx="32">
                  <c:v>8.1999999999999993</c:v>
                </c:pt>
                <c:pt idx="33">
                  <c:v>7.7</c:v>
                </c:pt>
                <c:pt idx="34">
                  <c:v>7</c:v>
                </c:pt>
                <c:pt idx="35">
                  <c:v>6.9</c:v>
                </c:pt>
                <c:pt idx="36">
                  <c:v>6.9</c:v>
                </c:pt>
                <c:pt idx="37">
                  <c:v>6.4</c:v>
                </c:pt>
                <c:pt idx="38">
                  <c:v>6</c:v>
                </c:pt>
                <c:pt idx="39">
                  <c:v>6</c:v>
                </c:pt>
                <c:pt idx="40">
                  <c:v>7.4</c:v>
                </c:pt>
                <c:pt idx="41">
                  <c:v>8.6</c:v>
                </c:pt>
              </c:numCache>
            </c:numRef>
          </c:val>
          <c:smooth val="0"/>
          <c:extLst>
            <c:ext xmlns:c16="http://schemas.microsoft.com/office/drawing/2014/chart" uri="{C3380CC4-5D6E-409C-BE32-E72D297353CC}">
              <c16:uniqueId val="{00000002-FFFF-4568-B86C-8B5D545FC63D}"/>
            </c:ext>
          </c:extLst>
        </c:ser>
        <c:ser>
          <c:idx val="3"/>
          <c:order val="3"/>
          <c:tx>
            <c:strRef>
              <c:f>'graf2 (2)'!$A$16</c:f>
              <c:strCache>
                <c:ptCount val="1"/>
                <c:pt idx="0">
                  <c:v>Lietuva</c:v>
                </c:pt>
              </c:strCache>
            </c:strRef>
          </c:tx>
          <c:spPr>
            <a:ln w="28575" cap="rnd">
              <a:solidFill>
                <a:srgbClr val="4C9E54"/>
              </a:solidFill>
              <a:round/>
            </a:ln>
            <a:effectLst/>
          </c:spPr>
          <c:marker>
            <c:symbol val="none"/>
          </c:marker>
          <c:cat>
            <c:strRef>
              <c:f>'graf2 (2)'!$B$12:$AQ$12</c:f>
              <c:strCache>
                <c:ptCount val="42"/>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pt idx="36">
                  <c:v>2019Q1</c:v>
                </c:pt>
                <c:pt idx="37">
                  <c:v>2019Q2</c:v>
                </c:pt>
                <c:pt idx="38">
                  <c:v>2019Q3</c:v>
                </c:pt>
                <c:pt idx="39">
                  <c:v>2019Q4</c:v>
                </c:pt>
                <c:pt idx="40">
                  <c:v>2020Q1</c:v>
                </c:pt>
                <c:pt idx="41">
                  <c:v>2020Q2</c:v>
                </c:pt>
              </c:strCache>
            </c:strRef>
          </c:cat>
          <c:val>
            <c:numRef>
              <c:f>'graf2 (2)'!$B$16:$AQ$16</c:f>
              <c:numCache>
                <c:formatCode>#\ ##0.0</c:formatCode>
                <c:ptCount val="42"/>
                <c:pt idx="0">
                  <c:v>18.2</c:v>
                </c:pt>
                <c:pt idx="1">
                  <c:v>18.2</c:v>
                </c:pt>
                <c:pt idx="2">
                  <c:v>17.7</c:v>
                </c:pt>
                <c:pt idx="3">
                  <c:v>17.2</c:v>
                </c:pt>
                <c:pt idx="4">
                  <c:v>17.2</c:v>
                </c:pt>
                <c:pt idx="5">
                  <c:v>15.6</c:v>
                </c:pt>
                <c:pt idx="6">
                  <c:v>15</c:v>
                </c:pt>
                <c:pt idx="7">
                  <c:v>13.9</c:v>
                </c:pt>
                <c:pt idx="8">
                  <c:v>14.6</c:v>
                </c:pt>
                <c:pt idx="9">
                  <c:v>13.3</c:v>
                </c:pt>
                <c:pt idx="10">
                  <c:v>12.5</c:v>
                </c:pt>
                <c:pt idx="11">
                  <c:v>13.2</c:v>
                </c:pt>
                <c:pt idx="12">
                  <c:v>13.1</c:v>
                </c:pt>
                <c:pt idx="13">
                  <c:v>11.7</c:v>
                </c:pt>
                <c:pt idx="14">
                  <c:v>10.9</c:v>
                </c:pt>
                <c:pt idx="15">
                  <c:v>11.4</c:v>
                </c:pt>
                <c:pt idx="16">
                  <c:v>12.4</c:v>
                </c:pt>
                <c:pt idx="17">
                  <c:v>11.2</c:v>
                </c:pt>
                <c:pt idx="18">
                  <c:v>9.1</c:v>
                </c:pt>
                <c:pt idx="19">
                  <c:v>10.1</c:v>
                </c:pt>
                <c:pt idx="20">
                  <c:v>10</c:v>
                </c:pt>
                <c:pt idx="21">
                  <c:v>9.4</c:v>
                </c:pt>
                <c:pt idx="22">
                  <c:v>8.3000000000000007</c:v>
                </c:pt>
                <c:pt idx="23">
                  <c:v>8.8000000000000007</c:v>
                </c:pt>
                <c:pt idx="24">
                  <c:v>8.4</c:v>
                </c:pt>
                <c:pt idx="25">
                  <c:v>8</c:v>
                </c:pt>
                <c:pt idx="26">
                  <c:v>7.5</c:v>
                </c:pt>
                <c:pt idx="27">
                  <c:v>7.7</c:v>
                </c:pt>
                <c:pt idx="28">
                  <c:v>8.1</c:v>
                </c:pt>
                <c:pt idx="29">
                  <c:v>7</c:v>
                </c:pt>
                <c:pt idx="30">
                  <c:v>6.6</c:v>
                </c:pt>
                <c:pt idx="31">
                  <c:v>6.7</c:v>
                </c:pt>
                <c:pt idx="32">
                  <c:v>7.2</c:v>
                </c:pt>
                <c:pt idx="33">
                  <c:v>5.9</c:v>
                </c:pt>
                <c:pt idx="34">
                  <c:v>5.6</c:v>
                </c:pt>
                <c:pt idx="35">
                  <c:v>6</c:v>
                </c:pt>
                <c:pt idx="36">
                  <c:v>6.5</c:v>
                </c:pt>
                <c:pt idx="37">
                  <c:v>6.2</c:v>
                </c:pt>
                <c:pt idx="38">
                  <c:v>6.1</c:v>
                </c:pt>
                <c:pt idx="39">
                  <c:v>6.4</c:v>
                </c:pt>
                <c:pt idx="40">
                  <c:v>7.2</c:v>
                </c:pt>
                <c:pt idx="41">
                  <c:v>8.6</c:v>
                </c:pt>
              </c:numCache>
            </c:numRef>
          </c:val>
          <c:smooth val="0"/>
          <c:extLst>
            <c:ext xmlns:c16="http://schemas.microsoft.com/office/drawing/2014/chart" uri="{C3380CC4-5D6E-409C-BE32-E72D297353CC}">
              <c16:uniqueId val="{00000003-FFFF-4568-B86C-8B5D545FC63D}"/>
            </c:ext>
          </c:extLst>
        </c:ser>
        <c:dLbls>
          <c:showLegendKey val="0"/>
          <c:showVal val="0"/>
          <c:showCatName val="0"/>
          <c:showSerName val="0"/>
          <c:showPercent val="0"/>
          <c:showBubbleSize val="0"/>
        </c:dLbls>
        <c:smooth val="0"/>
        <c:axId val="557917464"/>
        <c:axId val="1"/>
      </c:lineChart>
      <c:catAx>
        <c:axId val="557917464"/>
        <c:scaling>
          <c:orientation val="minMax"/>
        </c:scaling>
        <c:delete val="0"/>
        <c:axPos val="b"/>
        <c:majorGridlines>
          <c:spPr>
            <a:ln>
              <a:solidFill>
                <a:sysClr val="window" lastClr="FFFFFF">
                  <a:lumMod val="85000"/>
                </a:sysClr>
              </a:solidFill>
            </a:ln>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1"/>
        <c:crosses val="autoZero"/>
        <c:auto val="1"/>
        <c:lblAlgn val="ctr"/>
        <c:lblOffset val="100"/>
        <c:tickLblSkip val="2"/>
        <c:tickMarkSkip val="4"/>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557917464"/>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'2020'!$D$1</c:f>
              <c:strCache>
                <c:ptCount val="1"/>
                <c:pt idx="0">
                  <c:v>Vidējā alga 2020.gada 2.ceturksnī, euro</c:v>
                </c:pt>
              </c:strCache>
            </c:strRef>
          </c:tx>
          <c:spPr>
            <a:pattFill prst="dkUpDiag">
              <a:fgClr>
                <a:srgbClr val="4F81BD">
                  <a:lumMod val="75000"/>
                </a:srgbClr>
              </a:fgClr>
              <a:bgClr>
                <a:sysClr val="window" lastClr="FFFFFF"/>
              </a:bgClr>
            </a:pattFill>
            <a:ln>
              <a:noFill/>
            </a:ln>
            <a:effectLst/>
          </c:spPr>
          <c:invertIfNegative val="0"/>
          <c:cat>
            <c:strRef>
              <c:f>'2020'!$C$4:$C$23</c:f>
              <c:strCache>
                <c:ptCount val="20"/>
                <c:pt idx="0">
                  <c:v>Finanšu pakalpojumi</c:v>
                </c:pt>
                <c:pt idx="1">
                  <c:v>IKT</c:v>
                </c:pt>
                <c:pt idx="2">
                  <c:v>Enerģētika</c:v>
                </c:pt>
                <c:pt idx="3">
                  <c:v>Valsts pārvalde</c:v>
                </c:pt>
                <c:pt idx="4">
                  <c:v>Prof. pakalpojumi</c:v>
                </c:pt>
                <c:pt idx="5">
                  <c:v>Ieguves rūpniecība</c:v>
                </c:pt>
                <c:pt idx="6">
                  <c:v>Veselība, sociālā aprūpe</c:v>
                </c:pt>
                <c:pt idx="7">
                  <c:v>Ūdens apgāde</c:v>
                </c:pt>
                <c:pt idx="8">
                  <c:v>PAVISAM</c:v>
                </c:pt>
                <c:pt idx="9">
                  <c:v>Būvniecība</c:v>
                </c:pt>
                <c:pt idx="10">
                  <c:v>Apstrādes rūpniecība</c:v>
                </c:pt>
                <c:pt idx="11">
                  <c:v>Lauksaimniecība</c:v>
                </c:pt>
                <c:pt idx="12">
                  <c:v>Transports</c:v>
                </c:pt>
                <c:pt idx="13">
                  <c:v>Admin. pakalpojumi</c:v>
                </c:pt>
                <c:pt idx="14">
                  <c:v>Tirdzniecība</c:v>
                </c:pt>
                <c:pt idx="15">
                  <c:v>NĪ operācijas</c:v>
                </c:pt>
                <c:pt idx="16">
                  <c:v>Citi pakalpojumi</c:v>
                </c:pt>
                <c:pt idx="17">
                  <c:v>Izglītība</c:v>
                </c:pt>
                <c:pt idx="18">
                  <c:v>Māksla, izklaide</c:v>
                </c:pt>
                <c:pt idx="19">
                  <c:v>Izmitināšana,ēdināšana</c:v>
                </c:pt>
              </c:strCache>
            </c:strRef>
          </c:cat>
          <c:val>
            <c:numRef>
              <c:f>'2020'!$D$4:$D$23</c:f>
              <c:numCache>
                <c:formatCode>0</c:formatCode>
                <c:ptCount val="20"/>
                <c:pt idx="0">
                  <c:v>2160</c:v>
                </c:pt>
                <c:pt idx="1">
                  <c:v>1813</c:v>
                </c:pt>
                <c:pt idx="2">
                  <c:v>1496</c:v>
                </c:pt>
                <c:pt idx="3">
                  <c:v>1356</c:v>
                </c:pt>
                <c:pt idx="4">
                  <c:v>1313</c:v>
                </c:pt>
                <c:pt idx="5">
                  <c:v>1227</c:v>
                </c:pt>
                <c:pt idx="6">
                  <c:v>1156</c:v>
                </c:pt>
                <c:pt idx="7">
                  <c:v>1130</c:v>
                </c:pt>
                <c:pt idx="8">
                  <c:v>1118</c:v>
                </c:pt>
                <c:pt idx="9">
                  <c:v>1085</c:v>
                </c:pt>
                <c:pt idx="10">
                  <c:v>1082</c:v>
                </c:pt>
                <c:pt idx="11">
                  <c:v>1055</c:v>
                </c:pt>
                <c:pt idx="12">
                  <c:v>1040</c:v>
                </c:pt>
                <c:pt idx="13">
                  <c:v>1010</c:v>
                </c:pt>
                <c:pt idx="14">
                  <c:v>971</c:v>
                </c:pt>
                <c:pt idx="15">
                  <c:v>938</c:v>
                </c:pt>
                <c:pt idx="16">
                  <c:v>925</c:v>
                </c:pt>
                <c:pt idx="17">
                  <c:v>895</c:v>
                </c:pt>
                <c:pt idx="18">
                  <c:v>894</c:v>
                </c:pt>
                <c:pt idx="19">
                  <c:v>646</c:v>
                </c:pt>
              </c:numCache>
            </c:numRef>
          </c:val>
          <c:extLst>
            <c:ext xmlns:c16="http://schemas.microsoft.com/office/drawing/2014/chart" uri="{C3380CC4-5D6E-409C-BE32-E72D297353CC}">
              <c16:uniqueId val="{00000000-F518-40DB-866C-AFFAC5E25C49}"/>
            </c:ext>
          </c:extLst>
        </c:ser>
        <c:dLbls>
          <c:showLegendKey val="0"/>
          <c:showVal val="0"/>
          <c:showCatName val="0"/>
          <c:showSerName val="0"/>
          <c:showPercent val="0"/>
          <c:showBubbleSize val="0"/>
        </c:dLbls>
        <c:gapWidth val="50"/>
        <c:overlap val="100"/>
        <c:axId val="395291424"/>
        <c:axId val="395291816"/>
      </c:barChart>
      <c:lineChart>
        <c:grouping val="stacked"/>
        <c:varyColors val="0"/>
        <c:ser>
          <c:idx val="2"/>
          <c:order val="1"/>
          <c:tx>
            <c:strRef>
              <c:f>'2020'!$E$1</c:f>
              <c:strCache>
                <c:ptCount val="1"/>
                <c:pt idx="0">
                  <c:v>Vidējās algas izmaiņas, gads pret gadu, %, labā ass</c:v>
                </c:pt>
              </c:strCache>
            </c:strRef>
          </c:tx>
          <c:spPr>
            <a:ln w="28575" cap="rnd">
              <a:noFill/>
              <a:round/>
            </a:ln>
            <a:effectLst/>
          </c:spPr>
          <c:marker>
            <c:symbol val="diamond"/>
            <c:size val="7"/>
            <c:spPr>
              <a:solidFill>
                <a:schemeClr val="tx1">
                  <a:lumMod val="85000"/>
                  <a:lumOff val="15000"/>
                </a:schemeClr>
              </a:solidFill>
              <a:ln w="9525">
                <a:solidFill>
                  <a:schemeClr val="tx1">
                    <a:lumMod val="85000"/>
                    <a:lumOff val="15000"/>
                  </a:schemeClr>
                </a:solidFill>
              </a:ln>
              <a:effectLst/>
            </c:spPr>
          </c:marker>
          <c:cat>
            <c:strRef>
              <c:f>'2020'!$C$4:$C$23</c:f>
              <c:strCache>
                <c:ptCount val="20"/>
                <c:pt idx="0">
                  <c:v>Finanšu pakalpojumi</c:v>
                </c:pt>
                <c:pt idx="1">
                  <c:v>IKT</c:v>
                </c:pt>
                <c:pt idx="2">
                  <c:v>Enerģētika</c:v>
                </c:pt>
                <c:pt idx="3">
                  <c:v>Valsts pārvalde</c:v>
                </c:pt>
                <c:pt idx="4">
                  <c:v>Prof. pakalpojumi</c:v>
                </c:pt>
                <c:pt idx="5">
                  <c:v>Ieguves rūpniecība</c:v>
                </c:pt>
                <c:pt idx="6">
                  <c:v>Veselība, sociālā aprūpe</c:v>
                </c:pt>
                <c:pt idx="7">
                  <c:v>Ūdens apgāde</c:v>
                </c:pt>
                <c:pt idx="8">
                  <c:v>PAVISAM</c:v>
                </c:pt>
                <c:pt idx="9">
                  <c:v>Būvniecība</c:v>
                </c:pt>
                <c:pt idx="10">
                  <c:v>Apstrādes rūpniecība</c:v>
                </c:pt>
                <c:pt idx="11">
                  <c:v>Lauksaimniecība</c:v>
                </c:pt>
                <c:pt idx="12">
                  <c:v>Transports</c:v>
                </c:pt>
                <c:pt idx="13">
                  <c:v>Admin. pakalpojumi</c:v>
                </c:pt>
                <c:pt idx="14">
                  <c:v>Tirdzniecība</c:v>
                </c:pt>
                <c:pt idx="15">
                  <c:v>NĪ operācijas</c:v>
                </c:pt>
                <c:pt idx="16">
                  <c:v>Citi pakalpojumi</c:v>
                </c:pt>
                <c:pt idx="17">
                  <c:v>Izglītība</c:v>
                </c:pt>
                <c:pt idx="18">
                  <c:v>Māksla, izklaide</c:v>
                </c:pt>
                <c:pt idx="19">
                  <c:v>Izmitināšana,ēdināšana</c:v>
                </c:pt>
              </c:strCache>
            </c:strRef>
          </c:cat>
          <c:val>
            <c:numRef>
              <c:f>'2020'!$E$4:$E$23</c:f>
              <c:numCache>
                <c:formatCode>0.0</c:formatCode>
                <c:ptCount val="20"/>
                <c:pt idx="0">
                  <c:v>2.9061457837065348</c:v>
                </c:pt>
                <c:pt idx="1">
                  <c:v>4.8582995951417018</c:v>
                </c:pt>
                <c:pt idx="2">
                  <c:v>0.80862533692722138</c:v>
                </c:pt>
                <c:pt idx="3">
                  <c:v>6.5200314218381692</c:v>
                </c:pt>
                <c:pt idx="4">
                  <c:v>7.9769736842105345</c:v>
                </c:pt>
                <c:pt idx="5">
                  <c:v>5.0513698630136901</c:v>
                </c:pt>
                <c:pt idx="6">
                  <c:v>4.6153846153846274</c:v>
                </c:pt>
                <c:pt idx="7">
                  <c:v>3.2906764168190108</c:v>
                </c:pt>
                <c:pt idx="8">
                  <c:v>4</c:v>
                </c:pt>
                <c:pt idx="9">
                  <c:v>5.95703125</c:v>
                </c:pt>
                <c:pt idx="10">
                  <c:v>4.4401544401544442</c:v>
                </c:pt>
                <c:pt idx="11">
                  <c:v>1.7357762777242129</c:v>
                </c:pt>
                <c:pt idx="12">
                  <c:v>-5.1094890510948971</c:v>
                </c:pt>
                <c:pt idx="13">
                  <c:v>2.8513238289205702</c:v>
                </c:pt>
                <c:pt idx="14">
                  <c:v>1.5690376569037738</c:v>
                </c:pt>
                <c:pt idx="15">
                  <c:v>-1.470588235294116</c:v>
                </c:pt>
                <c:pt idx="16">
                  <c:v>14.338689740420278</c:v>
                </c:pt>
                <c:pt idx="17">
                  <c:v>4.5560747663551382</c:v>
                </c:pt>
                <c:pt idx="18">
                  <c:v>-0.88691796008869517</c:v>
                </c:pt>
                <c:pt idx="19">
                  <c:v>-16.429495472186289</c:v>
                </c:pt>
              </c:numCache>
            </c:numRef>
          </c:val>
          <c:smooth val="0"/>
          <c:extLst>
            <c:ext xmlns:c16="http://schemas.microsoft.com/office/drawing/2014/chart" uri="{C3380CC4-5D6E-409C-BE32-E72D297353CC}">
              <c16:uniqueId val="{00000001-F518-40DB-866C-AFFAC5E25C49}"/>
            </c:ext>
          </c:extLst>
        </c:ser>
        <c:dLbls>
          <c:showLegendKey val="0"/>
          <c:showVal val="0"/>
          <c:showCatName val="0"/>
          <c:showSerName val="0"/>
          <c:showPercent val="0"/>
          <c:showBubbleSize val="0"/>
        </c:dLbls>
        <c:marker val="1"/>
        <c:smooth val="0"/>
        <c:axId val="407967296"/>
        <c:axId val="407966904"/>
      </c:lineChart>
      <c:catAx>
        <c:axId val="3952914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95291816"/>
        <c:crosses val="autoZero"/>
        <c:auto val="1"/>
        <c:lblAlgn val="ctr"/>
        <c:lblOffset val="100"/>
        <c:noMultiLvlLbl val="0"/>
      </c:catAx>
      <c:valAx>
        <c:axId val="395291816"/>
        <c:scaling>
          <c:orientation val="minMax"/>
          <c:max val="2800"/>
          <c:min val="-28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95291424"/>
        <c:crosses val="autoZero"/>
        <c:crossBetween val="between"/>
        <c:majorUnit val="800"/>
        <c:minorUnit val="400"/>
      </c:valAx>
      <c:valAx>
        <c:axId val="407966904"/>
        <c:scaling>
          <c:orientation val="minMax"/>
          <c:max val="20"/>
          <c:min val="-2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07967296"/>
        <c:crosses val="max"/>
        <c:crossBetween val="between"/>
        <c:majorUnit val="5"/>
      </c:valAx>
      <c:catAx>
        <c:axId val="407967296"/>
        <c:scaling>
          <c:orientation val="minMax"/>
        </c:scaling>
        <c:delete val="1"/>
        <c:axPos val="b"/>
        <c:numFmt formatCode="General" sourceLinked="1"/>
        <c:majorTickMark val="out"/>
        <c:minorTickMark val="none"/>
        <c:tickLblPos val="nextTo"/>
        <c:crossAx val="407966904"/>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Entry>
      <c:legendEntry>
        <c:idx val="1"/>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Entry>
      <c:layout>
        <c:manualLayout>
          <c:xMode val="edge"/>
          <c:yMode val="edge"/>
          <c:x val="1.325007441731715E-2"/>
          <c:y val="0.88340562178331061"/>
          <c:w val="0.98400549076561672"/>
          <c:h val="9.72238814975714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1"/>
          <c:tx>
            <c:strRef>
              <c:f>DS030c!$H$5</c:f>
              <c:strCache>
                <c:ptCount val="1"/>
                <c:pt idx="0">
                  <c:v>Reālā alga</c:v>
                </c:pt>
              </c:strCache>
            </c:strRef>
          </c:tx>
          <c:spPr>
            <a:pattFill prst="dkUpDiag">
              <a:fgClr>
                <a:srgbClr val="4F81BD">
                  <a:lumMod val="75000"/>
                </a:srgbClr>
              </a:fgClr>
              <a:bgClr>
                <a:sysClr val="window" lastClr="FFFFFF"/>
              </a:bgClr>
            </a:pattFill>
            <a:ln>
              <a:noFill/>
            </a:ln>
          </c:spPr>
          <c:invertIfNegative val="0"/>
          <c:cat>
            <c:multiLvlStrRef>
              <c:f>DS030c!$A$6:$B$43</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DS030c!$H$6:$H$43</c:f>
              <c:numCache>
                <c:formatCode>0.0</c:formatCode>
                <c:ptCount val="38"/>
                <c:pt idx="0">
                  <c:v>0.1</c:v>
                </c:pt>
                <c:pt idx="1">
                  <c:v>-0.3</c:v>
                </c:pt>
                <c:pt idx="2">
                  <c:v>0</c:v>
                </c:pt>
                <c:pt idx="3">
                  <c:v>0.6</c:v>
                </c:pt>
                <c:pt idx="4">
                  <c:v>0.4</c:v>
                </c:pt>
                <c:pt idx="5">
                  <c:v>1.6</c:v>
                </c:pt>
                <c:pt idx="6">
                  <c:v>2</c:v>
                </c:pt>
                <c:pt idx="7">
                  <c:v>2.5</c:v>
                </c:pt>
                <c:pt idx="8">
                  <c:v>4.4000000000000004</c:v>
                </c:pt>
                <c:pt idx="9">
                  <c:v>5.4</c:v>
                </c:pt>
                <c:pt idx="10">
                  <c:v>6.4</c:v>
                </c:pt>
                <c:pt idx="11">
                  <c:v>6.2</c:v>
                </c:pt>
                <c:pt idx="12">
                  <c:v>8.9</c:v>
                </c:pt>
                <c:pt idx="13">
                  <c:v>7.8</c:v>
                </c:pt>
                <c:pt idx="14">
                  <c:v>7.4</c:v>
                </c:pt>
                <c:pt idx="15">
                  <c:v>7.9</c:v>
                </c:pt>
                <c:pt idx="16">
                  <c:v>6.8</c:v>
                </c:pt>
                <c:pt idx="17">
                  <c:v>6.4</c:v>
                </c:pt>
                <c:pt idx="18">
                  <c:v>8.4</c:v>
                </c:pt>
                <c:pt idx="19">
                  <c:v>8</c:v>
                </c:pt>
                <c:pt idx="20">
                  <c:v>5.6</c:v>
                </c:pt>
                <c:pt idx="21">
                  <c:v>5.4</c:v>
                </c:pt>
                <c:pt idx="22">
                  <c:v>3.2</c:v>
                </c:pt>
                <c:pt idx="23">
                  <c:v>4</c:v>
                </c:pt>
                <c:pt idx="24">
                  <c:v>2.8</c:v>
                </c:pt>
                <c:pt idx="25">
                  <c:v>4.5999999999999996</c:v>
                </c:pt>
                <c:pt idx="26">
                  <c:v>4.5</c:v>
                </c:pt>
                <c:pt idx="27">
                  <c:v>3.9</c:v>
                </c:pt>
                <c:pt idx="28">
                  <c:v>8</c:v>
                </c:pt>
                <c:pt idx="29">
                  <c:v>7.4</c:v>
                </c:pt>
                <c:pt idx="30">
                  <c:v>6.4</c:v>
                </c:pt>
                <c:pt idx="31">
                  <c:v>6.6</c:v>
                </c:pt>
                <c:pt idx="32">
                  <c:v>4.0999999999999996</c:v>
                </c:pt>
                <c:pt idx="33">
                  <c:v>3.3</c:v>
                </c:pt>
                <c:pt idx="34">
                  <c:v>4</c:v>
                </c:pt>
                <c:pt idx="35">
                  <c:v>4.2</c:v>
                </c:pt>
                <c:pt idx="36">
                  <c:v>4.3</c:v>
                </c:pt>
                <c:pt idx="37">
                  <c:v>4.3</c:v>
                </c:pt>
              </c:numCache>
            </c:numRef>
          </c:val>
          <c:extLst>
            <c:ext xmlns:c16="http://schemas.microsoft.com/office/drawing/2014/chart" uri="{C3380CC4-5D6E-409C-BE32-E72D297353CC}">
              <c16:uniqueId val="{00000000-B988-4BE0-851B-AC5FBC9A5A52}"/>
            </c:ext>
          </c:extLst>
        </c:ser>
        <c:dLbls>
          <c:showLegendKey val="0"/>
          <c:showVal val="0"/>
          <c:showCatName val="0"/>
          <c:showSerName val="0"/>
          <c:showPercent val="0"/>
          <c:showBubbleSize val="0"/>
        </c:dLbls>
        <c:gapWidth val="50"/>
        <c:axId val="407968080"/>
        <c:axId val="407968472"/>
      </c:barChart>
      <c:lineChart>
        <c:grouping val="standard"/>
        <c:varyColors val="0"/>
        <c:ser>
          <c:idx val="0"/>
          <c:order val="0"/>
          <c:tx>
            <c:strRef>
              <c:f>DS030c!$G$5</c:f>
              <c:strCache>
                <c:ptCount val="1"/>
                <c:pt idx="0">
                  <c:v>Bruto darba samaksa</c:v>
                </c:pt>
              </c:strCache>
            </c:strRef>
          </c:tx>
          <c:spPr>
            <a:ln w="28575">
              <a:solidFill>
                <a:srgbClr val="2F5C9F"/>
              </a:solidFill>
              <a:prstDash val="sysDash"/>
            </a:ln>
          </c:spPr>
          <c:marker>
            <c:symbol val="none"/>
          </c:marker>
          <c:cat>
            <c:multiLvlStrRef>
              <c:f>DS030c!$A$6:$B$43</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DS030c!$G$6:$G$43</c:f>
              <c:numCache>
                <c:formatCode>0.0</c:formatCode>
                <c:ptCount val="38"/>
                <c:pt idx="0">
                  <c:v>4.3</c:v>
                </c:pt>
                <c:pt idx="1">
                  <c:v>4.4000000000000004</c:v>
                </c:pt>
                <c:pt idx="2">
                  <c:v>4.3</c:v>
                </c:pt>
                <c:pt idx="3">
                  <c:v>4.5</c:v>
                </c:pt>
                <c:pt idx="4">
                  <c:v>3.6</c:v>
                </c:pt>
                <c:pt idx="5">
                  <c:v>3.8</c:v>
                </c:pt>
                <c:pt idx="6">
                  <c:v>3.5</c:v>
                </c:pt>
                <c:pt idx="7">
                  <c:v>4</c:v>
                </c:pt>
                <c:pt idx="8">
                  <c:v>3.8</c:v>
                </c:pt>
                <c:pt idx="9">
                  <c:v>4.5999999999999996</c:v>
                </c:pt>
                <c:pt idx="10">
                  <c:v>5.0999999999999996</c:v>
                </c:pt>
                <c:pt idx="11">
                  <c:v>4.8</c:v>
                </c:pt>
                <c:pt idx="12">
                  <c:v>7.4</c:v>
                </c:pt>
                <c:pt idx="13">
                  <c:v>6.5</c:v>
                </c:pt>
                <c:pt idx="14">
                  <c:v>7</c:v>
                </c:pt>
                <c:pt idx="15">
                  <c:v>6.6</c:v>
                </c:pt>
                <c:pt idx="16">
                  <c:v>6.2</c:v>
                </c:pt>
                <c:pt idx="17">
                  <c:v>6.4</c:v>
                </c:pt>
                <c:pt idx="18">
                  <c:v>7.3</c:v>
                </c:pt>
                <c:pt idx="19">
                  <c:v>7.4</c:v>
                </c:pt>
                <c:pt idx="20">
                  <c:v>5.2</c:v>
                </c:pt>
                <c:pt idx="21">
                  <c:v>5.0999999999999996</c:v>
                </c:pt>
                <c:pt idx="22">
                  <c:v>3.8</c:v>
                </c:pt>
                <c:pt idx="23">
                  <c:v>5.9</c:v>
                </c:pt>
                <c:pt idx="24">
                  <c:v>7</c:v>
                </c:pt>
                <c:pt idx="25">
                  <c:v>8.6</c:v>
                </c:pt>
                <c:pt idx="26">
                  <c:v>8.3000000000000007</c:v>
                </c:pt>
                <c:pt idx="27">
                  <c:v>7.5</c:v>
                </c:pt>
                <c:pt idx="28">
                  <c:v>8.6999999999999993</c:v>
                </c:pt>
                <c:pt idx="29">
                  <c:v>8.4</c:v>
                </c:pt>
                <c:pt idx="30">
                  <c:v>8.1</c:v>
                </c:pt>
                <c:pt idx="31">
                  <c:v>8.3000000000000007</c:v>
                </c:pt>
                <c:pt idx="32">
                  <c:v>7.4</c:v>
                </c:pt>
                <c:pt idx="33">
                  <c:v>7.1</c:v>
                </c:pt>
                <c:pt idx="34">
                  <c:v>7.6</c:v>
                </c:pt>
                <c:pt idx="35">
                  <c:v>6.9</c:v>
                </c:pt>
                <c:pt idx="36">
                  <c:v>6.6</c:v>
                </c:pt>
                <c:pt idx="37">
                  <c:v>3.9</c:v>
                </c:pt>
              </c:numCache>
            </c:numRef>
          </c:val>
          <c:smooth val="0"/>
          <c:extLst>
            <c:ext xmlns:c16="http://schemas.microsoft.com/office/drawing/2014/chart" uri="{C3380CC4-5D6E-409C-BE32-E72D297353CC}">
              <c16:uniqueId val="{00000001-B988-4BE0-851B-AC5FBC9A5A52}"/>
            </c:ext>
          </c:extLst>
        </c:ser>
        <c:dLbls>
          <c:showLegendKey val="0"/>
          <c:showVal val="0"/>
          <c:showCatName val="0"/>
          <c:showSerName val="0"/>
          <c:showPercent val="0"/>
          <c:showBubbleSize val="0"/>
        </c:dLbls>
        <c:marker val="1"/>
        <c:smooth val="0"/>
        <c:axId val="407968080"/>
        <c:axId val="407968472"/>
      </c:lineChart>
      <c:catAx>
        <c:axId val="407968080"/>
        <c:scaling>
          <c:orientation val="minMax"/>
        </c:scaling>
        <c:delete val="0"/>
        <c:axPos val="b"/>
        <c:numFmt formatCode="General" sourceLinked="0"/>
        <c:majorTickMark val="none"/>
        <c:minorTickMark val="none"/>
        <c:tickLblPos val="low"/>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lv-LV"/>
          </a:p>
        </c:txPr>
        <c:crossAx val="407968472"/>
        <c:crosses val="autoZero"/>
        <c:auto val="1"/>
        <c:lblAlgn val="ctr"/>
        <c:lblOffset val="100"/>
        <c:noMultiLvlLbl val="0"/>
      </c:catAx>
      <c:valAx>
        <c:axId val="407968472"/>
        <c:scaling>
          <c:orientation val="minMax"/>
          <c:max val="10"/>
          <c:min val="-3"/>
        </c:scaling>
        <c:delete val="0"/>
        <c:axPos val="l"/>
        <c:majorGridlines>
          <c:spPr>
            <a:ln>
              <a:solidFill>
                <a:schemeClr val="bg1">
                  <a:lumMod val="85000"/>
                </a:schemeClr>
              </a:solidFill>
            </a:ln>
          </c:spPr>
        </c:majorGridlines>
        <c:numFmt formatCode="0" sourceLinked="0"/>
        <c:majorTickMark val="out"/>
        <c:minorTickMark val="none"/>
        <c:tickLblPos val="nextTo"/>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lv-LV"/>
          </a:p>
        </c:txPr>
        <c:crossAx val="407968080"/>
        <c:crosses val="autoZero"/>
        <c:crossBetween val="between"/>
        <c:majorUnit val="3"/>
      </c:valAx>
    </c:plotArea>
    <c:legend>
      <c:legendPos val="b"/>
      <c:layout>
        <c:manualLayout>
          <c:xMode val="edge"/>
          <c:yMode val="edge"/>
          <c:x val="9.9617355522867351E-2"/>
          <c:y val="0.67083822387370118"/>
          <c:w val="0.78219376424100828"/>
          <c:h val="0.14941539245667687"/>
        </c:manualLayout>
      </c:layout>
      <c:overlay val="1"/>
      <c:txPr>
        <a:bodyPr/>
        <a:lstStyle/>
        <a:p>
          <a:pPr>
            <a:defRPr sz="1000" b="0">
              <a:solidFill>
                <a:sysClr val="windowText" lastClr="000000"/>
              </a:solidFill>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ln>
      <a:noFill/>
    </a:ln>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307834365238366E-2"/>
          <c:y val="2.6522001205545511E-2"/>
          <c:w val="0.90256502028155572"/>
          <c:h val="0.68664684925911634"/>
        </c:manualLayout>
      </c:layout>
      <c:barChart>
        <c:barDir val="col"/>
        <c:grouping val="clustered"/>
        <c:varyColors val="0"/>
        <c:ser>
          <c:idx val="0"/>
          <c:order val="0"/>
          <c:tx>
            <c:strRef>
              <c:f>'graf new (4)'!$A$2</c:f>
              <c:strCache>
                <c:ptCount val="1"/>
                <c:pt idx="0">
                  <c:v>Vecuma pensijas izmaiņas, %, labā ass</c:v>
                </c:pt>
              </c:strCache>
            </c:strRef>
          </c:tx>
          <c:spPr>
            <a:pattFill prst="dkUpDiag">
              <a:fgClr>
                <a:srgbClr val="00863D"/>
              </a:fgClr>
              <a:bgClr>
                <a:sysClr val="window" lastClr="FFFFFF"/>
              </a:bgClr>
            </a:pattFill>
            <a:ln>
              <a:solidFill>
                <a:srgbClr val="00863D"/>
              </a:solidFill>
            </a:ln>
            <a:effectLst/>
          </c:spPr>
          <c:invertIfNegative val="0"/>
          <c:cat>
            <c:multiLvlStrRef>
              <c:f>'graf new (4)'!$F$10:$AM$11</c:f>
              <c:multiLvlStrCache>
                <c:ptCount val="3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'graf new (4)'!$F$2:$AM$2</c:f>
              <c:numCache>
                <c:formatCode>0.0</c:formatCode>
                <c:ptCount val="34"/>
                <c:pt idx="0">
                  <c:v>1.3434787777909776</c:v>
                </c:pt>
                <c:pt idx="1">
                  <c:v>1.2556266287609503</c:v>
                </c:pt>
                <c:pt idx="2">
                  <c:v>1.2162002597709431</c:v>
                </c:pt>
                <c:pt idx="3">
                  <c:v>0.85236158898966607</c:v>
                </c:pt>
                <c:pt idx="4">
                  <c:v>0.45753167526983418</c:v>
                </c:pt>
                <c:pt idx="5">
                  <c:v>0.33536109811262804</c:v>
                </c:pt>
                <c:pt idx="6">
                  <c:v>0.99548918960958588</c:v>
                </c:pt>
                <c:pt idx="7">
                  <c:v>2.4269209893773791</c:v>
                </c:pt>
                <c:pt idx="8">
                  <c:v>3.0947097979679938</c:v>
                </c:pt>
                <c:pt idx="9">
                  <c:v>2.9187718616401099</c:v>
                </c:pt>
                <c:pt idx="10">
                  <c:v>2.1292160788541423</c:v>
                </c:pt>
                <c:pt idx="11">
                  <c:v>2.5624526873580891</c:v>
                </c:pt>
                <c:pt idx="12">
                  <c:v>2.8772088808337202</c:v>
                </c:pt>
                <c:pt idx="13">
                  <c:v>2.8737585438616549</c:v>
                </c:pt>
                <c:pt idx="14">
                  <c:v>2.9217719132893478</c:v>
                </c:pt>
                <c:pt idx="15">
                  <c:v>2.1330774624497053</c:v>
                </c:pt>
                <c:pt idx="16">
                  <c:v>1.9525801952580082</c:v>
                </c:pt>
                <c:pt idx="17">
                  <c:v>2.0850157844504906</c:v>
                </c:pt>
                <c:pt idx="18">
                  <c:v>2.2087912087912116</c:v>
                </c:pt>
                <c:pt idx="19">
                  <c:v>2.4534778681120315</c:v>
                </c:pt>
                <c:pt idx="20">
                  <c:v>2.8763769889840916</c:v>
                </c:pt>
                <c:pt idx="21">
                  <c:v>3.049262855088088</c:v>
                </c:pt>
                <c:pt idx="22" formatCode="General">
                  <c:v>3.0570189585349397</c:v>
                </c:pt>
                <c:pt idx="23" formatCode="General">
                  <c:v>4.9622628200606442</c:v>
                </c:pt>
                <c:pt idx="24" formatCode="General">
                  <c:v>6.7921755257724925</c:v>
                </c:pt>
                <c:pt idx="25" formatCode="General">
                  <c:v>7.0207271965943221</c:v>
                </c:pt>
                <c:pt idx="26" formatCode="General">
                  <c:v>8.8503268883015664</c:v>
                </c:pt>
                <c:pt idx="27" formatCode="General">
                  <c:v>10.826249117973191</c:v>
                </c:pt>
                <c:pt idx="28" formatCode="General">
                  <c:v>9.1585293924896689</c:v>
                </c:pt>
                <c:pt idx="29" formatCode="General">
                  <c:v>8.6305836322138987</c:v>
                </c:pt>
                <c:pt idx="30" formatCode="General">
                  <c:v>7.2936969999999999</c:v>
                </c:pt>
                <c:pt idx="31" formatCode="General">
                  <c:v>8.7196429999999996</c:v>
                </c:pt>
                <c:pt idx="32" formatCode="General">
                  <c:v>9.0535230000000002</c:v>
                </c:pt>
                <c:pt idx="33" formatCode="General">
                  <c:v>9.0674430000000008</c:v>
                </c:pt>
              </c:numCache>
            </c:numRef>
          </c:val>
          <c:extLst>
            <c:ext xmlns:c16="http://schemas.microsoft.com/office/drawing/2014/chart" uri="{C3380CC4-5D6E-409C-BE32-E72D297353CC}">
              <c16:uniqueId val="{00000000-D65F-438D-92BB-E5CE6C183863}"/>
            </c:ext>
          </c:extLst>
        </c:ser>
        <c:ser>
          <c:idx val="1"/>
          <c:order val="1"/>
          <c:tx>
            <c:strRef>
              <c:f>'graf new (4)'!$A$3</c:f>
              <c:strCache>
                <c:ptCount val="1"/>
                <c:pt idx="0">
                  <c:v>Neto darba samaksas izmaiņas, %, labā ass</c:v>
                </c:pt>
              </c:strCache>
            </c:strRef>
          </c:tx>
          <c:spPr>
            <a:pattFill prst="dkUpDiag">
              <a:fgClr>
                <a:srgbClr val="44546A">
                  <a:lumMod val="50000"/>
                </a:srgbClr>
              </a:fgClr>
              <a:bgClr>
                <a:sysClr val="window" lastClr="FFFFFF"/>
              </a:bgClr>
            </a:pattFill>
            <a:ln>
              <a:solidFill>
                <a:srgbClr val="44546A">
                  <a:lumMod val="50000"/>
                </a:srgbClr>
              </a:solidFill>
            </a:ln>
            <a:effectLst/>
          </c:spPr>
          <c:invertIfNegative val="0"/>
          <c:cat>
            <c:multiLvlStrRef>
              <c:f>'graf new (4)'!$F$10:$AM$11</c:f>
              <c:multiLvlStrCache>
                <c:ptCount val="3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'graf new (4)'!$F$3:$AM$3</c:f>
              <c:numCache>
                <c:formatCode>0.0</c:formatCode>
                <c:ptCount val="34"/>
                <c:pt idx="0">
                  <c:v>3.9473684210526301</c:v>
                </c:pt>
                <c:pt idx="1">
                  <c:v>3.8297872340425414</c:v>
                </c:pt>
                <c:pt idx="2">
                  <c:v>3.8054968287526378</c:v>
                </c:pt>
                <c:pt idx="3">
                  <c:v>4.1580041580041609</c:v>
                </c:pt>
                <c:pt idx="4">
                  <c:v>4.6413502109704723</c:v>
                </c:pt>
                <c:pt idx="5">
                  <c:v>5.3278688524590194</c:v>
                </c:pt>
                <c:pt idx="6">
                  <c:v>6.109979633401224</c:v>
                </c:pt>
                <c:pt idx="7">
                  <c:v>5.7884231536926052</c:v>
                </c:pt>
                <c:pt idx="8">
                  <c:v>9.4758064516128968</c:v>
                </c:pt>
                <c:pt idx="9">
                  <c:v>8.5603112840466906</c:v>
                </c:pt>
                <c:pt idx="10">
                  <c:v>8.2533589251439565</c:v>
                </c:pt>
                <c:pt idx="11">
                  <c:v>8.49056603773586</c:v>
                </c:pt>
                <c:pt idx="12">
                  <c:v>6.6298342541436455</c:v>
                </c:pt>
                <c:pt idx="13">
                  <c:v>7.3476702508960727</c:v>
                </c:pt>
                <c:pt idx="14">
                  <c:v>8.3333333333333286</c:v>
                </c:pt>
                <c:pt idx="15">
                  <c:v>8.173913043478251</c:v>
                </c:pt>
                <c:pt idx="16">
                  <c:v>5.3540587219343792</c:v>
                </c:pt>
                <c:pt idx="17">
                  <c:v>4.6744574290484167</c:v>
                </c:pt>
                <c:pt idx="18">
                  <c:v>3.4369885433715268</c:v>
                </c:pt>
                <c:pt idx="19">
                  <c:v>5.6270096463022554</c:v>
                </c:pt>
                <c:pt idx="20">
                  <c:v>6.0655737704917954</c:v>
                </c:pt>
                <c:pt idx="21">
                  <c:v>7.814992025518336</c:v>
                </c:pt>
                <c:pt idx="22" formatCode="General">
                  <c:v>7.4367088607594951</c:v>
                </c:pt>
                <c:pt idx="23" formatCode="General">
                  <c:v>6.544901065449011</c:v>
                </c:pt>
                <c:pt idx="24" formatCode="General">
                  <c:v>10.200927357032469</c:v>
                </c:pt>
                <c:pt idx="25" formatCode="General">
                  <c:v>10.059171597633139</c:v>
                </c:pt>
                <c:pt idx="26" formatCode="General">
                  <c:v>9.5729013254786537</c:v>
                </c:pt>
                <c:pt idx="27" formatCode="General">
                  <c:v>9.7142857142857224</c:v>
                </c:pt>
                <c:pt idx="28" formatCode="General">
                  <c:v>7.1</c:v>
                </c:pt>
                <c:pt idx="29" formatCode="General">
                  <c:v>6.7</c:v>
                </c:pt>
                <c:pt idx="30" formatCode="General">
                  <c:v>7</c:v>
                </c:pt>
                <c:pt idx="31" formatCode="General">
                  <c:v>6.5</c:v>
                </c:pt>
                <c:pt idx="32" formatCode="General">
                  <c:v>6.3</c:v>
                </c:pt>
                <c:pt idx="33" formatCode="General">
                  <c:v>3.9</c:v>
                </c:pt>
              </c:numCache>
            </c:numRef>
          </c:val>
          <c:extLst>
            <c:ext xmlns:c16="http://schemas.microsoft.com/office/drawing/2014/chart" uri="{C3380CC4-5D6E-409C-BE32-E72D297353CC}">
              <c16:uniqueId val="{00000001-D65F-438D-92BB-E5CE6C183863}"/>
            </c:ext>
          </c:extLst>
        </c:ser>
        <c:ser>
          <c:idx val="5"/>
          <c:order val="5"/>
          <c:tx>
            <c:strRef>
              <c:f>'graf new (4)'!$A$7</c:f>
              <c:strCache>
                <c:ptCount val="1"/>
                <c:pt idx="0">
                  <c:v>Bezdarbnieka pabalsta izmaiņas, %, labā ass</c:v>
                </c:pt>
              </c:strCache>
            </c:strRef>
          </c:tx>
          <c:spPr>
            <a:pattFill prst="dkUpDiag">
              <a:fgClr>
                <a:schemeClr val="accent6">
                  <a:lumMod val="75000"/>
                </a:schemeClr>
              </a:fgClr>
              <a:bgClr>
                <a:schemeClr val="bg1"/>
              </a:bgClr>
            </a:pattFill>
            <a:ln>
              <a:solidFill>
                <a:schemeClr val="accent6">
                  <a:lumMod val="75000"/>
                </a:schemeClr>
              </a:solidFill>
            </a:ln>
            <a:effectLst/>
          </c:spPr>
          <c:invertIfNegative val="0"/>
          <c:cat>
            <c:multiLvlStrRef>
              <c:f>'graf new (4)'!$F$10:$AM$11</c:f>
              <c:multiLvlStrCache>
                <c:ptCount val="3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'graf new (4)'!$F$7:$AM$7</c:f>
              <c:numCache>
                <c:formatCode>0.0</c:formatCode>
                <c:ptCount val="34"/>
                <c:pt idx="0">
                  <c:v>1.5948474160404942</c:v>
                </c:pt>
                <c:pt idx="1">
                  <c:v>0.97538742023704117</c:v>
                </c:pt>
                <c:pt idx="2">
                  <c:v>8.5520881138137099</c:v>
                </c:pt>
                <c:pt idx="3">
                  <c:v>15.582133156825591</c:v>
                </c:pt>
                <c:pt idx="4">
                  <c:v>22.223180592991881</c:v>
                </c:pt>
                <c:pt idx="5">
                  <c:v>28.028798411122125</c:v>
                </c:pt>
                <c:pt idx="6">
                  <c:v>18.593442830870671</c:v>
                </c:pt>
                <c:pt idx="7">
                  <c:v>10.098736176935247</c:v>
                </c:pt>
                <c:pt idx="8">
                  <c:v>5.8696917838429101</c:v>
                </c:pt>
                <c:pt idx="9">
                  <c:v>2.628378021048178</c:v>
                </c:pt>
                <c:pt idx="10">
                  <c:v>3.1263925280288021</c:v>
                </c:pt>
                <c:pt idx="11">
                  <c:v>4.3656060551709288</c:v>
                </c:pt>
                <c:pt idx="12">
                  <c:v>6.1191841087854897</c:v>
                </c:pt>
                <c:pt idx="13">
                  <c:v>12.987392215465988</c:v>
                </c:pt>
                <c:pt idx="14">
                  <c:v>16.421522028449445</c:v>
                </c:pt>
                <c:pt idx="15">
                  <c:v>16.319516051419541</c:v>
                </c:pt>
                <c:pt idx="16">
                  <c:v>14.742462311557773</c:v>
                </c:pt>
                <c:pt idx="17">
                  <c:v>10.243390747807069</c:v>
                </c:pt>
                <c:pt idx="18">
                  <c:v>9.2847174797351641</c:v>
                </c:pt>
                <c:pt idx="19">
                  <c:v>9.3877430411914133</c:v>
                </c:pt>
                <c:pt idx="20">
                  <c:v>5.0884107954234565</c:v>
                </c:pt>
                <c:pt idx="21">
                  <c:v>5.7848504488602828</c:v>
                </c:pt>
                <c:pt idx="22" formatCode="General">
                  <c:v>10.060859642449586</c:v>
                </c:pt>
                <c:pt idx="23" formatCode="General">
                  <c:v>12.151867959696361</c:v>
                </c:pt>
                <c:pt idx="24" formatCode="General">
                  <c:v>14.852967988956294</c:v>
                </c:pt>
                <c:pt idx="25" formatCode="General">
                  <c:v>17.480967775576175</c:v>
                </c:pt>
                <c:pt idx="26" formatCode="General">
                  <c:v>17.571403885556308</c:v>
                </c:pt>
                <c:pt idx="27" formatCode="General">
                  <c:v>13.584632986090213</c:v>
                </c:pt>
                <c:pt idx="28" formatCode="General">
                  <c:v>10.427367872005107</c:v>
                </c:pt>
                <c:pt idx="29" formatCode="General">
                  <c:v>8.5140143361221305</c:v>
                </c:pt>
                <c:pt idx="30" formatCode="General">
                  <c:v>8.7177439999999997</c:v>
                </c:pt>
                <c:pt idx="31" formatCode="General">
                  <c:v>9.9856859999999994</c:v>
                </c:pt>
                <c:pt idx="32" formatCode="General">
                  <c:v>13.78829</c:v>
                </c:pt>
                <c:pt idx="33" formatCode="General">
                  <c:v>7.6946669999999999</c:v>
                </c:pt>
              </c:numCache>
            </c:numRef>
          </c:val>
          <c:extLst>
            <c:ext xmlns:c16="http://schemas.microsoft.com/office/drawing/2014/chart" uri="{C3380CC4-5D6E-409C-BE32-E72D297353CC}">
              <c16:uniqueId val="{00000002-D65F-438D-92BB-E5CE6C183863}"/>
            </c:ext>
          </c:extLst>
        </c:ser>
        <c:dLbls>
          <c:showLegendKey val="0"/>
          <c:showVal val="0"/>
          <c:showCatName val="0"/>
          <c:showSerName val="0"/>
          <c:showPercent val="0"/>
          <c:showBubbleSize val="0"/>
        </c:dLbls>
        <c:gapWidth val="50"/>
        <c:axId val="363058680"/>
        <c:axId val="363058288"/>
      </c:barChart>
      <c:lineChart>
        <c:grouping val="standard"/>
        <c:varyColors val="0"/>
        <c:ser>
          <c:idx val="2"/>
          <c:order val="2"/>
          <c:tx>
            <c:strRef>
              <c:f>'graf new (4)'!$A$4</c:f>
              <c:strCache>
                <c:ptCount val="1"/>
                <c:pt idx="0">
                  <c:v>Vecuma pensija</c:v>
                </c:pt>
              </c:strCache>
            </c:strRef>
          </c:tx>
          <c:spPr>
            <a:ln w="28575" cap="rnd">
              <a:solidFill>
                <a:srgbClr val="00863D"/>
              </a:solidFill>
              <a:prstDash val="sysDash"/>
              <a:round/>
            </a:ln>
            <a:effectLst/>
          </c:spPr>
          <c:marker>
            <c:symbol val="none"/>
          </c:marker>
          <c:cat>
            <c:multiLvlStrRef>
              <c:f>'graf new (4)'!$F$10:$AM$11</c:f>
              <c:multiLvlStrCache>
                <c:ptCount val="3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'graf new (4)'!$F$4:$AM$4</c:f>
              <c:numCache>
                <c:formatCode>General</c:formatCode>
                <c:ptCount val="34"/>
                <c:pt idx="0">
                  <c:v>255.72</c:v>
                </c:pt>
                <c:pt idx="1">
                  <c:v>256.44</c:v>
                </c:pt>
                <c:pt idx="2">
                  <c:v>257.16000000000003</c:v>
                </c:pt>
                <c:pt idx="3">
                  <c:v>257.94</c:v>
                </c:pt>
                <c:pt idx="4">
                  <c:v>256.89</c:v>
                </c:pt>
                <c:pt idx="5">
                  <c:v>257.3</c:v>
                </c:pt>
                <c:pt idx="6">
                  <c:v>259.72000000000003</c:v>
                </c:pt>
                <c:pt idx="7">
                  <c:v>264.2</c:v>
                </c:pt>
                <c:pt idx="8">
                  <c:v>264.83999999999997</c:v>
                </c:pt>
                <c:pt idx="9">
                  <c:v>264.81</c:v>
                </c:pt>
                <c:pt idx="10">
                  <c:v>265.25</c:v>
                </c:pt>
                <c:pt idx="11">
                  <c:v>270.97000000000003</c:v>
                </c:pt>
                <c:pt idx="12">
                  <c:v>272.45999999999998</c:v>
                </c:pt>
                <c:pt idx="13">
                  <c:v>272.42</c:v>
                </c:pt>
                <c:pt idx="14">
                  <c:v>273</c:v>
                </c:pt>
                <c:pt idx="15">
                  <c:v>276.75</c:v>
                </c:pt>
                <c:pt idx="16">
                  <c:v>277.77999999999997</c:v>
                </c:pt>
                <c:pt idx="17">
                  <c:v>278.10000000000002</c:v>
                </c:pt>
                <c:pt idx="18">
                  <c:v>279.02999999999997</c:v>
                </c:pt>
                <c:pt idx="19">
                  <c:v>283.54000000000002</c:v>
                </c:pt>
                <c:pt idx="20">
                  <c:v>285.77</c:v>
                </c:pt>
                <c:pt idx="21">
                  <c:v>286.58</c:v>
                </c:pt>
                <c:pt idx="22">
                  <c:v>287.56</c:v>
                </c:pt>
                <c:pt idx="23">
                  <c:v>297.61</c:v>
                </c:pt>
                <c:pt idx="24">
                  <c:v>305.18</c:v>
                </c:pt>
                <c:pt idx="25">
                  <c:v>306.7</c:v>
                </c:pt>
                <c:pt idx="26">
                  <c:v>313.01</c:v>
                </c:pt>
                <c:pt idx="27">
                  <c:v>329.83</c:v>
                </c:pt>
                <c:pt idx="28">
                  <c:v>333.13</c:v>
                </c:pt>
                <c:pt idx="29">
                  <c:v>333.17</c:v>
                </c:pt>
                <c:pt idx="30">
                  <c:v>335.84</c:v>
                </c:pt>
                <c:pt idx="31">
                  <c:v>358.59</c:v>
                </c:pt>
                <c:pt idx="32">
                  <c:v>363.29</c:v>
                </c:pt>
                <c:pt idx="33">
                  <c:v>363.38</c:v>
                </c:pt>
              </c:numCache>
            </c:numRef>
          </c:val>
          <c:smooth val="0"/>
          <c:extLst>
            <c:ext xmlns:c16="http://schemas.microsoft.com/office/drawing/2014/chart" uri="{C3380CC4-5D6E-409C-BE32-E72D297353CC}">
              <c16:uniqueId val="{00000003-D65F-438D-92BB-E5CE6C183863}"/>
            </c:ext>
          </c:extLst>
        </c:ser>
        <c:ser>
          <c:idx val="3"/>
          <c:order val="3"/>
          <c:tx>
            <c:strRef>
              <c:f>'graf new (4)'!$A$5</c:f>
              <c:strCache>
                <c:ptCount val="1"/>
                <c:pt idx="0">
                  <c:v>Neto darba samaksa</c:v>
                </c:pt>
              </c:strCache>
            </c:strRef>
          </c:tx>
          <c:spPr>
            <a:ln w="28575" cap="rnd">
              <a:solidFill>
                <a:srgbClr val="44546A">
                  <a:lumMod val="50000"/>
                </a:srgbClr>
              </a:solidFill>
              <a:prstDash val="sysDash"/>
              <a:round/>
            </a:ln>
            <a:effectLst/>
          </c:spPr>
          <c:marker>
            <c:symbol val="none"/>
          </c:marker>
          <c:cat>
            <c:multiLvlStrRef>
              <c:f>'graf new (4)'!$F$10:$AM$11</c:f>
              <c:multiLvlStrCache>
                <c:ptCount val="3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'graf new (4)'!$F$5:$AM$5</c:f>
              <c:numCache>
                <c:formatCode>General</c:formatCode>
                <c:ptCount val="34"/>
                <c:pt idx="0">
                  <c:v>474</c:v>
                </c:pt>
                <c:pt idx="1">
                  <c:v>488</c:v>
                </c:pt>
                <c:pt idx="2">
                  <c:v>491</c:v>
                </c:pt>
                <c:pt idx="3">
                  <c:v>501</c:v>
                </c:pt>
                <c:pt idx="4">
                  <c:v>496</c:v>
                </c:pt>
                <c:pt idx="5">
                  <c:v>514</c:v>
                </c:pt>
                <c:pt idx="6">
                  <c:v>521</c:v>
                </c:pt>
                <c:pt idx="7">
                  <c:v>530</c:v>
                </c:pt>
                <c:pt idx="8">
                  <c:v>543</c:v>
                </c:pt>
                <c:pt idx="9">
                  <c:v>558</c:v>
                </c:pt>
                <c:pt idx="10">
                  <c:v>564</c:v>
                </c:pt>
                <c:pt idx="11">
                  <c:v>575</c:v>
                </c:pt>
                <c:pt idx="12">
                  <c:v>579</c:v>
                </c:pt>
                <c:pt idx="13">
                  <c:v>599</c:v>
                </c:pt>
                <c:pt idx="14">
                  <c:v>611</c:v>
                </c:pt>
                <c:pt idx="15">
                  <c:v>622</c:v>
                </c:pt>
                <c:pt idx="16">
                  <c:v>610</c:v>
                </c:pt>
                <c:pt idx="17">
                  <c:v>627</c:v>
                </c:pt>
                <c:pt idx="18">
                  <c:v>632</c:v>
                </c:pt>
                <c:pt idx="19">
                  <c:v>657</c:v>
                </c:pt>
                <c:pt idx="20">
                  <c:v>647</c:v>
                </c:pt>
                <c:pt idx="21">
                  <c:v>676</c:v>
                </c:pt>
                <c:pt idx="22">
                  <c:v>679</c:v>
                </c:pt>
                <c:pt idx="23">
                  <c:v>700</c:v>
                </c:pt>
                <c:pt idx="24">
                  <c:v>713</c:v>
                </c:pt>
                <c:pt idx="25">
                  <c:v>744</c:v>
                </c:pt>
                <c:pt idx="26">
                  <c:v>744</c:v>
                </c:pt>
                <c:pt idx="27">
                  <c:v>768</c:v>
                </c:pt>
                <c:pt idx="28">
                  <c:v>793</c:v>
                </c:pt>
                <c:pt idx="29">
                  <c:v>796</c:v>
                </c:pt>
                <c:pt idx="30">
                  <c:v>818</c:v>
                </c:pt>
                <c:pt idx="31">
                  <c:v>812</c:v>
                </c:pt>
                <c:pt idx="32">
                  <c:v>824</c:v>
                </c:pt>
              </c:numCache>
            </c:numRef>
          </c:val>
          <c:smooth val="0"/>
          <c:extLst>
            <c:ext xmlns:c16="http://schemas.microsoft.com/office/drawing/2014/chart" uri="{C3380CC4-5D6E-409C-BE32-E72D297353CC}">
              <c16:uniqueId val="{00000004-D65F-438D-92BB-E5CE6C183863}"/>
            </c:ext>
          </c:extLst>
        </c:ser>
        <c:ser>
          <c:idx val="4"/>
          <c:order val="4"/>
          <c:tx>
            <c:strRef>
              <c:f>'graf new (4)'!$A$6</c:f>
              <c:strCache>
                <c:ptCount val="1"/>
                <c:pt idx="0">
                  <c:v>Bezdarbnieka pabalsts</c:v>
                </c:pt>
              </c:strCache>
            </c:strRef>
          </c:tx>
          <c:spPr>
            <a:ln w="28575" cap="rnd">
              <a:solidFill>
                <a:schemeClr val="accent6">
                  <a:lumMod val="75000"/>
                </a:schemeClr>
              </a:solidFill>
              <a:prstDash val="sysDash"/>
              <a:round/>
            </a:ln>
            <a:effectLst/>
          </c:spPr>
          <c:marker>
            <c:symbol val="none"/>
          </c:marker>
          <c:cat>
            <c:multiLvlStrRef>
              <c:f>'graf new (4)'!$F$10:$AM$11</c:f>
              <c:multiLvlStrCache>
                <c:ptCount val="3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'graf new (4)'!$F$6:$AM$6</c:f>
              <c:numCache>
                <c:formatCode>General</c:formatCode>
                <c:ptCount val="34"/>
                <c:pt idx="0">
                  <c:v>154.58333333333334</c:v>
                </c:pt>
                <c:pt idx="1">
                  <c:v>147.69333333333336</c:v>
                </c:pt>
                <c:pt idx="2">
                  <c:v>157.69000000000003</c:v>
                </c:pt>
                <c:pt idx="3">
                  <c:v>168.79999999999998</c:v>
                </c:pt>
                <c:pt idx="4">
                  <c:v>188.93666666666664</c:v>
                </c:pt>
                <c:pt idx="5">
                  <c:v>189.09</c:v>
                </c:pt>
                <c:pt idx="6">
                  <c:v>187.01</c:v>
                </c:pt>
                <c:pt idx="7">
                  <c:v>185.84666666666666</c:v>
                </c:pt>
                <c:pt idx="8">
                  <c:v>200.02666666666664</c:v>
                </c:pt>
                <c:pt idx="9">
                  <c:v>194.06000000000003</c:v>
                </c:pt>
                <c:pt idx="10">
                  <c:v>192.85666666666665</c:v>
                </c:pt>
                <c:pt idx="11">
                  <c:v>193.96</c:v>
                </c:pt>
                <c:pt idx="12">
                  <c:v>212.26666666666665</c:v>
                </c:pt>
                <c:pt idx="13">
                  <c:v>219.26333333333332</c:v>
                </c:pt>
                <c:pt idx="14">
                  <c:v>224.52666666666664</c:v>
                </c:pt>
                <c:pt idx="15">
                  <c:v>225.61333333333334</c:v>
                </c:pt>
                <c:pt idx="16">
                  <c:v>243.55999999999997</c:v>
                </c:pt>
                <c:pt idx="17">
                  <c:v>241.72333333333336</c:v>
                </c:pt>
                <c:pt idx="18">
                  <c:v>245.37333333333333</c:v>
                </c:pt>
                <c:pt idx="19">
                  <c:v>246.79333333333332</c:v>
                </c:pt>
                <c:pt idx="20">
                  <c:v>255.95333333333335</c:v>
                </c:pt>
                <c:pt idx="21">
                  <c:v>255.70666666666671</c:v>
                </c:pt>
                <c:pt idx="22">
                  <c:v>270.05999999999995</c:v>
                </c:pt>
                <c:pt idx="23">
                  <c:v>276.7833333333333</c:v>
                </c:pt>
                <c:pt idx="24">
                  <c:v>293.96999999999997</c:v>
                </c:pt>
                <c:pt idx="25">
                  <c:v>300.40666666666669</c:v>
                </c:pt>
                <c:pt idx="26">
                  <c:v>317.51333333333332</c:v>
                </c:pt>
                <c:pt idx="27">
                  <c:v>314.38333333333333</c:v>
                </c:pt>
                <c:pt idx="28">
                  <c:v>324.62333333333339</c:v>
                </c:pt>
                <c:pt idx="29">
                  <c:v>325.98333333333335</c:v>
                </c:pt>
                <c:pt idx="30">
                  <c:v>345.19330000000002</c:v>
                </c:pt>
                <c:pt idx="31">
                  <c:v>345.77670000000001</c:v>
                </c:pt>
                <c:pt idx="32">
                  <c:v>369.38330000000002</c:v>
                </c:pt>
                <c:pt idx="33">
                  <c:v>351.06670000000003</c:v>
                </c:pt>
              </c:numCache>
            </c:numRef>
          </c:val>
          <c:smooth val="0"/>
          <c:extLst>
            <c:ext xmlns:c16="http://schemas.microsoft.com/office/drawing/2014/chart" uri="{C3380CC4-5D6E-409C-BE32-E72D297353CC}">
              <c16:uniqueId val="{00000005-D65F-438D-92BB-E5CE6C183863}"/>
            </c:ext>
          </c:extLst>
        </c:ser>
        <c:dLbls>
          <c:showLegendKey val="0"/>
          <c:showVal val="0"/>
          <c:showCatName val="0"/>
          <c:showSerName val="0"/>
          <c:showPercent val="0"/>
          <c:showBubbleSize val="0"/>
        </c:dLbls>
        <c:marker val="1"/>
        <c:smooth val="0"/>
        <c:axId val="363057504"/>
        <c:axId val="363057896"/>
      </c:lineChart>
      <c:catAx>
        <c:axId val="363057504"/>
        <c:scaling>
          <c:orientation val="minMax"/>
        </c:scaling>
        <c:delete val="0"/>
        <c:axPos val="b"/>
        <c:numFmt formatCode="General" sourceLinked="1"/>
        <c:majorTickMark val="none"/>
        <c:minorTickMark val="none"/>
        <c:tickLblPos val="low"/>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63057896"/>
        <c:crosses val="autoZero"/>
        <c:auto val="1"/>
        <c:lblAlgn val="ctr"/>
        <c:lblOffset val="100"/>
        <c:noMultiLvlLbl val="0"/>
      </c:catAx>
      <c:valAx>
        <c:axId val="363057896"/>
        <c:scaling>
          <c:orientation val="minMax"/>
          <c:max val="85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63057504"/>
        <c:crosses val="autoZero"/>
        <c:crossBetween val="between"/>
      </c:valAx>
      <c:valAx>
        <c:axId val="363058288"/>
        <c:scaling>
          <c:orientation val="minMax"/>
          <c:min val="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lgn="ctr">
              <a:def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63058680"/>
        <c:crosses val="max"/>
        <c:crossBetween val="between"/>
      </c:valAx>
      <c:catAx>
        <c:axId val="363058680"/>
        <c:scaling>
          <c:orientation val="minMax"/>
        </c:scaling>
        <c:delete val="1"/>
        <c:axPos val="b"/>
        <c:numFmt formatCode="General" sourceLinked="1"/>
        <c:majorTickMark val="out"/>
        <c:minorTickMark val="none"/>
        <c:tickLblPos val="nextTo"/>
        <c:crossAx val="363058288"/>
        <c:crosses val="autoZero"/>
        <c:auto val="1"/>
        <c:lblAlgn val="ctr"/>
        <c:lblOffset val="100"/>
        <c:noMultiLvlLbl val="0"/>
      </c:catAx>
      <c:spPr>
        <a:noFill/>
        <a:ln>
          <a:noFill/>
        </a:ln>
        <a:effectLst/>
      </c:spPr>
    </c:plotArea>
    <c:legend>
      <c:legendPos val="b"/>
      <c:layout>
        <c:manualLayout>
          <c:xMode val="edge"/>
          <c:yMode val="edge"/>
          <c:x val="0"/>
          <c:y val="0.86757730922141585"/>
          <c:w val="1"/>
          <c:h val="0.132422690778583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 in Microsoft PowerPoint]nabadzības risks'!$D$23</c:f>
              <c:strCache>
                <c:ptCount val="1"/>
                <c:pt idx="0">
                  <c:v>ES vidēji </c:v>
                </c:pt>
              </c:strCache>
            </c:strRef>
          </c:tx>
          <c:spPr>
            <a:pattFill prst="dkUpDiag">
              <a:fgClr>
                <a:sysClr val="windowText" lastClr="000000"/>
              </a:fgClr>
              <a:bgClr>
                <a:sysClr val="window" lastClr="FFFFFF"/>
              </a:bgClr>
            </a:pattFill>
            <a:ln>
              <a:solidFill>
                <a:sysClr val="windowText" lastClr="000000"/>
              </a:solidFill>
            </a:ln>
            <a:effectLst/>
          </c:spPr>
          <c:invertIfNegative val="0"/>
          <c:cat>
            <c:strRef>
              <c:f>'[Chart in Microsoft PowerPoint]nabadzības risks'!$C$24:$C$27</c:f>
              <c:strCache>
                <c:ptCount val="4"/>
                <c:pt idx="0">
                  <c:v>Pavisam</c:v>
                </c:pt>
                <c:pt idx="1">
                  <c:v>Strādājošie</c:v>
                </c:pt>
                <c:pt idx="2">
                  <c:v>Pensionāri</c:v>
                </c:pt>
                <c:pt idx="3">
                  <c:v>Bezdarbnieki</c:v>
                </c:pt>
              </c:strCache>
            </c:strRef>
          </c:cat>
          <c:val>
            <c:numRef>
              <c:f>'[Chart in Microsoft PowerPoint]nabadzības risks'!$D$24:$D$27</c:f>
              <c:numCache>
                <c:formatCode>General</c:formatCode>
                <c:ptCount val="4"/>
                <c:pt idx="0">
                  <c:v>22.4</c:v>
                </c:pt>
                <c:pt idx="1">
                  <c:v>12</c:v>
                </c:pt>
                <c:pt idx="2">
                  <c:v>18.7</c:v>
                </c:pt>
                <c:pt idx="3">
                  <c:v>64.900000000000006</c:v>
                </c:pt>
              </c:numCache>
            </c:numRef>
          </c:val>
          <c:extLst>
            <c:ext xmlns:c16="http://schemas.microsoft.com/office/drawing/2014/chart" uri="{C3380CC4-5D6E-409C-BE32-E72D297353CC}">
              <c16:uniqueId val="{00000000-BE4A-41CD-9C67-727A93D3318B}"/>
            </c:ext>
          </c:extLst>
        </c:ser>
        <c:ser>
          <c:idx val="1"/>
          <c:order val="1"/>
          <c:tx>
            <c:strRef>
              <c:f>'[Chart in Microsoft PowerPoint]nabadzības risks'!$E$23</c:f>
              <c:strCache>
                <c:ptCount val="1"/>
                <c:pt idx="0">
                  <c:v>Latvija</c:v>
                </c:pt>
              </c:strCache>
            </c:strRef>
          </c:tx>
          <c:spPr>
            <a:pattFill prst="dkUpDiag">
              <a:fgClr>
                <a:srgbClr val="C00000"/>
              </a:fgClr>
              <a:bgClr>
                <a:sysClr val="window" lastClr="FFFFFF"/>
              </a:bgClr>
            </a:pattFill>
            <a:ln>
              <a:solidFill>
                <a:srgbClr val="C00000"/>
              </a:solidFill>
            </a:ln>
            <a:effectLst/>
          </c:spPr>
          <c:invertIfNegative val="0"/>
          <c:cat>
            <c:strRef>
              <c:f>'[Chart in Microsoft PowerPoint]nabadzības risks'!$C$24:$C$27</c:f>
              <c:strCache>
                <c:ptCount val="4"/>
                <c:pt idx="0">
                  <c:v>Pavisam</c:v>
                </c:pt>
                <c:pt idx="1">
                  <c:v>Strādājošie</c:v>
                </c:pt>
                <c:pt idx="2">
                  <c:v>Pensionāri</c:v>
                </c:pt>
                <c:pt idx="3">
                  <c:v>Bezdarbnieki</c:v>
                </c:pt>
              </c:strCache>
            </c:strRef>
          </c:cat>
          <c:val>
            <c:numRef>
              <c:f>'[Chart in Microsoft PowerPoint]nabadzības risks'!$E$24:$E$27</c:f>
              <c:numCache>
                <c:formatCode>General</c:formatCode>
                <c:ptCount val="4"/>
                <c:pt idx="0">
                  <c:v>28.4</c:v>
                </c:pt>
                <c:pt idx="1">
                  <c:v>12.2</c:v>
                </c:pt>
                <c:pt idx="2">
                  <c:v>53</c:v>
                </c:pt>
                <c:pt idx="3">
                  <c:v>70</c:v>
                </c:pt>
              </c:numCache>
            </c:numRef>
          </c:val>
          <c:extLst>
            <c:ext xmlns:c16="http://schemas.microsoft.com/office/drawing/2014/chart" uri="{C3380CC4-5D6E-409C-BE32-E72D297353CC}">
              <c16:uniqueId val="{00000001-BE4A-41CD-9C67-727A93D3318B}"/>
            </c:ext>
          </c:extLst>
        </c:ser>
        <c:dLbls>
          <c:showLegendKey val="0"/>
          <c:showVal val="0"/>
          <c:showCatName val="0"/>
          <c:showSerName val="0"/>
          <c:showPercent val="0"/>
          <c:showBubbleSize val="0"/>
        </c:dLbls>
        <c:gapWidth val="219"/>
        <c:overlap val="-27"/>
        <c:axId val="700402575"/>
        <c:axId val="700391343"/>
      </c:barChart>
      <c:catAx>
        <c:axId val="700402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0391343"/>
        <c:crosses val="autoZero"/>
        <c:auto val="1"/>
        <c:lblAlgn val="ctr"/>
        <c:lblOffset val="100"/>
        <c:noMultiLvlLbl val="0"/>
      </c:catAx>
      <c:valAx>
        <c:axId val="7003913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0402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346896560877158E-2"/>
          <c:y val="4.6491969568892642E-2"/>
          <c:w val="0.92920571600834989"/>
          <c:h val="0.66835068660544483"/>
        </c:manualLayout>
      </c:layout>
      <c:barChart>
        <c:barDir val="col"/>
        <c:grouping val="clustered"/>
        <c:varyColors val="0"/>
        <c:ser>
          <c:idx val="0"/>
          <c:order val="0"/>
          <c:spPr>
            <a:solidFill>
              <a:srgbClr val="002060"/>
            </a:solidFill>
            <a:ln>
              <a:solidFill>
                <a:srgbClr val="002060"/>
              </a:solidFill>
            </a:ln>
            <a:effectLst/>
          </c:spPr>
          <c:invertIfNegative val="0"/>
          <c:dPt>
            <c:idx val="1"/>
            <c:invertIfNegative val="0"/>
            <c:bubble3D val="0"/>
            <c:extLst>
              <c:ext xmlns:c16="http://schemas.microsoft.com/office/drawing/2014/chart" uri="{C3380CC4-5D6E-409C-BE32-E72D297353CC}">
                <c16:uniqueId val="{00000000-0B17-40A2-89DC-20A0243938DE}"/>
              </c:ext>
            </c:extLst>
          </c:dPt>
          <c:dPt>
            <c:idx val="2"/>
            <c:invertIfNegative val="0"/>
            <c:bubble3D val="0"/>
            <c:extLst>
              <c:ext xmlns:c16="http://schemas.microsoft.com/office/drawing/2014/chart" uri="{C3380CC4-5D6E-409C-BE32-E72D297353CC}">
                <c16:uniqueId val="{00000001-0B17-40A2-89DC-20A0243938DE}"/>
              </c:ext>
            </c:extLst>
          </c:dPt>
          <c:dPt>
            <c:idx val="3"/>
            <c:invertIfNegative val="0"/>
            <c:bubble3D val="0"/>
            <c:extLst>
              <c:ext xmlns:c16="http://schemas.microsoft.com/office/drawing/2014/chart" uri="{C3380CC4-5D6E-409C-BE32-E72D297353CC}">
                <c16:uniqueId val="{00000002-0B17-40A2-89DC-20A0243938DE}"/>
              </c:ext>
            </c:extLst>
          </c:dPt>
          <c:dPt>
            <c:idx val="4"/>
            <c:invertIfNegative val="0"/>
            <c:bubble3D val="0"/>
            <c:extLst>
              <c:ext xmlns:c16="http://schemas.microsoft.com/office/drawing/2014/chart" uri="{C3380CC4-5D6E-409C-BE32-E72D297353CC}">
                <c16:uniqueId val="{00000003-0B17-40A2-89DC-20A0243938DE}"/>
              </c:ext>
            </c:extLst>
          </c:dPt>
          <c:dPt>
            <c:idx val="7"/>
            <c:invertIfNegative val="0"/>
            <c:bubble3D val="0"/>
            <c:extLst>
              <c:ext xmlns:c16="http://schemas.microsoft.com/office/drawing/2014/chart" uri="{C3380CC4-5D6E-409C-BE32-E72D297353CC}">
                <c16:uniqueId val="{00000004-0B17-40A2-89DC-20A0243938DE}"/>
              </c:ext>
            </c:extLst>
          </c:dPt>
          <c:dPt>
            <c:idx val="9"/>
            <c:invertIfNegative val="0"/>
            <c:bubble3D val="0"/>
            <c:extLst>
              <c:ext xmlns:c16="http://schemas.microsoft.com/office/drawing/2014/chart" uri="{C3380CC4-5D6E-409C-BE32-E72D297353CC}">
                <c16:uniqueId val="{00000005-0B17-40A2-89DC-20A0243938DE}"/>
              </c:ext>
            </c:extLst>
          </c:dPt>
          <c:dPt>
            <c:idx val="10"/>
            <c:invertIfNegative val="0"/>
            <c:bubble3D val="0"/>
            <c:extLst>
              <c:ext xmlns:c16="http://schemas.microsoft.com/office/drawing/2014/chart" uri="{C3380CC4-5D6E-409C-BE32-E72D297353CC}">
                <c16:uniqueId val="{00000006-0B17-40A2-89DC-20A0243938DE}"/>
              </c:ext>
            </c:extLst>
          </c:dPt>
          <c:dPt>
            <c:idx val="11"/>
            <c:invertIfNegative val="0"/>
            <c:bubble3D val="0"/>
            <c:extLst>
              <c:ext xmlns:c16="http://schemas.microsoft.com/office/drawing/2014/chart" uri="{C3380CC4-5D6E-409C-BE32-E72D297353CC}">
                <c16:uniqueId val="{00000007-0B17-40A2-89DC-20A0243938DE}"/>
              </c:ext>
            </c:extLst>
          </c:dPt>
          <c:dPt>
            <c:idx val="12"/>
            <c:invertIfNegative val="0"/>
            <c:bubble3D val="0"/>
            <c:extLst>
              <c:ext xmlns:c16="http://schemas.microsoft.com/office/drawing/2014/chart" uri="{C3380CC4-5D6E-409C-BE32-E72D297353CC}">
                <c16:uniqueId val="{00000008-0B17-40A2-89DC-20A0243938DE}"/>
              </c:ext>
            </c:extLst>
          </c:dPt>
          <c:dPt>
            <c:idx val="14"/>
            <c:invertIfNegative val="0"/>
            <c:bubble3D val="0"/>
            <c:extLst>
              <c:ext xmlns:c16="http://schemas.microsoft.com/office/drawing/2014/chart" uri="{C3380CC4-5D6E-409C-BE32-E72D297353CC}">
                <c16:uniqueId val="{00000009-0B17-40A2-89DC-20A0243938DE}"/>
              </c:ext>
            </c:extLst>
          </c:dPt>
          <c:dPt>
            <c:idx val="15"/>
            <c:invertIfNegative val="0"/>
            <c:bubble3D val="0"/>
            <c:extLst>
              <c:ext xmlns:c16="http://schemas.microsoft.com/office/drawing/2014/chart" uri="{C3380CC4-5D6E-409C-BE32-E72D297353CC}">
                <c16:uniqueId val="{0000000A-0B17-40A2-89DC-20A0243938DE}"/>
              </c:ext>
            </c:extLst>
          </c:dPt>
          <c:dPt>
            <c:idx val="23"/>
            <c:invertIfNegative val="0"/>
            <c:bubble3D val="0"/>
            <c:spPr>
              <a:pattFill prst="dkUpDiag">
                <a:fgClr>
                  <a:srgbClr val="C00000"/>
                </a:fgClr>
                <a:bgClr>
                  <a:sysClr val="window" lastClr="FFFFFF"/>
                </a:bgClr>
              </a:pattFill>
              <a:ln>
                <a:solidFill>
                  <a:srgbClr val="C00000"/>
                </a:solidFill>
              </a:ln>
              <a:effectLst/>
            </c:spPr>
            <c:extLst>
              <c:ext xmlns:c16="http://schemas.microsoft.com/office/drawing/2014/chart" uri="{C3380CC4-5D6E-409C-BE32-E72D297353CC}">
                <c16:uniqueId val="{0000000C-0B17-40A2-89DC-20A0243938DE}"/>
              </c:ext>
            </c:extLst>
          </c:dPt>
          <c:dPt>
            <c:idx val="25"/>
            <c:invertIfNegative val="0"/>
            <c:bubble3D val="0"/>
            <c:extLst>
              <c:ext xmlns:c16="http://schemas.microsoft.com/office/drawing/2014/chart" uri="{C3380CC4-5D6E-409C-BE32-E72D297353CC}">
                <c16:uniqueId val="{0000000D-0B17-40A2-89DC-20A0243938DE}"/>
              </c:ext>
            </c:extLst>
          </c:dPt>
          <c:cat>
            <c:strRef>
              <c:f>Sheet1!$F$6:$F$32</c:f>
              <c:strCache>
                <c:ptCount val="27"/>
                <c:pt idx="0">
                  <c:v>Luksemburga</c:v>
                </c:pt>
                <c:pt idx="1">
                  <c:v>Vācija</c:v>
                </c:pt>
                <c:pt idx="2">
                  <c:v>Austrija</c:v>
                </c:pt>
                <c:pt idx="3">
                  <c:v>Beļģija</c:v>
                </c:pt>
                <c:pt idx="4">
                  <c:v>Nīderlande</c:v>
                </c:pt>
                <c:pt idx="5">
                  <c:v>Francija</c:v>
                </c:pt>
                <c:pt idx="6">
                  <c:v>Dānija</c:v>
                </c:pt>
                <c:pt idx="7">
                  <c:v>Somija</c:v>
                </c:pt>
                <c:pt idx="8">
                  <c:v>Lielbritānija</c:v>
                </c:pt>
                <c:pt idx="9">
                  <c:v>Zviedrija</c:v>
                </c:pt>
                <c:pt idx="10">
                  <c:v>Itālija</c:v>
                </c:pt>
                <c:pt idx="11">
                  <c:v>Īrija</c:v>
                </c:pt>
                <c:pt idx="12">
                  <c:v>Spānija</c:v>
                </c:pt>
                <c:pt idx="13">
                  <c:v>Kipra</c:v>
                </c:pt>
                <c:pt idx="14">
                  <c:v>Čehija</c:v>
                </c:pt>
                <c:pt idx="15">
                  <c:v>Slovēnija</c:v>
                </c:pt>
                <c:pt idx="16">
                  <c:v>Portugāle</c:v>
                </c:pt>
                <c:pt idx="17">
                  <c:v>Lietuva</c:v>
                </c:pt>
                <c:pt idx="18">
                  <c:v>Igaunija</c:v>
                </c:pt>
                <c:pt idx="19">
                  <c:v>Polija</c:v>
                </c:pt>
                <c:pt idx="20">
                  <c:v>Slovākija</c:v>
                </c:pt>
                <c:pt idx="21">
                  <c:v>Grieķija</c:v>
                </c:pt>
                <c:pt idx="22">
                  <c:v>Rumānija</c:v>
                </c:pt>
                <c:pt idx="23">
                  <c:v>Latvija</c:v>
                </c:pt>
                <c:pt idx="24">
                  <c:v>Ungārija</c:v>
                </c:pt>
                <c:pt idx="25">
                  <c:v>Horvātija</c:v>
                </c:pt>
                <c:pt idx="26">
                  <c:v>Bulgārija</c:v>
                </c:pt>
              </c:strCache>
            </c:strRef>
          </c:cat>
          <c:val>
            <c:numRef>
              <c:f>Sheet1!$G$6:$G$32</c:f>
              <c:numCache>
                <c:formatCode>General</c:formatCode>
                <c:ptCount val="27"/>
                <c:pt idx="0">
                  <c:v>145.79014127629796</c:v>
                </c:pt>
                <c:pt idx="1">
                  <c:v>127.97095744215545</c:v>
                </c:pt>
                <c:pt idx="2">
                  <c:v>119.73056904168307</c:v>
                </c:pt>
                <c:pt idx="3">
                  <c:v>113.33158378165595</c:v>
                </c:pt>
                <c:pt idx="4">
                  <c:v>112.88544810392338</c:v>
                </c:pt>
                <c:pt idx="5">
                  <c:v>110.91282858767441</c:v>
                </c:pt>
                <c:pt idx="6">
                  <c:v>109.33385819883654</c:v>
                </c:pt>
                <c:pt idx="7">
                  <c:v>109.0058172593273</c:v>
                </c:pt>
                <c:pt idx="8">
                  <c:v>108.12666754144252</c:v>
                </c:pt>
                <c:pt idx="9">
                  <c:v>107.74614005161179</c:v>
                </c:pt>
                <c:pt idx="10">
                  <c:v>98.066745396492152</c:v>
                </c:pt>
                <c:pt idx="11">
                  <c:v>94.532651008179158</c:v>
                </c:pt>
                <c:pt idx="12">
                  <c:v>87.836241962996979</c:v>
                </c:pt>
                <c:pt idx="13">
                  <c:v>86.607181909635656</c:v>
                </c:pt>
                <c:pt idx="14">
                  <c:v>84.595197480645595</c:v>
                </c:pt>
                <c:pt idx="15">
                  <c:v>81.397891790228755</c:v>
                </c:pt>
                <c:pt idx="16">
                  <c:v>80.95175611249617</c:v>
                </c:pt>
                <c:pt idx="17">
                  <c:v>80.440012246861741</c:v>
                </c:pt>
                <c:pt idx="18">
                  <c:v>73.787341993614149</c:v>
                </c:pt>
                <c:pt idx="19">
                  <c:v>71.079910772864451</c:v>
                </c:pt>
                <c:pt idx="20">
                  <c:v>70.270743122074961</c:v>
                </c:pt>
                <c:pt idx="21">
                  <c:v>67.274635874557148</c:v>
                </c:pt>
                <c:pt idx="22">
                  <c:v>67.257140357783314</c:v>
                </c:pt>
                <c:pt idx="23">
                  <c:v>66.176792196999529</c:v>
                </c:pt>
                <c:pt idx="24">
                  <c:v>65.651926693784716</c:v>
                </c:pt>
                <c:pt idx="25">
                  <c:v>62.992608144163057</c:v>
                </c:pt>
                <c:pt idx="26">
                  <c:v>49.052774018944518</c:v>
                </c:pt>
              </c:numCache>
            </c:numRef>
          </c:val>
          <c:extLst>
            <c:ext xmlns:c16="http://schemas.microsoft.com/office/drawing/2014/chart" uri="{C3380CC4-5D6E-409C-BE32-E72D297353CC}">
              <c16:uniqueId val="{0000000E-0B17-40A2-89DC-20A0243938DE}"/>
            </c:ext>
          </c:extLst>
        </c:ser>
        <c:dLbls>
          <c:showLegendKey val="0"/>
          <c:showVal val="0"/>
          <c:showCatName val="0"/>
          <c:showSerName val="0"/>
          <c:showPercent val="0"/>
          <c:showBubbleSize val="0"/>
        </c:dLbls>
        <c:gapWidth val="50"/>
        <c:overlap val="-27"/>
        <c:axId val="567518600"/>
        <c:axId val="1"/>
      </c:barChart>
      <c:lineChart>
        <c:grouping val="standard"/>
        <c:varyColors val="0"/>
        <c:ser>
          <c:idx val="1"/>
          <c:order val="1"/>
          <c:spPr>
            <a:ln w="28575" cap="rnd">
              <a:solidFill>
                <a:srgbClr val="C00000"/>
              </a:solidFill>
              <a:round/>
            </a:ln>
            <a:effectLst/>
          </c:spPr>
          <c:marker>
            <c:symbol val="none"/>
          </c:marker>
          <c:cat>
            <c:strRef>
              <c:f>Sheet1!$F$6:$F$32</c:f>
              <c:strCache>
                <c:ptCount val="27"/>
                <c:pt idx="0">
                  <c:v>Luksemburga</c:v>
                </c:pt>
                <c:pt idx="1">
                  <c:v>Vācija</c:v>
                </c:pt>
                <c:pt idx="2">
                  <c:v>Austrija</c:v>
                </c:pt>
                <c:pt idx="3">
                  <c:v>Beļģija</c:v>
                </c:pt>
                <c:pt idx="4">
                  <c:v>Nīderlande</c:v>
                </c:pt>
                <c:pt idx="5">
                  <c:v>Francija</c:v>
                </c:pt>
                <c:pt idx="6">
                  <c:v>Dānija</c:v>
                </c:pt>
                <c:pt idx="7">
                  <c:v>Somija</c:v>
                </c:pt>
                <c:pt idx="8">
                  <c:v>Lielbritānija</c:v>
                </c:pt>
                <c:pt idx="9">
                  <c:v>Zviedrija</c:v>
                </c:pt>
                <c:pt idx="10">
                  <c:v>Itālija</c:v>
                </c:pt>
                <c:pt idx="11">
                  <c:v>Īrija</c:v>
                </c:pt>
                <c:pt idx="12">
                  <c:v>Spānija</c:v>
                </c:pt>
                <c:pt idx="13">
                  <c:v>Kipra</c:v>
                </c:pt>
                <c:pt idx="14">
                  <c:v>Čehija</c:v>
                </c:pt>
                <c:pt idx="15">
                  <c:v>Slovēnija</c:v>
                </c:pt>
                <c:pt idx="16">
                  <c:v>Portugāle</c:v>
                </c:pt>
                <c:pt idx="17">
                  <c:v>Lietuva</c:v>
                </c:pt>
                <c:pt idx="18">
                  <c:v>Igaunija</c:v>
                </c:pt>
                <c:pt idx="19">
                  <c:v>Polija</c:v>
                </c:pt>
                <c:pt idx="20">
                  <c:v>Slovākija</c:v>
                </c:pt>
                <c:pt idx="21">
                  <c:v>Grieķija</c:v>
                </c:pt>
                <c:pt idx="22">
                  <c:v>Rumānija</c:v>
                </c:pt>
                <c:pt idx="23">
                  <c:v>Latvija</c:v>
                </c:pt>
                <c:pt idx="24">
                  <c:v>Ungārija</c:v>
                </c:pt>
                <c:pt idx="25">
                  <c:v>Horvātija</c:v>
                </c:pt>
                <c:pt idx="26">
                  <c:v>Bulgārija</c:v>
                </c:pt>
              </c:strCache>
            </c:strRef>
          </c:cat>
          <c:val>
            <c:numRef>
              <c:f>Sheet1!$H$6:$H$32</c:f>
              <c:numCache>
                <c:formatCode>General</c:formatCode>
                <c:ptCount val="2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numCache>
            </c:numRef>
          </c:val>
          <c:smooth val="0"/>
          <c:extLst>
            <c:ext xmlns:c16="http://schemas.microsoft.com/office/drawing/2014/chart" uri="{C3380CC4-5D6E-409C-BE32-E72D297353CC}">
              <c16:uniqueId val="{0000000F-0B17-40A2-89DC-20A0243938DE}"/>
            </c:ext>
          </c:extLst>
        </c:ser>
        <c:dLbls>
          <c:showLegendKey val="0"/>
          <c:showVal val="0"/>
          <c:showCatName val="0"/>
          <c:showSerName val="0"/>
          <c:showPercent val="0"/>
          <c:showBubbleSize val="0"/>
        </c:dLbls>
        <c:marker val="1"/>
        <c:smooth val="0"/>
        <c:axId val="567518600"/>
        <c:axId val="1"/>
      </c:lineChart>
      <c:catAx>
        <c:axId val="5675186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67518600"/>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userShapes r:id="rId3"/>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1-0B09-4476-88C0-D7018D82D7D4}"/>
              </c:ext>
            </c:extLst>
          </c:dPt>
          <c:dPt>
            <c:idx val="14"/>
            <c:invertIfNegative val="0"/>
            <c:bubble3D val="0"/>
            <c:spPr>
              <a:solidFill>
                <a:srgbClr val="FFC000"/>
              </a:solidFill>
              <a:ln>
                <a:noFill/>
              </a:ln>
              <a:effectLst/>
            </c:spPr>
            <c:extLst>
              <c:ext xmlns:c16="http://schemas.microsoft.com/office/drawing/2014/chart" uri="{C3380CC4-5D6E-409C-BE32-E72D297353CC}">
                <c16:uniqueId val="{00000003-0B09-4476-88C0-D7018D82D7D4}"/>
              </c:ext>
            </c:extLst>
          </c:dPt>
          <c:dPt>
            <c:idx val="16"/>
            <c:invertIfNegative val="0"/>
            <c:bubble3D val="0"/>
            <c:spPr>
              <a:solidFill>
                <a:srgbClr val="FFC000"/>
              </a:solidFill>
              <a:ln>
                <a:noFill/>
              </a:ln>
              <a:effectLst/>
            </c:spPr>
            <c:extLst>
              <c:ext xmlns:c16="http://schemas.microsoft.com/office/drawing/2014/chart" uri="{C3380CC4-5D6E-409C-BE32-E72D297353CC}">
                <c16:uniqueId val="{00000005-0B09-4476-88C0-D7018D82D7D4}"/>
              </c:ext>
            </c:extLst>
          </c:dPt>
          <c:cat>
            <c:strRef>
              <c:f>Data!$T$12:$T$40</c:f>
              <c:strCache>
                <c:ptCount val="29"/>
                <c:pt idx="0">
                  <c:v>IE</c:v>
                </c:pt>
                <c:pt idx="1">
                  <c:v>LU</c:v>
                </c:pt>
                <c:pt idx="2">
                  <c:v>LT</c:v>
                </c:pt>
                <c:pt idx="3">
                  <c:v>NL</c:v>
                </c:pt>
                <c:pt idx="4">
                  <c:v>LV</c:v>
                </c:pt>
                <c:pt idx="5">
                  <c:v>MT</c:v>
                </c:pt>
                <c:pt idx="6">
                  <c:v>SE</c:v>
                </c:pt>
                <c:pt idx="7">
                  <c:v>DK</c:v>
                </c:pt>
                <c:pt idx="8">
                  <c:v>PL</c:v>
                </c:pt>
                <c:pt idx="9">
                  <c:v>BE</c:v>
                </c:pt>
                <c:pt idx="10">
                  <c:v>FI</c:v>
                </c:pt>
                <c:pt idx="11">
                  <c:v>BG</c:v>
                </c:pt>
                <c:pt idx="12">
                  <c:v>EE</c:v>
                </c:pt>
                <c:pt idx="13">
                  <c:v>CY</c:v>
                </c:pt>
                <c:pt idx="14">
                  <c:v>ES vidēji</c:v>
                </c:pt>
                <c:pt idx="15">
                  <c:v>AT</c:v>
                </c:pt>
                <c:pt idx="16">
                  <c:v>Eizozonā vidēji</c:v>
                </c:pt>
                <c:pt idx="17">
                  <c:v>HU</c:v>
                </c:pt>
                <c:pt idx="18">
                  <c:v>CZ</c:v>
                </c:pt>
                <c:pt idx="19">
                  <c:v>DE</c:v>
                </c:pt>
                <c:pt idx="20">
                  <c:v>SI</c:v>
                </c:pt>
                <c:pt idx="21">
                  <c:v>RO</c:v>
                </c:pt>
                <c:pt idx="22">
                  <c:v>SK</c:v>
                </c:pt>
                <c:pt idx="23">
                  <c:v>EL</c:v>
                </c:pt>
                <c:pt idx="24">
                  <c:v>IT</c:v>
                </c:pt>
                <c:pt idx="25">
                  <c:v>FR</c:v>
                </c:pt>
                <c:pt idx="26">
                  <c:v>PT</c:v>
                </c:pt>
                <c:pt idx="27">
                  <c:v>ES</c:v>
                </c:pt>
                <c:pt idx="28">
                  <c:v>HR</c:v>
                </c:pt>
              </c:strCache>
            </c:strRef>
          </c:cat>
          <c:val>
            <c:numRef>
              <c:f>Data!$U$12:$U$40</c:f>
              <c:numCache>
                <c:formatCode>0</c:formatCode>
                <c:ptCount val="29"/>
                <c:pt idx="0">
                  <c:v>3.071722226137624</c:v>
                </c:pt>
                <c:pt idx="1">
                  <c:v>-0.25625045637712829</c:v>
                </c:pt>
                <c:pt idx="2">
                  <c:v>-2.8057612879825089</c:v>
                </c:pt>
                <c:pt idx="3">
                  <c:v>-4.8243130200467856</c:v>
                </c:pt>
                <c:pt idx="4">
                  <c:v>-4.847604187758332</c:v>
                </c:pt>
                <c:pt idx="5">
                  <c:v>-5.2372655529363499</c:v>
                </c:pt>
                <c:pt idx="6">
                  <c:v>-5.8706308541395353</c:v>
                </c:pt>
                <c:pt idx="7">
                  <c:v>-6.620624472443251</c:v>
                </c:pt>
                <c:pt idx="8">
                  <c:v>-6.8858644912880598</c:v>
                </c:pt>
                <c:pt idx="9">
                  <c:v>-7.5536586279008819</c:v>
                </c:pt>
                <c:pt idx="10">
                  <c:v>-9.194311535238068</c:v>
                </c:pt>
                <c:pt idx="11">
                  <c:v>-9.260191721215687</c:v>
                </c:pt>
                <c:pt idx="12">
                  <c:v>-9.7268599959971542</c:v>
                </c:pt>
                <c:pt idx="13">
                  <c:v>-11.297946321851562</c:v>
                </c:pt>
                <c:pt idx="14">
                  <c:v>-11.849620193694919</c:v>
                </c:pt>
                <c:pt idx="15">
                  <c:v>-12.180314190864102</c:v>
                </c:pt>
                <c:pt idx="16">
                  <c:v>-12.428833395773777</c:v>
                </c:pt>
                <c:pt idx="17">
                  <c:v>-12.439593907104394</c:v>
                </c:pt>
                <c:pt idx="18">
                  <c:v>-12.466646592646741</c:v>
                </c:pt>
                <c:pt idx="19">
                  <c:v>-12.62307742220311</c:v>
                </c:pt>
                <c:pt idx="20">
                  <c:v>-13.577244967202001</c:v>
                </c:pt>
                <c:pt idx="21">
                  <c:v>-15.464870794330906</c:v>
                </c:pt>
                <c:pt idx="22">
                  <c:v>-16.72602105912538</c:v>
                </c:pt>
                <c:pt idx="23">
                  <c:v>-17.30077076888896</c:v>
                </c:pt>
                <c:pt idx="24">
                  <c:v>-19.901246191407925</c:v>
                </c:pt>
                <c:pt idx="25">
                  <c:v>-19.965521531733156</c:v>
                </c:pt>
                <c:pt idx="26">
                  <c:v>-21.935053050725895</c:v>
                </c:pt>
                <c:pt idx="27">
                  <c:v>-22.491512270831311</c:v>
                </c:pt>
                <c:pt idx="28">
                  <c:v>-25.579817838398576</c:v>
                </c:pt>
              </c:numCache>
            </c:numRef>
          </c:val>
          <c:extLst>
            <c:ext xmlns:c16="http://schemas.microsoft.com/office/drawing/2014/chart" uri="{C3380CC4-5D6E-409C-BE32-E72D297353CC}">
              <c16:uniqueId val="{00000006-0B09-4476-88C0-D7018D82D7D4}"/>
            </c:ext>
          </c:extLst>
        </c:ser>
        <c:dLbls>
          <c:showLegendKey val="0"/>
          <c:showVal val="0"/>
          <c:showCatName val="0"/>
          <c:showSerName val="0"/>
          <c:showPercent val="0"/>
          <c:showBubbleSize val="0"/>
        </c:dLbls>
        <c:gapWidth val="50"/>
        <c:overlap val="-27"/>
        <c:axId val="1483469504"/>
        <c:axId val="1483472416"/>
      </c:barChart>
      <c:catAx>
        <c:axId val="148346950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83472416"/>
        <c:crosses val="autoZero"/>
        <c:auto val="1"/>
        <c:lblAlgn val="ctr"/>
        <c:lblOffset val="100"/>
        <c:noMultiLvlLbl val="0"/>
      </c:catAx>
      <c:valAx>
        <c:axId val="1483472416"/>
        <c:scaling>
          <c:orientation val="minMax"/>
          <c:min val="-2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83469504"/>
        <c:crosses val="autoZero"/>
        <c:crossBetween val="between"/>
        <c:majorUnit val="3"/>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2"/>
          <c:tx>
            <c:strRef>
              <c:f>'[AT020c (2).xlsx]AT020c'!$E$3</c:f>
              <c:strCache>
                <c:ptCount val="1"/>
                <c:pt idx="0">
                  <c:v>Preču tirdzniecības bilance</c:v>
                </c:pt>
              </c:strCache>
            </c:strRef>
          </c:tx>
          <c:spPr>
            <a:solidFill>
              <a:srgbClr val="00B050"/>
            </a:solidFill>
            <a:ln>
              <a:noFill/>
            </a:ln>
            <a:effectLst/>
          </c:spPr>
          <c:invertIfNegative val="0"/>
          <c:cat>
            <c:multiLvlStrRef>
              <c:f>'[AT020c (2).xlsx]AT020c'!$A$4:$B$25</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'[AT020c (2).xlsx]AT020c'!$E$4:$E$25</c:f>
              <c:numCache>
                <c:formatCode>0.0</c:formatCode>
                <c:ptCount val="22"/>
                <c:pt idx="0">
                  <c:v>-573.59999999999991</c:v>
                </c:pt>
                <c:pt idx="1">
                  <c:v>-584</c:v>
                </c:pt>
                <c:pt idx="2">
                  <c:v>-632.09999999999991</c:v>
                </c:pt>
                <c:pt idx="3">
                  <c:v>-415.90000000000009</c:v>
                </c:pt>
                <c:pt idx="4">
                  <c:v>-436.59999999999991</c:v>
                </c:pt>
                <c:pt idx="5">
                  <c:v>-498.5</c:v>
                </c:pt>
                <c:pt idx="6">
                  <c:v>-471.70000000000027</c:v>
                </c:pt>
                <c:pt idx="7">
                  <c:v>-519.69999999999982</c:v>
                </c:pt>
                <c:pt idx="8">
                  <c:v>-537.80000000000018</c:v>
                </c:pt>
                <c:pt idx="9">
                  <c:v>-668.19999999999982</c:v>
                </c:pt>
                <c:pt idx="10">
                  <c:v>-820.5</c:v>
                </c:pt>
                <c:pt idx="11">
                  <c:v>-503</c:v>
                </c:pt>
                <c:pt idx="12">
                  <c:v>-507.5</c:v>
                </c:pt>
                <c:pt idx="13">
                  <c:v>-664.09999999999991</c:v>
                </c:pt>
                <c:pt idx="14">
                  <c:v>-1124.1999999999998</c:v>
                </c:pt>
                <c:pt idx="15">
                  <c:v>-723.69999999999982</c:v>
                </c:pt>
                <c:pt idx="16">
                  <c:v>-606.59999999999991</c:v>
                </c:pt>
                <c:pt idx="17">
                  <c:v>-886.60000000000036</c:v>
                </c:pt>
                <c:pt idx="18">
                  <c:v>-789</c:v>
                </c:pt>
                <c:pt idx="19">
                  <c:v>-665.79999999999973</c:v>
                </c:pt>
                <c:pt idx="20">
                  <c:v>-453.59999999999991</c:v>
                </c:pt>
                <c:pt idx="21">
                  <c:v>-373.40000000000009</c:v>
                </c:pt>
              </c:numCache>
            </c:numRef>
          </c:val>
          <c:extLst>
            <c:ext xmlns:c16="http://schemas.microsoft.com/office/drawing/2014/chart" uri="{C3380CC4-5D6E-409C-BE32-E72D297353CC}">
              <c16:uniqueId val="{00000000-E010-4D76-8EAB-BB9509DA727F}"/>
            </c:ext>
          </c:extLst>
        </c:ser>
        <c:dLbls>
          <c:showLegendKey val="0"/>
          <c:showVal val="0"/>
          <c:showCatName val="0"/>
          <c:showSerName val="0"/>
          <c:showPercent val="0"/>
          <c:showBubbleSize val="0"/>
        </c:dLbls>
        <c:gapWidth val="160"/>
        <c:axId val="2085277519"/>
        <c:axId val="2085277935"/>
      </c:barChart>
      <c:lineChart>
        <c:grouping val="standard"/>
        <c:varyColors val="0"/>
        <c:ser>
          <c:idx val="0"/>
          <c:order val="0"/>
          <c:tx>
            <c:strRef>
              <c:f>'[AT020c (2).xlsx]AT020c'!$C$3</c:f>
              <c:strCache>
                <c:ptCount val="1"/>
                <c:pt idx="0">
                  <c:v>Preču eksports</c:v>
                </c:pt>
              </c:strCache>
            </c:strRef>
          </c:tx>
          <c:spPr>
            <a:ln w="38100" cap="rnd">
              <a:solidFill>
                <a:schemeClr val="accent1"/>
              </a:solidFill>
              <a:round/>
            </a:ln>
            <a:effectLst/>
          </c:spPr>
          <c:marker>
            <c:symbol val="none"/>
          </c:marker>
          <c:cat>
            <c:multiLvlStrRef>
              <c:f>'[AT020c (2).xlsx]AT020c'!$A$4:$B$25</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'[AT020c (2).xlsx]AT020c'!$C$4:$C$25</c:f>
              <c:numCache>
                <c:formatCode>0.0</c:formatCode>
                <c:ptCount val="22"/>
                <c:pt idx="0">
                  <c:v>2476.5</c:v>
                </c:pt>
                <c:pt idx="1">
                  <c:v>2555.1999999999998</c:v>
                </c:pt>
                <c:pt idx="2">
                  <c:v>2663.4</c:v>
                </c:pt>
                <c:pt idx="3">
                  <c:v>2809.5</c:v>
                </c:pt>
                <c:pt idx="4">
                  <c:v>2391.5</c:v>
                </c:pt>
                <c:pt idx="5">
                  <c:v>2569.5</c:v>
                </c:pt>
                <c:pt idx="6">
                  <c:v>2678.2</c:v>
                </c:pt>
                <c:pt idx="7">
                  <c:v>2850.8</c:v>
                </c:pt>
                <c:pt idx="8">
                  <c:v>2719.6</c:v>
                </c:pt>
                <c:pt idx="9">
                  <c:v>2783.8</c:v>
                </c:pt>
                <c:pt idx="10">
                  <c:v>2956.9</c:v>
                </c:pt>
                <c:pt idx="11">
                  <c:v>3187</c:v>
                </c:pt>
                <c:pt idx="12">
                  <c:v>2969.9</c:v>
                </c:pt>
                <c:pt idx="13">
                  <c:v>3193.3</c:v>
                </c:pt>
                <c:pt idx="14">
                  <c:v>3189.7</c:v>
                </c:pt>
                <c:pt idx="15">
                  <c:v>3420.5</c:v>
                </c:pt>
                <c:pt idx="16">
                  <c:v>3123.6</c:v>
                </c:pt>
                <c:pt idx="17">
                  <c:v>3158.2</c:v>
                </c:pt>
                <c:pt idx="18">
                  <c:v>3298.5</c:v>
                </c:pt>
                <c:pt idx="19">
                  <c:v>3385.3</c:v>
                </c:pt>
                <c:pt idx="20">
                  <c:v>3239</c:v>
                </c:pt>
                <c:pt idx="21">
                  <c:v>2812.4</c:v>
                </c:pt>
              </c:numCache>
            </c:numRef>
          </c:val>
          <c:smooth val="0"/>
          <c:extLst>
            <c:ext xmlns:c16="http://schemas.microsoft.com/office/drawing/2014/chart" uri="{C3380CC4-5D6E-409C-BE32-E72D297353CC}">
              <c16:uniqueId val="{00000001-E010-4D76-8EAB-BB9509DA727F}"/>
            </c:ext>
          </c:extLst>
        </c:ser>
        <c:ser>
          <c:idx val="1"/>
          <c:order val="1"/>
          <c:tx>
            <c:strRef>
              <c:f>'[AT020c (2).xlsx]AT020c'!$D$3</c:f>
              <c:strCache>
                <c:ptCount val="1"/>
                <c:pt idx="0">
                  <c:v>Preču imports</c:v>
                </c:pt>
              </c:strCache>
            </c:strRef>
          </c:tx>
          <c:spPr>
            <a:ln w="38100" cap="rnd">
              <a:solidFill>
                <a:schemeClr val="accent2"/>
              </a:solidFill>
              <a:round/>
            </a:ln>
            <a:effectLst/>
          </c:spPr>
          <c:marker>
            <c:symbol val="none"/>
          </c:marker>
          <c:cat>
            <c:multiLvlStrRef>
              <c:f>'[AT020c (2).xlsx]AT020c'!$A$4:$B$25</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'[AT020c (2).xlsx]AT020c'!$D$4:$D$25</c:f>
              <c:numCache>
                <c:formatCode>0.0</c:formatCode>
                <c:ptCount val="22"/>
                <c:pt idx="0">
                  <c:v>3050.1</c:v>
                </c:pt>
                <c:pt idx="1">
                  <c:v>3139.2</c:v>
                </c:pt>
                <c:pt idx="2">
                  <c:v>3295.5</c:v>
                </c:pt>
                <c:pt idx="3">
                  <c:v>3225.4</c:v>
                </c:pt>
                <c:pt idx="4">
                  <c:v>2828.1</c:v>
                </c:pt>
                <c:pt idx="5">
                  <c:v>3068</c:v>
                </c:pt>
                <c:pt idx="6">
                  <c:v>3149.9</c:v>
                </c:pt>
                <c:pt idx="7">
                  <c:v>3370.5</c:v>
                </c:pt>
                <c:pt idx="8">
                  <c:v>3257.4</c:v>
                </c:pt>
                <c:pt idx="9">
                  <c:v>3452</c:v>
                </c:pt>
                <c:pt idx="10">
                  <c:v>3777.4</c:v>
                </c:pt>
                <c:pt idx="11">
                  <c:v>3690</c:v>
                </c:pt>
                <c:pt idx="12">
                  <c:v>3477.4</c:v>
                </c:pt>
                <c:pt idx="13">
                  <c:v>3857.4</c:v>
                </c:pt>
                <c:pt idx="14">
                  <c:v>4313.8999999999996</c:v>
                </c:pt>
                <c:pt idx="15">
                  <c:v>4144.2</c:v>
                </c:pt>
                <c:pt idx="16">
                  <c:v>3730.2</c:v>
                </c:pt>
                <c:pt idx="17">
                  <c:v>4044.8</c:v>
                </c:pt>
                <c:pt idx="18">
                  <c:v>4087.5</c:v>
                </c:pt>
                <c:pt idx="19">
                  <c:v>4051.1</c:v>
                </c:pt>
                <c:pt idx="20">
                  <c:v>3692.6</c:v>
                </c:pt>
                <c:pt idx="21">
                  <c:v>3185.8</c:v>
                </c:pt>
              </c:numCache>
            </c:numRef>
          </c:val>
          <c:smooth val="0"/>
          <c:extLst>
            <c:ext xmlns:c16="http://schemas.microsoft.com/office/drawing/2014/chart" uri="{C3380CC4-5D6E-409C-BE32-E72D297353CC}">
              <c16:uniqueId val="{00000002-E010-4D76-8EAB-BB9509DA727F}"/>
            </c:ext>
          </c:extLst>
        </c:ser>
        <c:dLbls>
          <c:showLegendKey val="0"/>
          <c:showVal val="0"/>
          <c:showCatName val="0"/>
          <c:showSerName val="0"/>
          <c:showPercent val="0"/>
          <c:showBubbleSize val="0"/>
        </c:dLbls>
        <c:marker val="1"/>
        <c:smooth val="0"/>
        <c:axId val="2085277519"/>
        <c:axId val="2085277935"/>
      </c:lineChart>
      <c:catAx>
        <c:axId val="2085277519"/>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85277935"/>
        <c:crosses val="autoZero"/>
        <c:auto val="1"/>
        <c:lblAlgn val="ctr"/>
        <c:lblOffset val="100"/>
        <c:noMultiLvlLbl val="0"/>
      </c:catAx>
      <c:valAx>
        <c:axId val="2085277935"/>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85277519"/>
        <c:crosses val="autoZero"/>
        <c:crossBetween val="between"/>
        <c:majorUnit val="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no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'IKP nozares &amp; izlietojums (2)'!$BE$22</c:f>
              <c:strCache>
                <c:ptCount val="1"/>
                <c:pt idx="0">
                  <c:v>2020 1.pusg.</c:v>
                </c:pt>
              </c:strCache>
            </c:strRef>
          </c:tx>
          <c:spPr>
            <a:pattFill prst="dkUpDiag">
              <a:fgClr>
                <a:srgbClr val="00B050"/>
              </a:fgClr>
              <a:bgClr>
                <a:schemeClr val="bg1"/>
              </a:bgClr>
            </a:pattFill>
            <a:ln>
              <a:solidFill>
                <a:srgbClr val="00B050"/>
              </a:solidFill>
            </a:ln>
            <a:effectLst/>
          </c:spPr>
          <c:invertIfNegative val="0"/>
          <c:dPt>
            <c:idx val="2"/>
            <c:invertIfNegative val="0"/>
            <c:bubble3D val="0"/>
            <c:spPr>
              <a:pattFill prst="dkUpDiag">
                <a:fgClr>
                  <a:srgbClr val="00B050"/>
                </a:fgClr>
                <a:bgClr>
                  <a:schemeClr val="bg1"/>
                </a:bgClr>
              </a:pattFill>
              <a:ln>
                <a:solidFill>
                  <a:srgbClr val="00B050"/>
                </a:solidFill>
              </a:ln>
              <a:effectLst/>
            </c:spPr>
            <c:extLst>
              <c:ext xmlns:c16="http://schemas.microsoft.com/office/drawing/2014/chart" uri="{C3380CC4-5D6E-409C-BE32-E72D297353CC}">
                <c16:uniqueId val="{00000001-F863-43E3-A1A9-651A5614D026}"/>
              </c:ext>
            </c:extLst>
          </c:dPt>
          <c:dPt>
            <c:idx val="4"/>
            <c:invertIfNegative val="0"/>
            <c:bubble3D val="0"/>
            <c:extLst>
              <c:ext xmlns:c16="http://schemas.microsoft.com/office/drawing/2014/chart" uri="{C3380CC4-5D6E-409C-BE32-E72D297353CC}">
                <c16:uniqueId val="{00000002-F863-43E3-A1A9-651A5614D026}"/>
              </c:ext>
            </c:extLst>
          </c:dPt>
          <c:dPt>
            <c:idx val="6"/>
            <c:invertIfNegative val="0"/>
            <c:bubble3D val="0"/>
            <c:spPr>
              <a:solidFill>
                <a:srgbClr val="00B050"/>
              </a:solidFill>
              <a:ln>
                <a:solidFill>
                  <a:srgbClr val="00B050"/>
                </a:solidFill>
              </a:ln>
              <a:effectLst/>
            </c:spPr>
            <c:extLst>
              <c:ext xmlns:c16="http://schemas.microsoft.com/office/drawing/2014/chart" uri="{C3380CC4-5D6E-409C-BE32-E72D297353CC}">
                <c16:uniqueId val="{00000004-F863-43E3-A1A9-651A5614D026}"/>
              </c:ext>
            </c:extLst>
          </c:dPt>
          <c:dPt>
            <c:idx val="7"/>
            <c:invertIfNegative val="0"/>
            <c:bubble3D val="0"/>
            <c:extLst>
              <c:ext xmlns:c16="http://schemas.microsoft.com/office/drawing/2014/chart" uri="{C3380CC4-5D6E-409C-BE32-E72D297353CC}">
                <c16:uniqueId val="{00000005-F863-43E3-A1A9-651A5614D026}"/>
              </c:ext>
            </c:extLst>
          </c:dPt>
          <c:dLbls>
            <c:dLbl>
              <c:idx val="2"/>
              <c:layout>
                <c:manualLayout>
                  <c:x val="-2.7452329167671785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863-43E3-A1A9-651A5614D026}"/>
                </c:ext>
              </c:extLst>
            </c:dLbl>
            <c:dLbl>
              <c:idx val="5"/>
              <c:layout>
                <c:manualLayout>
                  <c:x val="-1.4029370392464447E-2"/>
                  <c:y val="-4.1977304166649175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863-43E3-A1A9-651A5614D026}"/>
                </c:ext>
              </c:extLst>
            </c:dLbl>
            <c:dLbl>
              <c:idx val="6"/>
              <c:layout>
                <c:manualLayout>
                  <c:x val="-1.372724250179102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863-43E3-A1A9-651A5614D026}"/>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'IKP nozares &amp; izlietojums (2)'!$A$25:$A$34</c:f>
              <c:strCache>
                <c:ptCount val="10"/>
                <c:pt idx="0">
                  <c:v>Citi pakalpojumi</c:v>
                </c:pt>
                <c:pt idx="1">
                  <c:v>IT un komunikācijas pak.</c:v>
                </c:pt>
                <c:pt idx="2">
                  <c:v>Finanšu pak.</c:v>
                </c:pt>
                <c:pt idx="3">
                  <c:v>Operācijas ar NI</c:v>
                </c:pt>
                <c:pt idx="4">
                  <c:v>Tirdzniecība, izmitināšana</c:v>
                </c:pt>
                <c:pt idx="5">
                  <c:v>Transports un uzglabāšana</c:v>
                </c:pt>
                <c:pt idx="6">
                  <c:v>Būvniecība</c:v>
                </c:pt>
                <c:pt idx="7">
                  <c:v>Rūpniecība</c:v>
                </c:pt>
                <c:pt idx="8">
                  <c:v>Lauksaimniecība</c:v>
                </c:pt>
                <c:pt idx="9">
                  <c:v>Kopējā pievienotā vērtība</c:v>
                </c:pt>
              </c:strCache>
            </c:strRef>
          </c:cat>
          <c:val>
            <c:numRef>
              <c:f>'IKP nozares &amp; izlietojums (2)'!$AM$25:$AM$34</c:f>
              <c:numCache>
                <c:formatCode>0.0</c:formatCode>
                <c:ptCount val="10"/>
                <c:pt idx="0">
                  <c:v>-3.1173338539239981</c:v>
                </c:pt>
                <c:pt idx="1">
                  <c:v>-7.4409828016553377</c:v>
                </c:pt>
                <c:pt idx="2">
                  <c:v>-0.87490194546213651</c:v>
                </c:pt>
                <c:pt idx="3">
                  <c:v>-1.2747443985207774</c:v>
                </c:pt>
                <c:pt idx="4">
                  <c:v>-9.6734255864643455</c:v>
                </c:pt>
                <c:pt idx="5">
                  <c:v>-15.195963563460801</c:v>
                </c:pt>
                <c:pt idx="6">
                  <c:v>5.318669639453355</c:v>
                </c:pt>
                <c:pt idx="7">
                  <c:v>-3.3847843106033504</c:v>
                </c:pt>
                <c:pt idx="8">
                  <c:v>-1.0857132604590425</c:v>
                </c:pt>
                <c:pt idx="9">
                  <c:v>-4.6329724712795395</c:v>
                </c:pt>
              </c:numCache>
            </c:numRef>
          </c:val>
          <c:extLst>
            <c:ext xmlns:c16="http://schemas.microsoft.com/office/drawing/2014/chart" uri="{C3380CC4-5D6E-409C-BE32-E72D297353CC}">
              <c16:uniqueId val="{00000007-F863-43E3-A1A9-651A5614D026}"/>
            </c:ext>
          </c:extLst>
        </c:ser>
        <c:ser>
          <c:idx val="1"/>
          <c:order val="1"/>
          <c:tx>
            <c:strRef>
              <c:f>'IKP nozares &amp; izlietojums (2)'!$BE$23</c:f>
              <c:strCache>
                <c:ptCount val="1"/>
                <c:pt idx="0">
                  <c:v>2019</c:v>
                </c:pt>
              </c:strCache>
            </c:strRef>
          </c:tx>
          <c:spPr>
            <a:solidFill>
              <a:schemeClr val="bg1">
                <a:lumMod val="65000"/>
              </a:schemeClr>
            </a:solidFill>
            <a:ln>
              <a:noFill/>
            </a:ln>
            <a:effectLst/>
          </c:spPr>
          <c:invertIfNegative val="0"/>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9-F863-43E3-A1A9-651A5614D026}"/>
              </c:ext>
            </c:extLst>
          </c:dPt>
          <c:dLbls>
            <c:dLbl>
              <c:idx val="2"/>
              <c:layout>
                <c:manualLayout>
                  <c:x val="-1.883846755741468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863-43E3-A1A9-651A5614D026}"/>
                </c:ext>
              </c:extLst>
            </c:dLbl>
            <c:dLbl>
              <c:idx val="5"/>
              <c:layout>
                <c:manualLayout>
                  <c:x val="-7.8920023880967665E-17"/>
                  <c:y val="-8.103727714748784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F863-43E3-A1A9-651A5614D02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'IKP nozares &amp; izlietojums (2)'!$AJ$25:$AJ$34</c:f>
              <c:numCache>
                <c:formatCode>0.0</c:formatCode>
                <c:ptCount val="10"/>
                <c:pt idx="0">
                  <c:v>4.8487336682722093</c:v>
                </c:pt>
                <c:pt idx="1">
                  <c:v>1.0301387494027869</c:v>
                </c:pt>
                <c:pt idx="2">
                  <c:v>-15.182895489325965</c:v>
                </c:pt>
                <c:pt idx="3">
                  <c:v>1.4499031541427065</c:v>
                </c:pt>
                <c:pt idx="4">
                  <c:v>4.7105179851649526</c:v>
                </c:pt>
                <c:pt idx="5">
                  <c:v>-2.7348527346785168</c:v>
                </c:pt>
                <c:pt idx="6">
                  <c:v>2.1840344882744667</c:v>
                </c:pt>
                <c:pt idx="7">
                  <c:v>1.2152986313759051</c:v>
                </c:pt>
                <c:pt idx="8">
                  <c:v>12.262850284790439</c:v>
                </c:pt>
                <c:pt idx="9">
                  <c:v>2.3943247289178293</c:v>
                </c:pt>
              </c:numCache>
            </c:numRef>
          </c:val>
          <c:extLst>
            <c:ext xmlns:c16="http://schemas.microsoft.com/office/drawing/2014/chart" uri="{C3380CC4-5D6E-409C-BE32-E72D297353CC}">
              <c16:uniqueId val="{0000000B-F863-43E3-A1A9-651A5614D026}"/>
            </c:ext>
          </c:extLst>
        </c:ser>
        <c:dLbls>
          <c:showLegendKey val="0"/>
          <c:showVal val="0"/>
          <c:showCatName val="0"/>
          <c:showSerName val="0"/>
          <c:showPercent val="0"/>
          <c:showBubbleSize val="0"/>
        </c:dLbls>
        <c:gapWidth val="50"/>
        <c:overlap val="-10"/>
        <c:axId val="212684440"/>
        <c:axId val="212684832"/>
      </c:barChart>
      <c:catAx>
        <c:axId val="212684440"/>
        <c:scaling>
          <c:orientation val="minMax"/>
        </c:scaling>
        <c:delete val="0"/>
        <c:axPos val="l"/>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2684832"/>
        <c:crosses val="autoZero"/>
        <c:auto val="1"/>
        <c:lblAlgn val="ctr"/>
        <c:lblOffset val="100"/>
        <c:noMultiLvlLbl val="0"/>
      </c:catAx>
      <c:valAx>
        <c:axId val="212684832"/>
        <c:scaling>
          <c:orientation val="minMax"/>
          <c:max val="15"/>
          <c:min val="-2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2684440"/>
        <c:crosses val="autoZero"/>
        <c:crossBetween val="between"/>
        <c:majorUnit val="5"/>
      </c:valAx>
      <c:spPr>
        <a:noFill/>
        <a:ln>
          <a:noFill/>
        </a:ln>
        <a:effectLst/>
      </c:spPr>
    </c:plotArea>
    <c:legend>
      <c:legendPos val="b"/>
      <c:layout>
        <c:manualLayout>
          <c:xMode val="edge"/>
          <c:yMode val="edge"/>
          <c:x val="0.43200437462716246"/>
          <c:y val="0.89744570712351968"/>
          <c:w val="0.39676892541776215"/>
          <c:h val="7.56023396446108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375472090481234E-2"/>
          <c:y val="1.183243042998772E-2"/>
          <c:w val="0.90568017449620897"/>
          <c:h val="0.61700613510267743"/>
        </c:manualLayout>
      </c:layout>
      <c:barChart>
        <c:barDir val="col"/>
        <c:grouping val="stacked"/>
        <c:varyColors val="0"/>
        <c:ser>
          <c:idx val="0"/>
          <c:order val="0"/>
          <c:tx>
            <c:strRef>
              <c:f>Eksports_pa_grupam!$B$212</c:f>
              <c:strCache>
                <c:ptCount val="1"/>
                <c:pt idx="0">
                  <c:v>Lauksaimniecības preces un pārtika</c:v>
                </c:pt>
              </c:strCache>
            </c:strRef>
          </c:tx>
          <c:spPr>
            <a:solidFill>
              <a:schemeClr val="accent1"/>
            </a:solidFill>
            <a:ln>
              <a:noFill/>
            </a:ln>
            <a:effectLst/>
          </c:spPr>
          <c:invertIfNegative val="0"/>
          <c:cat>
            <c:multiLvlStrRef>
              <c:f>Eksports_pa_grupam!$DS$1:$EW$2</c:f>
              <c:multiLvlStrCache>
                <c:ptCount val="3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lvl>
                <c:lvl>
                  <c:pt idx="0">
                    <c:v>2018</c:v>
                  </c:pt>
                  <c:pt idx="12">
                    <c:v>2019</c:v>
                  </c:pt>
                  <c:pt idx="24">
                    <c:v>2020</c:v>
                  </c:pt>
                </c:lvl>
              </c:multiLvlStrCache>
            </c:multiLvlStrRef>
          </c:cat>
          <c:val>
            <c:numRef>
              <c:f>Eksports_pa_grupam!$DS$212:$EW$212</c:f>
              <c:numCache>
                <c:formatCode>0.00</c:formatCode>
                <c:ptCount val="31"/>
                <c:pt idx="0">
                  <c:v>2.8305661656762315</c:v>
                </c:pt>
                <c:pt idx="1">
                  <c:v>4.3309805364296166</c:v>
                </c:pt>
                <c:pt idx="2">
                  <c:v>-3.5356963185469508</c:v>
                </c:pt>
                <c:pt idx="3">
                  <c:v>3.8880100887399327</c:v>
                </c:pt>
                <c:pt idx="4">
                  <c:v>1.0249473491163741</c:v>
                </c:pt>
                <c:pt idx="5">
                  <c:v>3.848427392088531</c:v>
                </c:pt>
                <c:pt idx="6">
                  <c:v>1.2928876976021344</c:v>
                </c:pt>
                <c:pt idx="7">
                  <c:v>9.0217371231448185E-2</c:v>
                </c:pt>
                <c:pt idx="8">
                  <c:v>-2.7964790310014633</c:v>
                </c:pt>
                <c:pt idx="9">
                  <c:v>-2.9075983026532555</c:v>
                </c:pt>
                <c:pt idx="10">
                  <c:v>-4.4465396902604857</c:v>
                </c:pt>
                <c:pt idx="11">
                  <c:v>-1.5745445020126565</c:v>
                </c:pt>
                <c:pt idx="12">
                  <c:v>2.698698259768402E-2</c:v>
                </c:pt>
                <c:pt idx="13">
                  <c:v>-0.84103339759510631</c:v>
                </c:pt>
                <c:pt idx="14">
                  <c:v>4.2520980450525308</c:v>
                </c:pt>
                <c:pt idx="15">
                  <c:v>0.70460778997576023</c:v>
                </c:pt>
                <c:pt idx="16">
                  <c:v>2.36961898356232</c:v>
                </c:pt>
                <c:pt idx="17">
                  <c:v>-0.32067472313711226</c:v>
                </c:pt>
                <c:pt idx="18">
                  <c:v>1.0949322484187063</c:v>
                </c:pt>
                <c:pt idx="19">
                  <c:v>5.8032439071387154</c:v>
                </c:pt>
                <c:pt idx="20">
                  <c:v>5.5133074574716963</c:v>
                </c:pt>
                <c:pt idx="21">
                  <c:v>5.9767580119559716</c:v>
                </c:pt>
                <c:pt idx="22">
                  <c:v>3.8610890135064726</c:v>
                </c:pt>
                <c:pt idx="23">
                  <c:v>5.8514674006615603</c:v>
                </c:pt>
                <c:pt idx="24">
                  <c:v>4.4015133207285899</c:v>
                </c:pt>
                <c:pt idx="25">
                  <c:v>2.0822553706209264</c:v>
                </c:pt>
                <c:pt idx="26">
                  <c:v>3.7870534580394786</c:v>
                </c:pt>
                <c:pt idx="27">
                  <c:v>-1.5333817430152763</c:v>
                </c:pt>
                <c:pt idx="28">
                  <c:v>-3.6742950159696526</c:v>
                </c:pt>
                <c:pt idx="29">
                  <c:v>-1.4390939523581698</c:v>
                </c:pt>
                <c:pt idx="30">
                  <c:v>-0.44829319331662665</c:v>
                </c:pt>
              </c:numCache>
            </c:numRef>
          </c:val>
          <c:extLst>
            <c:ext xmlns:c16="http://schemas.microsoft.com/office/drawing/2014/chart" uri="{C3380CC4-5D6E-409C-BE32-E72D297353CC}">
              <c16:uniqueId val="{00000000-7F16-4570-82AE-C12220E9D3C9}"/>
            </c:ext>
          </c:extLst>
        </c:ser>
        <c:ser>
          <c:idx val="1"/>
          <c:order val="1"/>
          <c:tx>
            <c:strRef>
              <c:f>Eksports_pa_grupam!$B$213</c:f>
              <c:strCache>
                <c:ptCount val="1"/>
                <c:pt idx="0">
                  <c:v>Minerālprodukti</c:v>
                </c:pt>
              </c:strCache>
            </c:strRef>
          </c:tx>
          <c:spPr>
            <a:solidFill>
              <a:schemeClr val="accent2"/>
            </a:solidFill>
            <a:ln>
              <a:noFill/>
            </a:ln>
            <a:effectLst/>
          </c:spPr>
          <c:invertIfNegative val="0"/>
          <c:cat>
            <c:multiLvlStrRef>
              <c:f>Eksports_pa_grupam!$DS$1:$EW$2</c:f>
              <c:multiLvlStrCache>
                <c:ptCount val="3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lvl>
                <c:lvl>
                  <c:pt idx="0">
                    <c:v>2018</c:v>
                  </c:pt>
                  <c:pt idx="12">
                    <c:v>2019</c:v>
                  </c:pt>
                  <c:pt idx="24">
                    <c:v>2020</c:v>
                  </c:pt>
                </c:lvl>
              </c:multiLvlStrCache>
            </c:multiLvlStrRef>
          </c:cat>
          <c:val>
            <c:numRef>
              <c:f>Eksports_pa_grupam!$DS$213:$EW$213</c:f>
              <c:numCache>
                <c:formatCode>0.00</c:formatCode>
                <c:ptCount val="31"/>
                <c:pt idx="0">
                  <c:v>1.8856704105091906</c:v>
                </c:pt>
                <c:pt idx="1">
                  <c:v>1.0429701876422137</c:v>
                </c:pt>
                <c:pt idx="2">
                  <c:v>0.27180244563358924</c:v>
                </c:pt>
                <c:pt idx="3">
                  <c:v>1.4372482694555304</c:v>
                </c:pt>
                <c:pt idx="4">
                  <c:v>6.2519142881300033E-2</c:v>
                </c:pt>
                <c:pt idx="5">
                  <c:v>0.584654548668602</c:v>
                </c:pt>
                <c:pt idx="6">
                  <c:v>0.99838961779630309</c:v>
                </c:pt>
                <c:pt idx="7">
                  <c:v>0.79867822867945337</c:v>
                </c:pt>
                <c:pt idx="8">
                  <c:v>0.1589768050294845</c:v>
                </c:pt>
                <c:pt idx="9">
                  <c:v>0.94986612721072738</c:v>
                </c:pt>
                <c:pt idx="10">
                  <c:v>0.43983197303645682</c:v>
                </c:pt>
                <c:pt idx="11">
                  <c:v>-0.64873058542675721</c:v>
                </c:pt>
                <c:pt idx="12">
                  <c:v>-0.51177732144762955</c:v>
                </c:pt>
                <c:pt idx="13">
                  <c:v>-0.59899685937253644</c:v>
                </c:pt>
                <c:pt idx="14">
                  <c:v>7.1268696643982639E-3</c:v>
                </c:pt>
                <c:pt idx="15">
                  <c:v>-0.29492387950009291</c:v>
                </c:pt>
                <c:pt idx="16">
                  <c:v>-5.9192971883286837E-2</c:v>
                </c:pt>
                <c:pt idx="17">
                  <c:v>1.4909980137727745E-3</c:v>
                </c:pt>
                <c:pt idx="18">
                  <c:v>-0.52536661483943625</c:v>
                </c:pt>
                <c:pt idx="19">
                  <c:v>-1.2462182731498175</c:v>
                </c:pt>
                <c:pt idx="20">
                  <c:v>-0.92532507739051062</c:v>
                </c:pt>
                <c:pt idx="21">
                  <c:v>-1.7464172666193609</c:v>
                </c:pt>
                <c:pt idx="22">
                  <c:v>-1.6905822802325852</c:v>
                </c:pt>
                <c:pt idx="23">
                  <c:v>-1.0503394947794085</c:v>
                </c:pt>
                <c:pt idx="24">
                  <c:v>-1.1456765466515535</c:v>
                </c:pt>
                <c:pt idx="25">
                  <c:v>-0.35443606476157113</c:v>
                </c:pt>
                <c:pt idx="26">
                  <c:v>-1.3483357403400629</c:v>
                </c:pt>
                <c:pt idx="27">
                  <c:v>-2.0502642377923959</c:v>
                </c:pt>
                <c:pt idx="28">
                  <c:v>-1.5634531376958078</c:v>
                </c:pt>
                <c:pt idx="29">
                  <c:v>-1.1662795790038247</c:v>
                </c:pt>
                <c:pt idx="30">
                  <c:v>-1.2378304208402857</c:v>
                </c:pt>
              </c:numCache>
            </c:numRef>
          </c:val>
          <c:extLst>
            <c:ext xmlns:c16="http://schemas.microsoft.com/office/drawing/2014/chart" uri="{C3380CC4-5D6E-409C-BE32-E72D297353CC}">
              <c16:uniqueId val="{00000001-7F16-4570-82AE-C12220E9D3C9}"/>
            </c:ext>
          </c:extLst>
        </c:ser>
        <c:ser>
          <c:idx val="2"/>
          <c:order val="2"/>
          <c:tx>
            <c:strRef>
              <c:f>Eksports_pa_grupam!$B$214</c:f>
              <c:strCache>
                <c:ptCount val="1"/>
                <c:pt idx="0">
                  <c:v>Ķīmiskās rūpniecības ražojumi</c:v>
                </c:pt>
              </c:strCache>
            </c:strRef>
          </c:tx>
          <c:spPr>
            <a:solidFill>
              <a:schemeClr val="accent3"/>
            </a:solidFill>
            <a:ln>
              <a:noFill/>
            </a:ln>
            <a:effectLst/>
          </c:spPr>
          <c:invertIfNegative val="0"/>
          <c:cat>
            <c:multiLvlStrRef>
              <c:f>Eksports_pa_grupam!$DS$1:$EW$2</c:f>
              <c:multiLvlStrCache>
                <c:ptCount val="3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lvl>
                <c:lvl>
                  <c:pt idx="0">
                    <c:v>2018</c:v>
                  </c:pt>
                  <c:pt idx="12">
                    <c:v>2019</c:v>
                  </c:pt>
                  <c:pt idx="24">
                    <c:v>2020</c:v>
                  </c:pt>
                </c:lvl>
              </c:multiLvlStrCache>
            </c:multiLvlStrRef>
          </c:cat>
          <c:val>
            <c:numRef>
              <c:f>Eksports_pa_grupam!$DS$214:$EW$214</c:f>
              <c:numCache>
                <c:formatCode>0.00</c:formatCode>
                <c:ptCount val="31"/>
                <c:pt idx="0">
                  <c:v>0.47306905764174717</c:v>
                </c:pt>
                <c:pt idx="1">
                  <c:v>1.3026151294849948</c:v>
                </c:pt>
                <c:pt idx="2">
                  <c:v>-0.86888900401598845</c:v>
                </c:pt>
                <c:pt idx="3">
                  <c:v>0.32784222939997804</c:v>
                </c:pt>
                <c:pt idx="4">
                  <c:v>0.2439142556978422</c:v>
                </c:pt>
                <c:pt idx="5">
                  <c:v>0.56421131373412592</c:v>
                </c:pt>
                <c:pt idx="6">
                  <c:v>0.24926215054388087</c:v>
                </c:pt>
                <c:pt idx="7">
                  <c:v>8.3035645896688867E-2</c:v>
                </c:pt>
                <c:pt idx="8">
                  <c:v>0.24114873044228113</c:v>
                </c:pt>
                <c:pt idx="9">
                  <c:v>1.8871432977905993</c:v>
                </c:pt>
                <c:pt idx="10">
                  <c:v>0.93008248789158143</c:v>
                </c:pt>
                <c:pt idx="11">
                  <c:v>0.41436103839439964</c:v>
                </c:pt>
                <c:pt idx="12">
                  <c:v>0.81575139170377686</c:v>
                </c:pt>
                <c:pt idx="13">
                  <c:v>1.1237334420403065</c:v>
                </c:pt>
                <c:pt idx="14">
                  <c:v>0.82266363132637932</c:v>
                </c:pt>
                <c:pt idx="15">
                  <c:v>1.0519782850393298</c:v>
                </c:pt>
                <c:pt idx="16">
                  <c:v>0.46711949974531919</c:v>
                </c:pt>
                <c:pt idx="17">
                  <c:v>-0.21967840984388221</c:v>
                </c:pt>
                <c:pt idx="18">
                  <c:v>0.97155568222873057</c:v>
                </c:pt>
                <c:pt idx="19">
                  <c:v>1.8710647435298522</c:v>
                </c:pt>
                <c:pt idx="20">
                  <c:v>1.626044445477479</c:v>
                </c:pt>
                <c:pt idx="21">
                  <c:v>0.45057601261409674</c:v>
                </c:pt>
                <c:pt idx="22">
                  <c:v>-0.33103669979834355</c:v>
                </c:pt>
                <c:pt idx="23">
                  <c:v>-0.46123587881712041</c:v>
                </c:pt>
                <c:pt idx="24">
                  <c:v>0.27231003287236683</c:v>
                </c:pt>
                <c:pt idx="25">
                  <c:v>-5.9772318451370252E-2</c:v>
                </c:pt>
                <c:pt idx="26">
                  <c:v>1.1202150872473622</c:v>
                </c:pt>
                <c:pt idx="27">
                  <c:v>-0.14593601515408011</c:v>
                </c:pt>
                <c:pt idx="28">
                  <c:v>-1.3459249863085818</c:v>
                </c:pt>
                <c:pt idx="29">
                  <c:v>1.4163848448590015</c:v>
                </c:pt>
                <c:pt idx="30">
                  <c:v>9.6112543528840383E-2</c:v>
                </c:pt>
              </c:numCache>
            </c:numRef>
          </c:val>
          <c:extLst>
            <c:ext xmlns:c16="http://schemas.microsoft.com/office/drawing/2014/chart" uri="{C3380CC4-5D6E-409C-BE32-E72D297353CC}">
              <c16:uniqueId val="{00000002-7F16-4570-82AE-C12220E9D3C9}"/>
            </c:ext>
          </c:extLst>
        </c:ser>
        <c:ser>
          <c:idx val="3"/>
          <c:order val="3"/>
          <c:tx>
            <c:strRef>
              <c:f>Eksports_pa_grupam!$B$215</c:f>
              <c:strCache>
                <c:ptCount val="1"/>
                <c:pt idx="0">
                  <c:v>Koks un koka izstrādājumi</c:v>
                </c:pt>
              </c:strCache>
            </c:strRef>
          </c:tx>
          <c:spPr>
            <a:solidFill>
              <a:schemeClr val="accent4"/>
            </a:solidFill>
            <a:ln>
              <a:noFill/>
            </a:ln>
            <a:effectLst/>
          </c:spPr>
          <c:invertIfNegative val="0"/>
          <c:cat>
            <c:multiLvlStrRef>
              <c:f>Eksports_pa_grupam!$DS$1:$EW$2</c:f>
              <c:multiLvlStrCache>
                <c:ptCount val="3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lvl>
                <c:lvl>
                  <c:pt idx="0">
                    <c:v>2018</c:v>
                  </c:pt>
                  <c:pt idx="12">
                    <c:v>2019</c:v>
                  </c:pt>
                  <c:pt idx="24">
                    <c:v>2020</c:v>
                  </c:pt>
                </c:lvl>
              </c:multiLvlStrCache>
            </c:multiLvlStrRef>
          </c:cat>
          <c:val>
            <c:numRef>
              <c:f>Eksports_pa_grupam!$DS$215:$EW$215</c:f>
              <c:numCache>
                <c:formatCode>0.00</c:formatCode>
                <c:ptCount val="31"/>
                <c:pt idx="0">
                  <c:v>1.8073345194821033</c:v>
                </c:pt>
                <c:pt idx="1">
                  <c:v>2.0683924304063912</c:v>
                </c:pt>
                <c:pt idx="2">
                  <c:v>0.94325075578712181</c:v>
                </c:pt>
                <c:pt idx="3">
                  <c:v>5.0800288998368837</c:v>
                </c:pt>
                <c:pt idx="4">
                  <c:v>3.283537885990587</c:v>
                </c:pt>
                <c:pt idx="5">
                  <c:v>3.5616254439137811</c:v>
                </c:pt>
                <c:pt idx="6">
                  <c:v>4.9682495367088082</c:v>
                </c:pt>
                <c:pt idx="7">
                  <c:v>5.2979576520846345</c:v>
                </c:pt>
                <c:pt idx="8">
                  <c:v>2.830283112451037</c:v>
                </c:pt>
                <c:pt idx="9">
                  <c:v>3.2276944628222268</c:v>
                </c:pt>
                <c:pt idx="10">
                  <c:v>2.4188548109491088</c:v>
                </c:pt>
                <c:pt idx="11">
                  <c:v>2.7823081831230914</c:v>
                </c:pt>
                <c:pt idx="12">
                  <c:v>5.0271316230052649</c:v>
                </c:pt>
                <c:pt idx="13">
                  <c:v>3.4165199302829024</c:v>
                </c:pt>
                <c:pt idx="14">
                  <c:v>2.0010958090045716</c:v>
                </c:pt>
                <c:pt idx="15">
                  <c:v>1.3903201759597947</c:v>
                </c:pt>
                <c:pt idx="16">
                  <c:v>-0.9152984667749744</c:v>
                </c:pt>
                <c:pt idx="17">
                  <c:v>-1.6029356309315939</c:v>
                </c:pt>
                <c:pt idx="18">
                  <c:v>-1.3737651057136078</c:v>
                </c:pt>
                <c:pt idx="19">
                  <c:v>-2.5515814687798923</c:v>
                </c:pt>
                <c:pt idx="20">
                  <c:v>-1.3402834354383601</c:v>
                </c:pt>
                <c:pt idx="21">
                  <c:v>-1.9806707686331737</c:v>
                </c:pt>
                <c:pt idx="22">
                  <c:v>-2.3598157865248131</c:v>
                </c:pt>
                <c:pt idx="23">
                  <c:v>-1.8117213969809134</c:v>
                </c:pt>
                <c:pt idx="24">
                  <c:v>-2.4846971992991014</c:v>
                </c:pt>
                <c:pt idx="25">
                  <c:v>-1.7151176490331987</c:v>
                </c:pt>
                <c:pt idx="26">
                  <c:v>-2.8827305264211658</c:v>
                </c:pt>
                <c:pt idx="27">
                  <c:v>-3.1825201272843726</c:v>
                </c:pt>
                <c:pt idx="28">
                  <c:v>-1.3517243496296487</c:v>
                </c:pt>
                <c:pt idx="29">
                  <c:v>-1.3110270716020658</c:v>
                </c:pt>
                <c:pt idx="30">
                  <c:v>0.7350962550771829</c:v>
                </c:pt>
              </c:numCache>
            </c:numRef>
          </c:val>
          <c:extLst>
            <c:ext xmlns:c16="http://schemas.microsoft.com/office/drawing/2014/chart" uri="{C3380CC4-5D6E-409C-BE32-E72D297353CC}">
              <c16:uniqueId val="{00000003-7F16-4570-82AE-C12220E9D3C9}"/>
            </c:ext>
          </c:extLst>
        </c:ser>
        <c:ser>
          <c:idx val="4"/>
          <c:order val="4"/>
          <c:tx>
            <c:strRef>
              <c:f>Eksports_pa_grupam!$B$216</c:f>
              <c:strCache>
                <c:ptCount val="1"/>
                <c:pt idx="0">
                  <c:v>Metāli un to izstrādājumi</c:v>
                </c:pt>
              </c:strCache>
            </c:strRef>
          </c:tx>
          <c:spPr>
            <a:solidFill>
              <a:schemeClr val="accent5"/>
            </a:solidFill>
            <a:ln>
              <a:noFill/>
            </a:ln>
            <a:effectLst/>
          </c:spPr>
          <c:invertIfNegative val="0"/>
          <c:cat>
            <c:multiLvlStrRef>
              <c:f>Eksports_pa_grupam!$DS$1:$EW$2</c:f>
              <c:multiLvlStrCache>
                <c:ptCount val="3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lvl>
                <c:lvl>
                  <c:pt idx="0">
                    <c:v>2018</c:v>
                  </c:pt>
                  <c:pt idx="12">
                    <c:v>2019</c:v>
                  </c:pt>
                  <c:pt idx="24">
                    <c:v>2020</c:v>
                  </c:pt>
                </c:lvl>
              </c:multiLvlStrCache>
            </c:multiLvlStrRef>
          </c:cat>
          <c:val>
            <c:numRef>
              <c:f>Eksports_pa_grupam!$DS$216:$EW$216</c:f>
              <c:numCache>
                <c:formatCode>0.00</c:formatCode>
                <c:ptCount val="31"/>
                <c:pt idx="0">
                  <c:v>3.0073647870556077</c:v>
                </c:pt>
                <c:pt idx="1">
                  <c:v>2.4978414197479872</c:v>
                </c:pt>
                <c:pt idx="2">
                  <c:v>1.0931014833077466</c:v>
                </c:pt>
                <c:pt idx="3">
                  <c:v>0.10504029943184609</c:v>
                </c:pt>
                <c:pt idx="4">
                  <c:v>2.7488327022634897</c:v>
                </c:pt>
                <c:pt idx="5">
                  <c:v>0.8315504268260776</c:v>
                </c:pt>
                <c:pt idx="6">
                  <c:v>1.2920422208967695</c:v>
                </c:pt>
                <c:pt idx="7">
                  <c:v>1.1110491630465633</c:v>
                </c:pt>
                <c:pt idx="8">
                  <c:v>0.48595247527213548</c:v>
                </c:pt>
                <c:pt idx="9">
                  <c:v>0.98399385265337369</c:v>
                </c:pt>
                <c:pt idx="10">
                  <c:v>0.26442813451781155</c:v>
                </c:pt>
                <c:pt idx="11">
                  <c:v>0.81518292078521715</c:v>
                </c:pt>
                <c:pt idx="12">
                  <c:v>-0.97121255445926502</c:v>
                </c:pt>
                <c:pt idx="13">
                  <c:v>-0.54060147000837544</c:v>
                </c:pt>
                <c:pt idx="14">
                  <c:v>0.85515895075239468</c:v>
                </c:pt>
                <c:pt idx="15">
                  <c:v>0.81163377758228605</c:v>
                </c:pt>
                <c:pt idx="16">
                  <c:v>-0.5169980475209307</c:v>
                </c:pt>
                <c:pt idx="17">
                  <c:v>-1.9523894465660152</c:v>
                </c:pt>
                <c:pt idx="18">
                  <c:v>1.2776612666881195</c:v>
                </c:pt>
                <c:pt idx="19">
                  <c:v>-1.22636476316619</c:v>
                </c:pt>
                <c:pt idx="20">
                  <c:v>-9.7789614295569732E-2</c:v>
                </c:pt>
                <c:pt idx="21">
                  <c:v>-1.4494607840215448</c:v>
                </c:pt>
                <c:pt idx="22">
                  <c:v>-0.27635643863078335</c:v>
                </c:pt>
                <c:pt idx="23">
                  <c:v>-0.2865226904041151</c:v>
                </c:pt>
                <c:pt idx="24">
                  <c:v>0.14171257961022454</c:v>
                </c:pt>
                <c:pt idx="25">
                  <c:v>0.53174796867337049</c:v>
                </c:pt>
                <c:pt idx="26">
                  <c:v>-1.7652140685296892E-2</c:v>
                </c:pt>
                <c:pt idx="27">
                  <c:v>-0.92655557493983232</c:v>
                </c:pt>
                <c:pt idx="28">
                  <c:v>-1.979662588786157</c:v>
                </c:pt>
                <c:pt idx="29">
                  <c:v>0.3736929543822079</c:v>
                </c:pt>
                <c:pt idx="30">
                  <c:v>-1.1333328633639164</c:v>
                </c:pt>
              </c:numCache>
            </c:numRef>
          </c:val>
          <c:extLst>
            <c:ext xmlns:c16="http://schemas.microsoft.com/office/drawing/2014/chart" uri="{C3380CC4-5D6E-409C-BE32-E72D297353CC}">
              <c16:uniqueId val="{00000004-7F16-4570-82AE-C12220E9D3C9}"/>
            </c:ext>
          </c:extLst>
        </c:ser>
        <c:ser>
          <c:idx val="5"/>
          <c:order val="5"/>
          <c:tx>
            <c:strRef>
              <c:f>Eksports_pa_grupam!$B$217</c:f>
              <c:strCache>
                <c:ptCount val="1"/>
                <c:pt idx="0">
                  <c:v>Mehānismi un ierīces, t.sk. elektroierīces</c:v>
                </c:pt>
              </c:strCache>
            </c:strRef>
          </c:tx>
          <c:spPr>
            <a:solidFill>
              <a:schemeClr val="accent6"/>
            </a:solidFill>
            <a:ln>
              <a:noFill/>
            </a:ln>
            <a:effectLst/>
          </c:spPr>
          <c:invertIfNegative val="0"/>
          <c:cat>
            <c:multiLvlStrRef>
              <c:f>Eksports_pa_grupam!$DS$1:$EW$2</c:f>
              <c:multiLvlStrCache>
                <c:ptCount val="3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lvl>
                <c:lvl>
                  <c:pt idx="0">
                    <c:v>2018</c:v>
                  </c:pt>
                  <c:pt idx="12">
                    <c:v>2019</c:v>
                  </c:pt>
                  <c:pt idx="24">
                    <c:v>2020</c:v>
                  </c:pt>
                </c:lvl>
              </c:multiLvlStrCache>
            </c:multiLvlStrRef>
          </c:cat>
          <c:val>
            <c:numRef>
              <c:f>Eksports_pa_grupam!$DS$217:$EW$217</c:f>
              <c:numCache>
                <c:formatCode>0.00</c:formatCode>
                <c:ptCount val="31"/>
                <c:pt idx="0">
                  <c:v>7.0416645674594953</c:v>
                </c:pt>
                <c:pt idx="1">
                  <c:v>1.5178267311646909</c:v>
                </c:pt>
                <c:pt idx="2">
                  <c:v>-0.47736769389706446</c:v>
                </c:pt>
                <c:pt idx="3">
                  <c:v>1.8500558741191089</c:v>
                </c:pt>
                <c:pt idx="4">
                  <c:v>5.1805995049308349</c:v>
                </c:pt>
                <c:pt idx="5">
                  <c:v>2.4373645851864501</c:v>
                </c:pt>
                <c:pt idx="6">
                  <c:v>3.6016598771346593</c:v>
                </c:pt>
                <c:pt idx="7">
                  <c:v>2.3101962467810129</c:v>
                </c:pt>
                <c:pt idx="8">
                  <c:v>-1.2129323864706227</c:v>
                </c:pt>
                <c:pt idx="9">
                  <c:v>3.3876740228771527</c:v>
                </c:pt>
                <c:pt idx="10">
                  <c:v>5.612212941462615</c:v>
                </c:pt>
                <c:pt idx="11">
                  <c:v>-0.78447532017100718</c:v>
                </c:pt>
                <c:pt idx="12">
                  <c:v>-3.4925841798282367</c:v>
                </c:pt>
                <c:pt idx="13">
                  <c:v>-2.2144280967627759</c:v>
                </c:pt>
                <c:pt idx="14">
                  <c:v>0.48974829879882553</c:v>
                </c:pt>
                <c:pt idx="15">
                  <c:v>0.97978140914096756</c:v>
                </c:pt>
                <c:pt idx="16">
                  <c:v>-3.4649495363872242</c:v>
                </c:pt>
                <c:pt idx="17">
                  <c:v>-3.3520673588562278</c:v>
                </c:pt>
                <c:pt idx="18">
                  <c:v>-0.52671173679499717</c:v>
                </c:pt>
                <c:pt idx="19">
                  <c:v>-3.3564686850022771</c:v>
                </c:pt>
                <c:pt idx="20">
                  <c:v>-1.6584316916752786</c:v>
                </c:pt>
                <c:pt idx="21">
                  <c:v>-0.91513723414121873</c:v>
                </c:pt>
                <c:pt idx="22">
                  <c:v>-2.9913294132759098</c:v>
                </c:pt>
                <c:pt idx="23">
                  <c:v>1.4131875225389459</c:v>
                </c:pt>
                <c:pt idx="24">
                  <c:v>3.5949811587437299</c:v>
                </c:pt>
                <c:pt idx="25">
                  <c:v>3.7274009379265469</c:v>
                </c:pt>
                <c:pt idx="26">
                  <c:v>9.5907874110449515E-2</c:v>
                </c:pt>
                <c:pt idx="27">
                  <c:v>-0.33371143117361418</c:v>
                </c:pt>
                <c:pt idx="28">
                  <c:v>-0.3648912343263061</c:v>
                </c:pt>
                <c:pt idx="29">
                  <c:v>2.704675394797678</c:v>
                </c:pt>
                <c:pt idx="30">
                  <c:v>2.6403813246401335</c:v>
                </c:pt>
              </c:numCache>
            </c:numRef>
          </c:val>
          <c:extLst>
            <c:ext xmlns:c16="http://schemas.microsoft.com/office/drawing/2014/chart" uri="{C3380CC4-5D6E-409C-BE32-E72D297353CC}">
              <c16:uniqueId val="{00000005-7F16-4570-82AE-C12220E9D3C9}"/>
            </c:ext>
          </c:extLst>
        </c:ser>
        <c:ser>
          <c:idx val="6"/>
          <c:order val="6"/>
          <c:tx>
            <c:strRef>
              <c:f>Eksports_pa_grupam!$B$218</c:f>
              <c:strCache>
                <c:ptCount val="1"/>
                <c:pt idx="0">
                  <c:v>Satiksmes līdzekļi</c:v>
                </c:pt>
              </c:strCache>
            </c:strRef>
          </c:tx>
          <c:spPr>
            <a:solidFill>
              <a:schemeClr val="accent1">
                <a:lumMod val="60000"/>
              </a:schemeClr>
            </a:solidFill>
            <a:ln>
              <a:noFill/>
            </a:ln>
            <a:effectLst/>
          </c:spPr>
          <c:invertIfNegative val="0"/>
          <c:cat>
            <c:multiLvlStrRef>
              <c:f>Eksports_pa_grupam!$DS$1:$EW$2</c:f>
              <c:multiLvlStrCache>
                <c:ptCount val="3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lvl>
                <c:lvl>
                  <c:pt idx="0">
                    <c:v>2018</c:v>
                  </c:pt>
                  <c:pt idx="12">
                    <c:v>2019</c:v>
                  </c:pt>
                  <c:pt idx="24">
                    <c:v>2020</c:v>
                  </c:pt>
                </c:lvl>
              </c:multiLvlStrCache>
            </c:multiLvlStrRef>
          </c:cat>
          <c:val>
            <c:numRef>
              <c:f>Eksports_pa_grupam!$DS$218:$EW$218</c:f>
              <c:numCache>
                <c:formatCode>0.00</c:formatCode>
                <c:ptCount val="31"/>
                <c:pt idx="0">
                  <c:v>1.7051103198649498</c:v>
                </c:pt>
                <c:pt idx="1">
                  <c:v>1.6405165301976525</c:v>
                </c:pt>
                <c:pt idx="2">
                  <c:v>-1.7662839620491853</c:v>
                </c:pt>
                <c:pt idx="3">
                  <c:v>1.9641532490273976</c:v>
                </c:pt>
                <c:pt idx="4">
                  <c:v>-1.0502684215001681</c:v>
                </c:pt>
                <c:pt idx="5">
                  <c:v>1.0970657374684427</c:v>
                </c:pt>
                <c:pt idx="6">
                  <c:v>1.8169674716531317</c:v>
                </c:pt>
                <c:pt idx="7">
                  <c:v>1.8661852027664749</c:v>
                </c:pt>
                <c:pt idx="8">
                  <c:v>0.54203652379590628</c:v>
                </c:pt>
                <c:pt idx="9">
                  <c:v>2.2918235059689933</c:v>
                </c:pt>
                <c:pt idx="10">
                  <c:v>1.4974530183751231</c:v>
                </c:pt>
                <c:pt idx="11">
                  <c:v>0.76801291499358593</c:v>
                </c:pt>
                <c:pt idx="12">
                  <c:v>1.6957129011517553</c:v>
                </c:pt>
                <c:pt idx="13">
                  <c:v>-0.55985280457015196</c:v>
                </c:pt>
                <c:pt idx="14">
                  <c:v>0.94507632814108344</c:v>
                </c:pt>
                <c:pt idx="15">
                  <c:v>0.13541259637018233</c:v>
                </c:pt>
                <c:pt idx="16">
                  <c:v>3.8819584119808938E-2</c:v>
                </c:pt>
                <c:pt idx="17">
                  <c:v>4.8029587499493591E-2</c:v>
                </c:pt>
                <c:pt idx="18">
                  <c:v>0.48204459934259142</c:v>
                </c:pt>
                <c:pt idx="19">
                  <c:v>-1.2616136836766427</c:v>
                </c:pt>
                <c:pt idx="20">
                  <c:v>1.0414018778156278</c:v>
                </c:pt>
                <c:pt idx="21">
                  <c:v>-1.4254951292480103</c:v>
                </c:pt>
                <c:pt idx="22">
                  <c:v>-1.8063806912629945</c:v>
                </c:pt>
                <c:pt idx="23">
                  <c:v>-0.97869212530032768</c:v>
                </c:pt>
                <c:pt idx="24">
                  <c:v>-1.8090361461066169</c:v>
                </c:pt>
                <c:pt idx="25">
                  <c:v>0.38364799601019517</c:v>
                </c:pt>
                <c:pt idx="26">
                  <c:v>-1.6225712759349737</c:v>
                </c:pt>
                <c:pt idx="27">
                  <c:v>-3.7123598889966245</c:v>
                </c:pt>
                <c:pt idx="28">
                  <c:v>-3.4857226291123729</c:v>
                </c:pt>
                <c:pt idx="29">
                  <c:v>-1.4082516065864328</c:v>
                </c:pt>
                <c:pt idx="30">
                  <c:v>-1.1992448873202037</c:v>
                </c:pt>
              </c:numCache>
            </c:numRef>
          </c:val>
          <c:extLst>
            <c:ext xmlns:c16="http://schemas.microsoft.com/office/drawing/2014/chart" uri="{C3380CC4-5D6E-409C-BE32-E72D297353CC}">
              <c16:uniqueId val="{00000006-7F16-4570-82AE-C12220E9D3C9}"/>
            </c:ext>
          </c:extLst>
        </c:ser>
        <c:ser>
          <c:idx val="7"/>
          <c:order val="7"/>
          <c:tx>
            <c:strRef>
              <c:f>Eksports_pa_grupam!$B$219</c:f>
              <c:strCache>
                <c:ptCount val="1"/>
                <c:pt idx="0">
                  <c:v>Pārējās preces</c:v>
                </c:pt>
              </c:strCache>
            </c:strRef>
          </c:tx>
          <c:spPr>
            <a:solidFill>
              <a:schemeClr val="accent2">
                <a:lumMod val="60000"/>
              </a:schemeClr>
            </a:solidFill>
            <a:ln>
              <a:noFill/>
            </a:ln>
            <a:effectLst/>
          </c:spPr>
          <c:invertIfNegative val="0"/>
          <c:cat>
            <c:multiLvlStrRef>
              <c:f>Eksports_pa_grupam!$DS$1:$EW$2</c:f>
              <c:multiLvlStrCache>
                <c:ptCount val="3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lvl>
                <c:lvl>
                  <c:pt idx="0">
                    <c:v>2018</c:v>
                  </c:pt>
                  <c:pt idx="12">
                    <c:v>2019</c:v>
                  </c:pt>
                  <c:pt idx="24">
                    <c:v>2020</c:v>
                  </c:pt>
                </c:lvl>
              </c:multiLvlStrCache>
            </c:multiLvlStrRef>
          </c:cat>
          <c:val>
            <c:numRef>
              <c:f>Eksports_pa_grupam!$DS$219:$EW$219</c:f>
              <c:numCache>
                <c:formatCode>0.00</c:formatCode>
                <c:ptCount val="31"/>
                <c:pt idx="0">
                  <c:v>1.1143502845948545</c:v>
                </c:pt>
                <c:pt idx="1">
                  <c:v>1.0280479714347019</c:v>
                </c:pt>
                <c:pt idx="2">
                  <c:v>8.2479779886028403E-3</c:v>
                </c:pt>
                <c:pt idx="3">
                  <c:v>3.9800967324880614</c:v>
                </c:pt>
                <c:pt idx="4">
                  <c:v>0.91367438413576474</c:v>
                </c:pt>
                <c:pt idx="5">
                  <c:v>0.57042157314502129</c:v>
                </c:pt>
                <c:pt idx="6">
                  <c:v>-0.81440965594978387</c:v>
                </c:pt>
                <c:pt idx="7">
                  <c:v>-0.72237069111288965</c:v>
                </c:pt>
                <c:pt idx="8">
                  <c:v>0.13954309608532225</c:v>
                </c:pt>
                <c:pt idx="9">
                  <c:v>1.3965857488848574</c:v>
                </c:pt>
                <c:pt idx="10">
                  <c:v>1.5736220964185592</c:v>
                </c:pt>
                <c:pt idx="11">
                  <c:v>2.7975818009920037E-2</c:v>
                </c:pt>
                <c:pt idx="12">
                  <c:v>1.1780984432109878</c:v>
                </c:pt>
                <c:pt idx="13">
                  <c:v>0.87238297886250948</c:v>
                </c:pt>
                <c:pt idx="14">
                  <c:v>1.6527450618089534</c:v>
                </c:pt>
                <c:pt idx="15">
                  <c:v>0.16693754314039499</c:v>
                </c:pt>
                <c:pt idx="16">
                  <c:v>1.3731768584858342</c:v>
                </c:pt>
                <c:pt idx="17">
                  <c:v>9.514069630524695E-2</c:v>
                </c:pt>
                <c:pt idx="18">
                  <c:v>3.1038308616883596</c:v>
                </c:pt>
                <c:pt idx="19">
                  <c:v>1.5825705233547511</c:v>
                </c:pt>
                <c:pt idx="20">
                  <c:v>2.2271525869044884</c:v>
                </c:pt>
                <c:pt idx="21">
                  <c:v>1.124506036233984</c:v>
                </c:pt>
                <c:pt idx="22">
                  <c:v>-0.24824535921647037</c:v>
                </c:pt>
                <c:pt idx="23">
                  <c:v>0.93746535112333285</c:v>
                </c:pt>
                <c:pt idx="24">
                  <c:v>1.9234529738372328</c:v>
                </c:pt>
                <c:pt idx="25">
                  <c:v>2.7238326263973422</c:v>
                </c:pt>
                <c:pt idx="26">
                  <c:v>0.20747739449513314</c:v>
                </c:pt>
                <c:pt idx="27">
                  <c:v>-1.9922404848021487</c:v>
                </c:pt>
                <c:pt idx="28">
                  <c:v>-3.0167427096514752</c:v>
                </c:pt>
                <c:pt idx="29">
                  <c:v>-0.53816685309742951</c:v>
                </c:pt>
                <c:pt idx="30">
                  <c:v>0.21503569358383273</c:v>
                </c:pt>
              </c:numCache>
            </c:numRef>
          </c:val>
          <c:extLst>
            <c:ext xmlns:c16="http://schemas.microsoft.com/office/drawing/2014/chart" uri="{C3380CC4-5D6E-409C-BE32-E72D297353CC}">
              <c16:uniqueId val="{00000007-7F16-4570-82AE-C12220E9D3C9}"/>
            </c:ext>
          </c:extLst>
        </c:ser>
        <c:dLbls>
          <c:showLegendKey val="0"/>
          <c:showVal val="0"/>
          <c:showCatName val="0"/>
          <c:showSerName val="0"/>
          <c:showPercent val="0"/>
          <c:showBubbleSize val="0"/>
        </c:dLbls>
        <c:gapWidth val="50"/>
        <c:overlap val="100"/>
        <c:axId val="1889913279"/>
        <c:axId val="96310655"/>
      </c:barChart>
      <c:lineChart>
        <c:grouping val="standard"/>
        <c:varyColors val="0"/>
        <c:ser>
          <c:idx val="8"/>
          <c:order val="8"/>
          <c:tx>
            <c:strRef>
              <c:f>Eksports_pa_grupam!$B$220</c:f>
              <c:strCache>
                <c:ptCount val="1"/>
                <c:pt idx="0">
                  <c:v>Preču eksporta izmaiņas, %</c:v>
                </c:pt>
              </c:strCache>
            </c:strRef>
          </c:tx>
          <c:spPr>
            <a:ln w="22225" cap="rnd">
              <a:solidFill>
                <a:schemeClr val="tx1">
                  <a:lumMod val="85000"/>
                  <a:lumOff val="15000"/>
                </a:schemeClr>
              </a:solidFill>
              <a:round/>
            </a:ln>
            <a:effectLst/>
          </c:spPr>
          <c:marker>
            <c:symbol val="none"/>
          </c:marker>
          <c:cat>
            <c:multiLvlStrRef>
              <c:f>Eksports_pa_grupam!$DS$1:$EP$2</c:f>
              <c:multiLvlStrCache>
                <c:ptCount val="2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lvl>
                <c:lvl>
                  <c:pt idx="0">
                    <c:v>2018</c:v>
                  </c:pt>
                  <c:pt idx="12">
                    <c:v>2019</c:v>
                  </c:pt>
                </c:lvl>
              </c:multiLvlStrCache>
            </c:multiLvlStrRef>
          </c:cat>
          <c:val>
            <c:numRef>
              <c:f>Eksports_pa_grupam!$DS$220:$EW$220</c:f>
              <c:numCache>
                <c:formatCode>0.0</c:formatCode>
                <c:ptCount val="31"/>
                <c:pt idx="0">
                  <c:v>19.865130112284184</c:v>
                </c:pt>
                <c:pt idx="1">
                  <c:v>15.429190936508249</c:v>
                </c:pt>
                <c:pt idx="2">
                  <c:v>-4.3318343157921291</c:v>
                </c:pt>
                <c:pt idx="3">
                  <c:v>18.63247564249874</c:v>
                </c:pt>
                <c:pt idx="4">
                  <c:v>12.407756803516028</c:v>
                </c:pt>
                <c:pt idx="5">
                  <c:v>13.495321021031032</c:v>
                </c:pt>
                <c:pt idx="6">
                  <c:v>13.405048916385901</c:v>
                </c:pt>
                <c:pt idx="7">
                  <c:v>10.834948819373388</c:v>
                </c:pt>
                <c:pt idx="8">
                  <c:v>0.3885293256040806</c:v>
                </c:pt>
                <c:pt idx="9">
                  <c:v>11.217182715554676</c:v>
                </c:pt>
                <c:pt idx="10">
                  <c:v>8.2899457723907695</c:v>
                </c:pt>
                <c:pt idx="11">
                  <c:v>1.8000904676957934</c:v>
                </c:pt>
                <c:pt idx="12">
                  <c:v>3.7681072859343376</c:v>
                </c:pt>
                <c:pt idx="13">
                  <c:v>0.65772372287677194</c:v>
                </c:pt>
                <c:pt idx="14">
                  <c:v>11.025712994549139</c:v>
                </c:pt>
                <c:pt idx="15">
                  <c:v>4.9457476977086223</c:v>
                </c:pt>
                <c:pt idx="16">
                  <c:v>-0.70770409665313339</c:v>
                </c:pt>
                <c:pt idx="17">
                  <c:v>-7.3030842875163176</c:v>
                </c:pt>
                <c:pt idx="18">
                  <c:v>4.5041812010184668</c:v>
                </c:pt>
                <c:pt idx="19">
                  <c:v>-0.38536769975150054</c:v>
                </c:pt>
                <c:pt idx="20">
                  <c:v>6.3860765488695712</c:v>
                </c:pt>
                <c:pt idx="21">
                  <c:v>3.4658878140742866E-2</c:v>
                </c:pt>
                <c:pt idx="22">
                  <c:v>-5.8426576554354277</c:v>
                </c:pt>
                <c:pt idx="23">
                  <c:v>3.6136086880419542</c:v>
                </c:pt>
                <c:pt idx="24">
                  <c:v>4.8945601737348721</c:v>
                </c:pt>
                <c:pt idx="25">
                  <c:v>7.3195588673822414</c:v>
                </c:pt>
                <c:pt idx="26">
                  <c:v>-0.6606358694890756</c:v>
                </c:pt>
                <c:pt idx="27">
                  <c:v>-13.876969503158346</c:v>
                </c:pt>
                <c:pt idx="28">
                  <c:v>-16.782416651480002</c:v>
                </c:pt>
                <c:pt idx="29">
                  <c:v>-1.3680658686090352</c:v>
                </c:pt>
                <c:pt idx="30">
                  <c:v>-0.33207554801104283</c:v>
                </c:pt>
              </c:numCache>
            </c:numRef>
          </c:val>
          <c:smooth val="0"/>
          <c:extLst>
            <c:ext xmlns:c16="http://schemas.microsoft.com/office/drawing/2014/chart" uri="{C3380CC4-5D6E-409C-BE32-E72D297353CC}">
              <c16:uniqueId val="{00000008-7F16-4570-82AE-C12220E9D3C9}"/>
            </c:ext>
          </c:extLst>
        </c:ser>
        <c:dLbls>
          <c:showLegendKey val="0"/>
          <c:showVal val="0"/>
          <c:showCatName val="0"/>
          <c:showSerName val="0"/>
          <c:showPercent val="0"/>
          <c:showBubbleSize val="0"/>
        </c:dLbls>
        <c:marker val="1"/>
        <c:smooth val="0"/>
        <c:axId val="341418911"/>
        <c:axId val="341418079"/>
      </c:lineChart>
      <c:catAx>
        <c:axId val="1889913279"/>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lv-LV"/>
          </a:p>
        </c:txPr>
        <c:crossAx val="96310655"/>
        <c:crosses val="autoZero"/>
        <c:auto val="1"/>
        <c:lblAlgn val="ctr"/>
        <c:lblOffset val="100"/>
        <c:noMultiLvlLbl val="0"/>
      </c:catAx>
      <c:valAx>
        <c:axId val="96310655"/>
        <c:scaling>
          <c:orientation val="minMax"/>
          <c:max val="21"/>
          <c:min val="-18"/>
        </c:scaling>
        <c:delete val="0"/>
        <c:axPos val="l"/>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889913279"/>
        <c:crosses val="autoZero"/>
        <c:crossBetween val="between"/>
        <c:majorUnit val="3"/>
      </c:valAx>
      <c:valAx>
        <c:axId val="341418079"/>
        <c:scaling>
          <c:orientation val="minMax"/>
          <c:max val="21"/>
          <c:min val="-18"/>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41418911"/>
        <c:crosses val="max"/>
        <c:crossBetween val="between"/>
        <c:majorUnit val="3"/>
      </c:valAx>
      <c:catAx>
        <c:axId val="341418911"/>
        <c:scaling>
          <c:orientation val="minMax"/>
        </c:scaling>
        <c:delete val="1"/>
        <c:axPos val="b"/>
        <c:numFmt formatCode="General" sourceLinked="1"/>
        <c:majorTickMark val="out"/>
        <c:minorTickMark val="none"/>
        <c:tickLblPos val="nextTo"/>
        <c:crossAx val="341418079"/>
        <c:crosses val="autoZero"/>
        <c:auto val="1"/>
        <c:lblAlgn val="ctr"/>
        <c:lblOffset val="100"/>
        <c:noMultiLvlLbl val="0"/>
      </c:catAx>
      <c:spPr>
        <a:noFill/>
        <a:ln>
          <a:noFill/>
        </a:ln>
        <a:effectLst/>
      </c:spPr>
    </c:plotArea>
    <c:legend>
      <c:legendPos val="b"/>
      <c:layout>
        <c:manualLayout>
          <c:xMode val="edge"/>
          <c:yMode val="edge"/>
          <c:x val="9.8325879996707735E-2"/>
          <c:y val="0.73955870900752796"/>
          <c:w val="0.85677448855478444"/>
          <c:h val="0.242858873410054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noFill/>
      <a:round/>
    </a:ln>
    <a:effectLst/>
  </c:spPr>
  <c:txPr>
    <a:bodyPr/>
    <a:lstStyle/>
    <a:p>
      <a:pPr>
        <a:defRPr/>
      </a:pPr>
      <a:endParaRPr lang="lv-LV"/>
    </a:p>
  </c:txPr>
  <c:externalData r:id="rId4">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Pakalp_eksports_Q!$AN$35</c:f>
              <c:strCache>
                <c:ptCount val="1"/>
                <c:pt idx="0">
                  <c:v>Transporta pakalpojumi</c:v>
                </c:pt>
              </c:strCache>
            </c:strRef>
          </c:tx>
          <c:spPr>
            <a:solidFill>
              <a:schemeClr val="accent1"/>
            </a:solidFill>
            <a:ln>
              <a:noFill/>
            </a:ln>
            <a:effectLst/>
          </c:spPr>
          <c:invertIfNegative val="0"/>
          <c:cat>
            <c:multiLvlStrRef>
              <c:f>Pakalp_eksports_Q!$AW$5:$BR$6</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Pakalp_eksports_Q!$AW$35:$BR$35</c:f>
              <c:numCache>
                <c:formatCode>0.0</c:formatCode>
                <c:ptCount val="22"/>
                <c:pt idx="0">
                  <c:v>-0.94736842105263164</c:v>
                </c:pt>
                <c:pt idx="1">
                  <c:v>2.6574803149606301</c:v>
                </c:pt>
                <c:pt idx="2">
                  <c:v>4.0816326530612246</c:v>
                </c:pt>
                <c:pt idx="3">
                  <c:v>0.18885741265344663</c:v>
                </c:pt>
                <c:pt idx="4">
                  <c:v>0.80321285140562249</c:v>
                </c:pt>
                <c:pt idx="5">
                  <c:v>0.55865921787709505</c:v>
                </c:pt>
                <c:pt idx="6">
                  <c:v>-3.0954428202923472</c:v>
                </c:pt>
                <c:pt idx="7">
                  <c:v>8.8261253309796991E-2</c:v>
                </c:pt>
                <c:pt idx="8">
                  <c:v>3.832116788321168</c:v>
                </c:pt>
                <c:pt idx="9">
                  <c:v>1.8276762402088771</c:v>
                </c:pt>
                <c:pt idx="10">
                  <c:v>4.4763513513513509</c:v>
                </c:pt>
                <c:pt idx="11">
                  <c:v>4.1072925398155906</c:v>
                </c:pt>
                <c:pt idx="12">
                  <c:v>-2.5706940874035991</c:v>
                </c:pt>
                <c:pt idx="13">
                  <c:v>1.3125512715340442</c:v>
                </c:pt>
                <c:pt idx="14">
                  <c:v>4.3879907621247112</c:v>
                </c:pt>
                <c:pt idx="15">
                  <c:v>0.45941807044410415</c:v>
                </c:pt>
                <c:pt idx="16">
                  <c:v>-0.16708437761069339</c:v>
                </c:pt>
                <c:pt idx="17">
                  <c:v>1.1843079200592155</c:v>
                </c:pt>
                <c:pt idx="18">
                  <c:v>7.0521861777150918E-2</c:v>
                </c:pt>
                <c:pt idx="19">
                  <c:v>-0.36549707602339182</c:v>
                </c:pt>
                <c:pt idx="20">
                  <c:v>-6.7891373801916926</c:v>
                </c:pt>
                <c:pt idx="21">
                  <c:v>-18.330955777460769</c:v>
                </c:pt>
              </c:numCache>
            </c:numRef>
          </c:val>
          <c:extLst>
            <c:ext xmlns:c16="http://schemas.microsoft.com/office/drawing/2014/chart" uri="{C3380CC4-5D6E-409C-BE32-E72D297353CC}">
              <c16:uniqueId val="{00000000-647C-42A1-AC50-CDF0932B339D}"/>
            </c:ext>
          </c:extLst>
        </c:ser>
        <c:ser>
          <c:idx val="1"/>
          <c:order val="1"/>
          <c:tx>
            <c:strRef>
              <c:f>Pakalp_eksports_Q!$AN$36</c:f>
              <c:strCache>
                <c:ptCount val="1"/>
                <c:pt idx="0">
                  <c:v>Braucieni</c:v>
                </c:pt>
              </c:strCache>
            </c:strRef>
          </c:tx>
          <c:spPr>
            <a:solidFill>
              <a:schemeClr val="accent2"/>
            </a:solidFill>
            <a:ln>
              <a:noFill/>
            </a:ln>
            <a:effectLst/>
          </c:spPr>
          <c:invertIfNegative val="0"/>
          <c:cat>
            <c:multiLvlStrRef>
              <c:f>Pakalp_eksports_Q!$AW$5:$BR$6</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Pakalp_eksports_Q!$AW$36:$BR$36</c:f>
              <c:numCache>
                <c:formatCode>0.0</c:formatCode>
                <c:ptCount val="22"/>
                <c:pt idx="0">
                  <c:v>1.6842105263157896</c:v>
                </c:pt>
                <c:pt idx="1">
                  <c:v>2.2637795275590551</c:v>
                </c:pt>
                <c:pt idx="2">
                  <c:v>2.5974025974025974</c:v>
                </c:pt>
                <c:pt idx="3">
                  <c:v>1.9830028328611902</c:v>
                </c:pt>
                <c:pt idx="4">
                  <c:v>2.7108433734939759</c:v>
                </c:pt>
                <c:pt idx="5">
                  <c:v>0.46554934823091249</c:v>
                </c:pt>
                <c:pt idx="6">
                  <c:v>-1.2897678417884779</c:v>
                </c:pt>
                <c:pt idx="7">
                  <c:v>-1.0591350397175641</c:v>
                </c:pt>
                <c:pt idx="8">
                  <c:v>-0.91240875912408748</c:v>
                </c:pt>
                <c:pt idx="9">
                  <c:v>1.0443864229765012</c:v>
                </c:pt>
                <c:pt idx="10">
                  <c:v>1.4358108108108107</c:v>
                </c:pt>
                <c:pt idx="11">
                  <c:v>0.5867560771165129</c:v>
                </c:pt>
                <c:pt idx="12">
                  <c:v>1.4567266495287059</c:v>
                </c:pt>
                <c:pt idx="13">
                  <c:v>1.3125512715340442</c:v>
                </c:pt>
                <c:pt idx="14">
                  <c:v>1.0007698229407236</c:v>
                </c:pt>
                <c:pt idx="15">
                  <c:v>0.99540581929555882</c:v>
                </c:pt>
                <c:pt idx="16">
                  <c:v>0.16708437761069336</c:v>
                </c:pt>
                <c:pt idx="17">
                  <c:v>0.2220577350111029</c:v>
                </c:pt>
                <c:pt idx="18">
                  <c:v>0</c:v>
                </c:pt>
                <c:pt idx="19">
                  <c:v>0.43859649122807015</c:v>
                </c:pt>
                <c:pt idx="20">
                  <c:v>-0.39936102236421722</c:v>
                </c:pt>
                <c:pt idx="21">
                  <c:v>-11.840228245363765</c:v>
                </c:pt>
              </c:numCache>
            </c:numRef>
          </c:val>
          <c:extLst>
            <c:ext xmlns:c16="http://schemas.microsoft.com/office/drawing/2014/chart" uri="{C3380CC4-5D6E-409C-BE32-E72D297353CC}">
              <c16:uniqueId val="{00000001-647C-42A1-AC50-CDF0932B339D}"/>
            </c:ext>
          </c:extLst>
        </c:ser>
        <c:ser>
          <c:idx val="2"/>
          <c:order val="2"/>
          <c:tx>
            <c:strRef>
              <c:f>Pakalp_eksports_Q!$AN$37</c:f>
              <c:strCache>
                <c:ptCount val="1"/>
                <c:pt idx="0">
                  <c:v>Telesakaru un IT</c:v>
                </c:pt>
              </c:strCache>
            </c:strRef>
          </c:tx>
          <c:spPr>
            <a:solidFill>
              <a:schemeClr val="accent3"/>
            </a:solidFill>
            <a:ln>
              <a:noFill/>
            </a:ln>
            <a:effectLst/>
          </c:spPr>
          <c:invertIfNegative val="0"/>
          <c:cat>
            <c:multiLvlStrRef>
              <c:f>Pakalp_eksports_Q!$AW$5:$BR$6</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Pakalp_eksports_Q!$AW$37:$BR$37</c:f>
              <c:numCache>
                <c:formatCode>0.0</c:formatCode>
                <c:ptCount val="22"/>
                <c:pt idx="0">
                  <c:v>1.368421052631579</c:v>
                </c:pt>
                <c:pt idx="1">
                  <c:v>2.2637795275590546</c:v>
                </c:pt>
                <c:pt idx="2">
                  <c:v>1.2059369202226347</c:v>
                </c:pt>
                <c:pt idx="3">
                  <c:v>1.7941454202077431</c:v>
                </c:pt>
                <c:pt idx="4">
                  <c:v>3.3132530120481922</c:v>
                </c:pt>
                <c:pt idx="5">
                  <c:v>3.7243947858472994</c:v>
                </c:pt>
                <c:pt idx="6">
                  <c:v>4.3852106620808247</c:v>
                </c:pt>
                <c:pt idx="7">
                  <c:v>4.148278905560459</c:v>
                </c:pt>
                <c:pt idx="8">
                  <c:v>2.0985401459854014</c:v>
                </c:pt>
                <c:pt idx="9">
                  <c:v>1.2184508268059182</c:v>
                </c:pt>
                <c:pt idx="10">
                  <c:v>1.7736486486486489</c:v>
                </c:pt>
                <c:pt idx="11">
                  <c:v>2.8499580888516349</c:v>
                </c:pt>
                <c:pt idx="12">
                  <c:v>2.1422450728363325</c:v>
                </c:pt>
                <c:pt idx="13">
                  <c:v>3.4454470877768664</c:v>
                </c:pt>
                <c:pt idx="14">
                  <c:v>3.464203233256351</c:v>
                </c:pt>
                <c:pt idx="15">
                  <c:v>3.2924961715160794</c:v>
                </c:pt>
                <c:pt idx="16">
                  <c:v>3.5087719298245612</c:v>
                </c:pt>
                <c:pt idx="17">
                  <c:v>1.776461880088823</c:v>
                </c:pt>
                <c:pt idx="18">
                  <c:v>0.42313117066290545</c:v>
                </c:pt>
                <c:pt idx="19">
                  <c:v>-0.36549707602339188</c:v>
                </c:pt>
                <c:pt idx="20">
                  <c:v>-7.9872204472843447E-2</c:v>
                </c:pt>
                <c:pt idx="21">
                  <c:v>-0.35663338088445079</c:v>
                </c:pt>
              </c:numCache>
            </c:numRef>
          </c:val>
          <c:extLst>
            <c:ext xmlns:c16="http://schemas.microsoft.com/office/drawing/2014/chart" uri="{C3380CC4-5D6E-409C-BE32-E72D297353CC}">
              <c16:uniqueId val="{00000002-647C-42A1-AC50-CDF0932B339D}"/>
            </c:ext>
          </c:extLst>
        </c:ser>
        <c:ser>
          <c:idx val="3"/>
          <c:order val="3"/>
          <c:tx>
            <c:strRef>
              <c:f>Pakalp_eksports_Q!$AN$38</c:f>
              <c:strCache>
                <c:ptCount val="1"/>
                <c:pt idx="0">
                  <c:v>Finanšu pakalpojumi</c:v>
                </c:pt>
              </c:strCache>
            </c:strRef>
          </c:tx>
          <c:spPr>
            <a:solidFill>
              <a:schemeClr val="accent4"/>
            </a:solidFill>
            <a:ln>
              <a:noFill/>
            </a:ln>
            <a:effectLst/>
          </c:spPr>
          <c:invertIfNegative val="0"/>
          <c:cat>
            <c:multiLvlStrRef>
              <c:f>Pakalp_eksports_Q!$AW$5:$BR$6</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Pakalp_eksports_Q!$AW$38:$BR$38</c:f>
              <c:numCache>
                <c:formatCode>0.0</c:formatCode>
                <c:ptCount val="22"/>
                <c:pt idx="0">
                  <c:v>2.7368421052631575</c:v>
                </c:pt>
                <c:pt idx="1">
                  <c:v>0.6889763779527559</c:v>
                </c:pt>
                <c:pt idx="2">
                  <c:v>1.0204081632653061</c:v>
                </c:pt>
                <c:pt idx="3">
                  <c:v>0.28328611898016998</c:v>
                </c:pt>
                <c:pt idx="4">
                  <c:v>-0.60240963855421692</c:v>
                </c:pt>
                <c:pt idx="5">
                  <c:v>-0.37243947858472998</c:v>
                </c:pt>
                <c:pt idx="6">
                  <c:v>-1.2897678417884779</c:v>
                </c:pt>
                <c:pt idx="7">
                  <c:v>0.79435127978817299</c:v>
                </c:pt>
                <c:pt idx="8">
                  <c:v>-1.2773722627737225</c:v>
                </c:pt>
                <c:pt idx="9">
                  <c:v>-1.5665796344647522</c:v>
                </c:pt>
                <c:pt idx="10">
                  <c:v>-0.84459459459459452</c:v>
                </c:pt>
                <c:pt idx="11">
                  <c:v>-2.933780385582565</c:v>
                </c:pt>
                <c:pt idx="12">
                  <c:v>-1.0282776349614395</c:v>
                </c:pt>
                <c:pt idx="13">
                  <c:v>0.57424118129614432</c:v>
                </c:pt>
                <c:pt idx="14">
                  <c:v>-1.770592763664357</c:v>
                </c:pt>
                <c:pt idx="15">
                  <c:v>-2.4502297090352223</c:v>
                </c:pt>
                <c:pt idx="16">
                  <c:v>-2.9239766081871346</c:v>
                </c:pt>
                <c:pt idx="17">
                  <c:v>-3.6269430051813467</c:v>
                </c:pt>
                <c:pt idx="18">
                  <c:v>-1.1988716502115657</c:v>
                </c:pt>
                <c:pt idx="19">
                  <c:v>-1.5350877192982455</c:v>
                </c:pt>
                <c:pt idx="20">
                  <c:v>-1.2779552715654954</c:v>
                </c:pt>
                <c:pt idx="21">
                  <c:v>-1.2838801711840231</c:v>
                </c:pt>
              </c:numCache>
            </c:numRef>
          </c:val>
          <c:extLst>
            <c:ext xmlns:c16="http://schemas.microsoft.com/office/drawing/2014/chart" uri="{C3380CC4-5D6E-409C-BE32-E72D297353CC}">
              <c16:uniqueId val="{00000003-647C-42A1-AC50-CDF0932B339D}"/>
            </c:ext>
          </c:extLst>
        </c:ser>
        <c:ser>
          <c:idx val="4"/>
          <c:order val="4"/>
          <c:tx>
            <c:strRef>
              <c:f>Pakalp_eksports_Q!$AN$39</c:f>
              <c:strCache>
                <c:ptCount val="1"/>
                <c:pt idx="0">
                  <c:v>Būvniecība</c:v>
                </c:pt>
              </c:strCache>
            </c:strRef>
          </c:tx>
          <c:spPr>
            <a:solidFill>
              <a:schemeClr val="accent5"/>
            </a:solidFill>
            <a:ln>
              <a:noFill/>
            </a:ln>
            <a:effectLst/>
          </c:spPr>
          <c:invertIfNegative val="0"/>
          <c:cat>
            <c:multiLvlStrRef>
              <c:f>Pakalp_eksports_Q!$AW$5:$BR$6</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Pakalp_eksports_Q!$AW$39:$BR$39</c:f>
              <c:numCache>
                <c:formatCode>0.0</c:formatCode>
                <c:ptCount val="22"/>
                <c:pt idx="0">
                  <c:v>0</c:v>
                </c:pt>
                <c:pt idx="1">
                  <c:v>-1.2795275590551181</c:v>
                </c:pt>
                <c:pt idx="2">
                  <c:v>-2.1335807050092761</c:v>
                </c:pt>
                <c:pt idx="3">
                  <c:v>-9.4428706326723316E-2</c:v>
                </c:pt>
                <c:pt idx="4">
                  <c:v>0.90361445783132521</c:v>
                </c:pt>
                <c:pt idx="5">
                  <c:v>0.83798882681564235</c:v>
                </c:pt>
                <c:pt idx="6">
                  <c:v>2.837489251934652</c:v>
                </c:pt>
                <c:pt idx="7">
                  <c:v>1.588702559576346</c:v>
                </c:pt>
                <c:pt idx="8">
                  <c:v>1.1861313868613141</c:v>
                </c:pt>
                <c:pt idx="9">
                  <c:v>1.566579634464752</c:v>
                </c:pt>
                <c:pt idx="10">
                  <c:v>1.0135135135135136</c:v>
                </c:pt>
                <c:pt idx="11">
                  <c:v>2.3470243084660516</c:v>
                </c:pt>
                <c:pt idx="12">
                  <c:v>0.25706940874035988</c:v>
                </c:pt>
                <c:pt idx="13">
                  <c:v>1.2305168170631666</c:v>
                </c:pt>
                <c:pt idx="14">
                  <c:v>-0.53887605850654352</c:v>
                </c:pt>
                <c:pt idx="15">
                  <c:v>-0.6891271056661562</c:v>
                </c:pt>
                <c:pt idx="16">
                  <c:v>0.58479532163742687</c:v>
                </c:pt>
                <c:pt idx="17">
                  <c:v>-7.4019245003700967E-2</c:v>
                </c:pt>
                <c:pt idx="18">
                  <c:v>1.1283497884344147</c:v>
                </c:pt>
                <c:pt idx="19">
                  <c:v>2.5584795321637426</c:v>
                </c:pt>
                <c:pt idx="20">
                  <c:v>1.7571884984025559</c:v>
                </c:pt>
                <c:pt idx="21">
                  <c:v>1.8544935805991443</c:v>
                </c:pt>
              </c:numCache>
            </c:numRef>
          </c:val>
          <c:extLst>
            <c:ext xmlns:c16="http://schemas.microsoft.com/office/drawing/2014/chart" uri="{C3380CC4-5D6E-409C-BE32-E72D297353CC}">
              <c16:uniqueId val="{00000004-647C-42A1-AC50-CDF0932B339D}"/>
            </c:ext>
          </c:extLst>
        </c:ser>
        <c:ser>
          <c:idx val="5"/>
          <c:order val="5"/>
          <c:tx>
            <c:strRef>
              <c:f>Pakalp_eksports_Q!$AN$40</c:f>
              <c:strCache>
                <c:ptCount val="1"/>
                <c:pt idx="0">
                  <c:v>Citi pakalpojumi</c:v>
                </c:pt>
              </c:strCache>
            </c:strRef>
          </c:tx>
          <c:spPr>
            <a:solidFill>
              <a:schemeClr val="accent6"/>
            </a:solidFill>
            <a:ln>
              <a:noFill/>
            </a:ln>
            <a:effectLst/>
          </c:spPr>
          <c:invertIfNegative val="0"/>
          <c:cat>
            <c:multiLvlStrRef>
              <c:f>Pakalp_eksports_Q!$AW$5:$BR$6</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Pakalp_eksports_Q!$AW$40:$BR$40</c:f>
              <c:numCache>
                <c:formatCode>0.0</c:formatCode>
                <c:ptCount val="22"/>
                <c:pt idx="0">
                  <c:v>0</c:v>
                </c:pt>
                <c:pt idx="1">
                  <c:v>-0.88582677165354329</c:v>
                </c:pt>
                <c:pt idx="2">
                  <c:v>1.1131725417439702</c:v>
                </c:pt>
                <c:pt idx="3">
                  <c:v>2.8328611898016995</c:v>
                </c:pt>
                <c:pt idx="4">
                  <c:v>2.9116465863453813</c:v>
                </c:pt>
                <c:pt idx="5">
                  <c:v>1.7690875232774672</c:v>
                </c:pt>
                <c:pt idx="6">
                  <c:v>0.25795356835769556</c:v>
                </c:pt>
                <c:pt idx="7">
                  <c:v>-0.26478375992939102</c:v>
                </c:pt>
                <c:pt idx="8">
                  <c:v>1.5510948905109487</c:v>
                </c:pt>
                <c:pt idx="9">
                  <c:v>2.0017406440382941</c:v>
                </c:pt>
                <c:pt idx="10">
                  <c:v>1.8581081081081079</c:v>
                </c:pt>
                <c:pt idx="11">
                  <c:v>2.5146689019279127</c:v>
                </c:pt>
                <c:pt idx="12">
                  <c:v>2.3136246786632393</c:v>
                </c:pt>
                <c:pt idx="13">
                  <c:v>2.9532403609516003</c:v>
                </c:pt>
                <c:pt idx="14">
                  <c:v>2.6173979984603548</c:v>
                </c:pt>
                <c:pt idx="15">
                  <c:v>3.1393568147013786</c:v>
                </c:pt>
                <c:pt idx="16">
                  <c:v>3.4252297410192147</c:v>
                </c:pt>
                <c:pt idx="17">
                  <c:v>4.2931162102146558</c:v>
                </c:pt>
                <c:pt idx="18">
                  <c:v>3.4555712270803944</c:v>
                </c:pt>
                <c:pt idx="19">
                  <c:v>6.2134502923976598</c:v>
                </c:pt>
                <c:pt idx="20">
                  <c:v>1.1980830670926517</c:v>
                </c:pt>
                <c:pt idx="21">
                  <c:v>0.35663338088445073</c:v>
                </c:pt>
              </c:numCache>
            </c:numRef>
          </c:val>
          <c:extLst>
            <c:ext xmlns:c16="http://schemas.microsoft.com/office/drawing/2014/chart" uri="{C3380CC4-5D6E-409C-BE32-E72D297353CC}">
              <c16:uniqueId val="{00000005-647C-42A1-AC50-CDF0932B339D}"/>
            </c:ext>
          </c:extLst>
        </c:ser>
        <c:dLbls>
          <c:showLegendKey val="0"/>
          <c:showVal val="0"/>
          <c:showCatName val="0"/>
          <c:showSerName val="0"/>
          <c:showPercent val="0"/>
          <c:showBubbleSize val="0"/>
        </c:dLbls>
        <c:gapWidth val="50"/>
        <c:overlap val="100"/>
        <c:axId val="348099048"/>
        <c:axId val="348099440"/>
      </c:barChart>
      <c:lineChart>
        <c:grouping val="standard"/>
        <c:varyColors val="0"/>
        <c:ser>
          <c:idx val="6"/>
          <c:order val="6"/>
          <c:tx>
            <c:strRef>
              <c:f>Pakalp_eksports_Q!$AN$41</c:f>
              <c:strCache>
                <c:ptCount val="1"/>
                <c:pt idx="0">
                  <c:v>Kopējais pieaugums</c:v>
                </c:pt>
              </c:strCache>
            </c:strRef>
          </c:tx>
          <c:spPr>
            <a:ln w="19050" cap="rnd">
              <a:solidFill>
                <a:schemeClr val="tx1"/>
              </a:solidFill>
              <a:round/>
            </a:ln>
            <a:effectLst/>
          </c:spPr>
          <c:marker>
            <c:symbol val="none"/>
          </c:marker>
          <c:cat>
            <c:multiLvlStrRef>
              <c:f>Pakalp_eksports_Q!$AS$5:$BJ$6</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2014</c:v>
                  </c:pt>
                  <c:pt idx="4">
                    <c:v>2015</c:v>
                  </c:pt>
                  <c:pt idx="8">
                    <c:v>2016</c:v>
                  </c:pt>
                  <c:pt idx="12">
                    <c:v>2017</c:v>
                  </c:pt>
                  <c:pt idx="16">
                    <c:v>2018</c:v>
                  </c:pt>
                </c:lvl>
              </c:multiLvlStrCache>
            </c:multiLvlStrRef>
          </c:cat>
          <c:val>
            <c:numRef>
              <c:f>Pakalp_eksports_Q!$AW$41:$BR$41</c:f>
              <c:numCache>
                <c:formatCode>0.0</c:formatCode>
                <c:ptCount val="22"/>
                <c:pt idx="0">
                  <c:v>4.8421052631578947</c:v>
                </c:pt>
                <c:pt idx="1">
                  <c:v>5.7086614173228343</c:v>
                </c:pt>
                <c:pt idx="2">
                  <c:v>7.8849721706864573</c:v>
                </c:pt>
                <c:pt idx="3">
                  <c:v>6.9877242681775265</c:v>
                </c:pt>
                <c:pt idx="4">
                  <c:v>10.04016064257028</c:v>
                </c:pt>
                <c:pt idx="5">
                  <c:v>6.9832402234636861</c:v>
                </c:pt>
                <c:pt idx="6">
                  <c:v>1.8056749785038697</c:v>
                </c:pt>
                <c:pt idx="7">
                  <c:v>5.2956751985878201</c:v>
                </c:pt>
                <c:pt idx="8">
                  <c:v>6.4781021897810218</c:v>
                </c:pt>
                <c:pt idx="9">
                  <c:v>6.0922541340295915</c:v>
                </c:pt>
                <c:pt idx="10">
                  <c:v>9.7128378378378386</c:v>
                </c:pt>
                <c:pt idx="11">
                  <c:v>9.4719195305951374</c:v>
                </c:pt>
                <c:pt idx="12">
                  <c:v>2.5706940874035991</c:v>
                </c:pt>
                <c:pt idx="13">
                  <c:v>10.828547990155865</c:v>
                </c:pt>
                <c:pt idx="14">
                  <c:v>9.1608929946112401</c:v>
                </c:pt>
                <c:pt idx="15">
                  <c:v>4.747320061255742</c:v>
                </c:pt>
                <c:pt idx="16">
                  <c:v>4.594820384294068</c:v>
                </c:pt>
                <c:pt idx="17">
                  <c:v>3.7749814951887499</c:v>
                </c:pt>
                <c:pt idx="18">
                  <c:v>3.8787023977432997</c:v>
                </c:pt>
                <c:pt idx="19">
                  <c:v>6.9444444444444429</c:v>
                </c:pt>
                <c:pt idx="20">
                  <c:v>-5.5910543130990398</c:v>
                </c:pt>
                <c:pt idx="21">
                  <c:v>-29.600570613409413</c:v>
                </c:pt>
              </c:numCache>
            </c:numRef>
          </c:val>
          <c:smooth val="0"/>
          <c:extLst>
            <c:ext xmlns:c16="http://schemas.microsoft.com/office/drawing/2014/chart" uri="{C3380CC4-5D6E-409C-BE32-E72D297353CC}">
              <c16:uniqueId val="{00000006-647C-42A1-AC50-CDF0932B339D}"/>
            </c:ext>
          </c:extLst>
        </c:ser>
        <c:dLbls>
          <c:showLegendKey val="0"/>
          <c:showVal val="0"/>
          <c:showCatName val="0"/>
          <c:showSerName val="0"/>
          <c:showPercent val="0"/>
          <c:showBubbleSize val="0"/>
        </c:dLbls>
        <c:marker val="1"/>
        <c:smooth val="0"/>
        <c:axId val="2049317471"/>
        <c:axId val="2049331615"/>
      </c:lineChart>
      <c:catAx>
        <c:axId val="348099048"/>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8099440"/>
        <c:crosses val="autoZero"/>
        <c:auto val="1"/>
        <c:lblAlgn val="ctr"/>
        <c:lblOffset val="100"/>
        <c:noMultiLvlLbl val="0"/>
      </c:catAx>
      <c:valAx>
        <c:axId val="348099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8099048"/>
        <c:crosses val="autoZero"/>
        <c:crossBetween val="between"/>
      </c:valAx>
      <c:valAx>
        <c:axId val="2049331615"/>
        <c:scaling>
          <c:orientation val="minMax"/>
        </c:scaling>
        <c:delete val="0"/>
        <c:axPos val="r"/>
        <c:numFmt formatCode="#,##0"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2049317471"/>
        <c:crosses val="max"/>
        <c:crossBetween val="between"/>
      </c:valAx>
      <c:catAx>
        <c:axId val="2049317471"/>
        <c:scaling>
          <c:orientation val="minMax"/>
        </c:scaling>
        <c:delete val="1"/>
        <c:axPos val="b"/>
        <c:numFmt formatCode="General" sourceLinked="1"/>
        <c:majorTickMark val="out"/>
        <c:minorTickMark val="none"/>
        <c:tickLblPos val="nextTo"/>
        <c:crossAx val="2049331615"/>
        <c:crosses val="autoZero"/>
        <c:auto val="1"/>
        <c:lblAlgn val="ctr"/>
        <c:lblOffset val="100"/>
        <c:noMultiLvlLbl val="0"/>
      </c:catAx>
      <c:spPr>
        <a:noFill/>
        <a:ln w="25400">
          <a:noFill/>
        </a:ln>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600207420496707E-2"/>
          <c:y val="8.7442556617267131E-2"/>
          <c:w val="0.87379657224121887"/>
          <c:h val="0.61125785012318834"/>
        </c:manualLayout>
      </c:layout>
      <c:barChart>
        <c:barDir val="col"/>
        <c:grouping val="stacked"/>
        <c:varyColors val="0"/>
        <c:ser>
          <c:idx val="0"/>
          <c:order val="0"/>
          <c:tx>
            <c:strRef>
              <c:f>'Tekošais konts_Q'!$U$7</c:f>
              <c:strCache>
                <c:ptCount val="1"/>
                <c:pt idx="0">
                  <c:v>Preces</c:v>
                </c:pt>
              </c:strCache>
            </c:strRef>
          </c:tx>
          <c:spPr>
            <a:solidFill>
              <a:schemeClr val="accent1"/>
            </a:solidFill>
            <a:ln>
              <a:noFill/>
            </a:ln>
            <a:effectLst/>
          </c:spPr>
          <c:invertIfNegative val="0"/>
          <c:cat>
            <c:multiLvlStrRef>
              <c:f>'Tekošais konts_Q'!$AA$5:$AV$6</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'Tekošais konts_Q'!$AA$7:$AV$7</c:f>
              <c:numCache>
                <c:formatCode>0</c:formatCode>
                <c:ptCount val="22"/>
                <c:pt idx="0">
                  <c:v>-620</c:v>
                </c:pt>
                <c:pt idx="1">
                  <c:v>-646</c:v>
                </c:pt>
                <c:pt idx="2">
                  <c:v>-667</c:v>
                </c:pt>
                <c:pt idx="3">
                  <c:v>-511</c:v>
                </c:pt>
                <c:pt idx="4">
                  <c:v>-496</c:v>
                </c:pt>
                <c:pt idx="5">
                  <c:v>-538</c:v>
                </c:pt>
                <c:pt idx="6">
                  <c:v>-484</c:v>
                </c:pt>
                <c:pt idx="7">
                  <c:v>-545</c:v>
                </c:pt>
                <c:pt idx="8">
                  <c:v>-560</c:v>
                </c:pt>
                <c:pt idx="9">
                  <c:v>-652</c:v>
                </c:pt>
                <c:pt idx="10">
                  <c:v>-804</c:v>
                </c:pt>
                <c:pt idx="11">
                  <c:v>-434</c:v>
                </c:pt>
                <c:pt idx="12">
                  <c:v>-552</c:v>
                </c:pt>
                <c:pt idx="13">
                  <c:v>-416</c:v>
                </c:pt>
                <c:pt idx="14" formatCode="General">
                  <c:v>-982</c:v>
                </c:pt>
                <c:pt idx="15" formatCode="General">
                  <c:v>-593</c:v>
                </c:pt>
                <c:pt idx="16" formatCode="General">
                  <c:v>-514</c:v>
                </c:pt>
                <c:pt idx="17" formatCode="General">
                  <c:v>-740</c:v>
                </c:pt>
                <c:pt idx="18" formatCode="General">
                  <c:v>-778</c:v>
                </c:pt>
                <c:pt idx="19" formatCode="General">
                  <c:v>-645</c:v>
                </c:pt>
                <c:pt idx="20" formatCode="General">
                  <c:v>-476</c:v>
                </c:pt>
                <c:pt idx="21" formatCode="General">
                  <c:v>-281</c:v>
                </c:pt>
              </c:numCache>
            </c:numRef>
          </c:val>
          <c:extLst>
            <c:ext xmlns:c16="http://schemas.microsoft.com/office/drawing/2014/chart" uri="{C3380CC4-5D6E-409C-BE32-E72D297353CC}">
              <c16:uniqueId val="{00000000-2CD2-4CDE-A4F4-9A330CD3DCA6}"/>
            </c:ext>
          </c:extLst>
        </c:ser>
        <c:ser>
          <c:idx val="1"/>
          <c:order val="1"/>
          <c:tx>
            <c:strRef>
              <c:f>'Tekošais konts_Q'!$U$8</c:f>
              <c:strCache>
                <c:ptCount val="1"/>
                <c:pt idx="0">
                  <c:v>Pakalpojumi</c:v>
                </c:pt>
              </c:strCache>
            </c:strRef>
          </c:tx>
          <c:spPr>
            <a:solidFill>
              <a:schemeClr val="accent2"/>
            </a:solidFill>
            <a:ln>
              <a:noFill/>
            </a:ln>
            <a:effectLst/>
          </c:spPr>
          <c:invertIfNegative val="0"/>
          <c:cat>
            <c:multiLvlStrRef>
              <c:f>'Tekošais konts_Q'!$AA$5:$AV$6</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'Tekošais konts_Q'!$AA$8:$AV$8</c:f>
              <c:numCache>
                <c:formatCode>0</c:formatCode>
                <c:ptCount val="22"/>
                <c:pt idx="0">
                  <c:v>481</c:v>
                </c:pt>
                <c:pt idx="1">
                  <c:v>509</c:v>
                </c:pt>
                <c:pt idx="2">
                  <c:v>518</c:v>
                </c:pt>
                <c:pt idx="3">
                  <c:v>512</c:v>
                </c:pt>
                <c:pt idx="4">
                  <c:v>542</c:v>
                </c:pt>
                <c:pt idx="5">
                  <c:v>533</c:v>
                </c:pt>
                <c:pt idx="6">
                  <c:v>537</c:v>
                </c:pt>
                <c:pt idx="7">
                  <c:v>534</c:v>
                </c:pt>
                <c:pt idx="8">
                  <c:v>577</c:v>
                </c:pt>
                <c:pt idx="9">
                  <c:v>540</c:v>
                </c:pt>
                <c:pt idx="10">
                  <c:v>586</c:v>
                </c:pt>
                <c:pt idx="11">
                  <c:v>573</c:v>
                </c:pt>
                <c:pt idx="12">
                  <c:v>516</c:v>
                </c:pt>
                <c:pt idx="13">
                  <c:v>615</c:v>
                </c:pt>
                <c:pt idx="14" formatCode="General">
                  <c:v>612</c:v>
                </c:pt>
                <c:pt idx="15" formatCode="General">
                  <c:v>568</c:v>
                </c:pt>
                <c:pt idx="16" formatCode="General">
                  <c:v>530</c:v>
                </c:pt>
                <c:pt idx="17" formatCode="General">
                  <c:v>624</c:v>
                </c:pt>
                <c:pt idx="18" formatCode="General">
                  <c:v>628</c:v>
                </c:pt>
                <c:pt idx="19" formatCode="General">
                  <c:v>641</c:v>
                </c:pt>
                <c:pt idx="20" formatCode="General">
                  <c:v>487</c:v>
                </c:pt>
                <c:pt idx="21" formatCode="General">
                  <c:v>455</c:v>
                </c:pt>
              </c:numCache>
            </c:numRef>
          </c:val>
          <c:extLst>
            <c:ext xmlns:c16="http://schemas.microsoft.com/office/drawing/2014/chart" uri="{C3380CC4-5D6E-409C-BE32-E72D297353CC}">
              <c16:uniqueId val="{00000001-2CD2-4CDE-A4F4-9A330CD3DCA6}"/>
            </c:ext>
          </c:extLst>
        </c:ser>
        <c:ser>
          <c:idx val="2"/>
          <c:order val="2"/>
          <c:tx>
            <c:strRef>
              <c:f>'Tekošais konts_Q'!$U$9</c:f>
              <c:strCache>
                <c:ptCount val="1"/>
                <c:pt idx="0">
                  <c:v>Sākotnējie ienākumi</c:v>
                </c:pt>
              </c:strCache>
            </c:strRef>
          </c:tx>
          <c:spPr>
            <a:solidFill>
              <a:schemeClr val="accent3"/>
            </a:solidFill>
            <a:ln>
              <a:noFill/>
            </a:ln>
            <a:effectLst/>
          </c:spPr>
          <c:invertIfNegative val="0"/>
          <c:cat>
            <c:multiLvlStrRef>
              <c:f>'Tekošais konts_Q'!$AA$5:$AV$6</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'Tekošais konts_Q'!$AA$9:$AV$9</c:f>
              <c:numCache>
                <c:formatCode>0</c:formatCode>
                <c:ptCount val="22"/>
                <c:pt idx="0">
                  <c:v>-24</c:v>
                </c:pt>
                <c:pt idx="1">
                  <c:v>-89</c:v>
                </c:pt>
                <c:pt idx="2">
                  <c:v>-93</c:v>
                </c:pt>
                <c:pt idx="3">
                  <c:v>88</c:v>
                </c:pt>
                <c:pt idx="4">
                  <c:v>32</c:v>
                </c:pt>
                <c:pt idx="5">
                  <c:v>-143</c:v>
                </c:pt>
                <c:pt idx="6">
                  <c:v>-38</c:v>
                </c:pt>
                <c:pt idx="7">
                  <c:v>109</c:v>
                </c:pt>
                <c:pt idx="8">
                  <c:v>-38</c:v>
                </c:pt>
                <c:pt idx="9">
                  <c:v>-114</c:v>
                </c:pt>
                <c:pt idx="10">
                  <c:v>-121</c:v>
                </c:pt>
                <c:pt idx="11">
                  <c:v>206</c:v>
                </c:pt>
                <c:pt idx="12">
                  <c:v>-69</c:v>
                </c:pt>
                <c:pt idx="13">
                  <c:v>-256</c:v>
                </c:pt>
                <c:pt idx="14" formatCode="General">
                  <c:v>-220</c:v>
                </c:pt>
                <c:pt idx="15" formatCode="General">
                  <c:v>67</c:v>
                </c:pt>
                <c:pt idx="16" formatCode="General">
                  <c:v>-108</c:v>
                </c:pt>
                <c:pt idx="17" formatCode="General">
                  <c:v>-164</c:v>
                </c:pt>
                <c:pt idx="18" formatCode="General">
                  <c:v>-212</c:v>
                </c:pt>
                <c:pt idx="19" formatCode="General">
                  <c:v>55</c:v>
                </c:pt>
                <c:pt idx="20" formatCode="General">
                  <c:v>-40</c:v>
                </c:pt>
                <c:pt idx="21" formatCode="General">
                  <c:v>-21</c:v>
                </c:pt>
              </c:numCache>
            </c:numRef>
          </c:val>
          <c:extLst>
            <c:ext xmlns:c16="http://schemas.microsoft.com/office/drawing/2014/chart" uri="{C3380CC4-5D6E-409C-BE32-E72D297353CC}">
              <c16:uniqueId val="{00000002-2CD2-4CDE-A4F4-9A330CD3DCA6}"/>
            </c:ext>
          </c:extLst>
        </c:ser>
        <c:ser>
          <c:idx val="3"/>
          <c:order val="3"/>
          <c:tx>
            <c:strRef>
              <c:f>'Tekošais konts_Q'!$U$10</c:f>
              <c:strCache>
                <c:ptCount val="1"/>
                <c:pt idx="0">
                  <c:v>Otrreizējie ienākumi</c:v>
                </c:pt>
              </c:strCache>
            </c:strRef>
          </c:tx>
          <c:spPr>
            <a:solidFill>
              <a:schemeClr val="accent4"/>
            </a:solidFill>
            <a:ln>
              <a:noFill/>
            </a:ln>
            <a:effectLst/>
          </c:spPr>
          <c:invertIfNegative val="0"/>
          <c:cat>
            <c:multiLvlStrRef>
              <c:f>'Tekošais konts_Q'!$AA$5:$AV$6</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'Tekošais konts_Q'!$AA$10:$AV$10</c:f>
              <c:numCache>
                <c:formatCode>0</c:formatCode>
                <c:ptCount val="22"/>
                <c:pt idx="0">
                  <c:v>30</c:v>
                </c:pt>
                <c:pt idx="1">
                  <c:v>103</c:v>
                </c:pt>
                <c:pt idx="2">
                  <c:v>132</c:v>
                </c:pt>
                <c:pt idx="3">
                  <c:v>130</c:v>
                </c:pt>
                <c:pt idx="4">
                  <c:v>64</c:v>
                </c:pt>
                <c:pt idx="5">
                  <c:v>108</c:v>
                </c:pt>
                <c:pt idx="6">
                  <c:v>89</c:v>
                </c:pt>
                <c:pt idx="7">
                  <c:v>97</c:v>
                </c:pt>
                <c:pt idx="8">
                  <c:v>93</c:v>
                </c:pt>
                <c:pt idx="9">
                  <c:v>130</c:v>
                </c:pt>
                <c:pt idx="10">
                  <c:v>150</c:v>
                </c:pt>
                <c:pt idx="11">
                  <c:v>207</c:v>
                </c:pt>
                <c:pt idx="12">
                  <c:v>107</c:v>
                </c:pt>
                <c:pt idx="13">
                  <c:v>174</c:v>
                </c:pt>
                <c:pt idx="14" formatCode="General">
                  <c:v>166</c:v>
                </c:pt>
                <c:pt idx="15" formatCode="General">
                  <c:v>178</c:v>
                </c:pt>
                <c:pt idx="16" formatCode="General">
                  <c:v>90</c:v>
                </c:pt>
                <c:pt idx="17" formatCode="General">
                  <c:v>135</c:v>
                </c:pt>
                <c:pt idx="18" formatCode="General">
                  <c:v>121</c:v>
                </c:pt>
                <c:pt idx="19" formatCode="General">
                  <c:v>143</c:v>
                </c:pt>
                <c:pt idx="20" formatCode="General">
                  <c:v>100</c:v>
                </c:pt>
                <c:pt idx="21" formatCode="General">
                  <c:v>107</c:v>
                </c:pt>
              </c:numCache>
            </c:numRef>
          </c:val>
          <c:extLst>
            <c:ext xmlns:c16="http://schemas.microsoft.com/office/drawing/2014/chart" uri="{C3380CC4-5D6E-409C-BE32-E72D297353CC}">
              <c16:uniqueId val="{00000003-2CD2-4CDE-A4F4-9A330CD3DCA6}"/>
            </c:ext>
          </c:extLst>
        </c:ser>
        <c:dLbls>
          <c:showLegendKey val="0"/>
          <c:showVal val="0"/>
          <c:showCatName val="0"/>
          <c:showSerName val="0"/>
          <c:showPercent val="0"/>
          <c:showBubbleSize val="0"/>
        </c:dLbls>
        <c:gapWidth val="50"/>
        <c:overlap val="100"/>
        <c:axId val="1831334048"/>
        <c:axId val="1831339872"/>
      </c:barChart>
      <c:lineChart>
        <c:grouping val="standard"/>
        <c:varyColors val="0"/>
        <c:ser>
          <c:idx val="4"/>
          <c:order val="4"/>
          <c:tx>
            <c:strRef>
              <c:f>'Tekošais konts_Q'!$U$11</c:f>
              <c:strCache>
                <c:ptCount val="1"/>
                <c:pt idx="0">
                  <c:v>Tekošais konts (% no IKP, l.a.)</c:v>
                </c:pt>
              </c:strCache>
            </c:strRef>
          </c:tx>
          <c:spPr>
            <a:ln w="28575" cap="rnd">
              <a:solidFill>
                <a:schemeClr val="tx1"/>
              </a:solidFill>
              <a:round/>
            </a:ln>
            <a:effectLst/>
          </c:spPr>
          <c:marker>
            <c:symbol val="none"/>
          </c:marker>
          <c:cat>
            <c:multiLvlStrRef>
              <c:f>'Tekošais konts_Q'!$AA$5:$AV$6</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'Tekošais konts_Q'!$AA$11:$AV$11</c:f>
              <c:numCache>
                <c:formatCode>0.0%</c:formatCode>
                <c:ptCount val="22"/>
                <c:pt idx="0">
                  <c:v>-2.5000000000000001E-2</c:v>
                </c:pt>
                <c:pt idx="1">
                  <c:v>-0.02</c:v>
                </c:pt>
                <c:pt idx="2">
                  <c:v>-1.7000000000000001E-2</c:v>
                </c:pt>
                <c:pt idx="3">
                  <c:v>3.4000000000000002E-2</c:v>
                </c:pt>
                <c:pt idx="4">
                  <c:v>2.5000000000000001E-2</c:v>
                </c:pt>
                <c:pt idx="5">
                  <c:v>-6.0000000000000001E-3</c:v>
                </c:pt>
                <c:pt idx="6">
                  <c:v>1.6E-2</c:v>
                </c:pt>
                <c:pt idx="7">
                  <c:v>2.9000000000000001E-2</c:v>
                </c:pt>
                <c:pt idx="8">
                  <c:v>1.2E-2</c:v>
                </c:pt>
                <c:pt idx="9">
                  <c:v>-1.4E-2</c:v>
                </c:pt>
                <c:pt idx="10">
                  <c:v>-2.7E-2</c:v>
                </c:pt>
                <c:pt idx="11">
                  <c:v>7.6999999999999999E-2</c:v>
                </c:pt>
                <c:pt idx="12">
                  <c:v>0</c:v>
                </c:pt>
                <c:pt idx="13">
                  <c:v>1.6E-2</c:v>
                </c:pt>
                <c:pt idx="14">
                  <c:v>-5.6000000000000001E-2</c:v>
                </c:pt>
                <c:pt idx="15">
                  <c:v>2.8000000000000001E-2</c:v>
                </c:pt>
                <c:pt idx="16">
                  <c:v>0</c:v>
                </c:pt>
                <c:pt idx="17">
                  <c:v>-1.9E-2</c:v>
                </c:pt>
                <c:pt idx="18">
                  <c:v>-0.03</c:v>
                </c:pt>
                <c:pt idx="19">
                  <c:v>2.4E-2</c:v>
                </c:pt>
                <c:pt idx="20">
                  <c:v>0.01</c:v>
                </c:pt>
                <c:pt idx="21">
                  <c:v>3.7999999999999999E-2</c:v>
                </c:pt>
              </c:numCache>
            </c:numRef>
          </c:val>
          <c:smooth val="0"/>
          <c:extLst>
            <c:ext xmlns:c16="http://schemas.microsoft.com/office/drawing/2014/chart" uri="{C3380CC4-5D6E-409C-BE32-E72D297353CC}">
              <c16:uniqueId val="{00000004-2CD2-4CDE-A4F4-9A330CD3DCA6}"/>
            </c:ext>
          </c:extLst>
        </c:ser>
        <c:dLbls>
          <c:showLegendKey val="0"/>
          <c:showVal val="0"/>
          <c:showCatName val="0"/>
          <c:showSerName val="0"/>
          <c:showPercent val="0"/>
          <c:showBubbleSize val="0"/>
        </c:dLbls>
        <c:marker val="1"/>
        <c:smooth val="0"/>
        <c:axId val="1831373984"/>
        <c:axId val="1831363584"/>
      </c:lineChart>
      <c:catAx>
        <c:axId val="1831334048"/>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831339872"/>
        <c:crosses val="autoZero"/>
        <c:auto val="1"/>
        <c:lblAlgn val="ctr"/>
        <c:lblOffset val="100"/>
        <c:noMultiLvlLbl val="0"/>
      </c:catAx>
      <c:valAx>
        <c:axId val="1831339872"/>
        <c:scaling>
          <c:orientation val="minMax"/>
          <c:max val="1500"/>
          <c:min val="-1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831334048"/>
        <c:crosses val="autoZero"/>
        <c:crossBetween val="between"/>
        <c:majorUnit val="300"/>
      </c:valAx>
      <c:valAx>
        <c:axId val="1831363584"/>
        <c:scaling>
          <c:orientation val="minMax"/>
          <c:max val="8.0000000000000016E-2"/>
          <c:min val="-6.0000000000000012E-2"/>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831373984"/>
        <c:crosses val="max"/>
        <c:crossBetween val="between"/>
      </c:valAx>
      <c:catAx>
        <c:axId val="1831373984"/>
        <c:scaling>
          <c:orientation val="minMax"/>
        </c:scaling>
        <c:delete val="1"/>
        <c:axPos val="b"/>
        <c:numFmt formatCode="General" sourceLinked="1"/>
        <c:majorTickMark val="out"/>
        <c:minorTickMark val="none"/>
        <c:tickLblPos val="nextTo"/>
        <c:crossAx val="1831363584"/>
        <c:crosses val="autoZero"/>
        <c:auto val="1"/>
        <c:lblAlgn val="ctr"/>
        <c:lblOffset val="100"/>
        <c:noMultiLvlLbl val="0"/>
      </c:catAx>
      <c:spPr>
        <a:noFill/>
        <a:ln>
          <a:noFill/>
        </a:ln>
        <a:effectLst/>
      </c:spPr>
    </c:plotArea>
    <c:legend>
      <c:legendPos val="b"/>
      <c:layout>
        <c:manualLayout>
          <c:xMode val="edge"/>
          <c:yMode val="edge"/>
          <c:x val="0.11349484577129521"/>
          <c:y val="0.84313779926445365"/>
          <c:w val="0.88377361209333538"/>
          <c:h val="0.1568621860963121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'[namq_10_an6 (1).xls]Data'!$CD$24</c:f>
              <c:strCache>
                <c:ptCount val="1"/>
                <c:pt idx="0">
                  <c:v>Ēkas, būves, celtnes </c:v>
                </c:pt>
              </c:strCache>
            </c:strRef>
          </c:tx>
          <c:spPr>
            <a:solidFill>
              <a:schemeClr val="accent1"/>
            </a:solidFill>
            <a:ln>
              <a:noFill/>
            </a:ln>
            <a:effectLst/>
          </c:spPr>
          <c:invertIfNegative val="0"/>
          <c:cat>
            <c:multiLvlStrRef>
              <c:f>'[namq_10_an6 (1).xls]Data'!$CE$22:$CZ$23</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'[namq_10_an6 (1).xls]Data'!$CE$24:$CZ$24</c:f>
              <c:numCache>
                <c:formatCode>General</c:formatCode>
                <c:ptCount val="22"/>
                <c:pt idx="0">
                  <c:v>480.7</c:v>
                </c:pt>
                <c:pt idx="1">
                  <c:v>706.5</c:v>
                </c:pt>
                <c:pt idx="2">
                  <c:v>876.4</c:v>
                </c:pt>
                <c:pt idx="3">
                  <c:v>927.6</c:v>
                </c:pt>
                <c:pt idx="4">
                  <c:v>432.8</c:v>
                </c:pt>
                <c:pt idx="5">
                  <c:v>524.20000000000005</c:v>
                </c:pt>
                <c:pt idx="6">
                  <c:v>690.7</c:v>
                </c:pt>
                <c:pt idx="7">
                  <c:v>720.5</c:v>
                </c:pt>
                <c:pt idx="8">
                  <c:v>422.2</c:v>
                </c:pt>
                <c:pt idx="9">
                  <c:v>575.20000000000005</c:v>
                </c:pt>
                <c:pt idx="10">
                  <c:v>838.3</c:v>
                </c:pt>
                <c:pt idx="11">
                  <c:v>867.8</c:v>
                </c:pt>
                <c:pt idx="12">
                  <c:v>574.70000000000005</c:v>
                </c:pt>
                <c:pt idx="13">
                  <c:v>737.9</c:v>
                </c:pt>
                <c:pt idx="14">
                  <c:v>896.6</c:v>
                </c:pt>
                <c:pt idx="15">
                  <c:v>1031.5</c:v>
                </c:pt>
                <c:pt idx="16">
                  <c:v>614.20000000000005</c:v>
                </c:pt>
                <c:pt idx="17">
                  <c:v>742.6</c:v>
                </c:pt>
                <c:pt idx="18">
                  <c:v>948.7</c:v>
                </c:pt>
                <c:pt idx="19">
                  <c:v>1026.0999999999999</c:v>
                </c:pt>
                <c:pt idx="20">
                  <c:v>684.5</c:v>
                </c:pt>
                <c:pt idx="21">
                  <c:v>738.3</c:v>
                </c:pt>
              </c:numCache>
            </c:numRef>
          </c:val>
          <c:extLst>
            <c:ext xmlns:c16="http://schemas.microsoft.com/office/drawing/2014/chart" uri="{C3380CC4-5D6E-409C-BE32-E72D297353CC}">
              <c16:uniqueId val="{00000000-405B-44DE-BB68-0B571B6A093F}"/>
            </c:ext>
          </c:extLst>
        </c:ser>
        <c:ser>
          <c:idx val="1"/>
          <c:order val="1"/>
          <c:tx>
            <c:strRef>
              <c:f>'[namq_10_an6 (1).xls]Data'!$CD$25</c:f>
              <c:strCache>
                <c:ptCount val="1"/>
                <c:pt idx="0">
                  <c:v>Tehnoloģiskās iekārtas un mašīnas</c:v>
                </c:pt>
              </c:strCache>
            </c:strRef>
          </c:tx>
          <c:spPr>
            <a:solidFill>
              <a:schemeClr val="accent2"/>
            </a:solidFill>
            <a:ln>
              <a:noFill/>
            </a:ln>
            <a:effectLst/>
          </c:spPr>
          <c:invertIfNegative val="0"/>
          <c:cat>
            <c:multiLvlStrRef>
              <c:f>'[namq_10_an6 (1).xls]Data'!$CE$22:$CZ$23</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'[namq_10_an6 (1).xls]Data'!$CE$25:$CZ$25</c:f>
              <c:numCache>
                <c:formatCode>General</c:formatCode>
                <c:ptCount val="22"/>
                <c:pt idx="0">
                  <c:v>363.1</c:v>
                </c:pt>
                <c:pt idx="1">
                  <c:v>473.4</c:v>
                </c:pt>
                <c:pt idx="2">
                  <c:v>486.8</c:v>
                </c:pt>
                <c:pt idx="3">
                  <c:v>641.5</c:v>
                </c:pt>
                <c:pt idx="4">
                  <c:v>345.2</c:v>
                </c:pt>
                <c:pt idx="5">
                  <c:v>459.7</c:v>
                </c:pt>
                <c:pt idx="6">
                  <c:v>586.5</c:v>
                </c:pt>
                <c:pt idx="7">
                  <c:v>794.1</c:v>
                </c:pt>
                <c:pt idx="8">
                  <c:v>441</c:v>
                </c:pt>
                <c:pt idx="9">
                  <c:v>562.1</c:v>
                </c:pt>
                <c:pt idx="10">
                  <c:v>626.70000000000005</c:v>
                </c:pt>
                <c:pt idx="11">
                  <c:v>758.8</c:v>
                </c:pt>
                <c:pt idx="12">
                  <c:v>466.1</c:v>
                </c:pt>
                <c:pt idx="13">
                  <c:v>595.29999999999995</c:v>
                </c:pt>
                <c:pt idx="14">
                  <c:v>743.3</c:v>
                </c:pt>
                <c:pt idx="15">
                  <c:v>896.1</c:v>
                </c:pt>
                <c:pt idx="16">
                  <c:v>523</c:v>
                </c:pt>
                <c:pt idx="17">
                  <c:v>649.70000000000005</c:v>
                </c:pt>
                <c:pt idx="18">
                  <c:v>751.8</c:v>
                </c:pt>
                <c:pt idx="19">
                  <c:v>829.3</c:v>
                </c:pt>
                <c:pt idx="20">
                  <c:v>514.79999999999995</c:v>
                </c:pt>
                <c:pt idx="21">
                  <c:v>568.1</c:v>
                </c:pt>
              </c:numCache>
            </c:numRef>
          </c:val>
          <c:extLst>
            <c:ext xmlns:c16="http://schemas.microsoft.com/office/drawing/2014/chart" uri="{C3380CC4-5D6E-409C-BE32-E72D297353CC}">
              <c16:uniqueId val="{00000001-405B-44DE-BB68-0B571B6A093F}"/>
            </c:ext>
          </c:extLst>
        </c:ser>
        <c:ser>
          <c:idx val="2"/>
          <c:order val="2"/>
          <c:tx>
            <c:strRef>
              <c:f>'[namq_10_an6 (1).xls]Data'!$CD$26</c:f>
              <c:strCache>
                <c:ptCount val="1"/>
                <c:pt idx="0">
                  <c:v>Intelektuāla īpašuma produkti</c:v>
                </c:pt>
              </c:strCache>
            </c:strRef>
          </c:tx>
          <c:spPr>
            <a:solidFill>
              <a:srgbClr val="00B050"/>
            </a:solidFill>
            <a:ln>
              <a:noFill/>
            </a:ln>
            <a:effectLst/>
          </c:spPr>
          <c:invertIfNegative val="0"/>
          <c:cat>
            <c:multiLvlStrRef>
              <c:f>'[namq_10_an6 (1).xls]Data'!$CE$22:$CZ$23</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'[namq_10_an6 (1).xls]Data'!$CE$26:$CZ$26</c:f>
              <c:numCache>
                <c:formatCode>General</c:formatCode>
                <c:ptCount val="22"/>
                <c:pt idx="0">
                  <c:v>78.3</c:v>
                </c:pt>
                <c:pt idx="1">
                  <c:v>142.30000000000001</c:v>
                </c:pt>
                <c:pt idx="2">
                  <c:v>117</c:v>
                </c:pt>
                <c:pt idx="3">
                  <c:v>68</c:v>
                </c:pt>
                <c:pt idx="4">
                  <c:v>73.400000000000006</c:v>
                </c:pt>
                <c:pt idx="5">
                  <c:v>126.4</c:v>
                </c:pt>
                <c:pt idx="6">
                  <c:v>105.8</c:v>
                </c:pt>
                <c:pt idx="7">
                  <c:v>54.3</c:v>
                </c:pt>
                <c:pt idx="8">
                  <c:v>65.099999999999994</c:v>
                </c:pt>
                <c:pt idx="9">
                  <c:v>161.80000000000001</c:v>
                </c:pt>
                <c:pt idx="10">
                  <c:v>99.8</c:v>
                </c:pt>
                <c:pt idx="11">
                  <c:v>45.1</c:v>
                </c:pt>
                <c:pt idx="12">
                  <c:v>67.7</c:v>
                </c:pt>
                <c:pt idx="13">
                  <c:v>133.6</c:v>
                </c:pt>
                <c:pt idx="14">
                  <c:v>127.3</c:v>
                </c:pt>
                <c:pt idx="15">
                  <c:v>60.2</c:v>
                </c:pt>
                <c:pt idx="16">
                  <c:v>73.7</c:v>
                </c:pt>
                <c:pt idx="17">
                  <c:v>146.80000000000001</c:v>
                </c:pt>
                <c:pt idx="18">
                  <c:v>149.4</c:v>
                </c:pt>
                <c:pt idx="19">
                  <c:v>64</c:v>
                </c:pt>
                <c:pt idx="20">
                  <c:v>74.599999999999994</c:v>
                </c:pt>
                <c:pt idx="21">
                  <c:v>133.19999999999999</c:v>
                </c:pt>
              </c:numCache>
            </c:numRef>
          </c:val>
          <c:extLst>
            <c:ext xmlns:c16="http://schemas.microsoft.com/office/drawing/2014/chart" uri="{C3380CC4-5D6E-409C-BE32-E72D297353CC}">
              <c16:uniqueId val="{00000002-405B-44DE-BB68-0B571B6A093F}"/>
            </c:ext>
          </c:extLst>
        </c:ser>
        <c:ser>
          <c:idx val="3"/>
          <c:order val="3"/>
          <c:tx>
            <c:strRef>
              <c:f>'[namq_10_an6 (1).xls]Data'!$CD$27</c:f>
              <c:strCache>
                <c:ptCount val="1"/>
                <c:pt idx="0">
                  <c:v>Pārējie pamatlīdzekļi </c:v>
                </c:pt>
              </c:strCache>
            </c:strRef>
          </c:tx>
          <c:spPr>
            <a:solidFill>
              <a:schemeClr val="accent4"/>
            </a:solidFill>
            <a:ln>
              <a:noFill/>
            </a:ln>
            <a:effectLst/>
          </c:spPr>
          <c:invertIfNegative val="0"/>
          <c:cat>
            <c:multiLvlStrRef>
              <c:f>'[namq_10_an6 (1).xls]Data'!$CE$22:$CZ$23</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'[namq_10_an6 (1).xls]Data'!$CE$27:$CZ$27</c:f>
              <c:numCache>
                <c:formatCode>General</c:formatCode>
                <c:ptCount val="22"/>
                <c:pt idx="0">
                  <c:v>1.3</c:v>
                </c:pt>
                <c:pt idx="1">
                  <c:v>1.3</c:v>
                </c:pt>
                <c:pt idx="2">
                  <c:v>1.8</c:v>
                </c:pt>
                <c:pt idx="3">
                  <c:v>1.6</c:v>
                </c:pt>
                <c:pt idx="4">
                  <c:v>3.3</c:v>
                </c:pt>
                <c:pt idx="5">
                  <c:v>3.5</c:v>
                </c:pt>
                <c:pt idx="6">
                  <c:v>4.7</c:v>
                </c:pt>
                <c:pt idx="7">
                  <c:v>4.0999999999999996</c:v>
                </c:pt>
                <c:pt idx="8">
                  <c:v>4.9000000000000004</c:v>
                </c:pt>
                <c:pt idx="9">
                  <c:v>5.0999999999999996</c:v>
                </c:pt>
                <c:pt idx="10">
                  <c:v>6.9</c:v>
                </c:pt>
                <c:pt idx="11">
                  <c:v>6</c:v>
                </c:pt>
                <c:pt idx="12">
                  <c:v>4.8</c:v>
                </c:pt>
                <c:pt idx="13">
                  <c:v>5</c:v>
                </c:pt>
                <c:pt idx="14">
                  <c:v>6.8</c:v>
                </c:pt>
                <c:pt idx="15">
                  <c:v>5.9</c:v>
                </c:pt>
                <c:pt idx="16">
                  <c:v>4.8</c:v>
                </c:pt>
                <c:pt idx="17">
                  <c:v>4.9000000000000004</c:v>
                </c:pt>
                <c:pt idx="18">
                  <c:v>6.7</c:v>
                </c:pt>
                <c:pt idx="19">
                  <c:v>5.9</c:v>
                </c:pt>
                <c:pt idx="20">
                  <c:v>4.7</c:v>
                </c:pt>
                <c:pt idx="21">
                  <c:v>4.9000000000000004</c:v>
                </c:pt>
              </c:numCache>
            </c:numRef>
          </c:val>
          <c:extLst>
            <c:ext xmlns:c16="http://schemas.microsoft.com/office/drawing/2014/chart" uri="{C3380CC4-5D6E-409C-BE32-E72D297353CC}">
              <c16:uniqueId val="{00000003-405B-44DE-BB68-0B571B6A093F}"/>
            </c:ext>
          </c:extLst>
        </c:ser>
        <c:dLbls>
          <c:showLegendKey val="0"/>
          <c:showVal val="0"/>
          <c:showCatName val="0"/>
          <c:showSerName val="0"/>
          <c:showPercent val="0"/>
          <c:showBubbleSize val="0"/>
        </c:dLbls>
        <c:gapWidth val="50"/>
        <c:overlap val="100"/>
        <c:axId val="475076968"/>
        <c:axId val="475078608"/>
      </c:barChart>
      <c:catAx>
        <c:axId val="4750769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75078608"/>
        <c:crosses val="autoZero"/>
        <c:auto val="1"/>
        <c:lblAlgn val="ctr"/>
        <c:lblOffset val="100"/>
        <c:tickLblSkip val="4"/>
        <c:tickMarkSkip val="4"/>
        <c:noMultiLvlLbl val="0"/>
      </c:catAx>
      <c:valAx>
        <c:axId val="47507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75076968"/>
        <c:crosses val="autoZero"/>
        <c:crossBetween val="between"/>
        <c:majorUnit val="3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2"/>
          <c:tx>
            <c:strRef>
              <c:f>'INDUSTRY QUARTERLY'!$U$152</c:f>
              <c:strCache>
                <c:ptCount val="1"/>
                <c:pt idx="0">
                  <c:v>2020 Q3</c:v>
                </c:pt>
              </c:strCache>
            </c:strRef>
          </c:tx>
          <c:spPr>
            <a:solidFill>
              <a:schemeClr val="accent5">
                <a:lumMod val="60000"/>
                <a:lumOff val="40000"/>
              </a:schemeClr>
            </a:solidFill>
            <a:ln>
              <a:noFill/>
            </a:ln>
            <a:effectLst/>
          </c:spPr>
          <c:invertIfNegative val="0"/>
          <c:dPt>
            <c:idx val="14"/>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1-787F-4A97-B270-C5695E12EAB5}"/>
              </c:ext>
            </c:extLst>
          </c:dPt>
          <c:dPt>
            <c:idx val="18"/>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3-787F-4A97-B270-C5695E12EAB5}"/>
              </c:ext>
            </c:extLst>
          </c:dPt>
          <c:cat>
            <c:strRef>
              <c:f>'INDUSTRY QUARTERLY'!$R$153:$R$180</c:f>
              <c:strCache>
                <c:ptCount val="27"/>
                <c:pt idx="0">
                  <c:v>SK</c:v>
                </c:pt>
                <c:pt idx="1">
                  <c:v>AT</c:v>
                </c:pt>
                <c:pt idx="2">
                  <c:v>SE</c:v>
                </c:pt>
                <c:pt idx="3">
                  <c:v>LU</c:v>
                </c:pt>
                <c:pt idx="4">
                  <c:v>NL</c:v>
                </c:pt>
                <c:pt idx="5">
                  <c:v>DK</c:v>
                </c:pt>
                <c:pt idx="6">
                  <c:v>SI</c:v>
                </c:pt>
                <c:pt idx="7">
                  <c:v>FI</c:v>
                </c:pt>
                <c:pt idx="8">
                  <c:v>CZ</c:v>
                </c:pt>
                <c:pt idx="9">
                  <c:v>DE</c:v>
                </c:pt>
                <c:pt idx="10">
                  <c:v>HU</c:v>
                </c:pt>
                <c:pt idx="11">
                  <c:v>BE</c:v>
                </c:pt>
                <c:pt idx="12">
                  <c:v>PL</c:v>
                </c:pt>
                <c:pt idx="13">
                  <c:v>FR</c:v>
                </c:pt>
                <c:pt idx="14">
                  <c:v>ES vidēji</c:v>
                </c:pt>
                <c:pt idx="15">
                  <c:v>LT</c:v>
                </c:pt>
                <c:pt idx="16">
                  <c:v>PT</c:v>
                </c:pt>
                <c:pt idx="17">
                  <c:v>ES</c:v>
                </c:pt>
                <c:pt idx="18">
                  <c:v>LV</c:v>
                </c:pt>
                <c:pt idx="19">
                  <c:v>EL</c:v>
                </c:pt>
                <c:pt idx="20">
                  <c:v>IE</c:v>
                </c:pt>
                <c:pt idx="21">
                  <c:v>BG</c:v>
                </c:pt>
                <c:pt idx="22">
                  <c:v>MT</c:v>
                </c:pt>
                <c:pt idx="23">
                  <c:v>RO</c:v>
                </c:pt>
                <c:pt idx="24">
                  <c:v>HR</c:v>
                </c:pt>
                <c:pt idx="25">
                  <c:v>EE</c:v>
                </c:pt>
                <c:pt idx="26">
                  <c:v>IT</c:v>
                </c:pt>
              </c:strCache>
              <c:extLst/>
            </c:strRef>
          </c:cat>
          <c:val>
            <c:numRef>
              <c:f>'INDUSTRY QUARTERLY'!$U$153:$U$180</c:f>
              <c:numCache>
                <c:formatCode>0</c:formatCode>
                <c:ptCount val="27"/>
                <c:pt idx="0">
                  <c:v>78.3</c:v>
                </c:pt>
                <c:pt idx="1">
                  <c:v>77.2</c:v>
                </c:pt>
                <c:pt idx="2">
                  <c:v>77</c:v>
                </c:pt>
                <c:pt idx="3">
                  <c:v>76.3</c:v>
                </c:pt>
                <c:pt idx="4">
                  <c:v>76.3</c:v>
                </c:pt>
                <c:pt idx="5">
                  <c:v>76.2</c:v>
                </c:pt>
                <c:pt idx="6">
                  <c:v>76.099999999999994</c:v>
                </c:pt>
                <c:pt idx="7">
                  <c:v>76</c:v>
                </c:pt>
                <c:pt idx="8">
                  <c:v>75.5</c:v>
                </c:pt>
                <c:pt idx="9">
                  <c:v>74.400000000000006</c:v>
                </c:pt>
                <c:pt idx="10">
                  <c:v>74.099999999999994</c:v>
                </c:pt>
                <c:pt idx="11">
                  <c:v>73.400000000000006</c:v>
                </c:pt>
                <c:pt idx="12">
                  <c:v>72.900000000000006</c:v>
                </c:pt>
                <c:pt idx="13">
                  <c:v>72.8</c:v>
                </c:pt>
                <c:pt idx="14">
                  <c:v>72.400000000000006</c:v>
                </c:pt>
                <c:pt idx="15">
                  <c:v>71.900000000000006</c:v>
                </c:pt>
                <c:pt idx="16">
                  <c:v>71.900000000000006</c:v>
                </c:pt>
                <c:pt idx="17">
                  <c:v>71.5</c:v>
                </c:pt>
                <c:pt idx="18">
                  <c:v>70.8</c:v>
                </c:pt>
                <c:pt idx="19">
                  <c:v>70.3</c:v>
                </c:pt>
                <c:pt idx="20">
                  <c:v>69.599999999999994</c:v>
                </c:pt>
                <c:pt idx="21">
                  <c:v>68.8</c:v>
                </c:pt>
                <c:pt idx="22">
                  <c:v>68</c:v>
                </c:pt>
                <c:pt idx="23">
                  <c:v>66.900000000000006</c:v>
                </c:pt>
                <c:pt idx="24">
                  <c:v>66.5</c:v>
                </c:pt>
                <c:pt idx="25">
                  <c:v>66</c:v>
                </c:pt>
                <c:pt idx="26">
                  <c:v>64.5</c:v>
                </c:pt>
              </c:numCache>
              <c:extLst/>
            </c:numRef>
          </c:val>
          <c:extLst>
            <c:ext xmlns:c16="http://schemas.microsoft.com/office/drawing/2014/chart" uri="{C3380CC4-5D6E-409C-BE32-E72D297353CC}">
              <c16:uniqueId val="{00000004-787F-4A97-B270-C5695E12EAB5}"/>
            </c:ext>
          </c:extLst>
        </c:ser>
        <c:dLbls>
          <c:showLegendKey val="0"/>
          <c:showVal val="0"/>
          <c:showCatName val="0"/>
          <c:showSerName val="0"/>
          <c:showPercent val="0"/>
          <c:showBubbleSize val="0"/>
        </c:dLbls>
        <c:gapWidth val="50"/>
        <c:axId val="763975935"/>
        <c:axId val="763983423"/>
      </c:barChart>
      <c:lineChart>
        <c:grouping val="standard"/>
        <c:varyColors val="0"/>
        <c:ser>
          <c:idx val="0"/>
          <c:order val="0"/>
          <c:tx>
            <c:strRef>
              <c:f>'INDUSTRY QUARTERLY'!$S$152</c:f>
              <c:strCache>
                <c:ptCount val="1"/>
                <c:pt idx="0">
                  <c:v>2019 Q2</c:v>
                </c:pt>
              </c:strCache>
            </c:strRef>
          </c:tx>
          <c:spPr>
            <a:ln w="28575" cap="rnd">
              <a:solidFill>
                <a:srgbClr val="00B050">
                  <a:alpha val="0"/>
                </a:srgbClr>
              </a:solidFill>
              <a:round/>
            </a:ln>
            <a:effectLst/>
          </c:spPr>
          <c:marker>
            <c:symbol val="square"/>
            <c:size val="7"/>
            <c:spPr>
              <a:solidFill>
                <a:srgbClr val="00B050"/>
              </a:solidFill>
              <a:ln w="9525">
                <a:solidFill>
                  <a:srgbClr val="00B050">
                    <a:alpha val="0"/>
                  </a:srgbClr>
                </a:solidFill>
              </a:ln>
              <a:effectLst/>
            </c:spPr>
          </c:marker>
          <c:cat>
            <c:strRef>
              <c:f>'INDUSTRY QUARTERLY'!$R$153:$R$180</c:f>
              <c:strCache>
                <c:ptCount val="27"/>
                <c:pt idx="0">
                  <c:v>SK</c:v>
                </c:pt>
                <c:pt idx="1">
                  <c:v>AT</c:v>
                </c:pt>
                <c:pt idx="2">
                  <c:v>SE</c:v>
                </c:pt>
                <c:pt idx="3">
                  <c:v>LU</c:v>
                </c:pt>
                <c:pt idx="4">
                  <c:v>NL</c:v>
                </c:pt>
                <c:pt idx="5">
                  <c:v>DK</c:v>
                </c:pt>
                <c:pt idx="6">
                  <c:v>SI</c:v>
                </c:pt>
                <c:pt idx="7">
                  <c:v>FI</c:v>
                </c:pt>
                <c:pt idx="8">
                  <c:v>CZ</c:v>
                </c:pt>
                <c:pt idx="9">
                  <c:v>DE</c:v>
                </c:pt>
                <c:pt idx="10">
                  <c:v>HU</c:v>
                </c:pt>
                <c:pt idx="11">
                  <c:v>BE</c:v>
                </c:pt>
                <c:pt idx="12">
                  <c:v>PL</c:v>
                </c:pt>
                <c:pt idx="13">
                  <c:v>FR</c:v>
                </c:pt>
                <c:pt idx="14">
                  <c:v>ES vidēji</c:v>
                </c:pt>
                <c:pt idx="15">
                  <c:v>LT</c:v>
                </c:pt>
                <c:pt idx="16">
                  <c:v>PT</c:v>
                </c:pt>
                <c:pt idx="17">
                  <c:v>ES</c:v>
                </c:pt>
                <c:pt idx="18">
                  <c:v>LV</c:v>
                </c:pt>
                <c:pt idx="19">
                  <c:v>EL</c:v>
                </c:pt>
                <c:pt idx="20">
                  <c:v>IE</c:v>
                </c:pt>
                <c:pt idx="21">
                  <c:v>BG</c:v>
                </c:pt>
                <c:pt idx="22">
                  <c:v>MT</c:v>
                </c:pt>
                <c:pt idx="23">
                  <c:v>RO</c:v>
                </c:pt>
                <c:pt idx="24">
                  <c:v>HR</c:v>
                </c:pt>
                <c:pt idx="25">
                  <c:v>EE</c:v>
                </c:pt>
                <c:pt idx="26">
                  <c:v>IT</c:v>
                </c:pt>
              </c:strCache>
              <c:extLst/>
            </c:strRef>
          </c:cat>
          <c:val>
            <c:numRef>
              <c:f>'INDUSTRY QUARTERLY'!$S$153:$S$180</c:f>
              <c:numCache>
                <c:formatCode>0</c:formatCode>
                <c:ptCount val="27"/>
                <c:pt idx="0">
                  <c:v>89.1</c:v>
                </c:pt>
                <c:pt idx="1">
                  <c:v>87.2</c:v>
                </c:pt>
                <c:pt idx="2">
                  <c:v>87.3</c:v>
                </c:pt>
                <c:pt idx="3">
                  <c:v>79.7</c:v>
                </c:pt>
                <c:pt idx="4">
                  <c:v>84.3</c:v>
                </c:pt>
                <c:pt idx="5">
                  <c:v>81.3</c:v>
                </c:pt>
                <c:pt idx="6">
                  <c:v>84.8</c:v>
                </c:pt>
                <c:pt idx="7">
                  <c:v>80.8</c:v>
                </c:pt>
                <c:pt idx="8">
                  <c:v>85.9</c:v>
                </c:pt>
                <c:pt idx="9">
                  <c:v>85.3</c:v>
                </c:pt>
                <c:pt idx="10">
                  <c:v>85.4</c:v>
                </c:pt>
                <c:pt idx="11">
                  <c:v>81.3</c:v>
                </c:pt>
                <c:pt idx="12">
                  <c:v>81.8</c:v>
                </c:pt>
                <c:pt idx="13">
                  <c:v>85.1</c:v>
                </c:pt>
                <c:pt idx="14">
                  <c:v>82.7</c:v>
                </c:pt>
                <c:pt idx="15">
                  <c:v>76.900000000000006</c:v>
                </c:pt>
                <c:pt idx="16">
                  <c:v>79.400000000000006</c:v>
                </c:pt>
                <c:pt idx="17">
                  <c:v>80.400000000000006</c:v>
                </c:pt>
                <c:pt idx="18">
                  <c:v>76.900000000000006</c:v>
                </c:pt>
                <c:pt idx="19">
                  <c:v>71.7</c:v>
                </c:pt>
                <c:pt idx="20">
                  <c:v>76.900000000000006</c:v>
                </c:pt>
                <c:pt idx="21">
                  <c:v>78</c:v>
                </c:pt>
                <c:pt idx="22">
                  <c:v>78.2</c:v>
                </c:pt>
                <c:pt idx="23">
                  <c:v>75.2</c:v>
                </c:pt>
                <c:pt idx="24">
                  <c:v>73.400000000000006</c:v>
                </c:pt>
                <c:pt idx="25">
                  <c:v>73.5</c:v>
                </c:pt>
                <c:pt idx="26">
                  <c:v>77.5</c:v>
                </c:pt>
              </c:numCache>
              <c:extLst/>
            </c:numRef>
          </c:val>
          <c:smooth val="0"/>
          <c:extLst>
            <c:ext xmlns:c16="http://schemas.microsoft.com/office/drawing/2014/chart" uri="{C3380CC4-5D6E-409C-BE32-E72D297353CC}">
              <c16:uniqueId val="{00000005-787F-4A97-B270-C5695E12EAB5}"/>
            </c:ext>
          </c:extLst>
        </c:ser>
        <c:ser>
          <c:idx val="1"/>
          <c:order val="1"/>
          <c:tx>
            <c:strRef>
              <c:f>'INDUSTRY QUARTERLY'!$T$152</c:f>
              <c:strCache>
                <c:ptCount val="1"/>
                <c:pt idx="0">
                  <c:v>2020 Q2</c:v>
                </c:pt>
              </c:strCache>
            </c:strRef>
          </c:tx>
          <c:spPr>
            <a:ln w="28575" cap="rnd">
              <a:solidFill>
                <a:schemeClr val="bg1">
                  <a:lumMod val="50000"/>
                  <a:alpha val="0"/>
                </a:schemeClr>
              </a:solidFill>
              <a:round/>
            </a:ln>
            <a:effectLst/>
          </c:spPr>
          <c:marker>
            <c:symbol val="circle"/>
            <c:size val="8"/>
            <c:spPr>
              <a:solidFill>
                <a:srgbClr val="FFFF00"/>
              </a:solidFill>
              <a:ln w="9525">
                <a:solidFill>
                  <a:schemeClr val="bg1">
                    <a:lumMod val="50000"/>
                    <a:alpha val="0"/>
                  </a:schemeClr>
                </a:solidFill>
              </a:ln>
              <a:effectLst/>
            </c:spPr>
          </c:marker>
          <c:cat>
            <c:strRef>
              <c:f>'INDUSTRY QUARTERLY'!$R$153:$R$180</c:f>
              <c:strCache>
                <c:ptCount val="27"/>
                <c:pt idx="0">
                  <c:v>SK</c:v>
                </c:pt>
                <c:pt idx="1">
                  <c:v>AT</c:v>
                </c:pt>
                <c:pt idx="2">
                  <c:v>SE</c:v>
                </c:pt>
                <c:pt idx="3">
                  <c:v>LU</c:v>
                </c:pt>
                <c:pt idx="4">
                  <c:v>NL</c:v>
                </c:pt>
                <c:pt idx="5">
                  <c:v>DK</c:v>
                </c:pt>
                <c:pt idx="6">
                  <c:v>SI</c:v>
                </c:pt>
                <c:pt idx="7">
                  <c:v>FI</c:v>
                </c:pt>
                <c:pt idx="8">
                  <c:v>CZ</c:v>
                </c:pt>
                <c:pt idx="9">
                  <c:v>DE</c:v>
                </c:pt>
                <c:pt idx="10">
                  <c:v>HU</c:v>
                </c:pt>
                <c:pt idx="11">
                  <c:v>BE</c:v>
                </c:pt>
                <c:pt idx="12">
                  <c:v>PL</c:v>
                </c:pt>
                <c:pt idx="13">
                  <c:v>FR</c:v>
                </c:pt>
                <c:pt idx="14">
                  <c:v>ES vidēji</c:v>
                </c:pt>
                <c:pt idx="15">
                  <c:v>LT</c:v>
                </c:pt>
                <c:pt idx="16">
                  <c:v>PT</c:v>
                </c:pt>
                <c:pt idx="17">
                  <c:v>ES</c:v>
                </c:pt>
                <c:pt idx="18">
                  <c:v>LV</c:v>
                </c:pt>
                <c:pt idx="19">
                  <c:v>EL</c:v>
                </c:pt>
                <c:pt idx="20">
                  <c:v>IE</c:v>
                </c:pt>
                <c:pt idx="21">
                  <c:v>BG</c:v>
                </c:pt>
                <c:pt idx="22">
                  <c:v>MT</c:v>
                </c:pt>
                <c:pt idx="23">
                  <c:v>RO</c:v>
                </c:pt>
                <c:pt idx="24">
                  <c:v>HR</c:v>
                </c:pt>
                <c:pt idx="25">
                  <c:v>EE</c:v>
                </c:pt>
                <c:pt idx="26">
                  <c:v>IT</c:v>
                </c:pt>
              </c:strCache>
              <c:extLst/>
            </c:strRef>
          </c:cat>
          <c:val>
            <c:numRef>
              <c:f>'INDUSTRY QUARTERLY'!$T$153:$T$180</c:f>
              <c:numCache>
                <c:formatCode>0</c:formatCode>
                <c:ptCount val="27"/>
                <c:pt idx="0">
                  <c:v>77.099999999999994</c:v>
                </c:pt>
                <c:pt idx="1">
                  <c:v>73.900000000000006</c:v>
                </c:pt>
                <c:pt idx="2">
                  <c:v>72.400000000000006</c:v>
                </c:pt>
                <c:pt idx="3">
                  <c:v>53.8</c:v>
                </c:pt>
                <c:pt idx="4">
                  <c:v>75.2</c:v>
                </c:pt>
                <c:pt idx="5">
                  <c:v>76.099999999999994</c:v>
                </c:pt>
                <c:pt idx="6">
                  <c:v>71.900000000000006</c:v>
                </c:pt>
                <c:pt idx="7">
                  <c:v>77.2</c:v>
                </c:pt>
                <c:pt idx="8">
                  <c:v>71</c:v>
                </c:pt>
                <c:pt idx="9">
                  <c:v>71.400000000000006</c:v>
                </c:pt>
                <c:pt idx="10">
                  <c:v>72.5</c:v>
                </c:pt>
                <c:pt idx="11">
                  <c:v>72.8</c:v>
                </c:pt>
                <c:pt idx="12">
                  <c:v>70.7</c:v>
                </c:pt>
                <c:pt idx="13">
                  <c:v>62.4</c:v>
                </c:pt>
                <c:pt idx="14">
                  <c:v>68.900000000000006</c:v>
                </c:pt>
                <c:pt idx="15">
                  <c:v>70</c:v>
                </c:pt>
                <c:pt idx="16">
                  <c:v>71.7</c:v>
                </c:pt>
                <c:pt idx="17">
                  <c:v>70.900000000000006</c:v>
                </c:pt>
                <c:pt idx="18">
                  <c:v>69.099999999999994</c:v>
                </c:pt>
                <c:pt idx="19">
                  <c:v>67.3</c:v>
                </c:pt>
                <c:pt idx="20">
                  <c:v>56.7</c:v>
                </c:pt>
                <c:pt idx="21">
                  <c:v>68.2</c:v>
                </c:pt>
                <c:pt idx="22">
                  <c:v>61.1</c:v>
                </c:pt>
                <c:pt idx="23">
                  <c:v>73.400000000000006</c:v>
                </c:pt>
                <c:pt idx="24">
                  <c:v>59.9</c:v>
                </c:pt>
                <c:pt idx="25">
                  <c:v>63.3</c:v>
                </c:pt>
              </c:numCache>
              <c:extLst/>
            </c:numRef>
          </c:val>
          <c:smooth val="0"/>
          <c:extLst>
            <c:ext xmlns:c16="http://schemas.microsoft.com/office/drawing/2014/chart" uri="{C3380CC4-5D6E-409C-BE32-E72D297353CC}">
              <c16:uniqueId val="{00000006-787F-4A97-B270-C5695E12EAB5}"/>
            </c:ext>
          </c:extLst>
        </c:ser>
        <c:dLbls>
          <c:showLegendKey val="0"/>
          <c:showVal val="0"/>
          <c:showCatName val="0"/>
          <c:showSerName val="0"/>
          <c:showPercent val="0"/>
          <c:showBubbleSize val="0"/>
        </c:dLbls>
        <c:marker val="1"/>
        <c:smooth val="0"/>
        <c:axId val="763975935"/>
        <c:axId val="763983423"/>
      </c:lineChart>
      <c:catAx>
        <c:axId val="763975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63983423"/>
        <c:crosses val="autoZero"/>
        <c:auto val="1"/>
        <c:lblAlgn val="ctr"/>
        <c:lblOffset val="100"/>
        <c:tickLblSkip val="1"/>
        <c:noMultiLvlLbl val="0"/>
      </c:catAx>
      <c:valAx>
        <c:axId val="763983423"/>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63975935"/>
        <c:crosses val="autoZero"/>
        <c:crossBetween val="between"/>
        <c:majorUnit val="5"/>
      </c:valAx>
      <c:spPr>
        <a:noFill/>
        <a:ln>
          <a:solidFill>
            <a:schemeClr val="tx1">
              <a:lumMod val="15000"/>
              <a:lumOff val="85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'Valstu skaits'!$E$10</c:f>
              <c:strCache>
                <c:ptCount val="1"/>
                <c:pt idx="0">
                  <c:v>2015</c:v>
                </c:pt>
              </c:strCache>
            </c:strRef>
          </c:tx>
          <c:spPr>
            <a:solidFill>
              <a:schemeClr val="accent1"/>
            </a:solidFill>
            <a:ln>
              <a:noFill/>
            </a:ln>
            <a:effectLst/>
          </c:spPr>
          <c:invertIfNegative val="0"/>
          <c:cat>
            <c:strRef>
              <c:f>'Valstu skaits'!$D$11:$D$24</c:f>
              <c:strCache>
                <c:ptCount val="14"/>
                <c:pt idx="0">
                  <c:v>Tekošā konta bilance </c:v>
                </c:pt>
                <c:pt idx="1">
                  <c:v>Neto starptautiskā inv. poz.</c:v>
                </c:pt>
                <c:pt idx="2">
                  <c:v>Reālais efektīvais  maiņas kurss</c:v>
                </c:pt>
                <c:pt idx="3">
                  <c:v>Eksporta tirgus daļa % no pasaules eksporta</c:v>
                </c:pt>
                <c:pt idx="4">
                  <c:v>Nominālo vienības darbaspēka izmaksu indekss</c:v>
                </c:pt>
                <c:pt idx="5">
                  <c:v>Mājokļu cenu indekss</c:v>
                </c:pt>
                <c:pt idx="6">
                  <c:v>Privātā sektora kredītplūsma</c:v>
                </c:pt>
                <c:pt idx="7">
                  <c:v>Privātā sektora konsolidētais parāds</c:v>
                </c:pt>
                <c:pt idx="8">
                  <c:v>Vispārējais valdības parāds</c:v>
                </c:pt>
                <c:pt idx="9">
                  <c:v>Bezdarba līmenis</c:v>
                </c:pt>
                <c:pt idx="10">
                  <c:v>Finanšu sektora saistības kopā</c:v>
                </c:pt>
                <c:pt idx="11">
                  <c:v>Ekonomiski aktīvo iedzīvotāju īpatsvars </c:v>
                </c:pt>
                <c:pt idx="12">
                  <c:v>Ilgtermiņa bezdarba līmenis </c:v>
                </c:pt>
                <c:pt idx="13">
                  <c:v>Jauniešu bezdarba līmenis</c:v>
                </c:pt>
              </c:strCache>
            </c:strRef>
          </c:cat>
          <c:val>
            <c:numRef>
              <c:f>'Valstu skaits'!$E$11:$E$24</c:f>
              <c:numCache>
                <c:formatCode>General</c:formatCode>
                <c:ptCount val="14"/>
                <c:pt idx="0">
                  <c:v>5</c:v>
                </c:pt>
                <c:pt idx="1">
                  <c:v>15</c:v>
                </c:pt>
                <c:pt idx="2">
                  <c:v>5</c:v>
                </c:pt>
                <c:pt idx="3">
                  <c:v>11</c:v>
                </c:pt>
                <c:pt idx="4">
                  <c:v>4</c:v>
                </c:pt>
                <c:pt idx="5">
                  <c:v>6</c:v>
                </c:pt>
                <c:pt idx="6">
                  <c:v>1</c:v>
                </c:pt>
                <c:pt idx="7">
                  <c:v>13</c:v>
                </c:pt>
                <c:pt idx="8">
                  <c:v>17</c:v>
                </c:pt>
                <c:pt idx="9">
                  <c:v>12</c:v>
                </c:pt>
                <c:pt idx="10">
                  <c:v>0</c:v>
                </c:pt>
                <c:pt idx="11">
                  <c:v>0</c:v>
                </c:pt>
                <c:pt idx="12">
                  <c:v>8</c:v>
                </c:pt>
                <c:pt idx="13">
                  <c:v>4</c:v>
                </c:pt>
              </c:numCache>
            </c:numRef>
          </c:val>
          <c:extLst>
            <c:ext xmlns:c16="http://schemas.microsoft.com/office/drawing/2014/chart" uri="{C3380CC4-5D6E-409C-BE32-E72D297353CC}">
              <c16:uniqueId val="{00000000-B367-4948-BF39-F6C11A127AF8}"/>
            </c:ext>
          </c:extLst>
        </c:ser>
        <c:ser>
          <c:idx val="1"/>
          <c:order val="1"/>
          <c:tx>
            <c:strRef>
              <c:f>'Valstu skaits'!$F$10</c:f>
              <c:strCache>
                <c:ptCount val="1"/>
                <c:pt idx="0">
                  <c:v>2016</c:v>
                </c:pt>
              </c:strCache>
            </c:strRef>
          </c:tx>
          <c:spPr>
            <a:solidFill>
              <a:schemeClr val="accent2"/>
            </a:solidFill>
            <a:ln>
              <a:noFill/>
            </a:ln>
            <a:effectLst/>
          </c:spPr>
          <c:invertIfNegative val="0"/>
          <c:cat>
            <c:strRef>
              <c:f>'Valstu skaits'!$D$11:$D$24</c:f>
              <c:strCache>
                <c:ptCount val="14"/>
                <c:pt idx="0">
                  <c:v>Tekošā konta bilance </c:v>
                </c:pt>
                <c:pt idx="1">
                  <c:v>Neto starptautiskā inv. poz.</c:v>
                </c:pt>
                <c:pt idx="2">
                  <c:v>Reālais efektīvais  maiņas kurss</c:v>
                </c:pt>
                <c:pt idx="3">
                  <c:v>Eksporta tirgus daļa % no pasaules eksporta</c:v>
                </c:pt>
                <c:pt idx="4">
                  <c:v>Nominālo vienības darbaspēka izmaksu indekss</c:v>
                </c:pt>
                <c:pt idx="5">
                  <c:v>Mājokļu cenu indekss</c:v>
                </c:pt>
                <c:pt idx="6">
                  <c:v>Privātā sektora kredītplūsma</c:v>
                </c:pt>
                <c:pt idx="7">
                  <c:v>Privātā sektora konsolidētais parāds</c:v>
                </c:pt>
                <c:pt idx="8">
                  <c:v>Vispārējais valdības parāds</c:v>
                </c:pt>
                <c:pt idx="9">
                  <c:v>Bezdarba līmenis</c:v>
                </c:pt>
                <c:pt idx="10">
                  <c:v>Finanšu sektora saistības kopā</c:v>
                </c:pt>
                <c:pt idx="11">
                  <c:v>Ekonomiski aktīvo iedzīvotāju īpatsvars </c:v>
                </c:pt>
                <c:pt idx="12">
                  <c:v>Ilgtermiņa bezdarba līmenis </c:v>
                </c:pt>
                <c:pt idx="13">
                  <c:v>Jauniešu bezdarba līmenis</c:v>
                </c:pt>
              </c:strCache>
            </c:strRef>
          </c:cat>
          <c:val>
            <c:numRef>
              <c:f>'Valstu skaits'!$F$11:$F$24</c:f>
              <c:numCache>
                <c:formatCode>General</c:formatCode>
                <c:ptCount val="14"/>
                <c:pt idx="0">
                  <c:v>5</c:v>
                </c:pt>
                <c:pt idx="1">
                  <c:v>15</c:v>
                </c:pt>
                <c:pt idx="2">
                  <c:v>3</c:v>
                </c:pt>
                <c:pt idx="3">
                  <c:v>3</c:v>
                </c:pt>
                <c:pt idx="4">
                  <c:v>3</c:v>
                </c:pt>
                <c:pt idx="5">
                  <c:v>10</c:v>
                </c:pt>
                <c:pt idx="6">
                  <c:v>0</c:v>
                </c:pt>
                <c:pt idx="7">
                  <c:v>12</c:v>
                </c:pt>
                <c:pt idx="8">
                  <c:v>16</c:v>
                </c:pt>
                <c:pt idx="9">
                  <c:v>9</c:v>
                </c:pt>
                <c:pt idx="10">
                  <c:v>1</c:v>
                </c:pt>
                <c:pt idx="11">
                  <c:v>1</c:v>
                </c:pt>
                <c:pt idx="12">
                  <c:v>2</c:v>
                </c:pt>
                <c:pt idx="13">
                  <c:v>1</c:v>
                </c:pt>
              </c:numCache>
            </c:numRef>
          </c:val>
          <c:extLst>
            <c:ext xmlns:c16="http://schemas.microsoft.com/office/drawing/2014/chart" uri="{C3380CC4-5D6E-409C-BE32-E72D297353CC}">
              <c16:uniqueId val="{00000001-B367-4948-BF39-F6C11A127AF8}"/>
            </c:ext>
          </c:extLst>
        </c:ser>
        <c:ser>
          <c:idx val="2"/>
          <c:order val="2"/>
          <c:tx>
            <c:strRef>
              <c:f>'Valstu skaits'!$G$10</c:f>
              <c:strCache>
                <c:ptCount val="1"/>
                <c:pt idx="0">
                  <c:v>2017</c:v>
                </c:pt>
              </c:strCache>
            </c:strRef>
          </c:tx>
          <c:spPr>
            <a:solidFill>
              <a:schemeClr val="accent3"/>
            </a:solidFill>
            <a:ln>
              <a:noFill/>
            </a:ln>
            <a:effectLst/>
          </c:spPr>
          <c:invertIfNegative val="0"/>
          <c:cat>
            <c:strRef>
              <c:f>'Valstu skaits'!$D$11:$D$24</c:f>
              <c:strCache>
                <c:ptCount val="14"/>
                <c:pt idx="0">
                  <c:v>Tekošā konta bilance </c:v>
                </c:pt>
                <c:pt idx="1">
                  <c:v>Neto starptautiskā inv. poz.</c:v>
                </c:pt>
                <c:pt idx="2">
                  <c:v>Reālais efektīvais  maiņas kurss</c:v>
                </c:pt>
                <c:pt idx="3">
                  <c:v>Eksporta tirgus daļa % no pasaules eksporta</c:v>
                </c:pt>
                <c:pt idx="4">
                  <c:v>Nominālo vienības darbaspēka izmaksu indekss</c:v>
                </c:pt>
                <c:pt idx="5">
                  <c:v>Mājokļu cenu indekss</c:v>
                </c:pt>
                <c:pt idx="6">
                  <c:v>Privātā sektora kredītplūsma</c:v>
                </c:pt>
                <c:pt idx="7">
                  <c:v>Privātā sektora konsolidētais parāds</c:v>
                </c:pt>
                <c:pt idx="8">
                  <c:v>Vispārējais valdības parāds</c:v>
                </c:pt>
                <c:pt idx="9">
                  <c:v>Bezdarba līmenis</c:v>
                </c:pt>
                <c:pt idx="10">
                  <c:v>Finanšu sektora saistības kopā</c:v>
                </c:pt>
                <c:pt idx="11">
                  <c:v>Ekonomiski aktīvo iedzīvotāju īpatsvars </c:v>
                </c:pt>
                <c:pt idx="12">
                  <c:v>Ilgtermiņa bezdarba līmenis </c:v>
                </c:pt>
                <c:pt idx="13">
                  <c:v>Jauniešu bezdarba līmenis</c:v>
                </c:pt>
              </c:strCache>
            </c:strRef>
          </c:cat>
          <c:val>
            <c:numRef>
              <c:f>'Valstu skaits'!$G$11:$G$24</c:f>
              <c:numCache>
                <c:formatCode>General</c:formatCode>
                <c:ptCount val="14"/>
                <c:pt idx="0">
                  <c:v>6</c:v>
                </c:pt>
                <c:pt idx="1">
                  <c:v>13</c:v>
                </c:pt>
                <c:pt idx="2">
                  <c:v>2</c:v>
                </c:pt>
                <c:pt idx="3">
                  <c:v>1</c:v>
                </c:pt>
                <c:pt idx="4">
                  <c:v>4</c:v>
                </c:pt>
                <c:pt idx="5">
                  <c:v>6</c:v>
                </c:pt>
                <c:pt idx="6">
                  <c:v>0</c:v>
                </c:pt>
                <c:pt idx="7">
                  <c:v>12</c:v>
                </c:pt>
                <c:pt idx="8">
                  <c:v>15</c:v>
                </c:pt>
                <c:pt idx="9">
                  <c:v>7</c:v>
                </c:pt>
                <c:pt idx="10">
                  <c:v>2</c:v>
                </c:pt>
                <c:pt idx="11">
                  <c:v>3</c:v>
                </c:pt>
                <c:pt idx="12">
                  <c:v>1</c:v>
                </c:pt>
                <c:pt idx="13">
                  <c:v>0</c:v>
                </c:pt>
              </c:numCache>
            </c:numRef>
          </c:val>
          <c:extLst>
            <c:ext xmlns:c16="http://schemas.microsoft.com/office/drawing/2014/chart" uri="{C3380CC4-5D6E-409C-BE32-E72D297353CC}">
              <c16:uniqueId val="{00000002-B367-4948-BF39-F6C11A127AF8}"/>
            </c:ext>
          </c:extLst>
        </c:ser>
        <c:ser>
          <c:idx val="3"/>
          <c:order val="3"/>
          <c:tx>
            <c:strRef>
              <c:f>'Valstu skaits'!$H$10</c:f>
              <c:strCache>
                <c:ptCount val="1"/>
                <c:pt idx="0">
                  <c:v>2018</c:v>
                </c:pt>
              </c:strCache>
            </c:strRef>
          </c:tx>
          <c:spPr>
            <a:solidFill>
              <a:schemeClr val="accent4"/>
            </a:solidFill>
            <a:ln>
              <a:noFill/>
            </a:ln>
            <a:effectLst/>
          </c:spPr>
          <c:invertIfNegative val="0"/>
          <c:cat>
            <c:strRef>
              <c:f>'Valstu skaits'!$D$11:$D$24</c:f>
              <c:strCache>
                <c:ptCount val="14"/>
                <c:pt idx="0">
                  <c:v>Tekošā konta bilance </c:v>
                </c:pt>
                <c:pt idx="1">
                  <c:v>Neto starptautiskā inv. poz.</c:v>
                </c:pt>
                <c:pt idx="2">
                  <c:v>Reālais efektīvais  maiņas kurss</c:v>
                </c:pt>
                <c:pt idx="3">
                  <c:v>Eksporta tirgus daļa % no pasaules eksporta</c:v>
                </c:pt>
                <c:pt idx="4">
                  <c:v>Nominālo vienības darbaspēka izmaksu indekss</c:v>
                </c:pt>
                <c:pt idx="5">
                  <c:v>Mājokļu cenu indekss</c:v>
                </c:pt>
                <c:pt idx="6">
                  <c:v>Privātā sektora kredītplūsma</c:v>
                </c:pt>
                <c:pt idx="7">
                  <c:v>Privātā sektora konsolidētais parāds</c:v>
                </c:pt>
                <c:pt idx="8">
                  <c:v>Vispārējais valdības parāds</c:v>
                </c:pt>
                <c:pt idx="9">
                  <c:v>Bezdarba līmenis</c:v>
                </c:pt>
                <c:pt idx="10">
                  <c:v>Finanšu sektora saistības kopā</c:v>
                </c:pt>
                <c:pt idx="11">
                  <c:v>Ekonomiski aktīvo iedzīvotāju īpatsvars </c:v>
                </c:pt>
                <c:pt idx="12">
                  <c:v>Ilgtermiņa bezdarba līmenis </c:v>
                </c:pt>
                <c:pt idx="13">
                  <c:v>Jauniešu bezdarba līmenis</c:v>
                </c:pt>
              </c:strCache>
            </c:strRef>
          </c:cat>
          <c:val>
            <c:numRef>
              <c:f>'Valstu skaits'!$H$11:$H$24</c:f>
              <c:numCache>
                <c:formatCode>General</c:formatCode>
                <c:ptCount val="14"/>
                <c:pt idx="0">
                  <c:v>6</c:v>
                </c:pt>
                <c:pt idx="1">
                  <c:v>12</c:v>
                </c:pt>
                <c:pt idx="2">
                  <c:v>6</c:v>
                </c:pt>
                <c:pt idx="3">
                  <c:v>1</c:v>
                </c:pt>
                <c:pt idx="4">
                  <c:v>8</c:v>
                </c:pt>
                <c:pt idx="5">
                  <c:v>7</c:v>
                </c:pt>
                <c:pt idx="6">
                  <c:v>0</c:v>
                </c:pt>
                <c:pt idx="7">
                  <c:v>12</c:v>
                </c:pt>
                <c:pt idx="8">
                  <c:v>14</c:v>
                </c:pt>
                <c:pt idx="9">
                  <c:v>5</c:v>
                </c:pt>
                <c:pt idx="10">
                  <c:v>1</c:v>
                </c:pt>
                <c:pt idx="11">
                  <c:v>2</c:v>
                </c:pt>
                <c:pt idx="12">
                  <c:v>0</c:v>
                </c:pt>
                <c:pt idx="13">
                  <c:v>0</c:v>
                </c:pt>
              </c:numCache>
            </c:numRef>
          </c:val>
          <c:extLst>
            <c:ext xmlns:c16="http://schemas.microsoft.com/office/drawing/2014/chart" uri="{C3380CC4-5D6E-409C-BE32-E72D297353CC}">
              <c16:uniqueId val="{00000003-B367-4948-BF39-F6C11A127AF8}"/>
            </c:ext>
          </c:extLst>
        </c:ser>
        <c:dLbls>
          <c:showLegendKey val="0"/>
          <c:showVal val="0"/>
          <c:showCatName val="0"/>
          <c:showSerName val="0"/>
          <c:showPercent val="0"/>
          <c:showBubbleSize val="0"/>
        </c:dLbls>
        <c:gapWidth val="50"/>
        <c:axId val="1170424128"/>
        <c:axId val="1170426208"/>
      </c:barChart>
      <c:catAx>
        <c:axId val="1170424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70426208"/>
        <c:crosses val="autoZero"/>
        <c:auto val="1"/>
        <c:lblAlgn val="ctr"/>
        <c:lblOffset val="100"/>
        <c:noMultiLvlLbl val="0"/>
      </c:catAx>
      <c:valAx>
        <c:axId val="117042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70424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19730448863101E-2"/>
          <c:y val="2.74641800997883E-2"/>
          <c:w val="0.91830222222222224"/>
          <c:h val="0.66373553962331611"/>
        </c:manualLayout>
      </c:layout>
      <c:lineChart>
        <c:grouping val="standard"/>
        <c:varyColors val="0"/>
        <c:ser>
          <c:idx val="7"/>
          <c:order val="0"/>
          <c:tx>
            <c:strRef>
              <c:f>LV!$A$13</c:f>
              <c:strCache>
                <c:ptCount val="1"/>
                <c:pt idx="0">
                  <c:v>2021.g. budžeta prognozes</c:v>
                </c:pt>
              </c:strCache>
            </c:strRef>
          </c:tx>
          <c:spPr>
            <a:ln w="28575" cap="rnd">
              <a:solidFill>
                <a:schemeClr val="accent2">
                  <a:lumMod val="60000"/>
                </a:schemeClr>
              </a:solidFill>
              <a:round/>
            </a:ln>
            <a:effectLst/>
          </c:spPr>
          <c:marker>
            <c:symbol val="none"/>
          </c:marker>
          <c:cat>
            <c:numRef>
              <c:f>LV!$B$12:$R$12</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LV!$B$13:$R$13</c:f>
              <c:numCache>
                <c:formatCode>General</c:formatCode>
                <c:ptCount val="17"/>
                <c:pt idx="12" formatCode="0.0">
                  <c:v>106.2457695835968</c:v>
                </c:pt>
                <c:pt idx="13" formatCode="0.0">
                  <c:v>98.808565712744809</c:v>
                </c:pt>
                <c:pt idx="14" formatCode="0.0">
                  <c:v>103.84886103154413</c:v>
                </c:pt>
                <c:pt idx="15" formatCode="0.0">
                  <c:v>107.11974573405909</c:v>
                </c:pt>
                <c:pt idx="16" formatCode="0.0">
                  <c:v>110.46691435543184</c:v>
                </c:pt>
              </c:numCache>
            </c:numRef>
          </c:val>
          <c:smooth val="0"/>
          <c:extLst>
            <c:ext xmlns:c16="http://schemas.microsoft.com/office/drawing/2014/chart" uri="{C3380CC4-5D6E-409C-BE32-E72D297353CC}">
              <c16:uniqueId val="{00000000-A384-4C49-AF2C-C9444D535ED1}"/>
            </c:ext>
          </c:extLst>
        </c:ser>
        <c:ser>
          <c:idx val="0"/>
          <c:order val="1"/>
          <c:tx>
            <c:strRef>
              <c:f>LV!$A$14</c:f>
              <c:strCache>
                <c:ptCount val="1"/>
                <c:pt idx="0">
                  <c:v>2020.g. budžeta prognozes</c:v>
                </c:pt>
              </c:strCache>
            </c:strRef>
          </c:tx>
          <c:spPr>
            <a:ln w="28575" cap="rnd">
              <a:solidFill>
                <a:srgbClr val="FFC000"/>
              </a:solidFill>
              <a:round/>
            </a:ln>
            <a:effectLst/>
          </c:spPr>
          <c:marker>
            <c:symbol val="none"/>
          </c:marker>
          <c:dPt>
            <c:idx val="2"/>
            <c:marker>
              <c:symbol val="none"/>
            </c:marker>
            <c:bubble3D val="0"/>
            <c:spPr>
              <a:ln w="28575" cap="rnd">
                <a:solidFill>
                  <a:srgbClr val="FFC000"/>
                </a:solidFill>
                <a:round/>
              </a:ln>
              <a:effectLst/>
            </c:spPr>
            <c:extLst>
              <c:ext xmlns:c16="http://schemas.microsoft.com/office/drawing/2014/chart" uri="{C3380CC4-5D6E-409C-BE32-E72D297353CC}">
                <c16:uniqueId val="{00000002-A384-4C49-AF2C-C9444D535ED1}"/>
              </c:ext>
            </c:extLst>
          </c:dPt>
          <c:cat>
            <c:numRef>
              <c:f>LV!$B$12:$R$12</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LV!$B$14:$R$14</c:f>
              <c:numCache>
                <c:formatCode>General</c:formatCode>
                <c:ptCount val="17"/>
                <c:pt idx="11" formatCode="0.0">
                  <c:v>103.96128097259835</c:v>
                </c:pt>
                <c:pt idx="12" formatCode="0.0">
                  <c:v>107.25183844424977</c:v>
                </c:pt>
                <c:pt idx="13" formatCode="0.0">
                  <c:v>110.25697461625705</c:v>
                </c:pt>
                <c:pt idx="14" formatCode="0.0">
                  <c:v>113.34011524725133</c:v>
                </c:pt>
                <c:pt idx="15" formatCode="0.0">
                  <c:v>116.50779807941144</c:v>
                </c:pt>
              </c:numCache>
            </c:numRef>
          </c:val>
          <c:smooth val="0"/>
          <c:extLst>
            <c:ext xmlns:c16="http://schemas.microsoft.com/office/drawing/2014/chart" uri="{C3380CC4-5D6E-409C-BE32-E72D297353CC}">
              <c16:uniqueId val="{00000003-A384-4C49-AF2C-C9444D535ED1}"/>
            </c:ext>
          </c:extLst>
        </c:ser>
        <c:ser>
          <c:idx val="1"/>
          <c:order val="2"/>
          <c:tx>
            <c:strRef>
              <c:f>LV!$A$15</c:f>
              <c:strCache>
                <c:ptCount val="1"/>
                <c:pt idx="0">
                  <c:v>2019.g. budžeta prognozes</c:v>
                </c:pt>
              </c:strCache>
            </c:strRef>
          </c:tx>
          <c:spPr>
            <a:ln w="28575" cap="rnd">
              <a:solidFill>
                <a:srgbClr val="FF0000"/>
              </a:solidFill>
              <a:round/>
            </a:ln>
            <a:effectLst/>
          </c:spPr>
          <c:marker>
            <c:symbol val="none"/>
          </c:marker>
          <c:cat>
            <c:numRef>
              <c:f>LV!$B$12:$R$12</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LV!$B$15:$R$15</c:f>
              <c:numCache>
                <c:formatCode>General</c:formatCode>
                <c:ptCount val="17"/>
                <c:pt idx="10" formatCode="0.0">
                  <c:v>99.689749500618618</c:v>
                </c:pt>
                <c:pt idx="11" formatCode="0.0">
                  <c:v>103.87671897964458</c:v>
                </c:pt>
                <c:pt idx="12" formatCode="0.0">
                  <c:v>106.99302054903391</c:v>
                </c:pt>
                <c:pt idx="13" formatCode="0.0">
                  <c:v>110.20281127249791</c:v>
                </c:pt>
                <c:pt idx="14" formatCode="0.0">
                  <c:v>113.39869290960316</c:v>
                </c:pt>
              </c:numCache>
            </c:numRef>
          </c:val>
          <c:smooth val="0"/>
          <c:extLst>
            <c:ext xmlns:c16="http://schemas.microsoft.com/office/drawing/2014/chart" uri="{C3380CC4-5D6E-409C-BE32-E72D297353CC}">
              <c16:uniqueId val="{00000004-A384-4C49-AF2C-C9444D535ED1}"/>
            </c:ext>
          </c:extLst>
        </c:ser>
        <c:ser>
          <c:idx val="2"/>
          <c:order val="3"/>
          <c:tx>
            <c:strRef>
              <c:f>LV!$A$16</c:f>
              <c:strCache>
                <c:ptCount val="1"/>
                <c:pt idx="0">
                  <c:v>2018.g. budžeta prognozes</c:v>
                </c:pt>
              </c:strCache>
            </c:strRef>
          </c:tx>
          <c:spPr>
            <a:ln w="28575" cap="rnd">
              <a:solidFill>
                <a:schemeClr val="accent3"/>
              </a:solidFill>
              <a:round/>
            </a:ln>
            <a:effectLst/>
          </c:spPr>
          <c:marker>
            <c:symbol val="none"/>
          </c:marker>
          <c:dPt>
            <c:idx val="2"/>
            <c:marker>
              <c:symbol val="none"/>
            </c:marker>
            <c:bubble3D val="0"/>
            <c:spPr>
              <a:ln w="28575" cap="rnd">
                <a:noFill/>
                <a:round/>
              </a:ln>
              <a:effectLst/>
            </c:spPr>
            <c:extLst>
              <c:ext xmlns:c16="http://schemas.microsoft.com/office/drawing/2014/chart" uri="{C3380CC4-5D6E-409C-BE32-E72D297353CC}">
                <c16:uniqueId val="{00000006-A384-4C49-AF2C-C9444D535ED1}"/>
              </c:ext>
            </c:extLst>
          </c:dPt>
          <c:dPt>
            <c:idx val="3"/>
            <c:marker>
              <c:symbol val="none"/>
            </c:marker>
            <c:bubble3D val="0"/>
            <c:spPr>
              <a:ln w="28575" cap="rnd">
                <a:noFill/>
                <a:round/>
              </a:ln>
              <a:effectLst/>
            </c:spPr>
            <c:extLst>
              <c:ext xmlns:c16="http://schemas.microsoft.com/office/drawing/2014/chart" uri="{C3380CC4-5D6E-409C-BE32-E72D297353CC}">
                <c16:uniqueId val="{00000008-A384-4C49-AF2C-C9444D535ED1}"/>
              </c:ext>
            </c:extLst>
          </c:dPt>
          <c:dPt>
            <c:idx val="4"/>
            <c:marker>
              <c:symbol val="none"/>
            </c:marker>
            <c:bubble3D val="0"/>
            <c:spPr>
              <a:ln w="28575" cap="rnd">
                <a:noFill/>
                <a:round/>
              </a:ln>
              <a:effectLst/>
            </c:spPr>
            <c:extLst>
              <c:ext xmlns:c16="http://schemas.microsoft.com/office/drawing/2014/chart" uri="{C3380CC4-5D6E-409C-BE32-E72D297353CC}">
                <c16:uniqueId val="{0000000A-A384-4C49-AF2C-C9444D535ED1}"/>
              </c:ext>
            </c:extLst>
          </c:dPt>
          <c:dPt>
            <c:idx val="5"/>
            <c:marker>
              <c:symbol val="none"/>
            </c:marker>
            <c:bubble3D val="0"/>
            <c:spPr>
              <a:ln w="28575" cap="rnd">
                <a:noFill/>
                <a:round/>
              </a:ln>
              <a:effectLst/>
            </c:spPr>
            <c:extLst>
              <c:ext xmlns:c16="http://schemas.microsoft.com/office/drawing/2014/chart" uri="{C3380CC4-5D6E-409C-BE32-E72D297353CC}">
                <c16:uniqueId val="{0000000C-A384-4C49-AF2C-C9444D535ED1}"/>
              </c:ext>
            </c:extLst>
          </c:dPt>
          <c:dPt>
            <c:idx val="6"/>
            <c:marker>
              <c:symbol val="none"/>
            </c:marker>
            <c:bubble3D val="0"/>
            <c:spPr>
              <a:ln w="28575" cap="rnd">
                <a:noFill/>
                <a:round/>
              </a:ln>
              <a:effectLst/>
            </c:spPr>
            <c:extLst>
              <c:ext xmlns:c16="http://schemas.microsoft.com/office/drawing/2014/chart" uri="{C3380CC4-5D6E-409C-BE32-E72D297353CC}">
                <c16:uniqueId val="{0000000E-A384-4C49-AF2C-C9444D535ED1}"/>
              </c:ext>
            </c:extLst>
          </c:dPt>
          <c:dPt>
            <c:idx val="7"/>
            <c:marker>
              <c:symbol val="none"/>
            </c:marker>
            <c:bubble3D val="0"/>
            <c:spPr>
              <a:ln w="28575" cap="rnd">
                <a:noFill/>
                <a:round/>
              </a:ln>
              <a:effectLst/>
            </c:spPr>
            <c:extLst>
              <c:ext xmlns:c16="http://schemas.microsoft.com/office/drawing/2014/chart" uri="{C3380CC4-5D6E-409C-BE32-E72D297353CC}">
                <c16:uniqueId val="{00000010-A384-4C49-AF2C-C9444D535ED1}"/>
              </c:ext>
            </c:extLst>
          </c:dPt>
          <c:dPt>
            <c:idx val="8"/>
            <c:marker>
              <c:symbol val="none"/>
            </c:marker>
            <c:bubble3D val="0"/>
            <c:spPr>
              <a:ln w="28575" cap="rnd">
                <a:noFill/>
                <a:round/>
              </a:ln>
              <a:effectLst/>
            </c:spPr>
            <c:extLst>
              <c:ext xmlns:c16="http://schemas.microsoft.com/office/drawing/2014/chart" uri="{C3380CC4-5D6E-409C-BE32-E72D297353CC}">
                <c16:uniqueId val="{00000012-A384-4C49-AF2C-C9444D535ED1}"/>
              </c:ext>
            </c:extLst>
          </c:dPt>
          <c:cat>
            <c:numRef>
              <c:f>LV!$B$12:$R$12</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LV!$B$16:$R$16</c:f>
              <c:numCache>
                <c:formatCode>General</c:formatCode>
                <c:ptCount val="17"/>
                <c:pt idx="9" formatCode="0.0">
                  <c:v>96.051960390126766</c:v>
                </c:pt>
                <c:pt idx="10" formatCode="0.0">
                  <c:v>99.600183263030814</c:v>
                </c:pt>
                <c:pt idx="11" formatCode="0.0">
                  <c:v>103.00635704960501</c:v>
                </c:pt>
                <c:pt idx="12" formatCode="0.0">
                  <c:v>106.31512462154022</c:v>
                </c:pt>
                <c:pt idx="13" formatCode="0.0">
                  <c:v>109.72011568940948</c:v>
                </c:pt>
              </c:numCache>
            </c:numRef>
          </c:val>
          <c:smooth val="0"/>
          <c:extLst>
            <c:ext xmlns:c16="http://schemas.microsoft.com/office/drawing/2014/chart" uri="{C3380CC4-5D6E-409C-BE32-E72D297353CC}">
              <c16:uniqueId val="{00000013-A384-4C49-AF2C-C9444D535ED1}"/>
            </c:ext>
          </c:extLst>
        </c:ser>
        <c:ser>
          <c:idx val="3"/>
          <c:order val="4"/>
          <c:tx>
            <c:strRef>
              <c:f>LV!$A$17</c:f>
              <c:strCache>
                <c:ptCount val="1"/>
                <c:pt idx="0">
                  <c:v>2017.g. budžeta prognozes</c:v>
                </c:pt>
              </c:strCache>
            </c:strRef>
          </c:tx>
          <c:spPr>
            <a:ln w="22225" cap="rnd">
              <a:solidFill>
                <a:schemeClr val="accent4">
                  <a:lumMod val="75000"/>
                </a:schemeClr>
              </a:solidFill>
              <a:round/>
            </a:ln>
            <a:effectLst/>
          </c:spPr>
          <c:marker>
            <c:symbol val="none"/>
          </c:marker>
          <c:dPt>
            <c:idx val="2"/>
            <c:marker>
              <c:symbol val="none"/>
            </c:marker>
            <c:bubble3D val="0"/>
            <c:spPr>
              <a:ln w="22225" cap="rnd">
                <a:solidFill>
                  <a:schemeClr val="accent4">
                    <a:lumMod val="75000"/>
                  </a:schemeClr>
                </a:solidFill>
                <a:round/>
              </a:ln>
              <a:effectLst/>
            </c:spPr>
            <c:extLst>
              <c:ext xmlns:c16="http://schemas.microsoft.com/office/drawing/2014/chart" uri="{C3380CC4-5D6E-409C-BE32-E72D297353CC}">
                <c16:uniqueId val="{00000015-A384-4C49-AF2C-C9444D535ED1}"/>
              </c:ext>
            </c:extLst>
          </c:dPt>
          <c:dPt>
            <c:idx val="3"/>
            <c:marker>
              <c:symbol val="none"/>
            </c:marker>
            <c:bubble3D val="0"/>
            <c:spPr>
              <a:ln w="22225" cap="rnd">
                <a:solidFill>
                  <a:schemeClr val="accent4">
                    <a:lumMod val="75000"/>
                  </a:schemeClr>
                </a:solidFill>
                <a:round/>
              </a:ln>
              <a:effectLst/>
            </c:spPr>
            <c:extLst>
              <c:ext xmlns:c16="http://schemas.microsoft.com/office/drawing/2014/chart" uri="{C3380CC4-5D6E-409C-BE32-E72D297353CC}">
                <c16:uniqueId val="{00000017-A384-4C49-AF2C-C9444D535ED1}"/>
              </c:ext>
            </c:extLst>
          </c:dPt>
          <c:dPt>
            <c:idx val="4"/>
            <c:marker>
              <c:symbol val="none"/>
            </c:marker>
            <c:bubble3D val="0"/>
            <c:spPr>
              <a:ln w="22225" cap="rnd">
                <a:solidFill>
                  <a:schemeClr val="accent4">
                    <a:lumMod val="75000"/>
                  </a:schemeClr>
                </a:solidFill>
                <a:round/>
              </a:ln>
              <a:effectLst/>
            </c:spPr>
            <c:extLst>
              <c:ext xmlns:c16="http://schemas.microsoft.com/office/drawing/2014/chart" uri="{C3380CC4-5D6E-409C-BE32-E72D297353CC}">
                <c16:uniqueId val="{00000019-A384-4C49-AF2C-C9444D535ED1}"/>
              </c:ext>
            </c:extLst>
          </c:dPt>
          <c:dPt>
            <c:idx val="5"/>
            <c:marker>
              <c:symbol val="none"/>
            </c:marker>
            <c:bubble3D val="0"/>
            <c:spPr>
              <a:ln w="22225" cap="rnd">
                <a:solidFill>
                  <a:schemeClr val="accent4">
                    <a:lumMod val="75000"/>
                  </a:schemeClr>
                </a:solidFill>
                <a:round/>
              </a:ln>
              <a:effectLst/>
            </c:spPr>
            <c:extLst>
              <c:ext xmlns:c16="http://schemas.microsoft.com/office/drawing/2014/chart" uri="{C3380CC4-5D6E-409C-BE32-E72D297353CC}">
                <c16:uniqueId val="{0000001B-A384-4C49-AF2C-C9444D535ED1}"/>
              </c:ext>
            </c:extLst>
          </c:dPt>
          <c:dPt>
            <c:idx val="6"/>
            <c:marker>
              <c:symbol val="none"/>
            </c:marker>
            <c:bubble3D val="0"/>
            <c:spPr>
              <a:ln w="22225" cap="rnd">
                <a:solidFill>
                  <a:schemeClr val="accent4">
                    <a:lumMod val="75000"/>
                  </a:schemeClr>
                </a:solidFill>
                <a:round/>
              </a:ln>
              <a:effectLst/>
            </c:spPr>
            <c:extLst>
              <c:ext xmlns:c16="http://schemas.microsoft.com/office/drawing/2014/chart" uri="{C3380CC4-5D6E-409C-BE32-E72D297353CC}">
                <c16:uniqueId val="{0000001D-A384-4C49-AF2C-C9444D535ED1}"/>
              </c:ext>
            </c:extLst>
          </c:dPt>
          <c:dPt>
            <c:idx val="7"/>
            <c:marker>
              <c:symbol val="none"/>
            </c:marker>
            <c:bubble3D val="0"/>
            <c:spPr>
              <a:ln w="22225" cap="rnd">
                <a:solidFill>
                  <a:schemeClr val="accent4">
                    <a:lumMod val="75000"/>
                  </a:schemeClr>
                </a:solidFill>
                <a:round/>
              </a:ln>
              <a:effectLst/>
            </c:spPr>
            <c:extLst>
              <c:ext xmlns:c16="http://schemas.microsoft.com/office/drawing/2014/chart" uri="{C3380CC4-5D6E-409C-BE32-E72D297353CC}">
                <c16:uniqueId val="{0000001F-A384-4C49-AF2C-C9444D535ED1}"/>
              </c:ext>
            </c:extLst>
          </c:dPt>
          <c:cat>
            <c:numRef>
              <c:f>LV!$B$12:$R$12</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LV!$B$17:$R$17</c:f>
              <c:numCache>
                <c:formatCode>General</c:formatCode>
                <c:ptCount val="17"/>
                <c:pt idx="8" formatCode="0.0">
                  <c:v>94.377876576898672</c:v>
                </c:pt>
                <c:pt idx="9" formatCode="0.0">
                  <c:v>97.172952340203409</c:v>
                </c:pt>
                <c:pt idx="10" formatCode="0.0">
                  <c:v>100.68091519484726</c:v>
                </c:pt>
                <c:pt idx="11" formatCode="0.0">
                  <c:v>104.28568441752181</c:v>
                </c:pt>
              </c:numCache>
            </c:numRef>
          </c:val>
          <c:smooth val="0"/>
          <c:extLst>
            <c:ext xmlns:c16="http://schemas.microsoft.com/office/drawing/2014/chart" uri="{C3380CC4-5D6E-409C-BE32-E72D297353CC}">
              <c16:uniqueId val="{00000020-A384-4C49-AF2C-C9444D535ED1}"/>
            </c:ext>
          </c:extLst>
        </c:ser>
        <c:ser>
          <c:idx val="4"/>
          <c:order val="5"/>
          <c:tx>
            <c:strRef>
              <c:f>LV!$A$18</c:f>
              <c:strCache>
                <c:ptCount val="1"/>
                <c:pt idx="0">
                  <c:v>2016.g. budžeta prognozes</c:v>
                </c:pt>
              </c:strCache>
            </c:strRef>
          </c:tx>
          <c:spPr>
            <a:ln w="22225" cap="rnd">
              <a:solidFill>
                <a:srgbClr val="0070C0"/>
              </a:solidFill>
              <a:round/>
            </a:ln>
            <a:effectLst/>
          </c:spPr>
          <c:marker>
            <c:symbol val="none"/>
          </c:marker>
          <c:dPt>
            <c:idx val="2"/>
            <c:marker>
              <c:symbol val="none"/>
            </c:marker>
            <c:bubble3D val="0"/>
            <c:spPr>
              <a:ln w="22225" cap="rnd">
                <a:solidFill>
                  <a:srgbClr val="0070C0"/>
                </a:solidFill>
                <a:round/>
              </a:ln>
              <a:effectLst/>
            </c:spPr>
            <c:extLst>
              <c:ext xmlns:c16="http://schemas.microsoft.com/office/drawing/2014/chart" uri="{C3380CC4-5D6E-409C-BE32-E72D297353CC}">
                <c16:uniqueId val="{00000022-A384-4C49-AF2C-C9444D535ED1}"/>
              </c:ext>
            </c:extLst>
          </c:dPt>
          <c:dPt>
            <c:idx val="3"/>
            <c:marker>
              <c:symbol val="none"/>
            </c:marker>
            <c:bubble3D val="0"/>
            <c:spPr>
              <a:ln w="22225" cap="rnd">
                <a:solidFill>
                  <a:srgbClr val="0070C0"/>
                </a:solidFill>
                <a:round/>
              </a:ln>
              <a:effectLst/>
            </c:spPr>
            <c:extLst>
              <c:ext xmlns:c16="http://schemas.microsoft.com/office/drawing/2014/chart" uri="{C3380CC4-5D6E-409C-BE32-E72D297353CC}">
                <c16:uniqueId val="{00000024-A384-4C49-AF2C-C9444D535ED1}"/>
              </c:ext>
            </c:extLst>
          </c:dPt>
          <c:dPt>
            <c:idx val="4"/>
            <c:marker>
              <c:symbol val="none"/>
            </c:marker>
            <c:bubble3D val="0"/>
            <c:spPr>
              <a:ln w="22225" cap="rnd">
                <a:solidFill>
                  <a:srgbClr val="0070C0"/>
                </a:solidFill>
                <a:round/>
              </a:ln>
              <a:effectLst/>
            </c:spPr>
            <c:extLst>
              <c:ext xmlns:c16="http://schemas.microsoft.com/office/drawing/2014/chart" uri="{C3380CC4-5D6E-409C-BE32-E72D297353CC}">
                <c16:uniqueId val="{00000026-A384-4C49-AF2C-C9444D535ED1}"/>
              </c:ext>
            </c:extLst>
          </c:dPt>
          <c:dPt>
            <c:idx val="5"/>
            <c:marker>
              <c:symbol val="none"/>
            </c:marker>
            <c:bubble3D val="0"/>
            <c:spPr>
              <a:ln w="22225" cap="rnd">
                <a:solidFill>
                  <a:srgbClr val="0070C0"/>
                </a:solidFill>
                <a:round/>
              </a:ln>
              <a:effectLst/>
            </c:spPr>
            <c:extLst>
              <c:ext xmlns:c16="http://schemas.microsoft.com/office/drawing/2014/chart" uri="{C3380CC4-5D6E-409C-BE32-E72D297353CC}">
                <c16:uniqueId val="{00000028-A384-4C49-AF2C-C9444D535ED1}"/>
              </c:ext>
            </c:extLst>
          </c:dPt>
          <c:dPt>
            <c:idx val="6"/>
            <c:marker>
              <c:symbol val="none"/>
            </c:marker>
            <c:bubble3D val="0"/>
            <c:spPr>
              <a:ln w="22225" cap="rnd">
                <a:solidFill>
                  <a:srgbClr val="0070C0"/>
                </a:solidFill>
                <a:round/>
              </a:ln>
              <a:effectLst/>
            </c:spPr>
            <c:extLst>
              <c:ext xmlns:c16="http://schemas.microsoft.com/office/drawing/2014/chart" uri="{C3380CC4-5D6E-409C-BE32-E72D297353CC}">
                <c16:uniqueId val="{0000002A-A384-4C49-AF2C-C9444D535ED1}"/>
              </c:ext>
            </c:extLst>
          </c:dPt>
          <c:cat>
            <c:numRef>
              <c:f>LV!$B$12:$R$12</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LV!$B$18:$R$18</c:f>
              <c:numCache>
                <c:formatCode>General</c:formatCode>
                <c:ptCount val="17"/>
                <c:pt idx="7" formatCode="0.0">
                  <c:v>91.397828107406241</c:v>
                </c:pt>
                <c:pt idx="8" formatCode="0.0">
                  <c:v>93.912747452803572</c:v>
                </c:pt>
                <c:pt idx="9" formatCode="0.0">
                  <c:v>96.990487122321525</c:v>
                </c:pt>
                <c:pt idx="10" formatCode="0.0">
                  <c:v>100.46139839482025</c:v>
                </c:pt>
              </c:numCache>
            </c:numRef>
          </c:val>
          <c:smooth val="0"/>
          <c:extLst>
            <c:ext xmlns:c16="http://schemas.microsoft.com/office/drawing/2014/chart" uri="{C3380CC4-5D6E-409C-BE32-E72D297353CC}">
              <c16:uniqueId val="{0000002B-A384-4C49-AF2C-C9444D535ED1}"/>
            </c:ext>
          </c:extLst>
        </c:ser>
        <c:ser>
          <c:idx val="5"/>
          <c:order val="6"/>
          <c:tx>
            <c:strRef>
              <c:f>LV!$A$19</c:f>
              <c:strCache>
                <c:ptCount val="1"/>
                <c:pt idx="0">
                  <c:v>2015.g. budžeta prognozes</c:v>
                </c:pt>
              </c:strCache>
            </c:strRef>
          </c:tx>
          <c:spPr>
            <a:ln w="28575" cap="rnd">
              <a:solidFill>
                <a:schemeClr val="accent6"/>
              </a:solidFill>
              <a:round/>
            </a:ln>
            <a:effectLst/>
          </c:spPr>
          <c:marker>
            <c:symbol val="none"/>
          </c:marker>
          <c:dPt>
            <c:idx val="2"/>
            <c:marker>
              <c:symbol val="none"/>
            </c:marker>
            <c:bubble3D val="0"/>
            <c:spPr>
              <a:ln w="28575" cap="rnd">
                <a:solidFill>
                  <a:schemeClr val="accent6"/>
                </a:solidFill>
                <a:round/>
              </a:ln>
              <a:effectLst/>
            </c:spPr>
            <c:extLst>
              <c:ext xmlns:c16="http://schemas.microsoft.com/office/drawing/2014/chart" uri="{C3380CC4-5D6E-409C-BE32-E72D297353CC}">
                <c16:uniqueId val="{0000002D-A384-4C49-AF2C-C9444D535ED1}"/>
              </c:ext>
            </c:extLst>
          </c:dPt>
          <c:dPt>
            <c:idx val="3"/>
            <c:marker>
              <c:symbol val="none"/>
            </c:marker>
            <c:bubble3D val="0"/>
            <c:spPr>
              <a:ln w="28575" cap="rnd">
                <a:solidFill>
                  <a:schemeClr val="accent6"/>
                </a:solidFill>
                <a:round/>
              </a:ln>
              <a:effectLst/>
            </c:spPr>
            <c:extLst>
              <c:ext xmlns:c16="http://schemas.microsoft.com/office/drawing/2014/chart" uri="{C3380CC4-5D6E-409C-BE32-E72D297353CC}">
                <c16:uniqueId val="{0000002F-A384-4C49-AF2C-C9444D535ED1}"/>
              </c:ext>
            </c:extLst>
          </c:dPt>
          <c:dPt>
            <c:idx val="4"/>
            <c:marker>
              <c:symbol val="none"/>
            </c:marker>
            <c:bubble3D val="0"/>
            <c:spPr>
              <a:ln w="28575" cap="rnd">
                <a:solidFill>
                  <a:schemeClr val="accent6"/>
                </a:solidFill>
                <a:round/>
              </a:ln>
              <a:effectLst/>
            </c:spPr>
            <c:extLst>
              <c:ext xmlns:c16="http://schemas.microsoft.com/office/drawing/2014/chart" uri="{C3380CC4-5D6E-409C-BE32-E72D297353CC}">
                <c16:uniqueId val="{00000031-A384-4C49-AF2C-C9444D535ED1}"/>
              </c:ext>
            </c:extLst>
          </c:dPt>
          <c:dPt>
            <c:idx val="5"/>
            <c:marker>
              <c:symbol val="none"/>
            </c:marker>
            <c:bubble3D val="0"/>
            <c:spPr>
              <a:ln w="28575" cap="rnd">
                <a:solidFill>
                  <a:schemeClr val="accent6"/>
                </a:solidFill>
                <a:round/>
              </a:ln>
              <a:effectLst/>
            </c:spPr>
            <c:extLst>
              <c:ext xmlns:c16="http://schemas.microsoft.com/office/drawing/2014/chart" uri="{C3380CC4-5D6E-409C-BE32-E72D297353CC}">
                <c16:uniqueId val="{00000033-A384-4C49-AF2C-C9444D535ED1}"/>
              </c:ext>
            </c:extLst>
          </c:dPt>
          <c:cat>
            <c:numRef>
              <c:f>LV!$B$12:$R$12</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LV!$B$19:$R$19</c:f>
              <c:numCache>
                <c:formatCode>General</c:formatCode>
                <c:ptCount val="17"/>
                <c:pt idx="6" formatCode="0.0">
                  <c:v>89.680280013671776</c:v>
                </c:pt>
                <c:pt idx="7" formatCode="0.0">
                  <c:v>93.4370954931874</c:v>
                </c:pt>
                <c:pt idx="8" formatCode="0.0">
                  <c:v>97.150652889405649</c:v>
                </c:pt>
                <c:pt idx="9" formatCode="0.0">
                  <c:v>101.03003148529675</c:v>
                </c:pt>
              </c:numCache>
            </c:numRef>
          </c:val>
          <c:smooth val="0"/>
          <c:extLst>
            <c:ext xmlns:c16="http://schemas.microsoft.com/office/drawing/2014/chart" uri="{C3380CC4-5D6E-409C-BE32-E72D297353CC}">
              <c16:uniqueId val="{00000034-A384-4C49-AF2C-C9444D535ED1}"/>
            </c:ext>
          </c:extLst>
        </c:ser>
        <c:ser>
          <c:idx val="6"/>
          <c:order val="7"/>
          <c:tx>
            <c:strRef>
              <c:f>LV!$A$20</c:f>
              <c:strCache>
                <c:ptCount val="1"/>
                <c:pt idx="0">
                  <c:v>2014.g. budžeta prognozes</c:v>
                </c:pt>
              </c:strCache>
            </c:strRef>
          </c:tx>
          <c:spPr>
            <a:ln w="28575" cap="rnd">
              <a:solidFill>
                <a:schemeClr val="tx2">
                  <a:lumMod val="40000"/>
                  <a:lumOff val="60000"/>
                </a:schemeClr>
              </a:solidFill>
              <a:round/>
            </a:ln>
            <a:effectLst/>
          </c:spPr>
          <c:marker>
            <c:symbol val="none"/>
          </c:marker>
          <c:dPt>
            <c:idx val="2"/>
            <c:marker>
              <c:symbol val="none"/>
            </c:marker>
            <c:bubble3D val="0"/>
            <c:spPr>
              <a:ln w="28575" cap="rnd">
                <a:solidFill>
                  <a:schemeClr val="tx2">
                    <a:lumMod val="40000"/>
                    <a:lumOff val="60000"/>
                  </a:schemeClr>
                </a:solidFill>
                <a:round/>
              </a:ln>
              <a:effectLst/>
            </c:spPr>
            <c:extLst>
              <c:ext xmlns:c16="http://schemas.microsoft.com/office/drawing/2014/chart" uri="{C3380CC4-5D6E-409C-BE32-E72D297353CC}">
                <c16:uniqueId val="{00000036-A384-4C49-AF2C-C9444D535ED1}"/>
              </c:ext>
            </c:extLst>
          </c:dPt>
          <c:dPt>
            <c:idx val="3"/>
            <c:marker>
              <c:symbol val="none"/>
            </c:marker>
            <c:bubble3D val="0"/>
            <c:spPr>
              <a:ln w="28575" cap="rnd">
                <a:solidFill>
                  <a:schemeClr val="tx2">
                    <a:lumMod val="40000"/>
                    <a:lumOff val="60000"/>
                  </a:schemeClr>
                </a:solidFill>
                <a:round/>
              </a:ln>
              <a:effectLst/>
            </c:spPr>
            <c:extLst>
              <c:ext xmlns:c16="http://schemas.microsoft.com/office/drawing/2014/chart" uri="{C3380CC4-5D6E-409C-BE32-E72D297353CC}">
                <c16:uniqueId val="{00000038-A384-4C49-AF2C-C9444D535ED1}"/>
              </c:ext>
            </c:extLst>
          </c:dPt>
          <c:dPt>
            <c:idx val="4"/>
            <c:marker>
              <c:symbol val="none"/>
            </c:marker>
            <c:bubble3D val="0"/>
            <c:spPr>
              <a:ln w="28575" cap="rnd">
                <a:solidFill>
                  <a:schemeClr val="tx2">
                    <a:lumMod val="40000"/>
                    <a:lumOff val="60000"/>
                  </a:schemeClr>
                </a:solidFill>
                <a:round/>
              </a:ln>
              <a:effectLst/>
            </c:spPr>
            <c:extLst>
              <c:ext xmlns:c16="http://schemas.microsoft.com/office/drawing/2014/chart" uri="{C3380CC4-5D6E-409C-BE32-E72D297353CC}">
                <c16:uniqueId val="{0000003A-A384-4C49-AF2C-C9444D535ED1}"/>
              </c:ext>
            </c:extLst>
          </c:dPt>
          <c:cat>
            <c:numRef>
              <c:f>LV!$B$12:$R$12</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LV!$B$20:$R$20</c:f>
              <c:numCache>
                <c:formatCode>General</c:formatCode>
                <c:ptCount val="17"/>
                <c:pt idx="5" formatCode="0.0">
                  <c:v>87.64001668867634</c:v>
                </c:pt>
                <c:pt idx="6" formatCode="0.0">
                  <c:v>90.891510528951997</c:v>
                </c:pt>
                <c:pt idx="7" formatCode="0.0">
                  <c:v>94.522928986014946</c:v>
                </c:pt>
                <c:pt idx="8" formatCode="0.0">
                  <c:v>98.285620423797241</c:v>
                </c:pt>
              </c:numCache>
            </c:numRef>
          </c:val>
          <c:smooth val="0"/>
          <c:extLst>
            <c:ext xmlns:c16="http://schemas.microsoft.com/office/drawing/2014/chart" uri="{C3380CC4-5D6E-409C-BE32-E72D297353CC}">
              <c16:uniqueId val="{0000003B-A384-4C49-AF2C-C9444D535ED1}"/>
            </c:ext>
          </c:extLst>
        </c:ser>
        <c:ser>
          <c:idx val="8"/>
          <c:order val="8"/>
          <c:tx>
            <c:strRef>
              <c:f>LV!$A$24</c:f>
              <c:strCache>
                <c:ptCount val="1"/>
                <c:pt idx="0">
                  <c:v>Faktiskā IKP izaugsme</c:v>
                </c:pt>
              </c:strCache>
            </c:strRef>
          </c:tx>
          <c:spPr>
            <a:ln w="28575" cap="rnd">
              <a:solidFill>
                <a:schemeClr val="tx1"/>
              </a:solidFill>
              <a:round/>
            </a:ln>
            <a:effectLst/>
          </c:spPr>
          <c:marker>
            <c:symbol val="circle"/>
            <c:size val="5"/>
            <c:spPr>
              <a:solidFill>
                <a:schemeClr val="bg1"/>
              </a:solidFill>
              <a:ln w="9525">
                <a:solidFill>
                  <a:schemeClr val="accent3">
                    <a:lumMod val="60000"/>
                  </a:schemeClr>
                </a:solidFill>
              </a:ln>
              <a:effectLst/>
            </c:spPr>
          </c:marker>
          <c:cat>
            <c:numRef>
              <c:f>LV!$B$12:$R$12</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LV!$B$24:$R$24</c:f>
              <c:numCache>
                <c:formatCode>0.0</c:formatCode>
                <c:ptCount val="17"/>
                <c:pt idx="0" formatCode="General">
                  <c:v>100</c:v>
                </c:pt>
                <c:pt idx="1">
                  <c:v>96.653632920678319</c:v>
                </c:pt>
                <c:pt idx="2">
                  <c:v>82.891946848157673</c:v>
                </c:pt>
                <c:pt idx="3">
                  <c:v>79.183824348203842</c:v>
                </c:pt>
                <c:pt idx="4">
                  <c:v>84.160621632329651</c:v>
                </c:pt>
                <c:pt idx="5">
                  <c:v>87.64001668867634</c:v>
                </c:pt>
                <c:pt idx="6">
                  <c:v>89.680280013671776</c:v>
                </c:pt>
                <c:pt idx="7">
                  <c:v>91.397828107406241</c:v>
                </c:pt>
                <c:pt idx="8">
                  <c:v>94.377876576898672</c:v>
                </c:pt>
                <c:pt idx="9">
                  <c:v>96.051960390126766</c:v>
                </c:pt>
                <c:pt idx="10">
                  <c:v>99.689749500618618</c:v>
                </c:pt>
                <c:pt idx="11">
                  <c:v>103.96128097259835</c:v>
                </c:pt>
                <c:pt idx="12">
                  <c:v>106.2457695835968</c:v>
                </c:pt>
              </c:numCache>
            </c:numRef>
          </c:val>
          <c:smooth val="0"/>
          <c:extLst>
            <c:ext xmlns:c16="http://schemas.microsoft.com/office/drawing/2014/chart" uri="{C3380CC4-5D6E-409C-BE32-E72D297353CC}">
              <c16:uniqueId val="{0000003C-A384-4C49-AF2C-C9444D535ED1}"/>
            </c:ext>
          </c:extLst>
        </c:ser>
        <c:dLbls>
          <c:showLegendKey val="0"/>
          <c:showVal val="0"/>
          <c:showCatName val="0"/>
          <c:showSerName val="0"/>
          <c:showPercent val="0"/>
          <c:showBubbleSize val="0"/>
        </c:dLbls>
        <c:smooth val="0"/>
        <c:axId val="359210992"/>
        <c:axId val="359211384"/>
      </c:lineChart>
      <c:catAx>
        <c:axId val="35921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59211384"/>
        <c:crosses val="autoZero"/>
        <c:auto val="1"/>
        <c:lblAlgn val="ctr"/>
        <c:lblOffset val="100"/>
        <c:noMultiLvlLbl val="0"/>
      </c:catAx>
      <c:valAx>
        <c:axId val="359211384"/>
        <c:scaling>
          <c:orientation val="minMax"/>
          <c:max val="120"/>
          <c:min val="7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59210992"/>
        <c:crosses val="autoZero"/>
        <c:crossBetween val="between"/>
        <c:majorUnit val="10"/>
      </c:valAx>
      <c:spPr>
        <a:noFill/>
        <a:ln>
          <a:noFill/>
        </a:ln>
        <a:effectLst/>
      </c:spPr>
    </c:plotArea>
    <c:legend>
      <c:legendPos val="r"/>
      <c:layout>
        <c:manualLayout>
          <c:xMode val="edge"/>
          <c:yMode val="edge"/>
          <c:x val="0"/>
          <c:y val="0.80134136916393128"/>
          <c:w val="1"/>
          <c:h val="0.1986586308360687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194269961378836E-2"/>
          <c:y val="2.4632919550536609E-2"/>
          <c:w val="0.59202720355838012"/>
          <c:h val="0.89074346923119385"/>
        </c:manualLayout>
      </c:layout>
      <c:barChart>
        <c:barDir val="col"/>
        <c:grouping val="stacked"/>
        <c:varyColors val="0"/>
        <c:ser>
          <c:idx val="1"/>
          <c:order val="1"/>
          <c:tx>
            <c:strRef>
              <c:f>LV!$C$3</c:f>
              <c:strCache>
                <c:ptCount val="1"/>
                <c:pt idx="0">
                  <c:v>Privātais patēriņš</c:v>
                </c:pt>
              </c:strCache>
            </c:strRef>
          </c:tx>
          <c:spPr>
            <a:ln>
              <a:noFill/>
            </a:ln>
          </c:spPr>
          <c:invertIfNegative val="0"/>
          <c:cat>
            <c:numRef>
              <c:f>LV!$D$1:$N$1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LV!$D$3:$N$3</c:f>
              <c:numCache>
                <c:formatCode>0.0</c:formatCode>
                <c:ptCount val="11"/>
                <c:pt idx="0">
                  <c:v>-10.321954287245351</c:v>
                </c:pt>
                <c:pt idx="1">
                  <c:v>7.3567439952613185</c:v>
                </c:pt>
                <c:pt idx="2">
                  <c:v>0.64508677936896364</c:v>
                </c:pt>
                <c:pt idx="3">
                  <c:v>2.1212992274741049</c:v>
                </c:pt>
                <c:pt idx="4">
                  <c:v>0.92728403921679936</c:v>
                </c:pt>
                <c:pt idx="5">
                  <c:v>-1.5464236546618346</c:v>
                </c:pt>
                <c:pt idx="6">
                  <c:v>7.804516690147012E-2</c:v>
                </c:pt>
                <c:pt idx="7">
                  <c:v>-0.33980239802496026</c:v>
                </c:pt>
                <c:pt idx="8">
                  <c:v>0.39844253191305201</c:v>
                </c:pt>
                <c:pt idx="9">
                  <c:v>0.17135905289370879</c:v>
                </c:pt>
                <c:pt idx="10">
                  <c:v>-0.36061137046721514</c:v>
                </c:pt>
              </c:numCache>
            </c:numRef>
          </c:val>
          <c:extLst>
            <c:ext xmlns:c16="http://schemas.microsoft.com/office/drawing/2014/chart" uri="{C3380CC4-5D6E-409C-BE32-E72D297353CC}">
              <c16:uniqueId val="{00000000-04B4-4797-8232-E6744DE032D5}"/>
            </c:ext>
          </c:extLst>
        </c:ser>
        <c:ser>
          <c:idx val="2"/>
          <c:order val="2"/>
          <c:tx>
            <c:strRef>
              <c:f>LV!$C$4</c:f>
              <c:strCache>
                <c:ptCount val="1"/>
                <c:pt idx="0">
                  <c:v>Sabiedriskais patēriņš</c:v>
                </c:pt>
              </c:strCache>
            </c:strRef>
          </c:tx>
          <c:spPr>
            <a:solidFill>
              <a:srgbClr val="FF0000"/>
            </a:solidFill>
            <a:ln>
              <a:noFill/>
            </a:ln>
          </c:spPr>
          <c:invertIfNegative val="0"/>
          <c:cat>
            <c:numRef>
              <c:f>LV!$D$1:$N$1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LV!$D$4:$N$4</c:f>
              <c:numCache>
                <c:formatCode>0.0</c:formatCode>
                <c:ptCount val="11"/>
                <c:pt idx="0">
                  <c:v>-0.68908932689579061</c:v>
                </c:pt>
                <c:pt idx="1">
                  <c:v>9.3043045860093931E-2</c:v>
                </c:pt>
                <c:pt idx="2">
                  <c:v>0.39102733163819609</c:v>
                </c:pt>
                <c:pt idx="3">
                  <c:v>-2.7015103219265549E-2</c:v>
                </c:pt>
                <c:pt idx="4">
                  <c:v>0.38269293624611989</c:v>
                </c:pt>
                <c:pt idx="5">
                  <c:v>0.70398361310636481</c:v>
                </c:pt>
                <c:pt idx="6">
                  <c:v>8.0392296951586839E-2</c:v>
                </c:pt>
                <c:pt idx="7">
                  <c:v>-0.14404450952870496</c:v>
                </c:pt>
                <c:pt idx="8">
                  <c:v>0.17935539454491423</c:v>
                </c:pt>
                <c:pt idx="9">
                  <c:v>3.1992948200467719E-2</c:v>
                </c:pt>
                <c:pt idx="10">
                  <c:v>-7.466315739407442E-2</c:v>
                </c:pt>
              </c:numCache>
            </c:numRef>
          </c:val>
          <c:extLst>
            <c:ext xmlns:c16="http://schemas.microsoft.com/office/drawing/2014/chart" uri="{C3380CC4-5D6E-409C-BE32-E72D297353CC}">
              <c16:uniqueId val="{00000001-04B4-4797-8232-E6744DE032D5}"/>
            </c:ext>
          </c:extLst>
        </c:ser>
        <c:ser>
          <c:idx val="3"/>
          <c:order val="3"/>
          <c:tx>
            <c:strRef>
              <c:f>LV!$C$5</c:f>
              <c:strCache>
                <c:ptCount val="1"/>
                <c:pt idx="0">
                  <c:v>Kopējā pamatkapitāla veidošana</c:v>
                </c:pt>
              </c:strCache>
            </c:strRef>
          </c:tx>
          <c:spPr>
            <a:ln>
              <a:noFill/>
            </a:ln>
          </c:spPr>
          <c:invertIfNegative val="0"/>
          <c:cat>
            <c:numRef>
              <c:f>LV!$D$1:$N$1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LV!$D$5:$N$5</c:f>
              <c:numCache>
                <c:formatCode>0.0</c:formatCode>
                <c:ptCount val="11"/>
                <c:pt idx="0">
                  <c:v>-7.6929708617799397</c:v>
                </c:pt>
                <c:pt idx="1">
                  <c:v>-1.6281181821237243</c:v>
                </c:pt>
                <c:pt idx="2">
                  <c:v>4.1006771021898034</c:v>
                </c:pt>
                <c:pt idx="3">
                  <c:v>1.175667247088529</c:v>
                </c:pt>
                <c:pt idx="4">
                  <c:v>-3.0573538822515669</c:v>
                </c:pt>
                <c:pt idx="5">
                  <c:v>-1.2393014584765654</c:v>
                </c:pt>
                <c:pt idx="6">
                  <c:v>-0.17750299636338718</c:v>
                </c:pt>
                <c:pt idx="7">
                  <c:v>0.14386357414500139</c:v>
                </c:pt>
                <c:pt idx="8">
                  <c:v>0.7319804554215279</c:v>
                </c:pt>
                <c:pt idx="9">
                  <c:v>0.47507424921853403</c:v>
                </c:pt>
                <c:pt idx="10">
                  <c:v>-1.1937216479336445</c:v>
                </c:pt>
              </c:numCache>
            </c:numRef>
          </c:val>
          <c:extLst>
            <c:ext xmlns:c16="http://schemas.microsoft.com/office/drawing/2014/chart" uri="{C3380CC4-5D6E-409C-BE32-E72D297353CC}">
              <c16:uniqueId val="{00000002-04B4-4797-8232-E6744DE032D5}"/>
            </c:ext>
          </c:extLst>
        </c:ser>
        <c:ser>
          <c:idx val="4"/>
          <c:order val="4"/>
          <c:tx>
            <c:strRef>
              <c:f>LV!$C$6</c:f>
              <c:strCache>
                <c:ptCount val="1"/>
                <c:pt idx="0">
                  <c:v>Krājumu izmaiņas</c:v>
                </c:pt>
              </c:strCache>
            </c:strRef>
          </c:tx>
          <c:spPr>
            <a:ln>
              <a:noFill/>
            </a:ln>
          </c:spPr>
          <c:invertIfNegative val="0"/>
          <c:cat>
            <c:numRef>
              <c:f>LV!$D$1:$N$1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LV!$D$6:$N$6</c:f>
              <c:numCache>
                <c:formatCode>0.0</c:formatCode>
                <c:ptCount val="11"/>
                <c:pt idx="0">
                  <c:v>-2.2599889135060685</c:v>
                </c:pt>
                <c:pt idx="1">
                  <c:v>3.5787877135993305</c:v>
                </c:pt>
                <c:pt idx="2">
                  <c:v>1.8139421667859978</c:v>
                </c:pt>
                <c:pt idx="3">
                  <c:v>-4.1153043633432302</c:v>
                </c:pt>
                <c:pt idx="4">
                  <c:v>-0.62257650429221179</c:v>
                </c:pt>
                <c:pt idx="5">
                  <c:v>-1.4010806305132375</c:v>
                </c:pt>
                <c:pt idx="6">
                  <c:v>-0.17750299636338718</c:v>
                </c:pt>
                <c:pt idx="7">
                  <c:v>-2.5443102383546083</c:v>
                </c:pt>
                <c:pt idx="8">
                  <c:v>0.54013884388881594</c:v>
                </c:pt>
                <c:pt idx="9">
                  <c:v>1.4610419477111545</c:v>
                </c:pt>
                <c:pt idx="10">
                  <c:v>2.1416462212983629</c:v>
                </c:pt>
              </c:numCache>
            </c:numRef>
          </c:val>
          <c:extLst>
            <c:ext xmlns:c16="http://schemas.microsoft.com/office/drawing/2014/chart" uri="{C3380CC4-5D6E-409C-BE32-E72D297353CC}">
              <c16:uniqueId val="{00000003-04B4-4797-8232-E6744DE032D5}"/>
            </c:ext>
          </c:extLst>
        </c:ser>
        <c:ser>
          <c:idx val="5"/>
          <c:order val="5"/>
          <c:tx>
            <c:strRef>
              <c:f>LV!$C$7</c:f>
              <c:strCache>
                <c:ptCount val="1"/>
                <c:pt idx="0">
                  <c:v>Neto eksports</c:v>
                </c:pt>
              </c:strCache>
            </c:strRef>
          </c:tx>
          <c:spPr>
            <a:ln>
              <a:noFill/>
            </a:ln>
          </c:spPr>
          <c:invertIfNegative val="0"/>
          <c:cat>
            <c:numRef>
              <c:f>LV!$D$1:$N$1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LV!$D$7:$N$7</c:f>
              <c:numCache>
                <c:formatCode>0.0</c:formatCode>
                <c:ptCount val="11"/>
                <c:pt idx="0">
                  <c:v>8.0493985565027835</c:v>
                </c:pt>
                <c:pt idx="1">
                  <c:v>-5.7216538481193133</c:v>
                </c:pt>
                <c:pt idx="2">
                  <c:v>-4.7663220960320407</c:v>
                </c:pt>
                <c:pt idx="3">
                  <c:v>3.913577297672739</c:v>
                </c:pt>
                <c:pt idx="4">
                  <c:v>2.7699387500953661</c:v>
                </c:pt>
                <c:pt idx="5">
                  <c:v>1.6529063072662975</c:v>
                </c:pt>
                <c:pt idx="6">
                  <c:v>-0.45365311295598909</c:v>
                </c:pt>
                <c:pt idx="7">
                  <c:v>2.31368614132648</c:v>
                </c:pt>
                <c:pt idx="8">
                  <c:v>-0.7485053373674373</c:v>
                </c:pt>
                <c:pt idx="9">
                  <c:v>-1.5697515163893736</c:v>
                </c:pt>
                <c:pt idx="10">
                  <c:v>-1.4803842358104242</c:v>
                </c:pt>
              </c:numCache>
            </c:numRef>
          </c:val>
          <c:extLst>
            <c:ext xmlns:c16="http://schemas.microsoft.com/office/drawing/2014/chart" uri="{C3380CC4-5D6E-409C-BE32-E72D297353CC}">
              <c16:uniqueId val="{00000004-04B4-4797-8232-E6744DE032D5}"/>
            </c:ext>
          </c:extLst>
        </c:ser>
        <c:ser>
          <c:idx val="6"/>
          <c:order val="6"/>
          <c:tx>
            <c:strRef>
              <c:f>LV!$C$8</c:f>
              <c:strCache>
                <c:ptCount val="1"/>
                <c:pt idx="0">
                  <c:v>Statistikas korekcijas</c:v>
                </c:pt>
              </c:strCache>
            </c:strRef>
          </c:tx>
          <c:spPr>
            <a:solidFill>
              <a:schemeClr val="bg1">
                <a:lumMod val="75000"/>
              </a:schemeClr>
            </a:solidFill>
            <a:ln>
              <a:noFill/>
            </a:ln>
          </c:spPr>
          <c:invertIfNegative val="0"/>
          <c:cat>
            <c:numRef>
              <c:f>LV!$D$1:$N$1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LV!$D$8:$N$8</c:f>
              <c:numCache>
                <c:formatCode>0.0</c:formatCode>
                <c:ptCount val="11"/>
                <c:pt idx="0">
                  <c:v>3.4608827639365494</c:v>
                </c:pt>
                <c:pt idx="1">
                  <c:v>-3.1668226948743969</c:v>
                </c:pt>
                <c:pt idx="2">
                  <c:v>0.97863140325729336</c:v>
                </c:pt>
                <c:pt idx="3">
                  <c:v>-1.0825035576711928</c:v>
                </c:pt>
                <c:pt idx="4">
                  <c:v>-1.8892421347630046</c:v>
                </c:pt>
                <c:pt idx="5">
                  <c:v>-0.44642878006120612</c:v>
                </c:pt>
                <c:pt idx="6">
                  <c:v>0.51895245854382388</c:v>
                </c:pt>
                <c:pt idx="7">
                  <c:v>-0.17655602943811743</c:v>
                </c:pt>
                <c:pt idx="8">
                  <c:v>-0.84916586362693591</c:v>
                </c:pt>
                <c:pt idx="9">
                  <c:v>-0.48489151818752418</c:v>
                </c:pt>
                <c:pt idx="10">
                  <c:v>-1.7541523789077473E-14</c:v>
                </c:pt>
              </c:numCache>
            </c:numRef>
          </c:val>
          <c:extLst>
            <c:ext xmlns:c16="http://schemas.microsoft.com/office/drawing/2014/chart" uri="{C3380CC4-5D6E-409C-BE32-E72D297353CC}">
              <c16:uniqueId val="{00000005-04B4-4797-8232-E6744DE032D5}"/>
            </c:ext>
          </c:extLst>
        </c:ser>
        <c:dLbls>
          <c:showLegendKey val="0"/>
          <c:showVal val="0"/>
          <c:showCatName val="0"/>
          <c:showSerName val="0"/>
          <c:showPercent val="0"/>
          <c:showBubbleSize val="0"/>
        </c:dLbls>
        <c:gapWidth val="50"/>
        <c:overlap val="100"/>
        <c:axId val="435172480"/>
        <c:axId val="435172872"/>
      </c:barChart>
      <c:lineChart>
        <c:grouping val="standard"/>
        <c:varyColors val="0"/>
        <c:ser>
          <c:idx val="0"/>
          <c:order val="0"/>
          <c:tx>
            <c:strRef>
              <c:f>LV!$C$2</c:f>
              <c:strCache>
                <c:ptCount val="1"/>
                <c:pt idx="0">
                  <c:v>IKP</c:v>
                </c:pt>
              </c:strCache>
            </c:strRef>
          </c:tx>
          <c:spPr>
            <a:ln>
              <a:solidFill>
                <a:schemeClr val="tx1"/>
              </a:solidFill>
            </a:ln>
          </c:spPr>
          <c:marker>
            <c:symbol val="none"/>
          </c:marker>
          <c:cat>
            <c:numRef>
              <c:f>LV!$D$1:$N$1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LV!$D$2:$N$2</c:f>
              <c:numCache>
                <c:formatCode>0.0</c:formatCode>
                <c:ptCount val="11"/>
                <c:pt idx="0">
                  <c:v>-12.914604832924368</c:v>
                </c:pt>
                <c:pt idx="1">
                  <c:v>3.6788027244777051</c:v>
                </c:pt>
                <c:pt idx="2">
                  <c:v>2.1844112839509204</c:v>
                </c:pt>
                <c:pt idx="3">
                  <c:v>3.0682243056728771</c:v>
                </c:pt>
                <c:pt idx="4">
                  <c:v>0.40003964242507895</c:v>
                </c:pt>
                <c:pt idx="5">
                  <c:v>-1.8299158232789585</c:v>
                </c:pt>
                <c:pt idx="6">
                  <c:v>-1.0835124894503778E-2</c:v>
                </c:pt>
                <c:pt idx="7">
                  <c:v>-0.57060743043677409</c:v>
                </c:pt>
                <c:pt idx="8">
                  <c:v>1.1014118884008246</c:v>
                </c:pt>
                <c:pt idx="9">
                  <c:v>0.56971668163448896</c:v>
                </c:pt>
                <c:pt idx="10">
                  <c:v>-0.96773419030701291</c:v>
                </c:pt>
              </c:numCache>
            </c:numRef>
          </c:val>
          <c:smooth val="0"/>
          <c:extLst>
            <c:ext xmlns:c16="http://schemas.microsoft.com/office/drawing/2014/chart" uri="{C3380CC4-5D6E-409C-BE32-E72D297353CC}">
              <c16:uniqueId val="{00000006-04B4-4797-8232-E6744DE032D5}"/>
            </c:ext>
          </c:extLst>
        </c:ser>
        <c:dLbls>
          <c:showLegendKey val="0"/>
          <c:showVal val="0"/>
          <c:showCatName val="0"/>
          <c:showSerName val="0"/>
          <c:showPercent val="0"/>
          <c:showBubbleSize val="0"/>
        </c:dLbls>
        <c:marker val="1"/>
        <c:smooth val="0"/>
        <c:axId val="435172480"/>
        <c:axId val="435172872"/>
      </c:lineChart>
      <c:catAx>
        <c:axId val="435172480"/>
        <c:scaling>
          <c:orientation val="minMax"/>
        </c:scaling>
        <c:delete val="0"/>
        <c:axPos val="b"/>
        <c:numFmt formatCode="General" sourceLinked="1"/>
        <c:majorTickMark val="out"/>
        <c:minorTickMark val="none"/>
        <c:tickLblPos val="low"/>
        <c:txPr>
          <a:bodyPr rot="-5400000" vert="horz"/>
          <a:lstStyle/>
          <a:p>
            <a:pPr>
              <a:defRPr/>
            </a:pPr>
            <a:endParaRPr lang="lv-LV"/>
          </a:p>
        </c:txPr>
        <c:crossAx val="435172872"/>
        <c:crosses val="autoZero"/>
        <c:auto val="1"/>
        <c:lblAlgn val="ctr"/>
        <c:lblOffset val="100"/>
        <c:noMultiLvlLbl val="0"/>
      </c:catAx>
      <c:valAx>
        <c:axId val="435172872"/>
        <c:scaling>
          <c:orientation val="minMax"/>
        </c:scaling>
        <c:delete val="0"/>
        <c:axPos val="l"/>
        <c:majorGridlines/>
        <c:numFmt formatCode="0" sourceLinked="0"/>
        <c:majorTickMark val="out"/>
        <c:minorTickMark val="none"/>
        <c:tickLblPos val="nextTo"/>
        <c:txPr>
          <a:bodyPr/>
          <a:lstStyle/>
          <a:p>
            <a:pPr>
              <a:defRPr b="1"/>
            </a:pPr>
            <a:endParaRPr lang="lv-LV"/>
          </a:p>
        </c:txPr>
        <c:crossAx val="435172480"/>
        <c:crosses val="autoZero"/>
        <c:crossBetween val="between"/>
      </c:valAx>
    </c:plotArea>
    <c:legend>
      <c:legendPos val="r"/>
      <c:layout>
        <c:manualLayout>
          <c:xMode val="edge"/>
          <c:yMode val="edge"/>
          <c:x val="0.6726589828811731"/>
          <c:y val="0.13538578473954102"/>
          <c:w val="0.32571748721633736"/>
          <c:h val="0.86251155883094666"/>
        </c:manualLayout>
      </c:layout>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lv-LV"/>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lumMod val="65000"/>
                <a:lumOff val="35000"/>
              </a:schemeClr>
            </a:solidFill>
            <a:ln>
              <a:noFill/>
            </a:ln>
            <a:effectLst/>
          </c:spPr>
          <c:invertIfNegative val="0"/>
          <c:dPt>
            <c:idx val="1"/>
            <c:invertIfNegative val="0"/>
            <c:bubble3D val="0"/>
            <c:spPr>
              <a:solidFill>
                <a:srgbClr val="00B050"/>
              </a:solidFill>
              <a:ln w="25400">
                <a:noFill/>
              </a:ln>
            </c:spPr>
            <c:extLst>
              <c:ext xmlns:c16="http://schemas.microsoft.com/office/drawing/2014/chart" uri="{C3380CC4-5D6E-409C-BE32-E72D297353CC}">
                <c16:uniqueId val="{00000001-D5FA-42B4-BC90-8DE5545B0D38}"/>
              </c:ext>
            </c:extLst>
          </c:dPt>
          <c:dPt>
            <c:idx val="4"/>
            <c:invertIfNegative val="0"/>
            <c:bubble3D val="0"/>
            <c:extLst>
              <c:ext xmlns:c16="http://schemas.microsoft.com/office/drawing/2014/chart" uri="{C3380CC4-5D6E-409C-BE32-E72D297353CC}">
                <c16:uniqueId val="{00000002-D5FA-42B4-BC90-8DE5545B0D38}"/>
              </c:ext>
            </c:extLst>
          </c:dPt>
          <c:dPt>
            <c:idx val="5"/>
            <c:invertIfNegative val="0"/>
            <c:bubble3D val="0"/>
            <c:spPr>
              <a:solidFill>
                <a:srgbClr val="0070C0"/>
              </a:solidFill>
              <a:ln w="25400">
                <a:noFill/>
              </a:ln>
            </c:spPr>
            <c:extLst>
              <c:ext xmlns:c16="http://schemas.microsoft.com/office/drawing/2014/chart" uri="{C3380CC4-5D6E-409C-BE32-E72D297353CC}">
                <c16:uniqueId val="{00000004-D5FA-42B4-BC90-8DE5545B0D38}"/>
              </c:ext>
            </c:extLst>
          </c:dPt>
          <c:dPt>
            <c:idx val="10"/>
            <c:invertIfNegative val="0"/>
            <c:bubble3D val="0"/>
            <c:extLst>
              <c:ext xmlns:c16="http://schemas.microsoft.com/office/drawing/2014/chart" uri="{C3380CC4-5D6E-409C-BE32-E72D297353CC}">
                <c16:uniqueId val="{00000005-D5FA-42B4-BC90-8DE5545B0D38}"/>
              </c:ext>
            </c:extLst>
          </c:dPt>
          <c:dPt>
            <c:idx val="11"/>
            <c:invertIfNegative val="0"/>
            <c:bubble3D val="0"/>
            <c:spPr>
              <a:solidFill>
                <a:srgbClr val="FF0000"/>
              </a:solidFill>
              <a:ln w="25400">
                <a:noFill/>
              </a:ln>
            </c:spPr>
            <c:extLst>
              <c:ext xmlns:c16="http://schemas.microsoft.com/office/drawing/2014/chart" uri="{C3380CC4-5D6E-409C-BE32-E72D297353CC}">
                <c16:uniqueId val="{00000007-D5FA-42B4-BC90-8DE5545B0D38}"/>
              </c:ext>
            </c:extLst>
          </c:dPt>
          <c:dPt>
            <c:idx val="20"/>
            <c:invertIfNegative val="0"/>
            <c:bubble3D val="0"/>
            <c:extLst>
              <c:ext xmlns:c16="http://schemas.microsoft.com/office/drawing/2014/chart" uri="{C3380CC4-5D6E-409C-BE32-E72D297353CC}">
                <c16:uniqueId val="{00000008-D5FA-42B4-BC90-8DE5545B0D38}"/>
              </c:ext>
            </c:extLst>
          </c:dPt>
          <c:dPt>
            <c:idx val="21"/>
            <c:invertIfNegative val="0"/>
            <c:bubble3D val="0"/>
            <c:spPr>
              <a:solidFill>
                <a:srgbClr val="002060"/>
              </a:solidFill>
              <a:ln w="25400">
                <a:noFill/>
              </a:ln>
            </c:spPr>
            <c:extLst>
              <c:ext xmlns:c16="http://schemas.microsoft.com/office/drawing/2014/chart" uri="{C3380CC4-5D6E-409C-BE32-E72D297353CC}">
                <c16:uniqueId val="{0000000A-D5FA-42B4-BC90-8DE5545B0D38}"/>
              </c:ext>
            </c:extLst>
          </c:dPt>
          <c:dPt>
            <c:idx val="23"/>
            <c:invertIfNegative val="0"/>
            <c:bubble3D val="0"/>
            <c:extLst>
              <c:ext xmlns:c16="http://schemas.microsoft.com/office/drawing/2014/chart" uri="{C3380CC4-5D6E-409C-BE32-E72D297353CC}">
                <c16:uniqueId val="{0000000B-D5FA-42B4-BC90-8DE5545B0D38}"/>
              </c:ext>
            </c:extLst>
          </c:dPt>
          <c:dPt>
            <c:idx val="24"/>
            <c:invertIfNegative val="0"/>
            <c:bubble3D val="0"/>
            <c:spPr>
              <a:solidFill>
                <a:srgbClr val="002060"/>
              </a:solidFill>
              <a:ln w="25400">
                <a:noFill/>
              </a:ln>
            </c:spPr>
            <c:extLst>
              <c:ext xmlns:c16="http://schemas.microsoft.com/office/drawing/2014/chart" uri="{C3380CC4-5D6E-409C-BE32-E72D297353CC}">
                <c16:uniqueId val="{0000000D-D5FA-42B4-BC90-8DE5545B0D38}"/>
              </c:ext>
            </c:extLst>
          </c:dPt>
          <c:dLbls>
            <c:spPr>
              <a:noFill/>
              <a:ln w="25400">
                <a:noFill/>
              </a:ln>
            </c:spPr>
            <c:txPr>
              <a:bodyPr rot="0" vert="horz"/>
              <a:lstStyle/>
              <a:p>
                <a:pPr>
                  <a:defRPr sz="800" b="1"/>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Data!$A$12:$A$40</c:f>
              <c:strCache>
                <c:ptCount val="29"/>
                <c:pt idx="0">
                  <c:v>Īrija</c:v>
                </c:pt>
                <c:pt idx="1">
                  <c:v>Lietuva</c:v>
                </c:pt>
                <c:pt idx="2">
                  <c:v>Polija</c:v>
                </c:pt>
                <c:pt idx="3">
                  <c:v>Zviedrija</c:v>
                </c:pt>
                <c:pt idx="4">
                  <c:v>Luksemburga</c:v>
                </c:pt>
                <c:pt idx="5">
                  <c:v>Igaunija</c:v>
                </c:pt>
                <c:pt idx="6">
                  <c:v>Somija</c:v>
                </c:pt>
                <c:pt idx="7">
                  <c:v>Bulgārija</c:v>
                </c:pt>
                <c:pt idx="8">
                  <c:v>Dānija</c:v>
                </c:pt>
                <c:pt idx="9">
                  <c:v>Rumānija</c:v>
                </c:pt>
                <c:pt idx="10">
                  <c:v>Nīderlande</c:v>
                </c:pt>
                <c:pt idx="11">
                  <c:v>Latvija</c:v>
                </c:pt>
                <c:pt idx="12">
                  <c:v>Kipra</c:v>
                </c:pt>
                <c:pt idx="13">
                  <c:v>Ungārija</c:v>
                </c:pt>
                <c:pt idx="14">
                  <c:v>Čehija</c:v>
                </c:pt>
                <c:pt idx="15">
                  <c:v>Vācija</c:v>
                </c:pt>
                <c:pt idx="16">
                  <c:v>Malta</c:v>
                </c:pt>
                <c:pt idx="17">
                  <c:v>Austrija</c:v>
                </c:pt>
                <c:pt idx="18">
                  <c:v>Horvātija</c:v>
                </c:pt>
                <c:pt idx="19">
                  <c:v>Slovēnija</c:v>
                </c:pt>
                <c:pt idx="20">
                  <c:v>Slovākija</c:v>
                </c:pt>
                <c:pt idx="21">
                  <c:v>ES-27</c:v>
                </c:pt>
                <c:pt idx="22">
                  <c:v>Beļģija</c:v>
                </c:pt>
                <c:pt idx="23">
                  <c:v>Grieķija</c:v>
                </c:pt>
                <c:pt idx="24">
                  <c:v>Eirozona</c:v>
                </c:pt>
                <c:pt idx="25">
                  <c:v>Portugāle</c:v>
                </c:pt>
                <c:pt idx="26">
                  <c:v>Itālija</c:v>
                </c:pt>
                <c:pt idx="27">
                  <c:v>Francija</c:v>
                </c:pt>
                <c:pt idx="28">
                  <c:v>Spānija</c:v>
                </c:pt>
              </c:strCache>
            </c:strRef>
          </c:cat>
          <c:val>
            <c:numRef>
              <c:f>Data!$K$12:$K$40</c:f>
              <c:numCache>
                <c:formatCode>0.0</c:formatCode>
                <c:ptCount val="29"/>
                <c:pt idx="0">
                  <c:v>1.2743012509861416</c:v>
                </c:pt>
                <c:pt idx="1">
                  <c:v>-1.0141954631256027</c:v>
                </c:pt>
                <c:pt idx="2">
                  <c:v>-3.2102122804500794</c:v>
                </c:pt>
                <c:pt idx="3">
                  <c:v>-3.4118991369074223</c:v>
                </c:pt>
                <c:pt idx="4">
                  <c:v>-3.5608539512950586</c:v>
                </c:pt>
                <c:pt idx="5">
                  <c:v>-3.8972055888223593</c:v>
                </c:pt>
                <c:pt idx="6">
                  <c:v>-3.992378545407874</c:v>
                </c:pt>
                <c:pt idx="7">
                  <c:v>-4.1973881675226892</c:v>
                </c:pt>
                <c:pt idx="8">
                  <c:v>-4.223479960830204</c:v>
                </c:pt>
                <c:pt idx="9">
                  <c:v>-4.5697831708244081</c:v>
                </c:pt>
                <c:pt idx="10">
                  <c:v>-4.8397189203678437</c:v>
                </c:pt>
                <c:pt idx="11">
                  <c:v>-5.2</c:v>
                </c:pt>
                <c:pt idx="12">
                  <c:v>-5.7111801834442417</c:v>
                </c:pt>
                <c:pt idx="13">
                  <c:v>-6.0695381353991564</c:v>
                </c:pt>
                <c:pt idx="14">
                  <c:v>-6.4279837380091891</c:v>
                </c:pt>
                <c:pt idx="15">
                  <c:v>-6.5322091451822644</c:v>
                </c:pt>
                <c:pt idx="16">
                  <c:v>-7.6832084718075748</c:v>
                </c:pt>
                <c:pt idx="17">
                  <c:v>-7.6962944544139162</c:v>
                </c:pt>
                <c:pt idx="18">
                  <c:v>-7.8114430312090093</c:v>
                </c:pt>
                <c:pt idx="19">
                  <c:v>-7.8936948712689201</c:v>
                </c:pt>
                <c:pt idx="20">
                  <c:v>-8.0891579421258797</c:v>
                </c:pt>
                <c:pt idx="21">
                  <c:v>-8.3320849341315864</c:v>
                </c:pt>
                <c:pt idx="22">
                  <c:v>-8.5138305297227248</c:v>
                </c:pt>
                <c:pt idx="23">
                  <c:v>-8.5469380232064651</c:v>
                </c:pt>
                <c:pt idx="24">
                  <c:v>-8.9877390862680926</c:v>
                </c:pt>
                <c:pt idx="25">
                  <c:v>-9.3255636224684793</c:v>
                </c:pt>
                <c:pt idx="26">
                  <c:v>-11.990937217216796</c:v>
                </c:pt>
                <c:pt idx="27">
                  <c:v>-12.252424508977299</c:v>
                </c:pt>
                <c:pt idx="28">
                  <c:v>-13.14671584695536</c:v>
                </c:pt>
              </c:numCache>
            </c:numRef>
          </c:val>
          <c:extLst>
            <c:ext xmlns:c16="http://schemas.microsoft.com/office/drawing/2014/chart" uri="{C3380CC4-5D6E-409C-BE32-E72D297353CC}">
              <c16:uniqueId val="{0000000E-D5FA-42B4-BC90-8DE5545B0D38}"/>
            </c:ext>
          </c:extLst>
        </c:ser>
        <c:dLbls>
          <c:showLegendKey val="0"/>
          <c:showVal val="0"/>
          <c:showCatName val="0"/>
          <c:showSerName val="0"/>
          <c:showPercent val="0"/>
          <c:showBubbleSize val="0"/>
        </c:dLbls>
        <c:gapWidth val="50"/>
        <c:overlap val="-27"/>
        <c:axId val="985087200"/>
        <c:axId val="1"/>
      </c:barChart>
      <c:catAx>
        <c:axId val="9850872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sz="900"/>
            </a:pPr>
            <a:endParaRPr lang="lv-LV"/>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60000000" vert="horz"/>
          <a:lstStyle/>
          <a:p>
            <a:pPr>
              <a:defRPr sz="900"/>
            </a:pPr>
            <a:endParaRPr lang="lv-LV"/>
          </a:p>
        </c:txPr>
        <c:crossAx val="98508720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556206636961076"/>
          <c:y val="0.25135713639243368"/>
          <c:w val="0.50708905572849905"/>
          <c:h val="0.56391800162910666"/>
        </c:manualLayout>
      </c:layout>
      <c:pieChart>
        <c:varyColors val="1"/>
        <c:ser>
          <c:idx val="0"/>
          <c:order val="0"/>
          <c:dPt>
            <c:idx val="0"/>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1-AF77-4957-A1FE-CC820A72BCE5}"/>
              </c:ext>
            </c:extLst>
          </c:dPt>
          <c:dPt>
            <c:idx val="1"/>
            <c:bubble3D val="0"/>
            <c:spPr>
              <a:pattFill prst="dkUpDiag">
                <a:fgClr>
                  <a:schemeClr val="tx1">
                    <a:lumMod val="50000"/>
                    <a:lumOff val="50000"/>
                  </a:schemeClr>
                </a:fgClr>
                <a:bgClr>
                  <a:schemeClr val="bg1"/>
                </a:bgClr>
              </a:pattFill>
              <a:ln w="19050">
                <a:solidFill>
                  <a:schemeClr val="lt1"/>
                </a:solidFill>
              </a:ln>
              <a:effectLst/>
            </c:spPr>
            <c:extLst>
              <c:ext xmlns:c16="http://schemas.microsoft.com/office/drawing/2014/chart" uri="{C3380CC4-5D6E-409C-BE32-E72D297353CC}">
                <c16:uniqueId val="{00000003-AF77-4957-A1FE-CC820A72BCE5}"/>
              </c:ext>
            </c:extLst>
          </c:dPt>
          <c:dPt>
            <c:idx val="2"/>
            <c:bubble3D val="0"/>
            <c:spPr>
              <a:solidFill>
                <a:srgbClr val="FFFF99"/>
              </a:solidFill>
              <a:ln w="19050">
                <a:solidFill>
                  <a:schemeClr val="lt1"/>
                </a:solidFill>
              </a:ln>
              <a:effectLst/>
            </c:spPr>
            <c:extLst>
              <c:ext xmlns:c16="http://schemas.microsoft.com/office/drawing/2014/chart" uri="{C3380CC4-5D6E-409C-BE32-E72D297353CC}">
                <c16:uniqueId val="{00000005-AF77-4957-A1FE-CC820A72BCE5}"/>
              </c:ext>
            </c:extLst>
          </c:dPt>
          <c:dPt>
            <c:idx val="3"/>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7-AF77-4957-A1FE-CC820A72BCE5}"/>
              </c:ext>
            </c:extLst>
          </c:dPt>
          <c:dPt>
            <c:idx val="4"/>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9-AF77-4957-A1FE-CC820A72BCE5}"/>
              </c:ext>
            </c:extLst>
          </c:dPt>
          <c:dPt>
            <c:idx val="5"/>
            <c:bubble3D val="0"/>
            <c:spPr>
              <a:pattFill prst="dkUpDiag">
                <a:fgClr>
                  <a:schemeClr val="accent4">
                    <a:lumMod val="75000"/>
                  </a:schemeClr>
                </a:fgClr>
                <a:bgClr>
                  <a:schemeClr val="bg1"/>
                </a:bgClr>
              </a:pattFill>
              <a:ln w="19050">
                <a:solidFill>
                  <a:schemeClr val="lt1"/>
                </a:solidFill>
              </a:ln>
              <a:effectLst/>
            </c:spPr>
            <c:extLst>
              <c:ext xmlns:c16="http://schemas.microsoft.com/office/drawing/2014/chart" uri="{C3380CC4-5D6E-409C-BE32-E72D297353CC}">
                <c16:uniqueId val="{0000000B-AF77-4957-A1FE-CC820A72BCE5}"/>
              </c:ext>
            </c:extLst>
          </c:dPt>
          <c:dPt>
            <c:idx val="6"/>
            <c:bubble3D val="0"/>
            <c:spPr>
              <a:solidFill>
                <a:schemeClr val="accent1"/>
              </a:solidFill>
              <a:ln w="19050">
                <a:solidFill>
                  <a:schemeClr val="lt1"/>
                </a:solidFill>
              </a:ln>
              <a:effectLst/>
            </c:spPr>
            <c:extLst>
              <c:ext xmlns:c16="http://schemas.microsoft.com/office/drawing/2014/chart" uri="{C3380CC4-5D6E-409C-BE32-E72D297353CC}">
                <c16:uniqueId val="{0000000D-AF77-4957-A1FE-CC820A72BCE5}"/>
              </c:ext>
            </c:extLst>
          </c:dPt>
          <c:dPt>
            <c:idx val="7"/>
            <c:bubble3D val="0"/>
            <c:spPr>
              <a:solidFill>
                <a:schemeClr val="tx1">
                  <a:lumMod val="50000"/>
                  <a:lumOff val="50000"/>
                </a:schemeClr>
              </a:solidFill>
              <a:ln w="19050">
                <a:solidFill>
                  <a:schemeClr val="lt1"/>
                </a:solidFill>
              </a:ln>
              <a:effectLst/>
            </c:spPr>
            <c:extLst>
              <c:ext xmlns:c16="http://schemas.microsoft.com/office/drawing/2014/chart" uri="{C3380CC4-5D6E-409C-BE32-E72D297353CC}">
                <c16:uniqueId val="{0000000F-AF77-4957-A1FE-CC820A72BCE5}"/>
              </c:ext>
            </c:extLst>
          </c:dPt>
          <c:dPt>
            <c:idx val="8"/>
            <c:bubble3D val="0"/>
            <c:spPr>
              <a:pattFill prst="dkUpDiag">
                <a:fgClr>
                  <a:schemeClr val="accent2">
                    <a:lumMod val="60000"/>
                    <a:lumOff val="40000"/>
                  </a:schemeClr>
                </a:fgClr>
                <a:bgClr>
                  <a:schemeClr val="bg1"/>
                </a:bgClr>
              </a:pattFill>
              <a:ln w="19050">
                <a:solidFill>
                  <a:schemeClr val="lt1"/>
                </a:solidFill>
              </a:ln>
              <a:effectLst/>
            </c:spPr>
            <c:extLst>
              <c:ext xmlns:c16="http://schemas.microsoft.com/office/drawing/2014/chart" uri="{C3380CC4-5D6E-409C-BE32-E72D297353CC}">
                <c16:uniqueId val="{00000011-AF77-4957-A1FE-CC820A72BCE5}"/>
              </c:ext>
            </c:extLst>
          </c:dPt>
          <c:dLbls>
            <c:dLbl>
              <c:idx val="0"/>
              <c:layout>
                <c:manualLayout>
                  <c:x val="-8.9250645994832095E-2"/>
                  <c:y val="6.9044709928500186E-3"/>
                </c:manualLayout>
              </c:layout>
              <c:showLegendKey val="0"/>
              <c:showVal val="0"/>
              <c:showCatName val="1"/>
              <c:showSerName val="0"/>
              <c:showPercent val="1"/>
              <c:showBubbleSize val="0"/>
              <c:extLst>
                <c:ext xmlns:c15="http://schemas.microsoft.com/office/drawing/2012/chart" uri="{CE6537A1-D6FC-4f65-9D91-7224C49458BB}">
                  <c15:layout>
                    <c:manualLayout>
                      <c:w val="0.4200871680030821"/>
                      <c:h val="0.15756946329984611"/>
                    </c:manualLayout>
                  </c15:layout>
                </c:ext>
                <c:ext xmlns:c16="http://schemas.microsoft.com/office/drawing/2014/chart" uri="{C3380CC4-5D6E-409C-BE32-E72D297353CC}">
                  <c16:uniqueId val="{00000001-AF77-4957-A1FE-CC820A72BCE5}"/>
                </c:ext>
              </c:extLst>
            </c:dLbl>
            <c:dLbl>
              <c:idx val="1"/>
              <c:layout>
                <c:manualLayout>
                  <c:x val="-4.809863883293658E-2"/>
                  <c:y val="9.3697845958910286E-2"/>
                </c:manualLayout>
              </c:layout>
              <c:showLegendKey val="0"/>
              <c:showVal val="0"/>
              <c:showCatName val="1"/>
              <c:showSerName val="0"/>
              <c:showPercent val="1"/>
              <c:showBubbleSize val="0"/>
              <c:extLst>
                <c:ext xmlns:c15="http://schemas.microsoft.com/office/drawing/2012/chart" uri="{CE6537A1-D6FC-4f65-9D91-7224C49458BB}">
                  <c15:layout>
                    <c:manualLayout>
                      <c:w val="0.31728912326326181"/>
                      <c:h val="0.19560367454068239"/>
                    </c:manualLayout>
                  </c15:layout>
                </c:ext>
                <c:ext xmlns:c16="http://schemas.microsoft.com/office/drawing/2014/chart" uri="{C3380CC4-5D6E-409C-BE32-E72D297353CC}">
                  <c16:uniqueId val="{00000003-AF77-4957-A1FE-CC820A72BCE5}"/>
                </c:ext>
              </c:extLst>
            </c:dLbl>
            <c:dLbl>
              <c:idx val="2"/>
              <c:layout>
                <c:manualLayout>
                  <c:x val="-5.1101751815908628E-3"/>
                  <c:y val="2.0877454973300224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31940263281043357"/>
                      <c:h val="0.15537378948321112"/>
                    </c:manualLayout>
                  </c15:layout>
                </c:ext>
                <c:ext xmlns:c16="http://schemas.microsoft.com/office/drawing/2014/chart" uri="{C3380CC4-5D6E-409C-BE32-E72D297353CC}">
                  <c16:uniqueId val="{00000005-AF77-4957-A1FE-CC820A72BCE5}"/>
                </c:ext>
              </c:extLst>
            </c:dLbl>
            <c:dLbl>
              <c:idx val="3"/>
              <c:layout>
                <c:manualLayout>
                  <c:x val="0"/>
                  <c:y val="-4.534120734908136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34709475269079737"/>
                      <c:h val="0.25287356321839083"/>
                    </c:manualLayout>
                  </c15:layout>
                </c:ext>
                <c:ext xmlns:c16="http://schemas.microsoft.com/office/drawing/2014/chart" uri="{C3380CC4-5D6E-409C-BE32-E72D297353CC}">
                  <c16:uniqueId val="{00000007-AF77-4957-A1FE-CC820A72BCE5}"/>
                </c:ext>
              </c:extLst>
            </c:dLbl>
            <c:dLbl>
              <c:idx val="4"/>
              <c:layout>
                <c:manualLayout>
                  <c:x val="-3.4011068383893922E-2"/>
                  <c:y val="-1.0752104262830269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38220187592829963"/>
                      <c:h val="0.21106344465562496"/>
                    </c:manualLayout>
                  </c15:layout>
                </c:ext>
                <c:ext xmlns:c16="http://schemas.microsoft.com/office/drawing/2014/chart" uri="{C3380CC4-5D6E-409C-BE32-E72D297353CC}">
                  <c16:uniqueId val="{00000009-AF77-4957-A1FE-CC820A72BCE5}"/>
                </c:ext>
              </c:extLst>
            </c:dLbl>
            <c:dLbl>
              <c:idx val="5"/>
              <c:layout>
                <c:manualLayout>
                  <c:x val="9.7859162953468026E-2"/>
                  <c:y val="3.7842338673183096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29051984780972145"/>
                      <c:h val="0.17672413793103448"/>
                    </c:manualLayout>
                  </c15:layout>
                </c:ext>
                <c:ext xmlns:c16="http://schemas.microsoft.com/office/drawing/2014/chart" uri="{C3380CC4-5D6E-409C-BE32-E72D297353CC}">
                  <c16:uniqueId val="{0000000B-AF77-4957-A1FE-CC820A72BCE5}"/>
                </c:ext>
              </c:extLst>
            </c:dLbl>
            <c:dLbl>
              <c:idx val="6"/>
              <c:layout>
                <c:manualLayout>
                  <c:x val="4.6959246373273099E-4"/>
                  <c:y val="8.8297583491718703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44886175925257049"/>
                      <c:h val="0.19145126255769754"/>
                    </c:manualLayout>
                  </c15:layout>
                </c:ext>
                <c:ext xmlns:c16="http://schemas.microsoft.com/office/drawing/2014/chart" uri="{C3380CC4-5D6E-409C-BE32-E72D297353CC}">
                  <c16:uniqueId val="{0000000D-AF77-4957-A1FE-CC820A72BCE5}"/>
                </c:ext>
              </c:extLst>
            </c:dLbl>
            <c:dLbl>
              <c:idx val="7"/>
              <c:layout>
                <c:manualLayout>
                  <c:x val="2.0346293922562005E-7"/>
                  <c:y val="-2.883926147162639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33269323892652947"/>
                      <c:h val="0.28577608833378587"/>
                    </c:manualLayout>
                  </c15:layout>
                </c:ext>
                <c:ext xmlns:c16="http://schemas.microsoft.com/office/drawing/2014/chart" uri="{C3380CC4-5D6E-409C-BE32-E72D297353CC}">
                  <c16:uniqueId val="{0000000F-AF77-4957-A1FE-CC820A72BCE5}"/>
                </c:ext>
              </c:extLst>
            </c:dLbl>
            <c:dLbl>
              <c:idx val="8"/>
              <c:layout>
                <c:manualLayout>
                  <c:x val="0"/>
                  <c:y val="5.844691827314686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43883781969114327"/>
                      <c:h val="0.15660919540229884"/>
                    </c:manualLayout>
                  </c15:layout>
                </c:ext>
                <c:ext xmlns:c16="http://schemas.microsoft.com/office/drawing/2014/chart" uri="{C3380CC4-5D6E-409C-BE32-E72D297353CC}">
                  <c16:uniqueId val="{00000011-AF77-4957-A1FE-CC820A72BCE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'PV strukt'!$A$52:$A$60</c:f>
              <c:strCache>
                <c:ptCount val="9"/>
                <c:pt idx="0">
                  <c:v>Lauksaimniecība</c:v>
                </c:pt>
                <c:pt idx="1">
                  <c:v>Rūpniecība</c:v>
                </c:pt>
                <c:pt idx="2">
                  <c:v>Būvniecība</c:v>
                </c:pt>
                <c:pt idx="3">
                  <c:v>Transports un uzglabāšana</c:v>
                </c:pt>
                <c:pt idx="4">
                  <c:v>Tirdzniecība, izmitināšana</c:v>
                </c:pt>
                <c:pt idx="5">
                  <c:v>Finanšu pak. </c:v>
                </c:pt>
                <c:pt idx="6">
                  <c:v>Operācijas ar NĪ</c:v>
                </c:pt>
                <c:pt idx="7">
                  <c:v>IT un komunikācijas pak.</c:v>
                </c:pt>
                <c:pt idx="8">
                  <c:v>Citi pakalpojumi</c:v>
                </c:pt>
              </c:strCache>
            </c:strRef>
          </c:cat>
          <c:val>
            <c:numRef>
              <c:f>'PV strukt'!$B$52:$B$60</c:f>
              <c:numCache>
                <c:formatCode>0.0</c:formatCode>
                <c:ptCount val="9"/>
                <c:pt idx="0">
                  <c:v>3.2</c:v>
                </c:pt>
                <c:pt idx="1">
                  <c:v>16</c:v>
                </c:pt>
                <c:pt idx="2">
                  <c:v>10.3</c:v>
                </c:pt>
                <c:pt idx="3">
                  <c:v>10.199999999999999</c:v>
                </c:pt>
                <c:pt idx="4">
                  <c:v>16.399999999999999</c:v>
                </c:pt>
                <c:pt idx="5">
                  <c:v>4.9000000000000004</c:v>
                </c:pt>
                <c:pt idx="6">
                  <c:v>8.6999999999999993</c:v>
                </c:pt>
                <c:pt idx="7">
                  <c:v>4.7</c:v>
                </c:pt>
                <c:pt idx="8">
                  <c:v>25.599999999999994</c:v>
                </c:pt>
              </c:numCache>
            </c:numRef>
          </c:val>
          <c:extLst>
            <c:ext xmlns:c16="http://schemas.microsoft.com/office/drawing/2014/chart" uri="{C3380CC4-5D6E-409C-BE32-E72D297353CC}">
              <c16:uniqueId val="{00000012-AF77-4957-A1FE-CC820A72BCE5}"/>
            </c:ext>
          </c:extLst>
        </c:ser>
        <c:dLbls>
          <c:showLegendKey val="0"/>
          <c:showVal val="1"/>
          <c:showCatName val="0"/>
          <c:showSerName val="0"/>
          <c:showPercent val="0"/>
          <c:showBubbleSize val="0"/>
          <c:showLeaderLines val="1"/>
        </c:dLbls>
        <c:firstSliceAng val="0"/>
      </c:pieChart>
      <c:spPr>
        <a:noFill/>
        <a:ln>
          <a:solidFill>
            <a:schemeClr val="bg1"/>
          </a:solid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472222222222221"/>
          <c:y val="0.11342592592592593"/>
          <c:w val="0.44722222222222224"/>
          <c:h val="0.74537037037037035"/>
        </c:manualLayout>
      </c:layout>
      <c:pieChart>
        <c:varyColors val="1"/>
        <c:ser>
          <c:idx val="0"/>
          <c:order val="0"/>
          <c:dPt>
            <c:idx val="0"/>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1-7C8B-4AE5-BEDB-38C1A94D70B5}"/>
              </c:ext>
            </c:extLst>
          </c:dPt>
          <c:dPt>
            <c:idx val="1"/>
            <c:bubble3D val="0"/>
            <c:spPr>
              <a:pattFill prst="dkUpDiag">
                <a:fgClr>
                  <a:schemeClr val="tx1">
                    <a:lumMod val="50000"/>
                    <a:lumOff val="50000"/>
                  </a:schemeClr>
                </a:fgClr>
                <a:bgClr>
                  <a:schemeClr val="bg1"/>
                </a:bgClr>
              </a:pattFill>
              <a:ln w="19050">
                <a:solidFill>
                  <a:schemeClr val="lt1"/>
                </a:solidFill>
              </a:ln>
              <a:effectLst/>
            </c:spPr>
            <c:extLst>
              <c:ext xmlns:c16="http://schemas.microsoft.com/office/drawing/2014/chart" uri="{C3380CC4-5D6E-409C-BE32-E72D297353CC}">
                <c16:uniqueId val="{00000003-7C8B-4AE5-BEDB-38C1A94D70B5}"/>
              </c:ext>
            </c:extLst>
          </c:dPt>
          <c:dPt>
            <c:idx val="2"/>
            <c:bubble3D val="0"/>
            <c:spPr>
              <a:solidFill>
                <a:srgbClr val="FFFF99"/>
              </a:solidFill>
              <a:ln w="19050">
                <a:solidFill>
                  <a:schemeClr val="lt1"/>
                </a:solidFill>
              </a:ln>
              <a:effectLst/>
            </c:spPr>
            <c:extLst>
              <c:ext xmlns:c16="http://schemas.microsoft.com/office/drawing/2014/chart" uri="{C3380CC4-5D6E-409C-BE32-E72D297353CC}">
                <c16:uniqueId val="{00000005-7C8B-4AE5-BEDB-38C1A94D70B5}"/>
              </c:ext>
            </c:extLst>
          </c:dPt>
          <c:dPt>
            <c:idx val="3"/>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7-7C8B-4AE5-BEDB-38C1A94D70B5}"/>
              </c:ext>
            </c:extLst>
          </c:dPt>
          <c:dPt>
            <c:idx val="4"/>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9-7C8B-4AE5-BEDB-38C1A94D70B5}"/>
              </c:ext>
            </c:extLst>
          </c:dPt>
          <c:dPt>
            <c:idx val="5"/>
            <c:bubble3D val="0"/>
            <c:spPr>
              <a:pattFill prst="dkUpDiag">
                <a:fgClr>
                  <a:schemeClr val="accent4">
                    <a:lumMod val="75000"/>
                  </a:schemeClr>
                </a:fgClr>
                <a:bgClr>
                  <a:schemeClr val="bg1"/>
                </a:bgClr>
              </a:pattFill>
              <a:ln w="19050">
                <a:solidFill>
                  <a:schemeClr val="lt1"/>
                </a:solidFill>
              </a:ln>
              <a:effectLst/>
            </c:spPr>
            <c:extLst>
              <c:ext xmlns:c16="http://schemas.microsoft.com/office/drawing/2014/chart" uri="{C3380CC4-5D6E-409C-BE32-E72D297353CC}">
                <c16:uniqueId val="{0000000B-7C8B-4AE5-BEDB-38C1A94D70B5}"/>
              </c:ext>
            </c:extLst>
          </c:dPt>
          <c:dPt>
            <c:idx val="6"/>
            <c:bubble3D val="0"/>
            <c:spPr>
              <a:solidFill>
                <a:schemeClr val="accent1"/>
              </a:solidFill>
              <a:ln w="19050">
                <a:solidFill>
                  <a:schemeClr val="lt1"/>
                </a:solidFill>
              </a:ln>
              <a:effectLst/>
            </c:spPr>
            <c:extLst>
              <c:ext xmlns:c16="http://schemas.microsoft.com/office/drawing/2014/chart" uri="{C3380CC4-5D6E-409C-BE32-E72D297353CC}">
                <c16:uniqueId val="{0000000D-7C8B-4AE5-BEDB-38C1A94D70B5}"/>
              </c:ext>
            </c:extLst>
          </c:dPt>
          <c:dPt>
            <c:idx val="7"/>
            <c:bubble3D val="0"/>
            <c:spPr>
              <a:solidFill>
                <a:schemeClr val="tx1">
                  <a:lumMod val="50000"/>
                  <a:lumOff val="50000"/>
                </a:schemeClr>
              </a:solidFill>
              <a:ln w="19050">
                <a:solidFill>
                  <a:schemeClr val="lt1"/>
                </a:solidFill>
              </a:ln>
              <a:effectLst/>
            </c:spPr>
            <c:extLst>
              <c:ext xmlns:c16="http://schemas.microsoft.com/office/drawing/2014/chart" uri="{C3380CC4-5D6E-409C-BE32-E72D297353CC}">
                <c16:uniqueId val="{0000000F-7C8B-4AE5-BEDB-38C1A94D70B5}"/>
              </c:ext>
            </c:extLst>
          </c:dPt>
          <c:dPt>
            <c:idx val="8"/>
            <c:bubble3D val="0"/>
            <c:spPr>
              <a:pattFill prst="dkUpDiag">
                <a:fgClr>
                  <a:schemeClr val="accent2">
                    <a:lumMod val="60000"/>
                    <a:lumOff val="40000"/>
                  </a:schemeClr>
                </a:fgClr>
                <a:bgClr>
                  <a:schemeClr val="bg1"/>
                </a:bgClr>
              </a:pattFill>
              <a:ln w="19050">
                <a:solidFill>
                  <a:schemeClr val="lt1"/>
                </a:solidFill>
              </a:ln>
              <a:effectLst/>
            </c:spPr>
            <c:extLst>
              <c:ext xmlns:c16="http://schemas.microsoft.com/office/drawing/2014/chart" uri="{C3380CC4-5D6E-409C-BE32-E72D297353CC}">
                <c16:uniqueId val="{00000011-7C8B-4AE5-BEDB-38C1A94D70B5}"/>
              </c:ext>
            </c:extLst>
          </c:dPt>
          <c:dLbls>
            <c:dLbl>
              <c:idx val="0"/>
              <c:layout>
                <c:manualLayout>
                  <c:x val="-7.4829029238478062E-2"/>
                  <c:y val="9.2594352430084171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36125874125874119"/>
                      <c:h val="0.14962666304642952"/>
                    </c:manualLayout>
                  </c15:layout>
                </c:ext>
                <c:ext xmlns:c16="http://schemas.microsoft.com/office/drawing/2014/chart" uri="{C3380CC4-5D6E-409C-BE32-E72D297353CC}">
                  <c16:uniqueId val="{00000001-7C8B-4AE5-BEDB-38C1A94D70B5}"/>
                </c:ext>
              </c:extLst>
            </c:dLbl>
            <c:dLbl>
              <c:idx val="1"/>
              <c:layout>
                <c:manualLayout>
                  <c:x val="-2.8105831176697404E-2"/>
                  <c:y val="5.6314372341388336E-2"/>
                </c:manualLayout>
              </c:layout>
              <c:showLegendKey val="0"/>
              <c:showVal val="0"/>
              <c:showCatName val="1"/>
              <c:showSerName val="0"/>
              <c:showPercent val="1"/>
              <c:showBubbleSize val="0"/>
              <c:extLst>
                <c:ext xmlns:c15="http://schemas.microsoft.com/office/drawing/2012/chart" uri="{CE6537A1-D6FC-4f65-9D91-7224C49458BB}">
                  <c15:layout>
                    <c:manualLayout>
                      <c:w val="0.31000018354349057"/>
                      <c:h val="0.19560367454068239"/>
                    </c:manualLayout>
                  </c15:layout>
                </c:ext>
                <c:ext xmlns:c16="http://schemas.microsoft.com/office/drawing/2014/chart" uri="{C3380CC4-5D6E-409C-BE32-E72D297353CC}">
                  <c16:uniqueId val="{00000003-7C8B-4AE5-BEDB-38C1A94D70B5}"/>
                </c:ext>
              </c:extLst>
            </c:dLbl>
            <c:dLbl>
              <c:idx val="2"/>
              <c:layout>
                <c:manualLayout>
                  <c:x val="-4.1957858414551415E-2"/>
                  <c:y val="2.6978007059462395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2762237762237762"/>
                      <c:h val="0.17385057471264367"/>
                    </c:manualLayout>
                  </c15:layout>
                </c:ext>
                <c:ext xmlns:c16="http://schemas.microsoft.com/office/drawing/2014/chart" uri="{C3380CC4-5D6E-409C-BE32-E72D297353CC}">
                  <c16:uniqueId val="{00000005-7C8B-4AE5-BEDB-38C1A94D70B5}"/>
                </c:ext>
              </c:extLst>
            </c:dLbl>
            <c:dLbl>
              <c:idx val="3"/>
              <c:layout>
                <c:manualLayout>
                  <c:x val="-4.1958041958042043E-2"/>
                  <c:y val="-1.0170377409720389E-2"/>
                </c:manualLayout>
              </c:layout>
              <c:showLegendKey val="0"/>
              <c:showVal val="0"/>
              <c:showCatName val="1"/>
              <c:showSerName val="0"/>
              <c:showPercent val="1"/>
              <c:showBubbleSize val="0"/>
              <c:extLst>
                <c:ext xmlns:c15="http://schemas.microsoft.com/office/drawing/2012/chart" uri="{CE6537A1-D6FC-4f65-9D91-7224C49458BB}">
                  <c15:layout>
                    <c:manualLayout>
                      <c:w val="0.26797202797202796"/>
                      <c:h val="0.31451172051769388"/>
                    </c:manualLayout>
                  </c15:layout>
                </c:ext>
                <c:ext xmlns:c16="http://schemas.microsoft.com/office/drawing/2014/chart" uri="{C3380CC4-5D6E-409C-BE32-E72D297353CC}">
                  <c16:uniqueId val="{00000007-7C8B-4AE5-BEDB-38C1A94D70B5}"/>
                </c:ext>
              </c:extLst>
            </c:dLbl>
            <c:dLbl>
              <c:idx val="4"/>
              <c:layout>
                <c:manualLayout>
                  <c:x val="-5.9952462235926887E-2"/>
                  <c:y val="-9.9533894470087798E-4"/>
                </c:manualLayout>
              </c:layout>
              <c:showLegendKey val="0"/>
              <c:showVal val="0"/>
              <c:showCatName val="1"/>
              <c:showSerName val="0"/>
              <c:showPercent val="1"/>
              <c:showBubbleSize val="0"/>
              <c:extLst>
                <c:ext xmlns:c15="http://schemas.microsoft.com/office/drawing/2012/chart" uri="{CE6537A1-D6FC-4f65-9D91-7224C49458BB}">
                  <c15:layout>
                    <c:manualLayout>
                      <c:w val="0.27729603729603725"/>
                      <c:h val="0.31451172051769388"/>
                    </c:manualLayout>
                  </c15:layout>
                </c:ext>
                <c:ext xmlns:c16="http://schemas.microsoft.com/office/drawing/2014/chart" uri="{C3380CC4-5D6E-409C-BE32-E72D297353CC}">
                  <c16:uniqueId val="{00000009-7C8B-4AE5-BEDB-38C1A94D70B5}"/>
                </c:ext>
              </c:extLst>
            </c:dLbl>
            <c:dLbl>
              <c:idx val="5"/>
              <c:layout>
                <c:manualLayout>
                  <c:x val="8.6085935062312977E-2"/>
                  <c:y val="-4.7490723142365821E-3"/>
                </c:manualLayout>
              </c:layout>
              <c:showLegendKey val="0"/>
              <c:showVal val="0"/>
              <c:showCatName val="1"/>
              <c:showSerName val="0"/>
              <c:showPercent val="1"/>
              <c:showBubbleSize val="0"/>
              <c:extLst>
                <c:ext xmlns:c15="http://schemas.microsoft.com/office/drawing/2012/chart" uri="{CE6537A1-D6FC-4f65-9D91-7224C49458BB}">
                  <c15:layout>
                    <c:manualLayout>
                      <c:w val="0.23076923076923078"/>
                      <c:h val="0.19560367454068239"/>
                    </c:manualLayout>
                  </c15:layout>
                </c:ext>
                <c:ext xmlns:c16="http://schemas.microsoft.com/office/drawing/2014/chart" uri="{C3380CC4-5D6E-409C-BE32-E72D297353CC}">
                  <c16:uniqueId val="{0000000B-7C8B-4AE5-BEDB-38C1A94D70B5}"/>
                </c:ext>
              </c:extLst>
            </c:dLbl>
            <c:dLbl>
              <c:idx val="6"/>
              <c:layout>
                <c:manualLayout>
                  <c:x val="5.7555567791788255E-2"/>
                  <c:y val="2.8194859263281744E-3"/>
                </c:manualLayout>
              </c:layout>
              <c:showLegendKey val="0"/>
              <c:showVal val="0"/>
              <c:showCatName val="1"/>
              <c:showSerName val="0"/>
              <c:showPercent val="1"/>
              <c:showBubbleSize val="0"/>
              <c:extLst>
                <c:ext xmlns:c15="http://schemas.microsoft.com/office/drawing/2012/chart" uri="{CE6537A1-D6FC-4f65-9D91-7224C49458BB}">
                  <c15:layout>
                    <c:manualLayout>
                      <c:w val="0.36818200172530879"/>
                      <c:h val="0.19560367454068239"/>
                    </c:manualLayout>
                  </c15:layout>
                </c:ext>
                <c:ext xmlns:c16="http://schemas.microsoft.com/office/drawing/2014/chart" uri="{C3380CC4-5D6E-409C-BE32-E72D297353CC}">
                  <c16:uniqueId val="{0000000D-7C8B-4AE5-BEDB-38C1A94D70B5}"/>
                </c:ext>
              </c:extLst>
            </c:dLbl>
            <c:dLbl>
              <c:idx val="7"/>
              <c:layout>
                <c:manualLayout>
                  <c:x val="5.3293504395866595E-2"/>
                  <c:y val="-2.3749660602769535E-2"/>
                </c:manualLayout>
              </c:layout>
              <c:showLegendKey val="0"/>
              <c:showVal val="0"/>
              <c:showCatName val="1"/>
              <c:showSerName val="0"/>
              <c:showPercent val="1"/>
              <c:showBubbleSize val="0"/>
              <c:extLst>
                <c:ext xmlns:c15="http://schemas.microsoft.com/office/drawing/2012/chart" uri="{CE6537A1-D6FC-4f65-9D91-7224C49458BB}">
                  <c15:layout>
                    <c:manualLayout>
                      <c:w val="0.30766918121248826"/>
                      <c:h val="0.25505747126436784"/>
                    </c:manualLayout>
                  </c15:layout>
                </c:ext>
                <c:ext xmlns:c16="http://schemas.microsoft.com/office/drawing/2014/chart" uri="{C3380CC4-5D6E-409C-BE32-E72D297353CC}">
                  <c16:uniqueId val="{0000000F-7C8B-4AE5-BEDB-38C1A94D70B5}"/>
                </c:ext>
              </c:extLst>
            </c:dLbl>
            <c:dLbl>
              <c:idx val="8"/>
              <c:layout>
                <c:manualLayout>
                  <c:x val="3.7296037296037296E-2"/>
                  <c:y val="9.071092406552626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34382284382284384"/>
                      <c:h val="0.18103448275862069"/>
                    </c:manualLayout>
                  </c15:layout>
                </c:ext>
                <c:ext xmlns:c16="http://schemas.microsoft.com/office/drawing/2014/chart" uri="{C3380CC4-5D6E-409C-BE32-E72D297353CC}">
                  <c16:uniqueId val="{00000011-7C8B-4AE5-BEDB-38C1A94D70B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'PV strukt'!$A$26:$A$34</c:f>
              <c:strCache>
                <c:ptCount val="9"/>
                <c:pt idx="0">
                  <c:v>Lauksaimniecība</c:v>
                </c:pt>
                <c:pt idx="1">
                  <c:v>Rūpniecība</c:v>
                </c:pt>
                <c:pt idx="2">
                  <c:v>Būvniecība</c:v>
                </c:pt>
                <c:pt idx="3">
                  <c:v>Transports un uzglabāšana</c:v>
                </c:pt>
                <c:pt idx="4">
                  <c:v>Tirdzniecība, izmitināšana</c:v>
                </c:pt>
                <c:pt idx="5">
                  <c:v>Finanšu pak. </c:v>
                </c:pt>
                <c:pt idx="6">
                  <c:v>Operācijas ar NĪ</c:v>
                </c:pt>
                <c:pt idx="7">
                  <c:v>IT un komunikācijas pak.</c:v>
                </c:pt>
                <c:pt idx="8">
                  <c:v>Citi pakalpojumi</c:v>
                </c:pt>
              </c:strCache>
            </c:strRef>
          </c:cat>
          <c:val>
            <c:numRef>
              <c:f>'PV strukt'!$C$52:$C$60</c:f>
              <c:numCache>
                <c:formatCode>0.0</c:formatCode>
                <c:ptCount val="9"/>
                <c:pt idx="0">
                  <c:v>3.8</c:v>
                </c:pt>
                <c:pt idx="1">
                  <c:v>15.4</c:v>
                </c:pt>
                <c:pt idx="2">
                  <c:v>6.5</c:v>
                </c:pt>
                <c:pt idx="3">
                  <c:v>9.3000000000000007</c:v>
                </c:pt>
                <c:pt idx="4">
                  <c:v>17.5</c:v>
                </c:pt>
                <c:pt idx="5">
                  <c:v>2.9</c:v>
                </c:pt>
                <c:pt idx="6">
                  <c:v>11.644362824378893</c:v>
                </c:pt>
                <c:pt idx="7">
                  <c:v>5.2</c:v>
                </c:pt>
                <c:pt idx="8">
                  <c:v>27.755637175621104</c:v>
                </c:pt>
              </c:numCache>
            </c:numRef>
          </c:val>
          <c:extLst>
            <c:ext xmlns:c16="http://schemas.microsoft.com/office/drawing/2014/chart" uri="{C3380CC4-5D6E-409C-BE32-E72D297353CC}">
              <c16:uniqueId val="{00000012-7C8B-4AE5-BEDB-38C1A94D70B5}"/>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552917822426064E-2"/>
          <c:y val="5.2707235265931962E-2"/>
          <c:w val="0.93457513873852693"/>
          <c:h val="0.66689668702768168"/>
        </c:manualLayout>
      </c:layout>
      <c:lineChart>
        <c:grouping val="standard"/>
        <c:varyColors val="0"/>
        <c:ser>
          <c:idx val="0"/>
          <c:order val="0"/>
          <c:tx>
            <c:strRef>
              <c:f>ESI!$C$1</c:f>
              <c:strCache>
                <c:ptCount val="1"/>
                <c:pt idx="0">
                  <c:v>ES</c:v>
                </c:pt>
              </c:strCache>
            </c:strRef>
          </c:tx>
          <c:spPr>
            <a:ln w="28575" cap="rnd">
              <a:solidFill>
                <a:srgbClr val="0070C0"/>
              </a:solidFill>
              <a:round/>
            </a:ln>
            <a:effectLst/>
          </c:spPr>
          <c:marker>
            <c:symbol val="none"/>
          </c:marker>
          <c:cat>
            <c:multiLvlStrRef>
              <c:f>ESI!$A$14:$B$142</c:f>
              <c:multiLvlStrCache>
                <c:ptCount val="12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pt idx="108">
                    <c:v>I</c:v>
                  </c:pt>
                  <c:pt idx="109">
                    <c:v>II</c:v>
                  </c:pt>
                  <c:pt idx="110">
                    <c:v>III</c:v>
                  </c:pt>
                  <c:pt idx="111">
                    <c:v>IV</c:v>
                  </c:pt>
                  <c:pt idx="112">
                    <c:v>V</c:v>
                  </c:pt>
                  <c:pt idx="113">
                    <c:v>VI</c:v>
                  </c:pt>
                  <c:pt idx="114">
                    <c:v>VII</c:v>
                  </c:pt>
                  <c:pt idx="115">
                    <c:v>VIII</c:v>
                  </c:pt>
                  <c:pt idx="116">
                    <c:v>IX</c:v>
                  </c:pt>
                  <c:pt idx="117">
                    <c:v>X</c:v>
                  </c:pt>
                  <c:pt idx="118">
                    <c:v>XI</c:v>
                  </c:pt>
                  <c:pt idx="119">
                    <c:v>XII</c:v>
                  </c:pt>
                  <c:pt idx="120">
                    <c:v>I</c:v>
                  </c:pt>
                  <c:pt idx="121">
                    <c:v>II</c:v>
                  </c:pt>
                  <c:pt idx="122">
                    <c:v>III</c:v>
                  </c:pt>
                  <c:pt idx="123">
                    <c:v>IV</c:v>
                  </c:pt>
                  <c:pt idx="124">
                    <c:v>V</c:v>
                  </c:pt>
                  <c:pt idx="125">
                    <c:v>VI</c:v>
                  </c:pt>
                  <c:pt idx="126">
                    <c:v>VII</c:v>
                  </c:pt>
                  <c:pt idx="127">
                    <c:v>VIII</c:v>
                  </c:pt>
                  <c:pt idx="128">
                    <c:v>IX</c:v>
                  </c:pt>
                </c:lvl>
                <c:lvl>
                  <c:pt idx="0">
                    <c:v>2010</c:v>
                  </c:pt>
                  <c:pt idx="12">
                    <c:v>2011</c:v>
                  </c:pt>
                  <c:pt idx="24">
                    <c:v>2012</c:v>
                  </c:pt>
                  <c:pt idx="36">
                    <c:v>2013</c:v>
                  </c:pt>
                  <c:pt idx="48">
                    <c:v>2014</c:v>
                  </c:pt>
                  <c:pt idx="60">
                    <c:v>2015</c:v>
                  </c:pt>
                  <c:pt idx="72">
                    <c:v>2016</c:v>
                  </c:pt>
                  <c:pt idx="84">
                    <c:v>2017</c:v>
                  </c:pt>
                  <c:pt idx="96">
                    <c:v>2018</c:v>
                  </c:pt>
                  <c:pt idx="108">
                    <c:v>2019</c:v>
                  </c:pt>
                  <c:pt idx="120">
                    <c:v>20</c:v>
                  </c:pt>
                </c:lvl>
              </c:multiLvlStrCache>
            </c:multiLvlStrRef>
          </c:cat>
          <c:val>
            <c:numRef>
              <c:f>ESI!$C$14:$C$142</c:f>
              <c:numCache>
                <c:formatCode>0.0</c:formatCode>
                <c:ptCount val="129"/>
                <c:pt idx="0">
                  <c:v>93.2</c:v>
                </c:pt>
                <c:pt idx="1">
                  <c:v>94.4</c:v>
                </c:pt>
                <c:pt idx="2">
                  <c:v>96.5</c:v>
                </c:pt>
                <c:pt idx="3">
                  <c:v>99.3</c:v>
                </c:pt>
                <c:pt idx="4">
                  <c:v>97.5</c:v>
                </c:pt>
                <c:pt idx="5">
                  <c:v>98.1</c:v>
                </c:pt>
                <c:pt idx="6">
                  <c:v>99.9</c:v>
                </c:pt>
                <c:pt idx="7">
                  <c:v>100.5</c:v>
                </c:pt>
                <c:pt idx="8">
                  <c:v>101.2</c:v>
                </c:pt>
                <c:pt idx="9">
                  <c:v>102</c:v>
                </c:pt>
                <c:pt idx="10">
                  <c:v>104</c:v>
                </c:pt>
                <c:pt idx="11">
                  <c:v>105.2</c:v>
                </c:pt>
                <c:pt idx="12">
                  <c:v>105.7</c:v>
                </c:pt>
                <c:pt idx="13">
                  <c:v>107.1</c:v>
                </c:pt>
                <c:pt idx="14">
                  <c:v>106.3</c:v>
                </c:pt>
                <c:pt idx="15">
                  <c:v>104.5</c:v>
                </c:pt>
                <c:pt idx="16">
                  <c:v>103.2</c:v>
                </c:pt>
                <c:pt idx="17">
                  <c:v>103</c:v>
                </c:pt>
                <c:pt idx="18">
                  <c:v>100.6</c:v>
                </c:pt>
                <c:pt idx="19">
                  <c:v>96.7</c:v>
                </c:pt>
                <c:pt idx="20">
                  <c:v>93.4</c:v>
                </c:pt>
                <c:pt idx="21">
                  <c:v>92.8</c:v>
                </c:pt>
                <c:pt idx="22">
                  <c:v>92.6</c:v>
                </c:pt>
                <c:pt idx="23">
                  <c:v>91.4</c:v>
                </c:pt>
                <c:pt idx="24">
                  <c:v>91.4</c:v>
                </c:pt>
                <c:pt idx="25">
                  <c:v>92.8</c:v>
                </c:pt>
                <c:pt idx="26">
                  <c:v>93.1</c:v>
                </c:pt>
                <c:pt idx="27">
                  <c:v>91.7</c:v>
                </c:pt>
                <c:pt idx="28">
                  <c:v>89</c:v>
                </c:pt>
                <c:pt idx="29">
                  <c:v>88.8</c:v>
                </c:pt>
                <c:pt idx="30">
                  <c:v>86.8</c:v>
                </c:pt>
                <c:pt idx="31">
                  <c:v>85.4</c:v>
                </c:pt>
                <c:pt idx="32">
                  <c:v>83.9</c:v>
                </c:pt>
                <c:pt idx="33">
                  <c:v>83.1</c:v>
                </c:pt>
                <c:pt idx="34">
                  <c:v>84.3</c:v>
                </c:pt>
                <c:pt idx="35">
                  <c:v>85.6</c:v>
                </c:pt>
                <c:pt idx="36">
                  <c:v>86.9</c:v>
                </c:pt>
                <c:pt idx="37">
                  <c:v>87.7</c:v>
                </c:pt>
                <c:pt idx="38">
                  <c:v>87.7</c:v>
                </c:pt>
                <c:pt idx="39">
                  <c:v>85.9</c:v>
                </c:pt>
                <c:pt idx="40">
                  <c:v>86.8</c:v>
                </c:pt>
                <c:pt idx="41">
                  <c:v>88.3</c:v>
                </c:pt>
                <c:pt idx="42">
                  <c:v>89.5</c:v>
                </c:pt>
                <c:pt idx="43">
                  <c:v>91.6</c:v>
                </c:pt>
                <c:pt idx="44">
                  <c:v>94.5</c:v>
                </c:pt>
                <c:pt idx="45">
                  <c:v>95.3</c:v>
                </c:pt>
                <c:pt idx="46" formatCode="General">
                  <c:v>96.7</c:v>
                </c:pt>
                <c:pt idx="47" formatCode="General">
                  <c:v>98.2</c:v>
                </c:pt>
                <c:pt idx="48" formatCode="General">
                  <c:v>99.1</c:v>
                </c:pt>
                <c:pt idx="49">
                  <c:v>99.2</c:v>
                </c:pt>
                <c:pt idx="50" formatCode="General">
                  <c:v>100.4</c:v>
                </c:pt>
                <c:pt idx="51" formatCode="General">
                  <c:v>100.1</c:v>
                </c:pt>
                <c:pt idx="52" formatCode="General">
                  <c:v>100.3</c:v>
                </c:pt>
                <c:pt idx="53" formatCode="General">
                  <c:v>100.1</c:v>
                </c:pt>
                <c:pt idx="54" formatCode="General">
                  <c:v>100.2</c:v>
                </c:pt>
                <c:pt idx="55" formatCode="General">
                  <c:v>99.3</c:v>
                </c:pt>
                <c:pt idx="56" formatCode="General">
                  <c:v>98.5</c:v>
                </c:pt>
                <c:pt idx="57" formatCode="General">
                  <c:v>99.3</c:v>
                </c:pt>
                <c:pt idx="58" formatCode="General">
                  <c:v>99.2</c:v>
                </c:pt>
                <c:pt idx="59" formatCode="General">
                  <c:v>99.4</c:v>
                </c:pt>
                <c:pt idx="60" formatCode="General">
                  <c:v>99.8</c:v>
                </c:pt>
                <c:pt idx="61" formatCode="General">
                  <c:v>100.7</c:v>
                </c:pt>
                <c:pt idx="62" formatCode="General">
                  <c:v>101.7</c:v>
                </c:pt>
                <c:pt idx="63" formatCode="General">
                  <c:v>102</c:v>
                </c:pt>
                <c:pt idx="64" formatCode="General">
                  <c:v>102.3</c:v>
                </c:pt>
                <c:pt idx="65" formatCode="General">
                  <c:v>102.3</c:v>
                </c:pt>
                <c:pt idx="66" formatCode="General">
                  <c:v>102.8</c:v>
                </c:pt>
                <c:pt idx="67" formatCode="General">
                  <c:v>103.2</c:v>
                </c:pt>
                <c:pt idx="68" formatCode="General">
                  <c:v>104.4</c:v>
                </c:pt>
                <c:pt idx="69" formatCode="General">
                  <c:v>105.2</c:v>
                </c:pt>
                <c:pt idx="70" formatCode="General">
                  <c:v>105.2</c:v>
                </c:pt>
                <c:pt idx="71" formatCode="General">
                  <c:v>105.7</c:v>
                </c:pt>
                <c:pt idx="72" formatCode="General">
                  <c:v>104.9</c:v>
                </c:pt>
                <c:pt idx="73" formatCode="General">
                  <c:v>103.5</c:v>
                </c:pt>
                <c:pt idx="74" formatCode="General">
                  <c:v>102.3</c:v>
                </c:pt>
                <c:pt idx="75" formatCode="General">
                  <c:v>103.2</c:v>
                </c:pt>
                <c:pt idx="76" formatCode="General">
                  <c:v>103.5</c:v>
                </c:pt>
                <c:pt idx="77" formatCode="General">
                  <c:v>103.6</c:v>
                </c:pt>
                <c:pt idx="78" formatCode="General">
                  <c:v>103.7</c:v>
                </c:pt>
                <c:pt idx="79" formatCode="General">
                  <c:v>103</c:v>
                </c:pt>
                <c:pt idx="80" formatCode="General">
                  <c:v>103.8</c:v>
                </c:pt>
                <c:pt idx="81" formatCode="General">
                  <c:v>105.4</c:v>
                </c:pt>
                <c:pt idx="82" formatCode="General">
                  <c:v>105.7</c:v>
                </c:pt>
                <c:pt idx="83" formatCode="General">
                  <c:v>107.2</c:v>
                </c:pt>
                <c:pt idx="84" formatCode="General">
                  <c:v>107.2</c:v>
                </c:pt>
                <c:pt idx="85" formatCode="General">
                  <c:v>107.2</c:v>
                </c:pt>
                <c:pt idx="86" formatCode="General">
                  <c:v>106.9</c:v>
                </c:pt>
                <c:pt idx="87" formatCode="General">
                  <c:v>108.4</c:v>
                </c:pt>
                <c:pt idx="88" formatCode="General">
                  <c:v>108.5</c:v>
                </c:pt>
                <c:pt idx="89" formatCode="General">
                  <c:v>110.1</c:v>
                </c:pt>
                <c:pt idx="90" formatCode="General">
                  <c:v>111.3</c:v>
                </c:pt>
                <c:pt idx="91" formatCode="General">
                  <c:v>111.2</c:v>
                </c:pt>
                <c:pt idx="92" formatCode="General">
                  <c:v>112.3</c:v>
                </c:pt>
                <c:pt idx="93" formatCode="General">
                  <c:v>113.4</c:v>
                </c:pt>
                <c:pt idx="94" formatCode="General">
                  <c:v>113.8</c:v>
                </c:pt>
                <c:pt idx="95" formatCode="General">
                  <c:v>114.7</c:v>
                </c:pt>
                <c:pt idx="96" formatCode="General">
                  <c:v>114.2</c:v>
                </c:pt>
                <c:pt idx="97" formatCode="General">
                  <c:v>114.1</c:v>
                </c:pt>
                <c:pt idx="98" formatCode="General">
                  <c:v>112.4</c:v>
                </c:pt>
                <c:pt idx="99" formatCode="General">
                  <c:v>112.5</c:v>
                </c:pt>
                <c:pt idx="100" formatCode="General">
                  <c:v>111.9</c:v>
                </c:pt>
                <c:pt idx="101" formatCode="General">
                  <c:v>112.2</c:v>
                </c:pt>
                <c:pt idx="102" formatCode="General">
                  <c:v>111.6</c:v>
                </c:pt>
                <c:pt idx="103" formatCode="General">
                  <c:v>111.3</c:v>
                </c:pt>
                <c:pt idx="104" formatCode="General">
                  <c:v>110.7</c:v>
                </c:pt>
                <c:pt idx="105" formatCode="General">
                  <c:v>109.8</c:v>
                </c:pt>
                <c:pt idx="106" formatCode="General">
                  <c:v>109.5</c:v>
                </c:pt>
                <c:pt idx="107" formatCode="General">
                  <c:v>107.8</c:v>
                </c:pt>
                <c:pt idx="108" formatCode="General">
                  <c:v>106.2</c:v>
                </c:pt>
                <c:pt idx="109" formatCode="General">
                  <c:v>106.2</c:v>
                </c:pt>
                <c:pt idx="110">
                  <c:v>105.7</c:v>
                </c:pt>
                <c:pt idx="111" formatCode="General">
                  <c:v>104</c:v>
                </c:pt>
                <c:pt idx="112" formatCode="General">
                  <c:v>105</c:v>
                </c:pt>
                <c:pt idx="113" formatCode="General">
                  <c:v>103.1</c:v>
                </c:pt>
                <c:pt idx="114" formatCode="General">
                  <c:v>102.4</c:v>
                </c:pt>
                <c:pt idx="115" formatCode="General">
                  <c:v>102.7</c:v>
                </c:pt>
                <c:pt idx="116" formatCode="General">
                  <c:v>101.3</c:v>
                </c:pt>
                <c:pt idx="117" formatCode="General">
                  <c:v>100.4</c:v>
                </c:pt>
                <c:pt idx="118">
                  <c:v>100.9</c:v>
                </c:pt>
                <c:pt idx="119">
                  <c:v>101</c:v>
                </c:pt>
                <c:pt idx="120" formatCode="General">
                  <c:v>102.5</c:v>
                </c:pt>
                <c:pt idx="121" formatCode="General">
                  <c:v>103</c:v>
                </c:pt>
                <c:pt idx="122" formatCode="General">
                  <c:v>94.5</c:v>
                </c:pt>
                <c:pt idx="123" formatCode="General">
                  <c:v>63.8</c:v>
                </c:pt>
                <c:pt idx="124" formatCode="General">
                  <c:v>66.7</c:v>
                </c:pt>
                <c:pt idx="125" formatCode="General">
                  <c:v>74.900000000000006</c:v>
                </c:pt>
                <c:pt idx="126" formatCode="General">
                  <c:v>81.8</c:v>
                </c:pt>
                <c:pt idx="127" formatCode="General">
                  <c:v>86.8</c:v>
                </c:pt>
                <c:pt idx="128" formatCode="General">
                  <c:v>90.2</c:v>
                </c:pt>
              </c:numCache>
            </c:numRef>
          </c:val>
          <c:smooth val="1"/>
          <c:extLst>
            <c:ext xmlns:c16="http://schemas.microsoft.com/office/drawing/2014/chart" uri="{C3380CC4-5D6E-409C-BE32-E72D297353CC}">
              <c16:uniqueId val="{00000000-A2B4-433D-A383-7068894316F5}"/>
            </c:ext>
          </c:extLst>
        </c:ser>
        <c:ser>
          <c:idx val="1"/>
          <c:order val="1"/>
          <c:tx>
            <c:strRef>
              <c:f>ESI!$F$1</c:f>
              <c:strCache>
                <c:ptCount val="1"/>
                <c:pt idx="0">
                  <c:v>Latvija</c:v>
                </c:pt>
              </c:strCache>
            </c:strRef>
          </c:tx>
          <c:spPr>
            <a:ln w="28575" cap="rnd">
              <a:solidFill>
                <a:srgbClr val="C00000"/>
              </a:solidFill>
              <a:round/>
            </a:ln>
            <a:effectLst/>
          </c:spPr>
          <c:marker>
            <c:symbol val="none"/>
          </c:marker>
          <c:cat>
            <c:multiLvlStrRef>
              <c:f>ESI!$A$14:$B$142</c:f>
              <c:multiLvlStrCache>
                <c:ptCount val="129"/>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pt idx="74">
                    <c:v>III</c:v>
                  </c:pt>
                  <c:pt idx="75">
                    <c:v>IV</c:v>
                  </c:pt>
                  <c:pt idx="76">
                    <c:v>V</c:v>
                  </c:pt>
                  <c:pt idx="77">
                    <c:v>VI</c:v>
                  </c:pt>
                  <c:pt idx="78">
                    <c:v>VII</c:v>
                  </c:pt>
                  <c:pt idx="79">
                    <c:v>VIII</c:v>
                  </c:pt>
                  <c:pt idx="80">
                    <c:v>IX</c:v>
                  </c:pt>
                  <c:pt idx="81">
                    <c:v>X</c:v>
                  </c:pt>
                  <c:pt idx="82">
                    <c:v>XI</c:v>
                  </c:pt>
                  <c:pt idx="83">
                    <c:v>XII</c:v>
                  </c:pt>
                  <c:pt idx="84">
                    <c:v>I</c:v>
                  </c:pt>
                  <c:pt idx="85">
                    <c:v>II</c:v>
                  </c:pt>
                  <c:pt idx="86">
                    <c:v>III</c:v>
                  </c:pt>
                  <c:pt idx="87">
                    <c:v>IV</c:v>
                  </c:pt>
                  <c:pt idx="88">
                    <c:v>V</c:v>
                  </c:pt>
                  <c:pt idx="89">
                    <c:v>VI</c:v>
                  </c:pt>
                  <c:pt idx="90">
                    <c:v>VII</c:v>
                  </c:pt>
                  <c:pt idx="91">
                    <c:v>VIII</c:v>
                  </c:pt>
                  <c:pt idx="92">
                    <c:v>IX</c:v>
                  </c:pt>
                  <c:pt idx="93">
                    <c:v>X</c:v>
                  </c:pt>
                  <c:pt idx="94">
                    <c:v>XI</c:v>
                  </c:pt>
                  <c:pt idx="95">
                    <c:v>XII</c:v>
                  </c:pt>
                  <c:pt idx="96">
                    <c:v>I</c:v>
                  </c:pt>
                  <c:pt idx="97">
                    <c:v>II</c:v>
                  </c:pt>
                  <c:pt idx="98">
                    <c:v>III</c:v>
                  </c:pt>
                  <c:pt idx="99">
                    <c:v>IV</c:v>
                  </c:pt>
                  <c:pt idx="100">
                    <c:v>V</c:v>
                  </c:pt>
                  <c:pt idx="101">
                    <c:v>VI</c:v>
                  </c:pt>
                  <c:pt idx="102">
                    <c:v>VII</c:v>
                  </c:pt>
                  <c:pt idx="103">
                    <c:v>VIII</c:v>
                  </c:pt>
                  <c:pt idx="104">
                    <c:v>IX</c:v>
                  </c:pt>
                  <c:pt idx="105">
                    <c:v>X</c:v>
                  </c:pt>
                  <c:pt idx="106">
                    <c:v>XI</c:v>
                  </c:pt>
                  <c:pt idx="107">
                    <c:v>XII</c:v>
                  </c:pt>
                  <c:pt idx="108">
                    <c:v>I</c:v>
                  </c:pt>
                  <c:pt idx="109">
                    <c:v>II</c:v>
                  </c:pt>
                  <c:pt idx="110">
                    <c:v>III</c:v>
                  </c:pt>
                  <c:pt idx="111">
                    <c:v>IV</c:v>
                  </c:pt>
                  <c:pt idx="112">
                    <c:v>V</c:v>
                  </c:pt>
                  <c:pt idx="113">
                    <c:v>VI</c:v>
                  </c:pt>
                  <c:pt idx="114">
                    <c:v>VII</c:v>
                  </c:pt>
                  <c:pt idx="115">
                    <c:v>VIII</c:v>
                  </c:pt>
                  <c:pt idx="116">
                    <c:v>IX</c:v>
                  </c:pt>
                  <c:pt idx="117">
                    <c:v>X</c:v>
                  </c:pt>
                  <c:pt idx="118">
                    <c:v>XI</c:v>
                  </c:pt>
                  <c:pt idx="119">
                    <c:v>XII</c:v>
                  </c:pt>
                  <c:pt idx="120">
                    <c:v>I</c:v>
                  </c:pt>
                  <c:pt idx="121">
                    <c:v>II</c:v>
                  </c:pt>
                  <c:pt idx="122">
                    <c:v>III</c:v>
                  </c:pt>
                  <c:pt idx="123">
                    <c:v>IV</c:v>
                  </c:pt>
                  <c:pt idx="124">
                    <c:v>V</c:v>
                  </c:pt>
                  <c:pt idx="125">
                    <c:v>VI</c:v>
                  </c:pt>
                  <c:pt idx="126">
                    <c:v>VII</c:v>
                  </c:pt>
                  <c:pt idx="127">
                    <c:v>VIII</c:v>
                  </c:pt>
                  <c:pt idx="128">
                    <c:v>IX</c:v>
                  </c:pt>
                </c:lvl>
                <c:lvl>
                  <c:pt idx="0">
                    <c:v>2010</c:v>
                  </c:pt>
                  <c:pt idx="12">
                    <c:v>2011</c:v>
                  </c:pt>
                  <c:pt idx="24">
                    <c:v>2012</c:v>
                  </c:pt>
                  <c:pt idx="36">
                    <c:v>2013</c:v>
                  </c:pt>
                  <c:pt idx="48">
                    <c:v>2014</c:v>
                  </c:pt>
                  <c:pt idx="60">
                    <c:v>2015</c:v>
                  </c:pt>
                  <c:pt idx="72">
                    <c:v>2016</c:v>
                  </c:pt>
                  <c:pt idx="84">
                    <c:v>2017</c:v>
                  </c:pt>
                  <c:pt idx="96">
                    <c:v>2018</c:v>
                  </c:pt>
                  <c:pt idx="108">
                    <c:v>2019</c:v>
                  </c:pt>
                  <c:pt idx="120">
                    <c:v>20</c:v>
                  </c:pt>
                </c:lvl>
              </c:multiLvlStrCache>
            </c:multiLvlStrRef>
          </c:cat>
          <c:val>
            <c:numRef>
              <c:f>ESI!$F$14:$F$142</c:f>
              <c:numCache>
                <c:formatCode>0.0</c:formatCode>
                <c:ptCount val="129"/>
                <c:pt idx="0">
                  <c:v>77.3</c:v>
                </c:pt>
                <c:pt idx="1">
                  <c:v>81.099999999999994</c:v>
                </c:pt>
                <c:pt idx="2">
                  <c:v>86.1</c:v>
                </c:pt>
                <c:pt idx="3">
                  <c:v>89.3</c:v>
                </c:pt>
                <c:pt idx="4">
                  <c:v>91.5</c:v>
                </c:pt>
                <c:pt idx="5">
                  <c:v>93.9</c:v>
                </c:pt>
                <c:pt idx="6">
                  <c:v>94.8</c:v>
                </c:pt>
                <c:pt idx="7">
                  <c:v>95</c:v>
                </c:pt>
                <c:pt idx="8">
                  <c:v>96.2</c:v>
                </c:pt>
                <c:pt idx="9">
                  <c:v>98.6</c:v>
                </c:pt>
                <c:pt idx="10">
                  <c:v>98.2</c:v>
                </c:pt>
                <c:pt idx="11">
                  <c:v>99.2</c:v>
                </c:pt>
                <c:pt idx="12">
                  <c:v>98</c:v>
                </c:pt>
                <c:pt idx="13">
                  <c:v>99.9</c:v>
                </c:pt>
                <c:pt idx="14">
                  <c:v>99.4</c:v>
                </c:pt>
                <c:pt idx="15">
                  <c:v>98.3</c:v>
                </c:pt>
                <c:pt idx="16">
                  <c:v>99.8</c:v>
                </c:pt>
                <c:pt idx="17">
                  <c:v>99.8</c:v>
                </c:pt>
                <c:pt idx="18">
                  <c:v>99.8</c:v>
                </c:pt>
                <c:pt idx="19">
                  <c:v>98.9</c:v>
                </c:pt>
                <c:pt idx="20">
                  <c:v>100.2</c:v>
                </c:pt>
                <c:pt idx="21">
                  <c:v>99.6</c:v>
                </c:pt>
                <c:pt idx="22">
                  <c:v>99.5</c:v>
                </c:pt>
                <c:pt idx="23">
                  <c:v>99</c:v>
                </c:pt>
                <c:pt idx="24">
                  <c:v>102.8</c:v>
                </c:pt>
                <c:pt idx="25">
                  <c:v>101.4</c:v>
                </c:pt>
                <c:pt idx="26">
                  <c:v>100</c:v>
                </c:pt>
                <c:pt idx="27">
                  <c:v>99.6</c:v>
                </c:pt>
                <c:pt idx="28">
                  <c:v>98.1</c:v>
                </c:pt>
                <c:pt idx="29">
                  <c:v>101.3</c:v>
                </c:pt>
                <c:pt idx="30">
                  <c:v>98.3</c:v>
                </c:pt>
                <c:pt idx="31">
                  <c:v>99.7</c:v>
                </c:pt>
                <c:pt idx="32">
                  <c:v>99.5</c:v>
                </c:pt>
                <c:pt idx="33">
                  <c:v>99.5</c:v>
                </c:pt>
                <c:pt idx="34">
                  <c:v>100.5</c:v>
                </c:pt>
                <c:pt idx="35">
                  <c:v>101.3</c:v>
                </c:pt>
                <c:pt idx="36">
                  <c:v>103.3</c:v>
                </c:pt>
                <c:pt idx="37">
                  <c:v>102.8</c:v>
                </c:pt>
                <c:pt idx="38">
                  <c:v>101.5</c:v>
                </c:pt>
                <c:pt idx="39">
                  <c:v>99.8</c:v>
                </c:pt>
                <c:pt idx="40">
                  <c:v>100.5</c:v>
                </c:pt>
                <c:pt idx="41">
                  <c:v>100.1</c:v>
                </c:pt>
                <c:pt idx="42">
                  <c:v>99.9</c:v>
                </c:pt>
                <c:pt idx="43">
                  <c:v>98.3</c:v>
                </c:pt>
                <c:pt idx="44">
                  <c:v>99.1</c:v>
                </c:pt>
                <c:pt idx="45">
                  <c:v>99.2</c:v>
                </c:pt>
                <c:pt idx="46" formatCode="General">
                  <c:v>100.8</c:v>
                </c:pt>
                <c:pt idx="47" formatCode="General">
                  <c:v>100.8</c:v>
                </c:pt>
                <c:pt idx="48" formatCode="General">
                  <c:v>102.6</c:v>
                </c:pt>
                <c:pt idx="49">
                  <c:v>105.2</c:v>
                </c:pt>
                <c:pt idx="50" formatCode="General">
                  <c:v>100.6</c:v>
                </c:pt>
                <c:pt idx="51" formatCode="General">
                  <c:v>102.3</c:v>
                </c:pt>
                <c:pt idx="52" formatCode="General">
                  <c:v>99.9</c:v>
                </c:pt>
                <c:pt idx="53" formatCode="General">
                  <c:v>99.9</c:v>
                </c:pt>
                <c:pt idx="54" formatCode="General">
                  <c:v>100.8</c:v>
                </c:pt>
                <c:pt idx="55" formatCode="General">
                  <c:v>99.3</c:v>
                </c:pt>
                <c:pt idx="56" formatCode="General">
                  <c:v>97.7</c:v>
                </c:pt>
                <c:pt idx="57" formatCode="General">
                  <c:v>98.4</c:v>
                </c:pt>
                <c:pt idx="58" formatCode="General">
                  <c:v>100.6</c:v>
                </c:pt>
                <c:pt idx="59" formatCode="General">
                  <c:v>98.8</c:v>
                </c:pt>
                <c:pt idx="60" formatCode="General">
                  <c:v>97.8</c:v>
                </c:pt>
                <c:pt idx="61" formatCode="General">
                  <c:v>96.5</c:v>
                </c:pt>
                <c:pt idx="62" formatCode="General">
                  <c:v>99.1</c:v>
                </c:pt>
                <c:pt idx="63" formatCode="General">
                  <c:v>99.5</c:v>
                </c:pt>
                <c:pt idx="64" formatCode="General">
                  <c:v>98.9</c:v>
                </c:pt>
                <c:pt idx="65" formatCode="General">
                  <c:v>97</c:v>
                </c:pt>
                <c:pt idx="66" formatCode="General">
                  <c:v>98.7</c:v>
                </c:pt>
                <c:pt idx="67" formatCode="General">
                  <c:v>99.5</c:v>
                </c:pt>
                <c:pt idx="68" formatCode="General">
                  <c:v>97.7</c:v>
                </c:pt>
                <c:pt idx="69" formatCode="General">
                  <c:v>99</c:v>
                </c:pt>
                <c:pt idx="70" formatCode="General">
                  <c:v>97.5</c:v>
                </c:pt>
                <c:pt idx="71" formatCode="General">
                  <c:v>98.3</c:v>
                </c:pt>
                <c:pt idx="72" formatCode="General">
                  <c:v>99.4</c:v>
                </c:pt>
                <c:pt idx="73" formatCode="General">
                  <c:v>98.6</c:v>
                </c:pt>
                <c:pt idx="74" formatCode="General">
                  <c:v>100.3</c:v>
                </c:pt>
                <c:pt idx="75" formatCode="General">
                  <c:v>100.5</c:v>
                </c:pt>
                <c:pt idx="76" formatCode="General">
                  <c:v>100.4</c:v>
                </c:pt>
                <c:pt idx="77">
                  <c:v>101.2</c:v>
                </c:pt>
                <c:pt idx="78" formatCode="General">
                  <c:v>101.4</c:v>
                </c:pt>
                <c:pt idx="79" formatCode="General">
                  <c:v>99.7</c:v>
                </c:pt>
                <c:pt idx="80" formatCode="General">
                  <c:v>100.7</c:v>
                </c:pt>
                <c:pt idx="81" formatCode="General">
                  <c:v>100</c:v>
                </c:pt>
                <c:pt idx="82" formatCode="General">
                  <c:v>100.2</c:v>
                </c:pt>
                <c:pt idx="83" formatCode="General">
                  <c:v>100.7</c:v>
                </c:pt>
                <c:pt idx="84" formatCode="General">
                  <c:v>99.8</c:v>
                </c:pt>
                <c:pt idx="85" formatCode="General">
                  <c:v>101</c:v>
                </c:pt>
                <c:pt idx="86" formatCode="General">
                  <c:v>102.2</c:v>
                </c:pt>
                <c:pt idx="87" formatCode="General">
                  <c:v>101.8</c:v>
                </c:pt>
                <c:pt idx="88" formatCode="General">
                  <c:v>102.6</c:v>
                </c:pt>
                <c:pt idx="89" formatCode="General">
                  <c:v>102.6</c:v>
                </c:pt>
                <c:pt idx="90" formatCode="General">
                  <c:v>101.5</c:v>
                </c:pt>
                <c:pt idx="91" formatCode="General">
                  <c:v>103.1</c:v>
                </c:pt>
                <c:pt idx="92" formatCode="General">
                  <c:v>103.5</c:v>
                </c:pt>
                <c:pt idx="93" formatCode="General">
                  <c:v>104.2</c:v>
                </c:pt>
                <c:pt idx="94" formatCode="General">
                  <c:v>103.8</c:v>
                </c:pt>
                <c:pt idx="95" formatCode="General">
                  <c:v>104.7</c:v>
                </c:pt>
                <c:pt idx="96" formatCode="General">
                  <c:v>105.2</c:v>
                </c:pt>
                <c:pt idx="97" formatCode="General">
                  <c:v>104</c:v>
                </c:pt>
                <c:pt idx="98" formatCode="General">
                  <c:v>102.7</c:v>
                </c:pt>
                <c:pt idx="99" formatCode="General">
                  <c:v>101.3</c:v>
                </c:pt>
                <c:pt idx="100" formatCode="General">
                  <c:v>101.7</c:v>
                </c:pt>
                <c:pt idx="101" formatCode="General">
                  <c:v>102</c:v>
                </c:pt>
                <c:pt idx="102" formatCode="General">
                  <c:v>102.1</c:v>
                </c:pt>
                <c:pt idx="103" formatCode="General">
                  <c:v>103.5</c:v>
                </c:pt>
                <c:pt idx="104" formatCode="General">
                  <c:v>103.3</c:v>
                </c:pt>
                <c:pt idx="105" formatCode="General">
                  <c:v>103.1</c:v>
                </c:pt>
                <c:pt idx="106" formatCode="General">
                  <c:v>103.1</c:v>
                </c:pt>
                <c:pt idx="107" formatCode="General">
                  <c:v>104.1</c:v>
                </c:pt>
                <c:pt idx="108" formatCode="General">
                  <c:v>103.6</c:v>
                </c:pt>
                <c:pt idx="109" formatCode="General">
                  <c:v>101.7</c:v>
                </c:pt>
                <c:pt idx="110" formatCode="General">
                  <c:v>102.6</c:v>
                </c:pt>
                <c:pt idx="111" formatCode="General">
                  <c:v>100.9</c:v>
                </c:pt>
                <c:pt idx="112" formatCode="General">
                  <c:v>100.6</c:v>
                </c:pt>
                <c:pt idx="113" formatCode="General">
                  <c:v>100.8</c:v>
                </c:pt>
                <c:pt idx="114" formatCode="General">
                  <c:v>100.6</c:v>
                </c:pt>
                <c:pt idx="115" formatCode="General">
                  <c:v>100.5</c:v>
                </c:pt>
                <c:pt idx="116" formatCode="General">
                  <c:v>100.7</c:v>
                </c:pt>
                <c:pt idx="117" formatCode="General">
                  <c:v>99.2</c:v>
                </c:pt>
                <c:pt idx="118" formatCode="General">
                  <c:v>100.1</c:v>
                </c:pt>
                <c:pt idx="119" formatCode="General">
                  <c:v>100.6</c:v>
                </c:pt>
                <c:pt idx="120" formatCode="General">
                  <c:v>101.5</c:v>
                </c:pt>
                <c:pt idx="121" formatCode="General">
                  <c:v>101.8</c:v>
                </c:pt>
                <c:pt idx="122" formatCode="General">
                  <c:v>96.1</c:v>
                </c:pt>
                <c:pt idx="123" formatCode="General">
                  <c:v>77.7</c:v>
                </c:pt>
                <c:pt idx="124" formatCode="General">
                  <c:v>78.900000000000006</c:v>
                </c:pt>
                <c:pt idx="125" formatCode="General">
                  <c:v>83.7</c:v>
                </c:pt>
                <c:pt idx="126" formatCode="General">
                  <c:v>87.6</c:v>
                </c:pt>
                <c:pt idx="127" formatCode="General">
                  <c:v>91</c:v>
                </c:pt>
                <c:pt idx="128" formatCode="General">
                  <c:v>94.3</c:v>
                </c:pt>
              </c:numCache>
            </c:numRef>
          </c:val>
          <c:smooth val="1"/>
          <c:extLst>
            <c:ext xmlns:c16="http://schemas.microsoft.com/office/drawing/2014/chart" uri="{C3380CC4-5D6E-409C-BE32-E72D297353CC}">
              <c16:uniqueId val="{00000001-A2B4-433D-A383-7068894316F5}"/>
            </c:ext>
          </c:extLst>
        </c:ser>
        <c:dLbls>
          <c:showLegendKey val="0"/>
          <c:showVal val="0"/>
          <c:showCatName val="0"/>
          <c:showSerName val="0"/>
          <c:showPercent val="0"/>
          <c:showBubbleSize val="0"/>
        </c:dLbls>
        <c:smooth val="0"/>
        <c:axId val="608869768"/>
        <c:axId val="608870096"/>
      </c:lineChart>
      <c:catAx>
        <c:axId val="608869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608870096"/>
        <c:crosses val="autoZero"/>
        <c:auto val="1"/>
        <c:lblAlgn val="ctr"/>
        <c:lblOffset val="100"/>
        <c:noMultiLvlLbl val="0"/>
      </c:catAx>
      <c:valAx>
        <c:axId val="608870096"/>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608869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641934954684342E-2"/>
          <c:y val="3.5229954189521684E-2"/>
          <c:w val="0.92300566330003353"/>
          <c:h val="0.84934679881865893"/>
        </c:manualLayout>
      </c:layout>
      <c:barChart>
        <c:barDir val="col"/>
        <c:grouping val="clustered"/>
        <c:varyColors val="0"/>
        <c:ser>
          <c:idx val="0"/>
          <c:order val="0"/>
          <c:tx>
            <c:strRef>
              <c:f>Rūpniecība!$J$1</c:f>
              <c:strCache>
                <c:ptCount val="1"/>
                <c:pt idx="0">
                  <c:v>Rūpniecības produkcijas apjoma indekss, sez. izl. (2015=100)</c:v>
                </c:pt>
              </c:strCache>
            </c:strRef>
          </c:tx>
          <c:spPr>
            <a:pattFill prst="dkUpDiag">
              <a:fgClr>
                <a:srgbClr val="00B050"/>
              </a:fgClr>
              <a:bgClr>
                <a:sysClr val="window" lastClr="FFFFFF"/>
              </a:bgClr>
            </a:pattFill>
            <a:ln>
              <a:solidFill>
                <a:srgbClr val="00B050"/>
              </a:solidFill>
            </a:ln>
            <a:effectLst/>
          </c:spPr>
          <c:invertIfNegative val="0"/>
          <c:cat>
            <c:multiLvlStrRef>
              <c:f>Rūpniecība!$A$98:$B$164</c:f>
              <c:multiLvlStrCache>
                <c:ptCount val="67"/>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lvl>
                <c:lvl>
                  <c:pt idx="0">
                    <c:v>2015</c:v>
                  </c:pt>
                  <c:pt idx="12">
                    <c:v>2016</c:v>
                  </c:pt>
                  <c:pt idx="24">
                    <c:v>2017</c:v>
                  </c:pt>
                  <c:pt idx="36">
                    <c:v>2018</c:v>
                  </c:pt>
                  <c:pt idx="48">
                    <c:v>2019</c:v>
                  </c:pt>
                  <c:pt idx="60">
                    <c:v>2020</c:v>
                  </c:pt>
                </c:lvl>
              </c:multiLvlStrCache>
            </c:multiLvlStrRef>
          </c:cat>
          <c:val>
            <c:numRef>
              <c:f>Rūpniecība!$J$98:$J$164</c:f>
              <c:numCache>
                <c:formatCode>General</c:formatCode>
                <c:ptCount val="67"/>
                <c:pt idx="0">
                  <c:v>96.57</c:v>
                </c:pt>
                <c:pt idx="1">
                  <c:v>97.06</c:v>
                </c:pt>
                <c:pt idx="2">
                  <c:v>101.13</c:v>
                </c:pt>
                <c:pt idx="3">
                  <c:v>102.44</c:v>
                </c:pt>
                <c:pt idx="4">
                  <c:v>99.6</c:v>
                </c:pt>
                <c:pt idx="5">
                  <c:v>98.87</c:v>
                </c:pt>
                <c:pt idx="6">
                  <c:v>101.51</c:v>
                </c:pt>
                <c:pt idx="7">
                  <c:v>101.45</c:v>
                </c:pt>
                <c:pt idx="8">
                  <c:v>100.8</c:v>
                </c:pt>
                <c:pt idx="9">
                  <c:v>100.65</c:v>
                </c:pt>
                <c:pt idx="10">
                  <c:v>100.36</c:v>
                </c:pt>
                <c:pt idx="11">
                  <c:v>99.56</c:v>
                </c:pt>
                <c:pt idx="12">
                  <c:v>102.67</c:v>
                </c:pt>
                <c:pt idx="13">
                  <c:v>98.73</c:v>
                </c:pt>
                <c:pt idx="14">
                  <c:v>103.17</c:v>
                </c:pt>
                <c:pt idx="15">
                  <c:v>102.84</c:v>
                </c:pt>
                <c:pt idx="16">
                  <c:v>104.27</c:v>
                </c:pt>
                <c:pt idx="17">
                  <c:v>105.81</c:v>
                </c:pt>
                <c:pt idx="18">
                  <c:v>104.31</c:v>
                </c:pt>
                <c:pt idx="19">
                  <c:v>101.72</c:v>
                </c:pt>
                <c:pt idx="20">
                  <c:v>103.75</c:v>
                </c:pt>
                <c:pt idx="21">
                  <c:v>108.14</c:v>
                </c:pt>
                <c:pt idx="22">
                  <c:v>110.88</c:v>
                </c:pt>
                <c:pt idx="23">
                  <c:v>110.05</c:v>
                </c:pt>
                <c:pt idx="24">
                  <c:v>109.5</c:v>
                </c:pt>
                <c:pt idx="25">
                  <c:v>110.84</c:v>
                </c:pt>
                <c:pt idx="26">
                  <c:v>113.4</c:v>
                </c:pt>
                <c:pt idx="27">
                  <c:v>113.3</c:v>
                </c:pt>
                <c:pt idx="28">
                  <c:v>114.95</c:v>
                </c:pt>
                <c:pt idx="29">
                  <c:v>113.87</c:v>
                </c:pt>
                <c:pt idx="30">
                  <c:v>113.68</c:v>
                </c:pt>
                <c:pt idx="31">
                  <c:v>113.02</c:v>
                </c:pt>
                <c:pt idx="32">
                  <c:v>116.26</c:v>
                </c:pt>
                <c:pt idx="33">
                  <c:v>115.09</c:v>
                </c:pt>
                <c:pt idx="34">
                  <c:v>115.57</c:v>
                </c:pt>
                <c:pt idx="35">
                  <c:v>115.08</c:v>
                </c:pt>
                <c:pt idx="36">
                  <c:v>116.33</c:v>
                </c:pt>
                <c:pt idx="37">
                  <c:v>119.4</c:v>
                </c:pt>
                <c:pt idx="38">
                  <c:v>114.45</c:v>
                </c:pt>
                <c:pt idx="39">
                  <c:v>116.04</c:v>
                </c:pt>
                <c:pt idx="40">
                  <c:v>114.44</c:v>
                </c:pt>
                <c:pt idx="41">
                  <c:v>114.14</c:v>
                </c:pt>
                <c:pt idx="42">
                  <c:v>117.53</c:v>
                </c:pt>
                <c:pt idx="43">
                  <c:v>118.24</c:v>
                </c:pt>
                <c:pt idx="44">
                  <c:v>113.7</c:v>
                </c:pt>
                <c:pt idx="45">
                  <c:v>114.4</c:v>
                </c:pt>
                <c:pt idx="46">
                  <c:v>115.84</c:v>
                </c:pt>
                <c:pt idx="47">
                  <c:v>119.31</c:v>
                </c:pt>
                <c:pt idx="48">
                  <c:v>116.8</c:v>
                </c:pt>
                <c:pt idx="49">
                  <c:v>115.77</c:v>
                </c:pt>
                <c:pt idx="50">
                  <c:v>116.5</c:v>
                </c:pt>
                <c:pt idx="51">
                  <c:v>114.35</c:v>
                </c:pt>
                <c:pt idx="52">
                  <c:v>116.67</c:v>
                </c:pt>
                <c:pt idx="53">
                  <c:v>118.22</c:v>
                </c:pt>
                <c:pt idx="54">
                  <c:v>116.1</c:v>
                </c:pt>
                <c:pt idx="55">
                  <c:v>119.14</c:v>
                </c:pt>
                <c:pt idx="56">
                  <c:v>120.25</c:v>
                </c:pt>
                <c:pt idx="57">
                  <c:v>117.7</c:v>
                </c:pt>
                <c:pt idx="58">
                  <c:v>116.3</c:v>
                </c:pt>
                <c:pt idx="59">
                  <c:v>115.91</c:v>
                </c:pt>
                <c:pt idx="60">
                  <c:v>113.74</c:v>
                </c:pt>
                <c:pt idx="61">
                  <c:v>116.99</c:v>
                </c:pt>
                <c:pt idx="62">
                  <c:v>112.25</c:v>
                </c:pt>
                <c:pt idx="63">
                  <c:v>103.9</c:v>
                </c:pt>
                <c:pt idx="64">
                  <c:v>109.19</c:v>
                </c:pt>
                <c:pt idx="65">
                  <c:v>117.33</c:v>
                </c:pt>
                <c:pt idx="66">
                  <c:v>116.44</c:v>
                </c:pt>
              </c:numCache>
            </c:numRef>
          </c:val>
          <c:extLst>
            <c:ext xmlns:c16="http://schemas.microsoft.com/office/drawing/2014/chart" uri="{C3380CC4-5D6E-409C-BE32-E72D297353CC}">
              <c16:uniqueId val="{00000000-ADFD-4602-B7BD-09072C185194}"/>
            </c:ext>
          </c:extLst>
        </c:ser>
        <c:dLbls>
          <c:showLegendKey val="0"/>
          <c:showVal val="0"/>
          <c:showCatName val="0"/>
          <c:showSerName val="0"/>
          <c:showPercent val="0"/>
          <c:showBubbleSize val="0"/>
        </c:dLbls>
        <c:gapWidth val="50"/>
        <c:axId val="343594496"/>
        <c:axId val="343594888"/>
      </c:barChart>
      <c:catAx>
        <c:axId val="3435944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3594888"/>
        <c:crosses val="autoZero"/>
        <c:auto val="1"/>
        <c:lblAlgn val="ctr"/>
        <c:lblOffset val="100"/>
        <c:noMultiLvlLbl val="0"/>
      </c:catAx>
      <c:valAx>
        <c:axId val="343594888"/>
        <c:scaling>
          <c:orientation val="minMax"/>
          <c:max val="122"/>
          <c:min val="9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43594496"/>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0.02868</cdr:x>
      <cdr:y>0.06466</cdr:y>
    </cdr:from>
    <cdr:to>
      <cdr:x>0.27907</cdr:x>
      <cdr:y>0.18103</cdr:y>
    </cdr:to>
    <cdr:sp macro="" textlink="">
      <cdr:nvSpPr>
        <cdr:cNvPr id="2" name="Text Box 7"/>
        <cdr:cNvSpPr txBox="1"/>
      </cdr:nvSpPr>
      <cdr:spPr>
        <a:xfrm xmlns:a="http://schemas.openxmlformats.org/drawingml/2006/main">
          <a:off x="70487" y="142877"/>
          <a:ext cx="615319" cy="257163"/>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lv-LV" sz="1100" b="1">
              <a:effectLst/>
              <a:latin typeface="Times New Roman" panose="02020603050405020304" pitchFamily="18" charset="0"/>
              <a:ea typeface="Calibri" panose="020F0502020204030204" pitchFamily="34" charset="0"/>
            </a:rPr>
            <a:t>2008.g.</a:t>
          </a:r>
          <a:endParaRPr lang="lv-LV" sz="1200">
            <a:effectLst/>
            <a:latin typeface="Times New Roman" panose="02020603050405020304" pitchFamily="18" charset="0"/>
            <a:ea typeface="Calibri" panose="020F050202020403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0.04452</cdr:x>
      <cdr:y>0.08764</cdr:y>
    </cdr:from>
    <cdr:to>
      <cdr:x>0.2704</cdr:x>
      <cdr:y>0.20402</cdr:y>
    </cdr:to>
    <cdr:sp macro="" textlink="">
      <cdr:nvSpPr>
        <cdr:cNvPr id="2" name="Text Box 7"/>
        <cdr:cNvSpPr txBox="1"/>
      </cdr:nvSpPr>
      <cdr:spPr>
        <a:xfrm xmlns:a="http://schemas.openxmlformats.org/drawingml/2006/main">
          <a:off x="121287" y="193677"/>
          <a:ext cx="615319" cy="257163"/>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lv-LV" sz="1100" b="1">
              <a:effectLst/>
              <a:latin typeface="Times New Roman" panose="02020603050405020304" pitchFamily="18" charset="0"/>
              <a:ea typeface="Calibri" panose="020F0502020204030204" pitchFamily="34" charset="0"/>
            </a:rPr>
            <a:t>2019.g.</a:t>
          </a:r>
          <a:endParaRPr lang="lv-LV" sz="1200">
            <a:effectLst/>
            <a:latin typeface="Times New Roman" panose="02020603050405020304" pitchFamily="18" charset="0"/>
            <a:ea typeface="Calibri" panose="020F050202020403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0.54339</cdr:x>
      <cdr:y>0.2267</cdr:y>
    </cdr:from>
    <cdr:to>
      <cdr:x>1</cdr:x>
      <cdr:y>0.30515</cdr:y>
    </cdr:to>
    <cdr:sp macro="" textlink="">
      <cdr:nvSpPr>
        <cdr:cNvPr id="2" name="TextBox 1"/>
        <cdr:cNvSpPr txBox="1"/>
      </cdr:nvSpPr>
      <cdr:spPr>
        <a:xfrm xmlns:a="http://schemas.openxmlformats.org/drawingml/2006/main">
          <a:off x="2866008" y="675292"/>
          <a:ext cx="2408302" cy="2336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900" b="1">
              <a:latin typeface="Times New Roman" panose="02020603050405020304" pitchFamily="18" charset="0"/>
              <a:cs typeface="Times New Roman" panose="02020603050405020304" pitchFamily="18" charset="0"/>
            </a:rPr>
            <a:t>Vidēji ES28</a:t>
          </a:r>
          <a:r>
            <a:rPr lang="lv-LV" sz="900" b="1" baseline="0">
              <a:latin typeface="Times New Roman" panose="02020603050405020304" pitchFamily="18" charset="0"/>
              <a:cs typeface="Times New Roman" panose="02020603050405020304" pitchFamily="18" charset="0"/>
            </a:rPr>
            <a:t> </a:t>
          </a:r>
          <a:r>
            <a:rPr lang="lv-LV" sz="900" b="1">
              <a:latin typeface="Times New Roman" panose="02020603050405020304" pitchFamily="18" charset="0"/>
              <a:cs typeface="Times New Roman" panose="02020603050405020304" pitchFamily="18" charset="0"/>
            </a:rPr>
            <a:t>- 100</a:t>
          </a:r>
        </a:p>
      </cdr:txBody>
    </cdr:sp>
  </cdr:relSizeAnchor>
</c:userShapes>
</file>

<file path=word/drawings/drawing4.xml><?xml version="1.0" encoding="utf-8"?>
<c:userShapes xmlns:c="http://schemas.openxmlformats.org/drawingml/2006/chart">
  <cdr:relSizeAnchor xmlns:cdr="http://schemas.openxmlformats.org/drawingml/2006/chartDrawing">
    <cdr:from>
      <cdr:x>0.66826</cdr:x>
      <cdr:y>0.34358</cdr:y>
    </cdr:from>
    <cdr:to>
      <cdr:x>0.69702</cdr:x>
      <cdr:y>0.89106</cdr:y>
    </cdr:to>
    <cdr:sp macro="" textlink="">
      <cdr:nvSpPr>
        <cdr:cNvPr id="2" name="Rectangle 1"/>
        <cdr:cNvSpPr/>
      </cdr:nvSpPr>
      <cdr:spPr>
        <a:xfrm xmlns:a="http://schemas.openxmlformats.org/drawingml/2006/main">
          <a:off x="3634500" y="1171575"/>
          <a:ext cx="156450" cy="1866899"/>
        </a:xfrm>
        <a:prstGeom xmlns:a="http://schemas.openxmlformats.org/drawingml/2006/main" prst="rect">
          <a:avLst/>
        </a:prstGeom>
        <a:noFill xmlns:a="http://schemas.openxmlformats.org/drawingml/2006/main"/>
        <a:ln xmlns:a="http://schemas.openxmlformats.org/drawingml/2006/main" w="19050">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dr:relSizeAnchor xmlns:cdr="http://schemas.openxmlformats.org/drawingml/2006/chartDrawing">
    <cdr:from>
      <cdr:x>0.53491</cdr:x>
      <cdr:y>0.25271</cdr:y>
    </cdr:from>
    <cdr:to>
      <cdr:x>0.56567</cdr:x>
      <cdr:y>0.89665</cdr:y>
    </cdr:to>
    <cdr:sp macro="" textlink="">
      <cdr:nvSpPr>
        <cdr:cNvPr id="4" name="Rectangle 3"/>
        <cdr:cNvSpPr/>
      </cdr:nvSpPr>
      <cdr:spPr>
        <a:xfrm xmlns:a="http://schemas.openxmlformats.org/drawingml/2006/main">
          <a:off x="2909277" y="861729"/>
          <a:ext cx="167298" cy="2195796"/>
        </a:xfrm>
        <a:prstGeom xmlns:a="http://schemas.openxmlformats.org/drawingml/2006/main" prst="rect">
          <a:avLst/>
        </a:prstGeom>
        <a:noFill xmlns:a="http://schemas.openxmlformats.org/drawingml/2006/main"/>
        <a:ln xmlns:a="http://schemas.openxmlformats.org/drawingml/2006/main" w="19050">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userShapes>
</file>

<file path=word/drawings/drawing5.xml><?xml version="1.0" encoding="utf-8"?>
<c:userShapes xmlns:c="http://schemas.openxmlformats.org/drawingml/2006/chart">
  <cdr:relSizeAnchor xmlns:cdr="http://schemas.openxmlformats.org/drawingml/2006/chartDrawing">
    <cdr:from>
      <cdr:x>0.07899</cdr:x>
      <cdr:y>0.64358</cdr:y>
    </cdr:from>
    <cdr:to>
      <cdr:x>0.26366</cdr:x>
      <cdr:y>0.87242</cdr:y>
    </cdr:to>
    <cdr:grpSp>
      <cdr:nvGrpSpPr>
        <cdr:cNvPr id="4" name="Group 3"/>
        <cdr:cNvGrpSpPr/>
      </cdr:nvGrpSpPr>
      <cdr:grpSpPr>
        <a:xfrm xmlns:a="http://schemas.openxmlformats.org/drawingml/2006/main">
          <a:off x="416618" y="1837407"/>
          <a:ext cx="974032" cy="653317"/>
          <a:chOff x="416618" y="1837407"/>
          <a:chExt cx="974032" cy="653317"/>
        </a:xfrm>
      </cdr:grpSpPr>
      <cdr:sp macro="" textlink="">
        <cdr:nvSpPr>
          <cdr:cNvPr id="2" name="Left Brace 1"/>
          <cdr:cNvSpPr/>
        </cdr:nvSpPr>
        <cdr:spPr>
          <a:xfrm xmlns:a="http://schemas.openxmlformats.org/drawingml/2006/main" rot="5400000" flipH="1">
            <a:off x="825084" y="1925158"/>
            <a:ext cx="157100" cy="974032"/>
          </a:xfrm>
          <a:prstGeom xmlns:a="http://schemas.openxmlformats.org/drawingml/2006/main" prst="leftBrace">
            <a:avLst>
              <a:gd name="adj1" fmla="val 119900"/>
              <a:gd name="adj2" fmla="val 47557"/>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v-LV"/>
          </a:p>
        </cdr:txBody>
      </cdr:sp>
      <cdr:sp macro="" textlink="">
        <cdr:nvSpPr>
          <cdr:cNvPr id="3" name="Rectangle 2"/>
          <cdr:cNvSpPr/>
        </cdr:nvSpPr>
        <cdr:spPr>
          <a:xfrm xmlns:a="http://schemas.openxmlformats.org/drawingml/2006/main">
            <a:off x="616969" y="1837407"/>
            <a:ext cx="754631" cy="477168"/>
          </a:xfrm>
          <a:prstGeom xmlns:a="http://schemas.openxmlformats.org/drawingml/2006/main" prst="rect">
            <a:avLst/>
          </a:prstGeom>
          <a:solidFill xmlns:a="http://schemas.openxmlformats.org/drawingml/2006/main">
            <a:schemeClr val="lt1"/>
          </a:solidFill>
          <a:ln xmlns:a="http://schemas.openxmlformats.org/drawingml/2006/main" w="9525">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000"/>
              <a:t>Starptautiskā </a:t>
            </a:r>
            <a:r>
              <a:rPr lang="lv-LV" sz="1000">
                <a:latin typeface="Times New Roman" panose="02020603050405020304" pitchFamily="18" charset="0"/>
                <a:cs typeface="Times New Roman" panose="02020603050405020304" pitchFamily="18" charset="0"/>
              </a:rPr>
              <a:t>aizdevuma</a:t>
            </a:r>
            <a:r>
              <a:rPr lang="lv-LV" sz="1000"/>
              <a:t> </a:t>
            </a:r>
            <a:r>
              <a:rPr lang="lv-LV" sz="1000">
                <a:latin typeface="Times New Roman" panose="02020603050405020304" pitchFamily="18" charset="0"/>
                <a:cs typeface="Times New Roman" panose="02020603050405020304" pitchFamily="18" charset="0"/>
              </a:rPr>
              <a:t>programma</a:t>
            </a:r>
            <a:endParaRPr lang="en-US" sz="1000">
              <a:latin typeface="Times New Roman" panose="02020603050405020304" pitchFamily="18" charset="0"/>
              <a:cs typeface="Times New Roman" panose="02020603050405020304" pitchFamily="18" charset="0"/>
            </a:endParaRP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tullapa_kontaktinformacij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tullapa_kontaktinformacij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C179-AEAE-467B-BCC3-ADA212ED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dokuments_Ministru_kabinetam.dot</Template>
  <TotalTime>115</TotalTime>
  <Pages>62</Pages>
  <Words>21218</Words>
  <Characters>139286</Characters>
  <Application>Microsoft Office Word</Application>
  <DocSecurity>0</DocSecurity>
  <Lines>1160</Lines>
  <Paragraphs>320</Paragraphs>
  <ScaleCrop>false</ScaleCrop>
  <HeadingPairs>
    <vt:vector size="2" baseType="variant">
      <vt:variant>
        <vt:lpstr>Title</vt:lpstr>
      </vt:variant>
      <vt:variant>
        <vt:i4>1</vt:i4>
      </vt:variant>
    </vt:vector>
  </HeadingPairs>
  <TitlesOfParts>
    <vt:vector size="1" baseType="lpstr">
      <vt:lpstr>Likuma "Par valsts budžetu 2021.gadam" paskaidrojumi, 2.nodaļa Fiskālais apskats</vt:lpstr>
    </vt:vector>
  </TitlesOfParts>
  <Company>Finanšu ministrija</Company>
  <LinksUpToDate>false</LinksUpToDate>
  <CharactersWithSpaces>160184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1.nodaļa Makroekonomiskās attīstības apraksts</dc:title>
  <dc:subject>paskaidrojuma raksts</dc:subject>
  <dc:creator>mara.allena@fm.gov.lv</dc:creator>
  <dc:description>67083912,
mara.allena@fm.gov.lv</dc:description>
  <cp:lastModifiedBy>Dace Godiņa</cp:lastModifiedBy>
  <cp:revision>45</cp:revision>
  <cp:lastPrinted>2016-10-03T05:11:00Z</cp:lastPrinted>
  <dcterms:created xsi:type="dcterms:W3CDTF">2019-05-07T11:40:00Z</dcterms:created>
  <dcterms:modified xsi:type="dcterms:W3CDTF">2020-10-12T08:39:00Z</dcterms:modified>
</cp:coreProperties>
</file>