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61" w:rsidRDefault="00593203" w:rsidP="00AE53A3">
      <w:pPr>
        <w:pStyle w:val="H4"/>
        <w:rPr>
          <w:lang w:eastAsia="lv-LV"/>
        </w:rPr>
      </w:pPr>
      <w:r w:rsidRPr="00DA2F23">
        <w:rPr>
          <w:lang w:eastAsia="lv-LV"/>
        </w:rPr>
        <w:t>30. Satversmes tiesa</w:t>
      </w:r>
    </w:p>
    <w:p w:rsidR="00252152" w:rsidRPr="00BB2102" w:rsidRDefault="00252152" w:rsidP="00252152">
      <w:pPr>
        <w:pStyle w:val="Funkcijasbold"/>
        <w:spacing w:before="120" w:after="0"/>
        <w:jc w:val="left"/>
      </w:pPr>
      <w:r>
        <w:rPr>
          <w:u w:val="single"/>
        </w:rPr>
        <w:t>Satversmes tiesas</w:t>
      </w:r>
      <w:r w:rsidRPr="00BB2102">
        <w:rPr>
          <w:u w:val="single"/>
        </w:rPr>
        <w:t xml:space="preserve"> darbības joma</w:t>
      </w:r>
      <w:r w:rsidRPr="00BB2102">
        <w:t>:</w:t>
      </w:r>
    </w:p>
    <w:p w:rsidR="00252152" w:rsidRPr="00BB2102" w:rsidRDefault="00252152" w:rsidP="00252152">
      <w:pPr>
        <w:pStyle w:val="Funkcijasbold"/>
        <w:spacing w:after="0"/>
        <w:jc w:val="left"/>
      </w:pPr>
    </w:p>
    <w:p w:rsidR="00252152" w:rsidRPr="000460CB" w:rsidRDefault="00252152" w:rsidP="00252152">
      <w:pPr>
        <w:pStyle w:val="Funkcijasbold"/>
        <w:spacing w:after="0"/>
        <w:jc w:val="left"/>
      </w:pPr>
      <w:r w:rsidRPr="00BB2102">
        <w:rPr>
          <w:noProof/>
          <w:lang w:eastAsia="lv-LV"/>
        </w:rPr>
        <w:drawing>
          <wp:inline distT="0" distB="0" distL="0" distR="0" wp14:anchorId="5818DA74" wp14:editId="4C8177B8">
            <wp:extent cx="5486400" cy="572494"/>
            <wp:effectExtent l="0" t="57150" r="0" b="1136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2152" w:rsidRPr="00473AD2" w:rsidRDefault="00252152" w:rsidP="00252152">
      <w:pPr>
        <w:pStyle w:val="Funkcijasbold"/>
        <w:spacing w:before="480"/>
        <w:rPr>
          <w:u w:val="single"/>
          <w:lang w:eastAsia="lv-LV"/>
        </w:rPr>
      </w:pPr>
      <w:r w:rsidRPr="00473AD2">
        <w:rPr>
          <w:u w:val="single"/>
          <w:lang w:eastAsia="lv-LV"/>
        </w:rPr>
        <w:t xml:space="preserve">Satversmes tiesas galvenie </w:t>
      </w:r>
      <w:r w:rsidRPr="00473AD2">
        <w:rPr>
          <w:u w:val="single"/>
        </w:rPr>
        <w:t>pasākumi</w:t>
      </w:r>
      <w:r w:rsidRPr="00473AD2">
        <w:rPr>
          <w:u w:val="single"/>
          <w:lang w:eastAsia="lv-LV"/>
        </w:rPr>
        <w:t xml:space="preserve"> 2021. gadā:</w:t>
      </w:r>
    </w:p>
    <w:p w:rsidR="00252152" w:rsidRPr="000913C1" w:rsidRDefault="00252152" w:rsidP="00252152">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ind w:left="1077" w:hanging="357"/>
        <w:contextualSpacing w:val="0"/>
        <w:jc w:val="both"/>
        <w:rPr>
          <w:color w:val="000000"/>
        </w:rPr>
      </w:pPr>
      <w:r w:rsidRPr="000913C1">
        <w:t>Satversmes tiesas un ES tiesas kopīgi organizēta konference Eiropas Savienības konstitucionālajām tiesām un ES tiesai (pārcelta no 2020. gada marta)</w:t>
      </w:r>
      <w:r w:rsidRPr="000913C1">
        <w:rPr>
          <w:color w:val="000000"/>
        </w:rPr>
        <w:t xml:space="preserve">; </w:t>
      </w:r>
    </w:p>
    <w:p w:rsidR="00252152" w:rsidRPr="000913C1" w:rsidRDefault="00252152" w:rsidP="00252152">
      <w:pPr>
        <w:pStyle w:val="ListParagraph"/>
        <w:numPr>
          <w:ilvl w:val="0"/>
          <w:numId w:val="43"/>
        </w:numPr>
        <w:autoSpaceDE w:val="0"/>
        <w:autoSpaceDN w:val="0"/>
        <w:adjustRightInd w:val="0"/>
        <w:spacing w:before="120" w:after="120"/>
        <w:ind w:left="1077" w:hanging="357"/>
        <w:contextualSpacing w:val="0"/>
        <w:jc w:val="both"/>
        <w:rPr>
          <w:color w:val="000000"/>
        </w:rPr>
      </w:pPr>
      <w:r w:rsidRPr="000913C1">
        <w:t>Satversmes tiesas 25. gadadienai un Satversmes 100. gadadienai paredzēti pasākumi (zinātnisko rakstu krājums par godu Satversmes simtgadei, vides instalācijas Satversmes 116 pantiem, Satversmes tiesas muzeja izveidošana)</w:t>
      </w:r>
      <w:r w:rsidRPr="000913C1">
        <w:rPr>
          <w:color w:val="000000"/>
        </w:rPr>
        <w:t xml:space="preserve">; </w:t>
      </w:r>
    </w:p>
    <w:p w:rsidR="00252152" w:rsidRPr="000913C1" w:rsidRDefault="00252152" w:rsidP="00252152">
      <w:pPr>
        <w:pStyle w:val="ListParagraph"/>
        <w:numPr>
          <w:ilvl w:val="0"/>
          <w:numId w:val="43"/>
        </w:numPr>
        <w:autoSpaceDE w:val="0"/>
        <w:autoSpaceDN w:val="0"/>
        <w:adjustRightInd w:val="0"/>
        <w:spacing w:before="120" w:after="120"/>
        <w:ind w:left="1077" w:hanging="357"/>
        <w:contextualSpacing w:val="0"/>
        <w:jc w:val="both"/>
        <w:rPr>
          <w:color w:val="000000"/>
        </w:rPr>
      </w:pPr>
      <w:r w:rsidRPr="000913C1">
        <w:rPr>
          <w:color w:val="000000"/>
        </w:rPr>
        <w:t>Satversmes tiesas un Vācijas Konstitucionālās tiesas divpusējā konference par aktualitātēm Eiropas tiesiskuma telpā;</w:t>
      </w:r>
    </w:p>
    <w:p w:rsidR="00252152" w:rsidRPr="000913C1" w:rsidRDefault="00252152" w:rsidP="00252152">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ind w:left="1077" w:hanging="357"/>
        <w:contextualSpacing w:val="0"/>
        <w:jc w:val="both"/>
        <w:rPr>
          <w:color w:val="000000"/>
        </w:rPr>
      </w:pPr>
      <w:r w:rsidRPr="000913C1">
        <w:rPr>
          <w:color w:val="000000"/>
        </w:rPr>
        <w:t>Austrijas Konstitucionālās tiesas vizīte Satversmes tiesā;</w:t>
      </w:r>
    </w:p>
    <w:p w:rsidR="00252152" w:rsidRPr="000913C1" w:rsidRDefault="00252152" w:rsidP="00252152">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ind w:left="1077" w:hanging="357"/>
        <w:contextualSpacing w:val="0"/>
        <w:jc w:val="both"/>
        <w:rPr>
          <w:color w:val="000000"/>
        </w:rPr>
      </w:pPr>
      <w:r w:rsidRPr="000913C1">
        <w:rPr>
          <w:color w:val="000000"/>
        </w:rPr>
        <w:t>Baltijas valstu konstitucionālo tiesu trīspusējā tikšanās, Satversmes tiesas organizēta tiešsaistes konference;</w:t>
      </w:r>
    </w:p>
    <w:p w:rsidR="00252152" w:rsidRPr="000913C1" w:rsidRDefault="00252152" w:rsidP="00252152">
      <w:pPr>
        <w:pStyle w:val="ListParagraph"/>
        <w:numPr>
          <w:ilvl w:val="0"/>
          <w:numId w:val="43"/>
        </w:numPr>
        <w:autoSpaceDE w:val="0"/>
        <w:autoSpaceDN w:val="0"/>
        <w:adjustRightInd w:val="0"/>
        <w:spacing w:before="120" w:after="120"/>
        <w:ind w:left="1077" w:hanging="357"/>
        <w:contextualSpacing w:val="0"/>
        <w:jc w:val="both"/>
        <w:rPr>
          <w:color w:val="000000"/>
        </w:rPr>
      </w:pPr>
      <w:r w:rsidRPr="000913C1">
        <w:t>tiesas sēžu zāles pielāgošana ar pastāvīgiem risinājumiem, kas spētu nodrošināt drošu, ātru un lietas dalībniekiem ērtu attālināto publisko tiesas sēžu organizēšanu un to translāciju elektroniskajā vidē, lai nodrošinātu visas sabiedrības iespēju sekot līdz tiesas sēdēm, kā arī Satversmes tiesas gatavību nepārtrauktam tiesas darbam arī ārkārtas situāciju laikā</w:t>
      </w:r>
      <w:r w:rsidRPr="000913C1">
        <w:rPr>
          <w:color w:val="000000"/>
        </w:rPr>
        <w:t>;</w:t>
      </w:r>
    </w:p>
    <w:p w:rsidR="00252152" w:rsidRPr="000913C1" w:rsidRDefault="00252152" w:rsidP="00252152">
      <w:pPr>
        <w:pStyle w:val="ListParagraph"/>
        <w:numPr>
          <w:ilvl w:val="0"/>
          <w:numId w:val="43"/>
        </w:numPr>
        <w:autoSpaceDE w:val="0"/>
        <w:autoSpaceDN w:val="0"/>
        <w:adjustRightInd w:val="0"/>
        <w:spacing w:before="120" w:after="120"/>
        <w:ind w:left="1077" w:hanging="357"/>
        <w:contextualSpacing w:val="0"/>
        <w:jc w:val="both"/>
        <w:rPr>
          <w:color w:val="000000"/>
        </w:rPr>
      </w:pPr>
      <w:r w:rsidRPr="000913C1">
        <w:t>ieviest divas jaunas amata vietas, lai ar papildu personāla resursiem varētu īstenot gan juridiskos, gan administratīvos atbalsta uzdevumus</w:t>
      </w:r>
      <w:r w:rsidRPr="000913C1">
        <w:rPr>
          <w:color w:val="000000"/>
        </w:rPr>
        <w:t>;</w:t>
      </w:r>
    </w:p>
    <w:p w:rsidR="00252152" w:rsidRPr="000913C1" w:rsidRDefault="00252152" w:rsidP="00252152">
      <w:pPr>
        <w:pStyle w:val="ListParagraph"/>
        <w:numPr>
          <w:ilvl w:val="0"/>
          <w:numId w:val="43"/>
        </w:numPr>
        <w:autoSpaceDE w:val="0"/>
        <w:autoSpaceDN w:val="0"/>
        <w:adjustRightInd w:val="0"/>
        <w:spacing w:before="120" w:after="120"/>
        <w:ind w:left="1077" w:hanging="357"/>
        <w:contextualSpacing w:val="0"/>
        <w:jc w:val="both"/>
        <w:rPr>
          <w:color w:val="000000"/>
        </w:rPr>
      </w:pPr>
      <w:r w:rsidRPr="000913C1">
        <w:t>informācijas un komunikācijas tehnoloģiju sistēmu ieviešana. Pasākumu kopumā ietilps gan runas atpazīšanas un pielāgošanas nodrošināšana vienotas tehnoloģiju platformas izveidošana ar nepieciešamo informācijas sistēmu, gan attālinātās tiesvedības sistēmu ieviešana un nepieciešamā aprīkojuma iegāde</w:t>
      </w:r>
      <w:r w:rsidRPr="000913C1">
        <w:rPr>
          <w:color w:val="000000"/>
        </w:rPr>
        <w:t>;</w:t>
      </w:r>
    </w:p>
    <w:p w:rsidR="00252152" w:rsidRPr="000913C1" w:rsidRDefault="00252152" w:rsidP="00252152">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ind w:left="1077" w:hanging="357"/>
        <w:contextualSpacing w:val="0"/>
        <w:jc w:val="both"/>
        <w:rPr>
          <w:color w:val="000000"/>
        </w:rPr>
      </w:pPr>
      <w:r w:rsidRPr="000913C1">
        <w:t>Satversmes tiesas nolietotā auto parka atjaunošana.</w:t>
      </w:r>
    </w:p>
    <w:p w:rsidR="00252152" w:rsidRDefault="00252152" w:rsidP="00252152">
      <w:pPr>
        <w:spacing w:after="0"/>
        <w:ind w:firstLine="0"/>
        <w:jc w:val="left"/>
        <w:rPr>
          <w:b/>
          <w:lang w:eastAsia="lv-LV"/>
        </w:rPr>
      </w:pPr>
      <w:r>
        <w:rPr>
          <w:b/>
          <w:lang w:eastAsia="lv-LV"/>
        </w:rPr>
        <w:br w:type="page"/>
      </w:r>
    </w:p>
    <w:p w:rsidR="00252152" w:rsidRDefault="00252152" w:rsidP="00EC270C">
      <w:pPr>
        <w:pStyle w:val="Tabuluvirsraksti"/>
        <w:spacing w:before="480" w:after="0"/>
        <w:rPr>
          <w:b/>
          <w:u w:val="single"/>
          <w:lang w:eastAsia="lv-LV"/>
        </w:rPr>
      </w:pPr>
      <w:r w:rsidRPr="00B842BB">
        <w:rPr>
          <w:b/>
          <w:u w:val="single"/>
          <w:lang w:eastAsia="lv-LV"/>
        </w:rPr>
        <w:lastRenderedPageBreak/>
        <w:t>Satversmes tiesas kopējo izdevumu izmaiņas no 2019. līdz 2023. gadam</w:t>
      </w:r>
    </w:p>
    <w:p w:rsidR="00252152" w:rsidRPr="00EC270C" w:rsidRDefault="00EC270C" w:rsidP="00EC270C">
      <w:pPr>
        <w:pStyle w:val="Tabuluvirsraksti"/>
        <w:spacing w:before="480" w:after="0"/>
        <w:jc w:val="right"/>
        <w:rPr>
          <w:i/>
          <w:sz w:val="18"/>
          <w:szCs w:val="18"/>
          <w:lang w:eastAsia="lv-LV"/>
        </w:rPr>
      </w:pPr>
      <w:proofErr w:type="spellStart"/>
      <w:r w:rsidRPr="00EC270C">
        <w:rPr>
          <w:i/>
          <w:sz w:val="18"/>
          <w:szCs w:val="18"/>
          <w:lang w:eastAsia="lv-LV"/>
        </w:rPr>
        <w:t>Euro</w:t>
      </w:r>
      <w:bookmarkStart w:id="0" w:name="_GoBack"/>
      <w:bookmarkEnd w:id="0"/>
      <w:proofErr w:type="spellEnd"/>
      <w:r>
        <w:rPr>
          <w:noProof/>
          <w:lang w:eastAsia="lv-LV"/>
        </w:rPr>
        <w:drawing>
          <wp:anchor distT="0" distB="0" distL="114300" distR="114300" simplePos="0" relativeHeight="251658240" behindDoc="0" locked="0" layoutInCell="1" allowOverlap="1">
            <wp:simplePos x="0" y="0"/>
            <wp:positionH relativeFrom="column">
              <wp:posOffset>635</wp:posOffset>
            </wp:positionH>
            <wp:positionV relativeFrom="page">
              <wp:posOffset>1590040</wp:posOffset>
            </wp:positionV>
            <wp:extent cx="5760085" cy="3648710"/>
            <wp:effectExtent l="0" t="0" r="12065" b="8890"/>
            <wp:wrapThrough wrapText="bothSides">
              <wp:wrapPolygon edited="0">
                <wp:start x="0" y="0"/>
                <wp:lineTo x="0" y="21540"/>
                <wp:lineTo x="21574" y="21540"/>
                <wp:lineTo x="2157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52152" w:rsidRPr="00BB2102" w:rsidRDefault="00252152" w:rsidP="00252152">
      <w:pPr>
        <w:pStyle w:val="Tabuluvirsraksti"/>
        <w:spacing w:before="480" w:after="240"/>
        <w:rPr>
          <w:b/>
          <w:lang w:eastAsia="lv-LV"/>
        </w:rPr>
      </w:pPr>
      <w:r w:rsidRPr="00BB2102">
        <w:rPr>
          <w:b/>
          <w:lang w:eastAsia="lv-LV"/>
        </w:rPr>
        <w:t>Vidējais amata vietu skaits no</w:t>
      </w:r>
      <w:r>
        <w:rPr>
          <w:b/>
          <w:lang w:eastAsia="lv-LV"/>
        </w:rPr>
        <w:t xml:space="preserve"> 2019. līdz 2023.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252152" w:rsidRPr="00853D40" w:rsidTr="00AF7C6D">
        <w:trPr>
          <w:trHeight w:val="425"/>
          <w:tblHeader/>
          <w:jc w:val="center"/>
        </w:trPr>
        <w:tc>
          <w:tcPr>
            <w:tcW w:w="2949" w:type="dxa"/>
            <w:shd w:val="clear" w:color="auto" w:fill="auto"/>
          </w:tcPr>
          <w:p w:rsidR="00252152" w:rsidRPr="00853D40" w:rsidRDefault="00252152" w:rsidP="00AF7C6D">
            <w:pPr>
              <w:pStyle w:val="tabteksts"/>
              <w:jc w:val="center"/>
              <w:rPr>
                <w:szCs w:val="18"/>
              </w:rPr>
            </w:pPr>
          </w:p>
        </w:tc>
        <w:tc>
          <w:tcPr>
            <w:tcW w:w="1252" w:type="dxa"/>
            <w:shd w:val="clear" w:color="auto" w:fill="auto"/>
          </w:tcPr>
          <w:p w:rsidR="00252152" w:rsidRPr="00853D40" w:rsidRDefault="00252152" w:rsidP="00AF7C6D">
            <w:pPr>
              <w:pStyle w:val="tabteksts"/>
              <w:jc w:val="center"/>
              <w:rPr>
                <w:szCs w:val="18"/>
                <w:lang w:eastAsia="lv-LV"/>
              </w:rPr>
            </w:pPr>
            <w:r w:rsidRPr="00853D40">
              <w:rPr>
                <w:szCs w:val="18"/>
                <w:lang w:eastAsia="lv-LV"/>
              </w:rPr>
              <w:t>2019. gads</w:t>
            </w:r>
            <w:r w:rsidRPr="00853D40">
              <w:rPr>
                <w:szCs w:val="18"/>
                <w:lang w:eastAsia="lv-LV"/>
              </w:rPr>
              <w:br/>
              <w:t>(izpilde)</w:t>
            </w:r>
          </w:p>
        </w:tc>
        <w:tc>
          <w:tcPr>
            <w:tcW w:w="1252" w:type="dxa"/>
            <w:shd w:val="clear" w:color="auto" w:fill="auto"/>
          </w:tcPr>
          <w:p w:rsidR="00252152" w:rsidRPr="00853D40" w:rsidRDefault="00252152" w:rsidP="00AF7C6D">
            <w:pPr>
              <w:pStyle w:val="tabteksts"/>
              <w:jc w:val="center"/>
              <w:rPr>
                <w:szCs w:val="18"/>
                <w:lang w:eastAsia="lv-LV"/>
              </w:rPr>
            </w:pPr>
            <w:r w:rsidRPr="00853D40">
              <w:rPr>
                <w:szCs w:val="18"/>
                <w:lang w:eastAsia="lv-LV"/>
              </w:rPr>
              <w:t>2020. gada plāns</w:t>
            </w:r>
          </w:p>
        </w:tc>
        <w:tc>
          <w:tcPr>
            <w:tcW w:w="1252" w:type="dxa"/>
            <w:shd w:val="clear" w:color="auto" w:fill="auto"/>
          </w:tcPr>
          <w:p w:rsidR="00252152" w:rsidRPr="00853D40" w:rsidRDefault="00252152" w:rsidP="00AF7C6D">
            <w:pPr>
              <w:pStyle w:val="tabteksts"/>
              <w:jc w:val="center"/>
              <w:rPr>
                <w:szCs w:val="18"/>
                <w:lang w:eastAsia="lv-LV"/>
              </w:rPr>
            </w:pPr>
            <w:r w:rsidRPr="00853D40">
              <w:rPr>
                <w:szCs w:val="18"/>
                <w:lang w:eastAsia="lv-LV"/>
              </w:rPr>
              <w:t>2021. gada projekts</w:t>
            </w:r>
          </w:p>
        </w:tc>
        <w:tc>
          <w:tcPr>
            <w:tcW w:w="1252" w:type="dxa"/>
            <w:shd w:val="clear" w:color="auto" w:fill="auto"/>
          </w:tcPr>
          <w:p w:rsidR="00252152" w:rsidRPr="00853D40" w:rsidRDefault="00252152" w:rsidP="00AF7C6D">
            <w:pPr>
              <w:pStyle w:val="tabteksts"/>
              <w:jc w:val="center"/>
              <w:rPr>
                <w:szCs w:val="18"/>
                <w:lang w:eastAsia="lv-LV"/>
              </w:rPr>
            </w:pPr>
            <w:r w:rsidRPr="00853D40">
              <w:rPr>
                <w:szCs w:val="18"/>
                <w:lang w:eastAsia="lv-LV"/>
              </w:rPr>
              <w:t>2022. gada prognoze</w:t>
            </w:r>
          </w:p>
        </w:tc>
        <w:tc>
          <w:tcPr>
            <w:tcW w:w="1252" w:type="dxa"/>
            <w:shd w:val="clear" w:color="auto" w:fill="auto"/>
          </w:tcPr>
          <w:p w:rsidR="00252152" w:rsidRPr="00853D40" w:rsidRDefault="00252152" w:rsidP="00AF7C6D">
            <w:pPr>
              <w:pStyle w:val="tabteksts"/>
              <w:jc w:val="center"/>
              <w:rPr>
                <w:szCs w:val="18"/>
                <w:lang w:eastAsia="lv-LV"/>
              </w:rPr>
            </w:pPr>
            <w:r w:rsidRPr="00853D40">
              <w:rPr>
                <w:szCs w:val="18"/>
                <w:lang w:eastAsia="lv-LV"/>
              </w:rPr>
              <w:t>2023. gada prognoze</w:t>
            </w:r>
          </w:p>
        </w:tc>
      </w:tr>
      <w:tr w:rsidR="00252152" w:rsidRPr="00853D40" w:rsidTr="00EC270C">
        <w:trPr>
          <w:trHeight w:val="174"/>
          <w:jc w:val="center"/>
        </w:trPr>
        <w:tc>
          <w:tcPr>
            <w:tcW w:w="2949" w:type="dxa"/>
            <w:shd w:val="clear" w:color="auto" w:fill="D9D9D9" w:themeFill="background1" w:themeFillShade="D9"/>
          </w:tcPr>
          <w:p w:rsidR="00252152" w:rsidRPr="00853D40" w:rsidRDefault="00252152" w:rsidP="00AF7C6D">
            <w:pPr>
              <w:pStyle w:val="tabteksts"/>
              <w:rPr>
                <w:szCs w:val="18"/>
              </w:rPr>
            </w:pPr>
            <w:r w:rsidRPr="00853D40">
              <w:rPr>
                <w:szCs w:val="18"/>
              </w:rPr>
              <w:t>Vidējais amata vietu skaits gadā</w:t>
            </w:r>
          </w:p>
        </w:tc>
        <w:tc>
          <w:tcPr>
            <w:tcW w:w="1252" w:type="dxa"/>
            <w:shd w:val="clear" w:color="auto" w:fill="D9D9D9" w:themeFill="background1" w:themeFillShade="D9"/>
          </w:tcPr>
          <w:p w:rsidR="00252152" w:rsidRPr="00853D40" w:rsidRDefault="00252152" w:rsidP="00AF7C6D">
            <w:pPr>
              <w:pStyle w:val="tabteksts"/>
              <w:jc w:val="right"/>
              <w:rPr>
                <w:szCs w:val="18"/>
              </w:rPr>
            </w:pPr>
            <w:r w:rsidRPr="00853D40">
              <w:rPr>
                <w:szCs w:val="18"/>
              </w:rPr>
              <w:t>49</w:t>
            </w:r>
          </w:p>
        </w:tc>
        <w:tc>
          <w:tcPr>
            <w:tcW w:w="1252" w:type="dxa"/>
            <w:shd w:val="clear" w:color="auto" w:fill="D9D9D9" w:themeFill="background1" w:themeFillShade="D9"/>
          </w:tcPr>
          <w:p w:rsidR="00252152" w:rsidRPr="00853D40" w:rsidRDefault="00252152" w:rsidP="00AF7C6D">
            <w:pPr>
              <w:pStyle w:val="tabteksts"/>
              <w:jc w:val="right"/>
              <w:rPr>
                <w:szCs w:val="18"/>
              </w:rPr>
            </w:pPr>
            <w:r w:rsidRPr="00853D40">
              <w:rPr>
                <w:szCs w:val="18"/>
              </w:rPr>
              <w:t>52</w:t>
            </w:r>
          </w:p>
        </w:tc>
        <w:tc>
          <w:tcPr>
            <w:tcW w:w="1252" w:type="dxa"/>
            <w:shd w:val="clear" w:color="auto" w:fill="D9D9D9" w:themeFill="background1" w:themeFillShade="D9"/>
          </w:tcPr>
          <w:p w:rsidR="00252152" w:rsidRPr="00853D40" w:rsidRDefault="00252152" w:rsidP="00AF7C6D">
            <w:pPr>
              <w:pStyle w:val="tabteksts"/>
              <w:jc w:val="right"/>
              <w:rPr>
                <w:szCs w:val="18"/>
              </w:rPr>
            </w:pPr>
            <w:r w:rsidRPr="00853D40">
              <w:rPr>
                <w:szCs w:val="18"/>
              </w:rPr>
              <w:t>54</w:t>
            </w:r>
          </w:p>
        </w:tc>
        <w:tc>
          <w:tcPr>
            <w:tcW w:w="1252" w:type="dxa"/>
            <w:shd w:val="clear" w:color="auto" w:fill="D9D9D9" w:themeFill="background1" w:themeFillShade="D9"/>
          </w:tcPr>
          <w:p w:rsidR="00252152" w:rsidRPr="00853D40" w:rsidRDefault="00252152" w:rsidP="00AF7C6D">
            <w:pPr>
              <w:pStyle w:val="tabteksts"/>
              <w:jc w:val="right"/>
              <w:rPr>
                <w:szCs w:val="18"/>
              </w:rPr>
            </w:pPr>
            <w:r w:rsidRPr="00853D40">
              <w:rPr>
                <w:szCs w:val="18"/>
              </w:rPr>
              <w:t>54</w:t>
            </w:r>
          </w:p>
        </w:tc>
        <w:tc>
          <w:tcPr>
            <w:tcW w:w="1252" w:type="dxa"/>
            <w:shd w:val="clear" w:color="auto" w:fill="D9D9D9" w:themeFill="background1" w:themeFillShade="D9"/>
          </w:tcPr>
          <w:p w:rsidR="00252152" w:rsidRPr="00853D40" w:rsidRDefault="00252152" w:rsidP="00AF7C6D">
            <w:pPr>
              <w:pStyle w:val="tabteksts"/>
              <w:jc w:val="right"/>
              <w:rPr>
                <w:szCs w:val="18"/>
              </w:rPr>
            </w:pPr>
            <w:r w:rsidRPr="00853D40">
              <w:rPr>
                <w:szCs w:val="18"/>
              </w:rPr>
              <w:t>54</w:t>
            </w:r>
          </w:p>
        </w:tc>
      </w:tr>
      <w:tr w:rsidR="00252152" w:rsidRPr="00853D40" w:rsidTr="00AF7C6D">
        <w:trPr>
          <w:trHeight w:val="142"/>
          <w:jc w:val="center"/>
        </w:trPr>
        <w:tc>
          <w:tcPr>
            <w:tcW w:w="9209" w:type="dxa"/>
            <w:gridSpan w:val="6"/>
          </w:tcPr>
          <w:p w:rsidR="00252152" w:rsidRPr="00853D40" w:rsidRDefault="00252152" w:rsidP="00AF7C6D">
            <w:pPr>
              <w:pStyle w:val="tabteksts"/>
              <w:rPr>
                <w:szCs w:val="18"/>
              </w:rPr>
            </w:pPr>
            <w:r w:rsidRPr="00853D40">
              <w:rPr>
                <w:i/>
                <w:szCs w:val="18"/>
              </w:rPr>
              <w:t>Tajā skaitā:</w:t>
            </w:r>
          </w:p>
        </w:tc>
      </w:tr>
      <w:tr w:rsidR="00252152" w:rsidRPr="00853D40" w:rsidTr="00AF7C6D">
        <w:trPr>
          <w:trHeight w:val="142"/>
          <w:jc w:val="center"/>
        </w:trPr>
        <w:tc>
          <w:tcPr>
            <w:tcW w:w="9209" w:type="dxa"/>
            <w:gridSpan w:val="6"/>
          </w:tcPr>
          <w:p w:rsidR="00252152" w:rsidRPr="00853D40" w:rsidRDefault="00252152" w:rsidP="00AF7C6D">
            <w:pPr>
              <w:pStyle w:val="tabteksts"/>
              <w:ind w:firstLine="313"/>
              <w:rPr>
                <w:szCs w:val="18"/>
              </w:rPr>
            </w:pPr>
            <w:r w:rsidRPr="00853D40">
              <w:rPr>
                <w:i/>
                <w:szCs w:val="18"/>
              </w:rPr>
              <w:t>Valsts pamatfunkciju īstenošana</w:t>
            </w:r>
          </w:p>
        </w:tc>
      </w:tr>
      <w:tr w:rsidR="00252152" w:rsidRPr="00853D40" w:rsidTr="00EC270C">
        <w:trPr>
          <w:trHeight w:val="225"/>
          <w:jc w:val="center"/>
        </w:trPr>
        <w:tc>
          <w:tcPr>
            <w:tcW w:w="2949" w:type="dxa"/>
            <w:shd w:val="clear" w:color="auto" w:fill="F2F2F2" w:themeFill="background1" w:themeFillShade="F2"/>
          </w:tcPr>
          <w:p w:rsidR="00252152" w:rsidRPr="00853D40" w:rsidRDefault="00252152" w:rsidP="00AF7C6D">
            <w:pPr>
              <w:pStyle w:val="tabteksts"/>
              <w:rPr>
                <w:szCs w:val="18"/>
                <w:lang w:eastAsia="lv-LV"/>
              </w:rPr>
            </w:pPr>
            <w:r w:rsidRPr="00853D40">
              <w:rPr>
                <w:szCs w:val="18"/>
              </w:rPr>
              <w:t>Vidējais amata vietu skaits gadā</w:t>
            </w:r>
          </w:p>
        </w:tc>
        <w:tc>
          <w:tcPr>
            <w:tcW w:w="1252" w:type="dxa"/>
            <w:shd w:val="clear" w:color="auto" w:fill="F2F2F2" w:themeFill="background1" w:themeFillShade="F2"/>
          </w:tcPr>
          <w:p w:rsidR="00252152" w:rsidRPr="00853D40" w:rsidRDefault="00252152" w:rsidP="00AF7C6D">
            <w:pPr>
              <w:pStyle w:val="tabteksts"/>
              <w:jc w:val="right"/>
              <w:rPr>
                <w:szCs w:val="18"/>
              </w:rPr>
            </w:pPr>
            <w:r w:rsidRPr="00853D40">
              <w:rPr>
                <w:szCs w:val="18"/>
              </w:rPr>
              <w:t>49</w:t>
            </w:r>
          </w:p>
        </w:tc>
        <w:tc>
          <w:tcPr>
            <w:tcW w:w="1252" w:type="dxa"/>
            <w:shd w:val="clear" w:color="auto" w:fill="F2F2F2" w:themeFill="background1" w:themeFillShade="F2"/>
          </w:tcPr>
          <w:p w:rsidR="00252152" w:rsidRPr="00853D40" w:rsidRDefault="00252152" w:rsidP="00AF7C6D">
            <w:pPr>
              <w:pStyle w:val="tabteksts"/>
              <w:jc w:val="right"/>
              <w:rPr>
                <w:szCs w:val="18"/>
              </w:rPr>
            </w:pPr>
            <w:r w:rsidRPr="00853D40">
              <w:rPr>
                <w:szCs w:val="18"/>
              </w:rPr>
              <w:t>52</w:t>
            </w:r>
          </w:p>
        </w:tc>
        <w:tc>
          <w:tcPr>
            <w:tcW w:w="1252" w:type="dxa"/>
            <w:shd w:val="clear" w:color="auto" w:fill="F2F2F2" w:themeFill="background1" w:themeFillShade="F2"/>
          </w:tcPr>
          <w:p w:rsidR="00252152" w:rsidRPr="00853D40" w:rsidRDefault="00252152" w:rsidP="00AF7C6D">
            <w:pPr>
              <w:pStyle w:val="tabteksts"/>
              <w:jc w:val="right"/>
              <w:rPr>
                <w:szCs w:val="18"/>
              </w:rPr>
            </w:pPr>
            <w:r w:rsidRPr="00853D40">
              <w:rPr>
                <w:szCs w:val="18"/>
              </w:rPr>
              <w:t>54</w:t>
            </w:r>
          </w:p>
        </w:tc>
        <w:tc>
          <w:tcPr>
            <w:tcW w:w="1252" w:type="dxa"/>
            <w:shd w:val="clear" w:color="auto" w:fill="F2F2F2" w:themeFill="background1" w:themeFillShade="F2"/>
          </w:tcPr>
          <w:p w:rsidR="00252152" w:rsidRPr="00853D40" w:rsidRDefault="00252152" w:rsidP="00AF7C6D">
            <w:pPr>
              <w:pStyle w:val="tabteksts"/>
              <w:jc w:val="right"/>
              <w:rPr>
                <w:szCs w:val="18"/>
              </w:rPr>
            </w:pPr>
            <w:r w:rsidRPr="00853D40">
              <w:rPr>
                <w:szCs w:val="18"/>
              </w:rPr>
              <w:t>54</w:t>
            </w:r>
          </w:p>
        </w:tc>
        <w:tc>
          <w:tcPr>
            <w:tcW w:w="1252" w:type="dxa"/>
            <w:shd w:val="clear" w:color="auto" w:fill="F2F2F2" w:themeFill="background1" w:themeFillShade="F2"/>
          </w:tcPr>
          <w:p w:rsidR="00252152" w:rsidRPr="00853D40" w:rsidRDefault="00252152" w:rsidP="00AF7C6D">
            <w:pPr>
              <w:pStyle w:val="tabteksts"/>
              <w:jc w:val="right"/>
              <w:rPr>
                <w:szCs w:val="18"/>
              </w:rPr>
            </w:pPr>
            <w:r w:rsidRPr="00853D40">
              <w:rPr>
                <w:szCs w:val="18"/>
              </w:rPr>
              <w:t>54</w:t>
            </w:r>
          </w:p>
        </w:tc>
      </w:tr>
    </w:tbl>
    <w:p w:rsidR="00252152" w:rsidRPr="00BB2102" w:rsidRDefault="00252152" w:rsidP="00EC270C">
      <w:pPr>
        <w:pStyle w:val="Tabuluvirsraksti"/>
        <w:spacing w:before="360" w:after="240"/>
        <w:rPr>
          <w:b/>
          <w:szCs w:val="24"/>
          <w:u w:val="single"/>
          <w:lang w:eastAsia="lv-LV"/>
        </w:rPr>
      </w:pPr>
      <w:r>
        <w:rPr>
          <w:b/>
          <w:szCs w:val="24"/>
          <w:u w:val="single"/>
          <w:lang w:eastAsia="lv-LV"/>
        </w:rPr>
        <w:t>Darbības virziena</w:t>
      </w:r>
      <w:r w:rsidRPr="00BB2102">
        <w:rPr>
          <w:b/>
          <w:szCs w:val="24"/>
          <w:u w:val="single"/>
          <w:lang w:eastAsia="lv-LV"/>
        </w:rPr>
        <w:t xml:space="preserve"> un resursu vadības karte</w:t>
      </w:r>
    </w:p>
    <w:p w:rsidR="00252152" w:rsidRPr="004F0910" w:rsidRDefault="00252152" w:rsidP="00252152">
      <w:pPr>
        <w:pStyle w:val="Tabuluvirsraksti"/>
        <w:spacing w:after="0"/>
        <w:rPr>
          <w:b/>
          <w:sz w:val="20"/>
          <w:u w:val="single"/>
          <w:lang w:eastAsia="lv-LV"/>
        </w:rPr>
      </w:pPr>
    </w:p>
    <w:p w:rsidR="00252152" w:rsidRPr="00BB2102" w:rsidRDefault="00252152" w:rsidP="00252152">
      <w:pPr>
        <w:pStyle w:val="Tabuluvirsraksti"/>
        <w:numPr>
          <w:ilvl w:val="0"/>
          <w:numId w:val="44"/>
        </w:numPr>
        <w:ind w:left="714" w:hanging="357"/>
        <w:jc w:val="left"/>
        <w:rPr>
          <w:b/>
          <w:lang w:eastAsia="lv-LV"/>
        </w:rPr>
      </w:pPr>
      <w:r>
        <w:rPr>
          <w:b/>
          <w:lang w:eastAsia="lv-LV"/>
        </w:rPr>
        <w:t>Tiesas spriešana</w:t>
      </w:r>
    </w:p>
    <w:tbl>
      <w:tblPr>
        <w:tblStyle w:val="TableGrid"/>
        <w:tblW w:w="9074" w:type="dxa"/>
        <w:tblInd w:w="-5" w:type="dxa"/>
        <w:tblLayout w:type="fixed"/>
        <w:tblLook w:val="04A0" w:firstRow="1" w:lastRow="0" w:firstColumn="1" w:lastColumn="0" w:noHBand="0" w:noVBand="1"/>
      </w:tblPr>
      <w:tblGrid>
        <w:gridCol w:w="9074"/>
      </w:tblGrid>
      <w:tr w:rsidR="00252152" w:rsidRPr="00853D40" w:rsidTr="00AF7C6D">
        <w:trPr>
          <w:trHeight w:val="283"/>
        </w:trPr>
        <w:tc>
          <w:tcPr>
            <w:tcW w:w="9074" w:type="dxa"/>
            <w:shd w:val="clear" w:color="auto" w:fill="D9D9D9" w:themeFill="background1" w:themeFillShade="D9"/>
          </w:tcPr>
          <w:p w:rsidR="00252152" w:rsidRPr="00853D40" w:rsidRDefault="00252152" w:rsidP="00AF7C6D">
            <w:pPr>
              <w:pStyle w:val="Tabuluvirsraksti"/>
              <w:spacing w:after="0"/>
              <w:jc w:val="both"/>
              <w:rPr>
                <w:b/>
                <w:sz w:val="18"/>
                <w:szCs w:val="18"/>
                <w:lang w:eastAsia="lv-LV"/>
              </w:rPr>
            </w:pPr>
            <w:r w:rsidRPr="00853D40">
              <w:rPr>
                <w:b/>
                <w:sz w:val="18"/>
                <w:szCs w:val="18"/>
                <w:lang w:eastAsia="lv-LV"/>
              </w:rPr>
              <w:t xml:space="preserve">Darbības mērķis: nodrošināt Satversmes tiesas darbību </w:t>
            </w:r>
            <w:r w:rsidRPr="00853D40">
              <w:rPr>
                <w:i/>
                <w:sz w:val="18"/>
                <w:szCs w:val="18"/>
                <w:lang w:eastAsia="lv-LV"/>
              </w:rPr>
              <w:t>/ Satversmes 85. pants un Satversmes tiesas likums</w:t>
            </w:r>
          </w:p>
        </w:tc>
      </w:tr>
    </w:tbl>
    <w:p w:rsidR="00252152" w:rsidRPr="00A9001D" w:rsidRDefault="00252152" w:rsidP="00252152">
      <w:pPr>
        <w:spacing w:after="0"/>
        <w:rPr>
          <w:sz w:val="16"/>
          <w:szCs w:val="16"/>
        </w:rPr>
      </w:pPr>
    </w:p>
    <w:tbl>
      <w:tblPr>
        <w:tblStyle w:val="TableGrid"/>
        <w:tblW w:w="9074" w:type="dxa"/>
        <w:tblInd w:w="-5" w:type="dxa"/>
        <w:tblLayout w:type="fixed"/>
        <w:tblLook w:val="04A0" w:firstRow="1" w:lastRow="0" w:firstColumn="1" w:lastColumn="0" w:noHBand="0" w:noVBand="1"/>
      </w:tblPr>
      <w:tblGrid>
        <w:gridCol w:w="2840"/>
        <w:gridCol w:w="1246"/>
        <w:gridCol w:w="1247"/>
        <w:gridCol w:w="1247"/>
        <w:gridCol w:w="1245"/>
        <w:gridCol w:w="1249"/>
      </w:tblGrid>
      <w:tr w:rsidR="00252152" w:rsidRPr="00853D40" w:rsidTr="00AF7C6D">
        <w:trPr>
          <w:trHeight w:val="283"/>
        </w:trPr>
        <w:tc>
          <w:tcPr>
            <w:tcW w:w="2840" w:type="dxa"/>
          </w:tcPr>
          <w:p w:rsidR="00252152" w:rsidRPr="00853D40" w:rsidRDefault="00252152" w:rsidP="00AF7C6D">
            <w:pPr>
              <w:spacing w:after="0"/>
              <w:rPr>
                <w:sz w:val="18"/>
                <w:szCs w:val="18"/>
              </w:rPr>
            </w:pPr>
          </w:p>
        </w:tc>
        <w:tc>
          <w:tcPr>
            <w:tcW w:w="1246" w:type="dxa"/>
          </w:tcPr>
          <w:p w:rsidR="00252152" w:rsidRPr="00853D40" w:rsidRDefault="00252152" w:rsidP="00AF7C6D">
            <w:pPr>
              <w:pStyle w:val="tabteksts"/>
              <w:jc w:val="center"/>
              <w:rPr>
                <w:szCs w:val="18"/>
                <w:lang w:eastAsia="lv-LV"/>
              </w:rPr>
            </w:pPr>
            <w:r w:rsidRPr="00853D40">
              <w:rPr>
                <w:szCs w:val="18"/>
                <w:lang w:eastAsia="lv-LV"/>
              </w:rPr>
              <w:t>2019. gads</w:t>
            </w:r>
            <w:r w:rsidRPr="00853D40">
              <w:rPr>
                <w:szCs w:val="18"/>
                <w:lang w:eastAsia="lv-LV"/>
              </w:rPr>
              <w:br/>
              <w:t>(izpilde)</w:t>
            </w:r>
          </w:p>
        </w:tc>
        <w:tc>
          <w:tcPr>
            <w:tcW w:w="1247" w:type="dxa"/>
          </w:tcPr>
          <w:p w:rsidR="00252152" w:rsidRPr="00853D40" w:rsidRDefault="00252152" w:rsidP="00AF7C6D">
            <w:pPr>
              <w:pStyle w:val="tabteksts"/>
              <w:jc w:val="center"/>
              <w:rPr>
                <w:szCs w:val="18"/>
                <w:lang w:eastAsia="lv-LV"/>
              </w:rPr>
            </w:pPr>
            <w:r w:rsidRPr="00853D40">
              <w:rPr>
                <w:szCs w:val="18"/>
                <w:lang w:eastAsia="lv-LV"/>
              </w:rPr>
              <w:t>2020. gada</w:t>
            </w:r>
          </w:p>
          <w:p w:rsidR="00252152" w:rsidRPr="00853D40" w:rsidRDefault="00252152" w:rsidP="00AF7C6D">
            <w:pPr>
              <w:pStyle w:val="tabteksts"/>
              <w:jc w:val="center"/>
              <w:rPr>
                <w:szCs w:val="18"/>
                <w:lang w:eastAsia="lv-LV"/>
              </w:rPr>
            </w:pPr>
            <w:r w:rsidRPr="00853D40">
              <w:rPr>
                <w:szCs w:val="18"/>
                <w:lang w:eastAsia="lv-LV"/>
              </w:rPr>
              <w:t>plāns</w:t>
            </w:r>
          </w:p>
        </w:tc>
        <w:tc>
          <w:tcPr>
            <w:tcW w:w="1247" w:type="dxa"/>
          </w:tcPr>
          <w:p w:rsidR="00252152" w:rsidRPr="00853D40" w:rsidRDefault="00252152" w:rsidP="00AF7C6D">
            <w:pPr>
              <w:pStyle w:val="tabteksts"/>
              <w:jc w:val="center"/>
              <w:rPr>
                <w:szCs w:val="18"/>
                <w:lang w:eastAsia="lv-LV"/>
              </w:rPr>
            </w:pPr>
            <w:r w:rsidRPr="00853D40">
              <w:rPr>
                <w:szCs w:val="18"/>
                <w:lang w:eastAsia="lv-LV"/>
              </w:rPr>
              <w:t>2021. gada projekts</w:t>
            </w:r>
          </w:p>
        </w:tc>
        <w:tc>
          <w:tcPr>
            <w:tcW w:w="1245" w:type="dxa"/>
          </w:tcPr>
          <w:p w:rsidR="00252152" w:rsidRPr="00853D40" w:rsidRDefault="00252152" w:rsidP="00AF7C6D">
            <w:pPr>
              <w:pStyle w:val="tabteksts"/>
              <w:jc w:val="center"/>
              <w:rPr>
                <w:szCs w:val="18"/>
                <w:lang w:eastAsia="lv-LV"/>
              </w:rPr>
            </w:pPr>
            <w:r w:rsidRPr="00853D40">
              <w:rPr>
                <w:szCs w:val="18"/>
                <w:lang w:eastAsia="lv-LV"/>
              </w:rPr>
              <w:t>2022. gada prognoze</w:t>
            </w:r>
          </w:p>
        </w:tc>
        <w:tc>
          <w:tcPr>
            <w:tcW w:w="1249" w:type="dxa"/>
          </w:tcPr>
          <w:p w:rsidR="00252152" w:rsidRPr="00853D40" w:rsidRDefault="00252152" w:rsidP="00AF7C6D">
            <w:pPr>
              <w:spacing w:after="0"/>
              <w:ind w:firstLine="2"/>
              <w:jc w:val="center"/>
              <w:rPr>
                <w:sz w:val="18"/>
                <w:szCs w:val="18"/>
                <w:lang w:eastAsia="lv-LV"/>
              </w:rPr>
            </w:pPr>
            <w:r w:rsidRPr="00853D40">
              <w:rPr>
                <w:sz w:val="18"/>
                <w:szCs w:val="18"/>
                <w:lang w:eastAsia="lv-LV"/>
              </w:rPr>
              <w:t>2023. gada prognoze</w:t>
            </w:r>
          </w:p>
        </w:tc>
      </w:tr>
      <w:tr w:rsidR="00252152" w:rsidRPr="00853D40" w:rsidTr="00AF7C6D">
        <w:tc>
          <w:tcPr>
            <w:tcW w:w="9074" w:type="dxa"/>
            <w:gridSpan w:val="6"/>
            <w:shd w:val="clear" w:color="auto" w:fill="D9D9D9" w:themeFill="background1" w:themeFillShade="D9"/>
          </w:tcPr>
          <w:p w:rsidR="00252152" w:rsidRPr="00853D40" w:rsidRDefault="00252152" w:rsidP="00AF7C6D">
            <w:pPr>
              <w:spacing w:after="0"/>
              <w:jc w:val="center"/>
              <w:rPr>
                <w:b/>
                <w:sz w:val="18"/>
                <w:szCs w:val="18"/>
              </w:rPr>
            </w:pPr>
            <w:r w:rsidRPr="00853D40">
              <w:rPr>
                <w:b/>
                <w:sz w:val="18"/>
                <w:szCs w:val="18"/>
              </w:rPr>
              <w:t>Ieguldījumi</w:t>
            </w:r>
          </w:p>
        </w:tc>
      </w:tr>
      <w:tr w:rsidR="00252152" w:rsidRPr="00853D40" w:rsidTr="00AF7C6D">
        <w:trPr>
          <w:trHeight w:val="142"/>
        </w:trPr>
        <w:tc>
          <w:tcPr>
            <w:tcW w:w="2840" w:type="dxa"/>
            <w:vMerge w:val="restart"/>
          </w:tcPr>
          <w:p w:rsidR="00252152" w:rsidRPr="00853D40" w:rsidRDefault="00252152" w:rsidP="00AF7C6D">
            <w:pPr>
              <w:spacing w:after="0"/>
              <w:ind w:firstLine="0"/>
              <w:rPr>
                <w:b/>
                <w:sz w:val="18"/>
                <w:szCs w:val="18"/>
                <w:lang w:eastAsia="lv-LV"/>
              </w:rPr>
            </w:pPr>
            <w:r w:rsidRPr="00853D40">
              <w:rPr>
                <w:b/>
                <w:sz w:val="18"/>
                <w:szCs w:val="18"/>
                <w:lang w:eastAsia="lv-LV"/>
              </w:rPr>
              <w:t xml:space="preserve">Izdevumi kopā, </w:t>
            </w:r>
            <w:r w:rsidRPr="00853D40">
              <w:rPr>
                <w:i/>
                <w:sz w:val="18"/>
                <w:szCs w:val="18"/>
                <w:lang w:eastAsia="lv-LV"/>
              </w:rPr>
              <w:t>euro,</w:t>
            </w:r>
            <w:r w:rsidRPr="00853D40">
              <w:rPr>
                <w:sz w:val="18"/>
                <w:szCs w:val="18"/>
                <w:lang w:eastAsia="lv-LV"/>
              </w:rPr>
              <w:t xml:space="preserve"> t.sk.:</w:t>
            </w:r>
          </w:p>
          <w:p w:rsidR="00252152" w:rsidRPr="00853D40" w:rsidRDefault="00252152" w:rsidP="00AF7C6D">
            <w:pPr>
              <w:spacing w:after="0"/>
              <w:ind w:firstLine="0"/>
              <w:rPr>
                <w:sz w:val="18"/>
                <w:szCs w:val="18"/>
              </w:rPr>
            </w:pPr>
            <w:r w:rsidRPr="00853D40">
              <w:rPr>
                <w:b/>
                <w:sz w:val="18"/>
                <w:szCs w:val="18"/>
                <w:lang w:eastAsia="lv-LV"/>
              </w:rPr>
              <w:t>Vidējais amata vietu skaits</w:t>
            </w:r>
            <w:r w:rsidRPr="00853D40">
              <w:rPr>
                <w:sz w:val="18"/>
                <w:szCs w:val="18"/>
                <w:lang w:eastAsia="lv-LV"/>
              </w:rPr>
              <w:t xml:space="preserve"> </w:t>
            </w:r>
            <w:r w:rsidRPr="00853D40">
              <w:rPr>
                <w:b/>
                <w:sz w:val="18"/>
                <w:szCs w:val="18"/>
                <w:lang w:eastAsia="lv-LV"/>
              </w:rPr>
              <w:t>kopā</w:t>
            </w:r>
            <w:r w:rsidRPr="00853D40">
              <w:rPr>
                <w:sz w:val="18"/>
                <w:szCs w:val="18"/>
                <w:lang w:eastAsia="lv-LV"/>
              </w:rPr>
              <w:t>, t.sk.:</w:t>
            </w:r>
          </w:p>
        </w:tc>
        <w:tc>
          <w:tcPr>
            <w:tcW w:w="1246" w:type="dxa"/>
          </w:tcPr>
          <w:p w:rsidR="00252152" w:rsidRPr="00853D40" w:rsidRDefault="00252152" w:rsidP="00AF7C6D">
            <w:pPr>
              <w:pStyle w:val="tabteksts"/>
              <w:jc w:val="right"/>
              <w:rPr>
                <w:b/>
                <w:bCs/>
                <w:szCs w:val="18"/>
                <w:lang w:eastAsia="lv-LV"/>
              </w:rPr>
            </w:pPr>
            <w:r w:rsidRPr="00853D40">
              <w:rPr>
                <w:b/>
                <w:bCs/>
                <w:szCs w:val="18"/>
              </w:rPr>
              <w:t>2 232 286</w:t>
            </w:r>
          </w:p>
        </w:tc>
        <w:tc>
          <w:tcPr>
            <w:tcW w:w="1247" w:type="dxa"/>
          </w:tcPr>
          <w:p w:rsidR="00252152" w:rsidRPr="00853D40" w:rsidRDefault="00252152" w:rsidP="00AF7C6D">
            <w:pPr>
              <w:pStyle w:val="tabteksts"/>
              <w:jc w:val="right"/>
              <w:rPr>
                <w:b/>
                <w:bCs/>
                <w:szCs w:val="18"/>
                <w:lang w:eastAsia="lv-LV"/>
              </w:rPr>
            </w:pPr>
            <w:r w:rsidRPr="00853D40">
              <w:rPr>
                <w:b/>
                <w:bCs/>
                <w:szCs w:val="18"/>
              </w:rPr>
              <w:t>2 908 898</w:t>
            </w:r>
          </w:p>
        </w:tc>
        <w:tc>
          <w:tcPr>
            <w:tcW w:w="1247" w:type="dxa"/>
          </w:tcPr>
          <w:p w:rsidR="00252152" w:rsidRPr="00853D40" w:rsidRDefault="00252152" w:rsidP="00AF7C6D">
            <w:pPr>
              <w:pStyle w:val="tabteksts"/>
              <w:jc w:val="right"/>
              <w:rPr>
                <w:b/>
                <w:bCs/>
                <w:szCs w:val="18"/>
                <w:lang w:eastAsia="lv-LV"/>
              </w:rPr>
            </w:pPr>
            <w:r w:rsidRPr="00853D40">
              <w:rPr>
                <w:b/>
                <w:bCs/>
                <w:szCs w:val="18"/>
              </w:rPr>
              <w:t>3 608 844</w:t>
            </w:r>
          </w:p>
        </w:tc>
        <w:tc>
          <w:tcPr>
            <w:tcW w:w="1245" w:type="dxa"/>
          </w:tcPr>
          <w:p w:rsidR="00252152" w:rsidRPr="00853D40" w:rsidRDefault="00252152" w:rsidP="00AF7C6D">
            <w:pPr>
              <w:pStyle w:val="tabteksts"/>
              <w:jc w:val="right"/>
              <w:rPr>
                <w:b/>
                <w:bCs/>
                <w:szCs w:val="18"/>
                <w:lang w:eastAsia="lv-LV"/>
              </w:rPr>
            </w:pPr>
            <w:r w:rsidRPr="00853D40">
              <w:rPr>
                <w:b/>
                <w:bCs/>
                <w:szCs w:val="18"/>
              </w:rPr>
              <w:t>2 953 947</w:t>
            </w:r>
          </w:p>
        </w:tc>
        <w:tc>
          <w:tcPr>
            <w:tcW w:w="1249" w:type="dxa"/>
          </w:tcPr>
          <w:p w:rsidR="00252152" w:rsidRPr="00853D40" w:rsidRDefault="00252152" w:rsidP="00AF7C6D">
            <w:pPr>
              <w:spacing w:after="0"/>
              <w:ind w:firstLine="5"/>
              <w:jc w:val="right"/>
              <w:rPr>
                <w:b/>
                <w:bCs/>
                <w:sz w:val="18"/>
                <w:szCs w:val="18"/>
              </w:rPr>
            </w:pPr>
            <w:r w:rsidRPr="00853D40">
              <w:rPr>
                <w:b/>
                <w:bCs/>
                <w:sz w:val="18"/>
                <w:szCs w:val="18"/>
              </w:rPr>
              <w:t>2 953 947</w:t>
            </w:r>
          </w:p>
        </w:tc>
      </w:tr>
      <w:tr w:rsidR="00252152" w:rsidRPr="00853D40" w:rsidTr="00AF7C6D">
        <w:trPr>
          <w:trHeight w:val="425"/>
        </w:trPr>
        <w:tc>
          <w:tcPr>
            <w:tcW w:w="2840" w:type="dxa"/>
            <w:vMerge/>
          </w:tcPr>
          <w:p w:rsidR="00252152" w:rsidRPr="00853D40" w:rsidRDefault="00252152" w:rsidP="00AF7C6D">
            <w:pPr>
              <w:rPr>
                <w:sz w:val="18"/>
                <w:szCs w:val="18"/>
              </w:rPr>
            </w:pPr>
          </w:p>
        </w:tc>
        <w:tc>
          <w:tcPr>
            <w:tcW w:w="1246" w:type="dxa"/>
          </w:tcPr>
          <w:p w:rsidR="00252152" w:rsidRPr="00853D40" w:rsidRDefault="00252152" w:rsidP="00AF7C6D">
            <w:pPr>
              <w:spacing w:after="0"/>
              <w:ind w:firstLine="0"/>
              <w:jc w:val="right"/>
              <w:rPr>
                <w:b/>
                <w:sz w:val="18"/>
                <w:szCs w:val="18"/>
              </w:rPr>
            </w:pPr>
            <w:r w:rsidRPr="00853D40">
              <w:rPr>
                <w:b/>
                <w:sz w:val="18"/>
                <w:szCs w:val="18"/>
              </w:rPr>
              <w:t>49</w:t>
            </w:r>
          </w:p>
        </w:tc>
        <w:tc>
          <w:tcPr>
            <w:tcW w:w="1247" w:type="dxa"/>
          </w:tcPr>
          <w:p w:rsidR="00252152" w:rsidRPr="00853D40" w:rsidRDefault="00252152" w:rsidP="00AF7C6D">
            <w:pPr>
              <w:spacing w:after="0"/>
              <w:ind w:firstLine="0"/>
              <w:jc w:val="right"/>
              <w:rPr>
                <w:b/>
                <w:sz w:val="18"/>
                <w:szCs w:val="18"/>
              </w:rPr>
            </w:pPr>
            <w:r w:rsidRPr="00853D40">
              <w:rPr>
                <w:b/>
                <w:sz w:val="18"/>
                <w:szCs w:val="18"/>
              </w:rPr>
              <w:t>52</w:t>
            </w:r>
          </w:p>
        </w:tc>
        <w:tc>
          <w:tcPr>
            <w:tcW w:w="1247" w:type="dxa"/>
          </w:tcPr>
          <w:p w:rsidR="00252152" w:rsidRPr="00853D40" w:rsidRDefault="00252152" w:rsidP="00AF7C6D">
            <w:pPr>
              <w:spacing w:after="0"/>
              <w:ind w:firstLine="0"/>
              <w:jc w:val="right"/>
              <w:rPr>
                <w:b/>
                <w:sz w:val="18"/>
                <w:szCs w:val="18"/>
              </w:rPr>
            </w:pPr>
            <w:r w:rsidRPr="00853D40">
              <w:rPr>
                <w:b/>
                <w:sz w:val="18"/>
                <w:szCs w:val="18"/>
              </w:rPr>
              <w:t>54</w:t>
            </w:r>
          </w:p>
        </w:tc>
        <w:tc>
          <w:tcPr>
            <w:tcW w:w="1245" w:type="dxa"/>
          </w:tcPr>
          <w:p w:rsidR="00252152" w:rsidRPr="00853D40" w:rsidRDefault="00252152" w:rsidP="00AF7C6D">
            <w:pPr>
              <w:spacing w:after="0"/>
              <w:ind w:firstLine="0"/>
              <w:jc w:val="right"/>
              <w:rPr>
                <w:b/>
                <w:sz w:val="18"/>
                <w:szCs w:val="18"/>
              </w:rPr>
            </w:pPr>
            <w:r w:rsidRPr="00853D40">
              <w:rPr>
                <w:b/>
                <w:sz w:val="18"/>
                <w:szCs w:val="18"/>
              </w:rPr>
              <w:t>54</w:t>
            </w:r>
          </w:p>
        </w:tc>
        <w:tc>
          <w:tcPr>
            <w:tcW w:w="1249" w:type="dxa"/>
          </w:tcPr>
          <w:p w:rsidR="00252152" w:rsidRPr="00853D40" w:rsidRDefault="00252152" w:rsidP="00AF7C6D">
            <w:pPr>
              <w:spacing w:after="0"/>
              <w:ind w:firstLine="5"/>
              <w:jc w:val="right"/>
              <w:rPr>
                <w:b/>
                <w:sz w:val="18"/>
                <w:szCs w:val="18"/>
              </w:rPr>
            </w:pPr>
            <w:r w:rsidRPr="00853D40">
              <w:rPr>
                <w:b/>
                <w:sz w:val="18"/>
                <w:szCs w:val="18"/>
              </w:rPr>
              <w:t>54</w:t>
            </w:r>
          </w:p>
        </w:tc>
      </w:tr>
      <w:tr w:rsidR="00252152" w:rsidRPr="00853D40" w:rsidTr="00AF7C6D">
        <w:trPr>
          <w:trHeight w:val="142"/>
        </w:trPr>
        <w:tc>
          <w:tcPr>
            <w:tcW w:w="2840" w:type="dxa"/>
            <w:vMerge w:val="restart"/>
            <w:vAlign w:val="center"/>
          </w:tcPr>
          <w:p w:rsidR="00252152" w:rsidRPr="00853D40" w:rsidRDefault="00252152" w:rsidP="00AF7C6D">
            <w:pPr>
              <w:spacing w:after="0"/>
              <w:ind w:firstLine="318"/>
              <w:rPr>
                <w:sz w:val="18"/>
                <w:szCs w:val="18"/>
              </w:rPr>
            </w:pPr>
            <w:r w:rsidRPr="00853D40">
              <w:rPr>
                <w:sz w:val="18"/>
                <w:szCs w:val="18"/>
                <w:lang w:eastAsia="lv-LV"/>
              </w:rPr>
              <w:t xml:space="preserve">01.00.00 Tiesa  </w:t>
            </w:r>
          </w:p>
        </w:tc>
        <w:tc>
          <w:tcPr>
            <w:tcW w:w="1246" w:type="dxa"/>
          </w:tcPr>
          <w:p w:rsidR="00252152" w:rsidRPr="00853D40" w:rsidRDefault="00252152" w:rsidP="00AF7C6D">
            <w:pPr>
              <w:spacing w:after="0"/>
              <w:ind w:firstLine="0"/>
              <w:jc w:val="right"/>
              <w:rPr>
                <w:sz w:val="18"/>
                <w:szCs w:val="18"/>
              </w:rPr>
            </w:pPr>
            <w:r w:rsidRPr="00853D40">
              <w:rPr>
                <w:sz w:val="18"/>
                <w:szCs w:val="18"/>
              </w:rPr>
              <w:t>2 232 286</w:t>
            </w:r>
          </w:p>
        </w:tc>
        <w:tc>
          <w:tcPr>
            <w:tcW w:w="1247" w:type="dxa"/>
          </w:tcPr>
          <w:p w:rsidR="00252152" w:rsidRPr="00853D40" w:rsidRDefault="00252152" w:rsidP="00AF7C6D">
            <w:pPr>
              <w:spacing w:after="0"/>
              <w:ind w:firstLine="0"/>
              <w:jc w:val="right"/>
              <w:rPr>
                <w:sz w:val="18"/>
                <w:szCs w:val="18"/>
              </w:rPr>
            </w:pPr>
            <w:r w:rsidRPr="00853D40">
              <w:rPr>
                <w:bCs/>
                <w:sz w:val="18"/>
                <w:szCs w:val="18"/>
              </w:rPr>
              <w:t>2 908 898</w:t>
            </w:r>
          </w:p>
        </w:tc>
        <w:tc>
          <w:tcPr>
            <w:tcW w:w="1247" w:type="dxa"/>
          </w:tcPr>
          <w:p w:rsidR="00252152" w:rsidRPr="00853D40" w:rsidRDefault="00252152" w:rsidP="00AF7C6D">
            <w:pPr>
              <w:spacing w:after="0"/>
              <w:ind w:firstLine="0"/>
              <w:jc w:val="right"/>
              <w:rPr>
                <w:sz w:val="18"/>
                <w:szCs w:val="18"/>
              </w:rPr>
            </w:pPr>
            <w:r w:rsidRPr="00853D40">
              <w:rPr>
                <w:sz w:val="18"/>
                <w:szCs w:val="18"/>
              </w:rPr>
              <w:t>3 608 844</w:t>
            </w:r>
          </w:p>
        </w:tc>
        <w:tc>
          <w:tcPr>
            <w:tcW w:w="1245" w:type="dxa"/>
          </w:tcPr>
          <w:p w:rsidR="00252152" w:rsidRPr="00853D40" w:rsidRDefault="00252152" w:rsidP="00AF7C6D">
            <w:pPr>
              <w:spacing w:after="0"/>
              <w:ind w:firstLine="0"/>
              <w:jc w:val="right"/>
              <w:rPr>
                <w:sz w:val="18"/>
                <w:szCs w:val="18"/>
              </w:rPr>
            </w:pPr>
            <w:r w:rsidRPr="00853D40">
              <w:rPr>
                <w:sz w:val="18"/>
                <w:szCs w:val="18"/>
              </w:rPr>
              <w:t>2 953 947</w:t>
            </w:r>
          </w:p>
        </w:tc>
        <w:tc>
          <w:tcPr>
            <w:tcW w:w="1249" w:type="dxa"/>
          </w:tcPr>
          <w:p w:rsidR="00252152" w:rsidRPr="00853D40" w:rsidRDefault="00252152" w:rsidP="00AF7C6D">
            <w:pPr>
              <w:spacing w:after="0"/>
              <w:ind w:firstLine="0"/>
              <w:jc w:val="right"/>
              <w:rPr>
                <w:sz w:val="18"/>
                <w:szCs w:val="18"/>
              </w:rPr>
            </w:pPr>
            <w:r w:rsidRPr="00853D40">
              <w:rPr>
                <w:sz w:val="18"/>
                <w:szCs w:val="18"/>
              </w:rPr>
              <w:t>2 953 947</w:t>
            </w:r>
          </w:p>
        </w:tc>
      </w:tr>
      <w:tr w:rsidR="00252152" w:rsidRPr="00853D40" w:rsidTr="00AF7C6D">
        <w:trPr>
          <w:trHeight w:val="142"/>
        </w:trPr>
        <w:tc>
          <w:tcPr>
            <w:tcW w:w="2840" w:type="dxa"/>
            <w:vMerge/>
          </w:tcPr>
          <w:p w:rsidR="00252152" w:rsidRPr="00853D40" w:rsidRDefault="00252152" w:rsidP="00AF7C6D">
            <w:pPr>
              <w:ind w:firstLine="318"/>
              <w:rPr>
                <w:sz w:val="18"/>
                <w:szCs w:val="18"/>
              </w:rPr>
            </w:pPr>
          </w:p>
        </w:tc>
        <w:tc>
          <w:tcPr>
            <w:tcW w:w="1246" w:type="dxa"/>
          </w:tcPr>
          <w:p w:rsidR="00252152" w:rsidRPr="00853D40" w:rsidRDefault="00252152" w:rsidP="00AF7C6D">
            <w:pPr>
              <w:spacing w:after="0"/>
              <w:ind w:firstLine="0"/>
              <w:jc w:val="right"/>
              <w:rPr>
                <w:sz w:val="18"/>
                <w:szCs w:val="18"/>
              </w:rPr>
            </w:pPr>
            <w:r w:rsidRPr="00853D40">
              <w:rPr>
                <w:sz w:val="18"/>
                <w:szCs w:val="18"/>
              </w:rPr>
              <w:t>49</w:t>
            </w:r>
          </w:p>
        </w:tc>
        <w:tc>
          <w:tcPr>
            <w:tcW w:w="1247" w:type="dxa"/>
          </w:tcPr>
          <w:p w:rsidR="00252152" w:rsidRPr="00853D40" w:rsidRDefault="00252152" w:rsidP="00AF7C6D">
            <w:pPr>
              <w:spacing w:after="0"/>
              <w:ind w:firstLine="0"/>
              <w:jc w:val="right"/>
              <w:rPr>
                <w:sz w:val="18"/>
                <w:szCs w:val="18"/>
              </w:rPr>
            </w:pPr>
            <w:r w:rsidRPr="00853D40">
              <w:rPr>
                <w:sz w:val="18"/>
                <w:szCs w:val="18"/>
              </w:rPr>
              <w:t>52</w:t>
            </w:r>
          </w:p>
        </w:tc>
        <w:tc>
          <w:tcPr>
            <w:tcW w:w="1247" w:type="dxa"/>
          </w:tcPr>
          <w:p w:rsidR="00252152" w:rsidRPr="00853D40" w:rsidRDefault="00252152" w:rsidP="00AF7C6D">
            <w:pPr>
              <w:spacing w:after="0"/>
              <w:ind w:firstLine="0"/>
              <w:jc w:val="right"/>
              <w:rPr>
                <w:sz w:val="18"/>
                <w:szCs w:val="18"/>
              </w:rPr>
            </w:pPr>
            <w:r w:rsidRPr="00853D40">
              <w:rPr>
                <w:sz w:val="18"/>
                <w:szCs w:val="18"/>
              </w:rPr>
              <w:t>54</w:t>
            </w:r>
          </w:p>
        </w:tc>
        <w:tc>
          <w:tcPr>
            <w:tcW w:w="1245" w:type="dxa"/>
          </w:tcPr>
          <w:p w:rsidR="00252152" w:rsidRPr="00853D40" w:rsidRDefault="00252152" w:rsidP="00AF7C6D">
            <w:pPr>
              <w:spacing w:after="0"/>
              <w:ind w:firstLine="0"/>
              <w:jc w:val="right"/>
              <w:rPr>
                <w:sz w:val="18"/>
                <w:szCs w:val="18"/>
              </w:rPr>
            </w:pPr>
            <w:r w:rsidRPr="00853D40">
              <w:rPr>
                <w:sz w:val="18"/>
                <w:szCs w:val="18"/>
              </w:rPr>
              <w:t>54</w:t>
            </w:r>
          </w:p>
        </w:tc>
        <w:tc>
          <w:tcPr>
            <w:tcW w:w="1249" w:type="dxa"/>
          </w:tcPr>
          <w:p w:rsidR="00252152" w:rsidRPr="00853D40" w:rsidRDefault="00252152" w:rsidP="00AF7C6D">
            <w:pPr>
              <w:spacing w:after="0"/>
              <w:ind w:firstLine="0"/>
              <w:jc w:val="right"/>
              <w:rPr>
                <w:sz w:val="18"/>
                <w:szCs w:val="18"/>
              </w:rPr>
            </w:pPr>
            <w:r w:rsidRPr="00853D40">
              <w:rPr>
                <w:sz w:val="18"/>
                <w:szCs w:val="18"/>
              </w:rPr>
              <w:t>54</w:t>
            </w:r>
          </w:p>
        </w:tc>
      </w:tr>
      <w:tr w:rsidR="00252152" w:rsidRPr="00853D40" w:rsidTr="00EC270C">
        <w:trPr>
          <w:trHeight w:val="142"/>
        </w:trPr>
        <w:tc>
          <w:tcPr>
            <w:tcW w:w="9074" w:type="dxa"/>
            <w:gridSpan w:val="6"/>
            <w:tcBorders>
              <w:bottom w:val="single" w:sz="4" w:space="0" w:color="auto"/>
            </w:tcBorders>
            <w:shd w:val="clear" w:color="auto" w:fill="D9D9D9" w:themeFill="background1" w:themeFillShade="D9"/>
          </w:tcPr>
          <w:p w:rsidR="00252152" w:rsidRPr="00853D40" w:rsidRDefault="00252152" w:rsidP="00AF7C6D">
            <w:pPr>
              <w:spacing w:after="0"/>
              <w:jc w:val="center"/>
              <w:rPr>
                <w:b/>
                <w:i/>
                <w:sz w:val="18"/>
                <w:szCs w:val="18"/>
              </w:rPr>
            </w:pPr>
            <w:r w:rsidRPr="00853D40">
              <w:rPr>
                <w:b/>
                <w:sz w:val="18"/>
                <w:szCs w:val="18"/>
                <w:lang w:eastAsia="lv-LV"/>
              </w:rPr>
              <w:t>Raksturojošākie darbības rezultatīvie rādītāji</w:t>
            </w:r>
          </w:p>
        </w:tc>
      </w:tr>
      <w:tr w:rsidR="00252152" w:rsidRPr="00853D40" w:rsidTr="00EC270C">
        <w:trPr>
          <w:trHeight w:val="142"/>
        </w:trPr>
        <w:tc>
          <w:tcPr>
            <w:tcW w:w="2840" w:type="dxa"/>
            <w:tcBorders>
              <w:top w:val="single" w:sz="4" w:space="0" w:color="auto"/>
              <w:left w:val="single" w:sz="4" w:space="0" w:color="auto"/>
              <w:bottom w:val="single" w:sz="4" w:space="0" w:color="auto"/>
              <w:right w:val="single" w:sz="4" w:space="0" w:color="auto"/>
            </w:tcBorders>
          </w:tcPr>
          <w:p w:rsidR="00252152" w:rsidRPr="00853D40" w:rsidRDefault="00252152" w:rsidP="00AF7C6D">
            <w:pPr>
              <w:pStyle w:val="Tabuluvirsraksti"/>
              <w:spacing w:after="0"/>
              <w:jc w:val="both"/>
              <w:rPr>
                <w:i/>
                <w:sz w:val="18"/>
                <w:szCs w:val="18"/>
                <w:lang w:eastAsia="lv-LV"/>
              </w:rPr>
            </w:pPr>
            <w:r w:rsidRPr="00853D40">
              <w:rPr>
                <w:i/>
                <w:sz w:val="18"/>
                <w:szCs w:val="18"/>
                <w:lang w:eastAsia="lv-LV"/>
              </w:rPr>
              <w:t>Tiesas nolēmumu īpatsvars, kas pieņemts likumā noteiktajā termiņā (%)</w:t>
            </w:r>
          </w:p>
        </w:tc>
        <w:tc>
          <w:tcPr>
            <w:tcW w:w="1246" w:type="dxa"/>
            <w:tcBorders>
              <w:top w:val="single" w:sz="4" w:space="0" w:color="auto"/>
              <w:left w:val="single" w:sz="4" w:space="0" w:color="auto"/>
              <w:bottom w:val="single" w:sz="4" w:space="0" w:color="auto"/>
              <w:right w:val="single" w:sz="4" w:space="0" w:color="auto"/>
            </w:tcBorders>
          </w:tcPr>
          <w:p w:rsidR="00252152" w:rsidRPr="00853D40" w:rsidRDefault="00252152" w:rsidP="00AF7C6D">
            <w:pPr>
              <w:spacing w:after="0"/>
              <w:ind w:firstLine="0"/>
              <w:jc w:val="center"/>
              <w:rPr>
                <w:sz w:val="18"/>
                <w:szCs w:val="18"/>
              </w:rPr>
            </w:pPr>
            <w:r w:rsidRPr="00853D40">
              <w:rPr>
                <w:sz w:val="18"/>
                <w:szCs w:val="18"/>
              </w:rPr>
              <w:t>100</w:t>
            </w:r>
          </w:p>
        </w:tc>
        <w:tc>
          <w:tcPr>
            <w:tcW w:w="1247" w:type="dxa"/>
            <w:tcBorders>
              <w:top w:val="single" w:sz="4" w:space="0" w:color="auto"/>
              <w:left w:val="single" w:sz="4" w:space="0" w:color="auto"/>
              <w:bottom w:val="single" w:sz="4" w:space="0" w:color="auto"/>
              <w:right w:val="single" w:sz="4" w:space="0" w:color="auto"/>
            </w:tcBorders>
          </w:tcPr>
          <w:p w:rsidR="00252152" w:rsidRPr="00853D40" w:rsidRDefault="00252152" w:rsidP="00AF7C6D">
            <w:pPr>
              <w:spacing w:after="0"/>
              <w:ind w:firstLine="0"/>
              <w:jc w:val="center"/>
              <w:rPr>
                <w:sz w:val="18"/>
                <w:szCs w:val="18"/>
              </w:rPr>
            </w:pPr>
            <w:r w:rsidRPr="00853D40">
              <w:rPr>
                <w:sz w:val="18"/>
                <w:szCs w:val="18"/>
              </w:rPr>
              <w:t>100</w:t>
            </w:r>
          </w:p>
        </w:tc>
        <w:tc>
          <w:tcPr>
            <w:tcW w:w="1247" w:type="dxa"/>
            <w:tcBorders>
              <w:top w:val="single" w:sz="4" w:space="0" w:color="auto"/>
              <w:left w:val="single" w:sz="4" w:space="0" w:color="auto"/>
              <w:bottom w:val="single" w:sz="4" w:space="0" w:color="auto"/>
              <w:right w:val="single" w:sz="4" w:space="0" w:color="auto"/>
            </w:tcBorders>
          </w:tcPr>
          <w:p w:rsidR="00252152" w:rsidRPr="00853D40" w:rsidRDefault="00252152" w:rsidP="00AF7C6D">
            <w:pPr>
              <w:spacing w:after="0"/>
              <w:ind w:firstLine="0"/>
              <w:jc w:val="center"/>
              <w:rPr>
                <w:sz w:val="18"/>
                <w:szCs w:val="18"/>
              </w:rPr>
            </w:pPr>
            <w:r w:rsidRPr="00853D40">
              <w:rPr>
                <w:sz w:val="18"/>
                <w:szCs w:val="18"/>
              </w:rPr>
              <w:t>100</w:t>
            </w:r>
          </w:p>
        </w:tc>
        <w:tc>
          <w:tcPr>
            <w:tcW w:w="1245" w:type="dxa"/>
            <w:tcBorders>
              <w:top w:val="single" w:sz="4" w:space="0" w:color="auto"/>
              <w:left w:val="single" w:sz="4" w:space="0" w:color="auto"/>
              <w:bottom w:val="single" w:sz="4" w:space="0" w:color="auto"/>
              <w:right w:val="single" w:sz="4" w:space="0" w:color="auto"/>
            </w:tcBorders>
          </w:tcPr>
          <w:p w:rsidR="00252152" w:rsidRPr="00853D40" w:rsidRDefault="00252152" w:rsidP="00AF7C6D">
            <w:pPr>
              <w:spacing w:after="0"/>
              <w:ind w:firstLine="0"/>
              <w:jc w:val="center"/>
              <w:rPr>
                <w:sz w:val="18"/>
                <w:szCs w:val="18"/>
              </w:rPr>
            </w:pPr>
            <w:r w:rsidRPr="00853D40">
              <w:rPr>
                <w:sz w:val="18"/>
                <w:szCs w:val="18"/>
              </w:rPr>
              <w:t>100</w:t>
            </w:r>
          </w:p>
        </w:tc>
        <w:tc>
          <w:tcPr>
            <w:tcW w:w="1249" w:type="dxa"/>
            <w:tcBorders>
              <w:top w:val="single" w:sz="4" w:space="0" w:color="auto"/>
              <w:left w:val="single" w:sz="4" w:space="0" w:color="auto"/>
              <w:bottom w:val="single" w:sz="4" w:space="0" w:color="auto"/>
              <w:right w:val="single" w:sz="4" w:space="0" w:color="auto"/>
            </w:tcBorders>
          </w:tcPr>
          <w:p w:rsidR="00252152" w:rsidRPr="00853D40" w:rsidRDefault="00252152" w:rsidP="00AF7C6D">
            <w:pPr>
              <w:spacing w:after="0"/>
              <w:ind w:firstLine="5"/>
              <w:jc w:val="center"/>
              <w:rPr>
                <w:sz w:val="18"/>
                <w:szCs w:val="18"/>
              </w:rPr>
            </w:pPr>
            <w:r w:rsidRPr="00853D40">
              <w:rPr>
                <w:sz w:val="18"/>
                <w:szCs w:val="18"/>
              </w:rPr>
              <w:t>100</w:t>
            </w:r>
          </w:p>
        </w:tc>
      </w:tr>
    </w:tbl>
    <w:p w:rsidR="00252152" w:rsidRDefault="00252152" w:rsidP="00252152">
      <w:pPr>
        <w:pStyle w:val="programmas"/>
        <w:spacing w:before="0" w:after="0"/>
        <w:jc w:val="both"/>
        <w:rPr>
          <w:rFonts w:eastAsia="Calibri"/>
          <w:u w:val="single"/>
        </w:rPr>
      </w:pPr>
    </w:p>
    <w:p w:rsidR="00252152" w:rsidRPr="007D1794" w:rsidRDefault="00252152" w:rsidP="00252152">
      <w:pPr>
        <w:pStyle w:val="programmas"/>
        <w:spacing w:before="480" w:after="0"/>
        <w:rPr>
          <w:rFonts w:eastAsia="Calibri"/>
          <w:u w:val="single"/>
        </w:rPr>
      </w:pPr>
      <w:r w:rsidRPr="007D1794">
        <w:rPr>
          <w:rFonts w:eastAsia="Calibri"/>
          <w:u w:val="single"/>
        </w:rPr>
        <w:lastRenderedPageBreak/>
        <w:t>Prioritārajiem pasākumiem</w:t>
      </w:r>
    </w:p>
    <w:p w:rsidR="00252152" w:rsidRPr="00EC270C" w:rsidRDefault="00252152" w:rsidP="00EC270C">
      <w:pPr>
        <w:pStyle w:val="programmas"/>
        <w:spacing w:before="0" w:after="240"/>
        <w:rPr>
          <w:u w:val="single"/>
        </w:rPr>
      </w:pPr>
      <w:r w:rsidRPr="007D1794">
        <w:rPr>
          <w:rFonts w:eastAsia="Calibri"/>
          <w:u w:val="single"/>
        </w:rPr>
        <w:t>papildu piešķirtais finansējums no 2021.</w:t>
      </w:r>
      <w:r w:rsidRPr="007D1794">
        <w:rPr>
          <w:u w:val="single"/>
        </w:rPr>
        <w:t xml:space="preserve"> līdz 2023. gadam</w:t>
      </w:r>
    </w:p>
    <w:tbl>
      <w:tblPr>
        <w:tblStyle w:val="TableGrid"/>
        <w:tblW w:w="9072" w:type="dxa"/>
        <w:jc w:val="center"/>
        <w:tblLayout w:type="fixed"/>
        <w:tblLook w:val="04A0" w:firstRow="1" w:lastRow="0" w:firstColumn="1" w:lastColumn="0" w:noHBand="0" w:noVBand="1"/>
      </w:tblPr>
      <w:tblGrid>
        <w:gridCol w:w="558"/>
        <w:gridCol w:w="4115"/>
        <w:gridCol w:w="1086"/>
        <w:gridCol w:w="48"/>
        <w:gridCol w:w="992"/>
        <w:gridCol w:w="47"/>
        <w:gridCol w:w="1087"/>
        <w:gridCol w:w="1139"/>
      </w:tblGrid>
      <w:tr w:rsidR="00252152" w:rsidRPr="00BB2102" w:rsidTr="00AF7C6D">
        <w:trPr>
          <w:tblHeader/>
          <w:jc w:val="center"/>
        </w:trPr>
        <w:tc>
          <w:tcPr>
            <w:tcW w:w="558" w:type="dxa"/>
            <w:vMerge w:val="restart"/>
            <w:tcBorders>
              <w:bottom w:val="single" w:sz="4" w:space="0" w:color="auto"/>
            </w:tcBorders>
            <w:vAlign w:val="center"/>
          </w:tcPr>
          <w:p w:rsidR="00252152" w:rsidRPr="00BB2102" w:rsidRDefault="00252152" w:rsidP="00AF7C6D">
            <w:pPr>
              <w:pStyle w:val="tabteksts"/>
              <w:jc w:val="center"/>
              <w:rPr>
                <w:rFonts w:eastAsia="Calibri"/>
              </w:rPr>
            </w:pPr>
            <w:r w:rsidRPr="00BB2102">
              <w:rPr>
                <w:rFonts w:eastAsia="Calibri"/>
              </w:rPr>
              <w:t>Nr.</w:t>
            </w:r>
          </w:p>
          <w:p w:rsidR="00252152" w:rsidRPr="00BB2102" w:rsidRDefault="00252152" w:rsidP="00AF7C6D">
            <w:pPr>
              <w:pStyle w:val="tabteksts"/>
              <w:jc w:val="center"/>
              <w:rPr>
                <w:rFonts w:eastAsia="Calibri"/>
              </w:rPr>
            </w:pPr>
            <w:r w:rsidRPr="00BB2102">
              <w:rPr>
                <w:rFonts w:eastAsia="Calibri"/>
              </w:rPr>
              <w:t>p.k.</w:t>
            </w:r>
          </w:p>
        </w:tc>
        <w:tc>
          <w:tcPr>
            <w:tcW w:w="4115" w:type="dxa"/>
            <w:vMerge w:val="restart"/>
            <w:tcBorders>
              <w:bottom w:val="single" w:sz="12" w:space="0" w:color="auto"/>
            </w:tcBorders>
            <w:vAlign w:val="center"/>
          </w:tcPr>
          <w:p w:rsidR="00252152" w:rsidRPr="00BB2102" w:rsidRDefault="00252152" w:rsidP="00AF7C6D">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rsidR="00252152" w:rsidRPr="0043685C" w:rsidRDefault="00252152" w:rsidP="00AF7C6D">
            <w:pPr>
              <w:pStyle w:val="tabteksts"/>
              <w:jc w:val="both"/>
              <w:rPr>
                <w:rFonts w:eastAsia="Calibri"/>
                <w:i/>
                <w:szCs w:val="18"/>
              </w:rPr>
            </w:pPr>
            <w:r w:rsidRPr="0043685C">
              <w:rPr>
                <w:rFonts w:eastAsia="Calibri"/>
                <w:b/>
                <w:i/>
              </w:rPr>
              <w:t>Darbības apraksts</w:t>
            </w:r>
            <w:r w:rsidRPr="0043685C">
              <w:rPr>
                <w:rFonts w:eastAsia="Calibri"/>
                <w:i/>
              </w:rPr>
              <w:t xml:space="preserve"> </w:t>
            </w:r>
          </w:p>
          <w:p w:rsidR="00252152" w:rsidRPr="00BB2102" w:rsidRDefault="00252152" w:rsidP="00AF7C6D">
            <w:pPr>
              <w:pStyle w:val="tabteksts"/>
              <w:ind w:left="284"/>
              <w:rPr>
                <w:rFonts w:eastAsia="Calibri"/>
              </w:rPr>
            </w:pPr>
            <w:r w:rsidRPr="00BB2102">
              <w:rPr>
                <w:rFonts w:eastAsia="Calibri"/>
              </w:rPr>
              <w:t>Darbības rezultāts</w:t>
            </w:r>
          </w:p>
          <w:p w:rsidR="00252152" w:rsidRPr="00BB2102" w:rsidRDefault="00252152" w:rsidP="00AF7C6D">
            <w:pPr>
              <w:pStyle w:val="tabteksts"/>
              <w:ind w:left="603"/>
              <w:rPr>
                <w:rFonts w:eastAsia="Calibri"/>
                <w:i/>
              </w:rPr>
            </w:pPr>
            <w:r w:rsidRPr="00BB2102">
              <w:rPr>
                <w:rFonts w:eastAsia="Calibri"/>
                <w:i/>
              </w:rPr>
              <w:t>Rezultatīvais rādītājs</w:t>
            </w:r>
          </w:p>
          <w:p w:rsidR="00252152" w:rsidRPr="00D12FA4" w:rsidRDefault="00252152" w:rsidP="00AF7C6D">
            <w:pPr>
              <w:pStyle w:val="tabteksts"/>
              <w:ind w:left="36"/>
              <w:rPr>
                <w:rFonts w:eastAsia="Calibri"/>
              </w:rPr>
            </w:pPr>
            <w:r w:rsidRPr="00D12FA4">
              <w:rPr>
                <w:rFonts w:eastAsia="Calibri"/>
              </w:rPr>
              <w:t>Programmas (apakšprogrammas) kods un nosaukums</w:t>
            </w:r>
          </w:p>
        </w:tc>
        <w:tc>
          <w:tcPr>
            <w:tcW w:w="3260" w:type="dxa"/>
            <w:gridSpan w:val="5"/>
            <w:tcBorders>
              <w:bottom w:val="single" w:sz="4" w:space="0" w:color="auto"/>
            </w:tcBorders>
            <w:vAlign w:val="center"/>
          </w:tcPr>
          <w:p w:rsidR="00252152" w:rsidRPr="00BB2102" w:rsidRDefault="00252152" w:rsidP="00AF7C6D">
            <w:pPr>
              <w:pStyle w:val="tabteksts"/>
              <w:jc w:val="center"/>
              <w:rPr>
                <w:rFonts w:eastAsia="Calibri"/>
              </w:rPr>
            </w:pPr>
            <w:r w:rsidRPr="00BB2102">
              <w:rPr>
                <w:rFonts w:eastAsia="Calibri"/>
                <w:b/>
              </w:rPr>
              <w:t xml:space="preserve">Izdevumi,  </w:t>
            </w:r>
            <w:r w:rsidRPr="00BB2102">
              <w:rPr>
                <w:rFonts w:eastAsia="Calibri"/>
                <w:i/>
                <w:szCs w:val="18"/>
              </w:rPr>
              <w:t>euro</w:t>
            </w:r>
            <w:r w:rsidRPr="00BB2102">
              <w:rPr>
                <w:rFonts w:eastAsia="Calibri"/>
              </w:rPr>
              <w:t xml:space="preserve"> /</w:t>
            </w:r>
          </w:p>
          <w:p w:rsidR="00252152" w:rsidRPr="00BB2102" w:rsidRDefault="00252152" w:rsidP="00AF7C6D">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vAlign w:val="center"/>
          </w:tcPr>
          <w:p w:rsidR="00252152" w:rsidRPr="00BB2102" w:rsidRDefault="00252152" w:rsidP="00AF7C6D">
            <w:pPr>
              <w:pStyle w:val="tabteksts"/>
              <w:jc w:val="center"/>
              <w:rPr>
                <w:rFonts w:eastAsia="Calibri"/>
              </w:rPr>
            </w:pPr>
            <w:r w:rsidRPr="00BB2102">
              <w:rPr>
                <w:rFonts w:eastAsia="Calibri"/>
              </w:rPr>
              <w:t>Pamatojums</w:t>
            </w:r>
          </w:p>
        </w:tc>
      </w:tr>
      <w:tr w:rsidR="00252152" w:rsidRPr="00BB2102" w:rsidTr="00AF7C6D">
        <w:trPr>
          <w:tblHeader/>
          <w:jc w:val="center"/>
        </w:trPr>
        <w:tc>
          <w:tcPr>
            <w:tcW w:w="558" w:type="dxa"/>
            <w:vMerge/>
            <w:tcBorders>
              <w:top w:val="single" w:sz="12" w:space="0" w:color="auto"/>
              <w:bottom w:val="single" w:sz="4" w:space="0" w:color="auto"/>
            </w:tcBorders>
            <w:vAlign w:val="center"/>
          </w:tcPr>
          <w:p w:rsidR="00252152" w:rsidRPr="00BB2102" w:rsidRDefault="00252152" w:rsidP="00AF7C6D">
            <w:pPr>
              <w:pStyle w:val="tabteksts"/>
              <w:jc w:val="center"/>
              <w:rPr>
                <w:rFonts w:eastAsia="Calibri"/>
              </w:rPr>
            </w:pPr>
          </w:p>
        </w:tc>
        <w:tc>
          <w:tcPr>
            <w:tcW w:w="4115" w:type="dxa"/>
            <w:vMerge/>
            <w:tcBorders>
              <w:bottom w:val="single" w:sz="2" w:space="0" w:color="auto"/>
            </w:tcBorders>
            <w:vAlign w:val="center"/>
          </w:tcPr>
          <w:p w:rsidR="00252152" w:rsidRPr="00BB2102" w:rsidRDefault="00252152" w:rsidP="00AF7C6D">
            <w:pPr>
              <w:pStyle w:val="tabteksts"/>
              <w:jc w:val="center"/>
              <w:rPr>
                <w:rFonts w:eastAsia="Calibri"/>
              </w:rPr>
            </w:pPr>
          </w:p>
        </w:tc>
        <w:tc>
          <w:tcPr>
            <w:tcW w:w="1086" w:type="dxa"/>
            <w:tcBorders>
              <w:bottom w:val="single" w:sz="2" w:space="0" w:color="auto"/>
            </w:tcBorders>
            <w:vAlign w:val="center"/>
          </w:tcPr>
          <w:p w:rsidR="00252152" w:rsidRPr="00BB2102" w:rsidRDefault="00252152" w:rsidP="00AF7C6D">
            <w:pPr>
              <w:pStyle w:val="tabteksts"/>
              <w:jc w:val="center"/>
              <w:rPr>
                <w:rFonts w:eastAsia="Calibri"/>
                <w:szCs w:val="18"/>
              </w:rPr>
            </w:pPr>
            <w:r>
              <w:rPr>
                <w:rFonts w:eastAsia="Calibri"/>
                <w:szCs w:val="18"/>
              </w:rPr>
              <w:t>2021.</w:t>
            </w:r>
            <w:r w:rsidRPr="00D42431">
              <w:rPr>
                <w:rFonts w:eastAsia="Calibri"/>
                <w:szCs w:val="18"/>
              </w:rPr>
              <w:t xml:space="preserve"> gadā</w:t>
            </w:r>
          </w:p>
        </w:tc>
        <w:tc>
          <w:tcPr>
            <w:tcW w:w="1087" w:type="dxa"/>
            <w:gridSpan w:val="3"/>
            <w:tcBorders>
              <w:bottom w:val="single" w:sz="2" w:space="0" w:color="auto"/>
            </w:tcBorders>
            <w:vAlign w:val="center"/>
          </w:tcPr>
          <w:p w:rsidR="00252152" w:rsidRPr="00BB2102" w:rsidRDefault="00252152" w:rsidP="00AF7C6D">
            <w:pPr>
              <w:pStyle w:val="tabteksts"/>
              <w:jc w:val="center"/>
              <w:rPr>
                <w:rFonts w:eastAsia="Calibri"/>
                <w:szCs w:val="18"/>
              </w:rPr>
            </w:pPr>
            <w:r>
              <w:rPr>
                <w:rFonts w:eastAsia="Calibri"/>
                <w:szCs w:val="18"/>
              </w:rPr>
              <w:t>2022.</w:t>
            </w:r>
            <w:r w:rsidRPr="00D42431">
              <w:rPr>
                <w:rFonts w:eastAsia="Calibri"/>
                <w:szCs w:val="18"/>
              </w:rPr>
              <w:t xml:space="preserve"> gadā</w:t>
            </w:r>
          </w:p>
        </w:tc>
        <w:tc>
          <w:tcPr>
            <w:tcW w:w="1087" w:type="dxa"/>
            <w:tcBorders>
              <w:bottom w:val="single" w:sz="2" w:space="0" w:color="auto"/>
            </w:tcBorders>
            <w:vAlign w:val="center"/>
          </w:tcPr>
          <w:p w:rsidR="00252152" w:rsidRPr="00BB2102" w:rsidRDefault="00252152" w:rsidP="00AF7C6D">
            <w:pPr>
              <w:pStyle w:val="tabteksts"/>
              <w:jc w:val="center"/>
              <w:rPr>
                <w:rFonts w:eastAsia="Calibri"/>
                <w:szCs w:val="18"/>
              </w:rPr>
            </w:pPr>
            <w:r>
              <w:rPr>
                <w:rFonts w:eastAsia="Calibri"/>
                <w:szCs w:val="18"/>
              </w:rPr>
              <w:t>2023.</w:t>
            </w:r>
            <w:r w:rsidRPr="00D42431">
              <w:rPr>
                <w:rFonts w:eastAsia="Calibri"/>
                <w:szCs w:val="18"/>
              </w:rPr>
              <w:t xml:space="preserve"> gadā</w:t>
            </w:r>
          </w:p>
        </w:tc>
        <w:tc>
          <w:tcPr>
            <w:tcW w:w="1139" w:type="dxa"/>
            <w:vMerge/>
            <w:tcBorders>
              <w:bottom w:val="single" w:sz="4" w:space="0" w:color="auto"/>
            </w:tcBorders>
          </w:tcPr>
          <w:p w:rsidR="00252152" w:rsidRPr="00BB2102" w:rsidRDefault="00252152" w:rsidP="00AF7C6D">
            <w:pPr>
              <w:pStyle w:val="tabteksts"/>
              <w:jc w:val="center"/>
              <w:rPr>
                <w:rFonts w:eastAsia="Calibri"/>
              </w:rPr>
            </w:pPr>
          </w:p>
        </w:tc>
      </w:tr>
      <w:tr w:rsidR="00252152" w:rsidRPr="00BB2102" w:rsidTr="00AF7C6D">
        <w:trPr>
          <w:trHeight w:val="142"/>
          <w:jc w:val="center"/>
        </w:trPr>
        <w:tc>
          <w:tcPr>
            <w:tcW w:w="558" w:type="dxa"/>
            <w:vMerge w:val="restart"/>
            <w:tcBorders>
              <w:top w:val="single" w:sz="4" w:space="0" w:color="auto"/>
              <w:bottom w:val="single" w:sz="2" w:space="0" w:color="auto"/>
            </w:tcBorders>
          </w:tcPr>
          <w:p w:rsidR="00252152" w:rsidRPr="00BB2102" w:rsidRDefault="00252152" w:rsidP="00AF7C6D">
            <w:pPr>
              <w:pStyle w:val="tabteksts"/>
              <w:rPr>
                <w:rFonts w:eastAsia="Calibri"/>
              </w:rPr>
            </w:pPr>
            <w:r w:rsidRPr="00BB2102">
              <w:rPr>
                <w:rFonts w:eastAsia="Calibri"/>
              </w:rPr>
              <w:t>1.</w:t>
            </w:r>
          </w:p>
        </w:tc>
        <w:tc>
          <w:tcPr>
            <w:tcW w:w="4115" w:type="dxa"/>
            <w:tcBorders>
              <w:top w:val="single" w:sz="2" w:space="0" w:color="auto"/>
              <w:bottom w:val="single" w:sz="2" w:space="0" w:color="auto"/>
            </w:tcBorders>
            <w:shd w:val="clear" w:color="auto" w:fill="D9D9D9" w:themeFill="background1" w:themeFillShade="D9"/>
          </w:tcPr>
          <w:p w:rsidR="00252152" w:rsidRPr="00815E25" w:rsidRDefault="00252152" w:rsidP="00AF7C6D">
            <w:pPr>
              <w:pStyle w:val="tabteksts"/>
              <w:rPr>
                <w:rFonts w:eastAsia="Calibri"/>
                <w:b/>
                <w:iCs/>
              </w:rPr>
            </w:pPr>
            <w:r w:rsidRPr="00815E25">
              <w:rPr>
                <w:rFonts w:eastAsia="Calibri"/>
                <w:b/>
                <w:iCs/>
              </w:rPr>
              <w:t>Satversmes tiesas administratīvās pārvaldības stiprināšana</w:t>
            </w:r>
          </w:p>
        </w:tc>
        <w:tc>
          <w:tcPr>
            <w:tcW w:w="1086" w:type="dxa"/>
            <w:tcBorders>
              <w:top w:val="single" w:sz="2" w:space="0" w:color="auto"/>
              <w:bottom w:val="single" w:sz="2" w:space="0" w:color="auto"/>
            </w:tcBorders>
            <w:shd w:val="clear" w:color="auto" w:fill="D9D9D9" w:themeFill="background1" w:themeFillShade="D9"/>
            <w:vAlign w:val="center"/>
          </w:tcPr>
          <w:p w:rsidR="00252152" w:rsidRPr="008766F0" w:rsidRDefault="00252152" w:rsidP="00AF7C6D">
            <w:pPr>
              <w:pStyle w:val="tabteksts"/>
              <w:jc w:val="right"/>
              <w:rPr>
                <w:rFonts w:eastAsia="Calibri"/>
                <w:b/>
                <w:bCs/>
                <w:szCs w:val="18"/>
              </w:rPr>
            </w:pPr>
            <w:r w:rsidRPr="008766F0">
              <w:rPr>
                <w:b/>
                <w:bCs/>
                <w:szCs w:val="18"/>
              </w:rPr>
              <w:t>70</w:t>
            </w:r>
            <w:r>
              <w:rPr>
                <w:b/>
                <w:bCs/>
                <w:szCs w:val="18"/>
              </w:rPr>
              <w:t xml:space="preserve"> </w:t>
            </w:r>
            <w:r w:rsidRPr="008766F0">
              <w:rPr>
                <w:b/>
                <w:bCs/>
                <w:szCs w:val="18"/>
              </w:rPr>
              <w:t>009</w:t>
            </w:r>
          </w:p>
        </w:tc>
        <w:tc>
          <w:tcPr>
            <w:tcW w:w="1087" w:type="dxa"/>
            <w:gridSpan w:val="3"/>
            <w:tcBorders>
              <w:top w:val="single" w:sz="2" w:space="0" w:color="auto"/>
              <w:bottom w:val="single" w:sz="2" w:space="0" w:color="auto"/>
            </w:tcBorders>
            <w:shd w:val="clear" w:color="auto" w:fill="D9D9D9" w:themeFill="background1" w:themeFillShade="D9"/>
            <w:vAlign w:val="center"/>
          </w:tcPr>
          <w:p w:rsidR="00252152" w:rsidRPr="008766F0" w:rsidRDefault="00252152" w:rsidP="00AF7C6D">
            <w:pPr>
              <w:pStyle w:val="tabteksts"/>
              <w:jc w:val="right"/>
              <w:rPr>
                <w:rFonts w:eastAsia="Calibri"/>
                <w:b/>
                <w:bCs/>
                <w:szCs w:val="18"/>
              </w:rPr>
            </w:pPr>
            <w:r w:rsidRPr="008766F0">
              <w:rPr>
                <w:b/>
                <w:bCs/>
                <w:szCs w:val="18"/>
              </w:rPr>
              <w:t>65</w:t>
            </w:r>
            <w:r>
              <w:rPr>
                <w:b/>
                <w:bCs/>
                <w:szCs w:val="18"/>
              </w:rPr>
              <w:t xml:space="preserve"> </w:t>
            </w:r>
            <w:r w:rsidRPr="008766F0">
              <w:rPr>
                <w:b/>
                <w:bCs/>
                <w:szCs w:val="18"/>
              </w:rPr>
              <w:t>111</w:t>
            </w:r>
          </w:p>
        </w:tc>
        <w:tc>
          <w:tcPr>
            <w:tcW w:w="1087" w:type="dxa"/>
            <w:tcBorders>
              <w:top w:val="single" w:sz="2" w:space="0" w:color="auto"/>
              <w:bottom w:val="single" w:sz="2" w:space="0" w:color="auto"/>
            </w:tcBorders>
            <w:shd w:val="clear" w:color="auto" w:fill="D9D9D9" w:themeFill="background1" w:themeFillShade="D9"/>
            <w:vAlign w:val="center"/>
          </w:tcPr>
          <w:p w:rsidR="00252152" w:rsidRPr="008766F0" w:rsidRDefault="00252152" w:rsidP="00AF7C6D">
            <w:pPr>
              <w:pStyle w:val="tabteksts"/>
              <w:jc w:val="right"/>
              <w:rPr>
                <w:rFonts w:eastAsia="Calibri"/>
                <w:b/>
                <w:bCs/>
                <w:szCs w:val="18"/>
              </w:rPr>
            </w:pPr>
            <w:r w:rsidRPr="008766F0">
              <w:rPr>
                <w:b/>
                <w:bCs/>
                <w:szCs w:val="18"/>
              </w:rPr>
              <w:t>65</w:t>
            </w:r>
            <w:r>
              <w:rPr>
                <w:b/>
                <w:bCs/>
                <w:szCs w:val="18"/>
              </w:rPr>
              <w:t xml:space="preserve"> </w:t>
            </w:r>
            <w:r w:rsidRPr="008766F0">
              <w:rPr>
                <w:b/>
                <w:bCs/>
                <w:szCs w:val="18"/>
              </w:rPr>
              <w:t>111</w:t>
            </w:r>
          </w:p>
        </w:tc>
        <w:tc>
          <w:tcPr>
            <w:tcW w:w="1139" w:type="dxa"/>
            <w:vMerge w:val="restart"/>
            <w:tcBorders>
              <w:top w:val="single" w:sz="4" w:space="0" w:color="auto"/>
              <w:bottom w:val="single" w:sz="2" w:space="0" w:color="auto"/>
            </w:tcBorders>
          </w:tcPr>
          <w:p w:rsidR="00252152" w:rsidRPr="00BB2102" w:rsidRDefault="00252152" w:rsidP="00AF7C6D">
            <w:pPr>
              <w:pStyle w:val="tabteksts"/>
              <w:rPr>
                <w:rFonts w:eastAsia="Calibri"/>
              </w:rPr>
            </w:pPr>
            <w:r>
              <w:rPr>
                <w:rFonts w:eastAsia="Calibri"/>
              </w:rPr>
              <w:t>MK 22.09.2020. sēdes protokols Nr.55</w:t>
            </w:r>
            <w:r w:rsidRPr="00F106E5">
              <w:rPr>
                <w:rFonts w:eastAsia="Calibri"/>
              </w:rPr>
              <w:t xml:space="preserve"> 3</w:t>
            </w:r>
            <w:r>
              <w:rPr>
                <w:rFonts w:eastAsia="Calibri"/>
              </w:rPr>
              <w:t>8.§                 3</w:t>
            </w:r>
            <w:r w:rsidRPr="00F106E5">
              <w:rPr>
                <w:rFonts w:eastAsia="Calibri"/>
              </w:rPr>
              <w:t xml:space="preserve">.punkts  </w:t>
            </w:r>
          </w:p>
        </w:tc>
      </w:tr>
      <w:tr w:rsidR="00252152" w:rsidRPr="00BB2102" w:rsidTr="00AF7C6D">
        <w:trPr>
          <w:trHeight w:val="142"/>
          <w:jc w:val="center"/>
        </w:trPr>
        <w:tc>
          <w:tcPr>
            <w:tcW w:w="558" w:type="dxa"/>
            <w:vMerge/>
            <w:tcBorders>
              <w:bottom w:val="single" w:sz="2" w:space="0" w:color="auto"/>
            </w:tcBorders>
          </w:tcPr>
          <w:p w:rsidR="00252152" w:rsidRPr="00BB2102" w:rsidRDefault="00252152" w:rsidP="00AF7C6D">
            <w:pPr>
              <w:pStyle w:val="tabteksts"/>
              <w:rPr>
                <w:rFonts w:eastAsia="Calibri"/>
              </w:rPr>
            </w:pPr>
          </w:p>
        </w:tc>
        <w:tc>
          <w:tcPr>
            <w:tcW w:w="7375" w:type="dxa"/>
            <w:gridSpan w:val="6"/>
            <w:tcBorders>
              <w:top w:val="single" w:sz="2" w:space="0" w:color="auto"/>
            </w:tcBorders>
            <w:shd w:val="clear" w:color="auto" w:fill="F2F2F2" w:themeFill="background1" w:themeFillShade="F2"/>
          </w:tcPr>
          <w:p w:rsidR="00252152" w:rsidRPr="00B5023D" w:rsidRDefault="00252152" w:rsidP="00AF7C6D">
            <w:pPr>
              <w:pStyle w:val="tabteksts"/>
              <w:rPr>
                <w:rFonts w:eastAsia="Calibri"/>
                <w:b/>
                <w:i/>
              </w:rPr>
            </w:pPr>
            <w:r w:rsidRPr="00B5023D">
              <w:rPr>
                <w:rFonts w:eastAsia="Calibri"/>
                <w:b/>
                <w:i/>
              </w:rPr>
              <w:t xml:space="preserve">Satversmes tiesai kā vienam no konstitucionālajiem orgāniem un kā augstākajai tiesu varas institūcijai, kas nodrošina Satversmes virsvadību un cilvēktiesību aizsardzību, ir vadoša loma tiesiskuma nodrošināšanā valstī. Latvijas tiesību sistēmā šī svarīgā loma ir uzticēta septiņiem Satversmes tiesas tiesnešiem. Lai šo uzdevumu veiktu pienācīgi, visaugstākās kompetences līmenī, atbilstoši šā brīža situācijai un nākotnes izaicinājumiem (efektīvi), ir nepieciešams pienācīgs atbalsts. Līdz ar to ir plānots ieviest 2 jaunas amata vietas, lai ar papildu personāla resursiem varētu īstenot gan juridiskos, gan administratīvos atbalsta uzdevumus. </w:t>
            </w:r>
          </w:p>
        </w:tc>
        <w:tc>
          <w:tcPr>
            <w:tcW w:w="1139" w:type="dxa"/>
            <w:vMerge/>
            <w:tcBorders>
              <w:bottom w:val="single" w:sz="2" w:space="0" w:color="auto"/>
            </w:tcBorders>
          </w:tcPr>
          <w:p w:rsidR="00252152" w:rsidRPr="00BB2102" w:rsidRDefault="00252152" w:rsidP="00AF7C6D">
            <w:pPr>
              <w:pStyle w:val="tabteksts"/>
              <w:rPr>
                <w:rFonts w:eastAsia="Calibri"/>
                <w:b/>
                <w:i/>
              </w:rPr>
            </w:pPr>
          </w:p>
        </w:tc>
      </w:tr>
      <w:tr w:rsidR="00252152" w:rsidRPr="00BB2102" w:rsidTr="00AF7C6D">
        <w:trPr>
          <w:trHeight w:val="142"/>
          <w:jc w:val="center"/>
        </w:trPr>
        <w:tc>
          <w:tcPr>
            <w:tcW w:w="558" w:type="dxa"/>
            <w:vMerge/>
            <w:tcBorders>
              <w:bottom w:val="single" w:sz="2" w:space="0" w:color="auto"/>
            </w:tcBorders>
          </w:tcPr>
          <w:p w:rsidR="00252152" w:rsidRPr="00BB2102" w:rsidRDefault="00252152" w:rsidP="00AF7C6D">
            <w:pPr>
              <w:pStyle w:val="tabteksts"/>
              <w:rPr>
                <w:rFonts w:eastAsia="Calibri"/>
              </w:rPr>
            </w:pPr>
          </w:p>
        </w:tc>
        <w:tc>
          <w:tcPr>
            <w:tcW w:w="7375" w:type="dxa"/>
            <w:gridSpan w:val="6"/>
            <w:vAlign w:val="center"/>
          </w:tcPr>
          <w:p w:rsidR="00252152" w:rsidRPr="005652DA" w:rsidRDefault="00252152" w:rsidP="00AF7C6D">
            <w:pPr>
              <w:pStyle w:val="tabteksts"/>
              <w:ind w:firstLine="284"/>
              <w:jc w:val="both"/>
              <w:rPr>
                <w:rFonts w:eastAsia="Calibri"/>
                <w:bCs/>
                <w:iCs/>
              </w:rPr>
            </w:pPr>
            <w:r w:rsidRPr="00B5023D">
              <w:rPr>
                <w:rFonts w:eastAsia="Calibri"/>
                <w:bCs/>
                <w:iCs/>
              </w:rPr>
              <w:t>Turpināt modernizēt Satversmes tiesas administratīvo pārvaldību, lai stiprinātu Satversmes tiesas neatkarību, nodrošinot atbilstošu cilvēkresursu kapacitāti Satversmes tiesas funkciju efektīvai īstenošanai.</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131"/>
          <w:jc w:val="center"/>
        </w:trPr>
        <w:tc>
          <w:tcPr>
            <w:tcW w:w="558" w:type="dxa"/>
            <w:vMerge/>
            <w:tcBorders>
              <w:bottom w:val="single" w:sz="2" w:space="0" w:color="auto"/>
            </w:tcBorders>
          </w:tcPr>
          <w:p w:rsidR="00252152" w:rsidRPr="00BB2102" w:rsidRDefault="00252152" w:rsidP="00AF7C6D">
            <w:pPr>
              <w:pStyle w:val="tabteksts"/>
              <w:rPr>
                <w:rFonts w:eastAsia="Calibri"/>
              </w:rPr>
            </w:pPr>
          </w:p>
        </w:tc>
        <w:tc>
          <w:tcPr>
            <w:tcW w:w="7375" w:type="dxa"/>
            <w:gridSpan w:val="6"/>
            <w:tcBorders>
              <w:bottom w:val="single" w:sz="2" w:space="0" w:color="auto"/>
            </w:tcBorders>
            <w:vAlign w:val="center"/>
          </w:tcPr>
          <w:p w:rsidR="00252152" w:rsidRPr="00F106E5" w:rsidRDefault="00252152" w:rsidP="00AF7C6D">
            <w:pPr>
              <w:pStyle w:val="tabteksts"/>
              <w:rPr>
                <w:rFonts w:eastAsia="Calibri"/>
              </w:rPr>
            </w:pPr>
            <w:r w:rsidRPr="00F106E5">
              <w:rPr>
                <w:rFonts w:eastAsia="Calibri"/>
                <w:szCs w:val="18"/>
              </w:rPr>
              <w:t>01.00.00 Tiesa</w:t>
            </w:r>
          </w:p>
        </w:tc>
        <w:tc>
          <w:tcPr>
            <w:tcW w:w="1139" w:type="dxa"/>
            <w:vMerge/>
            <w:tcBorders>
              <w:bottom w:val="single" w:sz="2" w:space="0" w:color="auto"/>
            </w:tcBorders>
          </w:tcPr>
          <w:p w:rsidR="00252152" w:rsidRPr="00BB2102" w:rsidRDefault="00252152" w:rsidP="00AF7C6D">
            <w:pPr>
              <w:pStyle w:val="tabteksts"/>
              <w:jc w:val="center"/>
              <w:rPr>
                <w:rFonts w:eastAsia="Calibri"/>
                <w:szCs w:val="18"/>
              </w:rPr>
            </w:pPr>
          </w:p>
        </w:tc>
      </w:tr>
      <w:tr w:rsidR="00252152" w:rsidRPr="00BB2102" w:rsidTr="00AF7C6D">
        <w:trPr>
          <w:trHeight w:val="142"/>
          <w:jc w:val="center"/>
        </w:trPr>
        <w:tc>
          <w:tcPr>
            <w:tcW w:w="558" w:type="dxa"/>
            <w:vMerge w:val="restart"/>
            <w:tcBorders>
              <w:top w:val="single" w:sz="2" w:space="0" w:color="auto"/>
            </w:tcBorders>
          </w:tcPr>
          <w:p w:rsidR="00252152" w:rsidRPr="008D7C17" w:rsidRDefault="00252152" w:rsidP="00AF7C6D">
            <w:pPr>
              <w:pStyle w:val="tabteksts"/>
              <w:rPr>
                <w:rFonts w:eastAsia="Calibri"/>
              </w:rPr>
            </w:pPr>
            <w:r w:rsidRPr="008D7C17">
              <w:rPr>
                <w:rFonts w:eastAsia="Calibri"/>
              </w:rPr>
              <w:t>2.</w:t>
            </w:r>
          </w:p>
        </w:tc>
        <w:tc>
          <w:tcPr>
            <w:tcW w:w="4115" w:type="dxa"/>
            <w:tcBorders>
              <w:top w:val="single" w:sz="2" w:space="0" w:color="auto"/>
            </w:tcBorders>
            <w:shd w:val="clear" w:color="auto" w:fill="D9D9D9" w:themeFill="background1" w:themeFillShade="D9"/>
          </w:tcPr>
          <w:p w:rsidR="00252152" w:rsidRPr="00815E25" w:rsidRDefault="00252152" w:rsidP="00AF7C6D">
            <w:pPr>
              <w:pStyle w:val="tabteksts"/>
              <w:rPr>
                <w:rFonts w:eastAsia="Calibri"/>
                <w:b/>
                <w:iCs/>
              </w:rPr>
            </w:pPr>
            <w:r w:rsidRPr="00815E25">
              <w:rPr>
                <w:rFonts w:eastAsia="Calibri"/>
                <w:b/>
                <w:iCs/>
              </w:rPr>
              <w:t>Stiprināt Satversmes tiesas funkcionālo kapacitāti</w:t>
            </w:r>
          </w:p>
        </w:tc>
        <w:tc>
          <w:tcPr>
            <w:tcW w:w="1086" w:type="dxa"/>
            <w:tcBorders>
              <w:top w:val="single" w:sz="2" w:space="0" w:color="auto"/>
            </w:tcBorders>
            <w:shd w:val="clear" w:color="auto" w:fill="D9D9D9" w:themeFill="background1" w:themeFillShade="D9"/>
          </w:tcPr>
          <w:p w:rsidR="00252152" w:rsidRPr="008766F0" w:rsidRDefault="00252152" w:rsidP="00AF7C6D">
            <w:pPr>
              <w:spacing w:after="0"/>
              <w:ind w:firstLine="0"/>
              <w:jc w:val="right"/>
              <w:rPr>
                <w:b/>
                <w:bCs/>
                <w:sz w:val="18"/>
                <w:szCs w:val="18"/>
              </w:rPr>
            </w:pPr>
            <w:r w:rsidRPr="008766F0">
              <w:rPr>
                <w:b/>
                <w:bCs/>
                <w:sz w:val="18"/>
                <w:szCs w:val="18"/>
              </w:rPr>
              <w:t>81</w:t>
            </w:r>
            <w:r>
              <w:rPr>
                <w:b/>
                <w:bCs/>
                <w:sz w:val="18"/>
                <w:szCs w:val="18"/>
              </w:rPr>
              <w:t xml:space="preserve"> </w:t>
            </w:r>
            <w:r w:rsidRPr="008766F0">
              <w:rPr>
                <w:b/>
                <w:bCs/>
                <w:sz w:val="18"/>
                <w:szCs w:val="18"/>
              </w:rPr>
              <w:t>735</w:t>
            </w:r>
          </w:p>
          <w:p w:rsidR="00252152" w:rsidRPr="008D7C17" w:rsidRDefault="00252152" w:rsidP="00AF7C6D">
            <w:pPr>
              <w:pStyle w:val="tabteksts"/>
              <w:jc w:val="center"/>
              <w:rPr>
                <w:rFonts w:eastAsia="Calibri"/>
                <w:b/>
              </w:rPr>
            </w:pPr>
          </w:p>
        </w:tc>
        <w:tc>
          <w:tcPr>
            <w:tcW w:w="1087" w:type="dxa"/>
            <w:gridSpan w:val="3"/>
            <w:tcBorders>
              <w:top w:val="single" w:sz="2" w:space="0" w:color="auto"/>
            </w:tcBorders>
            <w:shd w:val="clear" w:color="auto" w:fill="D9D9D9" w:themeFill="background1" w:themeFillShade="D9"/>
          </w:tcPr>
          <w:p w:rsidR="00252152" w:rsidRPr="008D7C17" w:rsidRDefault="00252152" w:rsidP="00AF7C6D">
            <w:pPr>
              <w:pStyle w:val="tabteksts"/>
              <w:jc w:val="center"/>
              <w:rPr>
                <w:rFonts w:eastAsia="Calibri"/>
                <w:b/>
                <w:bCs/>
              </w:rPr>
            </w:pPr>
            <w:r>
              <w:rPr>
                <w:rFonts w:eastAsia="Calibri"/>
                <w:b/>
                <w:bCs/>
              </w:rPr>
              <w:t>-</w:t>
            </w:r>
          </w:p>
        </w:tc>
        <w:tc>
          <w:tcPr>
            <w:tcW w:w="1087" w:type="dxa"/>
            <w:tcBorders>
              <w:top w:val="single" w:sz="2" w:space="0" w:color="auto"/>
            </w:tcBorders>
            <w:shd w:val="clear" w:color="auto" w:fill="D9D9D9" w:themeFill="background1" w:themeFillShade="D9"/>
          </w:tcPr>
          <w:p w:rsidR="00252152" w:rsidRPr="008D7C17" w:rsidRDefault="00252152" w:rsidP="00AF7C6D">
            <w:pPr>
              <w:pStyle w:val="tabteksts"/>
              <w:jc w:val="center"/>
              <w:rPr>
                <w:rFonts w:eastAsia="Calibri"/>
                <w:b/>
                <w:bCs/>
                <w:szCs w:val="18"/>
              </w:rPr>
            </w:pPr>
            <w:r>
              <w:rPr>
                <w:rFonts w:eastAsia="Calibri"/>
                <w:b/>
                <w:bCs/>
                <w:szCs w:val="18"/>
              </w:rPr>
              <w:t>-</w:t>
            </w:r>
          </w:p>
        </w:tc>
        <w:tc>
          <w:tcPr>
            <w:tcW w:w="1139" w:type="dxa"/>
            <w:vMerge w:val="restart"/>
            <w:tcBorders>
              <w:top w:val="single" w:sz="2" w:space="0" w:color="auto"/>
              <w:bottom w:val="single" w:sz="2" w:space="0" w:color="auto"/>
            </w:tcBorders>
          </w:tcPr>
          <w:p w:rsidR="00252152" w:rsidRPr="00BB2102" w:rsidRDefault="00252152" w:rsidP="00AF7C6D">
            <w:pPr>
              <w:pStyle w:val="tabteksts"/>
              <w:rPr>
                <w:rFonts w:eastAsia="Calibri"/>
              </w:rPr>
            </w:pPr>
            <w:r>
              <w:rPr>
                <w:rFonts w:eastAsia="Calibri"/>
              </w:rPr>
              <w:t>MK</w:t>
            </w:r>
            <w:r w:rsidRPr="00F106E5">
              <w:rPr>
                <w:rFonts w:eastAsia="Calibri"/>
              </w:rPr>
              <w:t xml:space="preserve"> 22.09.20</w:t>
            </w:r>
            <w:r>
              <w:rPr>
                <w:rFonts w:eastAsia="Calibri"/>
              </w:rPr>
              <w:t>20</w:t>
            </w:r>
            <w:r w:rsidRPr="00F106E5">
              <w:rPr>
                <w:rFonts w:eastAsia="Calibri"/>
              </w:rPr>
              <w:t xml:space="preserve">. sēdes protokols Nr.55 38.§                 3.punkts  </w:t>
            </w:r>
          </w:p>
        </w:tc>
      </w:tr>
      <w:tr w:rsidR="00252152" w:rsidRPr="00BB2102" w:rsidTr="00AF7C6D">
        <w:trPr>
          <w:trHeight w:val="509"/>
          <w:jc w:val="center"/>
        </w:trPr>
        <w:tc>
          <w:tcPr>
            <w:tcW w:w="558" w:type="dxa"/>
            <w:vMerge/>
          </w:tcPr>
          <w:p w:rsidR="00252152" w:rsidRPr="008D7C17" w:rsidRDefault="00252152" w:rsidP="00AF7C6D">
            <w:pPr>
              <w:pStyle w:val="tabteksts"/>
              <w:rPr>
                <w:rFonts w:eastAsia="Calibri"/>
              </w:rPr>
            </w:pPr>
          </w:p>
        </w:tc>
        <w:tc>
          <w:tcPr>
            <w:tcW w:w="7375" w:type="dxa"/>
            <w:gridSpan w:val="6"/>
            <w:tcBorders>
              <w:bottom w:val="single" w:sz="4" w:space="0" w:color="auto"/>
            </w:tcBorders>
            <w:shd w:val="clear" w:color="auto" w:fill="F2F2F2" w:themeFill="background1" w:themeFillShade="F2"/>
          </w:tcPr>
          <w:p w:rsidR="00252152" w:rsidRPr="006F7806" w:rsidRDefault="00252152" w:rsidP="00AF7C6D">
            <w:pPr>
              <w:pStyle w:val="tabteksts"/>
              <w:jc w:val="both"/>
              <w:rPr>
                <w:rFonts w:eastAsia="Calibri"/>
                <w:b/>
                <w:bCs/>
                <w:i/>
                <w:szCs w:val="18"/>
              </w:rPr>
            </w:pPr>
            <w:r w:rsidRPr="00B5023D">
              <w:rPr>
                <w:rFonts w:eastAsia="Calibri"/>
                <w:b/>
                <w:bCs/>
                <w:i/>
                <w:szCs w:val="18"/>
              </w:rPr>
              <w:t>Tiesas sēžu zāli nepieciešams pielāgot ar pastāvīgiem risinājumiem, kas spētu nodrošināt drošu, ātru un lietas dalībniekiem ērtu attālināto publisko tiesas sēžu organizēšanu un to translāciju elektroniskajā vidē, lai nodrošinātu visas sabiedrības iespēju sekot līdz tiesas sēdēm, kā arī Satversmes tiesas gatavību nepārtrauktam tiesas darbam arī ārkārtas situāciju laikā. Savukārt bibliotēku nepieciešams modernizēt ar bīdāmiem plauktiem, lai efektīvi izmantotu Satversmes tiesai pieejamo ierobežoto telpu resursu.</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321"/>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tcPr>
          <w:p w:rsidR="00252152" w:rsidRPr="00853D40" w:rsidRDefault="00252152" w:rsidP="00AF7C6D">
            <w:pPr>
              <w:pStyle w:val="tabteksts"/>
              <w:ind w:firstLine="284"/>
              <w:jc w:val="both"/>
              <w:rPr>
                <w:rFonts w:eastAsia="Calibri"/>
                <w:bCs/>
                <w:iCs/>
              </w:rPr>
            </w:pPr>
            <w:r w:rsidRPr="00853D40">
              <w:rPr>
                <w:rFonts w:eastAsia="Calibri"/>
                <w:bCs/>
                <w:iCs/>
              </w:rPr>
              <w:t>Modernizēt tiesas sēžu zāli un bibliotēku</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142"/>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tcPr>
          <w:p w:rsidR="00252152" w:rsidRPr="00F106E5" w:rsidRDefault="00252152" w:rsidP="00AF7C6D">
            <w:pPr>
              <w:pStyle w:val="tabteksts"/>
              <w:rPr>
                <w:rFonts w:eastAsia="Calibri"/>
              </w:rPr>
            </w:pPr>
            <w:r w:rsidRPr="00F106E5">
              <w:rPr>
                <w:rFonts w:eastAsia="Calibri"/>
              </w:rPr>
              <w:t>01.00.00 Tiesa</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142"/>
          <w:jc w:val="center"/>
        </w:trPr>
        <w:tc>
          <w:tcPr>
            <w:tcW w:w="558" w:type="dxa"/>
            <w:vMerge w:val="restart"/>
            <w:tcBorders>
              <w:top w:val="single" w:sz="2" w:space="0" w:color="auto"/>
            </w:tcBorders>
          </w:tcPr>
          <w:p w:rsidR="00252152" w:rsidRPr="00BB2102" w:rsidRDefault="00252152" w:rsidP="00AF7C6D">
            <w:pPr>
              <w:pStyle w:val="tabteksts"/>
              <w:rPr>
                <w:rFonts w:eastAsia="Calibri"/>
              </w:rPr>
            </w:pPr>
            <w:bookmarkStart w:id="1" w:name="_Hlk19277776"/>
            <w:r>
              <w:rPr>
                <w:rFonts w:eastAsia="Calibri"/>
              </w:rPr>
              <w:t>3</w:t>
            </w:r>
            <w:r w:rsidRPr="00BB2102">
              <w:rPr>
                <w:rFonts w:eastAsia="Calibri"/>
              </w:rPr>
              <w:t>.</w:t>
            </w:r>
          </w:p>
        </w:tc>
        <w:tc>
          <w:tcPr>
            <w:tcW w:w="4115" w:type="dxa"/>
            <w:tcBorders>
              <w:top w:val="single" w:sz="2" w:space="0" w:color="auto"/>
            </w:tcBorders>
            <w:shd w:val="clear" w:color="auto" w:fill="D9D9D9" w:themeFill="background1" w:themeFillShade="D9"/>
          </w:tcPr>
          <w:p w:rsidR="00252152" w:rsidRPr="00815E25" w:rsidRDefault="00252152" w:rsidP="00AF7C6D">
            <w:pPr>
              <w:pStyle w:val="tabteksts"/>
              <w:rPr>
                <w:rFonts w:eastAsia="Calibri"/>
                <w:b/>
                <w:iCs/>
              </w:rPr>
            </w:pPr>
            <w:r w:rsidRPr="00815E25">
              <w:rPr>
                <w:rFonts w:eastAsia="Calibri"/>
                <w:b/>
                <w:iCs/>
              </w:rPr>
              <w:t>Stiprināt tiesas analītisko kapacitāti</w:t>
            </w:r>
          </w:p>
        </w:tc>
        <w:tc>
          <w:tcPr>
            <w:tcW w:w="1086" w:type="dxa"/>
            <w:tcBorders>
              <w:top w:val="single" w:sz="2" w:space="0" w:color="auto"/>
            </w:tcBorders>
            <w:shd w:val="clear" w:color="auto" w:fill="D9D9D9" w:themeFill="background1" w:themeFillShade="D9"/>
          </w:tcPr>
          <w:p w:rsidR="00252152" w:rsidRPr="008766F0" w:rsidRDefault="00252152" w:rsidP="00AF7C6D">
            <w:pPr>
              <w:pStyle w:val="tabteksts"/>
              <w:jc w:val="right"/>
              <w:rPr>
                <w:rFonts w:eastAsia="Calibri"/>
                <w:b/>
                <w:bCs/>
                <w:szCs w:val="18"/>
              </w:rPr>
            </w:pPr>
            <w:r w:rsidRPr="008766F0">
              <w:rPr>
                <w:b/>
                <w:bCs/>
                <w:szCs w:val="18"/>
              </w:rPr>
              <w:t>9</w:t>
            </w:r>
            <w:r>
              <w:rPr>
                <w:b/>
                <w:bCs/>
                <w:szCs w:val="18"/>
              </w:rPr>
              <w:t xml:space="preserve"> </w:t>
            </w:r>
            <w:r w:rsidRPr="008766F0">
              <w:rPr>
                <w:b/>
                <w:bCs/>
                <w:szCs w:val="18"/>
              </w:rPr>
              <w:t>930</w:t>
            </w:r>
          </w:p>
        </w:tc>
        <w:tc>
          <w:tcPr>
            <w:tcW w:w="1087" w:type="dxa"/>
            <w:gridSpan w:val="3"/>
            <w:tcBorders>
              <w:top w:val="single" w:sz="2" w:space="0" w:color="auto"/>
            </w:tcBorders>
            <w:shd w:val="clear" w:color="auto" w:fill="D9D9D9" w:themeFill="background1" w:themeFillShade="D9"/>
          </w:tcPr>
          <w:p w:rsidR="00252152" w:rsidRPr="008766F0" w:rsidRDefault="00252152" w:rsidP="00AF7C6D">
            <w:pPr>
              <w:pStyle w:val="tabteksts"/>
              <w:jc w:val="right"/>
              <w:rPr>
                <w:rFonts w:eastAsia="Calibri"/>
                <w:b/>
                <w:bCs/>
                <w:szCs w:val="18"/>
              </w:rPr>
            </w:pPr>
            <w:r w:rsidRPr="008766F0">
              <w:rPr>
                <w:b/>
                <w:bCs/>
                <w:szCs w:val="18"/>
              </w:rPr>
              <w:t>9</w:t>
            </w:r>
            <w:r>
              <w:rPr>
                <w:b/>
                <w:bCs/>
                <w:szCs w:val="18"/>
              </w:rPr>
              <w:t xml:space="preserve"> </w:t>
            </w:r>
            <w:r w:rsidRPr="008766F0">
              <w:rPr>
                <w:b/>
                <w:bCs/>
                <w:szCs w:val="18"/>
              </w:rPr>
              <w:t>930</w:t>
            </w:r>
          </w:p>
        </w:tc>
        <w:tc>
          <w:tcPr>
            <w:tcW w:w="1087" w:type="dxa"/>
            <w:tcBorders>
              <w:top w:val="single" w:sz="2" w:space="0" w:color="auto"/>
            </w:tcBorders>
            <w:shd w:val="clear" w:color="auto" w:fill="D9D9D9" w:themeFill="background1" w:themeFillShade="D9"/>
          </w:tcPr>
          <w:p w:rsidR="00252152" w:rsidRPr="008766F0" w:rsidRDefault="00252152" w:rsidP="00AF7C6D">
            <w:pPr>
              <w:pStyle w:val="tabteksts"/>
              <w:jc w:val="right"/>
              <w:rPr>
                <w:rFonts w:eastAsia="Calibri"/>
                <w:b/>
                <w:bCs/>
                <w:szCs w:val="18"/>
              </w:rPr>
            </w:pPr>
            <w:r w:rsidRPr="008766F0">
              <w:rPr>
                <w:b/>
                <w:bCs/>
                <w:szCs w:val="18"/>
              </w:rPr>
              <w:t>9</w:t>
            </w:r>
            <w:r>
              <w:rPr>
                <w:b/>
                <w:bCs/>
                <w:szCs w:val="18"/>
              </w:rPr>
              <w:t xml:space="preserve"> </w:t>
            </w:r>
            <w:r w:rsidRPr="008766F0">
              <w:rPr>
                <w:b/>
                <w:bCs/>
                <w:szCs w:val="18"/>
              </w:rPr>
              <w:t>930</w:t>
            </w:r>
          </w:p>
        </w:tc>
        <w:tc>
          <w:tcPr>
            <w:tcW w:w="1139" w:type="dxa"/>
            <w:vMerge w:val="restart"/>
            <w:tcBorders>
              <w:top w:val="single" w:sz="2" w:space="0" w:color="auto"/>
              <w:bottom w:val="single" w:sz="2" w:space="0" w:color="auto"/>
            </w:tcBorders>
          </w:tcPr>
          <w:p w:rsidR="00252152" w:rsidRPr="00BB2102" w:rsidRDefault="00252152" w:rsidP="00AF7C6D">
            <w:pPr>
              <w:pStyle w:val="tabteksts"/>
              <w:rPr>
                <w:rFonts w:eastAsia="Calibri"/>
              </w:rPr>
            </w:pPr>
            <w:r>
              <w:rPr>
                <w:rFonts w:eastAsia="Calibri"/>
              </w:rPr>
              <w:t>MK</w:t>
            </w:r>
            <w:r w:rsidRPr="00F106E5">
              <w:rPr>
                <w:rFonts w:eastAsia="Calibri"/>
              </w:rPr>
              <w:t xml:space="preserve"> 22.09.20</w:t>
            </w:r>
            <w:r>
              <w:rPr>
                <w:rFonts w:eastAsia="Calibri"/>
              </w:rPr>
              <w:t>20</w:t>
            </w:r>
            <w:r w:rsidRPr="00F106E5">
              <w:rPr>
                <w:rFonts w:eastAsia="Calibri"/>
              </w:rPr>
              <w:t xml:space="preserve">. sēdes protokols Nr.55 38.§                 3.punkts  </w:t>
            </w:r>
          </w:p>
        </w:tc>
      </w:tr>
      <w:tr w:rsidR="00252152" w:rsidRPr="00BB2102" w:rsidTr="00AF7C6D">
        <w:trPr>
          <w:trHeight w:val="509"/>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shd w:val="clear" w:color="auto" w:fill="F2F2F2" w:themeFill="background1" w:themeFillShade="F2"/>
          </w:tcPr>
          <w:p w:rsidR="00252152" w:rsidRPr="008D7C17" w:rsidRDefault="00252152" w:rsidP="00AF7C6D">
            <w:pPr>
              <w:pStyle w:val="tabteksts"/>
              <w:jc w:val="both"/>
              <w:rPr>
                <w:rFonts w:eastAsia="Calibri"/>
                <w:b/>
                <w:bCs/>
                <w:i/>
                <w:szCs w:val="18"/>
              </w:rPr>
            </w:pPr>
            <w:r w:rsidRPr="00E96B57">
              <w:rPr>
                <w:rFonts w:eastAsia="Calibri"/>
                <w:b/>
                <w:i/>
              </w:rPr>
              <w:t>Nodrošināt katru gadu vidēji trīs darbiniekiem iespēju pilnveidoties augsta līmeņa starptautiskās apmācībās ārvalstīs, kurās apmācības nodrošina pasaulē un Eiropā atzīti tiesību zinātnieki un juridisko profesiju pārstāvji.</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142"/>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tcPr>
          <w:p w:rsidR="00252152" w:rsidRPr="00D12FA4" w:rsidRDefault="00252152" w:rsidP="00AF7C6D">
            <w:pPr>
              <w:pStyle w:val="tabteksts"/>
              <w:ind w:firstLine="284"/>
              <w:rPr>
                <w:rFonts w:eastAsia="Calibri"/>
              </w:rPr>
            </w:pPr>
            <w:r w:rsidRPr="00E96B57">
              <w:rPr>
                <w:rFonts w:eastAsia="Calibri"/>
              </w:rPr>
              <w:t>Stiprināt tiesas juridiski analītisko kapacitāti, regulāri izglītojot</w:t>
            </w:r>
            <w:r>
              <w:rPr>
                <w:rFonts w:eastAsia="Calibri"/>
              </w:rPr>
              <w:t xml:space="preserve"> tiesnešus,</w:t>
            </w:r>
            <w:r w:rsidRPr="00E96B57">
              <w:rPr>
                <w:rFonts w:eastAsia="Calibri"/>
              </w:rPr>
              <w:t xml:space="preserve"> tiesnešu palīgus un juridiskā departamenta darbiniekus par aktualitātēm zinātniskajā domā starptautiskajās un konstitucionālajās tiesību jomās.</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247"/>
          <w:jc w:val="center"/>
        </w:trPr>
        <w:tc>
          <w:tcPr>
            <w:tcW w:w="558" w:type="dxa"/>
            <w:vMerge/>
          </w:tcPr>
          <w:p w:rsidR="00252152" w:rsidRPr="00BB2102" w:rsidRDefault="00252152" w:rsidP="00AF7C6D">
            <w:pPr>
              <w:pStyle w:val="tabteksts"/>
              <w:rPr>
                <w:rFonts w:eastAsia="Calibri"/>
              </w:rPr>
            </w:pPr>
          </w:p>
        </w:tc>
        <w:tc>
          <w:tcPr>
            <w:tcW w:w="7375" w:type="dxa"/>
            <w:gridSpan w:val="6"/>
          </w:tcPr>
          <w:p w:rsidR="00252152" w:rsidRPr="00F106E5" w:rsidRDefault="00252152" w:rsidP="00AF7C6D">
            <w:pPr>
              <w:pStyle w:val="tabteksts"/>
              <w:rPr>
                <w:rFonts w:eastAsia="Calibri"/>
              </w:rPr>
            </w:pPr>
            <w:r w:rsidRPr="00F106E5">
              <w:rPr>
                <w:rFonts w:eastAsia="Calibri"/>
              </w:rPr>
              <w:t>01.00.00 Tiesa</w:t>
            </w:r>
          </w:p>
        </w:tc>
        <w:tc>
          <w:tcPr>
            <w:tcW w:w="1139" w:type="dxa"/>
            <w:vMerge/>
          </w:tcPr>
          <w:p w:rsidR="00252152" w:rsidRPr="00BB2102" w:rsidRDefault="00252152" w:rsidP="00AF7C6D">
            <w:pPr>
              <w:pStyle w:val="tabteksts"/>
              <w:ind w:left="284"/>
              <w:rPr>
                <w:rFonts w:eastAsia="Calibri"/>
              </w:rPr>
            </w:pPr>
          </w:p>
        </w:tc>
      </w:tr>
      <w:bookmarkEnd w:id="1"/>
      <w:tr w:rsidR="00252152" w:rsidRPr="00BB2102" w:rsidTr="00AF7C6D">
        <w:trPr>
          <w:trHeight w:val="263"/>
          <w:jc w:val="center"/>
        </w:trPr>
        <w:tc>
          <w:tcPr>
            <w:tcW w:w="558" w:type="dxa"/>
            <w:vMerge w:val="restart"/>
            <w:tcBorders>
              <w:top w:val="single" w:sz="2" w:space="0" w:color="auto"/>
            </w:tcBorders>
          </w:tcPr>
          <w:p w:rsidR="00252152" w:rsidRPr="00BB2102" w:rsidRDefault="00252152" w:rsidP="00AF7C6D">
            <w:pPr>
              <w:pStyle w:val="tabteksts"/>
              <w:rPr>
                <w:rFonts w:eastAsia="Calibri"/>
              </w:rPr>
            </w:pPr>
            <w:r>
              <w:rPr>
                <w:rFonts w:eastAsia="Calibri"/>
              </w:rPr>
              <w:t>4.</w:t>
            </w:r>
          </w:p>
        </w:tc>
        <w:tc>
          <w:tcPr>
            <w:tcW w:w="4115" w:type="dxa"/>
            <w:tcBorders>
              <w:top w:val="single" w:sz="2" w:space="0" w:color="auto"/>
            </w:tcBorders>
            <w:shd w:val="clear" w:color="auto" w:fill="D9D9D9" w:themeFill="background1" w:themeFillShade="D9"/>
          </w:tcPr>
          <w:p w:rsidR="00252152" w:rsidRPr="00815E25" w:rsidRDefault="00252152" w:rsidP="00AF7C6D">
            <w:pPr>
              <w:pStyle w:val="tabteksts"/>
              <w:rPr>
                <w:rFonts w:eastAsia="Calibri"/>
                <w:b/>
                <w:iCs/>
              </w:rPr>
            </w:pPr>
            <w:r w:rsidRPr="00815E25">
              <w:rPr>
                <w:rFonts w:eastAsia="Calibri"/>
                <w:b/>
                <w:iCs/>
              </w:rPr>
              <w:t>Satversmes tiesas tiesneša atlaišanas pabalsts</w:t>
            </w:r>
          </w:p>
        </w:tc>
        <w:tc>
          <w:tcPr>
            <w:tcW w:w="1086" w:type="dxa"/>
            <w:tcBorders>
              <w:top w:val="single" w:sz="2" w:space="0" w:color="auto"/>
            </w:tcBorders>
            <w:shd w:val="clear" w:color="auto" w:fill="D9D9D9" w:themeFill="background1" w:themeFillShade="D9"/>
          </w:tcPr>
          <w:p w:rsidR="00252152" w:rsidRPr="00B5023D" w:rsidRDefault="00252152" w:rsidP="00AF7C6D">
            <w:pPr>
              <w:spacing w:after="0"/>
              <w:ind w:firstLine="0"/>
              <w:jc w:val="right"/>
              <w:rPr>
                <w:b/>
                <w:bCs/>
                <w:sz w:val="18"/>
                <w:szCs w:val="18"/>
              </w:rPr>
            </w:pPr>
            <w:r w:rsidRPr="00B5023D">
              <w:rPr>
                <w:b/>
                <w:bCs/>
                <w:sz w:val="18"/>
                <w:szCs w:val="18"/>
              </w:rPr>
              <w:t>14</w:t>
            </w:r>
            <w:r>
              <w:rPr>
                <w:b/>
                <w:bCs/>
                <w:sz w:val="18"/>
                <w:szCs w:val="18"/>
              </w:rPr>
              <w:t xml:space="preserve"> </w:t>
            </w:r>
            <w:r w:rsidRPr="00B5023D">
              <w:rPr>
                <w:b/>
                <w:bCs/>
                <w:sz w:val="18"/>
                <w:szCs w:val="18"/>
              </w:rPr>
              <w:t>753</w:t>
            </w:r>
          </w:p>
          <w:p w:rsidR="00252152" w:rsidRPr="00BB2102" w:rsidRDefault="00252152" w:rsidP="00AF7C6D">
            <w:pPr>
              <w:pStyle w:val="tabteksts"/>
              <w:jc w:val="center"/>
              <w:rPr>
                <w:rFonts w:eastAsia="Calibri"/>
                <w:b/>
              </w:rPr>
            </w:pPr>
          </w:p>
        </w:tc>
        <w:tc>
          <w:tcPr>
            <w:tcW w:w="1087" w:type="dxa"/>
            <w:gridSpan w:val="3"/>
            <w:tcBorders>
              <w:top w:val="single" w:sz="2" w:space="0" w:color="auto"/>
            </w:tcBorders>
            <w:shd w:val="clear" w:color="auto" w:fill="D9D9D9" w:themeFill="background1" w:themeFillShade="D9"/>
          </w:tcPr>
          <w:p w:rsidR="00252152" w:rsidRPr="00BB2102" w:rsidRDefault="00252152" w:rsidP="00AF7C6D">
            <w:pPr>
              <w:pStyle w:val="tabteksts"/>
              <w:jc w:val="center"/>
              <w:rPr>
                <w:rFonts w:eastAsia="Calibri"/>
                <w:b/>
                <w:bCs/>
              </w:rPr>
            </w:pPr>
            <w:r>
              <w:rPr>
                <w:rFonts w:eastAsia="Calibri"/>
                <w:b/>
                <w:bCs/>
              </w:rPr>
              <w:t>-</w:t>
            </w:r>
          </w:p>
        </w:tc>
        <w:tc>
          <w:tcPr>
            <w:tcW w:w="1087" w:type="dxa"/>
            <w:tcBorders>
              <w:top w:val="single" w:sz="2" w:space="0" w:color="auto"/>
            </w:tcBorders>
            <w:shd w:val="clear" w:color="auto" w:fill="D9D9D9" w:themeFill="background1" w:themeFillShade="D9"/>
          </w:tcPr>
          <w:p w:rsidR="00252152" w:rsidRPr="00BB2102" w:rsidRDefault="00252152" w:rsidP="00AF7C6D">
            <w:pPr>
              <w:pStyle w:val="tabteksts"/>
              <w:jc w:val="center"/>
              <w:rPr>
                <w:rFonts w:eastAsia="Calibri"/>
                <w:b/>
                <w:bCs/>
                <w:szCs w:val="18"/>
              </w:rPr>
            </w:pPr>
            <w:r>
              <w:rPr>
                <w:rFonts w:eastAsia="Calibri"/>
                <w:b/>
                <w:bCs/>
                <w:szCs w:val="18"/>
              </w:rPr>
              <w:t>-</w:t>
            </w:r>
          </w:p>
        </w:tc>
        <w:tc>
          <w:tcPr>
            <w:tcW w:w="1139" w:type="dxa"/>
            <w:vMerge w:val="restart"/>
            <w:tcBorders>
              <w:top w:val="single" w:sz="2" w:space="0" w:color="auto"/>
              <w:bottom w:val="single" w:sz="2" w:space="0" w:color="auto"/>
            </w:tcBorders>
          </w:tcPr>
          <w:p w:rsidR="00252152" w:rsidRPr="00BB2102" w:rsidRDefault="00252152" w:rsidP="00AF7C6D">
            <w:pPr>
              <w:pStyle w:val="tabteksts"/>
              <w:rPr>
                <w:rFonts w:eastAsia="Calibri"/>
              </w:rPr>
            </w:pPr>
            <w:r>
              <w:rPr>
                <w:rFonts w:eastAsia="Calibri"/>
              </w:rPr>
              <w:t>MK</w:t>
            </w:r>
            <w:r w:rsidRPr="00F106E5">
              <w:rPr>
                <w:rFonts w:eastAsia="Calibri"/>
              </w:rPr>
              <w:t xml:space="preserve"> 22.09.20</w:t>
            </w:r>
            <w:r>
              <w:rPr>
                <w:rFonts w:eastAsia="Calibri"/>
              </w:rPr>
              <w:t>20</w:t>
            </w:r>
            <w:r w:rsidRPr="00F106E5">
              <w:rPr>
                <w:rFonts w:eastAsia="Calibri"/>
              </w:rPr>
              <w:t xml:space="preserve">. sēdes protokols Nr.55 38.§                 3.punkts  </w:t>
            </w:r>
          </w:p>
        </w:tc>
      </w:tr>
      <w:tr w:rsidR="00252152" w:rsidRPr="00BB2102" w:rsidTr="00AF7C6D">
        <w:trPr>
          <w:trHeight w:val="952"/>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shd w:val="clear" w:color="auto" w:fill="F2F2F2" w:themeFill="background1" w:themeFillShade="F2"/>
          </w:tcPr>
          <w:p w:rsidR="00252152" w:rsidRPr="00D43FB9" w:rsidRDefault="00252152" w:rsidP="00AF7C6D">
            <w:pPr>
              <w:pStyle w:val="tabteksts"/>
              <w:jc w:val="both"/>
              <w:rPr>
                <w:rFonts w:eastAsia="Calibri"/>
                <w:b/>
                <w:bCs/>
                <w:i/>
                <w:iCs/>
                <w:szCs w:val="18"/>
              </w:rPr>
            </w:pPr>
            <w:r w:rsidRPr="00E96B57">
              <w:rPr>
                <w:rFonts w:eastAsia="Calibri"/>
                <w:b/>
                <w:bCs/>
                <w:i/>
                <w:iCs/>
              </w:rPr>
              <w:t>Lai nodrošinātu likumprojekta "Grozījumi Valsts un pašvaldību institūciju amatpersonu un darbinieku atlīdzības likumā" (VSS-444) 17.</w:t>
            </w:r>
            <w:r>
              <w:rPr>
                <w:rFonts w:eastAsia="Calibri"/>
                <w:b/>
                <w:bCs/>
                <w:i/>
                <w:iCs/>
              </w:rPr>
              <w:t xml:space="preserve"> </w:t>
            </w:r>
            <w:r w:rsidRPr="00E96B57">
              <w:rPr>
                <w:rFonts w:eastAsia="Calibri"/>
                <w:b/>
                <w:bCs/>
                <w:i/>
                <w:iCs/>
              </w:rPr>
              <w:t>panta devītās daļas 1.punktā minēto (plānoto) atlaišanas pabalsta apmēra izmaksu, kas tiek paaugstināts trīs reizes, kā arī Darba likuma 149.</w:t>
            </w:r>
            <w:r>
              <w:rPr>
                <w:rFonts w:eastAsia="Calibri"/>
                <w:b/>
                <w:bCs/>
                <w:i/>
                <w:iCs/>
              </w:rPr>
              <w:t xml:space="preserve"> </w:t>
            </w:r>
            <w:r w:rsidRPr="00E96B57">
              <w:rPr>
                <w:rFonts w:eastAsia="Calibri"/>
                <w:b/>
                <w:bCs/>
                <w:i/>
                <w:iCs/>
              </w:rPr>
              <w:t>panta piektajā daļā noteikto, nepieciešami papildu līdzekļi Satversmes tiesas budžetā.</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142"/>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tcPr>
          <w:p w:rsidR="00252152" w:rsidRPr="00D12FA4" w:rsidRDefault="00252152" w:rsidP="00AF7C6D">
            <w:pPr>
              <w:pStyle w:val="tabteksts"/>
              <w:ind w:firstLine="284"/>
              <w:rPr>
                <w:rFonts w:eastAsia="Calibri"/>
              </w:rPr>
            </w:pPr>
            <w:r w:rsidRPr="00E96B57">
              <w:rPr>
                <w:rFonts w:eastAsia="Calibri"/>
              </w:rPr>
              <w:t>Nodrošināt atlīdzības izmaksu sakarā ar t</w:t>
            </w:r>
            <w:r>
              <w:rPr>
                <w:rFonts w:eastAsia="Calibri"/>
              </w:rPr>
              <w:t>ie</w:t>
            </w:r>
            <w:r w:rsidRPr="00E96B57">
              <w:rPr>
                <w:rFonts w:eastAsia="Calibri"/>
              </w:rPr>
              <w:t>sneša pilnvaru izbeigšanu</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247"/>
          <w:jc w:val="center"/>
        </w:trPr>
        <w:tc>
          <w:tcPr>
            <w:tcW w:w="558" w:type="dxa"/>
            <w:vMerge/>
          </w:tcPr>
          <w:p w:rsidR="00252152" w:rsidRPr="00BB2102" w:rsidRDefault="00252152" w:rsidP="00AF7C6D">
            <w:pPr>
              <w:pStyle w:val="tabteksts"/>
              <w:rPr>
                <w:rFonts w:eastAsia="Calibri"/>
              </w:rPr>
            </w:pPr>
          </w:p>
        </w:tc>
        <w:tc>
          <w:tcPr>
            <w:tcW w:w="7375" w:type="dxa"/>
            <w:gridSpan w:val="6"/>
          </w:tcPr>
          <w:p w:rsidR="00252152" w:rsidRPr="00F106E5" w:rsidRDefault="00252152" w:rsidP="00AF7C6D">
            <w:pPr>
              <w:pStyle w:val="tabteksts"/>
              <w:rPr>
                <w:rFonts w:eastAsia="Calibri"/>
              </w:rPr>
            </w:pPr>
            <w:r w:rsidRPr="00F106E5">
              <w:rPr>
                <w:rFonts w:eastAsia="Calibri"/>
              </w:rPr>
              <w:t>01.00.00 Tiesa</w:t>
            </w:r>
          </w:p>
        </w:tc>
        <w:tc>
          <w:tcPr>
            <w:tcW w:w="1139" w:type="dxa"/>
            <w:vMerge/>
          </w:tcPr>
          <w:p w:rsidR="00252152" w:rsidRPr="00BB2102" w:rsidRDefault="00252152" w:rsidP="00AF7C6D">
            <w:pPr>
              <w:pStyle w:val="tabteksts"/>
              <w:ind w:left="284"/>
              <w:rPr>
                <w:rFonts w:eastAsia="Calibri"/>
              </w:rPr>
            </w:pPr>
          </w:p>
        </w:tc>
      </w:tr>
      <w:tr w:rsidR="00252152" w:rsidRPr="00BB2102" w:rsidTr="00AF7C6D">
        <w:trPr>
          <w:trHeight w:val="142"/>
          <w:jc w:val="center"/>
        </w:trPr>
        <w:tc>
          <w:tcPr>
            <w:tcW w:w="558" w:type="dxa"/>
            <w:vMerge w:val="restart"/>
            <w:tcBorders>
              <w:top w:val="single" w:sz="2" w:space="0" w:color="auto"/>
            </w:tcBorders>
          </w:tcPr>
          <w:p w:rsidR="00252152" w:rsidRPr="00BB2102" w:rsidRDefault="00252152" w:rsidP="00AF7C6D">
            <w:pPr>
              <w:pStyle w:val="tabteksts"/>
              <w:rPr>
                <w:rFonts w:eastAsia="Calibri"/>
              </w:rPr>
            </w:pPr>
            <w:bookmarkStart w:id="2" w:name="_Hlk19886724"/>
            <w:r>
              <w:rPr>
                <w:rFonts w:eastAsia="Calibri"/>
              </w:rPr>
              <w:t>5.</w:t>
            </w:r>
          </w:p>
        </w:tc>
        <w:tc>
          <w:tcPr>
            <w:tcW w:w="4115" w:type="dxa"/>
            <w:tcBorders>
              <w:top w:val="single" w:sz="2" w:space="0" w:color="auto"/>
            </w:tcBorders>
            <w:shd w:val="clear" w:color="auto" w:fill="D9D9D9" w:themeFill="background1" w:themeFillShade="D9"/>
          </w:tcPr>
          <w:p w:rsidR="00252152" w:rsidRPr="00815E25" w:rsidRDefault="00252152" w:rsidP="00AF7C6D">
            <w:pPr>
              <w:pStyle w:val="tabteksts"/>
              <w:rPr>
                <w:rFonts w:eastAsia="Calibri"/>
                <w:b/>
                <w:iCs/>
              </w:rPr>
            </w:pPr>
            <w:r w:rsidRPr="00815E25">
              <w:rPr>
                <w:rFonts w:eastAsia="Calibri"/>
                <w:b/>
                <w:iCs/>
              </w:rPr>
              <w:t>Satversmes tiesas darbības un attīstības nodrošināšana, kā arī dialoga ar sabiedrību veicināšana</w:t>
            </w:r>
          </w:p>
        </w:tc>
        <w:tc>
          <w:tcPr>
            <w:tcW w:w="1086" w:type="dxa"/>
            <w:tcBorders>
              <w:top w:val="single" w:sz="2" w:space="0" w:color="auto"/>
            </w:tcBorders>
            <w:shd w:val="clear" w:color="auto" w:fill="D9D9D9" w:themeFill="background1" w:themeFillShade="D9"/>
          </w:tcPr>
          <w:p w:rsidR="00252152" w:rsidRPr="00BB2102" w:rsidRDefault="00252152" w:rsidP="00AF7C6D">
            <w:pPr>
              <w:pStyle w:val="tabteksts"/>
              <w:jc w:val="right"/>
              <w:rPr>
                <w:rFonts w:eastAsia="Calibri"/>
                <w:b/>
              </w:rPr>
            </w:pPr>
            <w:r>
              <w:rPr>
                <w:rFonts w:eastAsia="Calibri"/>
                <w:b/>
                <w:bCs/>
              </w:rPr>
              <w:t>200 000</w:t>
            </w:r>
          </w:p>
        </w:tc>
        <w:tc>
          <w:tcPr>
            <w:tcW w:w="1087" w:type="dxa"/>
            <w:gridSpan w:val="3"/>
            <w:tcBorders>
              <w:top w:val="single" w:sz="2" w:space="0" w:color="auto"/>
            </w:tcBorders>
            <w:shd w:val="clear" w:color="auto" w:fill="D9D9D9" w:themeFill="background1" w:themeFillShade="D9"/>
          </w:tcPr>
          <w:p w:rsidR="00252152" w:rsidRPr="00BB2102" w:rsidRDefault="00252152" w:rsidP="00AF7C6D">
            <w:pPr>
              <w:pStyle w:val="tabteksts"/>
              <w:jc w:val="center"/>
              <w:rPr>
                <w:rFonts w:eastAsia="Calibri"/>
                <w:b/>
                <w:bCs/>
              </w:rPr>
            </w:pPr>
            <w:r>
              <w:rPr>
                <w:rFonts w:eastAsia="Calibri"/>
                <w:b/>
                <w:bCs/>
              </w:rPr>
              <w:t>-</w:t>
            </w:r>
          </w:p>
        </w:tc>
        <w:tc>
          <w:tcPr>
            <w:tcW w:w="1087" w:type="dxa"/>
            <w:tcBorders>
              <w:top w:val="single" w:sz="2" w:space="0" w:color="auto"/>
            </w:tcBorders>
            <w:shd w:val="clear" w:color="auto" w:fill="D9D9D9" w:themeFill="background1" w:themeFillShade="D9"/>
          </w:tcPr>
          <w:p w:rsidR="00252152" w:rsidRPr="00BB2102" w:rsidRDefault="00252152" w:rsidP="00AF7C6D">
            <w:pPr>
              <w:pStyle w:val="tabteksts"/>
              <w:jc w:val="center"/>
              <w:rPr>
                <w:rFonts w:eastAsia="Calibri"/>
                <w:b/>
                <w:bCs/>
                <w:szCs w:val="18"/>
              </w:rPr>
            </w:pPr>
            <w:r>
              <w:rPr>
                <w:rFonts w:eastAsia="Calibri"/>
                <w:b/>
                <w:bCs/>
                <w:szCs w:val="18"/>
              </w:rPr>
              <w:t>-</w:t>
            </w:r>
          </w:p>
        </w:tc>
        <w:tc>
          <w:tcPr>
            <w:tcW w:w="1139" w:type="dxa"/>
            <w:vMerge w:val="restart"/>
            <w:tcBorders>
              <w:top w:val="single" w:sz="2" w:space="0" w:color="auto"/>
              <w:bottom w:val="single" w:sz="2" w:space="0" w:color="auto"/>
            </w:tcBorders>
          </w:tcPr>
          <w:p w:rsidR="00252152" w:rsidRPr="00BB2102" w:rsidRDefault="00252152" w:rsidP="00AF7C6D">
            <w:pPr>
              <w:pStyle w:val="tabteksts"/>
              <w:rPr>
                <w:rFonts w:eastAsia="Calibri"/>
              </w:rPr>
            </w:pPr>
            <w:r>
              <w:rPr>
                <w:rFonts w:eastAsia="Calibri"/>
              </w:rPr>
              <w:t>MK</w:t>
            </w:r>
            <w:r w:rsidRPr="00F106E5">
              <w:rPr>
                <w:rFonts w:eastAsia="Calibri"/>
              </w:rPr>
              <w:t xml:space="preserve"> 22.09.20</w:t>
            </w:r>
            <w:r>
              <w:rPr>
                <w:rFonts w:eastAsia="Calibri"/>
              </w:rPr>
              <w:t>20</w:t>
            </w:r>
            <w:r w:rsidRPr="00F106E5">
              <w:rPr>
                <w:rFonts w:eastAsia="Calibri"/>
              </w:rPr>
              <w:t xml:space="preserve">. sēdes protokols Nr.55 38.§                 3.punkts  </w:t>
            </w:r>
          </w:p>
        </w:tc>
      </w:tr>
      <w:tr w:rsidR="00252152" w:rsidRPr="00BB2102" w:rsidTr="00AF7C6D">
        <w:trPr>
          <w:trHeight w:val="509"/>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shd w:val="clear" w:color="auto" w:fill="F2F2F2" w:themeFill="background1" w:themeFillShade="F2"/>
          </w:tcPr>
          <w:p w:rsidR="00252152" w:rsidRPr="008D7C17" w:rsidRDefault="00252152" w:rsidP="00AF7C6D">
            <w:pPr>
              <w:pStyle w:val="tabteksts"/>
              <w:jc w:val="both"/>
              <w:rPr>
                <w:rFonts w:eastAsia="Calibri"/>
                <w:b/>
                <w:bCs/>
                <w:i/>
                <w:szCs w:val="18"/>
              </w:rPr>
            </w:pPr>
            <w:r w:rsidRPr="00AC0FDF">
              <w:rPr>
                <w:rFonts w:eastAsia="Calibri"/>
                <w:b/>
                <w:bCs/>
                <w:i/>
                <w:szCs w:val="18"/>
              </w:rPr>
              <w:t>Īstenot Satversmes tiesas darbības nepārtrauktību attālinātā režīmā</w:t>
            </w:r>
            <w:r>
              <w:rPr>
                <w:rFonts w:eastAsia="Calibri"/>
                <w:b/>
                <w:bCs/>
                <w:i/>
                <w:szCs w:val="18"/>
              </w:rPr>
              <w:t xml:space="preserve"> </w:t>
            </w:r>
            <w:r w:rsidRPr="00AC0FDF">
              <w:rPr>
                <w:rFonts w:eastAsia="Calibri"/>
                <w:b/>
                <w:bCs/>
                <w:i/>
                <w:szCs w:val="18"/>
              </w:rPr>
              <w:t>un veicināt valsts dialogu ar sabiedrību par tiesiskumu kā vērtību.</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142"/>
          <w:jc w:val="center"/>
        </w:trPr>
        <w:tc>
          <w:tcPr>
            <w:tcW w:w="558" w:type="dxa"/>
            <w:vMerge/>
          </w:tcPr>
          <w:p w:rsidR="00252152" w:rsidRPr="00BB2102" w:rsidRDefault="00252152" w:rsidP="00AF7C6D">
            <w:pPr>
              <w:pStyle w:val="tabteksts"/>
              <w:rPr>
                <w:rFonts w:eastAsia="Calibri"/>
              </w:rPr>
            </w:pPr>
          </w:p>
        </w:tc>
        <w:tc>
          <w:tcPr>
            <w:tcW w:w="7375" w:type="dxa"/>
            <w:gridSpan w:val="6"/>
            <w:tcBorders>
              <w:bottom w:val="single" w:sz="4" w:space="0" w:color="auto"/>
            </w:tcBorders>
          </w:tcPr>
          <w:p w:rsidR="00252152" w:rsidRPr="00D12FA4" w:rsidRDefault="00252152" w:rsidP="00AF7C6D">
            <w:pPr>
              <w:pStyle w:val="tabteksts"/>
              <w:ind w:firstLine="284"/>
              <w:rPr>
                <w:rFonts w:eastAsia="Calibri"/>
              </w:rPr>
            </w:pPr>
            <w:r w:rsidRPr="00AC0FDF">
              <w:rPr>
                <w:rFonts w:eastAsia="Calibri"/>
              </w:rPr>
              <w:t>Nodrošināta Satversmes tiesas darbība un attīstība, kā arī veicināts dialogs ar sabiedrību.</w:t>
            </w:r>
          </w:p>
        </w:tc>
        <w:tc>
          <w:tcPr>
            <w:tcW w:w="1139" w:type="dxa"/>
            <w:vMerge/>
            <w:tcBorders>
              <w:bottom w:val="single" w:sz="2" w:space="0" w:color="auto"/>
            </w:tcBorders>
          </w:tcPr>
          <w:p w:rsidR="00252152" w:rsidRPr="00BB2102" w:rsidRDefault="00252152" w:rsidP="00AF7C6D">
            <w:pPr>
              <w:pStyle w:val="tabteksts"/>
              <w:ind w:left="284"/>
              <w:rPr>
                <w:rFonts w:eastAsia="Calibri"/>
              </w:rPr>
            </w:pPr>
          </w:p>
        </w:tc>
      </w:tr>
      <w:tr w:rsidR="00252152" w:rsidRPr="00BB2102" w:rsidTr="00AF7C6D">
        <w:trPr>
          <w:trHeight w:val="247"/>
          <w:jc w:val="center"/>
        </w:trPr>
        <w:tc>
          <w:tcPr>
            <w:tcW w:w="558" w:type="dxa"/>
            <w:vMerge/>
          </w:tcPr>
          <w:p w:rsidR="00252152" w:rsidRPr="00BB2102" w:rsidRDefault="00252152" w:rsidP="00AF7C6D">
            <w:pPr>
              <w:pStyle w:val="tabteksts"/>
              <w:rPr>
                <w:rFonts w:eastAsia="Calibri"/>
              </w:rPr>
            </w:pPr>
          </w:p>
        </w:tc>
        <w:tc>
          <w:tcPr>
            <w:tcW w:w="7375" w:type="dxa"/>
            <w:gridSpan w:val="6"/>
          </w:tcPr>
          <w:p w:rsidR="00252152" w:rsidRPr="00F106E5" w:rsidRDefault="00252152" w:rsidP="00AF7C6D">
            <w:pPr>
              <w:pStyle w:val="tabteksts"/>
              <w:rPr>
                <w:rFonts w:eastAsia="Calibri"/>
              </w:rPr>
            </w:pPr>
            <w:r w:rsidRPr="00F106E5">
              <w:rPr>
                <w:rFonts w:eastAsia="Calibri"/>
              </w:rPr>
              <w:t>01.00.00 Tiesa</w:t>
            </w:r>
          </w:p>
        </w:tc>
        <w:tc>
          <w:tcPr>
            <w:tcW w:w="1139" w:type="dxa"/>
            <w:vMerge/>
          </w:tcPr>
          <w:p w:rsidR="00252152" w:rsidRPr="00BB2102" w:rsidRDefault="00252152" w:rsidP="00AF7C6D">
            <w:pPr>
              <w:pStyle w:val="tabteksts"/>
              <w:ind w:left="284"/>
              <w:rPr>
                <w:rFonts w:eastAsia="Calibri"/>
              </w:rPr>
            </w:pPr>
          </w:p>
        </w:tc>
      </w:tr>
      <w:bookmarkEnd w:id="2"/>
      <w:tr w:rsidR="00252152" w:rsidRPr="00A65D45" w:rsidTr="00AF7C6D">
        <w:trPr>
          <w:trHeight w:val="247"/>
          <w:jc w:val="center"/>
        </w:trPr>
        <w:tc>
          <w:tcPr>
            <w:tcW w:w="4673" w:type="dxa"/>
            <w:gridSpan w:val="2"/>
            <w:shd w:val="clear" w:color="auto" w:fill="D9D9D9" w:themeFill="background1" w:themeFillShade="D9"/>
          </w:tcPr>
          <w:p w:rsidR="00252152" w:rsidRPr="00A65D45" w:rsidRDefault="00252152" w:rsidP="00AF7C6D">
            <w:pPr>
              <w:pStyle w:val="tabteksts"/>
              <w:jc w:val="right"/>
              <w:rPr>
                <w:rFonts w:eastAsia="Calibri"/>
                <w:b/>
              </w:rPr>
            </w:pPr>
            <w:r w:rsidRPr="00A65D45">
              <w:rPr>
                <w:rFonts w:eastAsia="Calibri"/>
                <w:b/>
              </w:rPr>
              <w:t>Kopā</w:t>
            </w:r>
          </w:p>
        </w:tc>
        <w:tc>
          <w:tcPr>
            <w:tcW w:w="1134" w:type="dxa"/>
            <w:gridSpan w:val="2"/>
            <w:shd w:val="clear" w:color="auto" w:fill="D9D9D9" w:themeFill="background1" w:themeFillShade="D9"/>
          </w:tcPr>
          <w:p w:rsidR="00252152" w:rsidRPr="00A65D45" w:rsidRDefault="00252152" w:rsidP="00AF7C6D">
            <w:pPr>
              <w:pStyle w:val="tabteksts"/>
              <w:jc w:val="right"/>
              <w:rPr>
                <w:rFonts w:eastAsia="Calibri"/>
                <w:b/>
              </w:rPr>
            </w:pPr>
            <w:r>
              <w:rPr>
                <w:rFonts w:eastAsia="Calibri"/>
                <w:b/>
              </w:rPr>
              <w:t>376 427</w:t>
            </w:r>
          </w:p>
        </w:tc>
        <w:tc>
          <w:tcPr>
            <w:tcW w:w="992" w:type="dxa"/>
            <w:shd w:val="clear" w:color="auto" w:fill="D9D9D9" w:themeFill="background1" w:themeFillShade="D9"/>
          </w:tcPr>
          <w:p w:rsidR="00252152" w:rsidRPr="00A65D45" w:rsidRDefault="00252152" w:rsidP="00AF7C6D">
            <w:pPr>
              <w:pStyle w:val="tabteksts"/>
              <w:jc w:val="right"/>
              <w:rPr>
                <w:rFonts w:eastAsia="Calibri"/>
                <w:b/>
              </w:rPr>
            </w:pPr>
            <w:r>
              <w:rPr>
                <w:rFonts w:eastAsia="Calibri"/>
                <w:b/>
              </w:rPr>
              <w:t>75 041</w:t>
            </w:r>
          </w:p>
        </w:tc>
        <w:tc>
          <w:tcPr>
            <w:tcW w:w="1134" w:type="dxa"/>
            <w:gridSpan w:val="2"/>
            <w:shd w:val="clear" w:color="auto" w:fill="D9D9D9" w:themeFill="background1" w:themeFillShade="D9"/>
          </w:tcPr>
          <w:p w:rsidR="00252152" w:rsidRPr="00A65D45" w:rsidRDefault="00252152" w:rsidP="00AF7C6D">
            <w:pPr>
              <w:pStyle w:val="tabteksts"/>
              <w:jc w:val="right"/>
              <w:rPr>
                <w:rFonts w:eastAsia="Calibri"/>
                <w:b/>
              </w:rPr>
            </w:pPr>
            <w:r>
              <w:rPr>
                <w:rFonts w:eastAsia="Calibri"/>
                <w:b/>
              </w:rPr>
              <w:t>75 041</w:t>
            </w:r>
          </w:p>
        </w:tc>
        <w:tc>
          <w:tcPr>
            <w:tcW w:w="1139" w:type="dxa"/>
            <w:tcBorders>
              <w:bottom w:val="single" w:sz="2" w:space="0" w:color="auto"/>
            </w:tcBorders>
          </w:tcPr>
          <w:p w:rsidR="00252152" w:rsidRPr="00A65D45" w:rsidRDefault="00252152" w:rsidP="00AF7C6D">
            <w:pPr>
              <w:pStyle w:val="tabteksts"/>
              <w:ind w:left="284"/>
              <w:rPr>
                <w:rFonts w:eastAsia="Calibri"/>
              </w:rPr>
            </w:pPr>
            <w:r>
              <w:rPr>
                <w:rFonts w:eastAsia="Calibri"/>
              </w:rPr>
              <w:t>-</w:t>
            </w:r>
          </w:p>
        </w:tc>
      </w:tr>
    </w:tbl>
    <w:p w:rsidR="00252152" w:rsidRPr="00BB2102" w:rsidRDefault="00252152" w:rsidP="00252152">
      <w:pPr>
        <w:ind w:firstLine="0"/>
        <w:rPr>
          <w:lang w:eastAsia="lv-LV"/>
        </w:rPr>
      </w:pPr>
    </w:p>
    <w:p w:rsidR="00252152" w:rsidRDefault="00252152" w:rsidP="00252152">
      <w:pPr>
        <w:pStyle w:val="programmas"/>
        <w:rPr>
          <w:u w:val="single"/>
        </w:rPr>
      </w:pPr>
    </w:p>
    <w:p w:rsidR="00252152" w:rsidRDefault="00252152" w:rsidP="00252152">
      <w:pPr>
        <w:pStyle w:val="programmas"/>
        <w:jc w:val="both"/>
        <w:rPr>
          <w:u w:val="single"/>
        </w:rPr>
      </w:pPr>
    </w:p>
    <w:p w:rsidR="00252152" w:rsidRPr="00853D40" w:rsidRDefault="00EC270C" w:rsidP="00252152">
      <w:pPr>
        <w:pStyle w:val="programmas"/>
        <w:spacing w:before="480" w:after="240"/>
        <w:rPr>
          <w:u w:val="single"/>
        </w:rPr>
      </w:pPr>
      <w:r>
        <w:rPr>
          <w:u w:val="single"/>
        </w:rPr>
        <w:lastRenderedPageBreak/>
        <w:t>Budžeta programmas</w:t>
      </w:r>
      <w:r w:rsidR="00252152">
        <w:rPr>
          <w:u w:val="single"/>
        </w:rPr>
        <w:t xml:space="preserve"> </w:t>
      </w:r>
      <w:r>
        <w:rPr>
          <w:u w:val="single"/>
        </w:rPr>
        <w:t>paskaidrojums</w:t>
      </w:r>
    </w:p>
    <w:p w:rsidR="00252152" w:rsidRPr="00BB2102" w:rsidRDefault="00252152" w:rsidP="00252152">
      <w:pPr>
        <w:pStyle w:val="programmas"/>
        <w:spacing w:after="240"/>
      </w:pPr>
      <w:r>
        <w:t>01.00.00</w:t>
      </w:r>
      <w:r w:rsidRPr="00BB2102">
        <w:t xml:space="preserve"> </w:t>
      </w:r>
      <w:r>
        <w:t>Tiesa</w:t>
      </w:r>
    </w:p>
    <w:p w:rsidR="00252152" w:rsidRDefault="00252152" w:rsidP="00252152">
      <w:pPr>
        <w:spacing w:after="240"/>
        <w:ind w:firstLine="0"/>
        <w:rPr>
          <w:u w:val="single"/>
        </w:rPr>
      </w:pPr>
      <w:r w:rsidRPr="00BB2102">
        <w:rPr>
          <w:u w:val="single"/>
        </w:rPr>
        <w:t>Programmas mērķ</w:t>
      </w:r>
      <w:r>
        <w:rPr>
          <w:u w:val="single"/>
        </w:rPr>
        <w:t>is</w:t>
      </w:r>
      <w:r w:rsidRPr="00BB2102">
        <w:rPr>
          <w:u w:val="single"/>
        </w:rPr>
        <w:t>:</w:t>
      </w:r>
    </w:p>
    <w:p w:rsidR="00252152" w:rsidRPr="0032282E" w:rsidRDefault="00252152" w:rsidP="00252152">
      <w:pPr>
        <w:ind w:firstLine="720"/>
      </w:pPr>
      <w:r w:rsidRPr="0032282E">
        <w:t>Satversmes tiesas darbības nodrošināšana atbilstoši Satversmes 85.</w:t>
      </w:r>
      <w:r>
        <w:t xml:space="preserve"> </w:t>
      </w:r>
      <w:r w:rsidRPr="0032282E">
        <w:t>pantam un Satversmes tiesas likumam</w:t>
      </w:r>
      <w:r>
        <w:t>.</w:t>
      </w:r>
    </w:p>
    <w:p w:rsidR="00252152" w:rsidRDefault="00252152" w:rsidP="00252152">
      <w:pPr>
        <w:ind w:firstLine="0"/>
        <w:rPr>
          <w:u w:val="single"/>
        </w:rPr>
      </w:pPr>
      <w:r w:rsidRPr="00BB2102">
        <w:rPr>
          <w:u w:val="single"/>
        </w:rPr>
        <w:t>Galvenās aktivitātes:</w:t>
      </w:r>
    </w:p>
    <w:p w:rsidR="00252152" w:rsidRPr="0032282E" w:rsidRDefault="00252152" w:rsidP="00252152">
      <w:pPr>
        <w:ind w:left="1077" w:hanging="357"/>
      </w:pPr>
      <w:r>
        <w:t xml:space="preserve">tiesas spriešana </w:t>
      </w:r>
      <w:r w:rsidRPr="0032282E">
        <w:t>un tās atbalsts.</w:t>
      </w:r>
    </w:p>
    <w:p w:rsidR="00252152" w:rsidRPr="00853D40" w:rsidRDefault="00252152" w:rsidP="00252152">
      <w:pPr>
        <w:ind w:firstLine="0"/>
      </w:pPr>
      <w:r w:rsidRPr="00BB2102">
        <w:rPr>
          <w:u w:val="single"/>
        </w:rPr>
        <w:t>Programmas izpildītājs</w:t>
      </w:r>
      <w:r w:rsidRPr="00BB2102">
        <w:t xml:space="preserve">: </w:t>
      </w:r>
      <w:r>
        <w:t>Satversmes tiesa</w:t>
      </w:r>
      <w:r w:rsidRPr="00BB2102">
        <w:t>.</w:t>
      </w:r>
    </w:p>
    <w:p w:rsidR="00252152" w:rsidRPr="00BB2102" w:rsidRDefault="00252152" w:rsidP="00252152">
      <w:pPr>
        <w:pStyle w:val="Tabuluvirsraksti"/>
        <w:spacing w:before="240"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4"/>
        <w:gridCol w:w="1086"/>
        <w:gridCol w:w="1086"/>
        <w:gridCol w:w="1086"/>
        <w:gridCol w:w="1053"/>
        <w:gridCol w:w="1096"/>
      </w:tblGrid>
      <w:tr w:rsidR="00252152" w:rsidRPr="00853D40" w:rsidTr="00EC270C">
        <w:trPr>
          <w:tblHeader/>
          <w:jc w:val="center"/>
        </w:trPr>
        <w:tc>
          <w:tcPr>
            <w:tcW w:w="2017" w:type="pct"/>
          </w:tcPr>
          <w:p w:rsidR="00252152" w:rsidRPr="00853D40" w:rsidRDefault="00252152" w:rsidP="00AF7C6D">
            <w:pPr>
              <w:pStyle w:val="tabteksts"/>
              <w:jc w:val="center"/>
              <w:rPr>
                <w:szCs w:val="18"/>
              </w:rPr>
            </w:pPr>
          </w:p>
        </w:tc>
        <w:tc>
          <w:tcPr>
            <w:tcW w:w="599" w:type="pct"/>
          </w:tcPr>
          <w:p w:rsidR="00252152" w:rsidRPr="00853D40" w:rsidRDefault="00252152" w:rsidP="00AF7C6D">
            <w:pPr>
              <w:pStyle w:val="tabteksts"/>
              <w:jc w:val="center"/>
              <w:rPr>
                <w:szCs w:val="18"/>
                <w:lang w:eastAsia="lv-LV"/>
              </w:rPr>
            </w:pPr>
            <w:r w:rsidRPr="00853D40">
              <w:rPr>
                <w:szCs w:val="18"/>
                <w:lang w:eastAsia="lv-LV"/>
              </w:rPr>
              <w:t>2019. gads (izpilde)</w:t>
            </w:r>
          </w:p>
        </w:tc>
        <w:tc>
          <w:tcPr>
            <w:tcW w:w="599" w:type="pct"/>
            <w:vAlign w:val="center"/>
          </w:tcPr>
          <w:p w:rsidR="00252152" w:rsidRPr="00853D40" w:rsidRDefault="00252152" w:rsidP="00AF7C6D">
            <w:pPr>
              <w:pStyle w:val="tabteksts"/>
              <w:jc w:val="center"/>
              <w:rPr>
                <w:szCs w:val="18"/>
                <w:lang w:eastAsia="lv-LV"/>
              </w:rPr>
            </w:pPr>
            <w:r w:rsidRPr="00853D40">
              <w:rPr>
                <w:szCs w:val="18"/>
                <w:lang w:eastAsia="lv-LV"/>
              </w:rPr>
              <w:t>2020. gada plāns</w:t>
            </w:r>
          </w:p>
        </w:tc>
        <w:tc>
          <w:tcPr>
            <w:tcW w:w="599" w:type="pct"/>
          </w:tcPr>
          <w:p w:rsidR="00252152" w:rsidRPr="00853D40" w:rsidRDefault="00252152" w:rsidP="00AF7C6D">
            <w:pPr>
              <w:pStyle w:val="tabteksts"/>
              <w:jc w:val="center"/>
              <w:rPr>
                <w:szCs w:val="18"/>
                <w:lang w:eastAsia="lv-LV"/>
              </w:rPr>
            </w:pPr>
            <w:r w:rsidRPr="00853D40">
              <w:rPr>
                <w:szCs w:val="18"/>
                <w:lang w:eastAsia="lv-LV"/>
              </w:rPr>
              <w:t>2021. gada projekts</w:t>
            </w:r>
          </w:p>
        </w:tc>
        <w:tc>
          <w:tcPr>
            <w:tcW w:w="581" w:type="pct"/>
          </w:tcPr>
          <w:p w:rsidR="00252152" w:rsidRPr="00853D40" w:rsidRDefault="00252152" w:rsidP="00AF7C6D">
            <w:pPr>
              <w:pStyle w:val="tabteksts"/>
              <w:jc w:val="center"/>
              <w:rPr>
                <w:szCs w:val="18"/>
                <w:lang w:eastAsia="lv-LV"/>
              </w:rPr>
            </w:pPr>
            <w:r w:rsidRPr="00853D40">
              <w:rPr>
                <w:szCs w:val="18"/>
                <w:lang w:eastAsia="lv-LV"/>
              </w:rPr>
              <w:t>2022. gada prognoze</w:t>
            </w:r>
          </w:p>
        </w:tc>
        <w:tc>
          <w:tcPr>
            <w:tcW w:w="605" w:type="pct"/>
          </w:tcPr>
          <w:p w:rsidR="00252152" w:rsidRPr="00853D40" w:rsidRDefault="00252152" w:rsidP="00AF7C6D">
            <w:pPr>
              <w:pStyle w:val="tabteksts"/>
              <w:jc w:val="center"/>
              <w:rPr>
                <w:szCs w:val="18"/>
                <w:lang w:eastAsia="lv-LV"/>
              </w:rPr>
            </w:pPr>
            <w:r w:rsidRPr="00853D40">
              <w:rPr>
                <w:szCs w:val="18"/>
                <w:lang w:eastAsia="lv-LV"/>
              </w:rPr>
              <w:t>2023. gada prognoze</w:t>
            </w:r>
          </w:p>
        </w:tc>
      </w:tr>
      <w:tr w:rsidR="00252152" w:rsidRPr="00853D40" w:rsidTr="00EC270C">
        <w:trPr>
          <w:jc w:val="center"/>
        </w:trPr>
        <w:tc>
          <w:tcPr>
            <w:tcW w:w="5000" w:type="pct"/>
            <w:gridSpan w:val="6"/>
            <w:shd w:val="clear" w:color="auto" w:fill="D9D9D9" w:themeFill="background1" w:themeFillShade="D9"/>
            <w:vAlign w:val="center"/>
          </w:tcPr>
          <w:p w:rsidR="00252152" w:rsidRPr="00853D40" w:rsidRDefault="00252152" w:rsidP="00AF7C6D">
            <w:pPr>
              <w:pStyle w:val="tabteksts"/>
              <w:jc w:val="center"/>
              <w:rPr>
                <w:szCs w:val="18"/>
              </w:rPr>
            </w:pPr>
            <w:r w:rsidRPr="00853D40">
              <w:rPr>
                <w:szCs w:val="18"/>
                <w:lang w:eastAsia="lv-LV"/>
              </w:rPr>
              <w:t>Tiesas nolēmumu īpatsvars, kas pieņemts likumā noteiktajā termiņā</w:t>
            </w:r>
          </w:p>
        </w:tc>
      </w:tr>
      <w:tr w:rsidR="00252152" w:rsidRPr="00853D40" w:rsidTr="00EC270C">
        <w:trPr>
          <w:jc w:val="center"/>
        </w:trPr>
        <w:tc>
          <w:tcPr>
            <w:tcW w:w="2017" w:type="pct"/>
            <w:vAlign w:val="center"/>
          </w:tcPr>
          <w:p w:rsidR="00252152" w:rsidRPr="00853D40" w:rsidRDefault="00252152" w:rsidP="00EC270C">
            <w:pPr>
              <w:pStyle w:val="tabteksts"/>
              <w:jc w:val="both"/>
              <w:rPr>
                <w:szCs w:val="18"/>
              </w:rPr>
            </w:pPr>
            <w:r w:rsidRPr="00853D40">
              <w:rPr>
                <w:szCs w:val="18"/>
                <w:lang w:eastAsia="lv-LV"/>
              </w:rPr>
              <w:t>Tiesas nolēmumu īpatsvars, kas pieņemts likumā noteiktajā termiņā (%)</w:t>
            </w:r>
          </w:p>
        </w:tc>
        <w:tc>
          <w:tcPr>
            <w:tcW w:w="599" w:type="pct"/>
          </w:tcPr>
          <w:p w:rsidR="00252152" w:rsidRPr="00853D40" w:rsidRDefault="00252152" w:rsidP="00AF7C6D">
            <w:pPr>
              <w:pStyle w:val="tabteksts"/>
              <w:jc w:val="center"/>
              <w:rPr>
                <w:szCs w:val="18"/>
              </w:rPr>
            </w:pPr>
            <w:r w:rsidRPr="00853D40">
              <w:rPr>
                <w:szCs w:val="18"/>
              </w:rPr>
              <w:t>100</w:t>
            </w:r>
          </w:p>
        </w:tc>
        <w:tc>
          <w:tcPr>
            <w:tcW w:w="599" w:type="pct"/>
          </w:tcPr>
          <w:p w:rsidR="00252152" w:rsidRPr="00853D40" w:rsidRDefault="00252152" w:rsidP="00AF7C6D">
            <w:pPr>
              <w:pStyle w:val="tabteksts"/>
              <w:jc w:val="center"/>
              <w:rPr>
                <w:szCs w:val="18"/>
              </w:rPr>
            </w:pPr>
            <w:r w:rsidRPr="00853D40">
              <w:rPr>
                <w:szCs w:val="18"/>
              </w:rPr>
              <w:t>100</w:t>
            </w:r>
          </w:p>
        </w:tc>
        <w:tc>
          <w:tcPr>
            <w:tcW w:w="599" w:type="pct"/>
          </w:tcPr>
          <w:p w:rsidR="00252152" w:rsidRPr="00853D40" w:rsidRDefault="00252152" w:rsidP="00AF7C6D">
            <w:pPr>
              <w:pStyle w:val="tabteksts"/>
              <w:jc w:val="center"/>
              <w:rPr>
                <w:szCs w:val="18"/>
              </w:rPr>
            </w:pPr>
            <w:r w:rsidRPr="00853D40">
              <w:rPr>
                <w:szCs w:val="18"/>
              </w:rPr>
              <w:t>100</w:t>
            </w:r>
          </w:p>
        </w:tc>
        <w:tc>
          <w:tcPr>
            <w:tcW w:w="581" w:type="pct"/>
          </w:tcPr>
          <w:p w:rsidR="00252152" w:rsidRPr="00853D40" w:rsidRDefault="00252152" w:rsidP="00AF7C6D">
            <w:pPr>
              <w:pStyle w:val="tabteksts"/>
              <w:jc w:val="center"/>
              <w:rPr>
                <w:szCs w:val="18"/>
              </w:rPr>
            </w:pPr>
            <w:r w:rsidRPr="00853D40">
              <w:rPr>
                <w:szCs w:val="18"/>
              </w:rPr>
              <w:t>100</w:t>
            </w:r>
          </w:p>
        </w:tc>
        <w:tc>
          <w:tcPr>
            <w:tcW w:w="605" w:type="pct"/>
          </w:tcPr>
          <w:p w:rsidR="00252152" w:rsidRPr="00853D40" w:rsidRDefault="00252152" w:rsidP="00AF7C6D">
            <w:pPr>
              <w:pStyle w:val="tabteksts"/>
              <w:jc w:val="center"/>
              <w:rPr>
                <w:szCs w:val="18"/>
              </w:rPr>
            </w:pPr>
            <w:r w:rsidRPr="00853D40">
              <w:rPr>
                <w:szCs w:val="18"/>
              </w:rPr>
              <w:t>100</w:t>
            </w:r>
          </w:p>
        </w:tc>
      </w:tr>
    </w:tbl>
    <w:p w:rsidR="00252152" w:rsidRPr="00BB2102" w:rsidRDefault="00252152" w:rsidP="00252152">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52152" w:rsidRPr="00853D40" w:rsidTr="00AF7C6D">
        <w:trPr>
          <w:trHeight w:val="283"/>
          <w:tblHeader/>
          <w:jc w:val="center"/>
        </w:trPr>
        <w:tc>
          <w:tcPr>
            <w:tcW w:w="3378" w:type="dxa"/>
            <w:vAlign w:val="center"/>
          </w:tcPr>
          <w:p w:rsidR="00252152" w:rsidRPr="00853D40" w:rsidRDefault="00252152" w:rsidP="00AF7C6D">
            <w:pPr>
              <w:pStyle w:val="tabteksts"/>
              <w:jc w:val="center"/>
              <w:rPr>
                <w:szCs w:val="18"/>
              </w:rPr>
            </w:pPr>
          </w:p>
        </w:tc>
        <w:tc>
          <w:tcPr>
            <w:tcW w:w="1131" w:type="dxa"/>
          </w:tcPr>
          <w:p w:rsidR="00252152" w:rsidRPr="00853D40" w:rsidRDefault="00252152" w:rsidP="00AF7C6D">
            <w:pPr>
              <w:pStyle w:val="tabteksts"/>
              <w:jc w:val="center"/>
              <w:rPr>
                <w:szCs w:val="18"/>
                <w:lang w:eastAsia="lv-LV"/>
              </w:rPr>
            </w:pPr>
            <w:r w:rsidRPr="00853D40">
              <w:rPr>
                <w:szCs w:val="18"/>
                <w:lang w:eastAsia="lv-LV"/>
              </w:rPr>
              <w:t>2019. gads (izpilde)</w:t>
            </w:r>
          </w:p>
        </w:tc>
        <w:tc>
          <w:tcPr>
            <w:tcW w:w="1132" w:type="dxa"/>
            <w:vAlign w:val="center"/>
          </w:tcPr>
          <w:p w:rsidR="00252152" w:rsidRPr="00853D40" w:rsidRDefault="00252152" w:rsidP="00AF7C6D">
            <w:pPr>
              <w:pStyle w:val="tabteksts"/>
              <w:jc w:val="center"/>
              <w:rPr>
                <w:szCs w:val="18"/>
                <w:lang w:eastAsia="lv-LV"/>
              </w:rPr>
            </w:pPr>
            <w:r w:rsidRPr="00853D40">
              <w:rPr>
                <w:szCs w:val="18"/>
                <w:lang w:eastAsia="lv-LV"/>
              </w:rPr>
              <w:t>2020. gada plāns</w:t>
            </w:r>
          </w:p>
        </w:tc>
        <w:tc>
          <w:tcPr>
            <w:tcW w:w="1132" w:type="dxa"/>
          </w:tcPr>
          <w:p w:rsidR="00252152" w:rsidRPr="00853D40" w:rsidRDefault="00252152" w:rsidP="00AF7C6D">
            <w:pPr>
              <w:pStyle w:val="tabteksts"/>
              <w:jc w:val="center"/>
              <w:rPr>
                <w:szCs w:val="18"/>
                <w:lang w:eastAsia="lv-LV"/>
              </w:rPr>
            </w:pPr>
            <w:r w:rsidRPr="00853D40">
              <w:rPr>
                <w:szCs w:val="18"/>
                <w:lang w:eastAsia="lv-LV"/>
              </w:rPr>
              <w:t>2021. gada projekts</w:t>
            </w:r>
          </w:p>
        </w:tc>
        <w:tc>
          <w:tcPr>
            <w:tcW w:w="1132" w:type="dxa"/>
          </w:tcPr>
          <w:p w:rsidR="00252152" w:rsidRPr="00853D40" w:rsidRDefault="00252152" w:rsidP="00AF7C6D">
            <w:pPr>
              <w:pStyle w:val="tabteksts"/>
              <w:jc w:val="center"/>
              <w:rPr>
                <w:szCs w:val="18"/>
                <w:lang w:eastAsia="lv-LV"/>
              </w:rPr>
            </w:pPr>
            <w:r w:rsidRPr="00853D40">
              <w:rPr>
                <w:szCs w:val="18"/>
                <w:lang w:eastAsia="lv-LV"/>
              </w:rPr>
              <w:t>2022. gada prognoze</w:t>
            </w:r>
          </w:p>
        </w:tc>
        <w:tc>
          <w:tcPr>
            <w:tcW w:w="1132" w:type="dxa"/>
          </w:tcPr>
          <w:p w:rsidR="00252152" w:rsidRPr="00853D40" w:rsidRDefault="00252152" w:rsidP="00AF7C6D">
            <w:pPr>
              <w:pStyle w:val="tabteksts"/>
              <w:jc w:val="center"/>
              <w:rPr>
                <w:szCs w:val="18"/>
                <w:lang w:eastAsia="lv-LV"/>
              </w:rPr>
            </w:pPr>
            <w:r w:rsidRPr="00853D40">
              <w:rPr>
                <w:szCs w:val="18"/>
                <w:lang w:eastAsia="lv-LV"/>
              </w:rPr>
              <w:t>2023. gada prognoze</w:t>
            </w:r>
          </w:p>
        </w:tc>
      </w:tr>
      <w:tr w:rsidR="00252152" w:rsidRPr="00853D40" w:rsidTr="00AF7C6D">
        <w:trPr>
          <w:trHeight w:val="142"/>
          <w:jc w:val="center"/>
        </w:trPr>
        <w:tc>
          <w:tcPr>
            <w:tcW w:w="3378" w:type="dxa"/>
            <w:shd w:val="clear" w:color="auto" w:fill="D9D9D9" w:themeFill="background1" w:themeFillShade="D9"/>
            <w:vAlign w:val="center"/>
          </w:tcPr>
          <w:p w:rsidR="00252152" w:rsidRPr="00853D40" w:rsidRDefault="00252152" w:rsidP="00AF7C6D">
            <w:pPr>
              <w:pStyle w:val="tabteksts"/>
              <w:rPr>
                <w:szCs w:val="18"/>
                <w:lang w:eastAsia="lv-LV"/>
              </w:rPr>
            </w:pPr>
            <w:r w:rsidRPr="00853D40">
              <w:rPr>
                <w:szCs w:val="18"/>
                <w:lang w:eastAsia="lv-LV"/>
              </w:rPr>
              <w:t>Kopējie izdevumi,</w:t>
            </w:r>
            <w:r w:rsidRPr="00853D40">
              <w:rPr>
                <w:szCs w:val="18"/>
              </w:rPr>
              <w:t xml:space="preserve"> </w:t>
            </w:r>
            <w:r w:rsidRPr="00853D40">
              <w:rPr>
                <w:i/>
                <w:szCs w:val="18"/>
              </w:rPr>
              <w:t>euro</w:t>
            </w:r>
          </w:p>
        </w:tc>
        <w:tc>
          <w:tcPr>
            <w:tcW w:w="1131" w:type="dxa"/>
            <w:shd w:val="clear" w:color="auto" w:fill="D9D9D9" w:themeFill="background1" w:themeFillShade="D9"/>
          </w:tcPr>
          <w:p w:rsidR="00252152" w:rsidRPr="00853D40" w:rsidRDefault="00252152" w:rsidP="00AF7C6D">
            <w:pPr>
              <w:pStyle w:val="tabteksts"/>
              <w:jc w:val="right"/>
              <w:rPr>
                <w:szCs w:val="18"/>
              </w:rPr>
            </w:pPr>
            <w:r w:rsidRPr="00853D40">
              <w:rPr>
                <w:b/>
                <w:bCs/>
                <w:szCs w:val="18"/>
              </w:rPr>
              <w:t>2 232 286</w:t>
            </w:r>
          </w:p>
        </w:tc>
        <w:tc>
          <w:tcPr>
            <w:tcW w:w="1132" w:type="dxa"/>
            <w:shd w:val="clear" w:color="auto" w:fill="D9D9D9" w:themeFill="background1" w:themeFillShade="D9"/>
          </w:tcPr>
          <w:p w:rsidR="00252152" w:rsidRPr="00853D40" w:rsidRDefault="00252152" w:rsidP="00AF7C6D">
            <w:pPr>
              <w:pStyle w:val="tabteksts"/>
              <w:jc w:val="right"/>
              <w:rPr>
                <w:szCs w:val="18"/>
              </w:rPr>
            </w:pPr>
            <w:r w:rsidRPr="00853D40">
              <w:rPr>
                <w:b/>
                <w:bCs/>
                <w:szCs w:val="18"/>
              </w:rPr>
              <w:t>2 908 898</w:t>
            </w:r>
          </w:p>
        </w:tc>
        <w:tc>
          <w:tcPr>
            <w:tcW w:w="1132" w:type="dxa"/>
            <w:shd w:val="clear" w:color="auto" w:fill="D9D9D9" w:themeFill="background1" w:themeFillShade="D9"/>
          </w:tcPr>
          <w:p w:rsidR="00252152" w:rsidRPr="00853D40" w:rsidRDefault="00252152" w:rsidP="00AF7C6D">
            <w:pPr>
              <w:pStyle w:val="tabteksts"/>
              <w:jc w:val="right"/>
              <w:rPr>
                <w:szCs w:val="18"/>
              </w:rPr>
            </w:pPr>
            <w:r w:rsidRPr="00853D40">
              <w:rPr>
                <w:b/>
                <w:szCs w:val="18"/>
                <w:highlight w:val="lightGray"/>
              </w:rPr>
              <w:t>3 608 844</w:t>
            </w:r>
          </w:p>
        </w:tc>
        <w:tc>
          <w:tcPr>
            <w:tcW w:w="1132" w:type="dxa"/>
            <w:shd w:val="clear" w:color="auto" w:fill="D9D9D9" w:themeFill="background1" w:themeFillShade="D9"/>
          </w:tcPr>
          <w:p w:rsidR="00252152" w:rsidRPr="00853D40" w:rsidRDefault="00252152" w:rsidP="00AF7C6D">
            <w:pPr>
              <w:pStyle w:val="tabteksts"/>
              <w:jc w:val="right"/>
              <w:rPr>
                <w:szCs w:val="18"/>
              </w:rPr>
            </w:pPr>
            <w:r w:rsidRPr="00853D40">
              <w:rPr>
                <w:b/>
                <w:szCs w:val="18"/>
                <w:highlight w:val="lightGray"/>
              </w:rPr>
              <w:t>2 953 947</w:t>
            </w:r>
          </w:p>
        </w:tc>
        <w:tc>
          <w:tcPr>
            <w:tcW w:w="1132" w:type="dxa"/>
            <w:shd w:val="clear" w:color="auto" w:fill="D9D9D9" w:themeFill="background1" w:themeFillShade="D9"/>
          </w:tcPr>
          <w:p w:rsidR="00252152" w:rsidRPr="00853D40" w:rsidRDefault="00252152" w:rsidP="00AF7C6D">
            <w:pPr>
              <w:pStyle w:val="tabteksts"/>
              <w:jc w:val="right"/>
              <w:rPr>
                <w:szCs w:val="18"/>
              </w:rPr>
            </w:pPr>
            <w:r w:rsidRPr="00853D40">
              <w:rPr>
                <w:b/>
                <w:szCs w:val="18"/>
                <w:highlight w:val="lightGray"/>
              </w:rPr>
              <w:t>2 953 947</w:t>
            </w:r>
          </w:p>
        </w:tc>
      </w:tr>
      <w:tr w:rsidR="00252152" w:rsidRPr="00853D40" w:rsidTr="00AF7C6D">
        <w:trPr>
          <w:trHeight w:val="283"/>
          <w:jc w:val="center"/>
        </w:trPr>
        <w:tc>
          <w:tcPr>
            <w:tcW w:w="3378" w:type="dxa"/>
            <w:vAlign w:val="center"/>
          </w:tcPr>
          <w:p w:rsidR="00252152" w:rsidRPr="00853D40" w:rsidRDefault="00252152" w:rsidP="00AF7C6D">
            <w:pPr>
              <w:pStyle w:val="tabteksts"/>
              <w:rPr>
                <w:szCs w:val="18"/>
                <w:lang w:eastAsia="lv-LV"/>
              </w:rPr>
            </w:pPr>
            <w:r w:rsidRPr="00853D40">
              <w:rPr>
                <w:szCs w:val="18"/>
                <w:lang w:eastAsia="lv-LV"/>
              </w:rPr>
              <w:t xml:space="preserve">Kopējo izdevumu izmaiņas, </w:t>
            </w:r>
            <w:r w:rsidRPr="00853D40">
              <w:rPr>
                <w:i/>
                <w:szCs w:val="18"/>
                <w:lang w:eastAsia="lv-LV"/>
              </w:rPr>
              <w:t>euro</w:t>
            </w:r>
            <w:r w:rsidRPr="00853D40">
              <w:rPr>
                <w:szCs w:val="18"/>
                <w:lang w:eastAsia="lv-LV"/>
              </w:rPr>
              <w:t xml:space="preserve"> (+/–) pret iepriekšējo gadu</w:t>
            </w:r>
          </w:p>
        </w:tc>
        <w:tc>
          <w:tcPr>
            <w:tcW w:w="1131" w:type="dxa"/>
          </w:tcPr>
          <w:p w:rsidR="00252152" w:rsidRPr="00853D40" w:rsidRDefault="00252152" w:rsidP="00AF7C6D">
            <w:pPr>
              <w:pStyle w:val="tabteksts"/>
              <w:jc w:val="center"/>
              <w:rPr>
                <w:szCs w:val="18"/>
              </w:rPr>
            </w:pPr>
            <w:r w:rsidRPr="00853D40">
              <w:rPr>
                <w:b/>
                <w:bCs/>
                <w:szCs w:val="18"/>
              </w:rPr>
              <w:t>×</w:t>
            </w:r>
          </w:p>
        </w:tc>
        <w:tc>
          <w:tcPr>
            <w:tcW w:w="1132" w:type="dxa"/>
            <w:vAlign w:val="center"/>
          </w:tcPr>
          <w:p w:rsidR="00252152" w:rsidRPr="00853D40" w:rsidRDefault="00252152" w:rsidP="00AF7C6D">
            <w:pPr>
              <w:pStyle w:val="tabteksts"/>
              <w:jc w:val="right"/>
              <w:rPr>
                <w:szCs w:val="18"/>
              </w:rPr>
            </w:pPr>
            <w:r w:rsidRPr="00853D40">
              <w:rPr>
                <w:color w:val="000000"/>
                <w:szCs w:val="18"/>
              </w:rPr>
              <w:t>676 612</w:t>
            </w:r>
          </w:p>
        </w:tc>
        <w:tc>
          <w:tcPr>
            <w:tcW w:w="1132" w:type="dxa"/>
            <w:vAlign w:val="center"/>
          </w:tcPr>
          <w:p w:rsidR="00252152" w:rsidRPr="00853D40" w:rsidRDefault="00252152" w:rsidP="00AF7C6D">
            <w:pPr>
              <w:pStyle w:val="tabteksts"/>
              <w:jc w:val="right"/>
              <w:rPr>
                <w:szCs w:val="18"/>
              </w:rPr>
            </w:pPr>
            <w:r w:rsidRPr="00853D40">
              <w:rPr>
                <w:color w:val="000000"/>
                <w:szCs w:val="18"/>
              </w:rPr>
              <w:t>699 946</w:t>
            </w:r>
          </w:p>
        </w:tc>
        <w:tc>
          <w:tcPr>
            <w:tcW w:w="1132" w:type="dxa"/>
            <w:vAlign w:val="center"/>
          </w:tcPr>
          <w:p w:rsidR="00252152" w:rsidRPr="00853D40" w:rsidRDefault="00252152" w:rsidP="00AF7C6D">
            <w:pPr>
              <w:pStyle w:val="tabteksts"/>
              <w:jc w:val="right"/>
              <w:rPr>
                <w:szCs w:val="18"/>
              </w:rPr>
            </w:pPr>
            <w:r w:rsidRPr="00853D40">
              <w:rPr>
                <w:color w:val="000000"/>
                <w:szCs w:val="18"/>
              </w:rPr>
              <w:t>-654 897</w:t>
            </w:r>
          </w:p>
        </w:tc>
        <w:tc>
          <w:tcPr>
            <w:tcW w:w="1132" w:type="dxa"/>
          </w:tcPr>
          <w:p w:rsidR="00252152" w:rsidRPr="00853D40" w:rsidRDefault="00252152" w:rsidP="00AF7C6D">
            <w:pPr>
              <w:pStyle w:val="tabteksts"/>
              <w:jc w:val="center"/>
              <w:rPr>
                <w:szCs w:val="18"/>
              </w:rPr>
            </w:pPr>
            <w:r w:rsidRPr="00853D40">
              <w:rPr>
                <w:szCs w:val="18"/>
              </w:rPr>
              <w:t>-</w:t>
            </w:r>
          </w:p>
        </w:tc>
      </w:tr>
      <w:tr w:rsidR="00252152" w:rsidRPr="00853D40" w:rsidTr="00AF7C6D">
        <w:trPr>
          <w:trHeight w:val="283"/>
          <w:jc w:val="center"/>
        </w:trPr>
        <w:tc>
          <w:tcPr>
            <w:tcW w:w="3378" w:type="dxa"/>
            <w:vAlign w:val="center"/>
          </w:tcPr>
          <w:p w:rsidR="00252152" w:rsidRPr="00853D40" w:rsidRDefault="00252152" w:rsidP="00AF7C6D">
            <w:pPr>
              <w:pStyle w:val="tabteksts"/>
              <w:rPr>
                <w:szCs w:val="18"/>
              </w:rPr>
            </w:pPr>
            <w:r w:rsidRPr="00853D40">
              <w:rPr>
                <w:szCs w:val="18"/>
                <w:lang w:eastAsia="lv-LV"/>
              </w:rPr>
              <w:t>Kopējie izdevumi</w:t>
            </w:r>
            <w:r w:rsidRPr="00853D40">
              <w:rPr>
                <w:szCs w:val="18"/>
              </w:rPr>
              <w:t>, % (+/–) pret iepriekšējo gadu</w:t>
            </w:r>
          </w:p>
        </w:tc>
        <w:tc>
          <w:tcPr>
            <w:tcW w:w="1131" w:type="dxa"/>
          </w:tcPr>
          <w:p w:rsidR="00252152" w:rsidRPr="00853D40" w:rsidRDefault="00252152" w:rsidP="00AF7C6D">
            <w:pPr>
              <w:pStyle w:val="tabteksts"/>
              <w:jc w:val="center"/>
              <w:rPr>
                <w:szCs w:val="18"/>
              </w:rPr>
            </w:pPr>
            <w:r w:rsidRPr="00853D40">
              <w:rPr>
                <w:b/>
                <w:bCs/>
                <w:szCs w:val="18"/>
              </w:rPr>
              <w:t>×</w:t>
            </w:r>
          </w:p>
        </w:tc>
        <w:tc>
          <w:tcPr>
            <w:tcW w:w="1132" w:type="dxa"/>
          </w:tcPr>
          <w:p w:rsidR="00252152" w:rsidRPr="00853D40" w:rsidRDefault="00252152" w:rsidP="00AF7C6D">
            <w:pPr>
              <w:pStyle w:val="tabteksts"/>
              <w:jc w:val="right"/>
              <w:rPr>
                <w:szCs w:val="18"/>
              </w:rPr>
            </w:pPr>
            <w:r w:rsidRPr="00853D40">
              <w:rPr>
                <w:szCs w:val="18"/>
              </w:rPr>
              <w:t>30,3%</w:t>
            </w:r>
          </w:p>
        </w:tc>
        <w:tc>
          <w:tcPr>
            <w:tcW w:w="1132" w:type="dxa"/>
          </w:tcPr>
          <w:p w:rsidR="00252152" w:rsidRPr="00853D40" w:rsidRDefault="00252152" w:rsidP="00AF7C6D">
            <w:pPr>
              <w:pStyle w:val="tabteksts"/>
              <w:jc w:val="right"/>
              <w:rPr>
                <w:szCs w:val="18"/>
              </w:rPr>
            </w:pPr>
            <w:r w:rsidRPr="00853D40">
              <w:rPr>
                <w:szCs w:val="18"/>
              </w:rPr>
              <w:t>24,1%</w:t>
            </w:r>
          </w:p>
        </w:tc>
        <w:tc>
          <w:tcPr>
            <w:tcW w:w="1132" w:type="dxa"/>
          </w:tcPr>
          <w:p w:rsidR="00252152" w:rsidRPr="00853D40" w:rsidRDefault="00252152" w:rsidP="00AF7C6D">
            <w:pPr>
              <w:pStyle w:val="tabteksts"/>
              <w:jc w:val="right"/>
              <w:rPr>
                <w:szCs w:val="18"/>
              </w:rPr>
            </w:pPr>
            <w:r w:rsidRPr="00853D40">
              <w:rPr>
                <w:szCs w:val="18"/>
              </w:rPr>
              <w:t>-18,1%</w:t>
            </w:r>
          </w:p>
        </w:tc>
        <w:tc>
          <w:tcPr>
            <w:tcW w:w="1132" w:type="dxa"/>
          </w:tcPr>
          <w:p w:rsidR="00252152" w:rsidRPr="00853D40" w:rsidRDefault="00252152" w:rsidP="00AF7C6D">
            <w:pPr>
              <w:pStyle w:val="tabteksts"/>
              <w:jc w:val="center"/>
              <w:rPr>
                <w:szCs w:val="18"/>
              </w:rPr>
            </w:pPr>
            <w:r w:rsidRPr="00853D40">
              <w:rPr>
                <w:szCs w:val="18"/>
              </w:rPr>
              <w:t>-</w:t>
            </w:r>
          </w:p>
        </w:tc>
      </w:tr>
      <w:tr w:rsidR="00252152" w:rsidRPr="00853D40" w:rsidTr="00AF7C6D">
        <w:trPr>
          <w:trHeight w:val="142"/>
          <w:jc w:val="center"/>
        </w:trPr>
        <w:tc>
          <w:tcPr>
            <w:tcW w:w="3378" w:type="dxa"/>
          </w:tcPr>
          <w:p w:rsidR="00252152" w:rsidRPr="00853D40" w:rsidRDefault="00252152" w:rsidP="00AF7C6D">
            <w:pPr>
              <w:pStyle w:val="tabteksts"/>
              <w:rPr>
                <w:color w:val="000000" w:themeColor="text1"/>
                <w:szCs w:val="18"/>
                <w:lang w:eastAsia="lv-LV"/>
              </w:rPr>
            </w:pPr>
            <w:r w:rsidRPr="00853D40">
              <w:rPr>
                <w:color w:val="000000" w:themeColor="text1"/>
                <w:szCs w:val="18"/>
              </w:rPr>
              <w:t xml:space="preserve">Atlīdzība, </w:t>
            </w:r>
            <w:r w:rsidRPr="00853D40">
              <w:rPr>
                <w:i/>
                <w:szCs w:val="18"/>
              </w:rPr>
              <w:t>euro</w:t>
            </w:r>
          </w:p>
        </w:tc>
        <w:tc>
          <w:tcPr>
            <w:tcW w:w="1131" w:type="dxa"/>
          </w:tcPr>
          <w:p w:rsidR="00252152" w:rsidRPr="00853D40" w:rsidRDefault="00252152" w:rsidP="00AF7C6D">
            <w:pPr>
              <w:pStyle w:val="tabteksts"/>
              <w:jc w:val="right"/>
              <w:rPr>
                <w:szCs w:val="18"/>
              </w:rPr>
            </w:pPr>
            <w:r w:rsidRPr="00853D40">
              <w:rPr>
                <w:szCs w:val="18"/>
              </w:rPr>
              <w:t>1 425 682</w:t>
            </w:r>
          </w:p>
        </w:tc>
        <w:tc>
          <w:tcPr>
            <w:tcW w:w="1132" w:type="dxa"/>
          </w:tcPr>
          <w:p w:rsidR="00252152" w:rsidRPr="00853D40" w:rsidRDefault="00252152" w:rsidP="00AF7C6D">
            <w:pPr>
              <w:pStyle w:val="tabteksts"/>
              <w:jc w:val="right"/>
              <w:rPr>
                <w:szCs w:val="18"/>
              </w:rPr>
            </w:pPr>
            <w:r w:rsidRPr="00853D40">
              <w:rPr>
                <w:szCs w:val="18"/>
              </w:rPr>
              <w:t>2 154 259</w:t>
            </w:r>
          </w:p>
        </w:tc>
        <w:tc>
          <w:tcPr>
            <w:tcW w:w="1132" w:type="dxa"/>
          </w:tcPr>
          <w:p w:rsidR="00252152" w:rsidRPr="00853D40" w:rsidRDefault="00252152" w:rsidP="00AF7C6D">
            <w:pPr>
              <w:pStyle w:val="tabteksts"/>
              <w:jc w:val="right"/>
              <w:rPr>
                <w:szCs w:val="18"/>
              </w:rPr>
            </w:pPr>
            <w:r w:rsidRPr="00853D40">
              <w:rPr>
                <w:szCs w:val="18"/>
              </w:rPr>
              <w:t>2 265 666</w:t>
            </w:r>
          </w:p>
        </w:tc>
        <w:tc>
          <w:tcPr>
            <w:tcW w:w="1132" w:type="dxa"/>
          </w:tcPr>
          <w:p w:rsidR="00252152" w:rsidRPr="00853D40" w:rsidRDefault="00252152" w:rsidP="00AF7C6D">
            <w:pPr>
              <w:pStyle w:val="tabteksts"/>
              <w:jc w:val="right"/>
              <w:rPr>
                <w:szCs w:val="18"/>
              </w:rPr>
            </w:pPr>
            <w:r w:rsidRPr="00853D40">
              <w:rPr>
                <w:szCs w:val="18"/>
              </w:rPr>
              <w:t>2 242 328</w:t>
            </w:r>
          </w:p>
        </w:tc>
        <w:tc>
          <w:tcPr>
            <w:tcW w:w="1132" w:type="dxa"/>
          </w:tcPr>
          <w:p w:rsidR="00252152" w:rsidRPr="00853D40" w:rsidRDefault="00252152" w:rsidP="00AF7C6D">
            <w:pPr>
              <w:pStyle w:val="tabteksts"/>
              <w:jc w:val="right"/>
              <w:rPr>
                <w:szCs w:val="18"/>
              </w:rPr>
            </w:pPr>
            <w:r w:rsidRPr="00853D40">
              <w:rPr>
                <w:szCs w:val="18"/>
              </w:rPr>
              <w:t>2 242 328</w:t>
            </w:r>
          </w:p>
        </w:tc>
      </w:tr>
      <w:tr w:rsidR="00252152" w:rsidRPr="00853D40" w:rsidTr="00EC270C">
        <w:trPr>
          <w:trHeight w:val="77"/>
          <w:jc w:val="center"/>
        </w:trPr>
        <w:tc>
          <w:tcPr>
            <w:tcW w:w="3378" w:type="dxa"/>
          </w:tcPr>
          <w:p w:rsidR="00252152" w:rsidRPr="00853D40" w:rsidRDefault="00252152" w:rsidP="00AF7C6D">
            <w:pPr>
              <w:pStyle w:val="tabteksts"/>
              <w:rPr>
                <w:color w:val="000000" w:themeColor="text1"/>
                <w:szCs w:val="18"/>
                <w:lang w:eastAsia="lv-LV"/>
              </w:rPr>
            </w:pPr>
            <w:r w:rsidRPr="00853D40">
              <w:rPr>
                <w:color w:val="000000" w:themeColor="text1"/>
                <w:szCs w:val="18"/>
              </w:rPr>
              <w:t>Vidējais amata vietu skaits gadā</w:t>
            </w:r>
          </w:p>
        </w:tc>
        <w:tc>
          <w:tcPr>
            <w:tcW w:w="1131" w:type="dxa"/>
          </w:tcPr>
          <w:p w:rsidR="00252152" w:rsidRPr="00853D40" w:rsidRDefault="00252152" w:rsidP="00AF7C6D">
            <w:pPr>
              <w:pStyle w:val="tabteksts"/>
              <w:jc w:val="right"/>
              <w:rPr>
                <w:szCs w:val="18"/>
              </w:rPr>
            </w:pPr>
            <w:r w:rsidRPr="00853D40">
              <w:rPr>
                <w:szCs w:val="18"/>
              </w:rPr>
              <w:t>49</w:t>
            </w:r>
          </w:p>
        </w:tc>
        <w:tc>
          <w:tcPr>
            <w:tcW w:w="1132" w:type="dxa"/>
          </w:tcPr>
          <w:p w:rsidR="00252152" w:rsidRPr="00853D40" w:rsidRDefault="00252152" w:rsidP="00AF7C6D">
            <w:pPr>
              <w:pStyle w:val="tabteksts"/>
              <w:jc w:val="right"/>
              <w:rPr>
                <w:szCs w:val="18"/>
              </w:rPr>
            </w:pPr>
            <w:r w:rsidRPr="00853D40">
              <w:rPr>
                <w:szCs w:val="18"/>
              </w:rPr>
              <w:t>52</w:t>
            </w:r>
          </w:p>
        </w:tc>
        <w:tc>
          <w:tcPr>
            <w:tcW w:w="1132" w:type="dxa"/>
          </w:tcPr>
          <w:p w:rsidR="00252152" w:rsidRPr="00853D40" w:rsidRDefault="00252152" w:rsidP="00AF7C6D">
            <w:pPr>
              <w:pStyle w:val="tabteksts"/>
              <w:jc w:val="right"/>
              <w:rPr>
                <w:szCs w:val="18"/>
              </w:rPr>
            </w:pPr>
            <w:r w:rsidRPr="00853D40">
              <w:rPr>
                <w:szCs w:val="18"/>
              </w:rPr>
              <w:t>54</w:t>
            </w:r>
          </w:p>
        </w:tc>
        <w:tc>
          <w:tcPr>
            <w:tcW w:w="1132" w:type="dxa"/>
          </w:tcPr>
          <w:p w:rsidR="00252152" w:rsidRPr="00853D40" w:rsidRDefault="00252152" w:rsidP="00AF7C6D">
            <w:pPr>
              <w:pStyle w:val="tabteksts"/>
              <w:jc w:val="right"/>
              <w:rPr>
                <w:szCs w:val="18"/>
              </w:rPr>
            </w:pPr>
            <w:r w:rsidRPr="00853D40">
              <w:rPr>
                <w:szCs w:val="18"/>
              </w:rPr>
              <w:t>54</w:t>
            </w:r>
          </w:p>
        </w:tc>
        <w:tc>
          <w:tcPr>
            <w:tcW w:w="1132" w:type="dxa"/>
          </w:tcPr>
          <w:p w:rsidR="00252152" w:rsidRPr="00853D40" w:rsidRDefault="00252152" w:rsidP="00AF7C6D">
            <w:pPr>
              <w:pStyle w:val="tabteksts"/>
              <w:jc w:val="right"/>
              <w:rPr>
                <w:szCs w:val="18"/>
              </w:rPr>
            </w:pPr>
            <w:r w:rsidRPr="00853D40">
              <w:rPr>
                <w:szCs w:val="18"/>
              </w:rPr>
              <w:t>54</w:t>
            </w:r>
          </w:p>
        </w:tc>
      </w:tr>
      <w:tr w:rsidR="00252152" w:rsidRPr="00853D40" w:rsidTr="00EC270C">
        <w:trPr>
          <w:trHeight w:val="123"/>
          <w:jc w:val="center"/>
        </w:trPr>
        <w:tc>
          <w:tcPr>
            <w:tcW w:w="3378" w:type="dxa"/>
          </w:tcPr>
          <w:p w:rsidR="00252152" w:rsidRPr="00853D40" w:rsidRDefault="00252152" w:rsidP="00AF7C6D">
            <w:pPr>
              <w:pStyle w:val="tabteksts"/>
              <w:rPr>
                <w:color w:val="000000" w:themeColor="text1"/>
                <w:szCs w:val="18"/>
                <w:lang w:eastAsia="lv-LV"/>
              </w:rPr>
            </w:pPr>
            <w:r w:rsidRPr="00853D40">
              <w:rPr>
                <w:color w:val="000000" w:themeColor="text1"/>
                <w:szCs w:val="18"/>
              </w:rPr>
              <w:t xml:space="preserve">Vidējā atlīdzība amata vietai </w:t>
            </w:r>
            <w:r w:rsidRPr="00853D40">
              <w:rPr>
                <w:color w:val="000000" w:themeColor="text1"/>
                <w:szCs w:val="18"/>
                <w:lang w:eastAsia="lv-LV"/>
              </w:rPr>
              <w:t xml:space="preserve">(mēnesī), </w:t>
            </w:r>
            <w:r w:rsidRPr="00853D40">
              <w:rPr>
                <w:i/>
                <w:color w:val="000000" w:themeColor="text1"/>
                <w:szCs w:val="18"/>
                <w:lang w:eastAsia="lv-LV"/>
              </w:rPr>
              <w:t>euro</w:t>
            </w:r>
          </w:p>
        </w:tc>
        <w:tc>
          <w:tcPr>
            <w:tcW w:w="1131" w:type="dxa"/>
          </w:tcPr>
          <w:p w:rsidR="00252152" w:rsidRPr="00853D40" w:rsidRDefault="00252152" w:rsidP="00AF7C6D">
            <w:pPr>
              <w:pStyle w:val="tabteksts"/>
              <w:jc w:val="right"/>
              <w:rPr>
                <w:szCs w:val="18"/>
              </w:rPr>
            </w:pPr>
            <w:r w:rsidRPr="00853D40">
              <w:rPr>
                <w:szCs w:val="18"/>
              </w:rPr>
              <w:t>2 397</w:t>
            </w:r>
          </w:p>
        </w:tc>
        <w:tc>
          <w:tcPr>
            <w:tcW w:w="1132" w:type="dxa"/>
          </w:tcPr>
          <w:p w:rsidR="00252152" w:rsidRPr="00853D40" w:rsidRDefault="00252152" w:rsidP="00AF7C6D">
            <w:pPr>
              <w:pStyle w:val="tabteksts"/>
              <w:jc w:val="right"/>
              <w:rPr>
                <w:szCs w:val="18"/>
              </w:rPr>
            </w:pPr>
            <w:r w:rsidRPr="00853D40">
              <w:rPr>
                <w:szCs w:val="18"/>
              </w:rPr>
              <w:t>3 426</w:t>
            </w:r>
          </w:p>
        </w:tc>
        <w:tc>
          <w:tcPr>
            <w:tcW w:w="1132" w:type="dxa"/>
          </w:tcPr>
          <w:p w:rsidR="00252152" w:rsidRPr="00853D40" w:rsidRDefault="00252152" w:rsidP="00AF7C6D">
            <w:pPr>
              <w:pStyle w:val="tabteksts"/>
              <w:jc w:val="right"/>
              <w:rPr>
                <w:szCs w:val="18"/>
              </w:rPr>
            </w:pPr>
            <w:r w:rsidRPr="00853D40">
              <w:rPr>
                <w:szCs w:val="18"/>
              </w:rPr>
              <w:t>3 471</w:t>
            </w:r>
          </w:p>
        </w:tc>
        <w:tc>
          <w:tcPr>
            <w:tcW w:w="1132" w:type="dxa"/>
          </w:tcPr>
          <w:p w:rsidR="00252152" w:rsidRPr="00853D40" w:rsidRDefault="00252152" w:rsidP="00AF7C6D">
            <w:pPr>
              <w:pStyle w:val="tabteksts"/>
              <w:jc w:val="right"/>
              <w:rPr>
                <w:szCs w:val="18"/>
              </w:rPr>
            </w:pPr>
            <w:r w:rsidRPr="00853D40">
              <w:rPr>
                <w:szCs w:val="18"/>
              </w:rPr>
              <w:t>3 435</w:t>
            </w:r>
          </w:p>
        </w:tc>
        <w:tc>
          <w:tcPr>
            <w:tcW w:w="1132" w:type="dxa"/>
          </w:tcPr>
          <w:p w:rsidR="00252152" w:rsidRPr="00853D40" w:rsidRDefault="00252152" w:rsidP="00AF7C6D">
            <w:pPr>
              <w:pStyle w:val="tabteksts"/>
              <w:jc w:val="right"/>
              <w:rPr>
                <w:szCs w:val="18"/>
              </w:rPr>
            </w:pPr>
            <w:r w:rsidRPr="00853D40">
              <w:rPr>
                <w:szCs w:val="18"/>
              </w:rPr>
              <w:t>3 435</w:t>
            </w:r>
          </w:p>
        </w:tc>
      </w:tr>
      <w:tr w:rsidR="00252152" w:rsidRPr="00853D40" w:rsidTr="00AF7C6D">
        <w:trPr>
          <w:trHeight w:val="567"/>
          <w:jc w:val="center"/>
        </w:trPr>
        <w:tc>
          <w:tcPr>
            <w:tcW w:w="3378" w:type="dxa"/>
            <w:vAlign w:val="center"/>
          </w:tcPr>
          <w:p w:rsidR="00252152" w:rsidRPr="00853D40" w:rsidRDefault="00252152" w:rsidP="00AF7C6D">
            <w:pPr>
              <w:pStyle w:val="tabteksts"/>
              <w:rPr>
                <w:color w:val="000000" w:themeColor="text1"/>
                <w:szCs w:val="18"/>
                <w:lang w:eastAsia="lv-LV"/>
              </w:rPr>
            </w:pPr>
            <w:r w:rsidRPr="00853D40">
              <w:rPr>
                <w:color w:val="000000" w:themeColor="text1"/>
                <w:szCs w:val="18"/>
                <w:lang w:eastAsia="lv-LV"/>
              </w:rPr>
              <w:t xml:space="preserve">Kopējā atlīdzība gadā par ārštata darbinieku un uz līgumattiecību pamata nodarbināto, kas nav amatu sarakstā, pakalpojumiem, </w:t>
            </w:r>
            <w:r w:rsidRPr="00853D40">
              <w:rPr>
                <w:i/>
                <w:color w:val="000000" w:themeColor="text1"/>
                <w:szCs w:val="18"/>
                <w:lang w:eastAsia="lv-LV"/>
              </w:rPr>
              <w:t>euro</w:t>
            </w:r>
          </w:p>
        </w:tc>
        <w:tc>
          <w:tcPr>
            <w:tcW w:w="1131" w:type="dxa"/>
          </w:tcPr>
          <w:p w:rsidR="00252152" w:rsidRPr="00853D40" w:rsidRDefault="00252152" w:rsidP="00AF7C6D">
            <w:pPr>
              <w:pStyle w:val="tabteksts"/>
              <w:jc w:val="right"/>
              <w:rPr>
                <w:szCs w:val="18"/>
              </w:rPr>
            </w:pPr>
            <w:r w:rsidRPr="00853D40">
              <w:rPr>
                <w:szCs w:val="18"/>
              </w:rPr>
              <w:t>15 985</w:t>
            </w:r>
          </w:p>
        </w:tc>
        <w:tc>
          <w:tcPr>
            <w:tcW w:w="1132" w:type="dxa"/>
          </w:tcPr>
          <w:p w:rsidR="00252152" w:rsidRPr="00853D40" w:rsidRDefault="00252152" w:rsidP="00AF7C6D">
            <w:pPr>
              <w:pStyle w:val="tabteksts"/>
              <w:jc w:val="right"/>
              <w:rPr>
                <w:szCs w:val="18"/>
              </w:rPr>
            </w:pPr>
            <w:r w:rsidRPr="00853D40">
              <w:rPr>
                <w:szCs w:val="18"/>
              </w:rPr>
              <w:t>16 653</w:t>
            </w:r>
          </w:p>
        </w:tc>
        <w:tc>
          <w:tcPr>
            <w:tcW w:w="1132" w:type="dxa"/>
          </w:tcPr>
          <w:p w:rsidR="00252152" w:rsidRPr="00853D40" w:rsidRDefault="00252152" w:rsidP="00AF7C6D">
            <w:pPr>
              <w:pStyle w:val="tabteksts"/>
              <w:jc w:val="right"/>
              <w:rPr>
                <w:szCs w:val="18"/>
              </w:rPr>
            </w:pPr>
            <w:r w:rsidRPr="00853D40">
              <w:rPr>
                <w:szCs w:val="18"/>
              </w:rPr>
              <w:t>16 653</w:t>
            </w:r>
          </w:p>
        </w:tc>
        <w:tc>
          <w:tcPr>
            <w:tcW w:w="1132" w:type="dxa"/>
          </w:tcPr>
          <w:p w:rsidR="00252152" w:rsidRPr="00853D40" w:rsidRDefault="00252152" w:rsidP="00AF7C6D">
            <w:pPr>
              <w:pStyle w:val="tabteksts"/>
              <w:jc w:val="right"/>
              <w:rPr>
                <w:szCs w:val="18"/>
              </w:rPr>
            </w:pPr>
            <w:r w:rsidRPr="00853D40">
              <w:rPr>
                <w:szCs w:val="18"/>
              </w:rPr>
              <w:t>16 653</w:t>
            </w:r>
          </w:p>
        </w:tc>
        <w:tc>
          <w:tcPr>
            <w:tcW w:w="1132" w:type="dxa"/>
          </w:tcPr>
          <w:p w:rsidR="00252152" w:rsidRPr="00853D40" w:rsidRDefault="00252152" w:rsidP="00AF7C6D">
            <w:pPr>
              <w:pStyle w:val="tabteksts"/>
              <w:jc w:val="right"/>
              <w:rPr>
                <w:szCs w:val="18"/>
              </w:rPr>
            </w:pPr>
            <w:r w:rsidRPr="00853D40">
              <w:rPr>
                <w:szCs w:val="18"/>
              </w:rPr>
              <w:t>16 653</w:t>
            </w:r>
          </w:p>
        </w:tc>
      </w:tr>
    </w:tbl>
    <w:p w:rsidR="00252152" w:rsidRPr="00BB2102" w:rsidRDefault="00252152" w:rsidP="00EC270C">
      <w:pPr>
        <w:spacing w:before="240" w:after="240"/>
        <w:ind w:firstLine="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52152" w:rsidRPr="00BB2102" w:rsidRDefault="00252152" w:rsidP="00252152">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52152" w:rsidRPr="00CA7F5D" w:rsidTr="00AF7C6D">
        <w:trPr>
          <w:trHeight w:val="142"/>
          <w:tblHeader/>
          <w:jc w:val="center"/>
        </w:trPr>
        <w:tc>
          <w:tcPr>
            <w:tcW w:w="5241" w:type="dxa"/>
            <w:vAlign w:val="center"/>
          </w:tcPr>
          <w:p w:rsidR="00252152" w:rsidRPr="00CA7F5D" w:rsidRDefault="00252152" w:rsidP="00AF7C6D">
            <w:pPr>
              <w:pStyle w:val="tabteksts"/>
              <w:jc w:val="center"/>
              <w:rPr>
                <w:szCs w:val="18"/>
              </w:rPr>
            </w:pPr>
            <w:r w:rsidRPr="00CA7F5D">
              <w:rPr>
                <w:color w:val="000000" w:themeColor="text1"/>
                <w:szCs w:val="18"/>
                <w:lang w:eastAsia="lv-LV"/>
              </w:rPr>
              <w:t>Pasākums</w:t>
            </w:r>
          </w:p>
        </w:tc>
        <w:tc>
          <w:tcPr>
            <w:tcW w:w="1277" w:type="dxa"/>
            <w:vAlign w:val="center"/>
          </w:tcPr>
          <w:p w:rsidR="00252152" w:rsidRPr="00CA7F5D" w:rsidRDefault="00252152" w:rsidP="00AF7C6D">
            <w:pPr>
              <w:pStyle w:val="tabteksts"/>
              <w:jc w:val="center"/>
              <w:rPr>
                <w:color w:val="000000" w:themeColor="text1"/>
                <w:szCs w:val="18"/>
                <w:lang w:eastAsia="lv-LV"/>
              </w:rPr>
            </w:pPr>
            <w:r w:rsidRPr="00CA7F5D">
              <w:rPr>
                <w:color w:val="000000" w:themeColor="text1"/>
                <w:szCs w:val="18"/>
                <w:lang w:eastAsia="lv-LV"/>
              </w:rPr>
              <w:t>Samazinājums</w:t>
            </w:r>
          </w:p>
        </w:tc>
        <w:tc>
          <w:tcPr>
            <w:tcW w:w="1277" w:type="dxa"/>
            <w:vAlign w:val="center"/>
          </w:tcPr>
          <w:p w:rsidR="00252152" w:rsidRPr="00CA7F5D" w:rsidRDefault="00252152" w:rsidP="00AF7C6D">
            <w:pPr>
              <w:pStyle w:val="tabteksts"/>
              <w:jc w:val="center"/>
              <w:rPr>
                <w:color w:val="000000" w:themeColor="text1"/>
                <w:szCs w:val="18"/>
                <w:lang w:eastAsia="lv-LV"/>
              </w:rPr>
            </w:pPr>
            <w:r w:rsidRPr="00CA7F5D">
              <w:rPr>
                <w:color w:val="000000" w:themeColor="text1"/>
                <w:szCs w:val="18"/>
                <w:lang w:eastAsia="lv-LV"/>
              </w:rPr>
              <w:t>Palielinājums</w:t>
            </w:r>
          </w:p>
        </w:tc>
        <w:tc>
          <w:tcPr>
            <w:tcW w:w="1277" w:type="dxa"/>
            <w:vAlign w:val="center"/>
          </w:tcPr>
          <w:p w:rsidR="00252152" w:rsidRPr="00CA7F5D" w:rsidRDefault="00252152" w:rsidP="00AF7C6D">
            <w:pPr>
              <w:pStyle w:val="tabteksts"/>
              <w:jc w:val="center"/>
              <w:rPr>
                <w:color w:val="000000" w:themeColor="text1"/>
                <w:szCs w:val="18"/>
                <w:lang w:eastAsia="lv-LV"/>
              </w:rPr>
            </w:pPr>
            <w:r w:rsidRPr="00CA7F5D">
              <w:rPr>
                <w:color w:val="000000" w:themeColor="text1"/>
                <w:szCs w:val="18"/>
                <w:lang w:eastAsia="lv-LV"/>
              </w:rPr>
              <w:t>Izmaiņas</w:t>
            </w:r>
          </w:p>
        </w:tc>
      </w:tr>
      <w:tr w:rsidR="00252152" w:rsidRPr="00CA7F5D" w:rsidTr="00AF7C6D">
        <w:trPr>
          <w:trHeight w:val="58"/>
          <w:jc w:val="center"/>
        </w:trPr>
        <w:tc>
          <w:tcPr>
            <w:tcW w:w="5241" w:type="dxa"/>
            <w:shd w:val="clear" w:color="auto" w:fill="D9D9D9" w:themeFill="background1" w:themeFillShade="D9"/>
          </w:tcPr>
          <w:p w:rsidR="00252152" w:rsidRPr="00CA7F5D" w:rsidRDefault="00252152" w:rsidP="00AF7C6D">
            <w:pPr>
              <w:pStyle w:val="tabteksts"/>
              <w:rPr>
                <w:szCs w:val="18"/>
              </w:rPr>
            </w:pPr>
            <w:r w:rsidRPr="00CA7F5D">
              <w:rPr>
                <w:b/>
                <w:bCs/>
                <w:szCs w:val="18"/>
                <w:lang w:eastAsia="lv-LV"/>
              </w:rPr>
              <w:t>Izdevumi - kopā</w:t>
            </w:r>
          </w:p>
        </w:tc>
        <w:tc>
          <w:tcPr>
            <w:tcW w:w="1277" w:type="dxa"/>
            <w:shd w:val="clear" w:color="auto" w:fill="D9D9D9" w:themeFill="background1" w:themeFillShade="D9"/>
          </w:tcPr>
          <w:p w:rsidR="00252152" w:rsidRPr="00CA7F5D" w:rsidRDefault="00252152" w:rsidP="00AF7C6D">
            <w:pPr>
              <w:pStyle w:val="tabteksts"/>
              <w:jc w:val="right"/>
              <w:rPr>
                <w:b/>
                <w:bCs/>
                <w:szCs w:val="18"/>
              </w:rPr>
            </w:pPr>
            <w:r w:rsidRPr="00CA7F5D">
              <w:rPr>
                <w:b/>
                <w:bCs/>
                <w:szCs w:val="18"/>
              </w:rPr>
              <w:t>184 291</w:t>
            </w:r>
          </w:p>
        </w:tc>
        <w:tc>
          <w:tcPr>
            <w:tcW w:w="1277" w:type="dxa"/>
            <w:shd w:val="clear" w:color="auto" w:fill="D9D9D9" w:themeFill="background1" w:themeFillShade="D9"/>
          </w:tcPr>
          <w:p w:rsidR="00252152" w:rsidRPr="00CA7F5D" w:rsidRDefault="00252152" w:rsidP="00AF7C6D">
            <w:pPr>
              <w:pStyle w:val="tabteksts"/>
              <w:jc w:val="right"/>
              <w:rPr>
                <w:b/>
                <w:bCs/>
                <w:szCs w:val="18"/>
              </w:rPr>
            </w:pPr>
            <w:r w:rsidRPr="00CA7F5D">
              <w:rPr>
                <w:b/>
                <w:bCs/>
                <w:szCs w:val="18"/>
              </w:rPr>
              <w:t>884 237</w:t>
            </w:r>
          </w:p>
        </w:tc>
        <w:tc>
          <w:tcPr>
            <w:tcW w:w="1277" w:type="dxa"/>
            <w:shd w:val="clear" w:color="auto" w:fill="D9D9D9" w:themeFill="background1" w:themeFillShade="D9"/>
          </w:tcPr>
          <w:p w:rsidR="00252152" w:rsidRPr="00CA7F5D" w:rsidRDefault="00252152" w:rsidP="00AF7C6D">
            <w:pPr>
              <w:pStyle w:val="tabteksts"/>
              <w:jc w:val="right"/>
              <w:rPr>
                <w:b/>
                <w:bCs/>
                <w:szCs w:val="18"/>
              </w:rPr>
            </w:pPr>
            <w:r w:rsidRPr="00CA7F5D">
              <w:rPr>
                <w:b/>
                <w:bCs/>
                <w:szCs w:val="18"/>
              </w:rPr>
              <w:t>699 946</w:t>
            </w:r>
          </w:p>
        </w:tc>
      </w:tr>
      <w:tr w:rsidR="00252152" w:rsidRPr="00CA7F5D" w:rsidTr="00AF7C6D">
        <w:trPr>
          <w:jc w:val="center"/>
        </w:trPr>
        <w:tc>
          <w:tcPr>
            <w:tcW w:w="9072" w:type="dxa"/>
            <w:gridSpan w:val="4"/>
          </w:tcPr>
          <w:p w:rsidR="00252152" w:rsidRPr="00CA7F5D" w:rsidRDefault="00252152" w:rsidP="00AF7C6D">
            <w:pPr>
              <w:pStyle w:val="tabteksts"/>
              <w:ind w:firstLine="313"/>
              <w:rPr>
                <w:szCs w:val="18"/>
              </w:rPr>
            </w:pPr>
            <w:r w:rsidRPr="00CA7F5D">
              <w:rPr>
                <w:i/>
                <w:szCs w:val="18"/>
                <w:lang w:eastAsia="lv-LV"/>
              </w:rPr>
              <w:t>t. sk.:</w:t>
            </w:r>
          </w:p>
        </w:tc>
      </w:tr>
      <w:tr w:rsidR="00252152" w:rsidRPr="00CA7F5D" w:rsidTr="00AF7C6D">
        <w:trPr>
          <w:trHeight w:val="142"/>
          <w:jc w:val="center"/>
        </w:trPr>
        <w:tc>
          <w:tcPr>
            <w:tcW w:w="5241" w:type="dxa"/>
            <w:shd w:val="clear" w:color="auto" w:fill="F2F2F2" w:themeFill="background1" w:themeFillShade="F2"/>
          </w:tcPr>
          <w:p w:rsidR="00252152" w:rsidRPr="00CA7F5D" w:rsidRDefault="00252152" w:rsidP="00AF7C6D">
            <w:pPr>
              <w:pStyle w:val="tabteksts"/>
              <w:rPr>
                <w:b/>
                <w:bCs/>
                <w:szCs w:val="18"/>
                <w:u w:val="single"/>
                <w:lang w:eastAsia="lv-LV"/>
              </w:rPr>
            </w:pPr>
            <w:r w:rsidRPr="00CA7F5D">
              <w:rPr>
                <w:szCs w:val="18"/>
                <w:u w:val="single"/>
                <w:lang w:eastAsia="lv-LV"/>
              </w:rPr>
              <w:t>Prioritāri pasākumi</w:t>
            </w:r>
          </w:p>
        </w:tc>
        <w:tc>
          <w:tcPr>
            <w:tcW w:w="1277" w:type="dxa"/>
            <w:shd w:val="clear" w:color="auto" w:fill="F2F2F2" w:themeFill="background1" w:themeFillShade="F2"/>
          </w:tcPr>
          <w:p w:rsidR="00252152" w:rsidRPr="00CA7F5D" w:rsidRDefault="00252152" w:rsidP="00AF7C6D">
            <w:pPr>
              <w:pStyle w:val="tabteksts"/>
              <w:jc w:val="center"/>
              <w:rPr>
                <w:szCs w:val="18"/>
              </w:rPr>
            </w:pPr>
            <w:r w:rsidRPr="00CA7F5D">
              <w:rPr>
                <w:szCs w:val="18"/>
              </w:rPr>
              <w:t>-</w:t>
            </w:r>
          </w:p>
        </w:tc>
        <w:tc>
          <w:tcPr>
            <w:tcW w:w="1277" w:type="dxa"/>
            <w:shd w:val="clear" w:color="auto" w:fill="F2F2F2" w:themeFill="background1" w:themeFillShade="F2"/>
          </w:tcPr>
          <w:p w:rsidR="00252152" w:rsidRPr="00CA7F5D" w:rsidRDefault="00252152" w:rsidP="00AF7C6D">
            <w:pPr>
              <w:pStyle w:val="tabteksts"/>
              <w:jc w:val="right"/>
              <w:rPr>
                <w:bCs/>
                <w:szCs w:val="18"/>
              </w:rPr>
            </w:pPr>
            <w:r w:rsidRPr="00CA7F5D">
              <w:rPr>
                <w:bCs/>
                <w:szCs w:val="18"/>
              </w:rPr>
              <w:t>376 427</w:t>
            </w:r>
          </w:p>
        </w:tc>
        <w:tc>
          <w:tcPr>
            <w:tcW w:w="1277" w:type="dxa"/>
            <w:shd w:val="clear" w:color="auto" w:fill="F2F2F2" w:themeFill="background1" w:themeFillShade="F2"/>
          </w:tcPr>
          <w:p w:rsidR="00252152" w:rsidRPr="00CA7F5D" w:rsidRDefault="00252152" w:rsidP="00AF7C6D">
            <w:pPr>
              <w:pStyle w:val="tabteksts"/>
              <w:jc w:val="right"/>
              <w:rPr>
                <w:bCs/>
                <w:szCs w:val="18"/>
              </w:rPr>
            </w:pPr>
            <w:r w:rsidRPr="00CA7F5D">
              <w:rPr>
                <w:bCs/>
                <w:szCs w:val="18"/>
              </w:rPr>
              <w:t>376 427</w:t>
            </w:r>
          </w:p>
        </w:tc>
      </w:tr>
      <w:tr w:rsidR="00252152" w:rsidRPr="00CA7F5D" w:rsidTr="00AF7C6D">
        <w:trPr>
          <w:trHeight w:val="142"/>
          <w:jc w:val="center"/>
        </w:trPr>
        <w:tc>
          <w:tcPr>
            <w:tcW w:w="5241" w:type="dxa"/>
          </w:tcPr>
          <w:p w:rsidR="00252152" w:rsidRPr="00CA7F5D" w:rsidRDefault="00252152" w:rsidP="00EC270C">
            <w:pPr>
              <w:pStyle w:val="tabteksts"/>
              <w:jc w:val="both"/>
              <w:rPr>
                <w:bCs/>
                <w:i/>
                <w:szCs w:val="18"/>
                <w:lang w:eastAsia="lv-LV"/>
              </w:rPr>
            </w:pPr>
            <w:r w:rsidRPr="00CA7F5D">
              <w:rPr>
                <w:rFonts w:eastAsia="Calibri"/>
                <w:bCs/>
                <w:i/>
                <w:szCs w:val="18"/>
              </w:rPr>
              <w:t>Satversmes tiesas administratīvās pārvaldības stiprināšana (tai skaitā papildus 2 amata vietu izveide)</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70 009</w:t>
            </w:r>
          </w:p>
        </w:tc>
        <w:tc>
          <w:tcPr>
            <w:tcW w:w="1277" w:type="dxa"/>
          </w:tcPr>
          <w:p w:rsidR="00252152" w:rsidRPr="00CA7F5D" w:rsidRDefault="00252152" w:rsidP="00AF7C6D">
            <w:pPr>
              <w:pStyle w:val="tabteksts"/>
              <w:jc w:val="right"/>
              <w:rPr>
                <w:szCs w:val="18"/>
              </w:rPr>
            </w:pPr>
            <w:r w:rsidRPr="00CA7F5D">
              <w:rPr>
                <w:szCs w:val="18"/>
              </w:rPr>
              <w:t>70 009</w:t>
            </w:r>
          </w:p>
        </w:tc>
      </w:tr>
      <w:tr w:rsidR="00252152" w:rsidRPr="00CA7F5D" w:rsidTr="00AF7C6D">
        <w:trPr>
          <w:trHeight w:val="142"/>
          <w:jc w:val="center"/>
        </w:trPr>
        <w:tc>
          <w:tcPr>
            <w:tcW w:w="5241" w:type="dxa"/>
          </w:tcPr>
          <w:p w:rsidR="00252152" w:rsidRPr="00CA7F5D" w:rsidRDefault="00252152" w:rsidP="00EC270C">
            <w:pPr>
              <w:pStyle w:val="tabteksts"/>
              <w:jc w:val="both"/>
              <w:rPr>
                <w:bCs/>
                <w:i/>
                <w:szCs w:val="18"/>
                <w:lang w:eastAsia="lv-LV"/>
              </w:rPr>
            </w:pPr>
            <w:r w:rsidRPr="00CA7F5D">
              <w:rPr>
                <w:rFonts w:eastAsia="Calibri"/>
                <w:bCs/>
                <w:i/>
                <w:szCs w:val="18"/>
              </w:rPr>
              <w:t>Stiprināt Satversmes tiesas funkcionālo kapacitāti</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81 735</w:t>
            </w:r>
          </w:p>
        </w:tc>
        <w:tc>
          <w:tcPr>
            <w:tcW w:w="1277" w:type="dxa"/>
          </w:tcPr>
          <w:p w:rsidR="00252152" w:rsidRPr="00CA7F5D" w:rsidRDefault="00252152" w:rsidP="00AF7C6D">
            <w:pPr>
              <w:pStyle w:val="tabteksts"/>
              <w:jc w:val="right"/>
              <w:rPr>
                <w:szCs w:val="18"/>
              </w:rPr>
            </w:pPr>
            <w:r w:rsidRPr="00CA7F5D">
              <w:rPr>
                <w:szCs w:val="18"/>
              </w:rPr>
              <w:t>81 735</w:t>
            </w:r>
          </w:p>
        </w:tc>
      </w:tr>
      <w:tr w:rsidR="00252152" w:rsidRPr="00CA7F5D" w:rsidTr="00AF7C6D">
        <w:trPr>
          <w:trHeight w:val="142"/>
          <w:jc w:val="center"/>
        </w:trPr>
        <w:tc>
          <w:tcPr>
            <w:tcW w:w="5241" w:type="dxa"/>
          </w:tcPr>
          <w:p w:rsidR="00252152" w:rsidRPr="00CA7F5D" w:rsidRDefault="00252152" w:rsidP="00EC270C">
            <w:pPr>
              <w:pStyle w:val="tabteksts"/>
              <w:jc w:val="both"/>
              <w:rPr>
                <w:bCs/>
                <w:i/>
                <w:szCs w:val="18"/>
                <w:lang w:eastAsia="lv-LV"/>
              </w:rPr>
            </w:pPr>
            <w:r w:rsidRPr="00CA7F5D">
              <w:rPr>
                <w:rFonts w:eastAsia="Calibri"/>
                <w:bCs/>
                <w:i/>
                <w:szCs w:val="18"/>
              </w:rPr>
              <w:t>Stiprināt tiesas analītisko kapacitāti</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9 930</w:t>
            </w:r>
          </w:p>
        </w:tc>
        <w:tc>
          <w:tcPr>
            <w:tcW w:w="1277" w:type="dxa"/>
          </w:tcPr>
          <w:p w:rsidR="00252152" w:rsidRPr="00CA7F5D" w:rsidRDefault="00252152" w:rsidP="00AF7C6D">
            <w:pPr>
              <w:pStyle w:val="tabteksts"/>
              <w:jc w:val="right"/>
              <w:rPr>
                <w:szCs w:val="18"/>
              </w:rPr>
            </w:pPr>
            <w:r w:rsidRPr="00CA7F5D">
              <w:rPr>
                <w:szCs w:val="18"/>
              </w:rPr>
              <w:t>9 930</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bCs/>
                <w:i/>
                <w:szCs w:val="18"/>
              </w:rPr>
            </w:pPr>
            <w:r w:rsidRPr="00CA7F5D">
              <w:rPr>
                <w:rFonts w:eastAsia="Calibri"/>
                <w:bCs/>
                <w:i/>
                <w:szCs w:val="18"/>
              </w:rPr>
              <w:t>Satversmes tiesas tiesneša atlaišanas pabalsts</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14 753</w:t>
            </w:r>
          </w:p>
        </w:tc>
        <w:tc>
          <w:tcPr>
            <w:tcW w:w="1277" w:type="dxa"/>
          </w:tcPr>
          <w:p w:rsidR="00252152" w:rsidRPr="00CA7F5D" w:rsidRDefault="00252152" w:rsidP="00AF7C6D">
            <w:pPr>
              <w:pStyle w:val="tabteksts"/>
              <w:jc w:val="right"/>
              <w:rPr>
                <w:szCs w:val="18"/>
              </w:rPr>
            </w:pPr>
            <w:r w:rsidRPr="00CA7F5D">
              <w:rPr>
                <w:szCs w:val="18"/>
              </w:rPr>
              <w:t>14 753</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bCs/>
                <w:i/>
                <w:szCs w:val="18"/>
              </w:rPr>
            </w:pPr>
            <w:r w:rsidRPr="00CA7F5D">
              <w:rPr>
                <w:rFonts w:eastAsia="Calibri"/>
                <w:bCs/>
                <w:i/>
                <w:szCs w:val="18"/>
              </w:rPr>
              <w:t>Satversmes tiesas darbības un attīstības nodrošināšana, kā arī dialoga ar sabiedrību veicināšana</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200 000</w:t>
            </w:r>
          </w:p>
        </w:tc>
        <w:tc>
          <w:tcPr>
            <w:tcW w:w="1277" w:type="dxa"/>
          </w:tcPr>
          <w:p w:rsidR="00252152" w:rsidRPr="00CA7F5D" w:rsidRDefault="00252152" w:rsidP="00AF7C6D">
            <w:pPr>
              <w:pStyle w:val="tabteksts"/>
              <w:jc w:val="right"/>
              <w:rPr>
                <w:szCs w:val="18"/>
              </w:rPr>
            </w:pPr>
            <w:r w:rsidRPr="00CA7F5D">
              <w:rPr>
                <w:szCs w:val="18"/>
              </w:rPr>
              <w:t>200 000</w:t>
            </w:r>
          </w:p>
        </w:tc>
      </w:tr>
      <w:tr w:rsidR="00252152" w:rsidRPr="00CA7F5D" w:rsidTr="00AF7C6D">
        <w:trPr>
          <w:trHeight w:val="142"/>
          <w:jc w:val="center"/>
        </w:trPr>
        <w:tc>
          <w:tcPr>
            <w:tcW w:w="5241" w:type="dxa"/>
            <w:shd w:val="clear" w:color="auto" w:fill="F2F2F2" w:themeFill="background1" w:themeFillShade="F2"/>
          </w:tcPr>
          <w:p w:rsidR="00252152" w:rsidRPr="00CA7F5D" w:rsidRDefault="00252152" w:rsidP="00AF7C6D">
            <w:pPr>
              <w:pStyle w:val="tabteksts"/>
              <w:rPr>
                <w:rFonts w:eastAsia="Calibri"/>
                <w:bCs/>
                <w:i/>
                <w:szCs w:val="18"/>
              </w:rPr>
            </w:pPr>
            <w:r w:rsidRPr="00CA7F5D">
              <w:rPr>
                <w:szCs w:val="18"/>
                <w:u w:val="single"/>
                <w:lang w:eastAsia="lv-LV"/>
              </w:rPr>
              <w:t>Ilgtermiņa saistības</w:t>
            </w:r>
          </w:p>
        </w:tc>
        <w:tc>
          <w:tcPr>
            <w:tcW w:w="1277" w:type="dxa"/>
            <w:shd w:val="clear" w:color="auto" w:fill="F2F2F2" w:themeFill="background1" w:themeFillShade="F2"/>
          </w:tcPr>
          <w:p w:rsidR="00252152" w:rsidRPr="00CA7F5D" w:rsidRDefault="00252152" w:rsidP="00AF7C6D">
            <w:pPr>
              <w:pStyle w:val="tabteksts"/>
              <w:jc w:val="right"/>
              <w:rPr>
                <w:szCs w:val="18"/>
              </w:rPr>
            </w:pPr>
            <w:r w:rsidRPr="00CA7F5D">
              <w:rPr>
                <w:szCs w:val="18"/>
              </w:rPr>
              <w:t>1 000</w:t>
            </w:r>
          </w:p>
        </w:tc>
        <w:tc>
          <w:tcPr>
            <w:tcW w:w="1277" w:type="dxa"/>
            <w:shd w:val="clear" w:color="auto" w:fill="F2F2F2" w:themeFill="background1" w:themeFillShade="F2"/>
          </w:tcPr>
          <w:p w:rsidR="00252152" w:rsidRPr="00CA7F5D" w:rsidRDefault="00252152" w:rsidP="00AF7C6D">
            <w:pPr>
              <w:pStyle w:val="tabteksts"/>
              <w:jc w:val="right"/>
              <w:rPr>
                <w:szCs w:val="18"/>
              </w:rPr>
            </w:pPr>
            <w:r w:rsidRPr="00CA7F5D">
              <w:rPr>
                <w:szCs w:val="18"/>
              </w:rPr>
              <w:t>1 000</w:t>
            </w:r>
          </w:p>
        </w:tc>
        <w:tc>
          <w:tcPr>
            <w:tcW w:w="1277" w:type="dxa"/>
            <w:shd w:val="clear" w:color="auto" w:fill="F2F2F2" w:themeFill="background1" w:themeFillShade="F2"/>
          </w:tcPr>
          <w:p w:rsidR="00252152" w:rsidRPr="00CA7F5D" w:rsidRDefault="00252152" w:rsidP="00AF7C6D">
            <w:pPr>
              <w:pStyle w:val="tabteksts"/>
              <w:jc w:val="center"/>
              <w:rPr>
                <w:szCs w:val="18"/>
              </w:rPr>
            </w:pPr>
            <w:r w:rsidRPr="00CA7F5D">
              <w:rPr>
                <w:szCs w:val="18"/>
              </w:rPr>
              <w:t>-</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bCs/>
                <w:i/>
                <w:szCs w:val="18"/>
              </w:rPr>
            </w:pPr>
            <w:r w:rsidRPr="00CA7F5D">
              <w:rPr>
                <w:rFonts w:eastAsia="Calibri"/>
                <w:bCs/>
                <w:i/>
                <w:szCs w:val="18"/>
              </w:rPr>
              <w:t>Iemaksu veikšana starptautiskajā organizācijā “Pasaules konstitucionālās justīcijas konferences”</w:t>
            </w:r>
          </w:p>
        </w:tc>
        <w:tc>
          <w:tcPr>
            <w:tcW w:w="1277" w:type="dxa"/>
          </w:tcPr>
          <w:p w:rsidR="00252152" w:rsidRPr="00CA7F5D" w:rsidRDefault="00252152" w:rsidP="00AF7C6D">
            <w:pPr>
              <w:pStyle w:val="tabteksts"/>
              <w:jc w:val="right"/>
              <w:rPr>
                <w:szCs w:val="18"/>
              </w:rPr>
            </w:pPr>
            <w:r w:rsidRPr="00CA7F5D">
              <w:rPr>
                <w:szCs w:val="18"/>
              </w:rPr>
              <w:t>1 000</w:t>
            </w:r>
          </w:p>
        </w:tc>
        <w:tc>
          <w:tcPr>
            <w:tcW w:w="1277" w:type="dxa"/>
          </w:tcPr>
          <w:p w:rsidR="00252152" w:rsidRPr="00CA7F5D" w:rsidRDefault="00252152" w:rsidP="00AF7C6D">
            <w:pPr>
              <w:pStyle w:val="tabteksts"/>
              <w:jc w:val="right"/>
              <w:rPr>
                <w:szCs w:val="18"/>
              </w:rPr>
            </w:pPr>
            <w:r w:rsidRPr="00CA7F5D">
              <w:rPr>
                <w:szCs w:val="18"/>
              </w:rPr>
              <w:t>1 000</w:t>
            </w:r>
          </w:p>
        </w:tc>
        <w:tc>
          <w:tcPr>
            <w:tcW w:w="1277" w:type="dxa"/>
          </w:tcPr>
          <w:p w:rsidR="00252152" w:rsidRPr="00CA7F5D" w:rsidRDefault="00252152" w:rsidP="00AF7C6D">
            <w:pPr>
              <w:pStyle w:val="tabteksts"/>
              <w:jc w:val="center"/>
              <w:rPr>
                <w:szCs w:val="18"/>
              </w:rPr>
            </w:pPr>
            <w:r w:rsidRPr="00CA7F5D">
              <w:rPr>
                <w:szCs w:val="18"/>
              </w:rPr>
              <w:t>-</w:t>
            </w:r>
          </w:p>
        </w:tc>
      </w:tr>
      <w:tr w:rsidR="00252152" w:rsidRPr="00CA7F5D" w:rsidTr="00AF7C6D">
        <w:trPr>
          <w:trHeight w:val="142"/>
          <w:jc w:val="center"/>
        </w:trPr>
        <w:tc>
          <w:tcPr>
            <w:tcW w:w="5241" w:type="dxa"/>
            <w:shd w:val="clear" w:color="auto" w:fill="F2F2F2" w:themeFill="background1" w:themeFillShade="F2"/>
          </w:tcPr>
          <w:p w:rsidR="00252152" w:rsidRPr="00CA7F5D" w:rsidRDefault="00252152" w:rsidP="00AF7C6D">
            <w:pPr>
              <w:pStyle w:val="tabteksts"/>
              <w:rPr>
                <w:b/>
                <w:bCs/>
                <w:szCs w:val="18"/>
                <w:u w:val="single"/>
                <w:lang w:eastAsia="lv-LV"/>
              </w:rPr>
            </w:pPr>
            <w:r w:rsidRPr="00CA7F5D">
              <w:rPr>
                <w:szCs w:val="18"/>
                <w:u w:val="single"/>
                <w:lang w:eastAsia="lv-LV"/>
              </w:rPr>
              <w:t>Vienreizēji pasākumi</w:t>
            </w:r>
          </w:p>
        </w:tc>
        <w:tc>
          <w:tcPr>
            <w:tcW w:w="1277" w:type="dxa"/>
            <w:shd w:val="clear" w:color="auto" w:fill="F2F2F2" w:themeFill="background1" w:themeFillShade="F2"/>
          </w:tcPr>
          <w:p w:rsidR="00252152" w:rsidRPr="00CA7F5D" w:rsidRDefault="00252152" w:rsidP="00AF7C6D">
            <w:pPr>
              <w:pStyle w:val="tabteksts"/>
              <w:jc w:val="center"/>
              <w:rPr>
                <w:szCs w:val="18"/>
              </w:rPr>
            </w:pPr>
            <w:r w:rsidRPr="00CA7F5D">
              <w:rPr>
                <w:szCs w:val="18"/>
              </w:rPr>
              <w:t>-</w:t>
            </w:r>
          </w:p>
        </w:tc>
        <w:tc>
          <w:tcPr>
            <w:tcW w:w="1277" w:type="dxa"/>
            <w:shd w:val="clear" w:color="auto" w:fill="F2F2F2" w:themeFill="background1" w:themeFillShade="F2"/>
          </w:tcPr>
          <w:p w:rsidR="00252152" w:rsidRPr="00CA7F5D" w:rsidRDefault="00252152" w:rsidP="00AF7C6D">
            <w:pPr>
              <w:pStyle w:val="tabteksts"/>
              <w:jc w:val="right"/>
              <w:rPr>
                <w:bCs/>
                <w:szCs w:val="18"/>
              </w:rPr>
            </w:pPr>
            <w:r w:rsidRPr="00CA7F5D">
              <w:rPr>
                <w:bCs/>
                <w:szCs w:val="18"/>
              </w:rPr>
              <w:t>10 906</w:t>
            </w:r>
          </w:p>
        </w:tc>
        <w:tc>
          <w:tcPr>
            <w:tcW w:w="1277" w:type="dxa"/>
            <w:shd w:val="clear" w:color="auto" w:fill="F2F2F2" w:themeFill="background1" w:themeFillShade="F2"/>
          </w:tcPr>
          <w:p w:rsidR="00252152" w:rsidRPr="00CA7F5D" w:rsidRDefault="00252152" w:rsidP="00AF7C6D">
            <w:pPr>
              <w:pStyle w:val="tabteksts"/>
              <w:jc w:val="right"/>
              <w:rPr>
                <w:bCs/>
                <w:szCs w:val="18"/>
              </w:rPr>
            </w:pPr>
            <w:r w:rsidRPr="00CA7F5D">
              <w:rPr>
                <w:bCs/>
                <w:szCs w:val="18"/>
              </w:rPr>
              <w:t>10 906</w:t>
            </w:r>
          </w:p>
        </w:tc>
      </w:tr>
      <w:tr w:rsidR="00252152" w:rsidRPr="00CA7F5D" w:rsidTr="00AF7C6D">
        <w:trPr>
          <w:trHeight w:val="142"/>
          <w:jc w:val="center"/>
        </w:trPr>
        <w:tc>
          <w:tcPr>
            <w:tcW w:w="5241" w:type="dxa"/>
          </w:tcPr>
          <w:p w:rsidR="00252152" w:rsidRPr="00CA7F5D" w:rsidRDefault="00252152" w:rsidP="00EC270C">
            <w:pPr>
              <w:pStyle w:val="tabteksts"/>
              <w:jc w:val="both"/>
              <w:rPr>
                <w:i/>
                <w:szCs w:val="18"/>
                <w:lang w:eastAsia="lv-LV"/>
              </w:rPr>
            </w:pPr>
            <w:r w:rsidRPr="00CA7F5D">
              <w:rPr>
                <w:rFonts w:eastAsia="Calibri"/>
                <w:i/>
                <w:szCs w:val="18"/>
              </w:rPr>
              <w:t>Palielināti izdevumi 2020. gada prioritārajam pasākumam “</w:t>
            </w:r>
            <w:r w:rsidRPr="00CA7F5D">
              <w:rPr>
                <w:rFonts w:eastAsia="Calibri"/>
                <w:bCs/>
                <w:i/>
                <w:szCs w:val="18"/>
              </w:rPr>
              <w:t>Satversmes tiesas tiesneša atlaišanas pabalsts un atlīdzība neizmantotam atvaļinājumam</w:t>
            </w:r>
            <w:r w:rsidRPr="00CA7F5D">
              <w:rPr>
                <w:rFonts w:eastAsia="Calibri"/>
                <w:i/>
                <w:szCs w:val="18"/>
              </w:rPr>
              <w:t xml:space="preserve">”, saskaņā ar  </w:t>
            </w:r>
            <w:r>
              <w:rPr>
                <w:i/>
                <w:szCs w:val="18"/>
                <w:lang w:eastAsia="lv-LV"/>
              </w:rPr>
              <w:t>MK</w:t>
            </w:r>
            <w:r w:rsidRPr="00CA7F5D">
              <w:rPr>
                <w:i/>
                <w:szCs w:val="18"/>
                <w:lang w:eastAsia="lv-LV"/>
              </w:rPr>
              <w:t xml:space="preserve"> 2019. gada 17. septembra sēdē (prot.</w:t>
            </w:r>
            <w:r>
              <w:rPr>
                <w:i/>
                <w:szCs w:val="18"/>
                <w:lang w:eastAsia="lv-LV"/>
              </w:rPr>
              <w:t xml:space="preserve"> Nr.42 34.§) nolemto</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rFonts w:eastAsia="Calibri"/>
                <w:szCs w:val="18"/>
              </w:rPr>
              <w:t>10 906</w:t>
            </w:r>
          </w:p>
        </w:tc>
        <w:tc>
          <w:tcPr>
            <w:tcW w:w="1277" w:type="dxa"/>
          </w:tcPr>
          <w:p w:rsidR="00252152" w:rsidRPr="00CA7F5D" w:rsidRDefault="00252152" w:rsidP="00AF7C6D">
            <w:pPr>
              <w:pStyle w:val="tabteksts"/>
              <w:jc w:val="right"/>
              <w:rPr>
                <w:szCs w:val="18"/>
              </w:rPr>
            </w:pPr>
            <w:r w:rsidRPr="00CA7F5D">
              <w:rPr>
                <w:szCs w:val="18"/>
              </w:rPr>
              <w:t>10 906</w:t>
            </w:r>
          </w:p>
        </w:tc>
      </w:tr>
      <w:tr w:rsidR="00252152" w:rsidRPr="00CA7F5D" w:rsidTr="00AF7C6D">
        <w:trPr>
          <w:trHeight w:val="142"/>
          <w:jc w:val="center"/>
        </w:trPr>
        <w:tc>
          <w:tcPr>
            <w:tcW w:w="5241" w:type="dxa"/>
            <w:shd w:val="clear" w:color="auto" w:fill="F2F2F2" w:themeFill="background1" w:themeFillShade="F2"/>
            <w:vAlign w:val="center"/>
          </w:tcPr>
          <w:p w:rsidR="00252152" w:rsidRPr="00CA7F5D" w:rsidRDefault="00252152" w:rsidP="00AF7C6D">
            <w:pPr>
              <w:pStyle w:val="tabteksts"/>
              <w:rPr>
                <w:szCs w:val="18"/>
                <w:u w:val="single"/>
                <w:lang w:eastAsia="lv-LV"/>
              </w:rPr>
            </w:pPr>
            <w:r w:rsidRPr="00CA7F5D">
              <w:rPr>
                <w:szCs w:val="18"/>
                <w:u w:val="single"/>
                <w:lang w:eastAsia="lv-LV"/>
              </w:rPr>
              <w:t>Citas izmaiņas</w:t>
            </w:r>
          </w:p>
        </w:tc>
        <w:tc>
          <w:tcPr>
            <w:tcW w:w="1277" w:type="dxa"/>
            <w:shd w:val="clear" w:color="auto" w:fill="F2F2F2" w:themeFill="background1" w:themeFillShade="F2"/>
          </w:tcPr>
          <w:p w:rsidR="00252152" w:rsidRPr="00CA7F5D" w:rsidRDefault="00252152" w:rsidP="00AF7C6D">
            <w:pPr>
              <w:pStyle w:val="tabteksts"/>
              <w:jc w:val="right"/>
              <w:rPr>
                <w:bCs/>
                <w:szCs w:val="18"/>
              </w:rPr>
            </w:pPr>
            <w:r w:rsidRPr="00CA7F5D">
              <w:rPr>
                <w:bCs/>
                <w:szCs w:val="18"/>
              </w:rPr>
              <w:t>183 291</w:t>
            </w:r>
          </w:p>
        </w:tc>
        <w:tc>
          <w:tcPr>
            <w:tcW w:w="1277" w:type="dxa"/>
            <w:shd w:val="clear" w:color="auto" w:fill="F2F2F2" w:themeFill="background1" w:themeFillShade="F2"/>
          </w:tcPr>
          <w:p w:rsidR="00252152" w:rsidRPr="00CA7F5D" w:rsidRDefault="00252152" w:rsidP="00AF7C6D">
            <w:pPr>
              <w:pStyle w:val="tabteksts"/>
              <w:jc w:val="right"/>
              <w:rPr>
                <w:bCs/>
                <w:szCs w:val="18"/>
              </w:rPr>
            </w:pPr>
            <w:r w:rsidRPr="00CA7F5D">
              <w:rPr>
                <w:bCs/>
                <w:szCs w:val="18"/>
              </w:rPr>
              <w:t>495 904</w:t>
            </w:r>
          </w:p>
        </w:tc>
        <w:tc>
          <w:tcPr>
            <w:tcW w:w="1277" w:type="dxa"/>
            <w:shd w:val="clear" w:color="auto" w:fill="F2F2F2" w:themeFill="background1" w:themeFillShade="F2"/>
          </w:tcPr>
          <w:p w:rsidR="00252152" w:rsidRPr="00CA7F5D" w:rsidRDefault="00252152" w:rsidP="00AF7C6D">
            <w:pPr>
              <w:pStyle w:val="tabteksts"/>
              <w:jc w:val="right"/>
              <w:rPr>
                <w:bCs/>
                <w:szCs w:val="18"/>
              </w:rPr>
            </w:pPr>
            <w:r w:rsidRPr="00CA7F5D">
              <w:rPr>
                <w:bCs/>
                <w:szCs w:val="18"/>
              </w:rPr>
              <w:t>312 613</w:t>
            </w:r>
          </w:p>
        </w:tc>
      </w:tr>
      <w:tr w:rsidR="00252152" w:rsidRPr="00CA7F5D" w:rsidTr="00AF7C6D">
        <w:trPr>
          <w:trHeight w:val="142"/>
          <w:jc w:val="center"/>
        </w:trPr>
        <w:tc>
          <w:tcPr>
            <w:tcW w:w="5241" w:type="dxa"/>
          </w:tcPr>
          <w:p w:rsidR="00252152" w:rsidRPr="00CA7F5D" w:rsidRDefault="00252152" w:rsidP="00EC270C">
            <w:pPr>
              <w:pStyle w:val="tabteksts"/>
              <w:jc w:val="both"/>
              <w:rPr>
                <w:i/>
                <w:szCs w:val="18"/>
                <w:lang w:eastAsia="lv-LV"/>
              </w:rPr>
            </w:pPr>
            <w:r w:rsidRPr="00CA7F5D">
              <w:rPr>
                <w:i/>
                <w:szCs w:val="18"/>
                <w:lang w:eastAsia="lv-LV"/>
              </w:rPr>
              <w:lastRenderedPageBreak/>
              <w:t xml:space="preserve">Palielināti izdevumi tiesnešu atalgojumam saskaņā ar likumu “Grozījumi Valsts un pašvaldību institūciju amatpersonu un darbinieku atlīdzības likumā”(pieņemts Saeimā 06.12.2018.) un atbilstoši </w:t>
            </w:r>
            <w:r>
              <w:rPr>
                <w:i/>
                <w:szCs w:val="18"/>
                <w:lang w:eastAsia="lv-LV"/>
              </w:rPr>
              <w:t>MK</w:t>
            </w:r>
            <w:r w:rsidRPr="00CA7F5D">
              <w:rPr>
                <w:i/>
                <w:szCs w:val="18"/>
                <w:lang w:eastAsia="lv-LV"/>
              </w:rPr>
              <w:t xml:space="preserve"> 2019.gada 5.februāra prot.Nr.5 30.§ 17.4.punktam</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23 834</w:t>
            </w:r>
          </w:p>
        </w:tc>
        <w:tc>
          <w:tcPr>
            <w:tcW w:w="1277" w:type="dxa"/>
          </w:tcPr>
          <w:p w:rsidR="00252152" w:rsidRPr="00CA7F5D" w:rsidRDefault="00252152" w:rsidP="00AF7C6D">
            <w:pPr>
              <w:pStyle w:val="tabteksts"/>
              <w:jc w:val="right"/>
              <w:rPr>
                <w:szCs w:val="18"/>
              </w:rPr>
            </w:pPr>
            <w:r w:rsidRPr="00CA7F5D">
              <w:rPr>
                <w:szCs w:val="18"/>
              </w:rPr>
              <w:t>23 834</w:t>
            </w:r>
          </w:p>
        </w:tc>
      </w:tr>
      <w:tr w:rsidR="00252152" w:rsidRPr="00CA7F5D" w:rsidTr="00AF7C6D">
        <w:trPr>
          <w:trHeight w:val="142"/>
          <w:jc w:val="center"/>
        </w:trPr>
        <w:tc>
          <w:tcPr>
            <w:tcW w:w="5241" w:type="dxa"/>
          </w:tcPr>
          <w:p w:rsidR="00252152" w:rsidRPr="00CA7F5D" w:rsidRDefault="00252152" w:rsidP="00EC270C">
            <w:pPr>
              <w:pStyle w:val="tabteksts"/>
              <w:jc w:val="both"/>
              <w:rPr>
                <w:i/>
                <w:szCs w:val="18"/>
                <w:lang w:eastAsia="lv-LV"/>
              </w:rPr>
            </w:pPr>
            <w:r w:rsidRPr="00CA7F5D">
              <w:rPr>
                <w:i/>
                <w:szCs w:val="18"/>
                <w:lang w:eastAsia="lv-LV"/>
              </w:rPr>
              <w:t>Palielināti izdevumi  tiesnešu atalgojumam saskaņā ar likuma “Valsts un pašvaldību institūciju amatpersonu un darbin</w:t>
            </w:r>
            <w:r>
              <w:rPr>
                <w:i/>
                <w:szCs w:val="18"/>
                <w:lang w:eastAsia="lv-LV"/>
              </w:rPr>
              <w:t>ieku atlīdzības likums” 6.</w:t>
            </w:r>
            <w:r w:rsidRPr="00EA4A04">
              <w:rPr>
                <w:i/>
                <w:szCs w:val="18"/>
                <w:vertAlign w:val="superscript"/>
                <w:lang w:eastAsia="lv-LV"/>
              </w:rPr>
              <w:t>1</w:t>
            </w:r>
            <w:r w:rsidRPr="00CA7F5D">
              <w:rPr>
                <w:i/>
                <w:szCs w:val="18"/>
                <w:lang w:eastAsia="lv-LV"/>
              </w:rPr>
              <w:t xml:space="preserve">  pantu un pamatojoties uz Valsts kancelejas publiskoto informāciju par vēlēto amatpersonu un Saeimas iecelto amatpers</w:t>
            </w:r>
            <w:r>
              <w:rPr>
                <w:i/>
                <w:szCs w:val="18"/>
                <w:lang w:eastAsia="lv-LV"/>
              </w:rPr>
              <w:t>onu mēnešalgas apmēru 2021.gadā</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4 607</w:t>
            </w:r>
          </w:p>
        </w:tc>
        <w:tc>
          <w:tcPr>
            <w:tcW w:w="1277" w:type="dxa"/>
          </w:tcPr>
          <w:p w:rsidR="00252152" w:rsidRPr="00CA7F5D" w:rsidRDefault="00252152" w:rsidP="00AF7C6D">
            <w:pPr>
              <w:pStyle w:val="tabteksts"/>
              <w:jc w:val="right"/>
              <w:rPr>
                <w:szCs w:val="18"/>
              </w:rPr>
            </w:pPr>
            <w:r w:rsidRPr="00CA7F5D">
              <w:rPr>
                <w:szCs w:val="18"/>
              </w:rPr>
              <w:t>4 607</w:t>
            </w:r>
          </w:p>
        </w:tc>
      </w:tr>
      <w:tr w:rsidR="00252152" w:rsidRPr="00CA7F5D" w:rsidTr="00AF7C6D">
        <w:trPr>
          <w:trHeight w:val="142"/>
          <w:jc w:val="center"/>
        </w:trPr>
        <w:tc>
          <w:tcPr>
            <w:tcW w:w="5241" w:type="dxa"/>
          </w:tcPr>
          <w:p w:rsidR="00252152" w:rsidRPr="00CA7F5D" w:rsidRDefault="00252152" w:rsidP="00EC270C">
            <w:pPr>
              <w:pStyle w:val="tabteksts"/>
              <w:jc w:val="both"/>
              <w:rPr>
                <w:i/>
                <w:szCs w:val="18"/>
                <w:lang w:eastAsia="lv-LV"/>
              </w:rPr>
            </w:pPr>
            <w:r w:rsidRPr="00CA7F5D">
              <w:rPr>
                <w:rFonts w:eastAsia="Calibri"/>
                <w:i/>
                <w:szCs w:val="18"/>
              </w:rPr>
              <w:t>Palielināti izdevumi 2020. gada prioritārajam pasākumam “</w:t>
            </w:r>
            <w:r w:rsidRPr="00CA7F5D">
              <w:rPr>
                <w:rFonts w:eastAsia="Calibri"/>
                <w:bCs/>
                <w:i/>
                <w:szCs w:val="18"/>
              </w:rPr>
              <w:t>Satversmes tiesas autoparka atjaunošana</w:t>
            </w:r>
            <w:r w:rsidRPr="00CA7F5D">
              <w:rPr>
                <w:rFonts w:eastAsia="Calibri"/>
                <w:i/>
                <w:szCs w:val="18"/>
              </w:rPr>
              <w:t xml:space="preserve">”,  </w:t>
            </w:r>
            <w:r w:rsidRPr="00CA7F5D">
              <w:rPr>
                <w:i/>
                <w:szCs w:val="18"/>
                <w:lang w:eastAsia="lv-LV"/>
              </w:rPr>
              <w:t xml:space="preserve">saskaņā ar  </w:t>
            </w:r>
            <w:r>
              <w:rPr>
                <w:i/>
                <w:szCs w:val="18"/>
                <w:lang w:eastAsia="lv-LV"/>
              </w:rPr>
              <w:t>MK</w:t>
            </w:r>
            <w:r w:rsidRPr="00CA7F5D">
              <w:rPr>
                <w:i/>
                <w:szCs w:val="18"/>
                <w:lang w:eastAsia="lv-LV"/>
              </w:rPr>
              <w:t xml:space="preserve"> 2019. gada 17. septembra </w:t>
            </w:r>
            <w:r>
              <w:rPr>
                <w:i/>
                <w:szCs w:val="18"/>
                <w:lang w:eastAsia="lv-LV"/>
              </w:rPr>
              <w:t>sēdē (prot.Nr.42 34.§) nolemto</w:t>
            </w:r>
            <w:r w:rsidRPr="00CA7F5D">
              <w:rPr>
                <w:i/>
                <w:szCs w:val="18"/>
                <w:lang w:eastAsia="lv-LV"/>
              </w:rPr>
              <w:t xml:space="preserve"> </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150 000</w:t>
            </w:r>
          </w:p>
        </w:tc>
        <w:tc>
          <w:tcPr>
            <w:tcW w:w="1277" w:type="dxa"/>
          </w:tcPr>
          <w:p w:rsidR="00252152" w:rsidRPr="00CA7F5D" w:rsidRDefault="00252152" w:rsidP="00AF7C6D">
            <w:pPr>
              <w:pStyle w:val="tabteksts"/>
              <w:jc w:val="right"/>
              <w:rPr>
                <w:szCs w:val="18"/>
              </w:rPr>
            </w:pPr>
            <w:r w:rsidRPr="00CA7F5D">
              <w:rPr>
                <w:szCs w:val="18"/>
              </w:rPr>
              <w:t>150 000</w:t>
            </w:r>
          </w:p>
        </w:tc>
      </w:tr>
      <w:tr w:rsidR="00252152" w:rsidRPr="00CA7F5D" w:rsidTr="00AF7C6D">
        <w:trPr>
          <w:trHeight w:val="142"/>
          <w:jc w:val="center"/>
        </w:trPr>
        <w:tc>
          <w:tcPr>
            <w:tcW w:w="5241" w:type="dxa"/>
          </w:tcPr>
          <w:p w:rsidR="00252152" w:rsidRPr="00CA7F5D" w:rsidRDefault="00252152" w:rsidP="00EC270C">
            <w:pPr>
              <w:pStyle w:val="tabteksts"/>
              <w:jc w:val="both"/>
              <w:rPr>
                <w:i/>
                <w:szCs w:val="18"/>
                <w:lang w:eastAsia="lv-LV"/>
              </w:rPr>
            </w:pPr>
            <w:r w:rsidRPr="00CA7F5D">
              <w:rPr>
                <w:rFonts w:eastAsia="Calibri"/>
                <w:i/>
                <w:szCs w:val="18"/>
              </w:rPr>
              <w:t>Palielināti izdevumi 2020. gada prioritārajam pasākumam “</w:t>
            </w:r>
            <w:r w:rsidRPr="00CA7F5D">
              <w:rPr>
                <w:rFonts w:eastAsia="Calibri"/>
                <w:bCs/>
                <w:i/>
                <w:szCs w:val="18"/>
              </w:rPr>
              <w:t>Informācijas un komunikācijas tehnoloģiju pilnveide</w:t>
            </w:r>
            <w:r w:rsidRPr="00CA7F5D">
              <w:rPr>
                <w:rFonts w:eastAsia="Calibri"/>
                <w:i/>
                <w:szCs w:val="18"/>
              </w:rPr>
              <w:t xml:space="preserve">”, </w:t>
            </w:r>
            <w:r w:rsidRPr="00CA7F5D">
              <w:rPr>
                <w:i/>
                <w:szCs w:val="18"/>
                <w:lang w:eastAsia="lv-LV"/>
              </w:rPr>
              <w:t xml:space="preserve">saskaņā ar  </w:t>
            </w:r>
            <w:r>
              <w:rPr>
                <w:i/>
                <w:szCs w:val="18"/>
                <w:lang w:eastAsia="lv-LV"/>
              </w:rPr>
              <w:t>MK</w:t>
            </w:r>
            <w:r w:rsidRPr="00CA7F5D">
              <w:rPr>
                <w:i/>
                <w:szCs w:val="18"/>
                <w:lang w:eastAsia="lv-LV"/>
              </w:rPr>
              <w:t xml:space="preserve"> 2019. gada 17. septembra s</w:t>
            </w:r>
            <w:r>
              <w:rPr>
                <w:i/>
                <w:szCs w:val="18"/>
                <w:lang w:eastAsia="lv-LV"/>
              </w:rPr>
              <w:t>ēdē (prot.Nr.42 34.§) nolemto</w:t>
            </w:r>
          </w:p>
        </w:tc>
        <w:tc>
          <w:tcPr>
            <w:tcW w:w="1277" w:type="dxa"/>
          </w:tcPr>
          <w:p w:rsidR="00252152" w:rsidRPr="00CA7F5D" w:rsidRDefault="00252152" w:rsidP="00AF7C6D">
            <w:pPr>
              <w:pStyle w:val="tabteksts"/>
              <w:jc w:val="center"/>
              <w:rPr>
                <w:szCs w:val="18"/>
              </w:rPr>
            </w:pPr>
          </w:p>
        </w:tc>
        <w:tc>
          <w:tcPr>
            <w:tcW w:w="1277" w:type="dxa"/>
          </w:tcPr>
          <w:p w:rsidR="00252152" w:rsidRPr="00CA7F5D" w:rsidRDefault="00252152" w:rsidP="00AF7C6D">
            <w:pPr>
              <w:pStyle w:val="tabteksts"/>
              <w:jc w:val="right"/>
              <w:rPr>
                <w:szCs w:val="18"/>
              </w:rPr>
            </w:pPr>
            <w:r w:rsidRPr="00CA7F5D">
              <w:rPr>
                <w:rFonts w:eastAsia="Calibri"/>
                <w:szCs w:val="18"/>
              </w:rPr>
              <w:t>296 324</w:t>
            </w:r>
          </w:p>
        </w:tc>
        <w:tc>
          <w:tcPr>
            <w:tcW w:w="1277" w:type="dxa"/>
          </w:tcPr>
          <w:p w:rsidR="00252152" w:rsidRPr="00CA7F5D" w:rsidRDefault="00252152" w:rsidP="00AF7C6D">
            <w:pPr>
              <w:pStyle w:val="tabteksts"/>
              <w:jc w:val="right"/>
              <w:rPr>
                <w:szCs w:val="18"/>
              </w:rPr>
            </w:pPr>
            <w:r w:rsidRPr="00CA7F5D">
              <w:rPr>
                <w:rFonts w:eastAsia="Calibri"/>
                <w:szCs w:val="18"/>
              </w:rPr>
              <w:t>296 324</w:t>
            </w:r>
          </w:p>
        </w:tc>
      </w:tr>
      <w:tr w:rsidR="00252152" w:rsidRPr="00CA7F5D" w:rsidTr="00AF7C6D">
        <w:trPr>
          <w:trHeight w:val="142"/>
          <w:jc w:val="center"/>
        </w:trPr>
        <w:tc>
          <w:tcPr>
            <w:tcW w:w="5241" w:type="dxa"/>
          </w:tcPr>
          <w:p w:rsidR="00252152" w:rsidRPr="00CA7F5D" w:rsidRDefault="00252152" w:rsidP="00EC270C">
            <w:pPr>
              <w:pStyle w:val="tabteksts"/>
              <w:jc w:val="both"/>
              <w:rPr>
                <w:i/>
                <w:szCs w:val="18"/>
                <w:lang w:eastAsia="lv-LV"/>
              </w:rPr>
            </w:pPr>
            <w:r w:rsidRPr="00CA7F5D">
              <w:rPr>
                <w:rFonts w:eastAsia="Calibri"/>
                <w:i/>
                <w:szCs w:val="18"/>
              </w:rPr>
              <w:t xml:space="preserve">Izdevumu izmaiņas 2020. gada prioritārajam  pasākumam </w:t>
            </w:r>
            <w:r w:rsidRPr="00CA7F5D">
              <w:rPr>
                <w:i/>
                <w:szCs w:val="18"/>
                <w:lang w:eastAsia="lv-LV"/>
              </w:rPr>
              <w:t>“</w:t>
            </w:r>
            <w:r w:rsidRPr="00CA7F5D">
              <w:rPr>
                <w:rFonts w:eastAsia="Calibri"/>
                <w:bCs/>
                <w:i/>
                <w:szCs w:val="18"/>
              </w:rPr>
              <w:t>Satversmes tiesas starptautiskās sadarbības organizēšanas pasākumi</w:t>
            </w:r>
            <w:r w:rsidRPr="00CA7F5D">
              <w:rPr>
                <w:i/>
                <w:szCs w:val="18"/>
                <w:lang w:eastAsia="lv-LV"/>
              </w:rPr>
              <w:t xml:space="preserve">”, saskaņā ar  </w:t>
            </w:r>
            <w:r>
              <w:rPr>
                <w:i/>
                <w:szCs w:val="18"/>
                <w:lang w:eastAsia="lv-LV"/>
              </w:rPr>
              <w:t>MK</w:t>
            </w:r>
            <w:r w:rsidRPr="00CA7F5D">
              <w:rPr>
                <w:i/>
                <w:szCs w:val="18"/>
                <w:lang w:eastAsia="lv-LV"/>
              </w:rPr>
              <w:t xml:space="preserve"> 2019. gada 17. septembra sēdē (prot.Nr.42 34.§) nolemto</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16 970</w:t>
            </w:r>
          </w:p>
        </w:tc>
        <w:tc>
          <w:tcPr>
            <w:tcW w:w="1277" w:type="dxa"/>
          </w:tcPr>
          <w:p w:rsidR="00252152" w:rsidRPr="00CA7F5D" w:rsidRDefault="00252152" w:rsidP="00AF7C6D">
            <w:pPr>
              <w:pStyle w:val="tabteksts"/>
              <w:jc w:val="right"/>
              <w:rPr>
                <w:szCs w:val="18"/>
              </w:rPr>
            </w:pPr>
            <w:r w:rsidRPr="00CA7F5D">
              <w:rPr>
                <w:szCs w:val="18"/>
              </w:rPr>
              <w:t>16 970</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i/>
                <w:szCs w:val="18"/>
              </w:rPr>
            </w:pPr>
            <w:r w:rsidRPr="00CA7F5D">
              <w:rPr>
                <w:rFonts w:eastAsia="Calibri"/>
                <w:i/>
                <w:szCs w:val="18"/>
              </w:rPr>
              <w:t xml:space="preserve">Izdevumu izmaiņas 2020. gada prioritārajam pasākumam </w:t>
            </w:r>
            <w:r w:rsidRPr="00CA7F5D">
              <w:rPr>
                <w:i/>
                <w:szCs w:val="18"/>
                <w:lang w:eastAsia="lv-LV"/>
              </w:rPr>
              <w:t>“</w:t>
            </w:r>
            <w:r w:rsidRPr="00CA7F5D">
              <w:rPr>
                <w:rFonts w:eastAsia="Calibri"/>
                <w:bCs/>
                <w:i/>
                <w:szCs w:val="18"/>
              </w:rPr>
              <w:t>Remonta, uzturēšanas un aprīkojuma izdevumi</w:t>
            </w:r>
            <w:r w:rsidRPr="00CA7F5D">
              <w:rPr>
                <w:i/>
                <w:szCs w:val="18"/>
                <w:lang w:eastAsia="lv-LV"/>
              </w:rPr>
              <w:t xml:space="preserve">”,  saskaņā ar  </w:t>
            </w:r>
            <w:r>
              <w:rPr>
                <w:i/>
                <w:szCs w:val="18"/>
                <w:lang w:eastAsia="lv-LV"/>
              </w:rPr>
              <w:t>MK</w:t>
            </w:r>
            <w:r w:rsidRPr="00CA7F5D">
              <w:rPr>
                <w:i/>
                <w:szCs w:val="18"/>
                <w:lang w:eastAsia="lv-LV"/>
              </w:rPr>
              <w:t xml:space="preserve"> 2019. gada 17. septembra sēdē (prot.Nr.42 34.§) nolemto   </w:t>
            </w:r>
          </w:p>
        </w:tc>
        <w:tc>
          <w:tcPr>
            <w:tcW w:w="1277" w:type="dxa"/>
          </w:tcPr>
          <w:p w:rsidR="00252152" w:rsidRPr="00CA7F5D" w:rsidRDefault="00252152" w:rsidP="00AF7C6D">
            <w:pPr>
              <w:pStyle w:val="tabteksts"/>
              <w:jc w:val="right"/>
              <w:rPr>
                <w:szCs w:val="18"/>
              </w:rPr>
            </w:pPr>
            <w:r w:rsidRPr="00CA7F5D">
              <w:rPr>
                <w:szCs w:val="18"/>
              </w:rPr>
              <w:t>160 660</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-160 660</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i/>
                <w:szCs w:val="18"/>
              </w:rPr>
            </w:pPr>
            <w:r w:rsidRPr="00CA7F5D">
              <w:rPr>
                <w:rFonts w:eastAsia="Calibri"/>
                <w:i/>
                <w:szCs w:val="18"/>
              </w:rPr>
              <w:t xml:space="preserve">Izdevumu izmaiņas 2018. gada prioritārajam pasākumam  </w:t>
            </w:r>
            <w:r w:rsidRPr="00CA7F5D">
              <w:rPr>
                <w:i/>
                <w:szCs w:val="18"/>
                <w:lang w:eastAsia="lv-LV"/>
              </w:rPr>
              <w:t>“</w:t>
            </w:r>
            <w:r w:rsidRPr="00CA7F5D">
              <w:rPr>
                <w:rFonts w:eastAsia="Calibri"/>
                <w:bCs/>
                <w:i/>
                <w:szCs w:val="18"/>
              </w:rPr>
              <w:t>Satversmes tiesas kapacitātes celšana</w:t>
            </w:r>
            <w:r w:rsidRPr="00CA7F5D">
              <w:rPr>
                <w:i/>
                <w:szCs w:val="18"/>
                <w:lang w:eastAsia="lv-LV"/>
              </w:rPr>
              <w:t>”</w:t>
            </w:r>
          </w:p>
        </w:tc>
        <w:tc>
          <w:tcPr>
            <w:tcW w:w="1277" w:type="dxa"/>
          </w:tcPr>
          <w:p w:rsidR="00252152" w:rsidRPr="00CA7F5D" w:rsidRDefault="00252152" w:rsidP="00AF7C6D">
            <w:pPr>
              <w:pStyle w:val="tabteksts"/>
              <w:jc w:val="right"/>
              <w:rPr>
                <w:szCs w:val="18"/>
              </w:rPr>
            </w:pPr>
            <w:r w:rsidRPr="00CA7F5D">
              <w:rPr>
                <w:szCs w:val="18"/>
              </w:rPr>
              <w:t>8 876</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-8 876</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i/>
                <w:szCs w:val="18"/>
              </w:rPr>
            </w:pPr>
            <w:r w:rsidRPr="00CA7F5D">
              <w:rPr>
                <w:rFonts w:eastAsia="Calibri"/>
                <w:i/>
                <w:szCs w:val="18"/>
              </w:rPr>
              <w:t>Izdevumu izmaiņas 2018. gada prioritārajam pasākumam  “</w:t>
            </w:r>
            <w:r w:rsidRPr="00CA7F5D">
              <w:rPr>
                <w:rFonts w:eastAsia="Calibri"/>
                <w:bCs/>
                <w:i/>
                <w:szCs w:val="18"/>
              </w:rPr>
              <w:t>Strukturālā reforma: Satversmes tiesas juridiskā bloka papildināšana</w:t>
            </w:r>
            <w:r w:rsidRPr="00CA7F5D">
              <w:rPr>
                <w:rFonts w:eastAsia="Calibri"/>
                <w:i/>
                <w:szCs w:val="18"/>
              </w:rPr>
              <w:t>”</w:t>
            </w:r>
          </w:p>
        </w:tc>
        <w:tc>
          <w:tcPr>
            <w:tcW w:w="1277" w:type="dxa"/>
          </w:tcPr>
          <w:p w:rsidR="00252152" w:rsidRPr="00CA7F5D" w:rsidRDefault="00252152" w:rsidP="00AF7C6D">
            <w:pPr>
              <w:pStyle w:val="tabteksts"/>
              <w:jc w:val="right"/>
              <w:rPr>
                <w:szCs w:val="18"/>
              </w:rPr>
            </w:pPr>
            <w:r w:rsidRPr="00CA7F5D">
              <w:rPr>
                <w:szCs w:val="18"/>
              </w:rPr>
              <w:t>4 900</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-4 900</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i/>
                <w:szCs w:val="18"/>
              </w:rPr>
            </w:pPr>
            <w:r w:rsidRPr="00CA7F5D">
              <w:rPr>
                <w:rFonts w:eastAsia="Calibri"/>
                <w:i/>
                <w:szCs w:val="18"/>
              </w:rPr>
              <w:t xml:space="preserve">Palielināti izdevumi 2020.gada prioritārajam pasākumam "Minimālās algas palielināšana līdz 500 eiro ar 2021.gada 1.janvāri", saskaņā ar  </w:t>
            </w:r>
            <w:r>
              <w:rPr>
                <w:rFonts w:eastAsia="Calibri"/>
                <w:i/>
                <w:szCs w:val="18"/>
              </w:rPr>
              <w:t>MK</w:t>
            </w:r>
            <w:r w:rsidRPr="00CA7F5D">
              <w:rPr>
                <w:rFonts w:eastAsia="Calibri"/>
                <w:i/>
                <w:szCs w:val="18"/>
              </w:rPr>
              <w:t xml:space="preserve"> 2019. gada 17. septembra s</w:t>
            </w:r>
            <w:r>
              <w:rPr>
                <w:rFonts w:eastAsia="Calibri"/>
                <w:i/>
                <w:szCs w:val="18"/>
              </w:rPr>
              <w:t>ēdē (prot.Nr.42 34.§) nolemto</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4 169</w:t>
            </w:r>
          </w:p>
        </w:tc>
        <w:tc>
          <w:tcPr>
            <w:tcW w:w="1277" w:type="dxa"/>
          </w:tcPr>
          <w:p w:rsidR="00252152" w:rsidRPr="00CA7F5D" w:rsidRDefault="00252152" w:rsidP="00AF7C6D">
            <w:pPr>
              <w:pStyle w:val="tabteksts"/>
              <w:jc w:val="right"/>
              <w:rPr>
                <w:szCs w:val="18"/>
              </w:rPr>
            </w:pPr>
            <w:r w:rsidRPr="00CA7F5D">
              <w:rPr>
                <w:szCs w:val="18"/>
              </w:rPr>
              <w:t>4 169</w:t>
            </w:r>
          </w:p>
        </w:tc>
      </w:tr>
      <w:tr w:rsidR="00252152" w:rsidRPr="00CA7F5D" w:rsidTr="00AF7C6D">
        <w:trPr>
          <w:trHeight w:val="142"/>
          <w:jc w:val="center"/>
        </w:trPr>
        <w:tc>
          <w:tcPr>
            <w:tcW w:w="5241" w:type="dxa"/>
          </w:tcPr>
          <w:p w:rsidR="00252152" w:rsidRPr="00CA7F5D" w:rsidRDefault="00252152" w:rsidP="00EC270C">
            <w:pPr>
              <w:pStyle w:val="tabteksts"/>
              <w:jc w:val="both"/>
              <w:rPr>
                <w:rFonts w:eastAsia="Calibri"/>
                <w:i/>
                <w:szCs w:val="18"/>
              </w:rPr>
            </w:pPr>
            <w:r w:rsidRPr="00CA7F5D">
              <w:rPr>
                <w:rFonts w:eastAsia="Calibri"/>
                <w:i/>
                <w:szCs w:val="18"/>
              </w:rPr>
              <w:t xml:space="preserve">Samazināti izdevumi saskaņā ar MK 22.09.2020. sēdes protokola Nr.55 </w:t>
            </w:r>
            <w:bookmarkStart w:id="3" w:name="1"/>
            <w:r w:rsidRPr="00CA7F5D">
              <w:rPr>
                <w:rFonts w:eastAsia="Calibri"/>
                <w:i/>
                <w:szCs w:val="18"/>
              </w:rPr>
              <w:t>38.§</w:t>
            </w:r>
            <w:bookmarkEnd w:id="3"/>
            <w:r w:rsidRPr="00CA7F5D">
              <w:rPr>
                <w:rFonts w:eastAsia="Calibri"/>
                <w:i/>
                <w:szCs w:val="18"/>
              </w:rPr>
              <w:t xml:space="preserve"> 2. un 40.punktu (atbilstoši informatīvā ziņojuma 3.pielikumam)”</w:t>
            </w:r>
          </w:p>
        </w:tc>
        <w:tc>
          <w:tcPr>
            <w:tcW w:w="1277" w:type="dxa"/>
          </w:tcPr>
          <w:p w:rsidR="00252152" w:rsidRPr="00CA7F5D" w:rsidRDefault="00252152" w:rsidP="00AF7C6D">
            <w:pPr>
              <w:pStyle w:val="tabteksts"/>
              <w:jc w:val="right"/>
              <w:rPr>
                <w:szCs w:val="18"/>
              </w:rPr>
            </w:pPr>
            <w:r w:rsidRPr="00CA7F5D">
              <w:rPr>
                <w:szCs w:val="18"/>
              </w:rPr>
              <w:t>8 855</w:t>
            </w:r>
          </w:p>
        </w:tc>
        <w:tc>
          <w:tcPr>
            <w:tcW w:w="1277" w:type="dxa"/>
          </w:tcPr>
          <w:p w:rsidR="00252152" w:rsidRPr="00CA7F5D" w:rsidRDefault="00252152" w:rsidP="00AF7C6D">
            <w:pPr>
              <w:pStyle w:val="tabteksts"/>
              <w:jc w:val="center"/>
              <w:rPr>
                <w:szCs w:val="18"/>
              </w:rPr>
            </w:pPr>
            <w:r w:rsidRPr="00CA7F5D">
              <w:rPr>
                <w:szCs w:val="18"/>
              </w:rPr>
              <w:t>-</w:t>
            </w:r>
          </w:p>
        </w:tc>
        <w:tc>
          <w:tcPr>
            <w:tcW w:w="1277" w:type="dxa"/>
          </w:tcPr>
          <w:p w:rsidR="00252152" w:rsidRPr="00CA7F5D" w:rsidRDefault="00252152" w:rsidP="00AF7C6D">
            <w:pPr>
              <w:pStyle w:val="tabteksts"/>
              <w:jc w:val="right"/>
              <w:rPr>
                <w:szCs w:val="18"/>
              </w:rPr>
            </w:pPr>
            <w:r w:rsidRPr="00CA7F5D">
              <w:rPr>
                <w:szCs w:val="18"/>
              </w:rPr>
              <w:t>-8 855</w:t>
            </w:r>
          </w:p>
        </w:tc>
      </w:tr>
    </w:tbl>
    <w:p w:rsidR="00905C30" w:rsidRPr="00905C30" w:rsidRDefault="00905C30" w:rsidP="00252152">
      <w:pPr>
        <w:pStyle w:val="Funkcijasbold"/>
        <w:spacing w:before="120"/>
        <w:rPr>
          <w:lang w:eastAsia="lv-LV"/>
        </w:rPr>
      </w:pPr>
    </w:p>
    <w:sectPr w:rsidR="00905C30" w:rsidRPr="00905C30" w:rsidSect="00027C5C">
      <w:headerReference w:type="default" r:id="rId14"/>
      <w:footerReference w:type="even" r:id="rId15"/>
      <w:footerReference w:type="default" r:id="rId16"/>
      <w:pgSz w:w="11906" w:h="16838"/>
      <w:pgMar w:top="1418" w:right="1134" w:bottom="1134" w:left="1701" w:header="709" w:footer="613" w:gutter="0"/>
      <w:pgNumType w:start="8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C4" w:rsidRDefault="008933C4" w:rsidP="005F0727">
      <w:r>
        <w:separator/>
      </w:r>
    </w:p>
  </w:endnote>
  <w:endnote w:type="continuationSeparator" w:id="0">
    <w:p w:rsidR="008933C4" w:rsidRDefault="008933C4"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FA" w:rsidRPr="002710FA" w:rsidRDefault="002710FA" w:rsidP="002710FA">
    <w:pPr>
      <w:pStyle w:val="Footer"/>
      <w:ind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79" w:rsidRPr="002710FA" w:rsidRDefault="002710FA" w:rsidP="002710FA">
    <w:pPr>
      <w:pStyle w:val="Footer"/>
      <w:ind w:firstLine="0"/>
      <w:jc w:val="left"/>
      <w:rPr>
        <w:sz w:val="20"/>
      </w:rPr>
    </w:pPr>
    <w:r w:rsidRPr="002710FA">
      <w:rPr>
        <w:sz w:val="20"/>
      </w:rPr>
      <w:fldChar w:fldCharType="begin"/>
    </w:r>
    <w:r w:rsidRPr="002710FA">
      <w:rPr>
        <w:sz w:val="20"/>
      </w:rPr>
      <w:instrText xml:space="preserve"> FILENAME \* MERGEFORMAT </w:instrText>
    </w:r>
    <w:r w:rsidRPr="002710FA">
      <w:rPr>
        <w:sz w:val="20"/>
      </w:rPr>
      <w:fldChar w:fldCharType="separate"/>
    </w:r>
    <w:r w:rsidR="000628DD">
      <w:rPr>
        <w:noProof/>
        <w:sz w:val="20"/>
      </w:rPr>
      <w:t>FMPask_5.3_30_ST_121020_proj2021.docx</w:t>
    </w:r>
    <w:r w:rsidRPr="002710F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C4" w:rsidRDefault="008933C4" w:rsidP="00E81CF6">
      <w:pPr>
        <w:spacing w:after="0"/>
        <w:ind w:firstLine="0"/>
      </w:pPr>
      <w:r>
        <w:separator/>
      </w:r>
    </w:p>
  </w:footnote>
  <w:footnote w:type="continuationSeparator" w:id="0">
    <w:p w:rsidR="008933C4" w:rsidRDefault="008933C4"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44846"/>
      <w:docPartObj>
        <w:docPartGallery w:val="Page Numbers (Top of Page)"/>
        <w:docPartUnique/>
      </w:docPartObj>
    </w:sdtPr>
    <w:sdtEndPr>
      <w:rPr>
        <w:noProof/>
      </w:rPr>
    </w:sdtEndPr>
    <w:sdtContent>
      <w:p w:rsidR="00C000A4" w:rsidRDefault="00C000A4">
        <w:pPr>
          <w:pStyle w:val="Header"/>
          <w:jc w:val="center"/>
        </w:pPr>
        <w:r>
          <w:fldChar w:fldCharType="begin"/>
        </w:r>
        <w:r>
          <w:instrText xml:space="preserve"> PAGE   \* MERGEFORMAT </w:instrText>
        </w:r>
        <w:r>
          <w:fldChar w:fldCharType="separate"/>
        </w:r>
        <w:r w:rsidR="003741A1">
          <w:rPr>
            <w:noProof/>
          </w:rPr>
          <w:t>855</w:t>
        </w:r>
        <w:r>
          <w:rPr>
            <w:noProof/>
          </w:rPr>
          <w:fldChar w:fldCharType="end"/>
        </w:r>
      </w:p>
    </w:sdtContent>
  </w:sdt>
  <w:p w:rsidR="00F87D79" w:rsidRPr="002710FA" w:rsidRDefault="00F87D79" w:rsidP="002710FA">
    <w:pPr>
      <w:pStyle w:val="Header"/>
      <w:spacing w:after="0"/>
      <w:ind w:firstLine="0"/>
      <w:jc w:val="left"/>
      <w:rPr>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0614E"/>
    <w:multiLevelType w:val="hybridMultilevel"/>
    <w:tmpl w:val="A6882EA8"/>
    <w:lvl w:ilvl="0" w:tplc="261E9294">
      <w:start w:val="1"/>
      <w:numFmt w:val="decimal"/>
      <w:lvlText w:val="%1)"/>
      <w:lvlJc w:val="left"/>
      <w:pPr>
        <w:ind w:left="1999" w:hanging="12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FA5DAE"/>
    <w:multiLevelType w:val="hybridMultilevel"/>
    <w:tmpl w:val="9CD06990"/>
    <w:lvl w:ilvl="0" w:tplc="5CBACE8E">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7167B39"/>
    <w:multiLevelType w:val="hybridMultilevel"/>
    <w:tmpl w:val="2D2C5B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8BB1862"/>
    <w:multiLevelType w:val="hybridMultilevel"/>
    <w:tmpl w:val="50B82E22"/>
    <w:lvl w:ilvl="0" w:tplc="0426000F">
      <w:start w:val="1"/>
      <w:numFmt w:val="decimal"/>
      <w:lvlText w:val="%1."/>
      <w:lvlJc w:val="left"/>
      <w:pPr>
        <w:ind w:left="615"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0D540A42"/>
    <w:multiLevelType w:val="hybridMultilevel"/>
    <w:tmpl w:val="E6AAA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174DE"/>
    <w:multiLevelType w:val="hybridMultilevel"/>
    <w:tmpl w:val="FC0AD748"/>
    <w:lvl w:ilvl="0" w:tplc="7D7A0FD2">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87E4B0E"/>
    <w:multiLevelType w:val="hybridMultilevel"/>
    <w:tmpl w:val="33D4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2078"/>
    <w:multiLevelType w:val="hybridMultilevel"/>
    <w:tmpl w:val="C4544E6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0"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E8C6C86"/>
    <w:multiLevelType w:val="hybridMultilevel"/>
    <w:tmpl w:val="EC7E1AE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125DD7"/>
    <w:multiLevelType w:val="hybridMultilevel"/>
    <w:tmpl w:val="7A906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485AE8"/>
    <w:multiLevelType w:val="hybridMultilevel"/>
    <w:tmpl w:val="7E48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9996E43"/>
    <w:multiLevelType w:val="hybridMultilevel"/>
    <w:tmpl w:val="639A65C6"/>
    <w:lvl w:ilvl="0" w:tplc="D55264A8">
      <w:start w:val="1"/>
      <w:numFmt w:val="decimal"/>
      <w:lvlText w:val="%1)"/>
      <w:lvlJc w:val="left"/>
      <w:pPr>
        <w:ind w:left="1437" w:hanging="360"/>
      </w:pPr>
      <w:rPr>
        <w:rFonts w:ascii="Times New Roman" w:eastAsia="Times New Roman" w:hAnsi="Times New Roman" w:cs="Times New Roman"/>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9" w15:restartNumberingAfterBreak="0">
    <w:nsid w:val="3E2A14B1"/>
    <w:multiLevelType w:val="hybridMultilevel"/>
    <w:tmpl w:val="019C2F82"/>
    <w:lvl w:ilvl="0" w:tplc="04260001">
      <w:start w:val="1"/>
      <w:numFmt w:val="bullet"/>
      <w:lvlText w:val=""/>
      <w:lvlJc w:val="left"/>
      <w:pPr>
        <w:ind w:left="1080" w:hanging="360"/>
      </w:pPr>
      <w:rPr>
        <w:rFonts w:ascii="Symbol" w:hAnsi="Symbol" w:hint="default"/>
      </w:rPr>
    </w:lvl>
    <w:lvl w:ilvl="1" w:tplc="1DA4A0D0">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6586417"/>
    <w:multiLevelType w:val="hybridMultilevel"/>
    <w:tmpl w:val="BA723662"/>
    <w:lvl w:ilvl="0" w:tplc="B2A03258">
      <w:start w:val="1"/>
      <w:numFmt w:val="decimal"/>
      <w:lvlText w:val="%1)"/>
      <w:lvlJc w:val="left"/>
      <w:pPr>
        <w:ind w:left="1437" w:hanging="360"/>
      </w:pPr>
      <w:rPr>
        <w:rFonts w:hint="default"/>
        <w:color w:val="000000" w:themeColor="text1"/>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2" w15:restartNumberingAfterBreak="0">
    <w:nsid w:val="4F7921D8"/>
    <w:multiLevelType w:val="multilevel"/>
    <w:tmpl w:val="4C04903A"/>
    <w:lvl w:ilvl="0">
      <w:start w:val="1"/>
      <w:numFmt w:val="decimalZero"/>
      <w:lvlText w:val="%1"/>
      <w:lvlJc w:val="left"/>
      <w:pPr>
        <w:ind w:left="840" w:hanging="840"/>
      </w:pPr>
      <w:rPr>
        <w:rFonts w:hint="default"/>
      </w:rPr>
    </w:lvl>
    <w:lvl w:ilvl="1">
      <w:numFmt w:val="decimalZero"/>
      <w:lvlText w:val="%1.%2.0"/>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C16403"/>
    <w:multiLevelType w:val="hybridMultilevel"/>
    <w:tmpl w:val="1FAED8A0"/>
    <w:lvl w:ilvl="0" w:tplc="342287CC">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25"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61E654D"/>
    <w:multiLevelType w:val="hybridMultilevel"/>
    <w:tmpl w:val="4C2805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0C53F1"/>
    <w:multiLevelType w:val="hybridMultilevel"/>
    <w:tmpl w:val="66240CB2"/>
    <w:lvl w:ilvl="0" w:tplc="1960FB3A">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0" w15:restartNumberingAfterBreak="0">
    <w:nsid w:val="6A2B3D6E"/>
    <w:multiLevelType w:val="hybridMultilevel"/>
    <w:tmpl w:val="AEEE8D34"/>
    <w:lvl w:ilvl="0" w:tplc="934085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A5C277C"/>
    <w:multiLevelType w:val="hybridMultilevel"/>
    <w:tmpl w:val="FB3838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6B113859"/>
    <w:multiLevelType w:val="hybridMultilevel"/>
    <w:tmpl w:val="F1A6152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3" w15:restartNumberingAfterBreak="0">
    <w:nsid w:val="724761CF"/>
    <w:multiLevelType w:val="hybridMultilevel"/>
    <w:tmpl w:val="8EBC5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94443B"/>
    <w:multiLevelType w:val="hybridMultilevel"/>
    <w:tmpl w:val="B71E7642"/>
    <w:lvl w:ilvl="0" w:tplc="8C901552">
      <w:start w:val="1"/>
      <w:numFmt w:val="decimal"/>
      <w:lvlText w:val="%1)"/>
      <w:lvlJc w:val="left"/>
      <w:pPr>
        <w:ind w:left="1777"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5" w15:restartNumberingAfterBreak="0">
    <w:nsid w:val="74EE12D7"/>
    <w:multiLevelType w:val="hybridMultilevel"/>
    <w:tmpl w:val="9F841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957EB7"/>
    <w:multiLevelType w:val="hybridMultilevel"/>
    <w:tmpl w:val="198A3E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B0B1A1D"/>
    <w:multiLevelType w:val="hybridMultilevel"/>
    <w:tmpl w:val="DE38C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456DB"/>
    <w:multiLevelType w:val="hybridMultilevel"/>
    <w:tmpl w:val="D034D46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7CA76CBD"/>
    <w:multiLevelType w:val="hybridMultilevel"/>
    <w:tmpl w:val="8F02D7E2"/>
    <w:lvl w:ilvl="0" w:tplc="AAFAE61E">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41" w15:restartNumberingAfterBreak="0">
    <w:nsid w:val="7DF4529E"/>
    <w:multiLevelType w:val="hybridMultilevel"/>
    <w:tmpl w:val="56CC5AE6"/>
    <w:lvl w:ilvl="0" w:tplc="DB084312">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2"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32"/>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4"/>
  </w:num>
  <w:num w:numId="7">
    <w:abstractNumId w:val="40"/>
  </w:num>
  <w:num w:numId="8">
    <w:abstractNumId w:val="22"/>
  </w:num>
  <w:num w:numId="9">
    <w:abstractNumId w:val="2"/>
  </w:num>
  <w:num w:numId="10">
    <w:abstractNumId w:val="19"/>
  </w:num>
  <w:num w:numId="11">
    <w:abstractNumId w:val="9"/>
  </w:num>
  <w:num w:numId="12">
    <w:abstractNumId w:val="30"/>
  </w:num>
  <w:num w:numId="13">
    <w:abstractNumId w:val="1"/>
  </w:num>
  <w:num w:numId="14">
    <w:abstractNumId w:val="31"/>
  </w:num>
  <w:num w:numId="15">
    <w:abstractNumId w:val="3"/>
  </w:num>
  <w:num w:numId="16">
    <w:abstractNumId w:val="26"/>
  </w:num>
  <w:num w:numId="17">
    <w:abstractNumId w:val="39"/>
  </w:num>
  <w:num w:numId="18">
    <w:abstractNumId w:val="11"/>
  </w:num>
  <w:num w:numId="19">
    <w:abstractNumId w:val="10"/>
  </w:num>
  <w:num w:numId="20">
    <w:abstractNumId w:val="37"/>
  </w:num>
  <w:num w:numId="21">
    <w:abstractNumId w:val="23"/>
  </w:num>
  <w:num w:numId="22">
    <w:abstractNumId w:val="27"/>
  </w:num>
  <w:num w:numId="23">
    <w:abstractNumId w:val="42"/>
  </w:num>
  <w:num w:numId="24">
    <w:abstractNumId w:val="16"/>
  </w:num>
  <w:num w:numId="25">
    <w:abstractNumId w:val="13"/>
  </w:num>
  <w:num w:numId="26">
    <w:abstractNumId w:val="0"/>
  </w:num>
  <w:num w:numId="27">
    <w:abstractNumId w:val="20"/>
  </w:num>
  <w:num w:numId="28">
    <w:abstractNumId w:val="5"/>
  </w:num>
  <w:num w:numId="29">
    <w:abstractNumId w:val="17"/>
  </w:num>
  <w:num w:numId="30">
    <w:abstractNumId w:val="25"/>
  </w:num>
  <w:num w:numId="31">
    <w:abstractNumId w:val="6"/>
  </w:num>
  <w:num w:numId="32">
    <w:abstractNumId w:val="18"/>
  </w:num>
  <w:num w:numId="33">
    <w:abstractNumId w:val="7"/>
  </w:num>
  <w:num w:numId="34">
    <w:abstractNumId w:val="36"/>
  </w:num>
  <w:num w:numId="35">
    <w:abstractNumId w:val="29"/>
  </w:num>
  <w:num w:numId="36">
    <w:abstractNumId w:val="4"/>
  </w:num>
  <w:num w:numId="37">
    <w:abstractNumId w:val="35"/>
  </w:num>
  <w:num w:numId="38">
    <w:abstractNumId w:val="38"/>
  </w:num>
  <w:num w:numId="39">
    <w:abstractNumId w:val="14"/>
  </w:num>
  <w:num w:numId="40">
    <w:abstractNumId w:val="15"/>
  </w:num>
  <w:num w:numId="41">
    <w:abstractNumId w:val="28"/>
  </w:num>
  <w:num w:numId="42">
    <w:abstractNumId w:val="21"/>
  </w:num>
  <w:num w:numId="43">
    <w:abstractNumId w:val="41"/>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21BD"/>
    <w:rsid w:val="00016579"/>
    <w:rsid w:val="00024D7E"/>
    <w:rsid w:val="00027873"/>
    <w:rsid w:val="00027C5C"/>
    <w:rsid w:val="00032675"/>
    <w:rsid w:val="00032C6D"/>
    <w:rsid w:val="00037238"/>
    <w:rsid w:val="00045FB3"/>
    <w:rsid w:val="00050C4D"/>
    <w:rsid w:val="000519FE"/>
    <w:rsid w:val="00062214"/>
    <w:rsid w:val="00062720"/>
    <w:rsid w:val="000628DD"/>
    <w:rsid w:val="000630FF"/>
    <w:rsid w:val="000666B5"/>
    <w:rsid w:val="00066A13"/>
    <w:rsid w:val="00066E95"/>
    <w:rsid w:val="00077A9C"/>
    <w:rsid w:val="000836AC"/>
    <w:rsid w:val="0008404A"/>
    <w:rsid w:val="00084F53"/>
    <w:rsid w:val="00091F10"/>
    <w:rsid w:val="00094CCE"/>
    <w:rsid w:val="00097EF8"/>
    <w:rsid w:val="000A5FF9"/>
    <w:rsid w:val="000B04E6"/>
    <w:rsid w:val="000B0DBF"/>
    <w:rsid w:val="000B1C41"/>
    <w:rsid w:val="000C1C19"/>
    <w:rsid w:val="000D0A9D"/>
    <w:rsid w:val="000D6A3E"/>
    <w:rsid w:val="000D740C"/>
    <w:rsid w:val="000F153F"/>
    <w:rsid w:val="000F3720"/>
    <w:rsid w:val="000F43BA"/>
    <w:rsid w:val="001026F4"/>
    <w:rsid w:val="00102A30"/>
    <w:rsid w:val="0011280A"/>
    <w:rsid w:val="001147F3"/>
    <w:rsid w:val="00124ABC"/>
    <w:rsid w:val="001254B0"/>
    <w:rsid w:val="00132518"/>
    <w:rsid w:val="0014415C"/>
    <w:rsid w:val="00147519"/>
    <w:rsid w:val="00162A1E"/>
    <w:rsid w:val="00162B1F"/>
    <w:rsid w:val="00166708"/>
    <w:rsid w:val="001704C5"/>
    <w:rsid w:val="00173C8A"/>
    <w:rsid w:val="00174A7F"/>
    <w:rsid w:val="0019314B"/>
    <w:rsid w:val="001A0EAA"/>
    <w:rsid w:val="001A1908"/>
    <w:rsid w:val="001B4FB8"/>
    <w:rsid w:val="001B649F"/>
    <w:rsid w:val="001C3C65"/>
    <w:rsid w:val="001C5268"/>
    <w:rsid w:val="001C6B44"/>
    <w:rsid w:val="001D31B9"/>
    <w:rsid w:val="001D6024"/>
    <w:rsid w:val="001D71DE"/>
    <w:rsid w:val="001E0C10"/>
    <w:rsid w:val="001E171E"/>
    <w:rsid w:val="001E53E0"/>
    <w:rsid w:val="001E6ECB"/>
    <w:rsid w:val="001F6239"/>
    <w:rsid w:val="001F6912"/>
    <w:rsid w:val="001F7937"/>
    <w:rsid w:val="00200271"/>
    <w:rsid w:val="00212205"/>
    <w:rsid w:val="002131E7"/>
    <w:rsid w:val="00213B1D"/>
    <w:rsid w:val="0021578A"/>
    <w:rsid w:val="00221C33"/>
    <w:rsid w:val="0022630C"/>
    <w:rsid w:val="00237863"/>
    <w:rsid w:val="00244520"/>
    <w:rsid w:val="00252152"/>
    <w:rsid w:val="00254EE8"/>
    <w:rsid w:val="00261952"/>
    <w:rsid w:val="002637B9"/>
    <w:rsid w:val="002666BF"/>
    <w:rsid w:val="002710FA"/>
    <w:rsid w:val="0027622E"/>
    <w:rsid w:val="00285F09"/>
    <w:rsid w:val="00290A6A"/>
    <w:rsid w:val="00293DCF"/>
    <w:rsid w:val="002962A5"/>
    <w:rsid w:val="002978EC"/>
    <w:rsid w:val="00297D59"/>
    <w:rsid w:val="002A3449"/>
    <w:rsid w:val="002A50F6"/>
    <w:rsid w:val="002A62C5"/>
    <w:rsid w:val="002A63DF"/>
    <w:rsid w:val="002B687D"/>
    <w:rsid w:val="002B6B7C"/>
    <w:rsid w:val="002B7E2B"/>
    <w:rsid w:val="002C317A"/>
    <w:rsid w:val="002C3A8F"/>
    <w:rsid w:val="002C453C"/>
    <w:rsid w:val="002C5661"/>
    <w:rsid w:val="002D228C"/>
    <w:rsid w:val="002D2A80"/>
    <w:rsid w:val="002D372C"/>
    <w:rsid w:val="002E1D57"/>
    <w:rsid w:val="002E2994"/>
    <w:rsid w:val="002E2C75"/>
    <w:rsid w:val="002E52A3"/>
    <w:rsid w:val="002E7B93"/>
    <w:rsid w:val="002F7E00"/>
    <w:rsid w:val="00306EFD"/>
    <w:rsid w:val="003116EB"/>
    <w:rsid w:val="00317266"/>
    <w:rsid w:val="003174D7"/>
    <w:rsid w:val="00322EC7"/>
    <w:rsid w:val="00324820"/>
    <w:rsid w:val="00335091"/>
    <w:rsid w:val="00340D63"/>
    <w:rsid w:val="0034507B"/>
    <w:rsid w:val="00347F97"/>
    <w:rsid w:val="00350039"/>
    <w:rsid w:val="00351698"/>
    <w:rsid w:val="00354391"/>
    <w:rsid w:val="00356351"/>
    <w:rsid w:val="00357D2A"/>
    <w:rsid w:val="0036049D"/>
    <w:rsid w:val="00371516"/>
    <w:rsid w:val="003741A1"/>
    <w:rsid w:val="00381010"/>
    <w:rsid w:val="00382B05"/>
    <w:rsid w:val="0038773E"/>
    <w:rsid w:val="00392D94"/>
    <w:rsid w:val="00396D42"/>
    <w:rsid w:val="003975BD"/>
    <w:rsid w:val="003A038A"/>
    <w:rsid w:val="003A0A84"/>
    <w:rsid w:val="003A3845"/>
    <w:rsid w:val="003C1645"/>
    <w:rsid w:val="003C411E"/>
    <w:rsid w:val="003D2CDA"/>
    <w:rsid w:val="003D3D93"/>
    <w:rsid w:val="003E0849"/>
    <w:rsid w:val="003E2EAE"/>
    <w:rsid w:val="003E45EA"/>
    <w:rsid w:val="003E7592"/>
    <w:rsid w:val="004062F7"/>
    <w:rsid w:val="004264F7"/>
    <w:rsid w:val="0043469A"/>
    <w:rsid w:val="0043758B"/>
    <w:rsid w:val="0044065A"/>
    <w:rsid w:val="0045304B"/>
    <w:rsid w:val="00454C24"/>
    <w:rsid w:val="0046026F"/>
    <w:rsid w:val="00473244"/>
    <w:rsid w:val="00473BE8"/>
    <w:rsid w:val="00481939"/>
    <w:rsid w:val="0048432F"/>
    <w:rsid w:val="004846D4"/>
    <w:rsid w:val="00484D29"/>
    <w:rsid w:val="00490482"/>
    <w:rsid w:val="00491EA0"/>
    <w:rsid w:val="00494399"/>
    <w:rsid w:val="00496D00"/>
    <w:rsid w:val="004A0DBF"/>
    <w:rsid w:val="004A3C47"/>
    <w:rsid w:val="004A6433"/>
    <w:rsid w:val="004B1F91"/>
    <w:rsid w:val="004B6390"/>
    <w:rsid w:val="004C179C"/>
    <w:rsid w:val="004C1B05"/>
    <w:rsid w:val="004C3ACB"/>
    <w:rsid w:val="004C4CF9"/>
    <w:rsid w:val="004C701A"/>
    <w:rsid w:val="004D005E"/>
    <w:rsid w:val="004D47E4"/>
    <w:rsid w:val="004D66C3"/>
    <w:rsid w:val="004E1FD8"/>
    <w:rsid w:val="004E4410"/>
    <w:rsid w:val="004E7071"/>
    <w:rsid w:val="004F2B94"/>
    <w:rsid w:val="004F367D"/>
    <w:rsid w:val="004F37A8"/>
    <w:rsid w:val="004F50D5"/>
    <w:rsid w:val="00501A04"/>
    <w:rsid w:val="00506FE7"/>
    <w:rsid w:val="00512E31"/>
    <w:rsid w:val="00514595"/>
    <w:rsid w:val="00526CB7"/>
    <w:rsid w:val="00527401"/>
    <w:rsid w:val="00527F6E"/>
    <w:rsid w:val="00530B04"/>
    <w:rsid w:val="00535248"/>
    <w:rsid w:val="00540B8A"/>
    <w:rsid w:val="00545AAB"/>
    <w:rsid w:val="00550414"/>
    <w:rsid w:val="005511EB"/>
    <w:rsid w:val="00554044"/>
    <w:rsid w:val="00555CA1"/>
    <w:rsid w:val="00557B21"/>
    <w:rsid w:val="00565444"/>
    <w:rsid w:val="00570AB5"/>
    <w:rsid w:val="00581162"/>
    <w:rsid w:val="005835CA"/>
    <w:rsid w:val="005837E3"/>
    <w:rsid w:val="00585304"/>
    <w:rsid w:val="00587AAC"/>
    <w:rsid w:val="0059172F"/>
    <w:rsid w:val="00592354"/>
    <w:rsid w:val="00593203"/>
    <w:rsid w:val="005932A8"/>
    <w:rsid w:val="0059659D"/>
    <w:rsid w:val="005A1B93"/>
    <w:rsid w:val="005A3481"/>
    <w:rsid w:val="005A3DCC"/>
    <w:rsid w:val="005A45AD"/>
    <w:rsid w:val="005A479D"/>
    <w:rsid w:val="005A4E37"/>
    <w:rsid w:val="005B0BB3"/>
    <w:rsid w:val="005B37B8"/>
    <w:rsid w:val="005B57CB"/>
    <w:rsid w:val="005B6BD0"/>
    <w:rsid w:val="005B7363"/>
    <w:rsid w:val="005B7FC4"/>
    <w:rsid w:val="005C2852"/>
    <w:rsid w:val="005C3757"/>
    <w:rsid w:val="005D168E"/>
    <w:rsid w:val="005D4524"/>
    <w:rsid w:val="005D45D4"/>
    <w:rsid w:val="005D6596"/>
    <w:rsid w:val="005E6D4D"/>
    <w:rsid w:val="005E7CB8"/>
    <w:rsid w:val="005E7FDF"/>
    <w:rsid w:val="005F0727"/>
    <w:rsid w:val="005F23E4"/>
    <w:rsid w:val="00600830"/>
    <w:rsid w:val="00600F61"/>
    <w:rsid w:val="00604440"/>
    <w:rsid w:val="0060473D"/>
    <w:rsid w:val="006111AC"/>
    <w:rsid w:val="00611FD3"/>
    <w:rsid w:val="006148E2"/>
    <w:rsid w:val="00614C64"/>
    <w:rsid w:val="006210FB"/>
    <w:rsid w:val="006249CB"/>
    <w:rsid w:val="00625580"/>
    <w:rsid w:val="00626F00"/>
    <w:rsid w:val="00631158"/>
    <w:rsid w:val="00633965"/>
    <w:rsid w:val="00633E88"/>
    <w:rsid w:val="0063670B"/>
    <w:rsid w:val="006402FC"/>
    <w:rsid w:val="0064614F"/>
    <w:rsid w:val="00647F3F"/>
    <w:rsid w:val="0065077E"/>
    <w:rsid w:val="00652CF1"/>
    <w:rsid w:val="006532DF"/>
    <w:rsid w:val="00653374"/>
    <w:rsid w:val="00657568"/>
    <w:rsid w:val="00661370"/>
    <w:rsid w:val="00661D77"/>
    <w:rsid w:val="006636CE"/>
    <w:rsid w:val="00663DA3"/>
    <w:rsid w:val="00664B2E"/>
    <w:rsid w:val="00664B5F"/>
    <w:rsid w:val="006678A5"/>
    <w:rsid w:val="006836AE"/>
    <w:rsid w:val="00683915"/>
    <w:rsid w:val="00685A79"/>
    <w:rsid w:val="00686120"/>
    <w:rsid w:val="00687913"/>
    <w:rsid w:val="006A177D"/>
    <w:rsid w:val="006A2DC8"/>
    <w:rsid w:val="006A5045"/>
    <w:rsid w:val="006A6469"/>
    <w:rsid w:val="006B618E"/>
    <w:rsid w:val="006C4B51"/>
    <w:rsid w:val="006C52C4"/>
    <w:rsid w:val="006D261E"/>
    <w:rsid w:val="006D73C8"/>
    <w:rsid w:val="006D7938"/>
    <w:rsid w:val="006E0231"/>
    <w:rsid w:val="006E6F78"/>
    <w:rsid w:val="006E7629"/>
    <w:rsid w:val="006F1D2F"/>
    <w:rsid w:val="006F2517"/>
    <w:rsid w:val="006F64BA"/>
    <w:rsid w:val="0070317D"/>
    <w:rsid w:val="00704EE2"/>
    <w:rsid w:val="00707003"/>
    <w:rsid w:val="00710D4E"/>
    <w:rsid w:val="00711ED8"/>
    <w:rsid w:val="007145F1"/>
    <w:rsid w:val="00715289"/>
    <w:rsid w:val="00715A85"/>
    <w:rsid w:val="0072222F"/>
    <w:rsid w:val="00730F06"/>
    <w:rsid w:val="0073611B"/>
    <w:rsid w:val="00741AA7"/>
    <w:rsid w:val="00742CA1"/>
    <w:rsid w:val="00743F92"/>
    <w:rsid w:val="007535F0"/>
    <w:rsid w:val="00753A77"/>
    <w:rsid w:val="00756284"/>
    <w:rsid w:val="007577EE"/>
    <w:rsid w:val="00760731"/>
    <w:rsid w:val="00761244"/>
    <w:rsid w:val="00762B0D"/>
    <w:rsid w:val="007707A3"/>
    <w:rsid w:val="00772E9A"/>
    <w:rsid w:val="007834E7"/>
    <w:rsid w:val="007A0306"/>
    <w:rsid w:val="007A1376"/>
    <w:rsid w:val="007A2383"/>
    <w:rsid w:val="007A3F79"/>
    <w:rsid w:val="007A6CBC"/>
    <w:rsid w:val="007A7A05"/>
    <w:rsid w:val="007B1DAA"/>
    <w:rsid w:val="007B251E"/>
    <w:rsid w:val="007B42FF"/>
    <w:rsid w:val="007B4E3B"/>
    <w:rsid w:val="007C1421"/>
    <w:rsid w:val="007C5628"/>
    <w:rsid w:val="007C6F66"/>
    <w:rsid w:val="007E688D"/>
    <w:rsid w:val="007E6F18"/>
    <w:rsid w:val="007F24A7"/>
    <w:rsid w:val="008039DE"/>
    <w:rsid w:val="00807168"/>
    <w:rsid w:val="0080765A"/>
    <w:rsid w:val="00807825"/>
    <w:rsid w:val="00807CF1"/>
    <w:rsid w:val="0081178D"/>
    <w:rsid w:val="00811AB4"/>
    <w:rsid w:val="008121DA"/>
    <w:rsid w:val="00816C37"/>
    <w:rsid w:val="00823467"/>
    <w:rsid w:val="00826F95"/>
    <w:rsid w:val="00844DC8"/>
    <w:rsid w:val="00847B1A"/>
    <w:rsid w:val="00851354"/>
    <w:rsid w:val="00854E6F"/>
    <w:rsid w:val="00855C4D"/>
    <w:rsid w:val="00862892"/>
    <w:rsid w:val="0086293F"/>
    <w:rsid w:val="00865D1F"/>
    <w:rsid w:val="008670DB"/>
    <w:rsid w:val="00867F65"/>
    <w:rsid w:val="008717B8"/>
    <w:rsid w:val="008739BB"/>
    <w:rsid w:val="00873A9B"/>
    <w:rsid w:val="00874736"/>
    <w:rsid w:val="00877226"/>
    <w:rsid w:val="00877C4D"/>
    <w:rsid w:val="008828A3"/>
    <w:rsid w:val="00882A41"/>
    <w:rsid w:val="00890C6B"/>
    <w:rsid w:val="00891708"/>
    <w:rsid w:val="008933C4"/>
    <w:rsid w:val="00896F11"/>
    <w:rsid w:val="008A6C9C"/>
    <w:rsid w:val="008B2260"/>
    <w:rsid w:val="008B7102"/>
    <w:rsid w:val="008C1572"/>
    <w:rsid w:val="008C1DED"/>
    <w:rsid w:val="008C5A0E"/>
    <w:rsid w:val="008C73C5"/>
    <w:rsid w:val="008D0C49"/>
    <w:rsid w:val="008D5D0C"/>
    <w:rsid w:val="008E5777"/>
    <w:rsid w:val="008E6CB3"/>
    <w:rsid w:val="008E721F"/>
    <w:rsid w:val="008E787D"/>
    <w:rsid w:val="008F125B"/>
    <w:rsid w:val="008F1E54"/>
    <w:rsid w:val="008F221C"/>
    <w:rsid w:val="008F3904"/>
    <w:rsid w:val="008F491C"/>
    <w:rsid w:val="008F7893"/>
    <w:rsid w:val="00902698"/>
    <w:rsid w:val="00903B5A"/>
    <w:rsid w:val="0090506A"/>
    <w:rsid w:val="00905C30"/>
    <w:rsid w:val="009069FD"/>
    <w:rsid w:val="00932D0E"/>
    <w:rsid w:val="00936E76"/>
    <w:rsid w:val="009426BE"/>
    <w:rsid w:val="00945C5E"/>
    <w:rsid w:val="009530E2"/>
    <w:rsid w:val="00954A02"/>
    <w:rsid w:val="009553A0"/>
    <w:rsid w:val="009601DA"/>
    <w:rsid w:val="00960DB2"/>
    <w:rsid w:val="00967A04"/>
    <w:rsid w:val="00967A14"/>
    <w:rsid w:val="009713F7"/>
    <w:rsid w:val="009717B2"/>
    <w:rsid w:val="009723EE"/>
    <w:rsid w:val="00982F08"/>
    <w:rsid w:val="00984753"/>
    <w:rsid w:val="0098490E"/>
    <w:rsid w:val="0098698E"/>
    <w:rsid w:val="00986DED"/>
    <w:rsid w:val="0099288D"/>
    <w:rsid w:val="00994F11"/>
    <w:rsid w:val="009A23DC"/>
    <w:rsid w:val="009A6AEC"/>
    <w:rsid w:val="009A74D8"/>
    <w:rsid w:val="009A76E6"/>
    <w:rsid w:val="009B1159"/>
    <w:rsid w:val="009B286D"/>
    <w:rsid w:val="009B5262"/>
    <w:rsid w:val="009C1195"/>
    <w:rsid w:val="009C1A32"/>
    <w:rsid w:val="009D1F72"/>
    <w:rsid w:val="009D2497"/>
    <w:rsid w:val="009D70B8"/>
    <w:rsid w:val="009E6AC2"/>
    <w:rsid w:val="009F0E96"/>
    <w:rsid w:val="009F1DD0"/>
    <w:rsid w:val="009F258D"/>
    <w:rsid w:val="009F529C"/>
    <w:rsid w:val="009F6166"/>
    <w:rsid w:val="00A007DC"/>
    <w:rsid w:val="00A01000"/>
    <w:rsid w:val="00A17AAE"/>
    <w:rsid w:val="00A23E3F"/>
    <w:rsid w:val="00A2762A"/>
    <w:rsid w:val="00A31AAA"/>
    <w:rsid w:val="00A36BAA"/>
    <w:rsid w:val="00A43551"/>
    <w:rsid w:val="00A505BD"/>
    <w:rsid w:val="00A5210E"/>
    <w:rsid w:val="00A619A3"/>
    <w:rsid w:val="00A675A3"/>
    <w:rsid w:val="00A67FDD"/>
    <w:rsid w:val="00A71A30"/>
    <w:rsid w:val="00A72D7F"/>
    <w:rsid w:val="00A75DA8"/>
    <w:rsid w:val="00A76116"/>
    <w:rsid w:val="00A81275"/>
    <w:rsid w:val="00A856CF"/>
    <w:rsid w:val="00A86BD4"/>
    <w:rsid w:val="00A86C54"/>
    <w:rsid w:val="00A87A86"/>
    <w:rsid w:val="00A9066A"/>
    <w:rsid w:val="00A926CF"/>
    <w:rsid w:val="00A97C51"/>
    <w:rsid w:val="00AA122E"/>
    <w:rsid w:val="00AA21D5"/>
    <w:rsid w:val="00AA4046"/>
    <w:rsid w:val="00AA7DE9"/>
    <w:rsid w:val="00AB4510"/>
    <w:rsid w:val="00AB5513"/>
    <w:rsid w:val="00AB5BF9"/>
    <w:rsid w:val="00AC29DC"/>
    <w:rsid w:val="00AC3694"/>
    <w:rsid w:val="00AC5436"/>
    <w:rsid w:val="00AC732F"/>
    <w:rsid w:val="00AD13E1"/>
    <w:rsid w:val="00AD3855"/>
    <w:rsid w:val="00AD40A2"/>
    <w:rsid w:val="00AD5E75"/>
    <w:rsid w:val="00AE3E29"/>
    <w:rsid w:val="00AE53A3"/>
    <w:rsid w:val="00AE6EAF"/>
    <w:rsid w:val="00AE7F1D"/>
    <w:rsid w:val="00B00FA8"/>
    <w:rsid w:val="00B01D89"/>
    <w:rsid w:val="00B02FC8"/>
    <w:rsid w:val="00B0385B"/>
    <w:rsid w:val="00B03D5E"/>
    <w:rsid w:val="00B056D0"/>
    <w:rsid w:val="00B05EE1"/>
    <w:rsid w:val="00B06B77"/>
    <w:rsid w:val="00B12825"/>
    <w:rsid w:val="00B12A2D"/>
    <w:rsid w:val="00B14C37"/>
    <w:rsid w:val="00B15FC5"/>
    <w:rsid w:val="00B16D98"/>
    <w:rsid w:val="00B17736"/>
    <w:rsid w:val="00B25BD3"/>
    <w:rsid w:val="00B266EA"/>
    <w:rsid w:val="00B314FF"/>
    <w:rsid w:val="00B344AD"/>
    <w:rsid w:val="00B34758"/>
    <w:rsid w:val="00B3658B"/>
    <w:rsid w:val="00B42127"/>
    <w:rsid w:val="00B43DCE"/>
    <w:rsid w:val="00B506D8"/>
    <w:rsid w:val="00B52E1D"/>
    <w:rsid w:val="00B566A7"/>
    <w:rsid w:val="00B5764F"/>
    <w:rsid w:val="00B62167"/>
    <w:rsid w:val="00B665A7"/>
    <w:rsid w:val="00B72C83"/>
    <w:rsid w:val="00B777C5"/>
    <w:rsid w:val="00B819B1"/>
    <w:rsid w:val="00B833DF"/>
    <w:rsid w:val="00B8790F"/>
    <w:rsid w:val="00B902BB"/>
    <w:rsid w:val="00B94221"/>
    <w:rsid w:val="00B96D2E"/>
    <w:rsid w:val="00BB5614"/>
    <w:rsid w:val="00BB7404"/>
    <w:rsid w:val="00BD2214"/>
    <w:rsid w:val="00BD36DF"/>
    <w:rsid w:val="00BE2161"/>
    <w:rsid w:val="00BE2CAA"/>
    <w:rsid w:val="00BE3407"/>
    <w:rsid w:val="00BE7C02"/>
    <w:rsid w:val="00BF015C"/>
    <w:rsid w:val="00BF3262"/>
    <w:rsid w:val="00BF6DA7"/>
    <w:rsid w:val="00BF71D7"/>
    <w:rsid w:val="00C000A4"/>
    <w:rsid w:val="00C068CA"/>
    <w:rsid w:val="00C25E5D"/>
    <w:rsid w:val="00C274DB"/>
    <w:rsid w:val="00C30A41"/>
    <w:rsid w:val="00C32AC6"/>
    <w:rsid w:val="00C34225"/>
    <w:rsid w:val="00C35261"/>
    <w:rsid w:val="00C37835"/>
    <w:rsid w:val="00C42DD7"/>
    <w:rsid w:val="00C44624"/>
    <w:rsid w:val="00C46807"/>
    <w:rsid w:val="00C52374"/>
    <w:rsid w:val="00C52C76"/>
    <w:rsid w:val="00C55A3C"/>
    <w:rsid w:val="00C60208"/>
    <w:rsid w:val="00C634C7"/>
    <w:rsid w:val="00C67163"/>
    <w:rsid w:val="00C73A77"/>
    <w:rsid w:val="00C8007B"/>
    <w:rsid w:val="00C85A78"/>
    <w:rsid w:val="00C92549"/>
    <w:rsid w:val="00C92B37"/>
    <w:rsid w:val="00C96B13"/>
    <w:rsid w:val="00CA2749"/>
    <w:rsid w:val="00CA2B84"/>
    <w:rsid w:val="00CA682E"/>
    <w:rsid w:val="00CA6FEB"/>
    <w:rsid w:val="00CB0952"/>
    <w:rsid w:val="00CB3D89"/>
    <w:rsid w:val="00CB55FC"/>
    <w:rsid w:val="00CB6629"/>
    <w:rsid w:val="00CB7218"/>
    <w:rsid w:val="00CC27B3"/>
    <w:rsid w:val="00CC6297"/>
    <w:rsid w:val="00CD4E68"/>
    <w:rsid w:val="00CD5FBF"/>
    <w:rsid w:val="00CD7394"/>
    <w:rsid w:val="00CE1708"/>
    <w:rsid w:val="00CE27D5"/>
    <w:rsid w:val="00CE2D15"/>
    <w:rsid w:val="00CE3450"/>
    <w:rsid w:val="00CE5C40"/>
    <w:rsid w:val="00CF6494"/>
    <w:rsid w:val="00D00E64"/>
    <w:rsid w:val="00D01A92"/>
    <w:rsid w:val="00D0436E"/>
    <w:rsid w:val="00D06F7F"/>
    <w:rsid w:val="00D10333"/>
    <w:rsid w:val="00D1107D"/>
    <w:rsid w:val="00D147F9"/>
    <w:rsid w:val="00D22E1C"/>
    <w:rsid w:val="00D24212"/>
    <w:rsid w:val="00D253A6"/>
    <w:rsid w:val="00D25BD9"/>
    <w:rsid w:val="00D330F4"/>
    <w:rsid w:val="00D36595"/>
    <w:rsid w:val="00D41825"/>
    <w:rsid w:val="00D41E59"/>
    <w:rsid w:val="00D42A6F"/>
    <w:rsid w:val="00D4452C"/>
    <w:rsid w:val="00D47CBF"/>
    <w:rsid w:val="00D5548C"/>
    <w:rsid w:val="00D6131C"/>
    <w:rsid w:val="00D75D0E"/>
    <w:rsid w:val="00D843B6"/>
    <w:rsid w:val="00D92715"/>
    <w:rsid w:val="00D939B1"/>
    <w:rsid w:val="00DA026F"/>
    <w:rsid w:val="00DB06AA"/>
    <w:rsid w:val="00DB0D0A"/>
    <w:rsid w:val="00DB470D"/>
    <w:rsid w:val="00DC02DA"/>
    <w:rsid w:val="00DC25AB"/>
    <w:rsid w:val="00DC460F"/>
    <w:rsid w:val="00DC5B01"/>
    <w:rsid w:val="00DD0EC1"/>
    <w:rsid w:val="00DD119C"/>
    <w:rsid w:val="00DE3E1E"/>
    <w:rsid w:val="00DE4709"/>
    <w:rsid w:val="00DF0992"/>
    <w:rsid w:val="00DF3762"/>
    <w:rsid w:val="00DF4AD8"/>
    <w:rsid w:val="00DF4E28"/>
    <w:rsid w:val="00E0340D"/>
    <w:rsid w:val="00E05947"/>
    <w:rsid w:val="00E0670C"/>
    <w:rsid w:val="00E07773"/>
    <w:rsid w:val="00E100F9"/>
    <w:rsid w:val="00E33044"/>
    <w:rsid w:val="00E34A92"/>
    <w:rsid w:val="00E421FD"/>
    <w:rsid w:val="00E42F1D"/>
    <w:rsid w:val="00E43D7B"/>
    <w:rsid w:val="00E43E19"/>
    <w:rsid w:val="00E47BA0"/>
    <w:rsid w:val="00E51707"/>
    <w:rsid w:val="00E5280D"/>
    <w:rsid w:val="00E53E2F"/>
    <w:rsid w:val="00E53E3B"/>
    <w:rsid w:val="00E629A7"/>
    <w:rsid w:val="00E63618"/>
    <w:rsid w:val="00E64BE7"/>
    <w:rsid w:val="00E662C2"/>
    <w:rsid w:val="00E73B50"/>
    <w:rsid w:val="00E77295"/>
    <w:rsid w:val="00E80B91"/>
    <w:rsid w:val="00E81CF6"/>
    <w:rsid w:val="00E82C4B"/>
    <w:rsid w:val="00E919AA"/>
    <w:rsid w:val="00E93F40"/>
    <w:rsid w:val="00E9658F"/>
    <w:rsid w:val="00E976D8"/>
    <w:rsid w:val="00EA6B02"/>
    <w:rsid w:val="00EA7ABB"/>
    <w:rsid w:val="00EB41AF"/>
    <w:rsid w:val="00EC270C"/>
    <w:rsid w:val="00EC3013"/>
    <w:rsid w:val="00EC5EC8"/>
    <w:rsid w:val="00ED1166"/>
    <w:rsid w:val="00ED2B82"/>
    <w:rsid w:val="00ED4027"/>
    <w:rsid w:val="00ED4102"/>
    <w:rsid w:val="00EE161C"/>
    <w:rsid w:val="00EE273D"/>
    <w:rsid w:val="00EE5672"/>
    <w:rsid w:val="00EE6F64"/>
    <w:rsid w:val="00EF6CEF"/>
    <w:rsid w:val="00F01115"/>
    <w:rsid w:val="00F066DE"/>
    <w:rsid w:val="00F11D1F"/>
    <w:rsid w:val="00F25E62"/>
    <w:rsid w:val="00F27C86"/>
    <w:rsid w:val="00F311EB"/>
    <w:rsid w:val="00F32C09"/>
    <w:rsid w:val="00F52365"/>
    <w:rsid w:val="00F56416"/>
    <w:rsid w:val="00F57DB1"/>
    <w:rsid w:val="00F65378"/>
    <w:rsid w:val="00F75584"/>
    <w:rsid w:val="00F814BD"/>
    <w:rsid w:val="00F86FC6"/>
    <w:rsid w:val="00F87858"/>
    <w:rsid w:val="00F87D79"/>
    <w:rsid w:val="00F91ABA"/>
    <w:rsid w:val="00F9571D"/>
    <w:rsid w:val="00FA3938"/>
    <w:rsid w:val="00FA5D6D"/>
    <w:rsid w:val="00FA6900"/>
    <w:rsid w:val="00FC22ED"/>
    <w:rsid w:val="00FD26D5"/>
    <w:rsid w:val="00FD5982"/>
    <w:rsid w:val="00FE0C32"/>
    <w:rsid w:val="00FE36DF"/>
    <w:rsid w:val="00FE37FA"/>
    <w:rsid w:val="00FE46CE"/>
    <w:rsid w:val="00FE5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semiHidden/>
    <w:rsid w:val="00C52374"/>
    <w:rPr>
      <w:sz w:val="20"/>
    </w:rPr>
  </w:style>
  <w:style w:type="character" w:customStyle="1" w:styleId="FootnoteTextChar">
    <w:name w:val="Footnote Text Char"/>
    <w:basedOn w:val="DefaultParagraphFont"/>
    <w:link w:val="FootnoteText"/>
    <w:uiPriority w:val="99"/>
    <w:semiHidden/>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iPriority w:val="99"/>
    <w:semiHidden/>
    <w:unhideWhenUsed/>
    <w:rsid w:val="007A3F79"/>
    <w:pPr>
      <w:spacing w:before="100" w:beforeAutospacing="1" w:after="100" w:afterAutospacing="1"/>
      <w:ind w:firstLine="0"/>
      <w:jc w:val="left"/>
    </w:pPr>
    <w:rPr>
      <w:rFonts w:eastAsiaTheme="minorEastAsi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 w:id="20093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19319705911793E-2"/>
          <c:y val="2.9071685115151551E-2"/>
          <c:w val="0.90074054613224741"/>
          <c:h val="0.79249701885431756"/>
        </c:manualLayout>
      </c:layout>
      <c:barChart>
        <c:barDir val="col"/>
        <c:grouping val="stacked"/>
        <c:varyColors val="0"/>
        <c:ser>
          <c:idx val="1"/>
          <c:order val="0"/>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paraugi!$B$3:$F$3</c:f>
              <c:strCache>
                <c:ptCount val="5"/>
                <c:pt idx="0">
                  <c:v>2019.gads
(izpilde)</c:v>
                </c:pt>
                <c:pt idx="1">
                  <c:v>2020.gads
plāns</c:v>
                </c:pt>
                <c:pt idx="2">
                  <c:v>2021.gads
projekts</c:v>
                </c:pt>
                <c:pt idx="3">
                  <c:v>2022.gads
prognoze</c:v>
                </c:pt>
                <c:pt idx="4">
                  <c:v>2023.gads
prognoze</c:v>
                </c:pt>
              </c:strCache>
            </c:strRef>
          </c:cat>
          <c:val>
            <c:numRef>
              <c:f>paraugi!$B$5:$F$5</c:f>
              <c:numCache>
                <c:formatCode>#,##0</c:formatCode>
                <c:ptCount val="5"/>
                <c:pt idx="0">
                  <c:v>2232286</c:v>
                </c:pt>
                <c:pt idx="1">
                  <c:v>2908898</c:v>
                </c:pt>
                <c:pt idx="2">
                  <c:v>3608844</c:v>
                </c:pt>
                <c:pt idx="3">
                  <c:v>2953947</c:v>
                </c:pt>
                <c:pt idx="4">
                  <c:v>2953947</c:v>
                </c:pt>
              </c:numCache>
            </c:numRef>
          </c:val>
          <c:extLst>
            <c:ext xmlns:c16="http://schemas.microsoft.com/office/drawing/2014/chart" uri="{C3380CC4-5D6E-409C-BE32-E72D297353CC}">
              <c16:uniqueId val="{00000000-1977-48CB-A00F-9A9918E0CEB8}"/>
            </c:ext>
          </c:extLst>
        </c:ser>
        <c:ser>
          <c:idx val="2"/>
          <c:order val="1"/>
          <c:tx>
            <c:strRef>
              <c:f>paraugi!$A$6</c:f>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454439258956906E-3"/>
                  <c:y val="-3.0563511739476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77-48CB-A00F-9A9918E0CEB8}"/>
                </c:ext>
              </c:extLst>
            </c:dLbl>
            <c:dLbl>
              <c:idx val="1"/>
              <c:layout>
                <c:manualLayout>
                  <c:x val="0"/>
                  <c:y val="-2.54695931162308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77-48CB-A00F-9A9918E0CEB8}"/>
                </c:ext>
              </c:extLst>
            </c:dLbl>
            <c:dLbl>
              <c:idx val="2"/>
              <c:delete val="1"/>
              <c:extLst>
                <c:ext xmlns:c15="http://schemas.microsoft.com/office/drawing/2012/chart" uri="{CE6537A1-D6FC-4f65-9D91-7224C49458BB}"/>
                <c:ext xmlns:c16="http://schemas.microsoft.com/office/drawing/2014/chart" uri="{C3380CC4-5D6E-409C-BE32-E72D297353CC}">
                  <c16:uniqueId val="{00000003-1977-48CB-A00F-9A9918E0CEB8}"/>
                </c:ext>
              </c:extLst>
            </c:dLbl>
            <c:dLbl>
              <c:idx val="3"/>
              <c:delete val="1"/>
              <c:extLst>
                <c:ext xmlns:c15="http://schemas.microsoft.com/office/drawing/2012/chart" uri="{CE6537A1-D6FC-4f65-9D91-7224C49458BB}"/>
                <c:ext xmlns:c16="http://schemas.microsoft.com/office/drawing/2014/chart" uri="{C3380CC4-5D6E-409C-BE32-E72D297353CC}">
                  <c16:uniqueId val="{00000004-1977-48CB-A00F-9A9918E0CEB8}"/>
                </c:ext>
              </c:extLst>
            </c:dLbl>
            <c:dLbl>
              <c:idx val="4"/>
              <c:delete val="1"/>
              <c:extLst>
                <c:ext xmlns:c15="http://schemas.microsoft.com/office/drawing/2012/chart" uri="{CE6537A1-D6FC-4f65-9D91-7224C49458BB}"/>
                <c:ext xmlns:c16="http://schemas.microsoft.com/office/drawing/2014/chart" uri="{C3380CC4-5D6E-409C-BE32-E72D297353CC}">
                  <c16:uniqueId val="{00000005-1977-48CB-A00F-9A9918E0CEB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2019.gads
(izpilde)</c:v>
                </c:pt>
                <c:pt idx="1">
                  <c:v>2020.gads
plāns</c:v>
                </c:pt>
                <c:pt idx="2">
                  <c:v>2021.gads
projekts</c:v>
                </c:pt>
                <c:pt idx="3">
                  <c:v>2022.gads
prognoze</c:v>
                </c:pt>
                <c:pt idx="4">
                  <c:v>2023.gads
prognoze</c:v>
                </c:pt>
              </c:strCache>
            </c:strRef>
          </c:cat>
          <c:val>
            <c:numRef>
              <c:f>paraugi!$B$6:$F$6</c:f>
              <c:numCache>
                <c:formatCode>General</c:formatCode>
                <c:ptCount val="5"/>
              </c:numCache>
            </c:numRef>
          </c:val>
          <c:extLst>
            <c:ext xmlns:c16="http://schemas.microsoft.com/office/drawing/2014/chart" uri="{C3380CC4-5D6E-409C-BE32-E72D297353CC}">
              <c16:uniqueId val="{00000006-1977-48CB-A00F-9A9918E0CEB8}"/>
            </c:ext>
          </c:extLst>
        </c:ser>
        <c:dLbls>
          <c:showLegendKey val="0"/>
          <c:showVal val="0"/>
          <c:showCatName val="0"/>
          <c:showSerName val="0"/>
          <c:showPercent val="0"/>
          <c:showBubbleSize val="0"/>
        </c:dLbls>
        <c:gapWidth val="60"/>
        <c:overlap val="100"/>
        <c:axId val="132707496"/>
        <c:axId val="204068600"/>
        <c:extLst/>
      </c:barChart>
      <c:catAx>
        <c:axId val="13270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068600"/>
        <c:crosses val="autoZero"/>
        <c:auto val="1"/>
        <c:lblAlgn val="ctr"/>
        <c:lblOffset val="100"/>
        <c:noMultiLvlLbl val="0"/>
      </c:catAx>
      <c:valAx>
        <c:axId val="204068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2707496"/>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2400"/>
            </a:spcAft>
          </a:pPr>
          <a:r>
            <a:rPr lang="lv-LV" sz="1200">
              <a:latin typeface="Times New Roman" panose="02020603050405020304" pitchFamily="18" charset="0"/>
              <a:cs typeface="Times New Roman" panose="02020603050405020304" pitchFamily="18" charset="0"/>
            </a:rPr>
            <a:t>Tiesas spriešana</a:t>
          </a:r>
        </a:p>
      </dgm:t>
    </dgm:pt>
    <dgm:pt modelId="{7ED0AA73-34B9-430C-9A02-77D2B64C4C5A}" type="parTrans" cxnId="{93E729EB-B1AA-4C8C-80E6-C38FB7310DD2}">
      <dgm:prSet/>
      <dgm:spPr/>
      <dgm:t>
        <a:bodyPr/>
        <a:lstStyle/>
        <a:p>
          <a:pPr>
            <a:spcBef>
              <a:spcPts val="0"/>
            </a:spcBef>
            <a:spcAft>
              <a:spcPts val="2400"/>
            </a:spcAft>
          </a:pPr>
          <a:endParaRPr lang="lv-LV"/>
        </a:p>
      </dgm:t>
    </dgm:pt>
    <dgm:pt modelId="{22D552F3-D09E-415D-B614-4CC0ADF7965D}" type="sibTrans" cxnId="{93E729EB-B1AA-4C8C-80E6-C38FB7310DD2}">
      <dgm:prSet/>
      <dgm:spPr/>
      <dgm:t>
        <a:bodyPr/>
        <a:lstStyle/>
        <a:p>
          <a:pPr>
            <a:spcBef>
              <a:spcPts val="0"/>
            </a:spcBef>
            <a:spcAft>
              <a:spcPts val="240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245635">
        <dgm:presLayoutVars>
          <dgm:bulletEnabled val="1"/>
        </dgm:presLayoutVars>
      </dgm:prSet>
      <dgm:spPr/>
      <dgm:t>
        <a:bodyPr/>
        <a:lstStyle/>
        <a:p>
          <a:endParaRPr lang="en-US"/>
        </a:p>
      </dgm:t>
    </dgm:pt>
  </dgm:ptLst>
  <dgm:cxnLst>
    <dgm:cxn modelId="{23B8EF99-A0A7-4F9C-AAEF-CA4EC8A5BE73}" type="presOf" srcId="{88397BC7-3A1F-4729-8809-8347AD410AF8}" destId="{5F8CBC20-C14B-46F6-BA45-39C03570DEDD}"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4135E32D-408D-4400-B598-8F80D01F63C9}" type="presOf" srcId="{306E2546-2846-449E-BACA-6E538AEB741C}" destId="{742CD35E-24E8-4AF8-8ED4-3DD4C1D57ACF}" srcOrd="0" destOrd="0" presId="urn:microsoft.com/office/officeart/2005/8/layout/default"/>
    <dgm:cxn modelId="{BEA3F577-F871-4764-8B65-B8CCD2C849C4}"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571901" y="139"/>
          <a:ext cx="2342597" cy="5722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latin typeface="Times New Roman" panose="02020603050405020304" pitchFamily="18" charset="0"/>
              <a:cs typeface="Times New Roman" panose="02020603050405020304" pitchFamily="18" charset="0"/>
            </a:rPr>
            <a:t>Tiesas spriešana</a:t>
          </a:r>
        </a:p>
      </dsp:txBody>
      <dsp:txXfrm>
        <a:off x="1571901" y="139"/>
        <a:ext cx="2342597" cy="5722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0.11595</cdr:x>
      <cdr:y>0.29057</cdr:y>
    </cdr:from>
    <cdr:to>
      <cdr:x>0.24535</cdr:x>
      <cdr:y>0.3675</cdr:y>
    </cdr:to>
    <cdr:sp macro="" textlink="">
      <cdr:nvSpPr>
        <cdr:cNvPr id="2" name="Text Box 1"/>
        <cdr:cNvSpPr txBox="1"/>
      </cdr:nvSpPr>
      <cdr:spPr>
        <a:xfrm xmlns:a="http://schemas.openxmlformats.org/drawingml/2006/main">
          <a:off x="671195" y="1065545"/>
          <a:ext cx="749053" cy="282112"/>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2 232 286</a:t>
          </a:r>
        </a:p>
      </cdr:txBody>
    </cdr:sp>
  </cdr:relSizeAnchor>
  <cdr:relSizeAnchor xmlns:cdr="http://schemas.openxmlformats.org/drawingml/2006/chartDrawing">
    <cdr:from>
      <cdr:x>0.30156</cdr:x>
      <cdr:y>0.16216</cdr:y>
    </cdr:from>
    <cdr:to>
      <cdr:x>0.43432</cdr:x>
      <cdr:y>0.23378</cdr:y>
    </cdr:to>
    <cdr:sp macro="" textlink="">
      <cdr:nvSpPr>
        <cdr:cNvPr id="3" name="Text Box 2"/>
        <cdr:cNvSpPr txBox="1"/>
      </cdr:nvSpPr>
      <cdr:spPr>
        <a:xfrm xmlns:a="http://schemas.openxmlformats.org/drawingml/2006/main">
          <a:off x="1745633" y="594651"/>
          <a:ext cx="768503" cy="26264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2 908 898</a:t>
          </a:r>
        </a:p>
      </cdr:txBody>
    </cdr:sp>
  </cdr:relSizeAnchor>
  <cdr:relSizeAnchor xmlns:cdr="http://schemas.openxmlformats.org/drawingml/2006/chartDrawing">
    <cdr:from>
      <cdr:x>0.48106</cdr:x>
      <cdr:y>0.03375</cdr:y>
    </cdr:from>
    <cdr:to>
      <cdr:x>0.61382</cdr:x>
      <cdr:y>0.10007</cdr:y>
    </cdr:to>
    <cdr:sp macro="" textlink="">
      <cdr:nvSpPr>
        <cdr:cNvPr id="4" name="Text Box 3"/>
        <cdr:cNvSpPr txBox="1"/>
      </cdr:nvSpPr>
      <cdr:spPr>
        <a:xfrm xmlns:a="http://schemas.openxmlformats.org/drawingml/2006/main">
          <a:off x="2784718" y="123758"/>
          <a:ext cx="768503" cy="243203"/>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3 608 844</a:t>
          </a:r>
        </a:p>
      </cdr:txBody>
    </cdr:sp>
  </cdr:relSizeAnchor>
  <cdr:relSizeAnchor xmlns:cdr="http://schemas.openxmlformats.org/drawingml/2006/chartDrawing">
    <cdr:from>
      <cdr:x>0.65569</cdr:x>
      <cdr:y>0.1518</cdr:y>
    </cdr:from>
    <cdr:to>
      <cdr:x>0.78845</cdr:x>
      <cdr:y>0.22077</cdr:y>
    </cdr:to>
    <cdr:sp macro="" textlink="">
      <cdr:nvSpPr>
        <cdr:cNvPr id="5" name="Text Box 4"/>
        <cdr:cNvSpPr txBox="1"/>
      </cdr:nvSpPr>
      <cdr:spPr>
        <a:xfrm xmlns:a="http://schemas.openxmlformats.org/drawingml/2006/main">
          <a:off x="3795546" y="556661"/>
          <a:ext cx="768502" cy="252922"/>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2 953 947</a:t>
          </a:r>
        </a:p>
      </cdr:txBody>
    </cdr:sp>
  </cdr:relSizeAnchor>
  <cdr:relSizeAnchor xmlns:cdr="http://schemas.openxmlformats.org/drawingml/2006/chartDrawing">
    <cdr:from>
      <cdr:x>0.83229</cdr:x>
      <cdr:y>0.14867</cdr:y>
    </cdr:from>
    <cdr:to>
      <cdr:x>0.96505</cdr:x>
      <cdr:y>0.21764</cdr:y>
    </cdr:to>
    <cdr:sp macro="" textlink="">
      <cdr:nvSpPr>
        <cdr:cNvPr id="6" name="Text Box 5"/>
        <cdr:cNvSpPr txBox="1"/>
      </cdr:nvSpPr>
      <cdr:spPr>
        <a:xfrm xmlns:a="http://schemas.openxmlformats.org/drawingml/2006/main">
          <a:off x="4817872" y="545177"/>
          <a:ext cx="768502" cy="252921"/>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2 953 947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14A0-8901-4813-9E45-C2490AD8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1477</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Likuma "Par valsts budžetu 2020.gadam" paskaidrojumi, 5.3.nodaļa Valsts budžeta izdevumi</vt:lpstr>
    </vt:vector>
  </TitlesOfParts>
  <Manager/>
  <Company>Finanšu ministrija</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edgars.vigups@fm.gov.lv</dc:creator>
  <dc:description>67095676,
edgars.vigups@fm.gov.lv</dc:description>
  <cp:lastModifiedBy>Dace Godiņa</cp:lastModifiedBy>
  <cp:revision>34</cp:revision>
  <cp:lastPrinted>2016-10-07T10:59:00Z</cp:lastPrinted>
  <dcterms:created xsi:type="dcterms:W3CDTF">2019-04-23T20:41:00Z</dcterms:created>
  <dcterms:modified xsi:type="dcterms:W3CDTF">2020-10-12T07:42:00Z</dcterms:modified>
</cp:coreProperties>
</file>