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4BFD" w14:textId="77777777" w:rsidR="0084558D" w:rsidRPr="00C21CD0" w:rsidRDefault="0084558D" w:rsidP="0084558D">
      <w:pPr>
        <w:tabs>
          <w:tab w:val="left" w:pos="7371"/>
        </w:tabs>
        <w:jc w:val="center"/>
        <w:rPr>
          <w:b/>
        </w:rPr>
      </w:pPr>
      <w:r w:rsidRPr="00C21CD0">
        <w:rPr>
          <w:b/>
          <w:sz w:val="28"/>
          <w:szCs w:val="28"/>
        </w:rPr>
        <w:t xml:space="preserve">Likumprojekta </w:t>
      </w:r>
      <w:r>
        <w:rPr>
          <w:b/>
          <w:sz w:val="28"/>
          <w:szCs w:val="28"/>
        </w:rPr>
        <w:t>“Grozījumi Čeku loterijas</w:t>
      </w:r>
      <w:r w:rsidRPr="00C21CD0">
        <w:rPr>
          <w:b/>
          <w:sz w:val="28"/>
          <w:szCs w:val="28"/>
        </w:rPr>
        <w:t xml:space="preserve"> likum</w:t>
      </w:r>
      <w:r>
        <w:rPr>
          <w:b/>
          <w:sz w:val="28"/>
          <w:szCs w:val="28"/>
        </w:rPr>
        <w:t>ā</w:t>
      </w:r>
      <w:r w:rsidRPr="00C21CD0">
        <w:rPr>
          <w:b/>
          <w:sz w:val="28"/>
          <w:szCs w:val="28"/>
        </w:rPr>
        <w:t>” sākotnējās ietekmes novērtējuma ziņojums (anotācija)</w:t>
      </w:r>
    </w:p>
    <w:p w14:paraId="01B21051" w14:textId="77777777" w:rsidR="00BD5588" w:rsidRPr="007F55CF" w:rsidRDefault="00BD5588" w:rsidP="007F55CF">
      <w:pPr>
        <w:pStyle w:val="Title"/>
        <w:ind w:firstLine="539"/>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BD5588" w:rsidRPr="0084558D" w14:paraId="5BA953D6" w14:textId="77777777" w:rsidTr="009E0502">
        <w:trPr>
          <w:cantSplit/>
        </w:trPr>
        <w:tc>
          <w:tcPr>
            <w:tcW w:w="9581" w:type="dxa"/>
            <w:gridSpan w:val="2"/>
            <w:shd w:val="clear" w:color="auto" w:fill="FFFFFF"/>
            <w:vAlign w:val="center"/>
            <w:hideMark/>
          </w:tcPr>
          <w:p w14:paraId="27289A04" w14:textId="77777777" w:rsidR="00BD5588" w:rsidRPr="0084558D" w:rsidRDefault="00BD5588" w:rsidP="009E0502">
            <w:pPr>
              <w:jc w:val="center"/>
              <w:rPr>
                <w:b/>
                <w:iCs/>
                <w:lang w:eastAsia="en-US"/>
              </w:rPr>
            </w:pPr>
            <w:r w:rsidRPr="0084558D">
              <w:rPr>
                <w:b/>
                <w:iCs/>
                <w:lang w:eastAsia="en-US"/>
              </w:rPr>
              <w:t>Tiesību akta projekta anotācijas kopsavilkums</w:t>
            </w:r>
          </w:p>
        </w:tc>
      </w:tr>
      <w:tr w:rsidR="007141B5" w:rsidRPr="0084558D" w14:paraId="60615733" w14:textId="77777777" w:rsidTr="009E0502">
        <w:trPr>
          <w:cantSplit/>
        </w:trPr>
        <w:tc>
          <w:tcPr>
            <w:tcW w:w="3430" w:type="dxa"/>
            <w:shd w:val="clear" w:color="auto" w:fill="FFFFFF"/>
            <w:hideMark/>
          </w:tcPr>
          <w:p w14:paraId="0A02150F" w14:textId="77777777" w:rsidR="00BD5588" w:rsidRPr="0084558D" w:rsidRDefault="00BD5588" w:rsidP="009E0502">
            <w:pPr>
              <w:rPr>
                <w:iCs/>
                <w:lang w:eastAsia="en-US"/>
              </w:rPr>
            </w:pPr>
            <w:r w:rsidRPr="0084558D">
              <w:rPr>
                <w:iCs/>
                <w:lang w:eastAsia="en-US"/>
              </w:rPr>
              <w:t>Mērķis, risinājums un projekta spēkā stāšanās laiks (500 zīmes bez atstarpēm)</w:t>
            </w:r>
          </w:p>
        </w:tc>
        <w:tc>
          <w:tcPr>
            <w:tcW w:w="6151" w:type="dxa"/>
            <w:shd w:val="clear" w:color="auto" w:fill="FFFFFF"/>
            <w:hideMark/>
          </w:tcPr>
          <w:p w14:paraId="366BCB41" w14:textId="63A28BF0" w:rsidR="007141B5" w:rsidRPr="0084558D" w:rsidRDefault="007141B5" w:rsidP="00AB3FDF">
            <w:pPr>
              <w:jc w:val="both"/>
              <w:rPr>
                <w:iCs/>
                <w:lang w:eastAsia="en-US"/>
              </w:rPr>
            </w:pPr>
            <w:r w:rsidRPr="0084558D">
              <w:rPr>
                <w:iCs/>
                <w:color w:val="000000" w:themeColor="text1"/>
              </w:rPr>
              <w:t>Likumprojekt</w:t>
            </w:r>
            <w:r w:rsidR="00AE6861">
              <w:rPr>
                <w:iCs/>
                <w:color w:val="000000" w:themeColor="text1"/>
              </w:rPr>
              <w:t xml:space="preserve">s </w:t>
            </w:r>
            <w:r w:rsidR="00731AA3">
              <w:t xml:space="preserve">“Grozījumi </w:t>
            </w:r>
            <w:r w:rsidR="00731AA3" w:rsidRPr="00C21CD0">
              <w:t xml:space="preserve">Čeku </w:t>
            </w:r>
            <w:r w:rsidR="00731AA3">
              <w:t>loterijas</w:t>
            </w:r>
            <w:r w:rsidR="00731AA3" w:rsidRPr="00C21CD0">
              <w:t xml:space="preserve"> likum</w:t>
            </w:r>
            <w:r w:rsidR="00731AA3">
              <w:t>ā</w:t>
            </w:r>
            <w:r w:rsidR="00731AA3" w:rsidRPr="00C21CD0">
              <w:t>” (turpmāk</w:t>
            </w:r>
            <w:r w:rsidR="00AB3FDF">
              <w:t> </w:t>
            </w:r>
            <w:r w:rsidR="00731AA3" w:rsidRPr="00C21CD0">
              <w:t xml:space="preserve">– </w:t>
            </w:r>
            <w:r w:rsidR="00731AA3">
              <w:t xml:space="preserve">likumprojekts) </w:t>
            </w:r>
            <w:r w:rsidR="00AE6861">
              <w:rPr>
                <w:iCs/>
                <w:color w:val="000000" w:themeColor="text1"/>
              </w:rPr>
              <w:t xml:space="preserve">ir nepieciešams, lai paplašinātu Čeku </w:t>
            </w:r>
            <w:r w:rsidR="00AE6861" w:rsidRPr="00C06BB5">
              <w:rPr>
                <w:iCs/>
                <w:color w:val="000000" w:themeColor="text1"/>
              </w:rPr>
              <w:t>loterijas likumā noteikto</w:t>
            </w:r>
            <w:r w:rsidR="00C06BB5" w:rsidRPr="00C06BB5">
              <w:rPr>
                <w:iCs/>
                <w:color w:val="000000" w:themeColor="text1"/>
              </w:rPr>
              <w:t xml:space="preserve"> darījumu apliecinošo</w:t>
            </w:r>
            <w:r w:rsidR="00AE6861" w:rsidRPr="00C06BB5">
              <w:rPr>
                <w:iCs/>
                <w:color w:val="000000" w:themeColor="text1"/>
              </w:rPr>
              <w:t xml:space="preserve"> dokumentu</w:t>
            </w:r>
            <w:r w:rsidR="00C06BB5" w:rsidRPr="00C06BB5">
              <w:rPr>
                <w:iCs/>
                <w:color w:val="000000" w:themeColor="text1"/>
              </w:rPr>
              <w:t xml:space="preserve"> veidus, kas reģistrējami</w:t>
            </w:r>
            <w:r w:rsidR="00AE6861" w:rsidRPr="00C06BB5">
              <w:rPr>
                <w:iCs/>
                <w:color w:val="000000" w:themeColor="text1"/>
              </w:rPr>
              <w:t xml:space="preserve"> dalībai čeku loterijā,</w:t>
            </w:r>
            <w:r w:rsidR="0084558D" w:rsidRPr="00C06BB5">
              <w:rPr>
                <w:iCs/>
                <w:color w:val="000000" w:themeColor="text1"/>
              </w:rPr>
              <w:t xml:space="preserve"> </w:t>
            </w:r>
            <w:r w:rsidR="007E2FA8" w:rsidRPr="00C06BB5">
              <w:rPr>
                <w:iCs/>
                <w:color w:val="000000" w:themeColor="text1"/>
              </w:rPr>
              <w:t>ieviešot</w:t>
            </w:r>
            <w:r w:rsidR="006764F4">
              <w:rPr>
                <w:color w:val="1F497D"/>
              </w:rPr>
              <w:t xml:space="preserve"> </w:t>
            </w:r>
            <w:r w:rsidR="004D6ACE">
              <w:rPr>
                <w:color w:val="000000" w:themeColor="text1"/>
              </w:rPr>
              <w:t>maksāšanai izsniegtu dokumentu</w:t>
            </w:r>
            <w:r w:rsidR="006764F4" w:rsidRPr="004D6ACE">
              <w:rPr>
                <w:color w:val="000000" w:themeColor="text1"/>
              </w:rPr>
              <w:t xml:space="preserve"> (turpmāk – </w:t>
            </w:r>
            <w:r w:rsidR="007E2FA8" w:rsidRPr="004D6ACE">
              <w:rPr>
                <w:iCs/>
                <w:color w:val="000000" w:themeColor="text1"/>
              </w:rPr>
              <w:t>rēķin</w:t>
            </w:r>
            <w:r w:rsidR="004D3E12" w:rsidRPr="004D6ACE">
              <w:rPr>
                <w:iCs/>
                <w:color w:val="000000" w:themeColor="text1"/>
              </w:rPr>
              <w:t>s</w:t>
            </w:r>
            <w:r w:rsidR="006764F4" w:rsidRPr="004D6ACE">
              <w:rPr>
                <w:iCs/>
                <w:color w:val="000000" w:themeColor="text1"/>
              </w:rPr>
              <w:t>)</w:t>
            </w:r>
            <w:r w:rsidR="00C06BB5" w:rsidRPr="004D6ACE">
              <w:rPr>
                <w:iCs/>
                <w:color w:val="000000" w:themeColor="text1"/>
              </w:rPr>
              <w:t xml:space="preserve"> </w:t>
            </w:r>
            <w:r w:rsidR="00C06BB5">
              <w:rPr>
                <w:iCs/>
                <w:color w:val="000000" w:themeColor="text1"/>
              </w:rPr>
              <w:t>par saņemtām precēm vai pakalpojumiem</w:t>
            </w:r>
            <w:r w:rsidR="007E2FA8" w:rsidRPr="00C06BB5">
              <w:rPr>
                <w:iCs/>
                <w:color w:val="000000" w:themeColor="text1"/>
              </w:rPr>
              <w:t xml:space="preserve"> reģistrēšanu</w:t>
            </w:r>
            <w:r w:rsidR="00C06BB5">
              <w:rPr>
                <w:iCs/>
                <w:color w:val="000000" w:themeColor="text1"/>
              </w:rPr>
              <w:t>. Ar grozījumiem likumā ir paredzēts veicināt</w:t>
            </w:r>
            <w:r w:rsidR="00AE6861" w:rsidRPr="00C06BB5">
              <w:rPr>
                <w:iCs/>
                <w:color w:val="000000" w:themeColor="text1"/>
              </w:rPr>
              <w:t xml:space="preserve"> iedzīvotāju aktivitāti pieteikt dalībai čeku loterijā čekus, kvītis vai rēķinus par darījumiem nozarēs ar augstu</w:t>
            </w:r>
            <w:r w:rsidR="00AE6861">
              <w:rPr>
                <w:iCs/>
                <w:color w:val="000000" w:themeColor="text1"/>
              </w:rPr>
              <w:t xml:space="preserve"> ēnu ekonomikas īpatsvaru, nosakot</w:t>
            </w:r>
            <w:r w:rsidR="0084558D" w:rsidRPr="0084558D">
              <w:rPr>
                <w:iCs/>
                <w:color w:val="000000" w:themeColor="text1"/>
              </w:rPr>
              <w:t xml:space="preserve"> </w:t>
            </w:r>
            <w:r w:rsidR="009645C5" w:rsidRPr="00470D1F">
              <w:rPr>
                <w:iCs/>
                <w:color w:val="000000" w:themeColor="text1"/>
              </w:rPr>
              <w:t>nozares</w:t>
            </w:r>
            <w:r w:rsidR="0084558D" w:rsidRPr="00470D1F">
              <w:rPr>
                <w:iCs/>
                <w:color w:val="000000" w:themeColor="text1"/>
              </w:rPr>
              <w:t xml:space="preserve"> </w:t>
            </w:r>
            <w:r w:rsidR="0084558D" w:rsidRPr="009408A8">
              <w:rPr>
                <w:iCs/>
                <w:color w:val="000000" w:themeColor="text1"/>
              </w:rPr>
              <w:t>čeku izlozes.</w:t>
            </w:r>
            <w:r w:rsidR="00470D1F" w:rsidRPr="0084558D" w:rsidDel="00470D1F">
              <w:rPr>
                <w:iCs/>
                <w:color w:val="000000" w:themeColor="text1"/>
              </w:rPr>
              <w:t xml:space="preserve"> </w:t>
            </w:r>
            <w:r w:rsidR="0084558D" w:rsidRPr="0084558D">
              <w:rPr>
                <w:iCs/>
                <w:color w:val="000000" w:themeColor="text1"/>
              </w:rPr>
              <w:t>L</w:t>
            </w:r>
            <w:r w:rsidRPr="0084558D">
              <w:rPr>
                <w:iCs/>
                <w:color w:val="000000" w:themeColor="text1"/>
              </w:rPr>
              <w:t>ikums stā</w:t>
            </w:r>
            <w:r w:rsidR="007E2FA8" w:rsidRPr="0084558D">
              <w:rPr>
                <w:iCs/>
                <w:color w:val="000000" w:themeColor="text1"/>
              </w:rPr>
              <w:t xml:space="preserve">sies </w:t>
            </w:r>
            <w:r w:rsidRPr="0084558D">
              <w:rPr>
                <w:iCs/>
                <w:color w:val="000000" w:themeColor="text1"/>
              </w:rPr>
              <w:t xml:space="preserve">spēkā 2021.gada </w:t>
            </w:r>
            <w:r w:rsidRPr="00D516D1">
              <w:rPr>
                <w:iCs/>
              </w:rPr>
              <w:t>1.</w:t>
            </w:r>
            <w:r w:rsidR="00C06BB5" w:rsidRPr="00D516D1">
              <w:rPr>
                <w:iCs/>
              </w:rPr>
              <w:t>aprīlī</w:t>
            </w:r>
            <w:r w:rsidRPr="00D516D1">
              <w:rPr>
                <w:iCs/>
              </w:rPr>
              <w:t>.</w:t>
            </w:r>
          </w:p>
        </w:tc>
      </w:tr>
    </w:tbl>
    <w:p w14:paraId="115B3086" w14:textId="77777777" w:rsidR="00BD5588" w:rsidRPr="007F55CF" w:rsidRDefault="00BD5588" w:rsidP="007F55CF">
      <w:pPr>
        <w:pStyle w:val="Title"/>
        <w:ind w:firstLine="539"/>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84558D" w14:paraId="1635ADE5" w14:textId="77777777" w:rsidTr="007F55CF">
        <w:tc>
          <w:tcPr>
            <w:tcW w:w="5000" w:type="pct"/>
            <w:gridSpan w:val="3"/>
            <w:vAlign w:val="center"/>
            <w:hideMark/>
          </w:tcPr>
          <w:p w14:paraId="5FFE7FB7" w14:textId="03874910" w:rsidR="00BD5588" w:rsidRPr="00AA75EF" w:rsidRDefault="00BD5588" w:rsidP="00AA75EF">
            <w:pPr>
              <w:jc w:val="center"/>
            </w:pPr>
            <w:r w:rsidRPr="0084558D">
              <w:rPr>
                <w:b/>
                <w:bCs/>
              </w:rPr>
              <w:t>I. Tiesību akta projekta izstrādes nepieciešamība</w:t>
            </w:r>
          </w:p>
        </w:tc>
      </w:tr>
      <w:tr w:rsidR="00BD5588" w:rsidRPr="0084558D" w14:paraId="0ECF7290" w14:textId="77777777" w:rsidTr="007F55CF">
        <w:tc>
          <w:tcPr>
            <w:tcW w:w="311" w:type="pct"/>
            <w:hideMark/>
          </w:tcPr>
          <w:p w14:paraId="245CF93E" w14:textId="77777777" w:rsidR="00BD5588" w:rsidRPr="0084558D" w:rsidRDefault="00BD5588" w:rsidP="009E0502">
            <w:pPr>
              <w:jc w:val="center"/>
            </w:pPr>
            <w:r w:rsidRPr="0084558D">
              <w:t>1.</w:t>
            </w:r>
          </w:p>
        </w:tc>
        <w:tc>
          <w:tcPr>
            <w:tcW w:w="1479" w:type="pct"/>
            <w:hideMark/>
          </w:tcPr>
          <w:p w14:paraId="5C9FF02F" w14:textId="11921D5A" w:rsidR="00BD5588" w:rsidRPr="00AA75EF" w:rsidRDefault="00BD5588" w:rsidP="00AA75EF">
            <w:r w:rsidRPr="0084558D">
              <w:t>Pamatojums</w:t>
            </w:r>
          </w:p>
        </w:tc>
        <w:tc>
          <w:tcPr>
            <w:tcW w:w="3210" w:type="pct"/>
            <w:hideMark/>
          </w:tcPr>
          <w:p w14:paraId="31330EE7" w14:textId="57001C64" w:rsidR="002D35B2" w:rsidRPr="0084558D" w:rsidRDefault="009B1BA0" w:rsidP="00731AA3">
            <w:pPr>
              <w:jc w:val="both"/>
            </w:pPr>
            <w:r>
              <w:t xml:space="preserve">Likumprojekts </w:t>
            </w:r>
            <w:r w:rsidR="00BC193C">
              <w:t>izstrādāt</w:t>
            </w:r>
            <w:r w:rsidR="00401053">
              <w:t>s</w:t>
            </w:r>
            <w:r w:rsidR="00BC193C">
              <w:t xml:space="preserve"> </w:t>
            </w:r>
            <w:r>
              <w:t xml:space="preserve">kā viens no </w:t>
            </w:r>
            <w:r w:rsidRPr="005378F3">
              <w:t>fiskālās telpas pasākumiem un izdevumiem prioritārajiem pasākumiem valsts budžetam 20</w:t>
            </w:r>
            <w:r>
              <w:t>21</w:t>
            </w:r>
            <w:r w:rsidRPr="005378F3">
              <w:t>.</w:t>
            </w:r>
            <w:r>
              <w:t> </w:t>
            </w:r>
            <w:r w:rsidRPr="005378F3">
              <w:t>gadam un ietvaram 20</w:t>
            </w:r>
            <w:r>
              <w:t>21</w:t>
            </w:r>
            <w:r w:rsidRPr="005378F3">
              <w:t>.–</w:t>
            </w:r>
            <w:proofErr w:type="gramStart"/>
            <w:r w:rsidRPr="005378F3">
              <w:t>20</w:t>
            </w:r>
            <w:r>
              <w:t>23</w:t>
            </w:r>
            <w:r w:rsidRPr="005378F3">
              <w:t>.gadam</w:t>
            </w:r>
            <w:proofErr w:type="gramEnd"/>
            <w:r w:rsidRPr="00C21CD0">
              <w:t>.</w:t>
            </w:r>
          </w:p>
        </w:tc>
      </w:tr>
      <w:tr w:rsidR="00BD5588" w:rsidRPr="0084558D" w14:paraId="217B7963" w14:textId="77777777" w:rsidTr="007F55CF">
        <w:tc>
          <w:tcPr>
            <w:tcW w:w="311" w:type="pct"/>
            <w:hideMark/>
          </w:tcPr>
          <w:p w14:paraId="476AAC18" w14:textId="77777777" w:rsidR="00BD5588" w:rsidRPr="0084558D" w:rsidRDefault="00BD5588" w:rsidP="009E0502">
            <w:pPr>
              <w:jc w:val="center"/>
            </w:pPr>
            <w:r w:rsidRPr="0084558D">
              <w:t>2.</w:t>
            </w:r>
          </w:p>
        </w:tc>
        <w:tc>
          <w:tcPr>
            <w:tcW w:w="1479" w:type="pct"/>
            <w:hideMark/>
          </w:tcPr>
          <w:p w14:paraId="6258EDE2" w14:textId="77777777" w:rsidR="00BD5588" w:rsidRPr="0084558D" w:rsidRDefault="00BD5588" w:rsidP="009E0502">
            <w:r w:rsidRPr="0084558D">
              <w:t>Pašreizējā situācija un problēmas, kuru risināšanai tiesību akta projekts izstrādāts, tiesiskā regulējuma mērķis un būtība</w:t>
            </w:r>
          </w:p>
        </w:tc>
        <w:tc>
          <w:tcPr>
            <w:tcW w:w="3210" w:type="pct"/>
            <w:hideMark/>
          </w:tcPr>
          <w:p w14:paraId="08AAD6CA" w14:textId="77777777" w:rsidR="00987040" w:rsidRPr="00047996" w:rsidRDefault="0084558D" w:rsidP="0099330E">
            <w:pPr>
              <w:ind w:firstLine="551"/>
              <w:jc w:val="both"/>
            </w:pPr>
            <w:r w:rsidRPr="00047996">
              <w:t xml:space="preserve">Čeku loterija, pamatojoties uz Čeku loterijas likumu, tika uzsākta 2019.gada 1.jūlijā. </w:t>
            </w:r>
          </w:p>
          <w:p w14:paraId="1CFEB523" w14:textId="34488759" w:rsidR="00BD5588" w:rsidRPr="00047996" w:rsidRDefault="0084558D" w:rsidP="0099330E">
            <w:pPr>
              <w:ind w:firstLine="551"/>
              <w:jc w:val="both"/>
            </w:pPr>
            <w:r w:rsidRPr="00047996">
              <w:t>2019.gada 17.septembrī Ministru kabinets atbalstīja Finanšu ministrijas prioritāro pasākumu “Čeku loterija - ēnu ekonomikas mazināšana riskantajās nozarēs” un tam paredzēto finansējumu 2020.gadam 400 000 EUR apmērā, vienlaikus paredzot, ka jautājumu par čeku loterijai nepieciešamo finansējumu 2021.</w:t>
            </w:r>
            <w:r w:rsidR="00457264">
              <w:t xml:space="preserve"> </w:t>
            </w:r>
            <w:r w:rsidRPr="00047996">
              <w:t>un turpmākajiem gadiem jāskata 2021.gada valsts budžeta sagatavošanas procesā pēc čeku loterijas izvērtējuma veikšanas.</w:t>
            </w:r>
          </w:p>
          <w:p w14:paraId="1D2F5E40" w14:textId="48D3DEB6" w:rsidR="005C43B1" w:rsidRDefault="002D7F9A" w:rsidP="0099330E">
            <w:pPr>
              <w:tabs>
                <w:tab w:val="left" w:pos="5752"/>
              </w:tabs>
              <w:ind w:firstLine="551"/>
              <w:jc w:val="both"/>
            </w:pPr>
            <w:r w:rsidRPr="00047996">
              <w:t xml:space="preserve">Izvērtējot čeku loterijas darbības </w:t>
            </w:r>
            <w:r w:rsidR="0040700C" w:rsidRPr="00047996">
              <w:t>sākotnējos dat</w:t>
            </w:r>
            <w:r w:rsidRPr="00047996">
              <w:t xml:space="preserve">us par 12 mēnešiem (no 2019.gada jūlija līdz 2020.gada jūlijam), tika identificētas iespējas </w:t>
            </w:r>
            <w:r w:rsidR="00E30252">
              <w:t>palielināt</w:t>
            </w:r>
            <w:r w:rsidRPr="00047996">
              <w:t xml:space="preserve"> iedzīvotāju </w:t>
            </w:r>
            <w:r w:rsidR="00E30252">
              <w:t>aktivitāti</w:t>
            </w:r>
            <w:r w:rsidR="006962FD">
              <w:t xml:space="preserve"> dalībai čeku loterijā ar interes</w:t>
            </w:r>
            <w:r w:rsidR="0086350F">
              <w:t>i</w:t>
            </w:r>
            <w:r w:rsidR="006962FD">
              <w:t xml:space="preserve"> </w:t>
            </w:r>
            <w:r w:rsidR="00E30252">
              <w:t xml:space="preserve">veicinošiem pasākumiem, tādā veidā veicinot iedzīvotāju ieradumu par iegādātu preci vai saņemtu pakalpojumu pieprasīt darījumu apliecinošu dokumentu (čeku, kvīti u.c.). </w:t>
            </w:r>
          </w:p>
          <w:p w14:paraId="1F733DCD" w14:textId="4F1B4BFB" w:rsidR="005C43B1" w:rsidRPr="00047996" w:rsidRDefault="005C43B1" w:rsidP="0099330E">
            <w:pPr>
              <w:ind w:firstLine="551"/>
              <w:jc w:val="both"/>
            </w:pPr>
            <w:r w:rsidRPr="00047996">
              <w:t>Čeku loterijas likuma mērķis ir veicināt godīgu konkurenci un nodokļu saistību labprātīgu izpildi, mazināt krāpšanu nodokļu iekasēšanas jomā un izvairīšanos no nodokļu nomaksas, kā arī mudināt patērētājus pieprasīt čekus par iegādātajām precēm un saņemtajiem pakalpojumiem. Pētījumu centra “SKDS” 2020.gada sākumā visā Latvijas teritorijā veiktā aptauja liecin</w:t>
            </w:r>
            <w:r w:rsidR="008C24B3">
              <w:t>a, ka vidēji katrs piektais (21</w:t>
            </w:r>
            <w:r w:rsidRPr="00047996">
              <w:t xml:space="preserve">%) respondents atzīst, ka </w:t>
            </w:r>
            <w:r>
              <w:t>pēc čeku loterijas darbības uzsākšanas</w:t>
            </w:r>
            <w:r w:rsidRPr="00047996">
              <w:t xml:space="preserve"> pievērš lielāku uzmanību tam, vai tiek izsniegts darījumu apliecinošs dokuments.</w:t>
            </w:r>
            <w:r>
              <w:t xml:space="preserve"> Piedalīšanās čeku loterijā ir līdzeklis sabiedrības ieraduma veidošanai, veicinot darījumu apliecinošu dokumentu </w:t>
            </w:r>
            <w:r>
              <w:lastRenderedPageBreak/>
              <w:t>pieprasīšanu. Savukārt</w:t>
            </w:r>
            <w:r w:rsidRPr="001840AB">
              <w:t xml:space="preserve">, mainot nodokļu maksātāju ieradumus, tiek </w:t>
            </w:r>
            <w:r>
              <w:t>veicināta Čeku loterijas mērķa sasniegšana.</w:t>
            </w:r>
          </w:p>
          <w:p w14:paraId="1C2EABA4" w14:textId="2F76E19E" w:rsidR="005C43B1" w:rsidRPr="00047996" w:rsidRDefault="005C43B1" w:rsidP="0099330E">
            <w:pPr>
              <w:ind w:firstLine="551"/>
              <w:jc w:val="both"/>
            </w:pPr>
            <w:r>
              <w:t>Č</w:t>
            </w:r>
            <w:r w:rsidRPr="00047996">
              <w:t>eku loterijas mērķis bija veicināt arī nodo</w:t>
            </w:r>
            <w:r>
              <w:t>kļu saistību labprātīgu izpildi</w:t>
            </w:r>
            <w:r w:rsidRPr="00047996">
              <w:t xml:space="preserve"> un pēc čeku reģistrācijas</w:t>
            </w:r>
            <w:r w:rsidR="009645C5">
              <w:t xml:space="preserve"> Valsts ieņēmumu dienestam</w:t>
            </w:r>
            <w:r w:rsidRPr="00047996">
              <w:t xml:space="preserve"> </w:t>
            </w:r>
            <w:r w:rsidR="009645C5">
              <w:t>(turpmāk</w:t>
            </w:r>
            <w:r w:rsidR="002B2A41">
              <w:t xml:space="preserve"> </w:t>
            </w:r>
            <w:r w:rsidR="00391B7E">
              <w:t xml:space="preserve">– </w:t>
            </w:r>
            <w:r w:rsidRPr="00047996">
              <w:t>VID</w:t>
            </w:r>
            <w:r w:rsidR="009645C5">
              <w:t>)</w:t>
            </w:r>
            <w:r w:rsidRPr="00047996">
              <w:t xml:space="preserve"> </w:t>
            </w:r>
            <w:r>
              <w:t xml:space="preserve">ir </w:t>
            </w:r>
            <w:r w:rsidRPr="00047996">
              <w:t>iespēja</w:t>
            </w:r>
            <w:r>
              <w:t>s</w:t>
            </w:r>
            <w:r w:rsidRPr="00047996">
              <w:t xml:space="preserve"> veikt datu ticamības novērtējumu, novēršot zaudējumus valsts budžetam, kad netiek pareizi aprēķināti un maksāti nodokļi no darba algām, nav nodrošināta saimnieciskās darbības izsekojamība, pieļauti pārkāpumi deklarāciju un pārskatu iesniegšanā un aizpildīšanā, nav ievērota preču uzskaites un attaisnojuma dokumentu reģistrācijas kārtība. </w:t>
            </w:r>
          </w:p>
          <w:p w14:paraId="457B8629" w14:textId="7F46351B" w:rsidR="005C43B1" w:rsidRPr="001840AB" w:rsidRDefault="005C43B1" w:rsidP="0099330E">
            <w:pPr>
              <w:tabs>
                <w:tab w:val="left" w:pos="2127"/>
                <w:tab w:val="left" w:pos="6096"/>
              </w:tabs>
              <w:ind w:firstLine="551"/>
              <w:jc w:val="both"/>
            </w:pPr>
            <w:r w:rsidRPr="00047996">
              <w:t xml:space="preserve">Čeku loterijas </w:t>
            </w:r>
            <w:r w:rsidR="00DA716A">
              <w:t xml:space="preserve">ietvaros reģistrētie </w:t>
            </w:r>
            <w:r w:rsidRPr="00047996">
              <w:t xml:space="preserve">dati dod iespēju VID </w:t>
            </w:r>
            <w:r w:rsidRPr="001840AB">
              <w:t>identificēt šādus riskus:</w:t>
            </w:r>
          </w:p>
          <w:p w14:paraId="2ED6B158" w14:textId="6C866396" w:rsidR="005C43B1" w:rsidRPr="001840AB" w:rsidRDefault="005C43B1" w:rsidP="00537D66">
            <w:pPr>
              <w:pStyle w:val="Default"/>
              <w:numPr>
                <w:ilvl w:val="0"/>
                <w:numId w:val="1"/>
              </w:numPr>
              <w:tabs>
                <w:tab w:val="left" w:pos="710"/>
              </w:tabs>
              <w:ind w:left="0" w:firstLine="406"/>
              <w:jc w:val="both"/>
              <w:rPr>
                <w:rFonts w:ascii="Times New Roman" w:hAnsi="Times New Roman"/>
              </w:rPr>
            </w:pPr>
            <w:r w:rsidRPr="001840AB">
              <w:rPr>
                <w:rFonts w:ascii="Times New Roman" w:hAnsi="Times New Roman"/>
              </w:rPr>
              <w:t xml:space="preserve">ieņēmumu nedeklarēšanu – </w:t>
            </w:r>
            <w:r w:rsidR="00955DE4" w:rsidRPr="00955DE4">
              <w:rPr>
                <w:rFonts w:ascii="Times New Roman" w:hAnsi="Times New Roman"/>
              </w:rPr>
              <w:t xml:space="preserve">pievienotās vērtības nodokļa (turpmāk – PVN) </w:t>
            </w:r>
            <w:r w:rsidRPr="001840AB">
              <w:rPr>
                <w:rFonts w:ascii="Times New Roman" w:hAnsi="Times New Roman"/>
              </w:rPr>
              <w:t>deklarācijā deklarētā kopējā darījumu vērtība ir mazāka par loterijai iesniegto čeku darījumu kopsummu vai darījumu vērtība PVN deklarācijā vispār nav deklarēta, nereģistrēšanās PVN maksātāju reģistrā pie PVN reģistrācijas sliekšņa sasniegšanas.</w:t>
            </w:r>
            <w:r w:rsidRPr="001840AB">
              <w:t xml:space="preserve"> </w:t>
            </w:r>
            <w:r w:rsidRPr="001840AB">
              <w:rPr>
                <w:rFonts w:ascii="Times New Roman" w:hAnsi="Times New Roman"/>
              </w:rPr>
              <w:t xml:space="preserve">No 2019.gada </w:t>
            </w:r>
            <w:r w:rsidR="00457264">
              <w:rPr>
                <w:rFonts w:ascii="Times New Roman" w:hAnsi="Times New Roman"/>
              </w:rPr>
              <w:t>1.</w:t>
            </w:r>
            <w:r w:rsidRPr="001840AB">
              <w:rPr>
                <w:rFonts w:ascii="Times New Roman" w:hAnsi="Times New Roman"/>
              </w:rPr>
              <w:t xml:space="preserve">jūlija līdz 2020.gada </w:t>
            </w:r>
            <w:r w:rsidR="0083271C" w:rsidRPr="009408A8">
              <w:rPr>
                <w:rFonts w:ascii="Times New Roman" w:hAnsi="Times New Roman"/>
              </w:rPr>
              <w:t>3</w:t>
            </w:r>
            <w:r w:rsidR="00457264">
              <w:rPr>
                <w:rFonts w:ascii="Times New Roman" w:hAnsi="Times New Roman"/>
              </w:rPr>
              <w:t>1</w:t>
            </w:r>
            <w:r w:rsidR="0083271C" w:rsidRPr="009408A8">
              <w:rPr>
                <w:rFonts w:ascii="Times New Roman" w:hAnsi="Times New Roman"/>
              </w:rPr>
              <w:t>.</w:t>
            </w:r>
            <w:r w:rsidR="00E65781" w:rsidRPr="009408A8">
              <w:rPr>
                <w:rFonts w:ascii="Times New Roman" w:hAnsi="Times New Roman"/>
              </w:rPr>
              <w:t>jū</w:t>
            </w:r>
            <w:r w:rsidR="00E65781">
              <w:rPr>
                <w:rFonts w:ascii="Times New Roman" w:hAnsi="Times New Roman"/>
              </w:rPr>
              <w:t>l</w:t>
            </w:r>
            <w:r w:rsidR="00E65781" w:rsidRPr="009408A8">
              <w:rPr>
                <w:rFonts w:ascii="Times New Roman" w:hAnsi="Times New Roman"/>
              </w:rPr>
              <w:t>ijam</w:t>
            </w:r>
            <w:r w:rsidRPr="008363AE">
              <w:rPr>
                <w:rFonts w:ascii="Times New Roman" w:hAnsi="Times New Roman"/>
              </w:rPr>
              <w:t>,</w:t>
            </w:r>
            <w:r w:rsidRPr="001840AB">
              <w:rPr>
                <w:rFonts w:ascii="Times New Roman" w:hAnsi="Times New Roman"/>
              </w:rPr>
              <w:t xml:space="preserve"> ņemot vērā čeku loterijas datus pēc VID aicinājuma </w:t>
            </w:r>
            <w:r w:rsidR="009E50E1" w:rsidRPr="009408A8">
              <w:rPr>
                <w:rFonts w:ascii="Times New Roman" w:hAnsi="Times New Roman"/>
              </w:rPr>
              <w:t>932</w:t>
            </w:r>
            <w:r w:rsidRPr="001840AB">
              <w:rPr>
                <w:rFonts w:ascii="Times New Roman" w:hAnsi="Times New Roman"/>
              </w:rPr>
              <w:t xml:space="preserve"> uzņēmumi iesniedza precizētas PVN deklarācijas, palielinot valsts budžetu par</w:t>
            </w:r>
            <w:r w:rsidR="009E50E1">
              <w:rPr>
                <w:rFonts w:ascii="Times New Roman" w:hAnsi="Times New Roman"/>
              </w:rPr>
              <w:t xml:space="preserve"> 1 195</w:t>
            </w:r>
            <w:r w:rsidR="00D516D1">
              <w:rPr>
                <w:rFonts w:ascii="Times New Roman" w:hAnsi="Times New Roman"/>
              </w:rPr>
              <w:t> 731 </w:t>
            </w:r>
            <w:r w:rsidR="009E50E1">
              <w:rPr>
                <w:rFonts w:ascii="Times New Roman" w:hAnsi="Times New Roman"/>
              </w:rPr>
              <w:t>milj.</w:t>
            </w:r>
            <w:r w:rsidRPr="001840AB">
              <w:rPr>
                <w:rFonts w:ascii="Times New Roman" w:hAnsi="Times New Roman"/>
              </w:rPr>
              <w:t> EUR;</w:t>
            </w:r>
          </w:p>
          <w:p w14:paraId="7D5E420D" w14:textId="542BD46B" w:rsidR="005C43B1" w:rsidRPr="001840AB" w:rsidRDefault="005C43B1" w:rsidP="00537D66">
            <w:pPr>
              <w:pStyle w:val="Default"/>
              <w:numPr>
                <w:ilvl w:val="0"/>
                <w:numId w:val="1"/>
              </w:numPr>
              <w:tabs>
                <w:tab w:val="left" w:pos="710"/>
                <w:tab w:val="left" w:pos="2127"/>
                <w:tab w:val="left" w:pos="6096"/>
              </w:tabs>
              <w:ind w:left="0" w:firstLine="406"/>
              <w:jc w:val="both"/>
              <w:rPr>
                <w:rFonts w:ascii="Times New Roman" w:eastAsia="Times New Roman" w:hAnsi="Times New Roman"/>
                <w:lang w:eastAsia="lv-LV"/>
              </w:rPr>
            </w:pPr>
            <w:r w:rsidRPr="001840AB">
              <w:rPr>
                <w:rFonts w:ascii="Times New Roman" w:hAnsi="Times New Roman"/>
              </w:rPr>
              <w:t xml:space="preserve">neatbilstošu kases aparātu lietošanu – kases aparātu nereģistrēšana VID, no uzskaites noņemto kases aparātu izmantošana, tehniskajām prasībām neatbilstošo elektronisko kases aparātu lietošana, čeku izsniegšana pēc uzņēmuma saimnieciskās darbības apturēšanas. </w:t>
            </w:r>
            <w:r w:rsidRPr="001840AB">
              <w:rPr>
                <w:rFonts w:ascii="Times New Roman" w:eastAsia="Calibri" w:hAnsi="Times New Roman" w:cs="Times New Roman"/>
                <w:color w:val="auto"/>
              </w:rPr>
              <w:t>No 2019.g</w:t>
            </w:r>
            <w:r>
              <w:rPr>
                <w:rFonts w:ascii="Times New Roman" w:eastAsia="Calibri" w:hAnsi="Times New Roman" w:cs="Times New Roman"/>
                <w:color w:val="auto"/>
              </w:rPr>
              <w:t>ada</w:t>
            </w:r>
            <w:r w:rsidRPr="001840AB">
              <w:rPr>
                <w:rFonts w:ascii="Times New Roman" w:eastAsia="Calibri" w:hAnsi="Times New Roman" w:cs="Times New Roman"/>
                <w:color w:val="auto"/>
              </w:rPr>
              <w:t xml:space="preserve"> </w:t>
            </w:r>
            <w:r w:rsidR="00457264">
              <w:rPr>
                <w:rFonts w:ascii="Times New Roman" w:eastAsia="Calibri" w:hAnsi="Times New Roman" w:cs="Times New Roman"/>
                <w:color w:val="auto"/>
              </w:rPr>
              <w:t>1.</w:t>
            </w:r>
            <w:r w:rsidRPr="001840AB">
              <w:rPr>
                <w:rFonts w:ascii="Times New Roman" w:eastAsia="Calibri" w:hAnsi="Times New Roman" w:cs="Times New Roman"/>
                <w:color w:val="auto"/>
              </w:rPr>
              <w:t>jūlija līdz 2020.</w:t>
            </w:r>
            <w:r>
              <w:rPr>
                <w:rFonts w:ascii="Times New Roman" w:eastAsia="Calibri" w:hAnsi="Times New Roman" w:cs="Times New Roman"/>
                <w:color w:val="auto"/>
              </w:rPr>
              <w:t>gada</w:t>
            </w:r>
            <w:r w:rsidRPr="001840AB">
              <w:rPr>
                <w:rFonts w:ascii="Times New Roman" w:eastAsia="Calibri" w:hAnsi="Times New Roman" w:cs="Times New Roman"/>
                <w:color w:val="auto"/>
              </w:rPr>
              <w:t xml:space="preserve"> </w:t>
            </w:r>
            <w:r w:rsidR="00457264">
              <w:rPr>
                <w:rFonts w:ascii="Times New Roman" w:eastAsia="Calibri" w:hAnsi="Times New Roman" w:cs="Times New Roman"/>
                <w:color w:val="auto"/>
              </w:rPr>
              <w:t>31.</w:t>
            </w:r>
            <w:r w:rsidRPr="00755051">
              <w:rPr>
                <w:rFonts w:ascii="Times New Roman" w:eastAsia="Calibri" w:hAnsi="Times New Roman" w:cs="Times New Roman"/>
                <w:color w:val="auto"/>
              </w:rPr>
              <w:t>maijam</w:t>
            </w:r>
            <w:r w:rsidRPr="001840AB">
              <w:rPr>
                <w:rFonts w:ascii="Times New Roman" w:eastAsia="Calibri" w:hAnsi="Times New Roman" w:cs="Times New Roman"/>
                <w:color w:val="auto"/>
              </w:rPr>
              <w:t xml:space="preserve">, ņemot vērā čeku loterijas datus, identificēti </w:t>
            </w:r>
            <w:r w:rsidRPr="00755051">
              <w:rPr>
                <w:rFonts w:ascii="Times New Roman" w:eastAsia="Calibri" w:hAnsi="Times New Roman" w:cs="Times New Roman"/>
                <w:color w:val="auto"/>
              </w:rPr>
              <w:t>86</w:t>
            </w:r>
            <w:r w:rsidRPr="001840AB">
              <w:rPr>
                <w:rFonts w:ascii="Times New Roman" w:eastAsia="Calibri" w:hAnsi="Times New Roman" w:cs="Times New Roman"/>
                <w:color w:val="auto"/>
              </w:rPr>
              <w:t xml:space="preserve"> uzņēmumi, kas izsniedza čekus pēc saimnieciskās darbības apturēšanas</w:t>
            </w:r>
            <w:r w:rsidRPr="001840AB">
              <w:rPr>
                <w:rFonts w:ascii="Times New Roman" w:hAnsi="Times New Roman"/>
              </w:rPr>
              <w:t xml:space="preserve">; </w:t>
            </w:r>
          </w:p>
          <w:p w14:paraId="2418D8B2" w14:textId="5D080B24" w:rsidR="005C43B1" w:rsidRPr="001840AB" w:rsidRDefault="005C43B1" w:rsidP="00537D66">
            <w:pPr>
              <w:pStyle w:val="Default"/>
              <w:numPr>
                <w:ilvl w:val="0"/>
                <w:numId w:val="1"/>
              </w:numPr>
              <w:tabs>
                <w:tab w:val="left" w:pos="710"/>
                <w:tab w:val="left" w:pos="2127"/>
                <w:tab w:val="left" w:pos="6096"/>
              </w:tabs>
              <w:ind w:left="0" w:firstLine="406"/>
              <w:jc w:val="both"/>
              <w:rPr>
                <w:rFonts w:ascii="Times New Roman" w:hAnsi="Times New Roman"/>
              </w:rPr>
            </w:pPr>
            <w:r w:rsidRPr="001840AB">
              <w:rPr>
                <w:rFonts w:ascii="Times New Roman" w:hAnsi="Times New Roman"/>
              </w:rPr>
              <w:t xml:space="preserve">“aplokšņu” algas – visu darbinieku nedeklarēšana un visa darbinieku faktiski nostrādātā laika neuzskaitīšana. No 2019.gada </w:t>
            </w:r>
            <w:r w:rsidR="00E65781">
              <w:rPr>
                <w:rFonts w:ascii="Times New Roman" w:hAnsi="Times New Roman"/>
              </w:rPr>
              <w:t>1.</w:t>
            </w:r>
            <w:r w:rsidRPr="001840AB">
              <w:rPr>
                <w:rFonts w:ascii="Times New Roman" w:hAnsi="Times New Roman"/>
              </w:rPr>
              <w:t xml:space="preserve">jūlija līdz 2020.gada </w:t>
            </w:r>
            <w:r w:rsidR="00E65781" w:rsidRPr="00457264">
              <w:rPr>
                <w:rFonts w:ascii="Times New Roman" w:hAnsi="Times New Roman"/>
              </w:rPr>
              <w:t>1.jūlijam</w:t>
            </w:r>
            <w:r w:rsidR="008C36BE" w:rsidRPr="008363AE">
              <w:rPr>
                <w:rFonts w:ascii="Times New Roman" w:hAnsi="Times New Roman"/>
              </w:rPr>
              <w:t xml:space="preserve"> </w:t>
            </w:r>
            <w:r w:rsidR="00A32CF8" w:rsidRPr="00755051">
              <w:rPr>
                <w:rFonts w:ascii="Times New Roman" w:hAnsi="Times New Roman"/>
              </w:rPr>
              <w:t>43</w:t>
            </w:r>
            <w:r w:rsidRPr="008363AE">
              <w:rPr>
                <w:rFonts w:ascii="Times New Roman" w:hAnsi="Times New Roman"/>
              </w:rPr>
              <w:t> tematiskajās</w:t>
            </w:r>
            <w:r w:rsidRPr="001840AB">
              <w:rPr>
                <w:rFonts w:ascii="Times New Roman" w:hAnsi="Times New Roman"/>
              </w:rPr>
              <w:t xml:space="preserve"> pārbaudēs piemērots naudas sods </w:t>
            </w:r>
            <w:r w:rsidR="00A32CF8" w:rsidRPr="00755051">
              <w:rPr>
                <w:rFonts w:ascii="Times New Roman" w:hAnsi="Times New Roman"/>
              </w:rPr>
              <w:t>21 540</w:t>
            </w:r>
            <w:r w:rsidRPr="001840AB">
              <w:rPr>
                <w:rFonts w:ascii="Times New Roman" w:hAnsi="Times New Roman"/>
              </w:rPr>
              <w:t xml:space="preserve"> EUR apmērā.</w:t>
            </w:r>
          </w:p>
          <w:p w14:paraId="683DF4C3" w14:textId="02EFC63B" w:rsidR="005C43B1" w:rsidRDefault="005C43B1" w:rsidP="0099330E">
            <w:pPr>
              <w:ind w:firstLine="551"/>
              <w:jc w:val="both"/>
            </w:pPr>
            <w:r w:rsidRPr="00047996">
              <w:t xml:space="preserve">Tāpat čeku loterija </w:t>
            </w:r>
            <w:r>
              <w:t>ir atzīts kā</w:t>
            </w:r>
            <w:r w:rsidRPr="00047996">
              <w:t xml:space="preserve"> efektīvs rīks arī Covid-</w:t>
            </w:r>
            <w:r w:rsidR="009B598A">
              <w:t>1</w:t>
            </w:r>
            <w:r w:rsidRPr="00047996">
              <w:t xml:space="preserve">9 krīzes apstākļos – ar tās starpniecību identificēti vairāki gadījumi, kuros darba ņēmējiem ir piešķirti dīkstāves pabalsti, bet tie turpināja izsniegt čekus uzņēmuma pilnās dīkstāves laikā (dīkstāves periodā netiek nodarbināts neviens darba ņēmējs). </w:t>
            </w:r>
          </w:p>
          <w:p w14:paraId="2BE3BD59" w14:textId="4573C70E" w:rsidR="005C43B1" w:rsidRDefault="005C43B1" w:rsidP="0099330E">
            <w:pPr>
              <w:ind w:firstLine="551"/>
              <w:jc w:val="both"/>
            </w:pPr>
            <w:r>
              <w:t>A</w:t>
            </w:r>
            <w:r w:rsidRPr="001D59CB">
              <w:t>nalizējot datus, veicot preventīvas darbības un kontroles pasākumus, gada griezumā (</w:t>
            </w:r>
            <w:r w:rsidRPr="00457264">
              <w:t xml:space="preserve">2019.gada </w:t>
            </w:r>
            <w:r w:rsidR="00457264" w:rsidRPr="00457264">
              <w:t>1.</w:t>
            </w:r>
            <w:r w:rsidRPr="00457264">
              <w:t xml:space="preserve">jūlijs – 2020.gada </w:t>
            </w:r>
            <w:r w:rsidR="00457264" w:rsidRPr="00457264">
              <w:t>1.</w:t>
            </w:r>
            <w:r w:rsidRPr="00457264">
              <w:t>jū</w:t>
            </w:r>
            <w:r w:rsidR="00E65781" w:rsidRPr="00457264">
              <w:t>l</w:t>
            </w:r>
            <w:r w:rsidRPr="00457264">
              <w:t>ijs</w:t>
            </w:r>
            <w:r w:rsidRPr="001D59CB">
              <w:t xml:space="preserve">) </w:t>
            </w:r>
            <w:r>
              <w:t xml:space="preserve">čeku </w:t>
            </w:r>
            <w:r w:rsidRPr="001D59CB">
              <w:t xml:space="preserve">loterijas tiešs finansiāls pienesums valsts budžetā </w:t>
            </w:r>
            <w:r w:rsidRPr="00745A67">
              <w:t xml:space="preserve">veido </w:t>
            </w:r>
            <w:r w:rsidRPr="00205CDD">
              <w:t>1</w:t>
            </w:r>
            <w:r w:rsidR="00745A67" w:rsidRPr="00205CDD">
              <w:t>,2</w:t>
            </w:r>
            <w:r w:rsidRPr="00205CDD">
              <w:t xml:space="preserve"> milj.</w:t>
            </w:r>
            <w:r w:rsidRPr="001D59CB">
              <w:t xml:space="preserve"> </w:t>
            </w:r>
            <w:r>
              <w:t>EUR, līdz ar to ieņēmumi</w:t>
            </w:r>
            <w:r w:rsidR="00294A6F">
              <w:t xml:space="preserve"> ir teju</w:t>
            </w:r>
            <w:r>
              <w:t xml:space="preserve"> divreiz lielāki nekā izdevumi.</w:t>
            </w:r>
          </w:p>
          <w:p w14:paraId="0313D1B9" w14:textId="55FB71E5" w:rsidR="005C43B1" w:rsidRDefault="005C43B1" w:rsidP="0099330E">
            <w:pPr>
              <w:tabs>
                <w:tab w:val="left" w:pos="5752"/>
              </w:tabs>
              <w:ind w:firstLine="551"/>
              <w:jc w:val="both"/>
            </w:pPr>
            <w:r w:rsidRPr="00047996">
              <w:t>Pamatojoties uz ček</w:t>
            </w:r>
            <w:r>
              <w:t>u loterijas darbības rezultātu novērtējumu</w:t>
            </w:r>
            <w:r w:rsidRPr="00047996">
              <w:t>, ir secināts, ka čeku loterija ir efektīvs datu iegūšanas veids, lai turpmāk informāciju izmantotu nodokļu administrēšanas procesā preventīvo un kontroles pasākumu veikšanai un kopumā sekmētu ēnu ekonomikas ierobežošanu</w:t>
            </w:r>
            <w:r>
              <w:t>. L</w:t>
            </w:r>
            <w:r w:rsidRPr="00047996">
              <w:t xml:space="preserve">īdz ar to </w:t>
            </w:r>
            <w:r>
              <w:t>čeku loterija</w:t>
            </w:r>
            <w:r w:rsidRPr="00047996">
              <w:t xml:space="preserve"> ir jāturpina</w:t>
            </w:r>
            <w:r>
              <w:t xml:space="preserve"> arī nākamajā budžeta periodā</w:t>
            </w:r>
            <w:r w:rsidRPr="00047996">
              <w:t>.</w:t>
            </w:r>
            <w:r w:rsidR="00D67B21">
              <w:t xml:space="preserve"> </w:t>
            </w:r>
          </w:p>
          <w:p w14:paraId="41E35C30" w14:textId="71C9F84A" w:rsidR="00006C46" w:rsidRDefault="00E30252" w:rsidP="0099330E">
            <w:pPr>
              <w:tabs>
                <w:tab w:val="left" w:pos="5752"/>
              </w:tabs>
              <w:ind w:firstLine="551"/>
              <w:jc w:val="both"/>
            </w:pPr>
            <w:r>
              <w:t xml:space="preserve">Sakarā ar to, ka </w:t>
            </w:r>
            <w:r w:rsidR="009645C5">
              <w:t>VID</w:t>
            </w:r>
            <w:r>
              <w:t xml:space="preserve"> sekmīgi izmanto loterijā reģistrēto čeku un citu dokumentu informāciju nodokļu nomaksas risku analīzē, paplašinot čeku loterijai reģistrējamo dokumentu skaitu, VID</w:t>
            </w:r>
            <w:r w:rsidR="00D67B21">
              <w:t xml:space="preserve"> </w:t>
            </w:r>
            <w:r>
              <w:t>tiks paplašināts analītiskam darbam pieejamās informācijas ap</w:t>
            </w:r>
            <w:r w:rsidR="00443C5D">
              <w:t xml:space="preserve">joms. </w:t>
            </w:r>
            <w:r w:rsidR="00006C46">
              <w:t xml:space="preserve">Pašlaik dalībai čeku loterijā ir iespējas reģistrēt čekus, kvītis un biļetes. Taču, vērtējot tirdzniecības veidu un preču piegādes dažādību, konstatējams, ka iedzīvotāju ieradumi veikt preču pasūtījumus internetā vai veikt apmaksu par saņemtiem pakalpojumiem pēc rēķina saņemšanas ir plaši izplatīti. Līdz ar to, čeku loterijai pašlaik netiek reģistrēts būtisks skaits potenciālu darījumus apliecinošu dokumentu. Tāpēc, </w:t>
            </w:r>
            <w:r w:rsidR="00006C46" w:rsidRPr="00006C46">
              <w:t xml:space="preserve">likumprojektā ir paredzētas iespējas reģistrēt dalībai čeku loterijā arī </w:t>
            </w:r>
            <w:r w:rsidR="00006C46" w:rsidRPr="004D6ACE">
              <w:t>rēķinus par saņemtas</w:t>
            </w:r>
            <w:r w:rsidR="00006C46" w:rsidRPr="00006C46">
              <w:t xml:space="preserve"> preces vai pakalpojuma </w:t>
            </w:r>
            <w:r w:rsidR="00105CDE">
              <w:t>sa</w:t>
            </w:r>
            <w:r w:rsidR="00006C46" w:rsidRPr="00006C46">
              <w:t>maksu</w:t>
            </w:r>
            <w:r w:rsidR="00006C46">
              <w:t xml:space="preserve">. </w:t>
            </w:r>
          </w:p>
          <w:p w14:paraId="693256AE" w14:textId="0505FF0F" w:rsidR="00006C46" w:rsidRDefault="00006C46" w:rsidP="0099330E">
            <w:pPr>
              <w:tabs>
                <w:tab w:val="left" w:pos="5752"/>
              </w:tabs>
              <w:ind w:firstLine="551"/>
              <w:jc w:val="both"/>
            </w:pPr>
            <w:r>
              <w:rPr>
                <w:iCs/>
                <w:color w:val="000000" w:themeColor="text1"/>
              </w:rPr>
              <w:t>Ar šiem grozījumiem likumā ir paredzēts veicināt</w:t>
            </w:r>
            <w:r w:rsidRPr="00C06BB5">
              <w:rPr>
                <w:iCs/>
                <w:color w:val="000000" w:themeColor="text1"/>
              </w:rPr>
              <w:t xml:space="preserve"> iedzīvotāju aktivitāti pieteikt dalībai čeku loterijā čekus, kvītis</w:t>
            </w:r>
            <w:r w:rsidR="002E7CE8">
              <w:rPr>
                <w:iCs/>
                <w:color w:val="000000" w:themeColor="text1"/>
              </w:rPr>
              <w:t>, biļetes</w:t>
            </w:r>
            <w:r w:rsidRPr="00C06BB5">
              <w:rPr>
                <w:iCs/>
                <w:color w:val="000000" w:themeColor="text1"/>
              </w:rPr>
              <w:t xml:space="preserve"> vai rēķinus par darījumiem nozarēs ar augstu</w:t>
            </w:r>
            <w:r>
              <w:rPr>
                <w:iCs/>
                <w:color w:val="000000" w:themeColor="text1"/>
              </w:rPr>
              <w:t xml:space="preserve"> ēnu ekonomikas īpatsvaru</w:t>
            </w:r>
          </w:p>
          <w:p w14:paraId="18D50B54" w14:textId="0264AB0D" w:rsidR="002D7F9A" w:rsidRPr="00047996" w:rsidRDefault="00443C5D" w:rsidP="0099330E">
            <w:pPr>
              <w:tabs>
                <w:tab w:val="left" w:pos="5752"/>
              </w:tabs>
              <w:ind w:firstLine="551"/>
              <w:jc w:val="both"/>
            </w:pPr>
            <w:r>
              <w:t>I</w:t>
            </w:r>
            <w:r w:rsidR="002D7F9A" w:rsidRPr="00047996">
              <w:t xml:space="preserve">eviešot </w:t>
            </w:r>
            <w:r w:rsidR="00FE5D6B" w:rsidRPr="004138D5">
              <w:t>nozaru čeku</w:t>
            </w:r>
            <w:r w:rsidR="002D7F9A" w:rsidRPr="004138D5">
              <w:t xml:space="preserve"> izlozes</w:t>
            </w:r>
            <w:r w:rsidR="006962FD" w:rsidRPr="00916694">
              <w:t xml:space="preserve"> </w:t>
            </w:r>
            <w:r w:rsidR="006962FD">
              <w:t>un</w:t>
            </w:r>
            <w:r w:rsidR="002D7F9A" w:rsidRPr="00047996">
              <w:t xml:space="preserve"> mudinot iedzīvotāju</w:t>
            </w:r>
            <w:r w:rsidR="006962FD">
              <w:t>s</w:t>
            </w:r>
            <w:r w:rsidR="002D7F9A" w:rsidRPr="00047996">
              <w:t xml:space="preserve"> reģistrēt čekus </w:t>
            </w:r>
            <w:r w:rsidR="002D7F9A" w:rsidRPr="004138D5">
              <w:t>un citus dokumentus</w:t>
            </w:r>
            <w:r w:rsidR="002D7F9A" w:rsidRPr="00047996">
              <w:t xml:space="preserve">, kurus izsniedzis nodokļu maksātājs, kura pamatdarbības veids pēc NACE koda atbilst nozarei, kuru </w:t>
            </w:r>
            <w:r w:rsidR="006962FD">
              <w:t>VID</w:t>
            </w:r>
            <w:r w:rsidR="002D7F9A" w:rsidRPr="00047996">
              <w:t xml:space="preserve"> izvēl</w:t>
            </w:r>
            <w:r w:rsidR="006962FD">
              <w:t>ējies noteiktā periodā</w:t>
            </w:r>
            <w:r w:rsidR="00E30252">
              <w:t xml:space="preserve"> kā nozari ar augstu ēnu ekonomikas īpatsvara risku un</w:t>
            </w:r>
            <w:r w:rsidR="00D67B21">
              <w:t xml:space="preserve"> </w:t>
            </w:r>
            <w:r w:rsidR="002D7F9A" w:rsidRPr="00047996">
              <w:t>ņemot vērā valsts nodokļu nom</w:t>
            </w:r>
            <w:r>
              <w:t>aksas veicināšanas prioritātes, ar iespējām laimēt īpašas balvas tiks vairota iedzīvotāju vēlme pieprasīt čekus vai citus darījumu apliecinošus dokumentus tieši šajās izvēlētajās nozarēs</w:t>
            </w:r>
            <w:r w:rsidR="004138D5">
              <w:t xml:space="preserve">. Tādējādi tiks </w:t>
            </w:r>
            <w:r w:rsidR="009136E7">
              <w:t>palielināta</w:t>
            </w:r>
            <w:r w:rsidR="00470D1F">
              <w:t xml:space="preserve"> </w:t>
            </w:r>
            <w:r>
              <w:t xml:space="preserve">VID </w:t>
            </w:r>
            <w:r w:rsidR="004138D5">
              <w:t xml:space="preserve">iespēja </w:t>
            </w:r>
            <w:r>
              <w:t>izmantot reģistrēto čeku informāciju analītiskā darbā, izmantot analītiskā darba rezultātus nodokļu kontroles pasākumos, sekmēt labprātīgu nodokļu nomaksu noteiktās ēnu ekonomikas riskam pakļautās nozarēs, kā arī veicin</w:t>
            </w:r>
            <w:r w:rsidR="004138D5">
              <w:t>ā</w:t>
            </w:r>
            <w:r>
              <w:t>t godīgas konkurences vides attīstītību nozarē.</w:t>
            </w:r>
          </w:p>
          <w:p w14:paraId="4020464B" w14:textId="2C7E23CE" w:rsidR="002D7F9A" w:rsidRDefault="00663587" w:rsidP="0099330E">
            <w:pPr>
              <w:ind w:firstLine="551"/>
              <w:jc w:val="both"/>
            </w:pPr>
            <w:r>
              <w:t>Pamatojoties uz minēto ar likumprojektu ir paredzēts noteikt tālāk minēt</w:t>
            </w:r>
            <w:r w:rsidR="00876F7F">
              <w:t>o</w:t>
            </w:r>
            <w:r>
              <w:t>s grozījumus.</w:t>
            </w:r>
          </w:p>
          <w:p w14:paraId="2A0F2B84" w14:textId="2056989C" w:rsidR="00663587" w:rsidRDefault="00663587" w:rsidP="0099330E">
            <w:pPr>
              <w:ind w:firstLine="551"/>
              <w:jc w:val="both"/>
            </w:pPr>
            <w:r>
              <w:t xml:space="preserve">Lai paplašinātu čeku loterijai reģistrējamo preču iegādes vai pakalpojuma saņemšanas </w:t>
            </w:r>
            <w:r w:rsidR="003E752D">
              <w:t>sa</w:t>
            </w:r>
            <w:r>
              <w:t xml:space="preserve">maksas dokumentu skaitu, ar grozījumiem likuma 1.panta 1) apakšpunktā tiek papildināts čeku loterijai reģistrējamo dokumentu </w:t>
            </w:r>
            <w:r w:rsidR="00876F7F">
              <w:t>uzskaitījums</w:t>
            </w:r>
            <w:r>
              <w:t xml:space="preserve"> ar </w:t>
            </w:r>
            <w:r w:rsidR="004D6ACE">
              <w:t>maksāšanai izsniegtiem dokumentiem (rēķiniem</w:t>
            </w:r>
            <w:r w:rsidR="004D6ACE" w:rsidRPr="004D6ACE">
              <w:t>)</w:t>
            </w:r>
            <w:r>
              <w:t xml:space="preserve"> par prec</w:t>
            </w:r>
            <w:r w:rsidR="00D67B21">
              <w:t>i</w:t>
            </w:r>
            <w:r>
              <w:t xml:space="preserve"> vai pakalpojum</w:t>
            </w:r>
            <w:r w:rsidR="00D67B21">
              <w:t>u</w:t>
            </w:r>
            <w:r>
              <w:t xml:space="preserve">, </w:t>
            </w:r>
            <w:r w:rsidR="00D67B21" w:rsidRPr="00D67B21">
              <w:t>kas samaksāts, izmantojot bankas pārskaitījumu</w:t>
            </w:r>
            <w:r w:rsidR="00D67B21">
              <w:t xml:space="preserve">, </w:t>
            </w:r>
            <w:r>
              <w:t>ietverot to likumā noteikt</w:t>
            </w:r>
            <w:r w:rsidR="00D67B21">
              <w:t>aj</w:t>
            </w:r>
            <w:r>
              <w:t xml:space="preserve">ā definīcijā ar terminu “čeks”. </w:t>
            </w:r>
          </w:p>
          <w:p w14:paraId="5B7E4066" w14:textId="15BA8296" w:rsidR="00DD256C" w:rsidRDefault="00663587" w:rsidP="0099330E">
            <w:pPr>
              <w:ind w:firstLine="551"/>
              <w:jc w:val="both"/>
              <w:rPr>
                <w:spacing w:val="-6"/>
              </w:rPr>
            </w:pPr>
            <w:r>
              <w:t xml:space="preserve">Lai </w:t>
            </w:r>
            <w:r w:rsidR="00876F7F">
              <w:t>veicinātu</w:t>
            </w:r>
            <w:r>
              <w:t xml:space="preserve"> </w:t>
            </w:r>
            <w:r w:rsidRPr="00C06BB5">
              <w:rPr>
                <w:iCs/>
                <w:color w:val="000000" w:themeColor="text1"/>
              </w:rPr>
              <w:t xml:space="preserve">iedzīvotāju aktivitāti pieteikt dalībai čeku </w:t>
            </w:r>
            <w:r w:rsidRPr="00663587">
              <w:rPr>
                <w:iCs/>
                <w:color w:val="000000" w:themeColor="text1"/>
              </w:rPr>
              <w:t>loterijā čekus, kvītis vai rēķinus par darījumiem nozarēs ar augstu ēnu ekonomikas īpatsvaru likuma 1.pants tiek papildināts ar jaunu 13)</w:t>
            </w:r>
            <w:r w:rsidR="00C32A52">
              <w:rPr>
                <w:iCs/>
                <w:color w:val="000000" w:themeColor="text1"/>
              </w:rPr>
              <w:t xml:space="preserve"> </w:t>
            </w:r>
            <w:r w:rsidRPr="00663587">
              <w:rPr>
                <w:iCs/>
                <w:color w:val="000000" w:themeColor="text1"/>
              </w:rPr>
              <w:t xml:space="preserve">apakšpunktu definējot terminu “nozares čeks” - </w:t>
            </w:r>
            <w:r w:rsidR="00480826" w:rsidRPr="00480826">
              <w:t>reģistrēts čeks, kuru izsniedzis nodokļu maksātājs, kura pamatdarbības veids pēc NACE koda atbilst nozarei, kuru Valsts ieņēmumu dienests izvēlas, ņemot vērā valsts nodokļu no</w:t>
            </w:r>
            <w:r w:rsidR="00876F7F">
              <w:t>maksas veicināšanas prioritātes</w:t>
            </w:r>
            <w:r w:rsidRPr="00663587">
              <w:rPr>
                <w:spacing w:val="-6"/>
              </w:rPr>
              <w:t xml:space="preserve">. </w:t>
            </w:r>
          </w:p>
          <w:p w14:paraId="62815A7C" w14:textId="356883DE" w:rsidR="00DD34E9" w:rsidRPr="000504F5" w:rsidRDefault="00DD34E9" w:rsidP="0099330E">
            <w:pPr>
              <w:ind w:firstLine="551"/>
              <w:jc w:val="both"/>
            </w:pPr>
            <w:r w:rsidRPr="000504F5">
              <w:t xml:space="preserve">VID izvēlas šīs nozares, ņemot vērā informāciju par nedeklarētās darba algas ienākumiem </w:t>
            </w:r>
            <w:proofErr w:type="spellStart"/>
            <w:r w:rsidRPr="000504F5">
              <w:t>komercsektorā</w:t>
            </w:r>
            <w:proofErr w:type="spellEnd"/>
            <w:r w:rsidRPr="000504F5">
              <w:t xml:space="preserve"> strādājošajiem, kā arī informāciju par čeku loterijai iesniegto maksājuma dokumentu skaitu un reģistrēto dokumentu izsniedzēju darbības nozari. Ņemot vērā, ka dalībai čeku loterijā visvairāk ir reģistrēti maksājumu apliecinošie dokumenti, kuru izsniedzēju pamatdarbības veids ir mazumtirdzniecība (87,6</w:t>
            </w:r>
            <w:r w:rsidR="00160B0C" w:rsidRPr="000504F5">
              <w:t> </w:t>
            </w:r>
            <w:r w:rsidRPr="000504F5">
              <w:t>% no visiem reģistrētajiem maksājumu apliecinošajiem dokumentiem), mazumtirdzniecības nozare neti</w:t>
            </w:r>
            <w:r w:rsidR="00455D02" w:rsidRPr="000504F5">
              <w:t>ek</w:t>
            </w:r>
            <w:r w:rsidRPr="000504F5">
              <w:t xml:space="preserve"> ņemta vērā, izņemot preču tirdzniecību stendos un tirgos.</w:t>
            </w:r>
          </w:p>
          <w:p w14:paraId="57564DE8" w14:textId="26B7CA53" w:rsidR="00663587" w:rsidRDefault="00DD34E9" w:rsidP="0099330E">
            <w:pPr>
              <w:ind w:firstLine="551"/>
              <w:jc w:val="both"/>
            </w:pPr>
            <w:r w:rsidRPr="00975F43">
              <w:t xml:space="preserve"> </w:t>
            </w:r>
            <w:r w:rsidR="00663587" w:rsidRPr="00975F43">
              <w:t xml:space="preserve">Savukārt ar jaunu likuma 1.panta 14) apakšpunktu tiek definēts termins “tematiskais ceturksnis” lai noteiktu laika intervālu, kura ietvaros tiek </w:t>
            </w:r>
            <w:r w:rsidR="00975F43">
              <w:t xml:space="preserve">reģistrēti </w:t>
            </w:r>
            <w:r w:rsidR="00663587" w:rsidRPr="00975F43">
              <w:t xml:space="preserve">čeki, kuri atbilst nozares čeku definīcijai. Papildus ar likuma 3.panta </w:t>
            </w:r>
            <w:r w:rsidR="005070A0">
              <w:t>pirmās daļas</w:t>
            </w:r>
            <w:r w:rsidR="005070A0" w:rsidRPr="00975F43">
              <w:t xml:space="preserve"> </w:t>
            </w:r>
            <w:r w:rsidR="00663587" w:rsidRPr="00975F43">
              <w:t>16)</w:t>
            </w:r>
            <w:r w:rsidR="006B310A">
              <w:t> </w:t>
            </w:r>
            <w:r w:rsidR="00663587" w:rsidRPr="00975F43">
              <w:t xml:space="preserve">apakšpunktu </w:t>
            </w:r>
            <w:r w:rsidR="00FE5D6B" w:rsidRPr="00975F43">
              <w:t>VID</w:t>
            </w:r>
            <w:r w:rsidR="00663587" w:rsidRPr="00975F43">
              <w:t xml:space="preserve"> tiek uzdots vienu mēnesi pirms tematiskā ceturkšņa uzsākšanas, </w:t>
            </w:r>
            <w:r w:rsidR="00B86922" w:rsidRPr="00975F43">
              <w:t xml:space="preserve">čeku loterijas tīmekļvietnē </w:t>
            </w:r>
            <w:r w:rsidR="00663587" w:rsidRPr="00975F43">
              <w:t>publicē</w:t>
            </w:r>
            <w:r w:rsidR="00A54CAA" w:rsidRPr="00975F43">
              <w:t>t</w:t>
            </w:r>
            <w:r w:rsidR="00663587" w:rsidRPr="00975F43">
              <w:t xml:space="preserve"> nozares, kurām atbilst nozares čeki, lai sabiedrībai sniegtu informāciju par noteiktā periodā </w:t>
            </w:r>
            <w:r w:rsidR="00BB1B0A" w:rsidRPr="00975F43">
              <w:t>noteiktiem nozares čekiem, kas piesakāmi dalībai loterijā tematiskajā ceturksnī.</w:t>
            </w:r>
            <w:r w:rsidR="00BB1B0A" w:rsidRPr="00BB1B0A">
              <w:t xml:space="preserve"> </w:t>
            </w:r>
          </w:p>
          <w:p w14:paraId="1A08F625" w14:textId="7D467D7F" w:rsidR="00BB1B0A" w:rsidRPr="00E96D25" w:rsidRDefault="00BB1B0A" w:rsidP="0099330E">
            <w:pPr>
              <w:ind w:firstLine="551"/>
              <w:jc w:val="both"/>
            </w:pPr>
            <w:r w:rsidRPr="00E96D25">
              <w:t xml:space="preserve">Ar grozījumiem likuma 6.panta septītajā daļā no esošā likuma tiek svītroti vārdi “vai čeks izdots par iegādātu preci vai par sniegtu pakalpojumu, kā arī”. Minētais formulējums tika ietverts esošā likuma redakcijā pirms </w:t>
            </w:r>
            <w:r w:rsidR="00FE5D6B" w:rsidRPr="00E96D25">
              <w:t>VID</w:t>
            </w:r>
            <w:r w:rsidRPr="00E96D25">
              <w:t xml:space="preserve"> un informatīvās sistēmas izstrādātājs tika izstrādājuši informatīvās sistēmas risinājumu, kura rezultātā čeku loterijai reģistrēto čeku piekritību preču iegādei vai pakalpojuma saņemšanai nosaka informatīvā sistēma, vadoties </w:t>
            </w:r>
            <w:r w:rsidR="009A4191" w:rsidRPr="00E96D25">
              <w:t xml:space="preserve">pēc nodokļu maksātāja sniegtās informācijas </w:t>
            </w:r>
            <w:r w:rsidR="00692B9F" w:rsidRPr="00E96D25">
              <w:t xml:space="preserve">VID </w:t>
            </w:r>
            <w:r w:rsidR="009A4191" w:rsidRPr="00E96D25">
              <w:t xml:space="preserve">par pamatdarbības veidu </w:t>
            </w:r>
            <w:r w:rsidR="00B86922" w:rsidRPr="00E96D25">
              <w:t xml:space="preserve">pēc </w:t>
            </w:r>
            <w:r w:rsidR="009A4191" w:rsidRPr="00E96D25">
              <w:t>NACE kod</w:t>
            </w:r>
            <w:r w:rsidR="00B86922" w:rsidRPr="00E96D25">
              <w:t>a</w:t>
            </w:r>
            <w:r w:rsidR="009A4191" w:rsidRPr="00E96D25">
              <w:t>.</w:t>
            </w:r>
            <w:r w:rsidR="00C72A2B" w:rsidRPr="00E96D25">
              <w:t xml:space="preserve"> Savukārt likuma 6.panta septītajā daļā aiz vārdiem “nodokļu maksātāja reģistrācijas kodu” tiek pievienota informācijas par rēķina reģistrēšanu “un, reģistrējot rēķinu par saņemtu preci vai pakalpojumu, veic atzīmi par rēķina </w:t>
            </w:r>
            <w:r w:rsidR="00105CDE" w:rsidRPr="00E96D25">
              <w:t>sa</w:t>
            </w:r>
            <w:r w:rsidR="00C72A2B" w:rsidRPr="00E96D25">
              <w:t>maksu</w:t>
            </w:r>
            <w:r w:rsidR="00105CDE" w:rsidRPr="00E96D25">
              <w:t xml:space="preserve"> ar bankas pārskaitījumu</w:t>
            </w:r>
            <w:r w:rsidR="00C72A2B" w:rsidRPr="00E96D25">
              <w:t>”.</w:t>
            </w:r>
          </w:p>
          <w:p w14:paraId="6F12E6F6" w14:textId="23FAE236" w:rsidR="00BB1B0A" w:rsidRDefault="00BB1B0A" w:rsidP="0099330E">
            <w:pPr>
              <w:ind w:firstLine="551"/>
              <w:jc w:val="both"/>
              <w:rPr>
                <w:spacing w:val="-3"/>
              </w:rPr>
            </w:pPr>
            <w:r>
              <w:rPr>
                <w:spacing w:val="-3"/>
              </w:rPr>
              <w:t>Likumā tiek izteikta 6.panta devītā daļa</w:t>
            </w:r>
            <w:r w:rsidR="0093769D">
              <w:rPr>
                <w:spacing w:val="-3"/>
              </w:rPr>
              <w:t xml:space="preserve"> jaunā redakcijā</w:t>
            </w:r>
            <w:r>
              <w:rPr>
                <w:spacing w:val="-3"/>
              </w:rPr>
              <w:t xml:space="preserve">, lai esošā balvu fonda ietvaros noteiktu balvu skaitu un balvu vērtību atbilstoši izlozējamām trim balvām 500 </w:t>
            </w:r>
            <w:proofErr w:type="spellStart"/>
            <w:r w:rsidRPr="00BB1B0A">
              <w:rPr>
                <w:i/>
                <w:spacing w:val="-3"/>
              </w:rPr>
              <w:t>euro</w:t>
            </w:r>
            <w:proofErr w:type="spellEnd"/>
            <w:r>
              <w:rPr>
                <w:spacing w:val="-3"/>
              </w:rPr>
              <w:t xml:space="preserve"> vērtībā par nozaru čeku izlozi. Minēto balvu skaits un vērtība ir samazinājusi iepriekš esošo 100 </w:t>
            </w:r>
            <w:proofErr w:type="spellStart"/>
            <w:r w:rsidRPr="00BB1B0A">
              <w:rPr>
                <w:i/>
                <w:spacing w:val="-3"/>
              </w:rPr>
              <w:t>euro</w:t>
            </w:r>
            <w:proofErr w:type="spellEnd"/>
            <w:r>
              <w:rPr>
                <w:spacing w:val="-3"/>
              </w:rPr>
              <w:t xml:space="preserve"> vērtībā esošo balvu skaitu no 50 uz 35 balvām 100 </w:t>
            </w:r>
            <w:proofErr w:type="spellStart"/>
            <w:r w:rsidRPr="00BB1B0A">
              <w:rPr>
                <w:i/>
                <w:spacing w:val="-3"/>
              </w:rPr>
              <w:t>euro</w:t>
            </w:r>
            <w:proofErr w:type="spellEnd"/>
            <w:r>
              <w:rPr>
                <w:spacing w:val="-3"/>
              </w:rPr>
              <w:t xml:space="preserve"> vērtībā.</w:t>
            </w:r>
          </w:p>
          <w:p w14:paraId="6AFDF328" w14:textId="77777777" w:rsidR="005070A0" w:rsidRDefault="005070A0" w:rsidP="005070A0">
            <w:pPr>
              <w:ind w:firstLine="551"/>
              <w:jc w:val="both"/>
              <w:rPr>
                <w:spacing w:val="-3"/>
              </w:rPr>
            </w:pPr>
            <w:r>
              <w:rPr>
                <w:spacing w:val="-3"/>
              </w:rPr>
              <w:t xml:space="preserve">Likumā ietvertā jauna 6.panta devītā </w:t>
            </w:r>
            <w:proofErr w:type="spellStart"/>
            <w:r>
              <w:rPr>
                <w:spacing w:val="-3"/>
              </w:rPr>
              <w:t>prim</w:t>
            </w:r>
            <w:proofErr w:type="spellEnd"/>
            <w:r>
              <w:rPr>
                <w:spacing w:val="-3"/>
              </w:rPr>
              <w:t xml:space="preserve"> daļa un devītā divi </w:t>
            </w:r>
            <w:proofErr w:type="spellStart"/>
            <w:r>
              <w:rPr>
                <w:spacing w:val="-3"/>
              </w:rPr>
              <w:t>prim</w:t>
            </w:r>
            <w:proofErr w:type="spellEnd"/>
            <w:r>
              <w:rPr>
                <w:spacing w:val="-3"/>
              </w:rPr>
              <w:t xml:space="preserve"> daļa paredz grozījumus esošajā likumā, kas saistīti ar nozaru čeku izlozes ieviešanu. </w:t>
            </w:r>
          </w:p>
          <w:p w14:paraId="2C4B1E33" w14:textId="3DF51EE0" w:rsidR="0093769D" w:rsidRDefault="0093769D" w:rsidP="0099330E">
            <w:pPr>
              <w:tabs>
                <w:tab w:val="left" w:pos="851"/>
              </w:tabs>
              <w:ind w:firstLine="551"/>
              <w:jc w:val="both"/>
            </w:pPr>
            <w:r>
              <w:rPr>
                <w:spacing w:val="-3"/>
              </w:rPr>
              <w:t xml:space="preserve">Čeku loterijas likuma redakcijā, kādā likums tika pieņemts 2018.gada 1.novembrī, likuma anotācijā tika noteikts ka </w:t>
            </w:r>
            <w:r>
              <w:t xml:space="preserve">izlozes uzvarētāja noteikšanai tiks izmantota attiecība 70:30, </w:t>
            </w:r>
            <w:r w:rsidR="009B598A">
              <w:t>proti, 70</w:t>
            </w:r>
            <w:r w:rsidRPr="00293F32">
              <w:t>%</w:t>
            </w:r>
            <w:r>
              <w:t xml:space="preserve"> </w:t>
            </w:r>
            <w:r w:rsidR="00293F32">
              <w:t xml:space="preserve">laimējušos čekus izlozē </w:t>
            </w:r>
            <w:r>
              <w:t xml:space="preserve">no iesniegtiem čekiem un </w:t>
            </w:r>
            <w:r w:rsidRPr="0093769D">
              <w:t>darījumu apliecinošām kvītīm, kas izsniegtas par Latvijas Republikas teritorijā sniegtajiem pakalpoju</w:t>
            </w:r>
            <w:r w:rsidR="009B598A">
              <w:t>miem, un 30</w:t>
            </w:r>
            <w:r w:rsidRPr="0093769D">
              <w:t xml:space="preserve">% </w:t>
            </w:r>
            <w:r w:rsidR="00293F32">
              <w:t xml:space="preserve">laimējušos čekus izlozē </w:t>
            </w:r>
            <w:r w:rsidRPr="0093769D">
              <w:t>no izsniegtiem čekiem un darījumu apliecinošām kvītīm, kas izsniegtas par precēm, kas iegādātas publiskajās tirdzniecības vietās Latvijas Republikā. Tomēr, lai sabiedrībai sniegtu</w:t>
            </w:r>
            <w:r>
              <w:t xml:space="preserve"> </w:t>
            </w:r>
            <w:r w:rsidRPr="0093769D">
              <w:t>precīzu</w:t>
            </w:r>
            <w:r>
              <w:t xml:space="preserve"> likumā ietvertu informāciju </w:t>
            </w:r>
            <w:r w:rsidRPr="0093769D">
              <w:t xml:space="preserve">par mēnešu balvu 10 000 </w:t>
            </w:r>
            <w:proofErr w:type="spellStart"/>
            <w:r w:rsidRPr="0093769D">
              <w:rPr>
                <w:i/>
              </w:rPr>
              <w:t>euro</w:t>
            </w:r>
            <w:proofErr w:type="spellEnd"/>
            <w:r w:rsidRPr="0093769D">
              <w:t xml:space="preserve"> vērtībā, 5000 </w:t>
            </w:r>
            <w:proofErr w:type="spellStart"/>
            <w:r w:rsidRPr="0093769D">
              <w:rPr>
                <w:i/>
              </w:rPr>
              <w:t>euro</w:t>
            </w:r>
            <w:proofErr w:type="spellEnd"/>
            <w:r w:rsidRPr="0093769D">
              <w:t xml:space="preserve"> vērtībā un 100</w:t>
            </w:r>
            <w:r w:rsidR="00AB591D">
              <w:t> </w:t>
            </w:r>
            <w:proofErr w:type="spellStart"/>
            <w:r w:rsidRPr="0093769D">
              <w:rPr>
                <w:i/>
              </w:rPr>
              <w:t>euro</w:t>
            </w:r>
            <w:proofErr w:type="spellEnd"/>
            <w:r>
              <w:t xml:space="preserve"> vērtībā izlozi, likums</w:t>
            </w:r>
            <w:r w:rsidR="004B0747">
              <w:t xml:space="preserve"> tiek papildināts ar jaunu 6.panta devīto trīs </w:t>
            </w:r>
            <w:proofErr w:type="spellStart"/>
            <w:r w:rsidR="004B0747">
              <w:t>prim</w:t>
            </w:r>
            <w:proofErr w:type="spellEnd"/>
            <w:r w:rsidR="004B0747">
              <w:t xml:space="preserve"> daļu, nosakot, ka reģistrētie čeki tiek izlozēti </w:t>
            </w:r>
            <w:r w:rsidRPr="0093769D">
              <w:t xml:space="preserve">pēc šāda principa: </w:t>
            </w:r>
            <w:r w:rsidR="00F50396">
              <w:t>70</w:t>
            </w:r>
            <w:r w:rsidR="00271007" w:rsidRPr="005B5F40">
              <w:t>% laimējušos čekus izlozē no loterijā reģistrētajiem čekiem, kurus izsniedza Latvijā reģistrēts nodokļu maksātājs, kura pamatdarbības veids pēc nodokļu maksātāju sniegtās informācijas Valsts ieņēmumu dienestam par uzņēmumu pamatdarbības veidu saistīts ar pakalpojumu sniegšanu atbilstoši Valsts ieņēmumu dienesta pieņemtajai klasifikācijai, un 30% laimējušos čekus izlozē no loterijā reģistrētajiem čekiem, kurus izsniedza Latvijā reģistrēts nodokļu maksātājs, kura pamatdarbības veids pēc nodokļu maksātāju sniegtās informācijas Valsts ieņēmumu dienestam par uzņēmumu pamatdarbības veidu saistīts ar preču ražošanu vai tirdzniecību atbilstoši Valsts ieņēmumu dienesta pieņemtajai klasifikācijai.</w:t>
            </w:r>
          </w:p>
          <w:p w14:paraId="668142EA" w14:textId="6EEE9507" w:rsidR="00FC410B" w:rsidRDefault="004B0747" w:rsidP="0099330E">
            <w:pPr>
              <w:tabs>
                <w:tab w:val="left" w:pos="851"/>
              </w:tabs>
              <w:ind w:firstLine="551"/>
              <w:jc w:val="both"/>
            </w:pPr>
            <w:r w:rsidRPr="004B0747">
              <w:t>Likumā veiktie grozījumi, izsakot likuma 6.panta desmitās daļas 1) apakšpunktu, 2)</w:t>
            </w:r>
            <w:r w:rsidR="00CC1F40">
              <w:t xml:space="preserve"> </w:t>
            </w:r>
            <w:r w:rsidRPr="004B0747">
              <w:t>apakšpunktu, kā arī 8.panta pirmās daļas 1)</w:t>
            </w:r>
            <w:r w:rsidR="00293F32">
              <w:t xml:space="preserve"> </w:t>
            </w:r>
            <w:r w:rsidRPr="004B0747">
              <w:t>apakšpunktu un 2)</w:t>
            </w:r>
            <w:r w:rsidR="00293F32">
              <w:t xml:space="preserve"> </w:t>
            </w:r>
            <w:r w:rsidRPr="004B0747">
              <w:t xml:space="preserve">apakšpunktu jaunā redakcijā ir saistītas ar likumā veiktiem grozījumiem, paplašinot čeku loterijai reģistrējamo dokumentu </w:t>
            </w:r>
            <w:r w:rsidR="00246B08">
              <w:t>uzskaitījumu</w:t>
            </w:r>
            <w:r w:rsidRPr="004B0747">
              <w:t xml:space="preserve"> ar rēķiniem</w:t>
            </w:r>
            <w:r w:rsidR="00307031">
              <w:t xml:space="preserve"> </w:t>
            </w:r>
            <w:r w:rsidR="00307031" w:rsidRPr="00293F32">
              <w:t xml:space="preserve">par </w:t>
            </w:r>
            <w:r w:rsidR="000A47D2">
              <w:t>preci</w:t>
            </w:r>
            <w:r w:rsidR="00307031" w:rsidRPr="00293F32">
              <w:t xml:space="preserve"> vai pakalpojumu</w:t>
            </w:r>
            <w:r w:rsidR="006F7D57">
              <w:t>, kad samaksa tiek veikta</w:t>
            </w:r>
            <w:r w:rsidR="000A47D2">
              <w:t>, izmantojot</w:t>
            </w:r>
            <w:r w:rsidR="006F7D57">
              <w:t xml:space="preserve"> bezskaidras naudas</w:t>
            </w:r>
            <w:r w:rsidR="00D67B21">
              <w:t xml:space="preserve"> </w:t>
            </w:r>
            <w:r w:rsidR="000A47D2">
              <w:t>norēķinu (</w:t>
            </w:r>
            <w:r w:rsidR="00307031" w:rsidRPr="00293F32">
              <w:t>veicot bankas pārskaitījumu</w:t>
            </w:r>
            <w:r w:rsidR="000A47D2">
              <w:t>)</w:t>
            </w:r>
            <w:r w:rsidR="00307031" w:rsidRPr="00293F32">
              <w:t xml:space="preserve">. </w:t>
            </w:r>
          </w:p>
          <w:p w14:paraId="605E4A5D" w14:textId="28F06489" w:rsidR="009F5C4B" w:rsidRPr="008363AE" w:rsidRDefault="00307031" w:rsidP="0099330E">
            <w:pPr>
              <w:tabs>
                <w:tab w:val="left" w:pos="851"/>
              </w:tabs>
              <w:ind w:firstLine="551"/>
              <w:jc w:val="both"/>
            </w:pPr>
            <w:r w:rsidRPr="00293F32">
              <w:t>Izlozē var piedalīties ar tādiem rēķiniem, kas noformēti atbilstoši likuma “Par grāmatvedību 7.panta prasībām. Ja preču pārdevējs vai pakalpojumu sniedzējs nav nosūtījis klientam rēķinu, bet, piemēram, noformējis pasūtījumu sarakstu, kurā nav ietverti visi likuma “Par grāmatvedību” 7.pantā noteiktie rekvizīti, tad šāds dokuments nav uzskatāms par rēķinu</w:t>
            </w:r>
            <w:r w:rsidR="00B254DB">
              <w:t>,</w:t>
            </w:r>
            <w:r w:rsidRPr="00293F32">
              <w:t xml:space="preserve"> ar kuru drīkst piedalīties izlozē.</w:t>
            </w:r>
            <w:r w:rsidR="009F5C4B" w:rsidRPr="00293F32">
              <w:t xml:space="preserve"> Reģistrējot rēķinu izlozei, dalībnieks </w:t>
            </w:r>
            <w:r w:rsidR="00FD0C19" w:rsidRPr="008363AE">
              <w:t xml:space="preserve">veic arī atzīmi par rēķina </w:t>
            </w:r>
            <w:r w:rsidR="00B73D38">
              <w:t>sa</w:t>
            </w:r>
            <w:r w:rsidR="00FD0C19" w:rsidRPr="008363AE">
              <w:t xml:space="preserve">maksu </w:t>
            </w:r>
            <w:r w:rsidR="004031B1">
              <w:t>ar bankas pārskaitījumu</w:t>
            </w:r>
            <w:r w:rsidR="00293F32" w:rsidRPr="008363AE">
              <w:t>.</w:t>
            </w:r>
            <w:r w:rsidR="00FD0C19" w:rsidRPr="008363AE">
              <w:t xml:space="preserve"> </w:t>
            </w:r>
            <w:r w:rsidR="009F5C4B" w:rsidRPr="008363AE">
              <w:t>Šī informācija ti</w:t>
            </w:r>
            <w:r w:rsidR="00A15970">
              <w:t>e</w:t>
            </w:r>
            <w:r w:rsidR="009F5C4B" w:rsidRPr="008363AE">
              <w:t>k uzskatīta par apliecinājumu, ka saņemtais rēķins ir samaksāts.</w:t>
            </w:r>
          </w:p>
          <w:p w14:paraId="225CD088" w14:textId="7CC4AD1E" w:rsidR="004B0747" w:rsidRPr="009F5C4B" w:rsidRDefault="009F5C4B" w:rsidP="0099330E">
            <w:pPr>
              <w:tabs>
                <w:tab w:val="left" w:pos="851"/>
              </w:tabs>
              <w:ind w:firstLine="551"/>
              <w:jc w:val="both"/>
            </w:pPr>
            <w:r w:rsidRPr="008363AE">
              <w:t xml:space="preserve">VID pārbauda laimējušos rēķinus, saņemot no laimētāja ne tikai rēķinu, kurš atbilst likuma “Par grāmatvedību” 7.panta prasībām, bet arī pārbauda iesniegto </w:t>
            </w:r>
            <w:r w:rsidR="00B73D38">
              <w:rPr>
                <w:spacing w:val="-3"/>
              </w:rPr>
              <w:t>sa</w:t>
            </w:r>
            <w:r w:rsidR="00307031" w:rsidRPr="008363AE">
              <w:rPr>
                <w:spacing w:val="-3"/>
              </w:rPr>
              <w:t xml:space="preserve">maksu apliecinošu bankas maksājuma uzdevumu vai citu </w:t>
            </w:r>
            <w:r w:rsidR="00B73D38">
              <w:rPr>
                <w:spacing w:val="-3"/>
              </w:rPr>
              <w:t>sa</w:t>
            </w:r>
            <w:r w:rsidR="00307031" w:rsidRPr="008363AE">
              <w:rPr>
                <w:spacing w:val="-3"/>
              </w:rPr>
              <w:t>maksu apliecinošu dokumentu</w:t>
            </w:r>
            <w:r w:rsidRPr="008363AE">
              <w:rPr>
                <w:spacing w:val="-3"/>
              </w:rPr>
              <w:t xml:space="preserve">, piemēram, </w:t>
            </w:r>
            <w:r w:rsidR="00FA22F0">
              <w:rPr>
                <w:spacing w:val="-3"/>
              </w:rPr>
              <w:t xml:space="preserve">iesniegto </w:t>
            </w:r>
            <w:r w:rsidRPr="008363AE">
              <w:rPr>
                <w:spacing w:val="-3"/>
              </w:rPr>
              <w:t>bankas konta izrakstu</w:t>
            </w:r>
            <w:r w:rsidR="00FA22F0">
              <w:rPr>
                <w:spacing w:val="-3"/>
              </w:rPr>
              <w:t xml:space="preserve"> par dienu, kurā veikta samaksa</w:t>
            </w:r>
            <w:r w:rsidR="0088428B">
              <w:rPr>
                <w:spacing w:val="-3"/>
              </w:rPr>
              <w:t>.</w:t>
            </w:r>
          </w:p>
          <w:p w14:paraId="78A3081F" w14:textId="75C46EFE" w:rsidR="001706FA" w:rsidRPr="00047996" w:rsidRDefault="00DA716A" w:rsidP="0099330E">
            <w:pPr>
              <w:ind w:firstLine="551"/>
              <w:jc w:val="both"/>
            </w:pPr>
            <w:r>
              <w:t>Likuma spēkā stāšanās laiks ir noteikts, ņemot vērā nepieciešamo tehnisko izmaiņu veikšanas laiku, kā arī izmaiņu testēšanas un nodošanas darbībā nepieciešamo laiku.</w:t>
            </w:r>
          </w:p>
        </w:tc>
      </w:tr>
      <w:tr w:rsidR="00BD5588" w:rsidRPr="0084558D" w14:paraId="51688729" w14:textId="77777777" w:rsidTr="007F55CF">
        <w:tc>
          <w:tcPr>
            <w:tcW w:w="311" w:type="pct"/>
            <w:hideMark/>
          </w:tcPr>
          <w:p w14:paraId="18EC82A4" w14:textId="77777777" w:rsidR="00BD5588" w:rsidRPr="0084558D" w:rsidRDefault="00BD5588" w:rsidP="009E0502">
            <w:pPr>
              <w:jc w:val="center"/>
            </w:pPr>
            <w:r w:rsidRPr="0084558D">
              <w:lastRenderedPageBreak/>
              <w:t>3.</w:t>
            </w:r>
          </w:p>
        </w:tc>
        <w:tc>
          <w:tcPr>
            <w:tcW w:w="1479" w:type="pct"/>
            <w:hideMark/>
          </w:tcPr>
          <w:p w14:paraId="445C7F7B" w14:textId="77777777" w:rsidR="00BD5588" w:rsidRPr="0084558D" w:rsidRDefault="00BD5588" w:rsidP="009E0502">
            <w:r w:rsidRPr="0084558D">
              <w:t>Projekta izstrādē iesaistītās institūcijas un publiskas personas kapitālsabiedrības</w:t>
            </w:r>
          </w:p>
        </w:tc>
        <w:tc>
          <w:tcPr>
            <w:tcW w:w="3210" w:type="pct"/>
            <w:hideMark/>
          </w:tcPr>
          <w:p w14:paraId="2B936A7A" w14:textId="77777777" w:rsidR="00BD5588" w:rsidRPr="0084558D" w:rsidRDefault="00E94A9F" w:rsidP="009E0502">
            <w:r>
              <w:t xml:space="preserve">Valsts ieņēmumu dienests, </w:t>
            </w:r>
            <w:r w:rsidRPr="00C21CD0">
              <w:t>Finanšu ministrija</w:t>
            </w:r>
          </w:p>
        </w:tc>
      </w:tr>
      <w:tr w:rsidR="00BD5588" w:rsidRPr="0084558D" w14:paraId="1D493F5F" w14:textId="77777777" w:rsidTr="007F55CF">
        <w:tc>
          <w:tcPr>
            <w:tcW w:w="311" w:type="pct"/>
            <w:hideMark/>
          </w:tcPr>
          <w:p w14:paraId="32161C9E" w14:textId="77777777" w:rsidR="00BD5588" w:rsidRPr="0084558D" w:rsidRDefault="00BD5588" w:rsidP="009E0502">
            <w:pPr>
              <w:jc w:val="center"/>
            </w:pPr>
            <w:r w:rsidRPr="0084558D">
              <w:t>4.</w:t>
            </w:r>
          </w:p>
        </w:tc>
        <w:tc>
          <w:tcPr>
            <w:tcW w:w="1479" w:type="pct"/>
            <w:hideMark/>
          </w:tcPr>
          <w:p w14:paraId="1554A262" w14:textId="77777777" w:rsidR="00BD5588" w:rsidRPr="0084558D" w:rsidRDefault="00BD5588" w:rsidP="009E0502">
            <w:r w:rsidRPr="0084558D">
              <w:t>Cita informācija</w:t>
            </w:r>
          </w:p>
        </w:tc>
        <w:tc>
          <w:tcPr>
            <w:tcW w:w="3210" w:type="pct"/>
            <w:hideMark/>
          </w:tcPr>
          <w:p w14:paraId="6AE639EE" w14:textId="77777777" w:rsidR="00BD5588" w:rsidRPr="0084558D" w:rsidRDefault="00E94A9F" w:rsidP="00E94A9F">
            <w:r>
              <w:t>Nav</w:t>
            </w:r>
          </w:p>
        </w:tc>
      </w:tr>
    </w:tbl>
    <w:p w14:paraId="1E10E62C" w14:textId="77777777" w:rsidR="00BD5588" w:rsidRPr="0084558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84558D" w14:paraId="7EFBE286" w14:textId="77777777" w:rsidTr="00386B92">
        <w:tc>
          <w:tcPr>
            <w:tcW w:w="5000" w:type="pct"/>
            <w:gridSpan w:val="3"/>
            <w:vAlign w:val="center"/>
            <w:hideMark/>
          </w:tcPr>
          <w:p w14:paraId="095AE47A" w14:textId="77777777" w:rsidR="00BD5588" w:rsidRPr="0084558D" w:rsidRDefault="00BD5588" w:rsidP="009E0502">
            <w:pPr>
              <w:jc w:val="center"/>
              <w:rPr>
                <w:b/>
                <w:bCs/>
              </w:rPr>
            </w:pPr>
            <w:bookmarkStart w:id="0" w:name="_GoBack"/>
            <w:r w:rsidRPr="0084558D">
              <w:rPr>
                <w:b/>
                <w:bCs/>
              </w:rPr>
              <w:t>II. Tiesību akta projekta ietekme uz sabiedrību, tautsaimniecības attīstību un administratīvo slogu</w:t>
            </w:r>
          </w:p>
        </w:tc>
      </w:tr>
      <w:tr w:rsidR="00BD5588" w:rsidRPr="0084558D" w14:paraId="627FB9C8" w14:textId="77777777" w:rsidTr="00386B92">
        <w:tc>
          <w:tcPr>
            <w:tcW w:w="311" w:type="pct"/>
            <w:hideMark/>
          </w:tcPr>
          <w:p w14:paraId="202E3674" w14:textId="77777777" w:rsidR="00BD5588" w:rsidRPr="0084558D" w:rsidRDefault="00BD5588" w:rsidP="009E0502">
            <w:pPr>
              <w:jc w:val="center"/>
            </w:pPr>
            <w:r w:rsidRPr="0084558D">
              <w:t>1.</w:t>
            </w:r>
          </w:p>
        </w:tc>
        <w:tc>
          <w:tcPr>
            <w:tcW w:w="1479" w:type="pct"/>
            <w:hideMark/>
          </w:tcPr>
          <w:p w14:paraId="27EBB8B7" w14:textId="77777777" w:rsidR="00BD5588" w:rsidRPr="0084558D" w:rsidRDefault="00BD5588" w:rsidP="009E0502">
            <w:r w:rsidRPr="0084558D">
              <w:t>Sabiedrības mērķgrupas, kuras tiesiskais regulējums ietekmē vai varētu ietekmēt</w:t>
            </w:r>
          </w:p>
        </w:tc>
        <w:tc>
          <w:tcPr>
            <w:tcW w:w="3210" w:type="pct"/>
            <w:hideMark/>
          </w:tcPr>
          <w:p w14:paraId="159A7B7A" w14:textId="1D1AE37D" w:rsidR="00BD5588" w:rsidRPr="00CF1437" w:rsidRDefault="00E94A9F" w:rsidP="00CF1437">
            <w:pPr>
              <w:ind w:right="142" w:firstLine="571"/>
              <w:jc w:val="both"/>
              <w:rPr>
                <w:i/>
              </w:rPr>
            </w:pPr>
            <w:r>
              <w:t>F</w:t>
            </w:r>
            <w:r w:rsidRPr="00C21CD0">
              <w:t>izisk</w:t>
            </w:r>
            <w:r>
              <w:t>ās</w:t>
            </w:r>
            <w:r w:rsidRPr="00C21CD0">
              <w:t xml:space="preserve"> person</w:t>
            </w:r>
            <w:r>
              <w:t>as</w:t>
            </w:r>
            <w:r w:rsidRPr="00C21CD0">
              <w:t>,</w:t>
            </w:r>
            <w:r w:rsidRPr="00C21CD0">
              <w:rPr>
                <w:lang w:eastAsia="lt-LT"/>
              </w:rPr>
              <w:t xml:space="preserve"> k</w:t>
            </w:r>
            <w:r>
              <w:rPr>
                <w:lang w:eastAsia="lt-LT"/>
              </w:rPr>
              <w:t>ura</w:t>
            </w:r>
            <w:r w:rsidRPr="00C21CD0">
              <w:rPr>
                <w:lang w:eastAsia="lt-LT"/>
              </w:rPr>
              <w:t xml:space="preserve">s piedalās čeku </w:t>
            </w:r>
            <w:r w:rsidR="006E21FB">
              <w:rPr>
                <w:lang w:eastAsia="lt-LT"/>
              </w:rPr>
              <w:t>loterijā</w:t>
            </w:r>
            <w:r w:rsidR="006E21FB" w:rsidRPr="00C21CD0">
              <w:rPr>
                <w:lang w:eastAsia="lt-LT"/>
              </w:rPr>
              <w:t xml:space="preserve"> </w:t>
            </w:r>
            <w:r>
              <w:rPr>
                <w:lang w:eastAsia="lt-LT"/>
              </w:rPr>
              <w:t xml:space="preserve">atbilstoši Čeku </w:t>
            </w:r>
            <w:r w:rsidR="006E21FB">
              <w:rPr>
                <w:lang w:eastAsia="lt-LT"/>
              </w:rPr>
              <w:t xml:space="preserve">loterijas </w:t>
            </w:r>
            <w:r>
              <w:t>likumā norādītajiem noteikumiem</w:t>
            </w:r>
            <w:r>
              <w:rPr>
                <w:lang w:eastAsia="lt-LT"/>
              </w:rPr>
              <w:t xml:space="preserve"> </w:t>
            </w:r>
            <w:r w:rsidRPr="00727BD3">
              <w:rPr>
                <w:lang w:eastAsia="lt-LT"/>
              </w:rPr>
              <w:t xml:space="preserve">un ir iegādājušās no preču tirgotāja preci vai no pakalpojumu sniedzēja ir saņēmušas pakalpojumu, kura </w:t>
            </w:r>
            <w:r>
              <w:t xml:space="preserve">darījuma vērtība ir vismaz 5 </w:t>
            </w:r>
            <w:proofErr w:type="spellStart"/>
            <w:r w:rsidRPr="002D7FF9">
              <w:rPr>
                <w:i/>
              </w:rPr>
              <w:t>euro</w:t>
            </w:r>
            <w:proofErr w:type="spellEnd"/>
            <w:r>
              <w:rPr>
                <w:i/>
              </w:rPr>
              <w:t>.</w:t>
            </w:r>
          </w:p>
        </w:tc>
      </w:tr>
      <w:tr w:rsidR="00BD5588" w:rsidRPr="0084558D" w14:paraId="0A62FC81" w14:textId="77777777" w:rsidTr="00386B92">
        <w:tc>
          <w:tcPr>
            <w:tcW w:w="311" w:type="pct"/>
            <w:hideMark/>
          </w:tcPr>
          <w:p w14:paraId="59070BEA" w14:textId="77777777" w:rsidR="00BD5588" w:rsidRPr="0084558D" w:rsidRDefault="00BD5588" w:rsidP="009E0502">
            <w:pPr>
              <w:jc w:val="center"/>
            </w:pPr>
            <w:r w:rsidRPr="0084558D">
              <w:t>2.</w:t>
            </w:r>
          </w:p>
        </w:tc>
        <w:tc>
          <w:tcPr>
            <w:tcW w:w="1479" w:type="pct"/>
            <w:hideMark/>
          </w:tcPr>
          <w:p w14:paraId="7E60FD2D" w14:textId="77777777" w:rsidR="00BD5588" w:rsidRPr="0084558D" w:rsidRDefault="00BD5588" w:rsidP="009E0502">
            <w:r w:rsidRPr="0084558D">
              <w:t>Tiesiskā regulējuma ietekme uz tautsaimniecību un administratīvo slogu</w:t>
            </w:r>
          </w:p>
        </w:tc>
        <w:tc>
          <w:tcPr>
            <w:tcW w:w="3210" w:type="pct"/>
            <w:hideMark/>
          </w:tcPr>
          <w:p w14:paraId="69DD9A23" w14:textId="304DAAE3" w:rsidR="00E94A9F" w:rsidRPr="00C21CD0" w:rsidRDefault="00E94A9F" w:rsidP="00E94A9F">
            <w:pPr>
              <w:tabs>
                <w:tab w:val="left" w:pos="562"/>
              </w:tabs>
              <w:ind w:right="142" w:firstLine="573"/>
              <w:jc w:val="both"/>
            </w:pPr>
            <w:r w:rsidRPr="00C21CD0">
              <w:t xml:space="preserve">Likumprojektā ietvertajam tiesiskajam regulējumam ir pozitīva ietekme uz tautsaimniecību. Iesaistot fiziskās personas piedalīties </w:t>
            </w:r>
            <w:r>
              <w:t>č</w:t>
            </w:r>
            <w:r w:rsidRPr="00C21CD0">
              <w:t xml:space="preserve">eku </w:t>
            </w:r>
            <w:r w:rsidR="006E21FB">
              <w:t>loterijā</w:t>
            </w:r>
            <w:r>
              <w:t>,</w:t>
            </w:r>
            <w:r w:rsidRPr="00C21CD0">
              <w:t xml:space="preserve"> tiks sekmēta ēnu ekonomikas mazināšanās un </w:t>
            </w:r>
            <w:r>
              <w:t>tādējādi arī</w:t>
            </w:r>
            <w:r w:rsidRPr="00C21CD0">
              <w:t xml:space="preserve"> sekmēta tautsaimniecības attīstība nozar</w:t>
            </w:r>
            <w:r w:rsidR="006E21FB">
              <w:t>ē</w:t>
            </w:r>
            <w:r w:rsidRPr="00C21CD0">
              <w:t>s, kurās tiks organizēta</w:t>
            </w:r>
            <w:r w:rsidR="006E21FB">
              <w:t>s</w:t>
            </w:r>
            <w:r w:rsidRPr="00C21CD0">
              <w:t xml:space="preserve"> </w:t>
            </w:r>
            <w:r>
              <w:t>č</w:t>
            </w:r>
            <w:r w:rsidRPr="00C21CD0">
              <w:t xml:space="preserve">eku </w:t>
            </w:r>
            <w:r w:rsidR="006E21FB">
              <w:t xml:space="preserve">loterijas </w:t>
            </w:r>
            <w:r w:rsidR="00FA22F0">
              <w:t>nozares čeku</w:t>
            </w:r>
            <w:r w:rsidR="00FA22F0" w:rsidRPr="008363AE">
              <w:t xml:space="preserve"> </w:t>
            </w:r>
            <w:r w:rsidR="006E21FB" w:rsidRPr="008363AE">
              <w:t>izlozes</w:t>
            </w:r>
            <w:r w:rsidRPr="00351408">
              <w:t>.</w:t>
            </w:r>
            <w:r w:rsidR="006E21FB">
              <w:t xml:space="preserve"> Iedzīvotāju dalība čeku loterijas </w:t>
            </w:r>
            <w:r w:rsidR="00FA22F0">
              <w:t>nozares čeku</w:t>
            </w:r>
            <w:r w:rsidR="00FA22F0" w:rsidRPr="008363AE">
              <w:t xml:space="preserve"> </w:t>
            </w:r>
            <w:r w:rsidR="006E21FB" w:rsidRPr="008363AE">
              <w:t>izlozēs</w:t>
            </w:r>
            <w:r w:rsidR="006E21FB" w:rsidRPr="00351408">
              <w:t>,</w:t>
            </w:r>
            <w:r w:rsidR="006E21FB">
              <w:t xml:space="preserve"> iesniedzot darījumu apliecinošus dokumentus par </w:t>
            </w:r>
            <w:r w:rsidR="00BF26A4">
              <w:t>konkrētajā</w:t>
            </w:r>
            <w:r w:rsidR="006E21FB">
              <w:t xml:space="preserve"> nozarē iegādātu preci vai saņemtu pakalpojumu, veicinās šīs tautsaimniecības nozares darbības sakārtošanu, uzlabos nozarē godīgas konkurences apstākļus un </w:t>
            </w:r>
            <w:r w:rsidR="00BF6560">
              <w:t>ļaus VID identificēt nodokļu nomaksas riskus noteiktā nozarē.</w:t>
            </w:r>
          </w:p>
          <w:p w14:paraId="756F150A" w14:textId="77777777" w:rsidR="00E94A9F" w:rsidRPr="00C21CD0" w:rsidRDefault="00E94A9F" w:rsidP="00E94A9F">
            <w:pPr>
              <w:tabs>
                <w:tab w:val="left" w:pos="562"/>
              </w:tabs>
              <w:ind w:right="142" w:firstLine="573"/>
              <w:jc w:val="both"/>
            </w:pPr>
            <w:r w:rsidRPr="00C21CD0">
              <w:t>Likumprojekts nodrošina fiziskām personām vienlīdzīgas tiesības un iespējas.</w:t>
            </w:r>
          </w:p>
          <w:p w14:paraId="79429535" w14:textId="676B5A7F" w:rsidR="00BD5588" w:rsidRPr="0084558D" w:rsidRDefault="00E94A9F" w:rsidP="00F77DA4">
            <w:pPr>
              <w:tabs>
                <w:tab w:val="left" w:pos="562"/>
              </w:tabs>
              <w:ind w:right="142" w:firstLine="573"/>
              <w:jc w:val="both"/>
            </w:pPr>
            <w:r>
              <w:t xml:space="preserve">Likumprojekts neveido papildu administratīvo slogu, dalība čeku </w:t>
            </w:r>
            <w:r w:rsidR="006E21FB">
              <w:t xml:space="preserve">loterijā </w:t>
            </w:r>
            <w:r>
              <w:t>ir brīvprātīgs pasākums, kas veicina nodokļu maksāšanas kultūras attīstību un nodokļu ieņēmumu reģistrēšanu.</w:t>
            </w:r>
          </w:p>
        </w:tc>
      </w:tr>
      <w:tr w:rsidR="00BD5588" w:rsidRPr="0084558D" w14:paraId="5E064675" w14:textId="77777777" w:rsidTr="00386B92">
        <w:tc>
          <w:tcPr>
            <w:tcW w:w="311" w:type="pct"/>
            <w:hideMark/>
          </w:tcPr>
          <w:p w14:paraId="127DAA39" w14:textId="77777777" w:rsidR="00BD5588" w:rsidRPr="0084558D" w:rsidRDefault="00BD5588" w:rsidP="009E0502">
            <w:pPr>
              <w:jc w:val="center"/>
            </w:pPr>
            <w:r w:rsidRPr="0084558D">
              <w:t>3.</w:t>
            </w:r>
          </w:p>
        </w:tc>
        <w:tc>
          <w:tcPr>
            <w:tcW w:w="1479" w:type="pct"/>
            <w:hideMark/>
          </w:tcPr>
          <w:p w14:paraId="79F7F983" w14:textId="77777777" w:rsidR="00BD5588" w:rsidRPr="0084558D" w:rsidRDefault="00BD5588" w:rsidP="009E0502">
            <w:r w:rsidRPr="0084558D">
              <w:t>Administratīvo izmaksu monetārs novērtējums</w:t>
            </w:r>
          </w:p>
        </w:tc>
        <w:tc>
          <w:tcPr>
            <w:tcW w:w="3210" w:type="pct"/>
            <w:hideMark/>
          </w:tcPr>
          <w:p w14:paraId="392C0842" w14:textId="5854A802" w:rsidR="00E94A9F" w:rsidRDefault="00E94A9F" w:rsidP="00E94A9F">
            <w:pPr>
              <w:ind w:right="113" w:firstLine="570"/>
              <w:jc w:val="both"/>
            </w:pPr>
            <w:r>
              <w:t>Iepirkuma procedūras Nr.</w:t>
            </w:r>
            <w:r w:rsidRPr="00E94A9F">
              <w:t>FM VID 2018/100</w:t>
            </w:r>
            <w:r>
              <w:t xml:space="preserve"> “</w:t>
            </w:r>
            <w:r w:rsidRPr="00E94A9F">
              <w:t>Valsts ieņēmumu dienesta Čeku loterijas organizēšanas un īstenošanas pakalpojums (92351100-7)</w:t>
            </w:r>
            <w:r>
              <w:t xml:space="preserve">” ietvaros par </w:t>
            </w:r>
            <w:r w:rsidRPr="00E94A9F">
              <w:t>čeku</w:t>
            </w:r>
            <w:r>
              <w:t xml:space="preserve"> loterijas pakalpojuma sniedzēju tika izvēlēta SIA</w:t>
            </w:r>
            <w:r w:rsidR="00C16583">
              <w:t> </w:t>
            </w:r>
            <w:r>
              <w:t>“</w:t>
            </w:r>
            <w:proofErr w:type="spellStart"/>
            <w:r>
              <w:t>Mobilly</w:t>
            </w:r>
            <w:proofErr w:type="spellEnd"/>
            <w:r>
              <w:t>” (reģ.</w:t>
            </w:r>
            <w:r w:rsidR="00696BCB">
              <w:t xml:space="preserve"> </w:t>
            </w:r>
            <w:r>
              <w:t>Nr.</w:t>
            </w:r>
            <w:r w:rsidR="00696BCB">
              <w:t xml:space="preserve"> </w:t>
            </w:r>
            <w:r>
              <w:t>40003654405).</w:t>
            </w:r>
          </w:p>
          <w:p w14:paraId="69459494" w14:textId="0E7B18A5" w:rsidR="00E94A9F" w:rsidRDefault="00E94A9F" w:rsidP="00E94A9F">
            <w:pPr>
              <w:ind w:right="113" w:firstLine="570"/>
              <w:jc w:val="both"/>
            </w:pPr>
            <w:r>
              <w:t>Publisko iepirkumu likuma 61.</w:t>
            </w:r>
            <w:r w:rsidRPr="00E94A9F">
              <w:t>pant</w:t>
            </w:r>
            <w:r>
              <w:t xml:space="preserve">a </w:t>
            </w:r>
            <w:r w:rsidR="00BF6560">
              <w:t>piektās</w:t>
            </w:r>
            <w:r w:rsidR="002D3494">
              <w:t xml:space="preserve"> </w:t>
            </w:r>
            <w:r>
              <w:t>daļas 2.punkts paredz, ka i</w:t>
            </w:r>
            <w:r w:rsidRPr="00E94A9F">
              <w:t>epirkuma līguma vai vispārīgās vienošanās grozījumi ir pieļaujami, ja iepirkuma līguma vai vispārīgās vienošanās grozījumu vērtība, ko</w:t>
            </w:r>
            <w:r w:rsidR="00731547">
              <w:t xml:space="preserve"> n</w:t>
            </w:r>
            <w:r w:rsidR="00731547" w:rsidRPr="00731547">
              <w:t>oteic kā visu secīgi veikto grozījumu naudas vērtību summu</w:t>
            </w:r>
            <w:r w:rsidR="00731547">
              <w:t xml:space="preserve">, vienlaikus nesasniedz </w:t>
            </w:r>
            <w:r w:rsidR="00731547" w:rsidRPr="00731547">
              <w:t>10 procentus no sākotnējās iepirkuma līguma vai vispārīgās vienošanās līgumcenas publiska piegādes un publiska pakalpojuma līguma gadījumā</w:t>
            </w:r>
            <w:r w:rsidR="00731547">
              <w:t xml:space="preserve">. </w:t>
            </w:r>
          </w:p>
          <w:p w14:paraId="2D61F258" w14:textId="72CEEA7B" w:rsidR="00731547" w:rsidRDefault="00731547" w:rsidP="00E94A9F">
            <w:pPr>
              <w:ind w:right="113" w:firstLine="570"/>
              <w:jc w:val="both"/>
            </w:pPr>
            <w:r>
              <w:t xml:space="preserve">Ņemot vērā minēto, jauna publisko iepirkumu procedūra netiks veikta, savukārt līgums par čeku loterijas organizēšanu </w:t>
            </w:r>
            <w:r w:rsidRPr="00E94A9F">
              <w:t>un īstenošan</w:t>
            </w:r>
            <w:r>
              <w:t>u, kas noslēgts starp VID un SIA</w:t>
            </w:r>
            <w:r w:rsidR="004F2D16">
              <w:t> </w:t>
            </w:r>
            <w:r>
              <w:t>“</w:t>
            </w:r>
            <w:proofErr w:type="spellStart"/>
            <w:r>
              <w:t>Mobilly</w:t>
            </w:r>
            <w:proofErr w:type="spellEnd"/>
            <w:r>
              <w:t>”, būs grozīts, ievērojot Publisko iepirkumu likuma 61.</w:t>
            </w:r>
            <w:r w:rsidRPr="00E94A9F">
              <w:t>pant</w:t>
            </w:r>
            <w:r>
              <w:t xml:space="preserve">a </w:t>
            </w:r>
            <w:r w:rsidR="00BF6560">
              <w:t>piektās</w:t>
            </w:r>
            <w:r w:rsidR="002D3494">
              <w:t xml:space="preserve"> </w:t>
            </w:r>
            <w:r>
              <w:t xml:space="preserve">daļas 2.punktu. </w:t>
            </w:r>
          </w:p>
          <w:p w14:paraId="4EC7B20C" w14:textId="0A6D484E" w:rsidR="00BD5588" w:rsidRPr="00A16F5E" w:rsidRDefault="00E94A9F" w:rsidP="00A16F5E">
            <w:pPr>
              <w:ind w:right="113" w:firstLine="570"/>
              <w:jc w:val="both"/>
              <w:rPr>
                <w:szCs w:val="20"/>
              </w:rPr>
            </w:pPr>
            <w:r w:rsidRPr="00C21CD0">
              <w:rPr>
                <w:szCs w:val="20"/>
              </w:rPr>
              <w:t>Nodokļu maksātājam administratīvās izmaksas neradīs.</w:t>
            </w:r>
          </w:p>
        </w:tc>
      </w:tr>
      <w:tr w:rsidR="00BD5588" w:rsidRPr="0084558D" w14:paraId="77F2EF5D" w14:textId="77777777" w:rsidTr="00386B92">
        <w:tc>
          <w:tcPr>
            <w:tcW w:w="311" w:type="pct"/>
            <w:hideMark/>
          </w:tcPr>
          <w:p w14:paraId="31C9D703" w14:textId="77777777" w:rsidR="00BD5588" w:rsidRPr="0084558D" w:rsidRDefault="00BD5588" w:rsidP="009E0502">
            <w:pPr>
              <w:jc w:val="center"/>
            </w:pPr>
            <w:r w:rsidRPr="0084558D">
              <w:t>4.</w:t>
            </w:r>
          </w:p>
        </w:tc>
        <w:tc>
          <w:tcPr>
            <w:tcW w:w="1479" w:type="pct"/>
            <w:hideMark/>
          </w:tcPr>
          <w:p w14:paraId="274A6622" w14:textId="77777777" w:rsidR="00BD5588" w:rsidRPr="0084558D" w:rsidRDefault="00BD5588" w:rsidP="009E0502">
            <w:r w:rsidRPr="0084558D">
              <w:t>Atbilstības izmaksu monetārs novērtējums</w:t>
            </w:r>
          </w:p>
        </w:tc>
        <w:tc>
          <w:tcPr>
            <w:tcW w:w="3210" w:type="pct"/>
            <w:hideMark/>
          </w:tcPr>
          <w:p w14:paraId="6C3CEA3C" w14:textId="77777777" w:rsidR="00BD5588" w:rsidRPr="0084558D" w:rsidRDefault="00FD77AA" w:rsidP="009E0502">
            <w:r>
              <w:t>Nav</w:t>
            </w:r>
          </w:p>
        </w:tc>
      </w:tr>
      <w:tr w:rsidR="00BD5588" w:rsidRPr="0084558D" w14:paraId="04CF44E1" w14:textId="77777777" w:rsidTr="00386B92">
        <w:tc>
          <w:tcPr>
            <w:tcW w:w="311" w:type="pct"/>
            <w:hideMark/>
          </w:tcPr>
          <w:p w14:paraId="3DD5AE75" w14:textId="77777777" w:rsidR="00BD5588" w:rsidRPr="0084558D" w:rsidRDefault="00BD5588" w:rsidP="009E0502">
            <w:pPr>
              <w:jc w:val="center"/>
            </w:pPr>
            <w:r w:rsidRPr="0084558D">
              <w:t>5.</w:t>
            </w:r>
          </w:p>
        </w:tc>
        <w:tc>
          <w:tcPr>
            <w:tcW w:w="1479" w:type="pct"/>
            <w:hideMark/>
          </w:tcPr>
          <w:p w14:paraId="49929918" w14:textId="77777777" w:rsidR="00BD5588" w:rsidRPr="0084558D" w:rsidRDefault="00BD5588" w:rsidP="009E0502">
            <w:r w:rsidRPr="0084558D">
              <w:t>Cita informācija</w:t>
            </w:r>
          </w:p>
        </w:tc>
        <w:tc>
          <w:tcPr>
            <w:tcW w:w="3210" w:type="pct"/>
            <w:hideMark/>
          </w:tcPr>
          <w:p w14:paraId="1807F85A" w14:textId="77777777" w:rsidR="00BD5588" w:rsidRPr="0084558D" w:rsidRDefault="00FD77AA" w:rsidP="009E0502">
            <w:r>
              <w:t>Nav</w:t>
            </w:r>
          </w:p>
        </w:tc>
      </w:tr>
      <w:bookmarkEnd w:id="0"/>
    </w:tbl>
    <w:p w14:paraId="0B72EA63" w14:textId="47B97781" w:rsidR="00BD5588" w:rsidRDefault="00BD5588"/>
    <w:p w14:paraId="2912FF76" w14:textId="7F752BC8" w:rsidR="00B062C6" w:rsidRDefault="00B062C6">
      <w:pPr>
        <w:spacing w:after="200" w:line="276" w:lineRule="auto"/>
      </w:pPr>
      <w:r>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BD5588" w:rsidRPr="0084558D" w14:paraId="75FFCDBE" w14:textId="77777777" w:rsidTr="00F53339">
        <w:tc>
          <w:tcPr>
            <w:tcW w:w="9065" w:type="dxa"/>
            <w:gridSpan w:val="8"/>
            <w:shd w:val="clear" w:color="auto" w:fill="auto"/>
            <w:vAlign w:val="center"/>
            <w:hideMark/>
          </w:tcPr>
          <w:p w14:paraId="529695DB" w14:textId="77777777" w:rsidR="00BD5588" w:rsidRPr="0084558D" w:rsidRDefault="00BD5588" w:rsidP="009E0502">
            <w:pPr>
              <w:jc w:val="center"/>
              <w:rPr>
                <w:b/>
                <w:bCs/>
                <w:lang w:eastAsia="en-US"/>
              </w:rPr>
            </w:pPr>
            <w:r w:rsidRPr="0084558D">
              <w:rPr>
                <w:b/>
                <w:bCs/>
                <w:lang w:eastAsia="en-US"/>
              </w:rPr>
              <w:t>III. Tiesību akta projekta ietekme uz valsts budžetu un pašvaldību budžetiem</w:t>
            </w:r>
          </w:p>
        </w:tc>
      </w:tr>
      <w:tr w:rsidR="00BD5588" w:rsidRPr="0084558D" w14:paraId="28793C7C" w14:textId="77777777" w:rsidTr="00F53339">
        <w:tc>
          <w:tcPr>
            <w:tcW w:w="2162" w:type="dxa"/>
            <w:vMerge w:val="restart"/>
            <w:shd w:val="clear" w:color="auto" w:fill="FFFFFF"/>
            <w:vAlign w:val="center"/>
          </w:tcPr>
          <w:p w14:paraId="7184F465" w14:textId="77777777" w:rsidR="00BD5588" w:rsidRPr="00C06CAA" w:rsidRDefault="00BD5588" w:rsidP="009E0502">
            <w:pPr>
              <w:jc w:val="center"/>
              <w:rPr>
                <w:bCs/>
                <w:sz w:val="22"/>
                <w:lang w:eastAsia="en-US"/>
              </w:rPr>
            </w:pPr>
            <w:r w:rsidRPr="00C06CAA">
              <w:rPr>
                <w:bCs/>
                <w:sz w:val="22"/>
                <w:lang w:eastAsia="en-US"/>
              </w:rPr>
              <w:t>Rādītāji</w:t>
            </w:r>
          </w:p>
        </w:tc>
        <w:tc>
          <w:tcPr>
            <w:tcW w:w="2147" w:type="dxa"/>
            <w:gridSpan w:val="2"/>
            <w:vMerge w:val="restart"/>
            <w:shd w:val="clear" w:color="auto" w:fill="FFFFFF"/>
            <w:vAlign w:val="center"/>
            <w:hideMark/>
          </w:tcPr>
          <w:p w14:paraId="14A0C8FF" w14:textId="77777777" w:rsidR="00BD5588" w:rsidRPr="00C06CAA" w:rsidRDefault="00D74951" w:rsidP="001E0CE1">
            <w:pPr>
              <w:jc w:val="center"/>
              <w:rPr>
                <w:b/>
                <w:bCs/>
                <w:sz w:val="22"/>
                <w:lang w:eastAsia="en-US"/>
              </w:rPr>
            </w:pPr>
            <w:r w:rsidRPr="00C06CAA">
              <w:rPr>
                <w:b/>
                <w:bCs/>
                <w:sz w:val="22"/>
                <w:lang w:eastAsia="en-US"/>
              </w:rPr>
              <w:t>20</w:t>
            </w:r>
            <w:r w:rsidR="001E0CE1" w:rsidRPr="00C06CAA">
              <w:rPr>
                <w:b/>
                <w:bCs/>
                <w:sz w:val="22"/>
                <w:lang w:eastAsia="en-US"/>
              </w:rPr>
              <w:t>20</w:t>
            </w:r>
            <w:r w:rsidRPr="00C06CAA">
              <w:rPr>
                <w:b/>
                <w:bCs/>
                <w:sz w:val="22"/>
                <w:lang w:eastAsia="en-US"/>
              </w:rPr>
              <w:t>.</w:t>
            </w:r>
            <w:r w:rsidR="00BD5588" w:rsidRPr="00C06CAA">
              <w:rPr>
                <w:b/>
                <w:bCs/>
                <w:sz w:val="22"/>
                <w:lang w:eastAsia="en-US"/>
              </w:rPr>
              <w:t>gads</w:t>
            </w:r>
          </w:p>
        </w:tc>
        <w:tc>
          <w:tcPr>
            <w:tcW w:w="4756" w:type="dxa"/>
            <w:gridSpan w:val="5"/>
            <w:shd w:val="clear" w:color="auto" w:fill="FFFFFF"/>
            <w:vAlign w:val="center"/>
            <w:hideMark/>
          </w:tcPr>
          <w:p w14:paraId="774B8D50" w14:textId="77777777" w:rsidR="00BD5588" w:rsidRPr="00C06CAA" w:rsidRDefault="00BD5588" w:rsidP="009E0502">
            <w:pPr>
              <w:jc w:val="center"/>
              <w:rPr>
                <w:sz w:val="22"/>
                <w:lang w:eastAsia="en-US"/>
              </w:rPr>
            </w:pPr>
            <w:r w:rsidRPr="00C06CAA">
              <w:rPr>
                <w:sz w:val="22"/>
                <w:lang w:eastAsia="en-US"/>
              </w:rPr>
              <w:t>Turpmākie trīs gadi (</w:t>
            </w:r>
            <w:proofErr w:type="spellStart"/>
            <w:r w:rsidRPr="00C06CAA">
              <w:rPr>
                <w:i/>
                <w:iCs/>
                <w:sz w:val="22"/>
                <w:lang w:eastAsia="en-US"/>
              </w:rPr>
              <w:t>euro</w:t>
            </w:r>
            <w:proofErr w:type="spellEnd"/>
            <w:r w:rsidRPr="00C06CAA">
              <w:rPr>
                <w:sz w:val="22"/>
                <w:lang w:eastAsia="en-US"/>
              </w:rPr>
              <w:t>)</w:t>
            </w:r>
          </w:p>
        </w:tc>
      </w:tr>
      <w:tr w:rsidR="00BD5588" w:rsidRPr="0084558D" w14:paraId="759B6784" w14:textId="77777777" w:rsidTr="00F53339">
        <w:tc>
          <w:tcPr>
            <w:tcW w:w="2162" w:type="dxa"/>
            <w:vMerge/>
            <w:shd w:val="clear" w:color="auto" w:fill="auto"/>
            <w:vAlign w:val="center"/>
            <w:hideMark/>
          </w:tcPr>
          <w:p w14:paraId="4E1235CA" w14:textId="77777777" w:rsidR="00BD5588" w:rsidRPr="00C06CAA" w:rsidRDefault="00BD5588" w:rsidP="009E0502">
            <w:pPr>
              <w:jc w:val="center"/>
              <w:rPr>
                <w:bCs/>
                <w:sz w:val="22"/>
                <w:lang w:eastAsia="en-US"/>
              </w:rPr>
            </w:pPr>
          </w:p>
        </w:tc>
        <w:tc>
          <w:tcPr>
            <w:tcW w:w="2147" w:type="dxa"/>
            <w:gridSpan w:val="2"/>
            <w:vMerge/>
            <w:shd w:val="clear" w:color="auto" w:fill="auto"/>
            <w:vAlign w:val="center"/>
            <w:hideMark/>
          </w:tcPr>
          <w:p w14:paraId="2BA670EF" w14:textId="77777777" w:rsidR="00BD5588" w:rsidRPr="00C06CAA" w:rsidRDefault="00BD5588" w:rsidP="009E0502">
            <w:pPr>
              <w:jc w:val="center"/>
              <w:rPr>
                <w:bCs/>
                <w:sz w:val="22"/>
                <w:lang w:eastAsia="en-US"/>
              </w:rPr>
            </w:pPr>
          </w:p>
        </w:tc>
        <w:tc>
          <w:tcPr>
            <w:tcW w:w="1881" w:type="dxa"/>
            <w:gridSpan w:val="2"/>
            <w:shd w:val="clear" w:color="auto" w:fill="FFFFFF"/>
            <w:vAlign w:val="center"/>
            <w:hideMark/>
          </w:tcPr>
          <w:p w14:paraId="2B473F8A" w14:textId="77777777" w:rsidR="00BD5588" w:rsidRPr="00C06CAA" w:rsidRDefault="00D74951" w:rsidP="001E0CE1">
            <w:pPr>
              <w:jc w:val="center"/>
              <w:rPr>
                <w:b/>
                <w:bCs/>
                <w:sz w:val="22"/>
                <w:lang w:eastAsia="en-US"/>
              </w:rPr>
            </w:pPr>
            <w:r w:rsidRPr="00C06CAA">
              <w:rPr>
                <w:b/>
                <w:bCs/>
                <w:sz w:val="22"/>
                <w:lang w:eastAsia="en-US"/>
              </w:rPr>
              <w:t>202</w:t>
            </w:r>
            <w:r w:rsidR="001E0CE1" w:rsidRPr="00C06CAA">
              <w:rPr>
                <w:b/>
                <w:bCs/>
                <w:sz w:val="22"/>
                <w:lang w:eastAsia="en-US"/>
              </w:rPr>
              <w:t>1</w:t>
            </w:r>
          </w:p>
        </w:tc>
        <w:tc>
          <w:tcPr>
            <w:tcW w:w="1880" w:type="dxa"/>
            <w:gridSpan w:val="2"/>
            <w:shd w:val="clear" w:color="auto" w:fill="FFFFFF"/>
            <w:vAlign w:val="center"/>
            <w:hideMark/>
          </w:tcPr>
          <w:p w14:paraId="675D6C3E" w14:textId="77777777" w:rsidR="00BD5588" w:rsidRPr="00C06CAA" w:rsidRDefault="00D74951" w:rsidP="001E0CE1">
            <w:pPr>
              <w:jc w:val="center"/>
              <w:rPr>
                <w:b/>
                <w:bCs/>
                <w:sz w:val="22"/>
                <w:lang w:eastAsia="en-US"/>
              </w:rPr>
            </w:pPr>
            <w:r w:rsidRPr="00C06CAA">
              <w:rPr>
                <w:b/>
                <w:bCs/>
                <w:sz w:val="22"/>
                <w:lang w:eastAsia="en-US"/>
              </w:rPr>
              <w:t>202</w:t>
            </w:r>
            <w:r w:rsidR="001E0CE1" w:rsidRPr="00C06CAA">
              <w:rPr>
                <w:b/>
                <w:bCs/>
                <w:sz w:val="22"/>
                <w:lang w:eastAsia="en-US"/>
              </w:rPr>
              <w:t>2</w:t>
            </w:r>
          </w:p>
        </w:tc>
        <w:tc>
          <w:tcPr>
            <w:tcW w:w="995" w:type="dxa"/>
            <w:shd w:val="clear" w:color="auto" w:fill="FFFFFF"/>
            <w:vAlign w:val="center"/>
            <w:hideMark/>
          </w:tcPr>
          <w:p w14:paraId="060E81EF" w14:textId="77777777" w:rsidR="00BD5588" w:rsidRPr="00C06CAA" w:rsidRDefault="00D74951" w:rsidP="001E0CE1">
            <w:pPr>
              <w:jc w:val="center"/>
              <w:rPr>
                <w:b/>
                <w:bCs/>
                <w:sz w:val="22"/>
                <w:lang w:eastAsia="en-US"/>
              </w:rPr>
            </w:pPr>
            <w:r w:rsidRPr="00C06CAA">
              <w:rPr>
                <w:b/>
                <w:bCs/>
                <w:sz w:val="22"/>
                <w:lang w:eastAsia="en-US"/>
              </w:rPr>
              <w:t>202</w:t>
            </w:r>
            <w:r w:rsidR="001E0CE1" w:rsidRPr="00C06CAA">
              <w:rPr>
                <w:b/>
                <w:bCs/>
                <w:sz w:val="22"/>
                <w:lang w:eastAsia="en-US"/>
              </w:rPr>
              <w:t>3</w:t>
            </w:r>
          </w:p>
        </w:tc>
      </w:tr>
      <w:tr w:rsidR="00BD5588" w:rsidRPr="0084558D" w14:paraId="35750BBA" w14:textId="77777777" w:rsidTr="00F53339">
        <w:tc>
          <w:tcPr>
            <w:tcW w:w="2162" w:type="dxa"/>
            <w:vMerge/>
            <w:shd w:val="clear" w:color="auto" w:fill="auto"/>
            <w:vAlign w:val="center"/>
            <w:hideMark/>
          </w:tcPr>
          <w:p w14:paraId="65DF2DE9" w14:textId="77777777" w:rsidR="00BD5588" w:rsidRPr="00C06CAA" w:rsidRDefault="00BD5588" w:rsidP="009E0502">
            <w:pPr>
              <w:jc w:val="center"/>
              <w:rPr>
                <w:b/>
                <w:bCs/>
                <w:sz w:val="22"/>
                <w:lang w:eastAsia="en-US"/>
              </w:rPr>
            </w:pPr>
          </w:p>
        </w:tc>
        <w:tc>
          <w:tcPr>
            <w:tcW w:w="1074" w:type="dxa"/>
            <w:shd w:val="clear" w:color="auto" w:fill="FFFFFF"/>
            <w:vAlign w:val="center"/>
            <w:hideMark/>
          </w:tcPr>
          <w:p w14:paraId="3DF12055" w14:textId="77777777" w:rsidR="00BD5588" w:rsidRPr="00C06CAA" w:rsidRDefault="00BD5588" w:rsidP="009E0502">
            <w:pPr>
              <w:jc w:val="center"/>
              <w:rPr>
                <w:sz w:val="22"/>
                <w:lang w:eastAsia="en-US"/>
              </w:rPr>
            </w:pPr>
            <w:r w:rsidRPr="00C06CAA">
              <w:rPr>
                <w:sz w:val="22"/>
                <w:lang w:eastAsia="en-US"/>
              </w:rPr>
              <w:t>saskaņā ar valsts budžetu kārtējam gadam</w:t>
            </w:r>
          </w:p>
        </w:tc>
        <w:tc>
          <w:tcPr>
            <w:tcW w:w="1073" w:type="dxa"/>
            <w:shd w:val="clear" w:color="auto" w:fill="FFFFFF"/>
            <w:vAlign w:val="center"/>
            <w:hideMark/>
          </w:tcPr>
          <w:p w14:paraId="66722ACD" w14:textId="77777777" w:rsidR="00BD5588" w:rsidRPr="00C06CAA" w:rsidRDefault="00BD5588" w:rsidP="009E0502">
            <w:pPr>
              <w:jc w:val="center"/>
              <w:rPr>
                <w:sz w:val="22"/>
                <w:lang w:eastAsia="en-US"/>
              </w:rPr>
            </w:pPr>
            <w:r w:rsidRPr="00C06CAA">
              <w:rPr>
                <w:sz w:val="22"/>
                <w:lang w:eastAsia="en-US"/>
              </w:rPr>
              <w:t>izmaiņas kārtējā gadā, salīdzinot ar valsts budžetu kārtējam gadam</w:t>
            </w:r>
          </w:p>
        </w:tc>
        <w:tc>
          <w:tcPr>
            <w:tcW w:w="941" w:type="dxa"/>
            <w:shd w:val="clear" w:color="auto" w:fill="FFFFFF"/>
            <w:vAlign w:val="center"/>
            <w:hideMark/>
          </w:tcPr>
          <w:p w14:paraId="44E0F714" w14:textId="77777777" w:rsidR="00BD5588" w:rsidRPr="00C06CAA" w:rsidRDefault="00BD5588" w:rsidP="009E0502">
            <w:pPr>
              <w:jc w:val="center"/>
              <w:rPr>
                <w:sz w:val="22"/>
                <w:lang w:eastAsia="en-US"/>
              </w:rPr>
            </w:pPr>
            <w:r w:rsidRPr="00C06CAA">
              <w:rPr>
                <w:sz w:val="22"/>
                <w:lang w:eastAsia="en-US"/>
              </w:rPr>
              <w:t>saskaņā ar vidēja termiņa budžeta ietvaru</w:t>
            </w:r>
          </w:p>
        </w:tc>
        <w:tc>
          <w:tcPr>
            <w:tcW w:w="940" w:type="dxa"/>
            <w:shd w:val="clear" w:color="auto" w:fill="FFFFFF"/>
            <w:vAlign w:val="center"/>
            <w:hideMark/>
          </w:tcPr>
          <w:p w14:paraId="057396BB" w14:textId="4FC2AB9E" w:rsidR="00F22D02" w:rsidRPr="00C06CAA" w:rsidRDefault="00BD5588" w:rsidP="00F22D02">
            <w:pPr>
              <w:jc w:val="center"/>
              <w:rPr>
                <w:sz w:val="22"/>
                <w:lang w:eastAsia="en-US"/>
              </w:rPr>
            </w:pPr>
            <w:r w:rsidRPr="00C06CAA">
              <w:rPr>
                <w:sz w:val="22"/>
                <w:lang w:eastAsia="en-US"/>
              </w:rPr>
              <w:t xml:space="preserve">izmaiņas, salīdzinot ar vidēja termiņa budžeta ietvaru </w:t>
            </w:r>
            <w:r w:rsidR="00F22D02" w:rsidRPr="00C06CAA">
              <w:rPr>
                <w:sz w:val="22"/>
                <w:lang w:eastAsia="en-US"/>
              </w:rPr>
              <w:t>202</w:t>
            </w:r>
            <w:r w:rsidR="007F12D2">
              <w:rPr>
                <w:sz w:val="22"/>
                <w:lang w:eastAsia="en-US"/>
              </w:rPr>
              <w:t>1</w:t>
            </w:r>
            <w:r w:rsidR="00F22D02" w:rsidRPr="00C06CAA">
              <w:rPr>
                <w:sz w:val="22"/>
                <w:lang w:eastAsia="en-US"/>
              </w:rPr>
              <w:t>.</w:t>
            </w:r>
          </w:p>
          <w:p w14:paraId="3E6A3CF4" w14:textId="77777777" w:rsidR="00BD5588" w:rsidRPr="00C06CAA" w:rsidRDefault="00BD5588" w:rsidP="00F22D02">
            <w:pPr>
              <w:jc w:val="center"/>
              <w:rPr>
                <w:sz w:val="22"/>
                <w:lang w:eastAsia="en-US"/>
              </w:rPr>
            </w:pPr>
            <w:r w:rsidRPr="00C06CAA">
              <w:rPr>
                <w:sz w:val="22"/>
                <w:lang w:eastAsia="en-US"/>
              </w:rPr>
              <w:t>gadam</w:t>
            </w:r>
          </w:p>
        </w:tc>
        <w:tc>
          <w:tcPr>
            <w:tcW w:w="940" w:type="dxa"/>
            <w:shd w:val="clear" w:color="auto" w:fill="FFFFFF"/>
            <w:vAlign w:val="center"/>
            <w:hideMark/>
          </w:tcPr>
          <w:p w14:paraId="0CB13F40" w14:textId="77777777" w:rsidR="00BD5588" w:rsidRPr="00C06CAA" w:rsidRDefault="00BD5588" w:rsidP="009E0502">
            <w:pPr>
              <w:jc w:val="center"/>
              <w:rPr>
                <w:sz w:val="22"/>
                <w:lang w:eastAsia="en-US"/>
              </w:rPr>
            </w:pPr>
            <w:r w:rsidRPr="00C06CAA">
              <w:rPr>
                <w:sz w:val="22"/>
                <w:lang w:eastAsia="en-US"/>
              </w:rPr>
              <w:t>saskaņā ar vidēja termiņa budžeta ietvaru</w:t>
            </w:r>
          </w:p>
        </w:tc>
        <w:tc>
          <w:tcPr>
            <w:tcW w:w="940" w:type="dxa"/>
            <w:shd w:val="clear" w:color="auto" w:fill="FFFFFF"/>
            <w:vAlign w:val="center"/>
            <w:hideMark/>
          </w:tcPr>
          <w:p w14:paraId="06D42F3A" w14:textId="7A3EB6A5" w:rsidR="00BD5588" w:rsidRPr="00C06CAA" w:rsidRDefault="00BD5588" w:rsidP="00F22D02">
            <w:pPr>
              <w:jc w:val="center"/>
              <w:rPr>
                <w:sz w:val="22"/>
                <w:lang w:eastAsia="en-US"/>
              </w:rPr>
            </w:pPr>
            <w:r w:rsidRPr="00C06CAA">
              <w:rPr>
                <w:sz w:val="22"/>
                <w:lang w:eastAsia="en-US"/>
              </w:rPr>
              <w:t xml:space="preserve">izmaiņas, salīdzinot ar vidēja termiņa budžeta ietvaru </w:t>
            </w:r>
            <w:r w:rsidR="00F22D02" w:rsidRPr="00C06CAA">
              <w:rPr>
                <w:sz w:val="22"/>
                <w:lang w:eastAsia="en-US"/>
              </w:rPr>
              <w:t>202</w:t>
            </w:r>
            <w:r w:rsidR="007F12D2">
              <w:rPr>
                <w:sz w:val="22"/>
                <w:lang w:eastAsia="en-US"/>
              </w:rPr>
              <w:t>2</w:t>
            </w:r>
            <w:r w:rsidR="00F22D02" w:rsidRPr="00C06CAA">
              <w:rPr>
                <w:sz w:val="22"/>
                <w:lang w:eastAsia="en-US"/>
              </w:rPr>
              <w:t>.</w:t>
            </w:r>
            <w:r w:rsidRPr="00C06CAA">
              <w:rPr>
                <w:sz w:val="22"/>
                <w:lang w:eastAsia="en-US"/>
              </w:rPr>
              <w:t xml:space="preserve"> gadam</w:t>
            </w:r>
          </w:p>
        </w:tc>
        <w:tc>
          <w:tcPr>
            <w:tcW w:w="995" w:type="dxa"/>
            <w:shd w:val="clear" w:color="auto" w:fill="FFFFFF"/>
            <w:vAlign w:val="center"/>
            <w:hideMark/>
          </w:tcPr>
          <w:p w14:paraId="152487A9" w14:textId="52F1C782" w:rsidR="00BD5588" w:rsidRPr="00C06CAA" w:rsidRDefault="00BD5588" w:rsidP="00F22D02">
            <w:pPr>
              <w:jc w:val="center"/>
              <w:rPr>
                <w:sz w:val="22"/>
                <w:lang w:eastAsia="en-US"/>
              </w:rPr>
            </w:pPr>
            <w:r w:rsidRPr="00C06CAA">
              <w:rPr>
                <w:sz w:val="22"/>
                <w:lang w:eastAsia="en-US"/>
              </w:rPr>
              <w:t xml:space="preserve">izmaiņas, salīdzinot ar vidēja termiņa budžeta ietvaru </w:t>
            </w:r>
            <w:r w:rsidRPr="00C06CAA">
              <w:rPr>
                <w:sz w:val="22"/>
                <w:lang w:eastAsia="en-US"/>
              </w:rPr>
              <w:br/>
            </w:r>
            <w:r w:rsidR="00F22D02" w:rsidRPr="00C06CAA">
              <w:rPr>
                <w:sz w:val="22"/>
                <w:lang w:eastAsia="en-US"/>
              </w:rPr>
              <w:t>202</w:t>
            </w:r>
            <w:r w:rsidR="007F12D2">
              <w:rPr>
                <w:sz w:val="22"/>
                <w:lang w:eastAsia="en-US"/>
              </w:rPr>
              <w:t>2</w:t>
            </w:r>
            <w:r w:rsidR="00F22D02" w:rsidRPr="00C06CAA">
              <w:rPr>
                <w:sz w:val="22"/>
                <w:lang w:eastAsia="en-US"/>
              </w:rPr>
              <w:t>.</w:t>
            </w:r>
            <w:r w:rsidRPr="00C06CAA">
              <w:rPr>
                <w:sz w:val="22"/>
                <w:lang w:eastAsia="en-US"/>
              </w:rPr>
              <w:t xml:space="preserve"> gadam</w:t>
            </w:r>
          </w:p>
        </w:tc>
      </w:tr>
      <w:tr w:rsidR="00BD5588" w:rsidRPr="0084558D" w14:paraId="27F2CEF3" w14:textId="77777777" w:rsidTr="00F53339">
        <w:tc>
          <w:tcPr>
            <w:tcW w:w="2162" w:type="dxa"/>
            <w:shd w:val="clear" w:color="auto" w:fill="FFFFFF"/>
            <w:vAlign w:val="center"/>
            <w:hideMark/>
          </w:tcPr>
          <w:p w14:paraId="664FB449" w14:textId="77777777" w:rsidR="00BD5588" w:rsidRPr="00C06CAA" w:rsidRDefault="00BD5588" w:rsidP="009E0502">
            <w:pPr>
              <w:jc w:val="center"/>
              <w:rPr>
                <w:sz w:val="22"/>
                <w:szCs w:val="22"/>
                <w:lang w:eastAsia="en-US"/>
              </w:rPr>
            </w:pPr>
            <w:r w:rsidRPr="00C06CAA">
              <w:rPr>
                <w:sz w:val="22"/>
                <w:szCs w:val="22"/>
                <w:lang w:eastAsia="en-US"/>
              </w:rPr>
              <w:t>1</w:t>
            </w:r>
          </w:p>
        </w:tc>
        <w:tc>
          <w:tcPr>
            <w:tcW w:w="1074" w:type="dxa"/>
            <w:shd w:val="clear" w:color="auto" w:fill="FFFFFF"/>
            <w:vAlign w:val="center"/>
            <w:hideMark/>
          </w:tcPr>
          <w:p w14:paraId="1AC44CEF" w14:textId="77777777" w:rsidR="00BD5588" w:rsidRPr="00C06CAA" w:rsidRDefault="00BD5588" w:rsidP="009E0502">
            <w:pPr>
              <w:jc w:val="center"/>
              <w:rPr>
                <w:sz w:val="22"/>
                <w:szCs w:val="22"/>
                <w:lang w:eastAsia="en-US"/>
              </w:rPr>
            </w:pPr>
            <w:r w:rsidRPr="00C06CAA">
              <w:rPr>
                <w:sz w:val="22"/>
                <w:szCs w:val="22"/>
                <w:lang w:eastAsia="en-US"/>
              </w:rPr>
              <w:t>2</w:t>
            </w:r>
          </w:p>
        </w:tc>
        <w:tc>
          <w:tcPr>
            <w:tcW w:w="1073" w:type="dxa"/>
            <w:shd w:val="clear" w:color="auto" w:fill="FFFFFF"/>
            <w:vAlign w:val="center"/>
            <w:hideMark/>
          </w:tcPr>
          <w:p w14:paraId="77C81C53" w14:textId="77777777" w:rsidR="00BD5588" w:rsidRPr="00C06CAA" w:rsidRDefault="00BD5588" w:rsidP="009E0502">
            <w:pPr>
              <w:jc w:val="center"/>
              <w:rPr>
                <w:sz w:val="22"/>
                <w:szCs w:val="22"/>
                <w:lang w:eastAsia="en-US"/>
              </w:rPr>
            </w:pPr>
            <w:r w:rsidRPr="00C06CAA">
              <w:rPr>
                <w:sz w:val="22"/>
                <w:szCs w:val="22"/>
                <w:lang w:eastAsia="en-US"/>
              </w:rPr>
              <w:t>3</w:t>
            </w:r>
          </w:p>
        </w:tc>
        <w:tc>
          <w:tcPr>
            <w:tcW w:w="941" w:type="dxa"/>
            <w:shd w:val="clear" w:color="auto" w:fill="FFFFFF"/>
            <w:vAlign w:val="center"/>
            <w:hideMark/>
          </w:tcPr>
          <w:p w14:paraId="52F3A27F" w14:textId="77777777" w:rsidR="00BD5588" w:rsidRPr="00C06CAA" w:rsidRDefault="00BD5588" w:rsidP="009E0502">
            <w:pPr>
              <w:jc w:val="center"/>
              <w:rPr>
                <w:sz w:val="22"/>
                <w:szCs w:val="22"/>
                <w:lang w:eastAsia="en-US"/>
              </w:rPr>
            </w:pPr>
            <w:r w:rsidRPr="00C06CAA">
              <w:rPr>
                <w:sz w:val="22"/>
                <w:szCs w:val="22"/>
                <w:lang w:eastAsia="en-US"/>
              </w:rPr>
              <w:t>4</w:t>
            </w:r>
          </w:p>
        </w:tc>
        <w:tc>
          <w:tcPr>
            <w:tcW w:w="940" w:type="dxa"/>
            <w:shd w:val="clear" w:color="auto" w:fill="FFFFFF"/>
            <w:vAlign w:val="center"/>
            <w:hideMark/>
          </w:tcPr>
          <w:p w14:paraId="67ADD633" w14:textId="77777777" w:rsidR="00BD5588" w:rsidRPr="00C06CAA" w:rsidRDefault="00BD5588" w:rsidP="009E0502">
            <w:pPr>
              <w:jc w:val="center"/>
              <w:rPr>
                <w:sz w:val="22"/>
                <w:szCs w:val="22"/>
                <w:lang w:eastAsia="en-US"/>
              </w:rPr>
            </w:pPr>
            <w:r w:rsidRPr="00C06CAA">
              <w:rPr>
                <w:sz w:val="22"/>
                <w:szCs w:val="22"/>
                <w:lang w:eastAsia="en-US"/>
              </w:rPr>
              <w:t>5</w:t>
            </w:r>
          </w:p>
        </w:tc>
        <w:tc>
          <w:tcPr>
            <w:tcW w:w="940" w:type="dxa"/>
            <w:shd w:val="clear" w:color="auto" w:fill="FFFFFF"/>
            <w:vAlign w:val="center"/>
            <w:hideMark/>
          </w:tcPr>
          <w:p w14:paraId="12FF4A3B" w14:textId="77777777" w:rsidR="00BD5588" w:rsidRPr="00C06CAA" w:rsidRDefault="00BD5588" w:rsidP="009E0502">
            <w:pPr>
              <w:jc w:val="center"/>
              <w:rPr>
                <w:sz w:val="22"/>
                <w:szCs w:val="22"/>
                <w:lang w:eastAsia="en-US"/>
              </w:rPr>
            </w:pPr>
            <w:r w:rsidRPr="00C06CAA">
              <w:rPr>
                <w:sz w:val="22"/>
                <w:szCs w:val="22"/>
                <w:lang w:eastAsia="en-US"/>
              </w:rPr>
              <w:t>6</w:t>
            </w:r>
          </w:p>
        </w:tc>
        <w:tc>
          <w:tcPr>
            <w:tcW w:w="940" w:type="dxa"/>
            <w:shd w:val="clear" w:color="auto" w:fill="FFFFFF"/>
            <w:vAlign w:val="center"/>
            <w:hideMark/>
          </w:tcPr>
          <w:p w14:paraId="66CF7BE5" w14:textId="77777777" w:rsidR="00BD5588" w:rsidRPr="00C06CAA" w:rsidRDefault="00BD5588" w:rsidP="009E0502">
            <w:pPr>
              <w:jc w:val="center"/>
              <w:rPr>
                <w:sz w:val="22"/>
                <w:szCs w:val="22"/>
                <w:lang w:eastAsia="en-US"/>
              </w:rPr>
            </w:pPr>
            <w:r w:rsidRPr="00C06CAA">
              <w:rPr>
                <w:sz w:val="22"/>
                <w:szCs w:val="22"/>
                <w:lang w:eastAsia="en-US"/>
              </w:rPr>
              <w:t>7</w:t>
            </w:r>
          </w:p>
        </w:tc>
        <w:tc>
          <w:tcPr>
            <w:tcW w:w="995" w:type="dxa"/>
            <w:shd w:val="clear" w:color="auto" w:fill="FFFFFF"/>
            <w:vAlign w:val="center"/>
            <w:hideMark/>
          </w:tcPr>
          <w:p w14:paraId="40D0DE74" w14:textId="77777777" w:rsidR="00BD5588" w:rsidRPr="00C06CAA" w:rsidRDefault="00BD5588" w:rsidP="009E0502">
            <w:pPr>
              <w:jc w:val="center"/>
              <w:rPr>
                <w:sz w:val="22"/>
                <w:szCs w:val="22"/>
                <w:lang w:eastAsia="en-US"/>
              </w:rPr>
            </w:pPr>
            <w:r w:rsidRPr="00C06CAA">
              <w:rPr>
                <w:sz w:val="22"/>
                <w:szCs w:val="22"/>
                <w:lang w:eastAsia="en-US"/>
              </w:rPr>
              <w:t>8</w:t>
            </w:r>
          </w:p>
        </w:tc>
      </w:tr>
      <w:tr w:rsidR="00E65781" w:rsidRPr="0084558D" w14:paraId="66D7D37A" w14:textId="77777777" w:rsidTr="00F53339">
        <w:tc>
          <w:tcPr>
            <w:tcW w:w="2162" w:type="dxa"/>
            <w:shd w:val="clear" w:color="auto" w:fill="FFFFFF"/>
            <w:hideMark/>
          </w:tcPr>
          <w:p w14:paraId="28FA0CB5" w14:textId="77777777" w:rsidR="00E65781" w:rsidRPr="00C06CAA" w:rsidRDefault="00E65781" w:rsidP="00E65781">
            <w:pPr>
              <w:rPr>
                <w:sz w:val="22"/>
                <w:szCs w:val="22"/>
                <w:lang w:eastAsia="en-US"/>
              </w:rPr>
            </w:pPr>
            <w:r w:rsidRPr="00C06CAA">
              <w:rPr>
                <w:sz w:val="22"/>
                <w:szCs w:val="22"/>
                <w:lang w:eastAsia="en-US"/>
              </w:rPr>
              <w:t>1. Budžeta ieņēmumi</w:t>
            </w:r>
          </w:p>
        </w:tc>
        <w:tc>
          <w:tcPr>
            <w:tcW w:w="1074" w:type="dxa"/>
            <w:shd w:val="clear" w:color="auto" w:fill="FFFFFF"/>
            <w:vAlign w:val="center"/>
            <w:hideMark/>
          </w:tcPr>
          <w:p w14:paraId="1BC639B9" w14:textId="77777777" w:rsidR="00E65781" w:rsidRPr="00C06CAA" w:rsidRDefault="00E65781" w:rsidP="00E65781">
            <w:pPr>
              <w:jc w:val="center"/>
              <w:rPr>
                <w:sz w:val="22"/>
                <w:szCs w:val="22"/>
                <w:lang w:eastAsia="en-US"/>
              </w:rPr>
            </w:pPr>
            <w:r w:rsidRPr="00C06CAA">
              <w:rPr>
                <w:sz w:val="22"/>
                <w:szCs w:val="22"/>
                <w:lang w:eastAsia="en-US"/>
              </w:rPr>
              <w:t>2 792 000</w:t>
            </w:r>
          </w:p>
        </w:tc>
        <w:tc>
          <w:tcPr>
            <w:tcW w:w="1073" w:type="dxa"/>
            <w:shd w:val="clear" w:color="auto" w:fill="FFFFFF"/>
            <w:vAlign w:val="center"/>
            <w:hideMark/>
          </w:tcPr>
          <w:p w14:paraId="1EA12A01"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FFFFFF"/>
            <w:vAlign w:val="center"/>
            <w:hideMark/>
          </w:tcPr>
          <w:p w14:paraId="27D519E5" w14:textId="77777777" w:rsidR="00E65781" w:rsidRPr="00C06CAA" w:rsidRDefault="00E65781" w:rsidP="00E65781">
            <w:pPr>
              <w:jc w:val="center"/>
              <w:rPr>
                <w:sz w:val="22"/>
                <w:szCs w:val="22"/>
                <w:lang w:eastAsia="en-US"/>
              </w:rPr>
            </w:pPr>
            <w:r w:rsidRPr="00C06CAA">
              <w:rPr>
                <w:sz w:val="22"/>
                <w:szCs w:val="22"/>
                <w:lang w:eastAsia="en-US"/>
              </w:rPr>
              <w:t>1 994 000</w:t>
            </w:r>
          </w:p>
        </w:tc>
        <w:tc>
          <w:tcPr>
            <w:tcW w:w="940" w:type="dxa"/>
            <w:shd w:val="clear" w:color="auto" w:fill="FFFFFF"/>
            <w:vAlign w:val="center"/>
            <w:hideMark/>
          </w:tcPr>
          <w:p w14:paraId="354F1C24" w14:textId="207FB1E7" w:rsidR="00E65781" w:rsidRPr="00466D60" w:rsidRDefault="00E65781" w:rsidP="00E65781">
            <w:pPr>
              <w:jc w:val="center"/>
              <w:rPr>
                <w:sz w:val="22"/>
                <w:szCs w:val="22"/>
                <w:lang w:eastAsia="en-US"/>
              </w:rPr>
            </w:pPr>
            <w:r w:rsidRPr="00466D60">
              <w:rPr>
                <w:sz w:val="22"/>
                <w:szCs w:val="22"/>
                <w:lang w:eastAsia="en-US"/>
              </w:rPr>
              <w:t>698 785</w:t>
            </w:r>
          </w:p>
        </w:tc>
        <w:tc>
          <w:tcPr>
            <w:tcW w:w="940" w:type="dxa"/>
            <w:shd w:val="clear" w:color="auto" w:fill="FFFFFF"/>
            <w:vAlign w:val="center"/>
            <w:hideMark/>
          </w:tcPr>
          <w:p w14:paraId="36F76287" w14:textId="77777777" w:rsidR="00E65781" w:rsidRPr="00466D60" w:rsidRDefault="00E65781" w:rsidP="00E65781">
            <w:pPr>
              <w:jc w:val="center"/>
              <w:rPr>
                <w:sz w:val="22"/>
                <w:szCs w:val="22"/>
                <w:lang w:eastAsia="en-US"/>
              </w:rPr>
            </w:pPr>
            <w:r w:rsidRPr="00466D60">
              <w:rPr>
                <w:sz w:val="22"/>
                <w:szCs w:val="22"/>
                <w:lang w:eastAsia="en-US"/>
              </w:rPr>
              <w:t>1 794 000</w:t>
            </w:r>
          </w:p>
        </w:tc>
        <w:tc>
          <w:tcPr>
            <w:tcW w:w="940" w:type="dxa"/>
            <w:shd w:val="clear" w:color="auto" w:fill="FFFFFF"/>
            <w:vAlign w:val="center"/>
          </w:tcPr>
          <w:p w14:paraId="4B8B9987" w14:textId="30F07C41" w:rsidR="00E65781" w:rsidRPr="00E65781" w:rsidRDefault="00E65781" w:rsidP="00E65781">
            <w:pPr>
              <w:jc w:val="center"/>
              <w:rPr>
                <w:highlight w:val="yellow"/>
              </w:rPr>
            </w:pPr>
            <w:r w:rsidRPr="00466D60">
              <w:rPr>
                <w:sz w:val="22"/>
                <w:szCs w:val="22"/>
                <w:lang w:eastAsia="en-US"/>
              </w:rPr>
              <w:t>698 785</w:t>
            </w:r>
          </w:p>
        </w:tc>
        <w:tc>
          <w:tcPr>
            <w:tcW w:w="995" w:type="dxa"/>
            <w:shd w:val="clear" w:color="auto" w:fill="FFFFFF"/>
            <w:vAlign w:val="center"/>
          </w:tcPr>
          <w:p w14:paraId="458DAAA2" w14:textId="03D8D5EB" w:rsidR="00E65781" w:rsidRPr="00E65781" w:rsidRDefault="00E65781" w:rsidP="00E65781">
            <w:pPr>
              <w:jc w:val="center"/>
              <w:rPr>
                <w:color w:val="FF0000"/>
                <w:sz w:val="22"/>
                <w:szCs w:val="22"/>
                <w:highlight w:val="yellow"/>
                <w:lang w:eastAsia="en-US"/>
              </w:rPr>
            </w:pPr>
            <w:r w:rsidRPr="00466D60">
              <w:rPr>
                <w:sz w:val="22"/>
                <w:szCs w:val="22"/>
                <w:lang w:eastAsia="en-US"/>
              </w:rPr>
              <w:t>698 785</w:t>
            </w:r>
          </w:p>
        </w:tc>
      </w:tr>
      <w:tr w:rsidR="00E65781" w:rsidRPr="0084558D" w14:paraId="7E748F08" w14:textId="77777777" w:rsidTr="00F53339">
        <w:tc>
          <w:tcPr>
            <w:tcW w:w="2162" w:type="dxa"/>
            <w:shd w:val="clear" w:color="auto" w:fill="auto"/>
            <w:hideMark/>
          </w:tcPr>
          <w:p w14:paraId="00D8EC3B" w14:textId="77777777" w:rsidR="00E65781" w:rsidRPr="00C06CAA" w:rsidRDefault="00E65781" w:rsidP="00E65781">
            <w:pPr>
              <w:rPr>
                <w:sz w:val="22"/>
                <w:szCs w:val="22"/>
                <w:lang w:eastAsia="en-US"/>
              </w:rPr>
            </w:pPr>
            <w:r w:rsidRPr="00C06CAA">
              <w:rPr>
                <w:sz w:val="22"/>
                <w:szCs w:val="22"/>
                <w:lang w:eastAsia="en-US"/>
              </w:rPr>
              <w:t>1.1. valsts pamatbudžets, tai skaitā ieņēmumi no maksas pakalpojumiem un citi pašu ieņēmumi</w:t>
            </w:r>
          </w:p>
        </w:tc>
        <w:tc>
          <w:tcPr>
            <w:tcW w:w="1074" w:type="dxa"/>
            <w:shd w:val="clear" w:color="auto" w:fill="auto"/>
            <w:vAlign w:val="center"/>
            <w:hideMark/>
          </w:tcPr>
          <w:p w14:paraId="1CEB3F0B" w14:textId="7B242536" w:rsidR="00E65781" w:rsidRPr="00C06CAA" w:rsidRDefault="00E65781" w:rsidP="00E65781">
            <w:pPr>
              <w:jc w:val="center"/>
              <w:rPr>
                <w:sz w:val="22"/>
                <w:szCs w:val="22"/>
                <w:lang w:eastAsia="en-US"/>
              </w:rPr>
            </w:pPr>
            <w:r w:rsidRPr="000254AC">
              <w:rPr>
                <w:sz w:val="22"/>
                <w:szCs w:val="22"/>
                <w:lang w:eastAsia="en-US"/>
              </w:rPr>
              <w:t>2</w:t>
            </w:r>
            <w:r>
              <w:rPr>
                <w:sz w:val="22"/>
                <w:szCs w:val="22"/>
                <w:lang w:eastAsia="en-US"/>
              </w:rPr>
              <w:t xml:space="preserve"> </w:t>
            </w:r>
            <w:r w:rsidRPr="000254AC">
              <w:rPr>
                <w:sz w:val="22"/>
                <w:szCs w:val="22"/>
                <w:lang w:eastAsia="en-US"/>
              </w:rPr>
              <w:t>752</w:t>
            </w:r>
            <w:r>
              <w:rPr>
                <w:sz w:val="22"/>
                <w:szCs w:val="22"/>
                <w:lang w:eastAsia="en-US"/>
              </w:rPr>
              <w:t xml:space="preserve"> </w:t>
            </w:r>
            <w:r w:rsidRPr="000254AC">
              <w:rPr>
                <w:sz w:val="22"/>
                <w:szCs w:val="22"/>
                <w:lang w:eastAsia="en-US"/>
              </w:rPr>
              <w:t>800</w:t>
            </w:r>
          </w:p>
        </w:tc>
        <w:tc>
          <w:tcPr>
            <w:tcW w:w="1073" w:type="dxa"/>
            <w:shd w:val="clear" w:color="auto" w:fill="auto"/>
            <w:vAlign w:val="center"/>
            <w:hideMark/>
          </w:tcPr>
          <w:p w14:paraId="07DE57E7"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77DEDBCB" w14:textId="2E68F2D3" w:rsidR="00E65781" w:rsidRPr="00466D60" w:rsidRDefault="00E65781" w:rsidP="00E65781">
            <w:pPr>
              <w:jc w:val="center"/>
              <w:rPr>
                <w:sz w:val="22"/>
                <w:szCs w:val="22"/>
                <w:lang w:eastAsia="en-US"/>
              </w:rPr>
            </w:pPr>
            <w:r w:rsidRPr="00466D60">
              <w:rPr>
                <w:sz w:val="22"/>
              </w:rPr>
              <w:t>1 962 800</w:t>
            </w:r>
          </w:p>
        </w:tc>
        <w:tc>
          <w:tcPr>
            <w:tcW w:w="940" w:type="dxa"/>
            <w:shd w:val="clear" w:color="auto" w:fill="auto"/>
            <w:vAlign w:val="center"/>
            <w:hideMark/>
          </w:tcPr>
          <w:p w14:paraId="3BA2FD02" w14:textId="416D20EB" w:rsidR="00E65781" w:rsidRPr="00466D60" w:rsidRDefault="00731D2F" w:rsidP="00E65781">
            <w:pPr>
              <w:jc w:val="center"/>
              <w:rPr>
                <w:sz w:val="22"/>
              </w:rPr>
            </w:pPr>
            <w:r>
              <w:rPr>
                <w:sz w:val="22"/>
              </w:rPr>
              <w:t>678 661</w:t>
            </w:r>
          </w:p>
        </w:tc>
        <w:tc>
          <w:tcPr>
            <w:tcW w:w="940" w:type="dxa"/>
            <w:shd w:val="clear" w:color="auto" w:fill="auto"/>
            <w:vAlign w:val="center"/>
            <w:hideMark/>
          </w:tcPr>
          <w:p w14:paraId="76D11A81" w14:textId="5639DC4B" w:rsidR="00E65781" w:rsidRPr="00466D60" w:rsidRDefault="00E65781" w:rsidP="00E65781">
            <w:pPr>
              <w:jc w:val="center"/>
              <w:rPr>
                <w:sz w:val="22"/>
                <w:szCs w:val="22"/>
                <w:lang w:eastAsia="en-US"/>
              </w:rPr>
            </w:pPr>
            <w:r w:rsidRPr="00466D60">
              <w:rPr>
                <w:sz w:val="22"/>
                <w:szCs w:val="22"/>
                <w:lang w:eastAsia="en-US"/>
              </w:rPr>
              <w:t>1 740 180</w:t>
            </w:r>
          </w:p>
        </w:tc>
        <w:tc>
          <w:tcPr>
            <w:tcW w:w="940" w:type="dxa"/>
            <w:shd w:val="clear" w:color="auto" w:fill="auto"/>
            <w:vAlign w:val="center"/>
          </w:tcPr>
          <w:p w14:paraId="4EF2AC77" w14:textId="7C08D22A" w:rsidR="00731D2F" w:rsidRPr="00466D60" w:rsidRDefault="00731D2F" w:rsidP="00E65781">
            <w:pPr>
              <w:jc w:val="center"/>
              <w:rPr>
                <w:sz w:val="22"/>
                <w:szCs w:val="22"/>
                <w:lang w:eastAsia="en-US"/>
              </w:rPr>
            </w:pPr>
            <w:r>
              <w:rPr>
                <w:sz w:val="22"/>
              </w:rPr>
              <w:t>678 661</w:t>
            </w:r>
          </w:p>
        </w:tc>
        <w:tc>
          <w:tcPr>
            <w:tcW w:w="995" w:type="dxa"/>
            <w:shd w:val="clear" w:color="auto" w:fill="auto"/>
            <w:vAlign w:val="center"/>
          </w:tcPr>
          <w:p w14:paraId="4ECF36C2" w14:textId="51EE63BD" w:rsidR="00731D2F" w:rsidRPr="00337A2A" w:rsidRDefault="00731D2F" w:rsidP="00E65781">
            <w:pPr>
              <w:jc w:val="center"/>
              <w:rPr>
                <w:color w:val="FF0000"/>
                <w:sz w:val="22"/>
                <w:szCs w:val="22"/>
                <w:lang w:eastAsia="en-US"/>
              </w:rPr>
            </w:pPr>
            <w:r>
              <w:rPr>
                <w:sz w:val="22"/>
              </w:rPr>
              <w:t>678 661</w:t>
            </w:r>
          </w:p>
        </w:tc>
      </w:tr>
      <w:tr w:rsidR="00E65781" w:rsidRPr="0084558D" w14:paraId="57B8801F" w14:textId="77777777" w:rsidTr="00F53339">
        <w:tc>
          <w:tcPr>
            <w:tcW w:w="2162" w:type="dxa"/>
            <w:shd w:val="clear" w:color="auto" w:fill="auto"/>
            <w:hideMark/>
          </w:tcPr>
          <w:p w14:paraId="58A02EF3" w14:textId="77777777" w:rsidR="00E65781" w:rsidRPr="00C06CAA" w:rsidRDefault="00E65781" w:rsidP="00E65781">
            <w:pPr>
              <w:rPr>
                <w:sz w:val="22"/>
                <w:szCs w:val="22"/>
                <w:lang w:eastAsia="en-US"/>
              </w:rPr>
            </w:pPr>
            <w:r w:rsidRPr="00C06CAA">
              <w:rPr>
                <w:sz w:val="22"/>
                <w:szCs w:val="22"/>
                <w:lang w:eastAsia="en-US"/>
              </w:rPr>
              <w:t>1.2. valsts speciālais budžets</w:t>
            </w:r>
          </w:p>
        </w:tc>
        <w:tc>
          <w:tcPr>
            <w:tcW w:w="1074" w:type="dxa"/>
            <w:shd w:val="clear" w:color="auto" w:fill="auto"/>
            <w:vAlign w:val="center"/>
            <w:hideMark/>
          </w:tcPr>
          <w:p w14:paraId="143602A9" w14:textId="77777777" w:rsidR="00E65781" w:rsidRPr="00C06CAA" w:rsidRDefault="00E65781" w:rsidP="00E65781">
            <w:pPr>
              <w:jc w:val="center"/>
              <w:rPr>
                <w:sz w:val="22"/>
                <w:szCs w:val="22"/>
                <w:lang w:eastAsia="en-US"/>
              </w:rPr>
            </w:pPr>
            <w:r w:rsidRPr="00C06CAA">
              <w:rPr>
                <w:sz w:val="22"/>
                <w:szCs w:val="22"/>
                <w:lang w:eastAsia="en-US"/>
              </w:rPr>
              <w:t>0</w:t>
            </w:r>
          </w:p>
        </w:tc>
        <w:tc>
          <w:tcPr>
            <w:tcW w:w="1073" w:type="dxa"/>
            <w:shd w:val="clear" w:color="auto" w:fill="auto"/>
            <w:vAlign w:val="center"/>
            <w:hideMark/>
          </w:tcPr>
          <w:p w14:paraId="7710D3D3"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auto"/>
            <w:vAlign w:val="center"/>
            <w:hideMark/>
          </w:tcPr>
          <w:p w14:paraId="5B9B3BF6" w14:textId="32132D83" w:rsidR="00E65781" w:rsidRPr="00466D60" w:rsidRDefault="00E65781" w:rsidP="00E65781">
            <w:pPr>
              <w:jc w:val="center"/>
            </w:pPr>
            <w:r w:rsidRPr="00466D60">
              <w:rPr>
                <w:sz w:val="22"/>
              </w:rPr>
              <w:t>47 856</w:t>
            </w:r>
          </w:p>
        </w:tc>
        <w:tc>
          <w:tcPr>
            <w:tcW w:w="940" w:type="dxa"/>
            <w:shd w:val="clear" w:color="auto" w:fill="auto"/>
            <w:vAlign w:val="center"/>
            <w:hideMark/>
          </w:tcPr>
          <w:p w14:paraId="6D584560" w14:textId="18AFD48E" w:rsidR="00E65781" w:rsidRPr="00466D60" w:rsidRDefault="00E65781" w:rsidP="00E65781">
            <w:pPr>
              <w:jc w:val="center"/>
              <w:rPr>
                <w:sz w:val="22"/>
              </w:rPr>
            </w:pPr>
            <w:r w:rsidRPr="00466D60">
              <w:rPr>
                <w:sz w:val="22"/>
              </w:rPr>
              <w:t>16 770</w:t>
            </w:r>
          </w:p>
        </w:tc>
        <w:tc>
          <w:tcPr>
            <w:tcW w:w="940" w:type="dxa"/>
            <w:shd w:val="clear" w:color="auto" w:fill="auto"/>
            <w:vAlign w:val="center"/>
            <w:hideMark/>
          </w:tcPr>
          <w:p w14:paraId="6E6A5B20" w14:textId="159B4E97" w:rsidR="00E65781" w:rsidRPr="00466D60" w:rsidRDefault="00E65781" w:rsidP="00E65781">
            <w:pPr>
              <w:jc w:val="center"/>
            </w:pPr>
            <w:r w:rsidRPr="00466D60">
              <w:rPr>
                <w:sz w:val="22"/>
              </w:rPr>
              <w:t>43 056</w:t>
            </w:r>
          </w:p>
        </w:tc>
        <w:tc>
          <w:tcPr>
            <w:tcW w:w="940" w:type="dxa"/>
            <w:shd w:val="clear" w:color="auto" w:fill="auto"/>
            <w:vAlign w:val="center"/>
          </w:tcPr>
          <w:p w14:paraId="0136C028" w14:textId="47657E78" w:rsidR="00E65781" w:rsidRPr="00466D60" w:rsidRDefault="00E65781" w:rsidP="00E65781">
            <w:pPr>
              <w:jc w:val="center"/>
            </w:pPr>
            <w:r w:rsidRPr="00466D60">
              <w:rPr>
                <w:sz w:val="22"/>
              </w:rPr>
              <w:t>16 770</w:t>
            </w:r>
          </w:p>
        </w:tc>
        <w:tc>
          <w:tcPr>
            <w:tcW w:w="995" w:type="dxa"/>
            <w:shd w:val="clear" w:color="auto" w:fill="auto"/>
            <w:vAlign w:val="center"/>
          </w:tcPr>
          <w:p w14:paraId="2C7676CE" w14:textId="1B7310CB" w:rsidR="00E65781" w:rsidRPr="00337A2A" w:rsidRDefault="00E65781" w:rsidP="00E65781">
            <w:pPr>
              <w:jc w:val="center"/>
            </w:pPr>
            <w:r w:rsidRPr="00466D60">
              <w:rPr>
                <w:sz w:val="22"/>
              </w:rPr>
              <w:t>16 770</w:t>
            </w:r>
          </w:p>
        </w:tc>
      </w:tr>
      <w:tr w:rsidR="00E65781" w:rsidRPr="0084558D" w14:paraId="74B1D47A" w14:textId="77777777" w:rsidTr="00F53339">
        <w:tc>
          <w:tcPr>
            <w:tcW w:w="2162" w:type="dxa"/>
            <w:shd w:val="clear" w:color="auto" w:fill="auto"/>
            <w:hideMark/>
          </w:tcPr>
          <w:p w14:paraId="5C180EF2" w14:textId="77777777" w:rsidR="00E65781" w:rsidRPr="000254AC" w:rsidRDefault="00E65781" w:rsidP="00E65781">
            <w:pPr>
              <w:rPr>
                <w:sz w:val="22"/>
                <w:szCs w:val="22"/>
                <w:lang w:eastAsia="en-US"/>
              </w:rPr>
            </w:pPr>
            <w:r w:rsidRPr="000254AC">
              <w:rPr>
                <w:sz w:val="22"/>
                <w:szCs w:val="22"/>
                <w:lang w:eastAsia="en-US"/>
              </w:rPr>
              <w:t>1.3. pašvaldību budžets</w:t>
            </w:r>
          </w:p>
        </w:tc>
        <w:tc>
          <w:tcPr>
            <w:tcW w:w="1074" w:type="dxa"/>
            <w:shd w:val="clear" w:color="auto" w:fill="auto"/>
            <w:vAlign w:val="center"/>
            <w:hideMark/>
          </w:tcPr>
          <w:p w14:paraId="22024ECE" w14:textId="079E90CB" w:rsidR="00E65781" w:rsidRPr="000254AC" w:rsidRDefault="00E65781" w:rsidP="00E65781">
            <w:pPr>
              <w:jc w:val="center"/>
              <w:rPr>
                <w:sz w:val="22"/>
                <w:szCs w:val="22"/>
                <w:lang w:eastAsia="en-US"/>
              </w:rPr>
            </w:pPr>
            <w:r w:rsidRPr="000254AC">
              <w:rPr>
                <w:sz w:val="22"/>
                <w:szCs w:val="22"/>
                <w:lang w:eastAsia="en-US"/>
              </w:rPr>
              <w:t>39</w:t>
            </w:r>
            <w:r>
              <w:rPr>
                <w:sz w:val="22"/>
                <w:szCs w:val="22"/>
                <w:lang w:eastAsia="en-US"/>
              </w:rPr>
              <w:t xml:space="preserve"> </w:t>
            </w:r>
            <w:r w:rsidRPr="000254AC">
              <w:rPr>
                <w:sz w:val="22"/>
                <w:szCs w:val="22"/>
                <w:lang w:eastAsia="en-US"/>
              </w:rPr>
              <w:t>200</w:t>
            </w:r>
          </w:p>
        </w:tc>
        <w:tc>
          <w:tcPr>
            <w:tcW w:w="1073" w:type="dxa"/>
            <w:shd w:val="clear" w:color="auto" w:fill="auto"/>
            <w:vAlign w:val="center"/>
            <w:hideMark/>
          </w:tcPr>
          <w:p w14:paraId="4D95F619" w14:textId="77777777" w:rsidR="00E65781" w:rsidRPr="000254AC" w:rsidRDefault="00E65781" w:rsidP="00E65781">
            <w:pPr>
              <w:jc w:val="center"/>
              <w:rPr>
                <w:sz w:val="22"/>
                <w:szCs w:val="22"/>
                <w:lang w:eastAsia="en-US"/>
              </w:rPr>
            </w:pPr>
            <w:r w:rsidRPr="000254AC">
              <w:rPr>
                <w:sz w:val="22"/>
                <w:szCs w:val="22"/>
                <w:lang w:eastAsia="en-US"/>
              </w:rPr>
              <w:t>0</w:t>
            </w:r>
          </w:p>
        </w:tc>
        <w:tc>
          <w:tcPr>
            <w:tcW w:w="941" w:type="dxa"/>
            <w:shd w:val="clear" w:color="auto" w:fill="auto"/>
            <w:vAlign w:val="center"/>
            <w:hideMark/>
          </w:tcPr>
          <w:p w14:paraId="0D0EFEF1" w14:textId="5F2D9619" w:rsidR="00E65781" w:rsidRPr="00466D60" w:rsidRDefault="00E65781" w:rsidP="00E65781">
            <w:pPr>
              <w:jc w:val="center"/>
              <w:rPr>
                <w:sz w:val="22"/>
                <w:szCs w:val="22"/>
                <w:lang w:eastAsia="en-US"/>
              </w:rPr>
            </w:pPr>
            <w:r w:rsidRPr="00466D60">
              <w:rPr>
                <w:sz w:val="22"/>
              </w:rPr>
              <w:t>11 964</w:t>
            </w:r>
          </w:p>
        </w:tc>
        <w:tc>
          <w:tcPr>
            <w:tcW w:w="940" w:type="dxa"/>
            <w:shd w:val="clear" w:color="auto" w:fill="auto"/>
            <w:vAlign w:val="center"/>
            <w:hideMark/>
          </w:tcPr>
          <w:p w14:paraId="13571F92" w14:textId="728920A2" w:rsidR="00731D2F" w:rsidRPr="00466D60" w:rsidRDefault="00731D2F" w:rsidP="00246B08">
            <w:pPr>
              <w:jc w:val="center"/>
              <w:rPr>
                <w:sz w:val="22"/>
              </w:rPr>
            </w:pPr>
            <w:r>
              <w:rPr>
                <w:sz w:val="22"/>
              </w:rPr>
              <w:t> </w:t>
            </w:r>
            <w:r w:rsidRPr="00731D2F">
              <w:rPr>
                <w:sz w:val="22"/>
              </w:rPr>
              <w:t>3</w:t>
            </w:r>
            <w:r>
              <w:rPr>
                <w:sz w:val="22"/>
              </w:rPr>
              <w:t> 354</w:t>
            </w:r>
          </w:p>
        </w:tc>
        <w:tc>
          <w:tcPr>
            <w:tcW w:w="940" w:type="dxa"/>
            <w:shd w:val="clear" w:color="auto" w:fill="auto"/>
            <w:vAlign w:val="center"/>
            <w:hideMark/>
          </w:tcPr>
          <w:p w14:paraId="1062EA7A" w14:textId="06943490" w:rsidR="00E65781" w:rsidRPr="00466D60" w:rsidRDefault="00E65781" w:rsidP="00E65781">
            <w:pPr>
              <w:jc w:val="center"/>
              <w:rPr>
                <w:sz w:val="22"/>
                <w:szCs w:val="22"/>
                <w:lang w:eastAsia="en-US"/>
              </w:rPr>
            </w:pPr>
            <w:r w:rsidRPr="00466D60">
              <w:rPr>
                <w:sz w:val="22"/>
              </w:rPr>
              <w:t>10 764</w:t>
            </w:r>
          </w:p>
        </w:tc>
        <w:tc>
          <w:tcPr>
            <w:tcW w:w="940" w:type="dxa"/>
            <w:shd w:val="clear" w:color="auto" w:fill="auto"/>
            <w:vAlign w:val="center"/>
          </w:tcPr>
          <w:p w14:paraId="3DC9F3E8" w14:textId="4D10C439" w:rsidR="00731D2F" w:rsidRPr="00466D60" w:rsidRDefault="00731D2F" w:rsidP="00246B08">
            <w:pPr>
              <w:jc w:val="center"/>
              <w:rPr>
                <w:sz w:val="22"/>
                <w:szCs w:val="22"/>
                <w:lang w:eastAsia="en-US"/>
              </w:rPr>
            </w:pPr>
            <w:r>
              <w:rPr>
                <w:sz w:val="22"/>
              </w:rPr>
              <w:t> </w:t>
            </w:r>
            <w:r w:rsidRPr="00731D2F">
              <w:rPr>
                <w:sz w:val="22"/>
              </w:rPr>
              <w:t>3</w:t>
            </w:r>
            <w:r>
              <w:rPr>
                <w:sz w:val="22"/>
              </w:rPr>
              <w:t> 354</w:t>
            </w:r>
          </w:p>
        </w:tc>
        <w:tc>
          <w:tcPr>
            <w:tcW w:w="995" w:type="dxa"/>
            <w:shd w:val="clear" w:color="auto" w:fill="auto"/>
            <w:vAlign w:val="center"/>
          </w:tcPr>
          <w:p w14:paraId="079EDDDB" w14:textId="64B0ED36" w:rsidR="00731D2F" w:rsidRPr="00337A2A" w:rsidRDefault="00731D2F" w:rsidP="00E65781">
            <w:pPr>
              <w:jc w:val="center"/>
              <w:rPr>
                <w:sz w:val="22"/>
                <w:szCs w:val="22"/>
                <w:lang w:eastAsia="en-US"/>
              </w:rPr>
            </w:pPr>
            <w:r w:rsidRPr="00731D2F">
              <w:rPr>
                <w:sz w:val="22"/>
              </w:rPr>
              <w:t>3</w:t>
            </w:r>
            <w:r>
              <w:rPr>
                <w:sz w:val="22"/>
              </w:rPr>
              <w:t> 354</w:t>
            </w:r>
          </w:p>
        </w:tc>
      </w:tr>
      <w:tr w:rsidR="00E65781" w:rsidRPr="0084558D" w14:paraId="293EF808" w14:textId="77777777" w:rsidTr="00F53339">
        <w:tc>
          <w:tcPr>
            <w:tcW w:w="2162" w:type="dxa"/>
            <w:shd w:val="clear" w:color="auto" w:fill="auto"/>
            <w:hideMark/>
          </w:tcPr>
          <w:p w14:paraId="653135D1" w14:textId="77777777" w:rsidR="00E65781" w:rsidRPr="00C06CAA" w:rsidRDefault="00E65781" w:rsidP="00E65781">
            <w:pPr>
              <w:rPr>
                <w:sz w:val="22"/>
                <w:szCs w:val="22"/>
                <w:lang w:eastAsia="en-US"/>
              </w:rPr>
            </w:pPr>
            <w:r w:rsidRPr="00C06CAA">
              <w:rPr>
                <w:sz w:val="22"/>
                <w:szCs w:val="22"/>
                <w:lang w:eastAsia="en-US"/>
              </w:rPr>
              <w:t>2. Budžeta izdevumi</w:t>
            </w:r>
          </w:p>
        </w:tc>
        <w:tc>
          <w:tcPr>
            <w:tcW w:w="1074" w:type="dxa"/>
            <w:shd w:val="clear" w:color="auto" w:fill="auto"/>
            <w:vAlign w:val="center"/>
            <w:hideMark/>
          </w:tcPr>
          <w:p w14:paraId="2BEA898A" w14:textId="77777777" w:rsidR="00E65781" w:rsidRPr="00C06CAA" w:rsidRDefault="00E65781" w:rsidP="00E65781">
            <w:pPr>
              <w:jc w:val="center"/>
              <w:rPr>
                <w:sz w:val="22"/>
                <w:szCs w:val="22"/>
                <w:lang w:eastAsia="en-US"/>
              </w:rPr>
            </w:pPr>
            <w:r w:rsidRPr="00C06CAA">
              <w:rPr>
                <w:sz w:val="22"/>
                <w:szCs w:val="22"/>
              </w:rPr>
              <w:t>427 756</w:t>
            </w:r>
          </w:p>
        </w:tc>
        <w:tc>
          <w:tcPr>
            <w:tcW w:w="1073" w:type="dxa"/>
            <w:shd w:val="clear" w:color="auto" w:fill="auto"/>
            <w:vAlign w:val="center"/>
            <w:hideMark/>
          </w:tcPr>
          <w:p w14:paraId="5FAB3B36"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auto"/>
            <w:vAlign w:val="center"/>
            <w:hideMark/>
          </w:tcPr>
          <w:p w14:paraId="470B7CC7" w14:textId="66ED857E" w:rsidR="00E65781" w:rsidRPr="00C06CAA" w:rsidRDefault="00E65781" w:rsidP="00E65781">
            <w:pPr>
              <w:jc w:val="center"/>
              <w:rPr>
                <w:sz w:val="22"/>
                <w:szCs w:val="22"/>
              </w:rPr>
            </w:pPr>
            <w:r>
              <w:rPr>
                <w:sz w:val="22"/>
                <w:szCs w:val="22"/>
              </w:rPr>
              <w:t>0</w:t>
            </w:r>
          </w:p>
        </w:tc>
        <w:tc>
          <w:tcPr>
            <w:tcW w:w="940" w:type="dxa"/>
            <w:shd w:val="clear" w:color="auto" w:fill="auto"/>
            <w:vAlign w:val="center"/>
          </w:tcPr>
          <w:p w14:paraId="1EBEC94B" w14:textId="41271741" w:rsidR="00E65781" w:rsidRPr="00F64C87" w:rsidRDefault="00E65781" w:rsidP="00E65781">
            <w:pPr>
              <w:jc w:val="center"/>
              <w:rPr>
                <w:sz w:val="22"/>
                <w:szCs w:val="22"/>
              </w:rPr>
            </w:pPr>
            <w:r w:rsidRPr="00C06CAA">
              <w:rPr>
                <w:sz w:val="22"/>
                <w:szCs w:val="22"/>
              </w:rPr>
              <w:t>635 012</w:t>
            </w:r>
          </w:p>
        </w:tc>
        <w:tc>
          <w:tcPr>
            <w:tcW w:w="940" w:type="dxa"/>
            <w:shd w:val="clear" w:color="auto" w:fill="auto"/>
            <w:vAlign w:val="center"/>
            <w:hideMark/>
          </w:tcPr>
          <w:p w14:paraId="183D0469" w14:textId="13B3E259" w:rsidR="00E65781" w:rsidRPr="00F64C87" w:rsidRDefault="00E65781" w:rsidP="00E65781">
            <w:pPr>
              <w:jc w:val="center"/>
              <w:rPr>
                <w:sz w:val="22"/>
                <w:szCs w:val="22"/>
                <w:lang w:eastAsia="en-US"/>
              </w:rPr>
            </w:pPr>
            <w:r>
              <w:rPr>
                <w:sz w:val="22"/>
                <w:szCs w:val="22"/>
              </w:rPr>
              <w:t>0</w:t>
            </w:r>
          </w:p>
        </w:tc>
        <w:tc>
          <w:tcPr>
            <w:tcW w:w="940" w:type="dxa"/>
            <w:shd w:val="clear" w:color="auto" w:fill="auto"/>
            <w:vAlign w:val="center"/>
          </w:tcPr>
          <w:p w14:paraId="77DEF287" w14:textId="09766E0D" w:rsidR="00E65781" w:rsidRPr="00F64C87" w:rsidRDefault="00E65781" w:rsidP="00E65781">
            <w:pPr>
              <w:jc w:val="center"/>
              <w:rPr>
                <w:sz w:val="22"/>
                <w:szCs w:val="22"/>
                <w:lang w:eastAsia="en-US"/>
              </w:rPr>
            </w:pPr>
            <w:r w:rsidRPr="00C06CAA">
              <w:rPr>
                <w:sz w:val="22"/>
                <w:szCs w:val="22"/>
              </w:rPr>
              <w:t>635 012</w:t>
            </w:r>
          </w:p>
        </w:tc>
        <w:tc>
          <w:tcPr>
            <w:tcW w:w="995" w:type="dxa"/>
            <w:shd w:val="clear" w:color="auto" w:fill="auto"/>
            <w:vAlign w:val="center"/>
          </w:tcPr>
          <w:p w14:paraId="3F0B22B3" w14:textId="5444240E" w:rsidR="00E65781" w:rsidRPr="00425325" w:rsidRDefault="00E65781" w:rsidP="00E65781">
            <w:pPr>
              <w:jc w:val="center"/>
              <w:rPr>
                <w:sz w:val="22"/>
                <w:szCs w:val="22"/>
                <w:highlight w:val="yellow"/>
                <w:lang w:eastAsia="en-US"/>
              </w:rPr>
            </w:pPr>
            <w:r w:rsidRPr="00C06CAA">
              <w:rPr>
                <w:sz w:val="22"/>
                <w:szCs w:val="22"/>
              </w:rPr>
              <w:t>635 012</w:t>
            </w:r>
          </w:p>
        </w:tc>
      </w:tr>
      <w:tr w:rsidR="00E65781" w:rsidRPr="0084558D" w14:paraId="257D5C01" w14:textId="77777777" w:rsidTr="00F53339">
        <w:tc>
          <w:tcPr>
            <w:tcW w:w="2162" w:type="dxa"/>
            <w:shd w:val="clear" w:color="auto" w:fill="auto"/>
            <w:hideMark/>
          </w:tcPr>
          <w:p w14:paraId="6FBE1DED" w14:textId="77777777" w:rsidR="00E65781" w:rsidRPr="00C06CAA" w:rsidRDefault="00E65781" w:rsidP="00E65781">
            <w:pPr>
              <w:rPr>
                <w:sz w:val="22"/>
                <w:szCs w:val="22"/>
                <w:lang w:eastAsia="en-US"/>
              </w:rPr>
            </w:pPr>
            <w:r w:rsidRPr="00C06CAA">
              <w:rPr>
                <w:sz w:val="22"/>
                <w:szCs w:val="22"/>
                <w:lang w:eastAsia="en-US"/>
              </w:rPr>
              <w:t>2.1. valsts pamatbudžets</w:t>
            </w:r>
          </w:p>
        </w:tc>
        <w:tc>
          <w:tcPr>
            <w:tcW w:w="1074" w:type="dxa"/>
            <w:shd w:val="clear" w:color="auto" w:fill="auto"/>
            <w:vAlign w:val="center"/>
            <w:hideMark/>
          </w:tcPr>
          <w:p w14:paraId="6B8EF0D3" w14:textId="77777777" w:rsidR="00E65781" w:rsidRPr="00C06CAA" w:rsidRDefault="00E65781" w:rsidP="00E65781">
            <w:pPr>
              <w:jc w:val="center"/>
              <w:rPr>
                <w:sz w:val="22"/>
                <w:szCs w:val="22"/>
                <w:lang w:eastAsia="en-US"/>
              </w:rPr>
            </w:pPr>
            <w:r w:rsidRPr="00C06CAA">
              <w:rPr>
                <w:sz w:val="22"/>
                <w:szCs w:val="22"/>
              </w:rPr>
              <w:t>427 756</w:t>
            </w:r>
          </w:p>
        </w:tc>
        <w:tc>
          <w:tcPr>
            <w:tcW w:w="1073" w:type="dxa"/>
            <w:shd w:val="clear" w:color="auto" w:fill="auto"/>
            <w:vAlign w:val="center"/>
            <w:hideMark/>
          </w:tcPr>
          <w:p w14:paraId="65B9C5DC"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auto"/>
            <w:vAlign w:val="center"/>
            <w:hideMark/>
          </w:tcPr>
          <w:p w14:paraId="22E888D4" w14:textId="743ACACE" w:rsidR="00E65781" w:rsidRPr="00C06CAA" w:rsidRDefault="00E65781" w:rsidP="00E65781">
            <w:pPr>
              <w:jc w:val="center"/>
              <w:rPr>
                <w:sz w:val="22"/>
                <w:szCs w:val="22"/>
                <w:lang w:eastAsia="en-US"/>
              </w:rPr>
            </w:pPr>
            <w:r>
              <w:rPr>
                <w:sz w:val="22"/>
                <w:szCs w:val="22"/>
              </w:rPr>
              <w:t>0</w:t>
            </w:r>
          </w:p>
        </w:tc>
        <w:tc>
          <w:tcPr>
            <w:tcW w:w="940" w:type="dxa"/>
            <w:shd w:val="clear" w:color="auto" w:fill="auto"/>
            <w:vAlign w:val="center"/>
          </w:tcPr>
          <w:p w14:paraId="4DD5E2D0" w14:textId="0E833D4C" w:rsidR="00E65781" w:rsidRPr="00F64C87" w:rsidRDefault="00E65781" w:rsidP="00E65781">
            <w:pPr>
              <w:jc w:val="center"/>
              <w:rPr>
                <w:sz w:val="22"/>
                <w:szCs w:val="22"/>
                <w:lang w:eastAsia="en-US"/>
              </w:rPr>
            </w:pPr>
            <w:r w:rsidRPr="00C06CAA">
              <w:rPr>
                <w:sz w:val="22"/>
                <w:szCs w:val="22"/>
              </w:rPr>
              <w:t>635 012</w:t>
            </w:r>
          </w:p>
        </w:tc>
        <w:tc>
          <w:tcPr>
            <w:tcW w:w="940" w:type="dxa"/>
            <w:shd w:val="clear" w:color="auto" w:fill="auto"/>
            <w:vAlign w:val="center"/>
            <w:hideMark/>
          </w:tcPr>
          <w:p w14:paraId="216B2F70" w14:textId="5BD334D8" w:rsidR="00E65781" w:rsidRPr="00F64C87" w:rsidRDefault="00E65781" w:rsidP="00E65781">
            <w:pPr>
              <w:jc w:val="center"/>
              <w:rPr>
                <w:sz w:val="22"/>
                <w:szCs w:val="22"/>
                <w:lang w:eastAsia="en-US"/>
              </w:rPr>
            </w:pPr>
          </w:p>
        </w:tc>
        <w:tc>
          <w:tcPr>
            <w:tcW w:w="940" w:type="dxa"/>
            <w:shd w:val="clear" w:color="auto" w:fill="auto"/>
            <w:vAlign w:val="center"/>
          </w:tcPr>
          <w:p w14:paraId="2807A86A" w14:textId="1F688C51" w:rsidR="00E65781" w:rsidRPr="00F64C87" w:rsidRDefault="00E65781" w:rsidP="00E65781">
            <w:pPr>
              <w:jc w:val="center"/>
              <w:rPr>
                <w:sz w:val="22"/>
                <w:szCs w:val="22"/>
                <w:lang w:eastAsia="en-US"/>
              </w:rPr>
            </w:pPr>
            <w:r w:rsidRPr="00C06CAA">
              <w:rPr>
                <w:sz w:val="22"/>
                <w:szCs w:val="22"/>
              </w:rPr>
              <w:t>635 012</w:t>
            </w:r>
          </w:p>
        </w:tc>
        <w:tc>
          <w:tcPr>
            <w:tcW w:w="995" w:type="dxa"/>
            <w:shd w:val="clear" w:color="auto" w:fill="auto"/>
            <w:vAlign w:val="center"/>
          </w:tcPr>
          <w:p w14:paraId="48D4C459" w14:textId="55280700" w:rsidR="00E65781" w:rsidRPr="00425325" w:rsidRDefault="00E65781" w:rsidP="00E65781">
            <w:pPr>
              <w:jc w:val="center"/>
              <w:rPr>
                <w:sz w:val="22"/>
                <w:szCs w:val="22"/>
                <w:highlight w:val="yellow"/>
                <w:lang w:eastAsia="en-US"/>
              </w:rPr>
            </w:pPr>
            <w:r w:rsidRPr="00C06CAA">
              <w:rPr>
                <w:sz w:val="22"/>
                <w:szCs w:val="22"/>
              </w:rPr>
              <w:t>635 012</w:t>
            </w:r>
          </w:p>
        </w:tc>
      </w:tr>
      <w:tr w:rsidR="00E65781" w:rsidRPr="0084558D" w14:paraId="2E869140" w14:textId="77777777" w:rsidTr="00F53339">
        <w:tc>
          <w:tcPr>
            <w:tcW w:w="2162" w:type="dxa"/>
            <w:shd w:val="clear" w:color="auto" w:fill="auto"/>
            <w:hideMark/>
          </w:tcPr>
          <w:p w14:paraId="553F6BC0" w14:textId="77777777" w:rsidR="00E65781" w:rsidRPr="00C06CAA" w:rsidRDefault="00E65781" w:rsidP="00E65781">
            <w:pPr>
              <w:rPr>
                <w:sz w:val="22"/>
                <w:szCs w:val="22"/>
                <w:lang w:eastAsia="en-US"/>
              </w:rPr>
            </w:pPr>
            <w:r w:rsidRPr="00C06CAA">
              <w:rPr>
                <w:sz w:val="22"/>
                <w:szCs w:val="22"/>
                <w:lang w:eastAsia="en-US"/>
              </w:rPr>
              <w:t>2.2. valsts speciālais budžets</w:t>
            </w:r>
          </w:p>
        </w:tc>
        <w:tc>
          <w:tcPr>
            <w:tcW w:w="1074" w:type="dxa"/>
            <w:shd w:val="clear" w:color="auto" w:fill="auto"/>
            <w:vAlign w:val="center"/>
            <w:hideMark/>
          </w:tcPr>
          <w:p w14:paraId="7D159956" w14:textId="77777777" w:rsidR="00E65781" w:rsidRPr="00C06CAA" w:rsidRDefault="00E65781" w:rsidP="00E65781">
            <w:pPr>
              <w:jc w:val="center"/>
              <w:rPr>
                <w:sz w:val="22"/>
                <w:szCs w:val="22"/>
                <w:lang w:eastAsia="en-US"/>
              </w:rPr>
            </w:pPr>
            <w:r w:rsidRPr="00C06CAA">
              <w:rPr>
                <w:sz w:val="22"/>
                <w:szCs w:val="22"/>
                <w:lang w:eastAsia="en-US"/>
              </w:rPr>
              <w:t>0</w:t>
            </w:r>
          </w:p>
        </w:tc>
        <w:tc>
          <w:tcPr>
            <w:tcW w:w="1073" w:type="dxa"/>
            <w:shd w:val="clear" w:color="auto" w:fill="auto"/>
            <w:vAlign w:val="center"/>
            <w:hideMark/>
          </w:tcPr>
          <w:p w14:paraId="40A86A5C"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auto"/>
            <w:vAlign w:val="center"/>
            <w:hideMark/>
          </w:tcPr>
          <w:p w14:paraId="1805177A" w14:textId="68F4D4FF"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tcPr>
          <w:p w14:paraId="166264CF" w14:textId="139C1D3F"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57C22999" w14:textId="671AAEDC"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tcPr>
          <w:p w14:paraId="4EC2A899" w14:textId="08DBBD9F" w:rsidR="00E65781" w:rsidRPr="00C06CAA" w:rsidRDefault="00E65781" w:rsidP="00E65781">
            <w:pPr>
              <w:jc w:val="center"/>
              <w:rPr>
                <w:sz w:val="22"/>
                <w:szCs w:val="22"/>
                <w:lang w:eastAsia="en-US"/>
              </w:rPr>
            </w:pPr>
            <w:r>
              <w:rPr>
                <w:sz w:val="22"/>
                <w:szCs w:val="22"/>
                <w:lang w:eastAsia="en-US"/>
              </w:rPr>
              <w:t>0</w:t>
            </w:r>
          </w:p>
        </w:tc>
        <w:tc>
          <w:tcPr>
            <w:tcW w:w="995" w:type="dxa"/>
            <w:shd w:val="clear" w:color="auto" w:fill="auto"/>
            <w:vAlign w:val="center"/>
            <w:hideMark/>
          </w:tcPr>
          <w:p w14:paraId="1CCAE381" w14:textId="7BA163A3" w:rsidR="00E65781" w:rsidRPr="00C06CAA" w:rsidRDefault="00E65781" w:rsidP="00E65781">
            <w:pPr>
              <w:jc w:val="center"/>
              <w:rPr>
                <w:sz w:val="22"/>
                <w:szCs w:val="22"/>
                <w:lang w:eastAsia="en-US"/>
              </w:rPr>
            </w:pPr>
            <w:r>
              <w:rPr>
                <w:sz w:val="22"/>
                <w:szCs w:val="22"/>
                <w:lang w:eastAsia="en-US"/>
              </w:rPr>
              <w:t>0</w:t>
            </w:r>
          </w:p>
        </w:tc>
      </w:tr>
      <w:tr w:rsidR="00E65781" w:rsidRPr="0084558D" w14:paraId="7E65924C" w14:textId="77777777" w:rsidTr="00F53339">
        <w:tc>
          <w:tcPr>
            <w:tcW w:w="2162" w:type="dxa"/>
            <w:shd w:val="clear" w:color="auto" w:fill="auto"/>
            <w:hideMark/>
          </w:tcPr>
          <w:p w14:paraId="7B7EFF5D" w14:textId="77777777" w:rsidR="00E65781" w:rsidRPr="00C06CAA" w:rsidRDefault="00E65781" w:rsidP="00E65781">
            <w:pPr>
              <w:rPr>
                <w:sz w:val="22"/>
                <w:szCs w:val="22"/>
                <w:lang w:eastAsia="en-US"/>
              </w:rPr>
            </w:pPr>
            <w:r w:rsidRPr="00C06CAA">
              <w:rPr>
                <w:sz w:val="22"/>
                <w:szCs w:val="22"/>
                <w:lang w:eastAsia="en-US"/>
              </w:rPr>
              <w:t>2.3. pašvaldību budžets</w:t>
            </w:r>
          </w:p>
        </w:tc>
        <w:tc>
          <w:tcPr>
            <w:tcW w:w="1074" w:type="dxa"/>
            <w:shd w:val="clear" w:color="auto" w:fill="auto"/>
            <w:vAlign w:val="center"/>
            <w:hideMark/>
          </w:tcPr>
          <w:p w14:paraId="52179F0D" w14:textId="77777777" w:rsidR="00E65781" w:rsidRPr="00C06CAA" w:rsidRDefault="00E65781" w:rsidP="00E65781">
            <w:pPr>
              <w:jc w:val="center"/>
              <w:rPr>
                <w:sz w:val="22"/>
                <w:szCs w:val="22"/>
                <w:lang w:eastAsia="en-US"/>
              </w:rPr>
            </w:pPr>
            <w:r w:rsidRPr="00C06CAA">
              <w:rPr>
                <w:sz w:val="22"/>
                <w:szCs w:val="22"/>
                <w:lang w:eastAsia="en-US"/>
              </w:rPr>
              <w:t>0</w:t>
            </w:r>
          </w:p>
        </w:tc>
        <w:tc>
          <w:tcPr>
            <w:tcW w:w="1073" w:type="dxa"/>
            <w:shd w:val="clear" w:color="auto" w:fill="auto"/>
            <w:vAlign w:val="center"/>
            <w:hideMark/>
          </w:tcPr>
          <w:p w14:paraId="6F3D90C2"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shd w:val="clear" w:color="auto" w:fill="auto"/>
            <w:vAlign w:val="center"/>
            <w:hideMark/>
          </w:tcPr>
          <w:p w14:paraId="27E756EB" w14:textId="3B13DADC"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70FE3356" w14:textId="03BFF42E"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63044C65" w14:textId="76073C69"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tcPr>
          <w:p w14:paraId="36F3BD19" w14:textId="71062718" w:rsidR="00E65781" w:rsidRPr="00C06CAA" w:rsidRDefault="00E65781" w:rsidP="00E65781">
            <w:pPr>
              <w:jc w:val="center"/>
              <w:rPr>
                <w:sz w:val="22"/>
                <w:szCs w:val="22"/>
                <w:lang w:eastAsia="en-US"/>
              </w:rPr>
            </w:pPr>
            <w:r>
              <w:rPr>
                <w:sz w:val="22"/>
                <w:szCs w:val="22"/>
                <w:lang w:eastAsia="en-US"/>
              </w:rPr>
              <w:t>0</w:t>
            </w:r>
          </w:p>
        </w:tc>
        <w:tc>
          <w:tcPr>
            <w:tcW w:w="995" w:type="dxa"/>
            <w:shd w:val="clear" w:color="auto" w:fill="auto"/>
            <w:vAlign w:val="center"/>
            <w:hideMark/>
          </w:tcPr>
          <w:p w14:paraId="3FAA2BF8" w14:textId="79785FD8" w:rsidR="00E65781" w:rsidRPr="00C06CAA" w:rsidRDefault="00E65781" w:rsidP="00E65781">
            <w:pPr>
              <w:jc w:val="center"/>
              <w:rPr>
                <w:sz w:val="22"/>
                <w:szCs w:val="22"/>
                <w:lang w:eastAsia="en-US"/>
              </w:rPr>
            </w:pPr>
            <w:r>
              <w:rPr>
                <w:sz w:val="22"/>
                <w:szCs w:val="22"/>
                <w:lang w:eastAsia="en-US"/>
              </w:rPr>
              <w:t>0</w:t>
            </w:r>
          </w:p>
        </w:tc>
      </w:tr>
      <w:tr w:rsidR="00E65781" w:rsidRPr="0084558D" w14:paraId="106C3994" w14:textId="77777777" w:rsidTr="00F53339">
        <w:tc>
          <w:tcPr>
            <w:tcW w:w="2162" w:type="dxa"/>
            <w:shd w:val="clear" w:color="auto" w:fill="auto"/>
            <w:hideMark/>
          </w:tcPr>
          <w:p w14:paraId="19AA5936" w14:textId="77777777" w:rsidR="00E65781" w:rsidRPr="00C06CAA" w:rsidRDefault="00E65781" w:rsidP="00E65781">
            <w:pPr>
              <w:rPr>
                <w:sz w:val="22"/>
                <w:szCs w:val="22"/>
                <w:lang w:eastAsia="en-US"/>
              </w:rPr>
            </w:pPr>
            <w:r w:rsidRPr="00C06CAA">
              <w:rPr>
                <w:sz w:val="22"/>
                <w:szCs w:val="22"/>
                <w:lang w:eastAsia="en-US"/>
              </w:rPr>
              <w:t>3. Finansiālā ietekme</w:t>
            </w:r>
          </w:p>
        </w:tc>
        <w:tc>
          <w:tcPr>
            <w:tcW w:w="1074" w:type="dxa"/>
            <w:shd w:val="clear" w:color="auto" w:fill="auto"/>
            <w:vAlign w:val="center"/>
            <w:hideMark/>
          </w:tcPr>
          <w:p w14:paraId="372D19CD" w14:textId="77777777" w:rsidR="00E65781" w:rsidRPr="00C06CAA" w:rsidRDefault="00E65781" w:rsidP="00E65781">
            <w:pPr>
              <w:jc w:val="center"/>
              <w:rPr>
                <w:sz w:val="22"/>
                <w:szCs w:val="22"/>
              </w:rPr>
            </w:pPr>
            <w:r w:rsidRPr="00C06CAA">
              <w:rPr>
                <w:sz w:val="22"/>
                <w:szCs w:val="22"/>
              </w:rPr>
              <w:t>0</w:t>
            </w:r>
          </w:p>
        </w:tc>
        <w:tc>
          <w:tcPr>
            <w:tcW w:w="1073" w:type="dxa"/>
            <w:shd w:val="clear" w:color="auto" w:fill="auto"/>
            <w:vAlign w:val="center"/>
            <w:hideMark/>
          </w:tcPr>
          <w:p w14:paraId="58439541"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33C1B8E7" w14:textId="16C9AD9E" w:rsidR="00E65781" w:rsidRPr="00C06CAA" w:rsidRDefault="00E65781" w:rsidP="00E65781">
            <w:pPr>
              <w:jc w:val="center"/>
              <w:rPr>
                <w:sz w:val="22"/>
                <w:szCs w:val="22"/>
                <w:lang w:eastAsia="en-US"/>
              </w:rPr>
            </w:pPr>
            <w:r>
              <w:rPr>
                <w:sz w:val="22"/>
                <w:szCs w:val="22"/>
              </w:rPr>
              <w:t>0</w:t>
            </w:r>
          </w:p>
        </w:tc>
        <w:tc>
          <w:tcPr>
            <w:tcW w:w="940" w:type="dxa"/>
            <w:shd w:val="clear" w:color="auto" w:fill="auto"/>
            <w:vAlign w:val="center"/>
            <w:hideMark/>
          </w:tcPr>
          <w:p w14:paraId="29DF4B0A" w14:textId="4F026395" w:rsidR="00E65781" w:rsidRPr="00C06CAA" w:rsidRDefault="00E65781" w:rsidP="00E65781">
            <w:pPr>
              <w:jc w:val="center"/>
              <w:rPr>
                <w:sz w:val="22"/>
                <w:szCs w:val="22"/>
                <w:lang w:eastAsia="en-US"/>
              </w:rPr>
            </w:pPr>
            <w:r>
              <w:rPr>
                <w:sz w:val="22"/>
                <w:szCs w:val="22"/>
              </w:rPr>
              <w:t>+</w:t>
            </w:r>
            <w:r w:rsidR="00976E3C">
              <w:rPr>
                <w:sz w:val="22"/>
                <w:szCs w:val="22"/>
              </w:rPr>
              <w:t xml:space="preserve"> </w:t>
            </w:r>
            <w:r>
              <w:rPr>
                <w:sz w:val="22"/>
                <w:szCs w:val="22"/>
              </w:rPr>
              <w:t>63 773</w:t>
            </w:r>
          </w:p>
        </w:tc>
        <w:tc>
          <w:tcPr>
            <w:tcW w:w="940" w:type="dxa"/>
            <w:shd w:val="clear" w:color="auto" w:fill="auto"/>
            <w:vAlign w:val="center"/>
            <w:hideMark/>
          </w:tcPr>
          <w:p w14:paraId="764E7F4B" w14:textId="3C073D68" w:rsidR="00E65781" w:rsidRPr="00C06CAA" w:rsidRDefault="00E65781" w:rsidP="00E65781">
            <w:pPr>
              <w:jc w:val="center"/>
              <w:rPr>
                <w:sz w:val="22"/>
                <w:szCs w:val="22"/>
                <w:lang w:eastAsia="en-US"/>
              </w:rPr>
            </w:pPr>
            <w:r>
              <w:rPr>
                <w:sz w:val="22"/>
                <w:szCs w:val="22"/>
              </w:rPr>
              <w:t>0</w:t>
            </w:r>
          </w:p>
        </w:tc>
        <w:tc>
          <w:tcPr>
            <w:tcW w:w="940" w:type="dxa"/>
            <w:shd w:val="clear" w:color="auto" w:fill="auto"/>
            <w:vAlign w:val="center"/>
          </w:tcPr>
          <w:p w14:paraId="3C765715" w14:textId="29B31815" w:rsidR="00E65781" w:rsidRPr="00C06CAA" w:rsidRDefault="00E65781" w:rsidP="00E65781">
            <w:pPr>
              <w:jc w:val="center"/>
              <w:rPr>
                <w:sz w:val="22"/>
                <w:szCs w:val="22"/>
                <w:lang w:eastAsia="en-US"/>
              </w:rPr>
            </w:pPr>
            <w:r>
              <w:rPr>
                <w:sz w:val="22"/>
                <w:szCs w:val="22"/>
              </w:rPr>
              <w:t>+</w:t>
            </w:r>
            <w:r w:rsidR="00976E3C">
              <w:rPr>
                <w:sz w:val="22"/>
                <w:szCs w:val="22"/>
              </w:rPr>
              <w:t xml:space="preserve"> </w:t>
            </w:r>
            <w:r>
              <w:rPr>
                <w:sz w:val="22"/>
                <w:szCs w:val="22"/>
              </w:rPr>
              <w:t>63 773</w:t>
            </w:r>
          </w:p>
        </w:tc>
        <w:tc>
          <w:tcPr>
            <w:tcW w:w="995" w:type="dxa"/>
            <w:shd w:val="clear" w:color="auto" w:fill="auto"/>
            <w:vAlign w:val="center"/>
            <w:hideMark/>
          </w:tcPr>
          <w:p w14:paraId="22F79DC4" w14:textId="56AFA602" w:rsidR="00E65781" w:rsidRPr="00C06CAA" w:rsidRDefault="00E65781" w:rsidP="00E65781">
            <w:pPr>
              <w:jc w:val="center"/>
              <w:rPr>
                <w:sz w:val="22"/>
                <w:szCs w:val="22"/>
                <w:lang w:eastAsia="en-US"/>
              </w:rPr>
            </w:pPr>
            <w:r>
              <w:rPr>
                <w:sz w:val="22"/>
                <w:szCs w:val="22"/>
              </w:rPr>
              <w:t>+</w:t>
            </w:r>
            <w:r w:rsidR="00976E3C">
              <w:rPr>
                <w:sz w:val="22"/>
                <w:szCs w:val="22"/>
              </w:rPr>
              <w:t xml:space="preserve"> </w:t>
            </w:r>
            <w:r>
              <w:rPr>
                <w:sz w:val="22"/>
                <w:szCs w:val="22"/>
              </w:rPr>
              <w:t>63 773</w:t>
            </w:r>
          </w:p>
        </w:tc>
      </w:tr>
      <w:tr w:rsidR="00E65781" w:rsidRPr="0084558D" w14:paraId="46E3BDA3" w14:textId="77777777" w:rsidTr="00F53339">
        <w:tc>
          <w:tcPr>
            <w:tcW w:w="2162" w:type="dxa"/>
            <w:shd w:val="clear" w:color="auto" w:fill="auto"/>
            <w:hideMark/>
          </w:tcPr>
          <w:p w14:paraId="22E9A049" w14:textId="77777777" w:rsidR="00E65781" w:rsidRPr="00C06CAA" w:rsidRDefault="00E65781" w:rsidP="00E65781">
            <w:pPr>
              <w:rPr>
                <w:sz w:val="22"/>
                <w:szCs w:val="22"/>
                <w:lang w:eastAsia="en-US"/>
              </w:rPr>
            </w:pPr>
            <w:r w:rsidRPr="00C06CAA">
              <w:rPr>
                <w:sz w:val="22"/>
                <w:szCs w:val="22"/>
                <w:lang w:eastAsia="en-US"/>
              </w:rPr>
              <w:t>3.1. valsts pamatbudžets</w:t>
            </w:r>
          </w:p>
        </w:tc>
        <w:tc>
          <w:tcPr>
            <w:tcW w:w="1074" w:type="dxa"/>
            <w:shd w:val="clear" w:color="auto" w:fill="auto"/>
            <w:vAlign w:val="center"/>
            <w:hideMark/>
          </w:tcPr>
          <w:p w14:paraId="77B6C8DD" w14:textId="77777777" w:rsidR="00E65781" w:rsidRPr="00C06CAA" w:rsidRDefault="00E65781" w:rsidP="00E65781">
            <w:pPr>
              <w:jc w:val="center"/>
              <w:rPr>
                <w:sz w:val="22"/>
                <w:szCs w:val="22"/>
              </w:rPr>
            </w:pPr>
            <w:r w:rsidRPr="00C06CAA">
              <w:rPr>
                <w:sz w:val="22"/>
                <w:szCs w:val="22"/>
              </w:rPr>
              <w:t>0</w:t>
            </w:r>
          </w:p>
        </w:tc>
        <w:tc>
          <w:tcPr>
            <w:tcW w:w="1073" w:type="dxa"/>
            <w:shd w:val="clear" w:color="auto" w:fill="auto"/>
            <w:vAlign w:val="center"/>
            <w:hideMark/>
          </w:tcPr>
          <w:p w14:paraId="3A44B6E7"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7929960E" w14:textId="172FFCBD" w:rsidR="00E65781" w:rsidRPr="00C06CAA" w:rsidRDefault="00E65781" w:rsidP="00E65781">
            <w:pPr>
              <w:jc w:val="center"/>
              <w:rPr>
                <w:sz w:val="22"/>
                <w:szCs w:val="22"/>
                <w:lang w:eastAsia="en-US"/>
              </w:rPr>
            </w:pPr>
            <w:r>
              <w:rPr>
                <w:sz w:val="22"/>
                <w:szCs w:val="22"/>
              </w:rPr>
              <w:t>0</w:t>
            </w:r>
          </w:p>
        </w:tc>
        <w:tc>
          <w:tcPr>
            <w:tcW w:w="940" w:type="dxa"/>
            <w:shd w:val="clear" w:color="auto" w:fill="auto"/>
            <w:vAlign w:val="center"/>
            <w:hideMark/>
          </w:tcPr>
          <w:p w14:paraId="4B6E84A1" w14:textId="5B9D8BFD" w:rsidR="00677C76" w:rsidRPr="00C06CAA" w:rsidRDefault="00677C76" w:rsidP="00E65781">
            <w:pPr>
              <w:jc w:val="center"/>
              <w:rPr>
                <w:sz w:val="22"/>
                <w:szCs w:val="22"/>
                <w:lang w:eastAsia="en-US"/>
              </w:rPr>
            </w:pPr>
            <w:r>
              <w:rPr>
                <w:sz w:val="22"/>
                <w:szCs w:val="22"/>
                <w:lang w:eastAsia="en-US"/>
              </w:rPr>
              <w:t xml:space="preserve">+ </w:t>
            </w:r>
            <w:r w:rsidRPr="00731D2F">
              <w:rPr>
                <w:sz w:val="22"/>
                <w:szCs w:val="22"/>
                <w:lang w:eastAsia="en-US"/>
              </w:rPr>
              <w:t>43 649</w:t>
            </w:r>
          </w:p>
        </w:tc>
        <w:tc>
          <w:tcPr>
            <w:tcW w:w="940" w:type="dxa"/>
            <w:shd w:val="clear" w:color="auto" w:fill="auto"/>
            <w:vAlign w:val="center"/>
            <w:hideMark/>
          </w:tcPr>
          <w:p w14:paraId="69E303E8" w14:textId="37A422B9" w:rsidR="00E65781" w:rsidRPr="00C06CAA" w:rsidRDefault="00E65781" w:rsidP="00E65781">
            <w:pPr>
              <w:jc w:val="center"/>
              <w:rPr>
                <w:sz w:val="22"/>
                <w:szCs w:val="22"/>
                <w:lang w:eastAsia="en-US"/>
              </w:rPr>
            </w:pPr>
            <w:r>
              <w:rPr>
                <w:sz w:val="22"/>
                <w:szCs w:val="22"/>
              </w:rPr>
              <w:t>0</w:t>
            </w:r>
          </w:p>
        </w:tc>
        <w:tc>
          <w:tcPr>
            <w:tcW w:w="940" w:type="dxa"/>
            <w:shd w:val="clear" w:color="auto" w:fill="auto"/>
            <w:vAlign w:val="center"/>
          </w:tcPr>
          <w:p w14:paraId="4519B8F1" w14:textId="6E5D02AB" w:rsidR="00677C76" w:rsidRPr="00C06CAA" w:rsidRDefault="00677C76" w:rsidP="00246B08">
            <w:pPr>
              <w:jc w:val="center"/>
              <w:rPr>
                <w:sz w:val="22"/>
                <w:szCs w:val="22"/>
                <w:lang w:eastAsia="en-US"/>
              </w:rPr>
            </w:pPr>
            <w:r>
              <w:rPr>
                <w:sz w:val="22"/>
                <w:szCs w:val="22"/>
              </w:rPr>
              <w:t> </w:t>
            </w:r>
            <w:r>
              <w:rPr>
                <w:sz w:val="22"/>
                <w:szCs w:val="22"/>
                <w:lang w:eastAsia="en-US"/>
              </w:rPr>
              <w:t xml:space="preserve">+ </w:t>
            </w:r>
            <w:r w:rsidRPr="00731D2F">
              <w:rPr>
                <w:sz w:val="22"/>
                <w:szCs w:val="22"/>
                <w:lang w:eastAsia="en-US"/>
              </w:rPr>
              <w:t>43 649</w:t>
            </w:r>
          </w:p>
        </w:tc>
        <w:tc>
          <w:tcPr>
            <w:tcW w:w="995" w:type="dxa"/>
            <w:shd w:val="clear" w:color="auto" w:fill="auto"/>
            <w:vAlign w:val="center"/>
            <w:hideMark/>
          </w:tcPr>
          <w:p w14:paraId="06D8D157" w14:textId="627638F3" w:rsidR="00677C76" w:rsidRPr="00C06CAA" w:rsidRDefault="00677C76" w:rsidP="00E65781">
            <w:pPr>
              <w:jc w:val="center"/>
              <w:rPr>
                <w:sz w:val="22"/>
                <w:szCs w:val="22"/>
                <w:lang w:eastAsia="en-US"/>
              </w:rPr>
            </w:pPr>
            <w:r>
              <w:rPr>
                <w:sz w:val="22"/>
                <w:szCs w:val="22"/>
                <w:lang w:eastAsia="en-US"/>
              </w:rPr>
              <w:t xml:space="preserve">+ </w:t>
            </w:r>
            <w:r w:rsidRPr="00731D2F">
              <w:rPr>
                <w:sz w:val="22"/>
                <w:szCs w:val="22"/>
                <w:lang w:eastAsia="en-US"/>
              </w:rPr>
              <w:t>43 649</w:t>
            </w:r>
          </w:p>
        </w:tc>
      </w:tr>
      <w:tr w:rsidR="00E65781" w:rsidRPr="0084558D" w14:paraId="6F9024CA" w14:textId="77777777" w:rsidTr="00F53339">
        <w:tc>
          <w:tcPr>
            <w:tcW w:w="2162" w:type="dxa"/>
            <w:shd w:val="clear" w:color="auto" w:fill="auto"/>
            <w:hideMark/>
          </w:tcPr>
          <w:p w14:paraId="29EEF78C" w14:textId="77777777" w:rsidR="00E65781" w:rsidRPr="00C06CAA" w:rsidRDefault="00E65781" w:rsidP="00E65781">
            <w:pPr>
              <w:rPr>
                <w:sz w:val="22"/>
                <w:szCs w:val="22"/>
                <w:lang w:eastAsia="en-US"/>
              </w:rPr>
            </w:pPr>
            <w:r w:rsidRPr="00C06CAA">
              <w:rPr>
                <w:sz w:val="22"/>
                <w:szCs w:val="22"/>
                <w:lang w:eastAsia="en-US"/>
              </w:rPr>
              <w:t>3.2. speciālais budžets</w:t>
            </w:r>
          </w:p>
        </w:tc>
        <w:tc>
          <w:tcPr>
            <w:tcW w:w="1074" w:type="dxa"/>
            <w:shd w:val="clear" w:color="auto" w:fill="auto"/>
            <w:vAlign w:val="center"/>
            <w:hideMark/>
          </w:tcPr>
          <w:p w14:paraId="4F9B8DD3" w14:textId="77777777" w:rsidR="00E65781" w:rsidRPr="00C06CAA" w:rsidRDefault="00E65781" w:rsidP="00E65781">
            <w:pPr>
              <w:jc w:val="center"/>
              <w:rPr>
                <w:sz w:val="22"/>
                <w:szCs w:val="22"/>
              </w:rPr>
            </w:pPr>
            <w:r w:rsidRPr="00C06CAA">
              <w:rPr>
                <w:sz w:val="22"/>
                <w:szCs w:val="22"/>
              </w:rPr>
              <w:t>0</w:t>
            </w:r>
          </w:p>
        </w:tc>
        <w:tc>
          <w:tcPr>
            <w:tcW w:w="1073" w:type="dxa"/>
            <w:shd w:val="clear" w:color="auto" w:fill="auto"/>
            <w:vAlign w:val="center"/>
            <w:hideMark/>
          </w:tcPr>
          <w:p w14:paraId="1D9CBAEF"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20BC3027" w14:textId="51AB2F1A"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6E900D06" w14:textId="266491B4"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16 770</w:t>
            </w:r>
          </w:p>
        </w:tc>
        <w:tc>
          <w:tcPr>
            <w:tcW w:w="940" w:type="dxa"/>
            <w:shd w:val="clear" w:color="auto" w:fill="auto"/>
            <w:vAlign w:val="center"/>
            <w:hideMark/>
          </w:tcPr>
          <w:p w14:paraId="27509C9D" w14:textId="7F06A7A9"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tcPr>
          <w:p w14:paraId="5A94E935" w14:textId="7CB0D191"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16 770</w:t>
            </w:r>
          </w:p>
        </w:tc>
        <w:tc>
          <w:tcPr>
            <w:tcW w:w="995" w:type="dxa"/>
            <w:shd w:val="clear" w:color="auto" w:fill="auto"/>
            <w:vAlign w:val="center"/>
            <w:hideMark/>
          </w:tcPr>
          <w:p w14:paraId="1DC37C9C" w14:textId="2B808666" w:rsidR="00E65781" w:rsidRPr="00E65781" w:rsidRDefault="00E65781" w:rsidP="00240D8F">
            <w:pPr>
              <w:jc w:val="center"/>
              <w:rPr>
                <w:sz w:val="22"/>
                <w:lang w:eastAsia="en-US"/>
              </w:rPr>
            </w:pPr>
            <w:r w:rsidRPr="00E65781">
              <w:rPr>
                <w:sz w:val="22"/>
                <w:lang w:eastAsia="en-US"/>
              </w:rPr>
              <w:t>+</w:t>
            </w:r>
            <w:r w:rsidR="00976E3C">
              <w:rPr>
                <w:sz w:val="22"/>
                <w:lang w:eastAsia="en-US"/>
              </w:rPr>
              <w:t xml:space="preserve"> </w:t>
            </w:r>
            <w:r w:rsidRPr="00E65781">
              <w:rPr>
                <w:sz w:val="22"/>
              </w:rPr>
              <w:t>16</w:t>
            </w:r>
            <w:r w:rsidRPr="00E65781">
              <w:rPr>
                <w:sz w:val="22"/>
                <w:lang w:eastAsia="en-US"/>
              </w:rPr>
              <w:t xml:space="preserve"> 770</w:t>
            </w:r>
          </w:p>
        </w:tc>
      </w:tr>
      <w:tr w:rsidR="00E65781" w:rsidRPr="0084558D" w14:paraId="5DF7DC72" w14:textId="77777777" w:rsidTr="00F53339">
        <w:tc>
          <w:tcPr>
            <w:tcW w:w="2162" w:type="dxa"/>
            <w:shd w:val="clear" w:color="auto" w:fill="auto"/>
            <w:hideMark/>
          </w:tcPr>
          <w:p w14:paraId="07E05B76" w14:textId="77777777" w:rsidR="00E65781" w:rsidRPr="00C06CAA" w:rsidRDefault="00E65781" w:rsidP="00E65781">
            <w:pPr>
              <w:rPr>
                <w:sz w:val="22"/>
                <w:szCs w:val="22"/>
                <w:lang w:eastAsia="en-US"/>
              </w:rPr>
            </w:pPr>
            <w:r w:rsidRPr="00C06CAA">
              <w:rPr>
                <w:sz w:val="22"/>
                <w:szCs w:val="22"/>
                <w:lang w:eastAsia="en-US"/>
              </w:rPr>
              <w:t>3.3. pašvaldību budžets</w:t>
            </w:r>
          </w:p>
        </w:tc>
        <w:tc>
          <w:tcPr>
            <w:tcW w:w="1074" w:type="dxa"/>
            <w:shd w:val="clear" w:color="auto" w:fill="auto"/>
            <w:vAlign w:val="center"/>
            <w:hideMark/>
          </w:tcPr>
          <w:p w14:paraId="45217DEE" w14:textId="77777777" w:rsidR="00E65781" w:rsidRPr="00C06CAA" w:rsidRDefault="00E65781" w:rsidP="00E65781">
            <w:pPr>
              <w:jc w:val="center"/>
              <w:rPr>
                <w:sz w:val="22"/>
                <w:szCs w:val="22"/>
              </w:rPr>
            </w:pPr>
            <w:r w:rsidRPr="00C06CAA">
              <w:rPr>
                <w:sz w:val="22"/>
                <w:szCs w:val="22"/>
              </w:rPr>
              <w:t>0</w:t>
            </w:r>
          </w:p>
        </w:tc>
        <w:tc>
          <w:tcPr>
            <w:tcW w:w="1073" w:type="dxa"/>
            <w:shd w:val="clear" w:color="auto" w:fill="auto"/>
            <w:vAlign w:val="center"/>
            <w:hideMark/>
          </w:tcPr>
          <w:p w14:paraId="30E8F8EA"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74A20099" w14:textId="794C98B3"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05FDD463" w14:textId="0204B394" w:rsidR="00731D2F" w:rsidRPr="00246B08" w:rsidRDefault="00731D2F" w:rsidP="00246B08">
            <w:pPr>
              <w:jc w:val="center"/>
              <w:rPr>
                <w:sz w:val="22"/>
                <w:szCs w:val="22"/>
                <w:lang w:eastAsia="en-US"/>
              </w:rPr>
            </w:pPr>
            <w:r w:rsidRPr="00246B08">
              <w:rPr>
                <w:sz w:val="22"/>
                <w:szCs w:val="22"/>
                <w:lang w:eastAsia="en-US"/>
              </w:rPr>
              <w:t> + 3 354</w:t>
            </w:r>
          </w:p>
        </w:tc>
        <w:tc>
          <w:tcPr>
            <w:tcW w:w="940" w:type="dxa"/>
            <w:shd w:val="clear" w:color="auto" w:fill="auto"/>
            <w:vAlign w:val="center"/>
            <w:hideMark/>
          </w:tcPr>
          <w:p w14:paraId="75C99588" w14:textId="12A24F1D" w:rsidR="00E65781" w:rsidRPr="00246B08" w:rsidRDefault="00E65781" w:rsidP="00E65781">
            <w:pPr>
              <w:jc w:val="center"/>
              <w:rPr>
                <w:sz w:val="22"/>
                <w:szCs w:val="22"/>
                <w:lang w:eastAsia="en-US"/>
              </w:rPr>
            </w:pPr>
            <w:r w:rsidRPr="00246B08">
              <w:rPr>
                <w:sz w:val="22"/>
                <w:szCs w:val="22"/>
                <w:lang w:eastAsia="en-US"/>
              </w:rPr>
              <w:t>0</w:t>
            </w:r>
          </w:p>
        </w:tc>
        <w:tc>
          <w:tcPr>
            <w:tcW w:w="940" w:type="dxa"/>
            <w:shd w:val="clear" w:color="auto" w:fill="auto"/>
            <w:vAlign w:val="center"/>
          </w:tcPr>
          <w:p w14:paraId="517A6BC1" w14:textId="3C90F6D2" w:rsidR="00731D2F" w:rsidRPr="00246B08" w:rsidRDefault="00731D2F" w:rsidP="00E65781">
            <w:pPr>
              <w:jc w:val="center"/>
              <w:rPr>
                <w:sz w:val="22"/>
                <w:szCs w:val="22"/>
                <w:lang w:eastAsia="en-US"/>
              </w:rPr>
            </w:pPr>
            <w:r w:rsidRPr="00246B08">
              <w:rPr>
                <w:sz w:val="22"/>
                <w:szCs w:val="22"/>
                <w:lang w:eastAsia="en-US"/>
              </w:rPr>
              <w:t>+ 3 354</w:t>
            </w:r>
          </w:p>
        </w:tc>
        <w:tc>
          <w:tcPr>
            <w:tcW w:w="995" w:type="dxa"/>
            <w:shd w:val="clear" w:color="auto" w:fill="auto"/>
            <w:vAlign w:val="center"/>
            <w:hideMark/>
          </w:tcPr>
          <w:p w14:paraId="6084B3F0" w14:textId="3FC00708" w:rsidR="00731D2F" w:rsidRPr="00246B08" w:rsidRDefault="00731D2F" w:rsidP="00246B08">
            <w:pPr>
              <w:jc w:val="center"/>
              <w:rPr>
                <w:sz w:val="22"/>
                <w:szCs w:val="22"/>
                <w:lang w:eastAsia="en-US"/>
              </w:rPr>
            </w:pPr>
            <w:r w:rsidRPr="00246B08">
              <w:rPr>
                <w:sz w:val="22"/>
                <w:szCs w:val="22"/>
                <w:lang w:eastAsia="en-US"/>
              </w:rPr>
              <w:t> + 3 354</w:t>
            </w:r>
          </w:p>
        </w:tc>
      </w:tr>
      <w:tr w:rsidR="00E65781" w:rsidRPr="0084558D" w14:paraId="65DDC6E1" w14:textId="77777777" w:rsidTr="00F53339">
        <w:tc>
          <w:tcPr>
            <w:tcW w:w="2162" w:type="dxa"/>
            <w:shd w:val="clear" w:color="auto" w:fill="auto"/>
            <w:hideMark/>
          </w:tcPr>
          <w:p w14:paraId="08D0EE97" w14:textId="77777777" w:rsidR="00E65781" w:rsidRPr="00C06CAA" w:rsidRDefault="00E65781" w:rsidP="00E65781">
            <w:pPr>
              <w:rPr>
                <w:sz w:val="22"/>
                <w:szCs w:val="22"/>
                <w:lang w:eastAsia="en-US"/>
              </w:rPr>
            </w:pPr>
            <w:r w:rsidRPr="00C06CAA">
              <w:rPr>
                <w:sz w:val="22"/>
                <w:szCs w:val="22"/>
                <w:lang w:eastAsia="en-US"/>
              </w:rPr>
              <w:t>4. Finanšu līdzekļi papildu izdevumu finansēšanai (kompensējošu izdevumu samazinājumu norāda ar "+" zīmi)</w:t>
            </w:r>
          </w:p>
        </w:tc>
        <w:tc>
          <w:tcPr>
            <w:tcW w:w="1074" w:type="dxa"/>
            <w:shd w:val="clear" w:color="auto" w:fill="auto"/>
            <w:vAlign w:val="center"/>
            <w:hideMark/>
          </w:tcPr>
          <w:p w14:paraId="525DBCEB" w14:textId="77777777" w:rsidR="00E65781" w:rsidRPr="00C06CAA" w:rsidRDefault="00E65781" w:rsidP="00E65781">
            <w:pPr>
              <w:jc w:val="center"/>
              <w:rPr>
                <w:sz w:val="22"/>
                <w:szCs w:val="22"/>
              </w:rPr>
            </w:pPr>
            <w:r w:rsidRPr="00C06CAA">
              <w:rPr>
                <w:sz w:val="22"/>
                <w:szCs w:val="22"/>
              </w:rPr>
              <w:t>0</w:t>
            </w:r>
          </w:p>
        </w:tc>
        <w:tc>
          <w:tcPr>
            <w:tcW w:w="1073" w:type="dxa"/>
            <w:shd w:val="clear" w:color="auto" w:fill="auto"/>
            <w:vAlign w:val="center"/>
            <w:hideMark/>
          </w:tcPr>
          <w:p w14:paraId="712567B3" w14:textId="77777777" w:rsidR="00E65781" w:rsidRPr="00C06CAA" w:rsidRDefault="00E65781" w:rsidP="00E65781">
            <w:pPr>
              <w:jc w:val="center"/>
              <w:rPr>
                <w:sz w:val="22"/>
                <w:szCs w:val="22"/>
              </w:rPr>
            </w:pPr>
            <w:r w:rsidRPr="00C06CAA">
              <w:rPr>
                <w:sz w:val="22"/>
                <w:szCs w:val="22"/>
              </w:rPr>
              <w:t>0</w:t>
            </w:r>
          </w:p>
        </w:tc>
        <w:tc>
          <w:tcPr>
            <w:tcW w:w="941" w:type="dxa"/>
            <w:shd w:val="clear" w:color="auto" w:fill="auto"/>
            <w:vAlign w:val="center"/>
            <w:hideMark/>
          </w:tcPr>
          <w:p w14:paraId="4308202F" w14:textId="2A07A3E4" w:rsidR="00E65781" w:rsidRPr="00C06CAA" w:rsidRDefault="00E65781" w:rsidP="00E65781">
            <w:pPr>
              <w:jc w:val="center"/>
              <w:rPr>
                <w:sz w:val="22"/>
                <w:szCs w:val="22"/>
                <w:lang w:eastAsia="en-US"/>
              </w:rPr>
            </w:pPr>
            <w:r>
              <w:rPr>
                <w:sz w:val="22"/>
                <w:szCs w:val="22"/>
                <w:lang w:eastAsia="en-US"/>
              </w:rPr>
              <w:t>X</w:t>
            </w:r>
          </w:p>
        </w:tc>
        <w:tc>
          <w:tcPr>
            <w:tcW w:w="940" w:type="dxa"/>
            <w:shd w:val="clear" w:color="auto" w:fill="auto"/>
            <w:vAlign w:val="center"/>
            <w:hideMark/>
          </w:tcPr>
          <w:p w14:paraId="29C7831E" w14:textId="02271CF3" w:rsidR="00E65781" w:rsidRPr="00C06CAA" w:rsidRDefault="00E65781" w:rsidP="00E65781">
            <w:pPr>
              <w:jc w:val="center"/>
              <w:rPr>
                <w:sz w:val="22"/>
                <w:szCs w:val="22"/>
                <w:lang w:eastAsia="en-US"/>
              </w:rPr>
            </w:pPr>
            <w:r>
              <w:rPr>
                <w:sz w:val="22"/>
                <w:szCs w:val="22"/>
                <w:lang w:eastAsia="en-US"/>
              </w:rPr>
              <w:t>0</w:t>
            </w:r>
          </w:p>
        </w:tc>
        <w:tc>
          <w:tcPr>
            <w:tcW w:w="940" w:type="dxa"/>
            <w:shd w:val="clear" w:color="auto" w:fill="auto"/>
            <w:vAlign w:val="center"/>
            <w:hideMark/>
          </w:tcPr>
          <w:p w14:paraId="65FDD9C8" w14:textId="318E55D1" w:rsidR="00E65781" w:rsidRPr="00C06CAA" w:rsidRDefault="00E65781" w:rsidP="00E65781">
            <w:pPr>
              <w:jc w:val="center"/>
              <w:rPr>
                <w:sz w:val="22"/>
                <w:szCs w:val="22"/>
                <w:lang w:eastAsia="en-US"/>
              </w:rPr>
            </w:pPr>
            <w:r>
              <w:rPr>
                <w:sz w:val="22"/>
                <w:szCs w:val="22"/>
                <w:lang w:eastAsia="en-US"/>
              </w:rPr>
              <w:t>X</w:t>
            </w:r>
          </w:p>
        </w:tc>
        <w:tc>
          <w:tcPr>
            <w:tcW w:w="940" w:type="dxa"/>
            <w:shd w:val="clear" w:color="auto" w:fill="auto"/>
            <w:vAlign w:val="center"/>
          </w:tcPr>
          <w:p w14:paraId="5698BD39" w14:textId="513D86F7" w:rsidR="00E65781" w:rsidRPr="00C06CAA" w:rsidRDefault="00E65781" w:rsidP="00E65781">
            <w:pPr>
              <w:jc w:val="center"/>
              <w:rPr>
                <w:sz w:val="22"/>
                <w:szCs w:val="22"/>
                <w:lang w:eastAsia="en-US"/>
              </w:rPr>
            </w:pPr>
            <w:r>
              <w:rPr>
                <w:sz w:val="22"/>
                <w:szCs w:val="22"/>
                <w:lang w:eastAsia="en-US"/>
              </w:rPr>
              <w:t>0</w:t>
            </w:r>
          </w:p>
        </w:tc>
        <w:tc>
          <w:tcPr>
            <w:tcW w:w="995" w:type="dxa"/>
            <w:shd w:val="clear" w:color="auto" w:fill="auto"/>
            <w:vAlign w:val="center"/>
            <w:hideMark/>
          </w:tcPr>
          <w:p w14:paraId="3CA01F4E" w14:textId="2EBC5AE2" w:rsidR="00E65781" w:rsidRPr="00C06CAA" w:rsidRDefault="00E65781" w:rsidP="00E65781">
            <w:pPr>
              <w:jc w:val="center"/>
              <w:rPr>
                <w:sz w:val="22"/>
                <w:szCs w:val="22"/>
                <w:lang w:eastAsia="en-US"/>
              </w:rPr>
            </w:pPr>
            <w:r>
              <w:rPr>
                <w:sz w:val="22"/>
                <w:szCs w:val="22"/>
                <w:lang w:eastAsia="en-US"/>
              </w:rPr>
              <w:t>0</w:t>
            </w:r>
          </w:p>
        </w:tc>
      </w:tr>
      <w:tr w:rsidR="00E65781" w:rsidRPr="0084558D" w14:paraId="10CE23B8" w14:textId="77777777" w:rsidTr="00F53339">
        <w:tc>
          <w:tcPr>
            <w:tcW w:w="2162" w:type="dxa"/>
            <w:shd w:val="clear" w:color="auto" w:fill="auto"/>
            <w:hideMark/>
          </w:tcPr>
          <w:p w14:paraId="082393E3" w14:textId="77777777" w:rsidR="00E65781" w:rsidRPr="00C06CAA" w:rsidRDefault="00E65781" w:rsidP="00E65781">
            <w:pPr>
              <w:rPr>
                <w:sz w:val="22"/>
                <w:szCs w:val="22"/>
                <w:lang w:eastAsia="en-US"/>
              </w:rPr>
            </w:pPr>
            <w:r w:rsidRPr="00C06CAA">
              <w:rPr>
                <w:sz w:val="22"/>
                <w:szCs w:val="22"/>
                <w:lang w:eastAsia="en-US"/>
              </w:rPr>
              <w:t>5. Precizēta finansiālā ietekme</w:t>
            </w:r>
          </w:p>
        </w:tc>
        <w:tc>
          <w:tcPr>
            <w:tcW w:w="1074" w:type="dxa"/>
            <w:vMerge w:val="restart"/>
            <w:shd w:val="clear" w:color="auto" w:fill="auto"/>
            <w:vAlign w:val="center"/>
            <w:hideMark/>
          </w:tcPr>
          <w:p w14:paraId="57ED1F64" w14:textId="77777777" w:rsidR="00E65781" w:rsidRPr="00C06CAA" w:rsidRDefault="00E65781" w:rsidP="00E65781">
            <w:pPr>
              <w:jc w:val="center"/>
              <w:rPr>
                <w:sz w:val="22"/>
                <w:szCs w:val="22"/>
                <w:lang w:eastAsia="en-US"/>
              </w:rPr>
            </w:pPr>
            <w:r w:rsidRPr="00C06CAA">
              <w:rPr>
                <w:sz w:val="22"/>
                <w:szCs w:val="22"/>
                <w:lang w:eastAsia="en-US"/>
              </w:rPr>
              <w:t>X</w:t>
            </w:r>
          </w:p>
        </w:tc>
        <w:tc>
          <w:tcPr>
            <w:tcW w:w="1073" w:type="dxa"/>
            <w:shd w:val="clear" w:color="auto" w:fill="auto"/>
            <w:vAlign w:val="center"/>
            <w:hideMark/>
          </w:tcPr>
          <w:p w14:paraId="3EDA1472"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vMerge w:val="restart"/>
            <w:shd w:val="clear" w:color="auto" w:fill="auto"/>
            <w:vAlign w:val="center"/>
            <w:hideMark/>
          </w:tcPr>
          <w:p w14:paraId="4F4F4071" w14:textId="77777777" w:rsidR="00E65781" w:rsidRPr="00C06CAA" w:rsidRDefault="00E65781" w:rsidP="00E65781">
            <w:pPr>
              <w:jc w:val="center"/>
              <w:rPr>
                <w:sz w:val="22"/>
                <w:szCs w:val="22"/>
                <w:lang w:eastAsia="en-US"/>
              </w:rPr>
            </w:pPr>
            <w:r w:rsidRPr="00C06CAA">
              <w:rPr>
                <w:sz w:val="22"/>
                <w:szCs w:val="22"/>
                <w:lang w:eastAsia="en-US"/>
              </w:rPr>
              <w:t>X</w:t>
            </w:r>
          </w:p>
        </w:tc>
        <w:tc>
          <w:tcPr>
            <w:tcW w:w="940" w:type="dxa"/>
            <w:shd w:val="clear" w:color="auto" w:fill="auto"/>
            <w:vAlign w:val="center"/>
            <w:hideMark/>
          </w:tcPr>
          <w:p w14:paraId="2E67FF86" w14:textId="41C8F904"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63 773</w:t>
            </w:r>
          </w:p>
        </w:tc>
        <w:tc>
          <w:tcPr>
            <w:tcW w:w="940" w:type="dxa"/>
            <w:vMerge w:val="restart"/>
            <w:shd w:val="clear" w:color="auto" w:fill="auto"/>
            <w:vAlign w:val="center"/>
            <w:hideMark/>
          </w:tcPr>
          <w:p w14:paraId="66C294AA" w14:textId="77777777" w:rsidR="00E65781" w:rsidRPr="00C06CAA" w:rsidRDefault="00E65781" w:rsidP="00E65781">
            <w:pPr>
              <w:jc w:val="center"/>
              <w:rPr>
                <w:sz w:val="22"/>
                <w:szCs w:val="22"/>
                <w:lang w:eastAsia="en-US"/>
              </w:rPr>
            </w:pPr>
            <w:r w:rsidRPr="00C06CAA">
              <w:rPr>
                <w:sz w:val="22"/>
                <w:szCs w:val="22"/>
                <w:lang w:eastAsia="en-US"/>
              </w:rPr>
              <w:t>X</w:t>
            </w:r>
          </w:p>
        </w:tc>
        <w:tc>
          <w:tcPr>
            <w:tcW w:w="940" w:type="dxa"/>
            <w:shd w:val="clear" w:color="auto" w:fill="auto"/>
            <w:vAlign w:val="center"/>
            <w:hideMark/>
          </w:tcPr>
          <w:p w14:paraId="51CE278E" w14:textId="7B365AC3"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63 773</w:t>
            </w:r>
          </w:p>
        </w:tc>
        <w:tc>
          <w:tcPr>
            <w:tcW w:w="995" w:type="dxa"/>
            <w:shd w:val="clear" w:color="auto" w:fill="auto"/>
            <w:vAlign w:val="center"/>
            <w:hideMark/>
          </w:tcPr>
          <w:p w14:paraId="6CD05EB4" w14:textId="6F44E9C4"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63 773</w:t>
            </w:r>
          </w:p>
        </w:tc>
      </w:tr>
      <w:tr w:rsidR="00E65781" w:rsidRPr="0084558D" w14:paraId="5F07D5EA" w14:textId="77777777" w:rsidTr="00F53339">
        <w:tc>
          <w:tcPr>
            <w:tcW w:w="2162" w:type="dxa"/>
            <w:shd w:val="clear" w:color="auto" w:fill="auto"/>
            <w:hideMark/>
          </w:tcPr>
          <w:p w14:paraId="4F3CF4ED" w14:textId="77777777" w:rsidR="00E65781" w:rsidRPr="00C06CAA" w:rsidRDefault="00E65781" w:rsidP="00E65781">
            <w:pPr>
              <w:rPr>
                <w:sz w:val="22"/>
                <w:szCs w:val="22"/>
                <w:lang w:eastAsia="en-US"/>
              </w:rPr>
            </w:pPr>
            <w:r w:rsidRPr="00C06CAA">
              <w:rPr>
                <w:sz w:val="22"/>
                <w:szCs w:val="22"/>
                <w:lang w:eastAsia="en-US"/>
              </w:rPr>
              <w:t>5.1. valsts pamatbudžets</w:t>
            </w:r>
          </w:p>
        </w:tc>
        <w:tc>
          <w:tcPr>
            <w:tcW w:w="1074" w:type="dxa"/>
            <w:vMerge/>
            <w:shd w:val="clear" w:color="auto" w:fill="auto"/>
            <w:vAlign w:val="center"/>
            <w:hideMark/>
          </w:tcPr>
          <w:p w14:paraId="708D12F1" w14:textId="77777777" w:rsidR="00E65781" w:rsidRPr="00C06CAA" w:rsidRDefault="00E65781" w:rsidP="00E65781">
            <w:pPr>
              <w:jc w:val="center"/>
              <w:rPr>
                <w:sz w:val="22"/>
                <w:szCs w:val="22"/>
                <w:lang w:eastAsia="en-US"/>
              </w:rPr>
            </w:pPr>
          </w:p>
        </w:tc>
        <w:tc>
          <w:tcPr>
            <w:tcW w:w="1073" w:type="dxa"/>
            <w:shd w:val="clear" w:color="auto" w:fill="auto"/>
            <w:vAlign w:val="center"/>
            <w:hideMark/>
          </w:tcPr>
          <w:p w14:paraId="6F1CA880" w14:textId="77777777" w:rsidR="00E65781" w:rsidRPr="00C06CAA" w:rsidRDefault="00E65781" w:rsidP="00E65781">
            <w:pPr>
              <w:jc w:val="center"/>
              <w:rPr>
                <w:sz w:val="22"/>
                <w:szCs w:val="22"/>
              </w:rPr>
            </w:pPr>
            <w:r w:rsidRPr="00C06CAA">
              <w:rPr>
                <w:sz w:val="22"/>
                <w:szCs w:val="22"/>
              </w:rPr>
              <w:t>0</w:t>
            </w:r>
          </w:p>
        </w:tc>
        <w:tc>
          <w:tcPr>
            <w:tcW w:w="941" w:type="dxa"/>
            <w:vMerge/>
            <w:shd w:val="clear" w:color="auto" w:fill="auto"/>
            <w:vAlign w:val="center"/>
            <w:hideMark/>
          </w:tcPr>
          <w:p w14:paraId="39792791"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77EFC342" w14:textId="0E88944B" w:rsidR="00E65781" w:rsidRPr="00C06CAA" w:rsidRDefault="00731D2F" w:rsidP="00731D2F">
            <w:pPr>
              <w:jc w:val="center"/>
              <w:rPr>
                <w:sz w:val="22"/>
                <w:szCs w:val="22"/>
                <w:lang w:eastAsia="en-US"/>
              </w:rPr>
            </w:pPr>
            <w:r w:rsidRPr="00731D2F">
              <w:rPr>
                <w:sz w:val="22"/>
                <w:szCs w:val="22"/>
                <w:lang w:eastAsia="en-US"/>
              </w:rPr>
              <w:t xml:space="preserve"> </w:t>
            </w:r>
            <w:r>
              <w:rPr>
                <w:sz w:val="22"/>
                <w:szCs w:val="22"/>
                <w:lang w:eastAsia="en-US"/>
              </w:rPr>
              <w:t xml:space="preserve">+ </w:t>
            </w:r>
            <w:r w:rsidRPr="00731D2F">
              <w:rPr>
                <w:sz w:val="22"/>
                <w:szCs w:val="22"/>
                <w:lang w:eastAsia="en-US"/>
              </w:rPr>
              <w:t xml:space="preserve">43 649   </w:t>
            </w:r>
          </w:p>
        </w:tc>
        <w:tc>
          <w:tcPr>
            <w:tcW w:w="940" w:type="dxa"/>
            <w:vMerge/>
            <w:shd w:val="clear" w:color="auto" w:fill="auto"/>
            <w:vAlign w:val="center"/>
            <w:hideMark/>
          </w:tcPr>
          <w:p w14:paraId="4422B629"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02B30E0D" w14:textId="0675005A" w:rsidR="00731D2F" w:rsidRPr="00C06CAA" w:rsidRDefault="00731D2F" w:rsidP="00246B08">
            <w:pPr>
              <w:jc w:val="center"/>
              <w:rPr>
                <w:sz w:val="22"/>
                <w:szCs w:val="22"/>
                <w:lang w:eastAsia="en-US"/>
              </w:rPr>
            </w:pPr>
            <w:r>
              <w:rPr>
                <w:sz w:val="22"/>
                <w:szCs w:val="22"/>
                <w:lang w:eastAsia="en-US"/>
              </w:rPr>
              <w:t xml:space="preserve"> + </w:t>
            </w:r>
            <w:r w:rsidRPr="00731D2F">
              <w:rPr>
                <w:sz w:val="22"/>
                <w:szCs w:val="22"/>
                <w:lang w:eastAsia="en-US"/>
              </w:rPr>
              <w:t xml:space="preserve">43 649   </w:t>
            </w:r>
          </w:p>
        </w:tc>
        <w:tc>
          <w:tcPr>
            <w:tcW w:w="995" w:type="dxa"/>
            <w:shd w:val="clear" w:color="auto" w:fill="auto"/>
            <w:vAlign w:val="center"/>
            <w:hideMark/>
          </w:tcPr>
          <w:p w14:paraId="2A2EC351" w14:textId="2018E764" w:rsidR="00731D2F" w:rsidRPr="00C06CAA" w:rsidRDefault="00731D2F" w:rsidP="00E65781">
            <w:pPr>
              <w:jc w:val="center"/>
              <w:rPr>
                <w:sz w:val="22"/>
                <w:szCs w:val="22"/>
                <w:lang w:eastAsia="en-US"/>
              </w:rPr>
            </w:pPr>
            <w:r>
              <w:rPr>
                <w:sz w:val="22"/>
                <w:szCs w:val="22"/>
                <w:lang w:eastAsia="en-US"/>
              </w:rPr>
              <w:t xml:space="preserve">+ </w:t>
            </w:r>
            <w:r w:rsidRPr="00731D2F">
              <w:rPr>
                <w:sz w:val="22"/>
                <w:szCs w:val="22"/>
                <w:lang w:eastAsia="en-US"/>
              </w:rPr>
              <w:t xml:space="preserve">43 649   </w:t>
            </w:r>
          </w:p>
        </w:tc>
      </w:tr>
      <w:tr w:rsidR="00E65781" w:rsidRPr="0084558D" w14:paraId="4F83EAC0" w14:textId="77777777" w:rsidTr="00F53339">
        <w:tc>
          <w:tcPr>
            <w:tcW w:w="2162" w:type="dxa"/>
            <w:shd w:val="clear" w:color="auto" w:fill="auto"/>
            <w:hideMark/>
          </w:tcPr>
          <w:p w14:paraId="4AA65A88" w14:textId="77777777" w:rsidR="00E65781" w:rsidRPr="00C06CAA" w:rsidRDefault="00E65781" w:rsidP="00E65781">
            <w:pPr>
              <w:rPr>
                <w:sz w:val="22"/>
                <w:szCs w:val="22"/>
                <w:lang w:eastAsia="en-US"/>
              </w:rPr>
            </w:pPr>
            <w:r w:rsidRPr="00C06CAA">
              <w:rPr>
                <w:sz w:val="22"/>
                <w:szCs w:val="22"/>
                <w:lang w:eastAsia="en-US"/>
              </w:rPr>
              <w:t>5.2. speciālais budžets</w:t>
            </w:r>
          </w:p>
        </w:tc>
        <w:tc>
          <w:tcPr>
            <w:tcW w:w="1074" w:type="dxa"/>
            <w:vMerge/>
            <w:shd w:val="clear" w:color="auto" w:fill="auto"/>
            <w:vAlign w:val="center"/>
            <w:hideMark/>
          </w:tcPr>
          <w:p w14:paraId="6AEBFC27" w14:textId="77777777" w:rsidR="00E65781" w:rsidRPr="00C06CAA" w:rsidRDefault="00E65781" w:rsidP="00E65781">
            <w:pPr>
              <w:jc w:val="center"/>
              <w:rPr>
                <w:sz w:val="22"/>
                <w:szCs w:val="22"/>
                <w:lang w:eastAsia="en-US"/>
              </w:rPr>
            </w:pPr>
          </w:p>
        </w:tc>
        <w:tc>
          <w:tcPr>
            <w:tcW w:w="1073" w:type="dxa"/>
            <w:shd w:val="clear" w:color="auto" w:fill="auto"/>
            <w:vAlign w:val="center"/>
            <w:hideMark/>
          </w:tcPr>
          <w:p w14:paraId="7A3561D2" w14:textId="77777777" w:rsidR="00E65781" w:rsidRPr="00C06CAA" w:rsidRDefault="00E65781" w:rsidP="00E65781">
            <w:pPr>
              <w:jc w:val="center"/>
              <w:rPr>
                <w:sz w:val="22"/>
                <w:szCs w:val="22"/>
              </w:rPr>
            </w:pPr>
            <w:r w:rsidRPr="00C06CAA">
              <w:rPr>
                <w:sz w:val="22"/>
                <w:szCs w:val="22"/>
              </w:rPr>
              <w:t>0</w:t>
            </w:r>
          </w:p>
        </w:tc>
        <w:tc>
          <w:tcPr>
            <w:tcW w:w="941" w:type="dxa"/>
            <w:vMerge/>
            <w:shd w:val="clear" w:color="auto" w:fill="auto"/>
            <w:vAlign w:val="center"/>
            <w:hideMark/>
          </w:tcPr>
          <w:p w14:paraId="6CF6A6A7"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4D644E20" w14:textId="5605EF2F"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16 770</w:t>
            </w:r>
          </w:p>
        </w:tc>
        <w:tc>
          <w:tcPr>
            <w:tcW w:w="940" w:type="dxa"/>
            <w:vMerge/>
            <w:shd w:val="clear" w:color="auto" w:fill="auto"/>
            <w:vAlign w:val="center"/>
            <w:hideMark/>
          </w:tcPr>
          <w:p w14:paraId="1C160C66"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14E678AD" w14:textId="3CB5CB05"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16 770</w:t>
            </w:r>
          </w:p>
        </w:tc>
        <w:tc>
          <w:tcPr>
            <w:tcW w:w="995" w:type="dxa"/>
            <w:shd w:val="clear" w:color="auto" w:fill="auto"/>
            <w:vAlign w:val="center"/>
            <w:hideMark/>
          </w:tcPr>
          <w:p w14:paraId="68B05398" w14:textId="253A5CB4" w:rsidR="00E65781" w:rsidRPr="00C06CAA" w:rsidRDefault="00E65781" w:rsidP="00E65781">
            <w:pPr>
              <w:jc w:val="center"/>
              <w:rPr>
                <w:sz w:val="22"/>
                <w:szCs w:val="22"/>
                <w:lang w:eastAsia="en-US"/>
              </w:rPr>
            </w:pPr>
            <w:r>
              <w:rPr>
                <w:sz w:val="22"/>
                <w:szCs w:val="22"/>
                <w:lang w:eastAsia="en-US"/>
              </w:rPr>
              <w:t>+</w:t>
            </w:r>
            <w:r w:rsidR="00976E3C">
              <w:rPr>
                <w:sz w:val="22"/>
                <w:szCs w:val="22"/>
                <w:lang w:eastAsia="en-US"/>
              </w:rPr>
              <w:t xml:space="preserve"> </w:t>
            </w:r>
            <w:r>
              <w:rPr>
                <w:sz w:val="22"/>
                <w:szCs w:val="22"/>
                <w:lang w:eastAsia="en-US"/>
              </w:rPr>
              <w:t>16 770</w:t>
            </w:r>
          </w:p>
        </w:tc>
      </w:tr>
      <w:tr w:rsidR="00E65781" w:rsidRPr="0084558D" w14:paraId="073E81AD" w14:textId="77777777" w:rsidTr="00F53339">
        <w:tc>
          <w:tcPr>
            <w:tcW w:w="2162" w:type="dxa"/>
            <w:shd w:val="clear" w:color="auto" w:fill="auto"/>
            <w:hideMark/>
          </w:tcPr>
          <w:p w14:paraId="12D19D3F" w14:textId="77777777" w:rsidR="00E65781" w:rsidRPr="00C06CAA" w:rsidRDefault="00E65781" w:rsidP="00E65781">
            <w:pPr>
              <w:rPr>
                <w:sz w:val="22"/>
                <w:szCs w:val="22"/>
                <w:lang w:eastAsia="en-US"/>
              </w:rPr>
            </w:pPr>
            <w:r w:rsidRPr="00C06CAA">
              <w:rPr>
                <w:sz w:val="22"/>
                <w:szCs w:val="22"/>
                <w:lang w:eastAsia="en-US"/>
              </w:rPr>
              <w:t>5.3. pašvaldību budžets</w:t>
            </w:r>
          </w:p>
        </w:tc>
        <w:tc>
          <w:tcPr>
            <w:tcW w:w="1074" w:type="dxa"/>
            <w:vMerge/>
            <w:shd w:val="clear" w:color="auto" w:fill="auto"/>
            <w:vAlign w:val="center"/>
            <w:hideMark/>
          </w:tcPr>
          <w:p w14:paraId="0E8A3708" w14:textId="77777777" w:rsidR="00E65781" w:rsidRPr="00C06CAA" w:rsidRDefault="00E65781" w:rsidP="00E65781">
            <w:pPr>
              <w:jc w:val="center"/>
              <w:rPr>
                <w:sz w:val="22"/>
                <w:szCs w:val="22"/>
                <w:lang w:eastAsia="en-US"/>
              </w:rPr>
            </w:pPr>
          </w:p>
        </w:tc>
        <w:tc>
          <w:tcPr>
            <w:tcW w:w="1073" w:type="dxa"/>
            <w:shd w:val="clear" w:color="auto" w:fill="auto"/>
            <w:vAlign w:val="center"/>
            <w:hideMark/>
          </w:tcPr>
          <w:p w14:paraId="676DE9C6" w14:textId="77777777" w:rsidR="00E65781" w:rsidRPr="00C06CAA" w:rsidRDefault="00E65781" w:rsidP="00E65781">
            <w:pPr>
              <w:jc w:val="center"/>
              <w:rPr>
                <w:sz w:val="22"/>
                <w:szCs w:val="22"/>
                <w:lang w:eastAsia="en-US"/>
              </w:rPr>
            </w:pPr>
            <w:r w:rsidRPr="00C06CAA">
              <w:rPr>
                <w:sz w:val="22"/>
                <w:szCs w:val="22"/>
                <w:lang w:eastAsia="en-US"/>
              </w:rPr>
              <w:t>0</w:t>
            </w:r>
          </w:p>
        </w:tc>
        <w:tc>
          <w:tcPr>
            <w:tcW w:w="941" w:type="dxa"/>
            <w:vMerge/>
            <w:shd w:val="clear" w:color="auto" w:fill="auto"/>
            <w:vAlign w:val="center"/>
            <w:hideMark/>
          </w:tcPr>
          <w:p w14:paraId="7EAE2FC9"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7B6C3092" w14:textId="5A9A49B8" w:rsidR="00731D2F" w:rsidRPr="00C06CAA" w:rsidRDefault="00731D2F" w:rsidP="00E65781">
            <w:pPr>
              <w:jc w:val="center"/>
              <w:rPr>
                <w:sz w:val="22"/>
                <w:szCs w:val="22"/>
                <w:lang w:eastAsia="en-US"/>
              </w:rPr>
            </w:pPr>
            <w:r w:rsidRPr="00246B08">
              <w:rPr>
                <w:sz w:val="22"/>
                <w:szCs w:val="22"/>
                <w:lang w:eastAsia="en-US"/>
              </w:rPr>
              <w:t>+ 3 354</w:t>
            </w:r>
          </w:p>
        </w:tc>
        <w:tc>
          <w:tcPr>
            <w:tcW w:w="940" w:type="dxa"/>
            <w:vMerge/>
            <w:shd w:val="clear" w:color="auto" w:fill="auto"/>
            <w:vAlign w:val="center"/>
            <w:hideMark/>
          </w:tcPr>
          <w:p w14:paraId="0090494E" w14:textId="77777777" w:rsidR="00E65781" w:rsidRPr="00C06CAA" w:rsidRDefault="00E65781" w:rsidP="00E65781">
            <w:pPr>
              <w:jc w:val="center"/>
              <w:rPr>
                <w:sz w:val="22"/>
                <w:szCs w:val="22"/>
                <w:lang w:eastAsia="en-US"/>
              </w:rPr>
            </w:pPr>
          </w:p>
        </w:tc>
        <w:tc>
          <w:tcPr>
            <w:tcW w:w="940" w:type="dxa"/>
            <w:shd w:val="clear" w:color="auto" w:fill="auto"/>
            <w:vAlign w:val="center"/>
            <w:hideMark/>
          </w:tcPr>
          <w:p w14:paraId="3A58D6FB" w14:textId="4A3A9228" w:rsidR="00731D2F" w:rsidRPr="00E77E2F" w:rsidRDefault="00731D2F" w:rsidP="00246B08">
            <w:pPr>
              <w:jc w:val="center"/>
              <w:rPr>
                <w:sz w:val="22"/>
                <w:szCs w:val="22"/>
                <w:lang w:eastAsia="en-US"/>
              </w:rPr>
            </w:pPr>
            <w:r w:rsidRPr="00E77E2F">
              <w:rPr>
                <w:sz w:val="22"/>
                <w:szCs w:val="22"/>
                <w:lang w:eastAsia="en-US"/>
              </w:rPr>
              <w:t> + 3 354</w:t>
            </w:r>
          </w:p>
        </w:tc>
        <w:tc>
          <w:tcPr>
            <w:tcW w:w="995" w:type="dxa"/>
            <w:shd w:val="clear" w:color="auto" w:fill="auto"/>
            <w:vAlign w:val="center"/>
            <w:hideMark/>
          </w:tcPr>
          <w:p w14:paraId="7D3C2403" w14:textId="6205461A" w:rsidR="00731D2F" w:rsidRPr="00E77E2F" w:rsidRDefault="00731D2F" w:rsidP="00E65781">
            <w:pPr>
              <w:jc w:val="center"/>
              <w:rPr>
                <w:sz w:val="22"/>
                <w:szCs w:val="22"/>
                <w:lang w:eastAsia="en-US"/>
              </w:rPr>
            </w:pPr>
            <w:r w:rsidRPr="00E77E2F">
              <w:rPr>
                <w:sz w:val="22"/>
                <w:szCs w:val="22"/>
                <w:lang w:eastAsia="en-US"/>
              </w:rPr>
              <w:t>+ 3 354</w:t>
            </w:r>
          </w:p>
        </w:tc>
      </w:tr>
      <w:tr w:rsidR="00E65781" w:rsidRPr="0084558D" w14:paraId="638DF8DB" w14:textId="77777777" w:rsidTr="00F53339">
        <w:trPr>
          <w:trHeight w:val="2041"/>
        </w:trPr>
        <w:tc>
          <w:tcPr>
            <w:tcW w:w="2162" w:type="dxa"/>
            <w:shd w:val="clear" w:color="auto" w:fill="auto"/>
            <w:hideMark/>
          </w:tcPr>
          <w:p w14:paraId="0401839F" w14:textId="77777777" w:rsidR="00E65781" w:rsidRPr="00C06CAA" w:rsidRDefault="00E65781" w:rsidP="00E65781">
            <w:pPr>
              <w:rPr>
                <w:sz w:val="22"/>
                <w:szCs w:val="22"/>
                <w:lang w:eastAsia="en-US"/>
              </w:rPr>
            </w:pPr>
            <w:r w:rsidRPr="00C06CAA">
              <w:rPr>
                <w:sz w:val="22"/>
                <w:szCs w:val="22"/>
                <w:lang w:eastAsia="en-US"/>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643D3068" w14:textId="29C6ACA8" w:rsidR="00E65781" w:rsidRPr="00466D60" w:rsidRDefault="00E65781" w:rsidP="00E65781">
            <w:pPr>
              <w:jc w:val="both"/>
              <w:rPr>
                <w:sz w:val="22"/>
                <w:lang w:eastAsia="en-US"/>
              </w:rPr>
            </w:pPr>
            <w:r w:rsidRPr="00466D60">
              <w:rPr>
                <w:sz w:val="22"/>
                <w:lang w:eastAsia="en-US"/>
              </w:rPr>
              <w:t xml:space="preserve">Ieņēmumi: papildu ieņēmumu prognoze </w:t>
            </w:r>
            <w:r>
              <w:rPr>
                <w:sz w:val="22"/>
                <w:lang w:eastAsia="en-US"/>
              </w:rPr>
              <w:t xml:space="preserve">2021.-2023.gadam </w:t>
            </w:r>
            <w:r w:rsidRPr="00466D60">
              <w:rPr>
                <w:sz w:val="22"/>
                <w:lang w:eastAsia="en-US"/>
              </w:rPr>
              <w:t xml:space="preserve">balstīta uz pieņēmumu, ka saistībā ar “tematisko ceturkšņu” ieviešanu Čeku loterijā nozarēs ar augstu ēnu ekonomikas īpatsvaru un mājsaimniecību galapatēriņa ietekmi palielināsies reģistrētie saimnieciskās darbības ieņēmumi un attiecīgi arī nodokļu ieņēmumi. Ņemot vērā Covid-19 radītās ekonomiskās krīzes ietekmi nozaru, kuras varētu tikt iekļautas “tematisko ceturkšņu” izlozēs, pienesums valsts budžetā varētu palielināties par 2 </w:t>
            </w:r>
            <w:r>
              <w:rPr>
                <w:sz w:val="22"/>
                <w:lang w:eastAsia="en-US"/>
              </w:rPr>
              <w:t>%</w:t>
            </w:r>
            <w:r w:rsidRPr="00466D60">
              <w:rPr>
                <w:sz w:val="22"/>
                <w:lang w:eastAsia="en-US"/>
              </w:rPr>
              <w:t xml:space="preserve"> jeb 698,79 tūkst. </w:t>
            </w:r>
            <w:proofErr w:type="spellStart"/>
            <w:r w:rsidRPr="00466D60">
              <w:rPr>
                <w:i/>
                <w:sz w:val="22"/>
                <w:lang w:eastAsia="en-US"/>
              </w:rPr>
              <w:t>euro</w:t>
            </w:r>
            <w:proofErr w:type="spellEnd"/>
            <w:r w:rsidRPr="00466D60">
              <w:rPr>
                <w:sz w:val="22"/>
                <w:lang w:eastAsia="en-US"/>
              </w:rPr>
              <w:t xml:space="preserve">, </w:t>
            </w:r>
            <w:r w:rsidR="00626089">
              <w:rPr>
                <w:sz w:val="22"/>
                <w:lang w:eastAsia="en-US"/>
              </w:rPr>
              <w:t xml:space="preserve">t.sk.: </w:t>
            </w:r>
            <w:r w:rsidRPr="00466D60">
              <w:rPr>
                <w:sz w:val="22"/>
                <w:lang w:eastAsia="en-US"/>
              </w:rPr>
              <w:t xml:space="preserve">pievienotās vērtības nodoklis 677,82 tūkst. </w:t>
            </w:r>
            <w:proofErr w:type="spellStart"/>
            <w:r w:rsidRPr="00466D60">
              <w:rPr>
                <w:i/>
                <w:sz w:val="22"/>
                <w:lang w:eastAsia="en-US"/>
              </w:rPr>
              <w:t>euro</w:t>
            </w:r>
            <w:proofErr w:type="spellEnd"/>
            <w:r w:rsidRPr="00466D60">
              <w:rPr>
                <w:sz w:val="22"/>
                <w:lang w:eastAsia="en-US"/>
              </w:rPr>
              <w:t xml:space="preserve">, valsts sociālās apdrošināšanas obligātās iemaksas 16,77 tūkst. </w:t>
            </w:r>
            <w:proofErr w:type="spellStart"/>
            <w:r w:rsidRPr="00466D60">
              <w:rPr>
                <w:i/>
                <w:sz w:val="22"/>
                <w:lang w:eastAsia="en-US"/>
              </w:rPr>
              <w:t>euro</w:t>
            </w:r>
            <w:proofErr w:type="spellEnd"/>
            <w:r w:rsidRPr="00466D60">
              <w:rPr>
                <w:i/>
                <w:sz w:val="22"/>
                <w:lang w:eastAsia="en-US"/>
              </w:rPr>
              <w:t xml:space="preserve"> </w:t>
            </w:r>
            <w:r w:rsidRPr="00466D60">
              <w:rPr>
                <w:sz w:val="22"/>
                <w:lang w:eastAsia="en-US"/>
              </w:rPr>
              <w:t xml:space="preserve">un iedzīvotāju ienākuma nodoklis 4,2 tūkst. </w:t>
            </w:r>
            <w:proofErr w:type="spellStart"/>
            <w:r w:rsidRPr="00466D60">
              <w:rPr>
                <w:i/>
                <w:sz w:val="22"/>
                <w:lang w:eastAsia="en-US"/>
              </w:rPr>
              <w:t>euro</w:t>
            </w:r>
            <w:proofErr w:type="spellEnd"/>
            <w:r w:rsidRPr="00466D60">
              <w:rPr>
                <w:sz w:val="22"/>
                <w:lang w:eastAsia="en-US"/>
              </w:rPr>
              <w:t>.</w:t>
            </w:r>
          </w:p>
          <w:p w14:paraId="78B2563F" w14:textId="2636935A" w:rsidR="00E65781" w:rsidRDefault="00E65781" w:rsidP="00E65781">
            <w:pPr>
              <w:jc w:val="both"/>
              <w:rPr>
                <w:sz w:val="22"/>
                <w:szCs w:val="22"/>
                <w:lang w:eastAsia="en-US"/>
              </w:rPr>
            </w:pPr>
            <w:r w:rsidRPr="00625B41">
              <w:rPr>
                <w:sz w:val="22"/>
                <w:szCs w:val="22"/>
                <w:lang w:eastAsia="en-US"/>
              </w:rPr>
              <w:t xml:space="preserve">2021.gadā un </w:t>
            </w:r>
            <w:r>
              <w:rPr>
                <w:sz w:val="22"/>
                <w:szCs w:val="22"/>
                <w:lang w:eastAsia="en-US"/>
              </w:rPr>
              <w:t xml:space="preserve">turpmāk </w:t>
            </w:r>
            <w:r w:rsidRPr="00625B41">
              <w:rPr>
                <w:sz w:val="22"/>
                <w:szCs w:val="22"/>
                <w:lang w:eastAsia="en-US"/>
              </w:rPr>
              <w:t xml:space="preserve">ik gadu </w:t>
            </w:r>
            <w:r>
              <w:rPr>
                <w:sz w:val="22"/>
                <w:szCs w:val="22"/>
                <w:lang w:eastAsia="en-US"/>
              </w:rPr>
              <w:t>čeku loterijas organizēšanai ir nepieciešami</w:t>
            </w:r>
            <w:r w:rsidRPr="00625B41">
              <w:rPr>
                <w:sz w:val="22"/>
                <w:szCs w:val="22"/>
                <w:lang w:eastAsia="en-US"/>
              </w:rPr>
              <w:t xml:space="preserve"> 635</w:t>
            </w:r>
            <w:r>
              <w:rPr>
                <w:sz w:val="22"/>
                <w:szCs w:val="22"/>
                <w:lang w:eastAsia="en-US"/>
              </w:rPr>
              <w:t xml:space="preserve"> 012 EUR. </w:t>
            </w:r>
          </w:p>
          <w:p w14:paraId="16BF9946" w14:textId="77777777" w:rsidR="00113157" w:rsidRDefault="00113157" w:rsidP="00E65781">
            <w:pPr>
              <w:jc w:val="both"/>
              <w:rPr>
                <w:sz w:val="22"/>
                <w:szCs w:val="22"/>
                <w:lang w:eastAsia="en-US"/>
              </w:rPr>
            </w:pPr>
          </w:p>
          <w:tbl>
            <w:tblPr>
              <w:tblStyle w:val="TableGrid"/>
              <w:tblW w:w="0" w:type="auto"/>
              <w:tblLayout w:type="fixed"/>
              <w:tblLook w:val="04A0" w:firstRow="1" w:lastRow="0" w:firstColumn="1" w:lastColumn="0" w:noHBand="0" w:noVBand="1"/>
            </w:tblPr>
            <w:tblGrid>
              <w:gridCol w:w="2405"/>
              <w:gridCol w:w="1843"/>
              <w:gridCol w:w="2268"/>
            </w:tblGrid>
            <w:tr w:rsidR="00113157" w:rsidRPr="0098018A" w14:paraId="5868DC8A" w14:textId="77777777" w:rsidTr="0025653F">
              <w:tc>
                <w:tcPr>
                  <w:tcW w:w="2405" w:type="dxa"/>
                  <w:shd w:val="clear" w:color="auto" w:fill="auto"/>
                  <w:vAlign w:val="center"/>
                </w:tcPr>
                <w:p w14:paraId="04410E6F" w14:textId="77777777" w:rsidR="00113157" w:rsidRPr="0098018A" w:rsidRDefault="00113157" w:rsidP="00113157">
                  <w:pPr>
                    <w:rPr>
                      <w:b/>
                      <w:sz w:val="20"/>
                      <w:szCs w:val="20"/>
                      <w:lang w:eastAsia="en-US"/>
                    </w:rPr>
                  </w:pPr>
                  <w:r w:rsidRPr="0098018A">
                    <w:rPr>
                      <w:b/>
                      <w:sz w:val="20"/>
                      <w:szCs w:val="20"/>
                      <w:lang w:eastAsia="en-US"/>
                    </w:rPr>
                    <w:t>Aktivitātes</w:t>
                  </w:r>
                </w:p>
              </w:tc>
              <w:tc>
                <w:tcPr>
                  <w:tcW w:w="1843" w:type="dxa"/>
                  <w:shd w:val="clear" w:color="auto" w:fill="auto"/>
                  <w:vAlign w:val="center"/>
                </w:tcPr>
                <w:p w14:paraId="4ED35F36" w14:textId="77777777" w:rsidR="00113157" w:rsidRPr="0098018A" w:rsidRDefault="00113157" w:rsidP="00113157">
                  <w:pPr>
                    <w:jc w:val="center"/>
                    <w:rPr>
                      <w:b/>
                      <w:sz w:val="20"/>
                      <w:szCs w:val="20"/>
                      <w:lang w:eastAsia="en-US"/>
                    </w:rPr>
                  </w:pPr>
                  <w:r w:rsidRPr="0098018A">
                    <w:rPr>
                      <w:b/>
                      <w:sz w:val="20"/>
                      <w:szCs w:val="20"/>
                      <w:lang w:eastAsia="en-US"/>
                    </w:rPr>
                    <w:t>Plānotie izdevumi 2021.gadā un turpmāk</w:t>
                  </w:r>
                </w:p>
                <w:p w14:paraId="1DF87EE0" w14:textId="77777777" w:rsidR="00113157" w:rsidRPr="0098018A" w:rsidRDefault="00113157" w:rsidP="00113157">
                  <w:pPr>
                    <w:jc w:val="center"/>
                    <w:rPr>
                      <w:b/>
                      <w:sz w:val="20"/>
                      <w:szCs w:val="20"/>
                      <w:lang w:eastAsia="en-US"/>
                    </w:rPr>
                  </w:pPr>
                  <w:r w:rsidRPr="0098018A">
                    <w:rPr>
                      <w:b/>
                      <w:sz w:val="20"/>
                      <w:szCs w:val="20"/>
                      <w:lang w:eastAsia="en-US"/>
                    </w:rPr>
                    <w:t>ik gadu, EUR</w:t>
                  </w:r>
                </w:p>
              </w:tc>
              <w:tc>
                <w:tcPr>
                  <w:tcW w:w="2268" w:type="dxa"/>
                  <w:shd w:val="clear" w:color="auto" w:fill="auto"/>
                  <w:vAlign w:val="center"/>
                </w:tcPr>
                <w:p w14:paraId="61280C33" w14:textId="77777777" w:rsidR="00113157" w:rsidRPr="0098018A" w:rsidRDefault="00113157" w:rsidP="00113157">
                  <w:pPr>
                    <w:jc w:val="center"/>
                    <w:rPr>
                      <w:b/>
                      <w:sz w:val="20"/>
                      <w:szCs w:val="20"/>
                      <w:lang w:eastAsia="en-US"/>
                    </w:rPr>
                  </w:pPr>
                  <w:r w:rsidRPr="0098018A">
                    <w:rPr>
                      <w:b/>
                      <w:sz w:val="20"/>
                      <w:szCs w:val="20"/>
                      <w:lang w:eastAsia="en-US"/>
                    </w:rPr>
                    <w:t>Izdevumu aprēķins</w:t>
                  </w:r>
                </w:p>
              </w:tc>
            </w:tr>
            <w:tr w:rsidR="00113157" w:rsidRPr="0098018A" w14:paraId="08C2CD25" w14:textId="77777777" w:rsidTr="0025653F">
              <w:tc>
                <w:tcPr>
                  <w:tcW w:w="2405" w:type="dxa"/>
                  <w:shd w:val="clear" w:color="auto" w:fill="auto"/>
                </w:tcPr>
                <w:p w14:paraId="49E17612" w14:textId="77777777" w:rsidR="00113157" w:rsidRPr="0098018A" w:rsidRDefault="00113157" w:rsidP="00113157">
                  <w:pPr>
                    <w:rPr>
                      <w:b/>
                      <w:sz w:val="20"/>
                      <w:szCs w:val="20"/>
                      <w:lang w:eastAsia="en-US"/>
                    </w:rPr>
                  </w:pPr>
                  <w:r w:rsidRPr="0098018A">
                    <w:rPr>
                      <w:b/>
                      <w:sz w:val="20"/>
                      <w:szCs w:val="20"/>
                      <w:lang w:eastAsia="en-US"/>
                    </w:rPr>
                    <w:t>1. Balvu fonds</w:t>
                  </w:r>
                </w:p>
              </w:tc>
              <w:tc>
                <w:tcPr>
                  <w:tcW w:w="1843" w:type="dxa"/>
                  <w:shd w:val="clear" w:color="auto" w:fill="auto"/>
                </w:tcPr>
                <w:p w14:paraId="697B6581" w14:textId="77777777" w:rsidR="00113157" w:rsidRPr="0098018A" w:rsidRDefault="00113157" w:rsidP="00113157">
                  <w:pPr>
                    <w:jc w:val="center"/>
                    <w:rPr>
                      <w:b/>
                      <w:sz w:val="20"/>
                      <w:szCs w:val="20"/>
                      <w:lang w:eastAsia="en-US"/>
                    </w:rPr>
                  </w:pPr>
                  <w:r w:rsidRPr="0098018A">
                    <w:rPr>
                      <w:b/>
                      <w:sz w:val="20"/>
                      <w:szCs w:val="20"/>
                      <w:lang w:eastAsia="en-US"/>
                    </w:rPr>
                    <w:t>430 000,00</w:t>
                  </w:r>
                </w:p>
              </w:tc>
              <w:tc>
                <w:tcPr>
                  <w:tcW w:w="2268" w:type="dxa"/>
                  <w:shd w:val="clear" w:color="auto" w:fill="auto"/>
                </w:tcPr>
                <w:p w14:paraId="3DF20551" w14:textId="77777777" w:rsidR="00113157" w:rsidRPr="0098018A" w:rsidRDefault="00113157" w:rsidP="00113157">
                  <w:pPr>
                    <w:jc w:val="center"/>
                    <w:rPr>
                      <w:b/>
                      <w:sz w:val="20"/>
                      <w:szCs w:val="20"/>
                      <w:lang w:eastAsia="en-US"/>
                    </w:rPr>
                  </w:pPr>
                </w:p>
              </w:tc>
            </w:tr>
            <w:tr w:rsidR="00113157" w:rsidRPr="0098018A" w14:paraId="39C3509F" w14:textId="77777777" w:rsidTr="0025653F">
              <w:tc>
                <w:tcPr>
                  <w:tcW w:w="2405" w:type="dxa"/>
                  <w:shd w:val="clear" w:color="auto" w:fill="auto"/>
                  <w:vAlign w:val="center"/>
                </w:tcPr>
                <w:p w14:paraId="3444BA51" w14:textId="77777777" w:rsidR="00113157" w:rsidRPr="0098018A" w:rsidRDefault="00113157" w:rsidP="00113157">
                  <w:pPr>
                    <w:rPr>
                      <w:sz w:val="20"/>
                      <w:szCs w:val="20"/>
                      <w:lang w:eastAsia="en-US"/>
                    </w:rPr>
                  </w:pPr>
                  <w:r>
                    <w:rPr>
                      <w:sz w:val="20"/>
                      <w:szCs w:val="20"/>
                      <w:lang w:eastAsia="en-US"/>
                    </w:rPr>
                    <w:t xml:space="preserve">1.1. </w:t>
                  </w:r>
                  <w:r w:rsidRPr="0098018A">
                    <w:rPr>
                      <w:sz w:val="20"/>
                      <w:szCs w:val="20"/>
                      <w:lang w:eastAsia="en-US"/>
                    </w:rPr>
                    <w:t>Mēneša izložu izmaksas</w:t>
                  </w:r>
                </w:p>
              </w:tc>
              <w:tc>
                <w:tcPr>
                  <w:tcW w:w="1843" w:type="dxa"/>
                  <w:shd w:val="clear" w:color="auto" w:fill="auto"/>
                  <w:vAlign w:val="center"/>
                </w:tcPr>
                <w:p w14:paraId="4BAC7FE7" w14:textId="77777777" w:rsidR="00113157" w:rsidRPr="0098018A" w:rsidRDefault="00113157" w:rsidP="00113157">
                  <w:pPr>
                    <w:jc w:val="center"/>
                    <w:rPr>
                      <w:sz w:val="20"/>
                      <w:szCs w:val="20"/>
                      <w:lang w:eastAsia="en-US"/>
                    </w:rPr>
                  </w:pPr>
                  <w:r w:rsidRPr="0098018A">
                    <w:rPr>
                      <w:sz w:val="20"/>
                      <w:szCs w:val="20"/>
                      <w:lang w:eastAsia="en-US"/>
                    </w:rPr>
                    <w:t>360 000,00</w:t>
                  </w:r>
                </w:p>
              </w:tc>
              <w:tc>
                <w:tcPr>
                  <w:tcW w:w="2268" w:type="dxa"/>
                  <w:shd w:val="clear" w:color="auto" w:fill="auto"/>
                  <w:vAlign w:val="center"/>
                </w:tcPr>
                <w:p w14:paraId="33B3AFE3" w14:textId="77777777" w:rsidR="00113157" w:rsidRPr="0098018A" w:rsidRDefault="00113157" w:rsidP="00113157">
                  <w:pPr>
                    <w:rPr>
                      <w:sz w:val="20"/>
                      <w:szCs w:val="20"/>
                      <w:lang w:eastAsia="en-US"/>
                    </w:rPr>
                  </w:pPr>
                  <w:r>
                    <w:rPr>
                      <w:sz w:val="20"/>
                      <w:szCs w:val="20"/>
                      <w:lang w:eastAsia="en-US"/>
                    </w:rPr>
                    <w:t xml:space="preserve">Mēnesī = 30 000 EUR, </w:t>
                  </w:r>
                  <w:r w:rsidRPr="0098018A">
                    <w:rPr>
                      <w:sz w:val="20"/>
                      <w:szCs w:val="20"/>
                      <w:lang w:eastAsia="en-US"/>
                    </w:rPr>
                    <w:t>t.i.</w:t>
                  </w:r>
                  <w:r>
                    <w:rPr>
                      <w:sz w:val="20"/>
                      <w:szCs w:val="20"/>
                      <w:lang w:eastAsia="en-US"/>
                    </w:rPr>
                    <w:t>,</w:t>
                  </w:r>
                </w:p>
                <w:p w14:paraId="0F6F71AF" w14:textId="77777777" w:rsidR="00113157" w:rsidRPr="0098018A" w:rsidRDefault="00113157" w:rsidP="00113157">
                  <w:pPr>
                    <w:jc w:val="center"/>
                    <w:rPr>
                      <w:sz w:val="20"/>
                      <w:szCs w:val="20"/>
                      <w:lang w:eastAsia="en-US"/>
                    </w:rPr>
                  </w:pPr>
                  <w:r w:rsidRPr="0098018A">
                    <w:rPr>
                      <w:sz w:val="20"/>
                      <w:szCs w:val="20"/>
                      <w:lang w:eastAsia="en-US"/>
                    </w:rPr>
                    <w:t>1 balva x 10 000 EUR</w:t>
                  </w:r>
                </w:p>
                <w:p w14:paraId="4168EE5D" w14:textId="77777777" w:rsidR="00113157" w:rsidRPr="0098018A" w:rsidRDefault="00113157" w:rsidP="00113157">
                  <w:pPr>
                    <w:jc w:val="center"/>
                    <w:rPr>
                      <w:sz w:val="20"/>
                      <w:szCs w:val="20"/>
                      <w:lang w:eastAsia="en-US"/>
                    </w:rPr>
                  </w:pPr>
                  <w:r w:rsidRPr="0098018A">
                    <w:rPr>
                      <w:sz w:val="20"/>
                      <w:szCs w:val="20"/>
                      <w:lang w:eastAsia="en-US"/>
                    </w:rPr>
                    <w:t>3 balvas x 5 000 EUR</w:t>
                  </w:r>
                </w:p>
                <w:p w14:paraId="718D2A91" w14:textId="77777777" w:rsidR="00113157" w:rsidRPr="0098018A" w:rsidRDefault="00113157" w:rsidP="00113157">
                  <w:pPr>
                    <w:jc w:val="center"/>
                    <w:rPr>
                      <w:sz w:val="20"/>
                      <w:szCs w:val="20"/>
                      <w:lang w:eastAsia="en-US"/>
                    </w:rPr>
                  </w:pPr>
                  <w:r w:rsidRPr="0098018A">
                    <w:rPr>
                      <w:sz w:val="20"/>
                      <w:szCs w:val="20"/>
                      <w:lang w:eastAsia="en-US"/>
                    </w:rPr>
                    <w:t>3 balvas x 500 EUR</w:t>
                  </w:r>
                </w:p>
                <w:p w14:paraId="4FA6F323" w14:textId="77777777" w:rsidR="00113157" w:rsidRPr="0098018A" w:rsidRDefault="00113157" w:rsidP="00113157">
                  <w:pPr>
                    <w:jc w:val="center"/>
                    <w:rPr>
                      <w:sz w:val="20"/>
                      <w:szCs w:val="20"/>
                      <w:lang w:eastAsia="en-US"/>
                    </w:rPr>
                  </w:pPr>
                  <w:r w:rsidRPr="0098018A">
                    <w:rPr>
                      <w:sz w:val="20"/>
                      <w:szCs w:val="20"/>
                      <w:lang w:eastAsia="en-US"/>
                    </w:rPr>
                    <w:t>35 balvas x 100 EUR</w:t>
                  </w:r>
                </w:p>
                <w:p w14:paraId="52CA664C" w14:textId="77777777" w:rsidR="00113157" w:rsidRPr="0098018A" w:rsidRDefault="00113157" w:rsidP="00113157">
                  <w:pPr>
                    <w:jc w:val="center"/>
                    <w:rPr>
                      <w:sz w:val="20"/>
                      <w:szCs w:val="20"/>
                      <w:lang w:eastAsia="en-US"/>
                    </w:rPr>
                  </w:pPr>
                  <w:r w:rsidRPr="0098018A">
                    <w:rPr>
                      <w:sz w:val="20"/>
                      <w:szCs w:val="20"/>
                      <w:lang w:eastAsia="en-US"/>
                    </w:rPr>
                    <w:t>Gadā = 30 000 EUR x 12</w:t>
                  </w:r>
                </w:p>
              </w:tc>
            </w:tr>
            <w:tr w:rsidR="00113157" w:rsidRPr="0098018A" w14:paraId="0089ACA4" w14:textId="77777777" w:rsidTr="0025653F">
              <w:tc>
                <w:tcPr>
                  <w:tcW w:w="2405" w:type="dxa"/>
                  <w:shd w:val="clear" w:color="auto" w:fill="auto"/>
                  <w:vAlign w:val="center"/>
                </w:tcPr>
                <w:p w14:paraId="14F8A387" w14:textId="77777777" w:rsidR="00113157" w:rsidRPr="0098018A" w:rsidRDefault="00113157" w:rsidP="00113157">
                  <w:pPr>
                    <w:rPr>
                      <w:sz w:val="20"/>
                      <w:szCs w:val="20"/>
                      <w:lang w:eastAsia="en-US"/>
                    </w:rPr>
                  </w:pPr>
                  <w:r>
                    <w:rPr>
                      <w:sz w:val="20"/>
                      <w:szCs w:val="20"/>
                      <w:lang w:eastAsia="en-US"/>
                    </w:rPr>
                    <w:t xml:space="preserve">1.2. </w:t>
                  </w:r>
                  <w:r w:rsidRPr="0098018A">
                    <w:rPr>
                      <w:sz w:val="20"/>
                      <w:szCs w:val="20"/>
                      <w:lang w:eastAsia="en-US"/>
                    </w:rPr>
                    <w:t>Gada izlozes izmaksas</w:t>
                  </w:r>
                </w:p>
              </w:tc>
              <w:tc>
                <w:tcPr>
                  <w:tcW w:w="1843" w:type="dxa"/>
                  <w:shd w:val="clear" w:color="auto" w:fill="auto"/>
                  <w:vAlign w:val="center"/>
                </w:tcPr>
                <w:p w14:paraId="21A63BA0" w14:textId="77777777" w:rsidR="00113157" w:rsidRPr="0098018A" w:rsidRDefault="00113157" w:rsidP="00113157">
                  <w:pPr>
                    <w:jc w:val="center"/>
                    <w:rPr>
                      <w:sz w:val="20"/>
                      <w:szCs w:val="20"/>
                      <w:lang w:eastAsia="en-US"/>
                    </w:rPr>
                  </w:pPr>
                  <w:r w:rsidRPr="0098018A">
                    <w:rPr>
                      <w:sz w:val="20"/>
                      <w:szCs w:val="20"/>
                      <w:lang w:eastAsia="en-US"/>
                    </w:rPr>
                    <w:t>70 000,00</w:t>
                  </w:r>
                </w:p>
              </w:tc>
              <w:tc>
                <w:tcPr>
                  <w:tcW w:w="2268" w:type="dxa"/>
                  <w:shd w:val="clear" w:color="auto" w:fill="auto"/>
                  <w:vAlign w:val="center"/>
                </w:tcPr>
                <w:p w14:paraId="014A2AD7" w14:textId="77777777" w:rsidR="00113157" w:rsidRPr="0098018A" w:rsidRDefault="00113157" w:rsidP="00113157">
                  <w:pPr>
                    <w:jc w:val="center"/>
                    <w:rPr>
                      <w:sz w:val="20"/>
                      <w:szCs w:val="20"/>
                      <w:lang w:eastAsia="en-US"/>
                    </w:rPr>
                  </w:pPr>
                  <w:r w:rsidRPr="0098018A">
                    <w:rPr>
                      <w:sz w:val="20"/>
                      <w:szCs w:val="20"/>
                      <w:lang w:eastAsia="en-US"/>
                    </w:rPr>
                    <w:t>1 balva x 20 000 EUR</w:t>
                  </w:r>
                </w:p>
                <w:p w14:paraId="155A390C" w14:textId="77777777" w:rsidR="00113157" w:rsidRPr="0098018A" w:rsidRDefault="00113157" w:rsidP="00113157">
                  <w:pPr>
                    <w:jc w:val="center"/>
                    <w:rPr>
                      <w:sz w:val="20"/>
                      <w:szCs w:val="20"/>
                      <w:lang w:eastAsia="en-US"/>
                    </w:rPr>
                  </w:pPr>
                  <w:r w:rsidRPr="0098018A">
                    <w:rPr>
                      <w:sz w:val="20"/>
                      <w:szCs w:val="20"/>
                      <w:lang w:eastAsia="en-US"/>
                    </w:rPr>
                    <w:t>4 balvas  x 10 000 EUR</w:t>
                  </w:r>
                </w:p>
                <w:p w14:paraId="414B4B04" w14:textId="77777777" w:rsidR="00113157" w:rsidRPr="0098018A" w:rsidRDefault="00113157" w:rsidP="00113157">
                  <w:pPr>
                    <w:jc w:val="center"/>
                    <w:rPr>
                      <w:sz w:val="20"/>
                      <w:szCs w:val="20"/>
                      <w:lang w:eastAsia="en-US"/>
                    </w:rPr>
                  </w:pPr>
                  <w:r w:rsidRPr="0098018A">
                    <w:rPr>
                      <w:sz w:val="20"/>
                      <w:szCs w:val="20"/>
                      <w:lang w:eastAsia="en-US"/>
                    </w:rPr>
                    <w:t>5 balvas x 2 000 EUR</w:t>
                  </w:r>
                </w:p>
              </w:tc>
            </w:tr>
            <w:tr w:rsidR="00113157" w:rsidRPr="0098018A" w14:paraId="39FD2AAE" w14:textId="77777777" w:rsidTr="0025653F">
              <w:tc>
                <w:tcPr>
                  <w:tcW w:w="2405" w:type="dxa"/>
                  <w:shd w:val="clear" w:color="auto" w:fill="auto"/>
                  <w:vAlign w:val="center"/>
                </w:tcPr>
                <w:p w14:paraId="3CB0B2A5" w14:textId="77777777" w:rsidR="00113157" w:rsidRPr="0098018A" w:rsidRDefault="00113157" w:rsidP="00113157">
                  <w:pPr>
                    <w:rPr>
                      <w:b/>
                      <w:sz w:val="20"/>
                      <w:szCs w:val="20"/>
                      <w:lang w:eastAsia="en-US"/>
                    </w:rPr>
                  </w:pPr>
                  <w:r w:rsidRPr="0098018A">
                    <w:rPr>
                      <w:b/>
                      <w:sz w:val="20"/>
                      <w:szCs w:val="20"/>
                      <w:lang w:eastAsia="en-US"/>
                    </w:rPr>
                    <w:t>2. VID reklāma plašsaziņas līdzekļos</w:t>
                  </w:r>
                </w:p>
              </w:tc>
              <w:tc>
                <w:tcPr>
                  <w:tcW w:w="1843" w:type="dxa"/>
                  <w:shd w:val="clear" w:color="auto" w:fill="auto"/>
                  <w:vAlign w:val="center"/>
                </w:tcPr>
                <w:p w14:paraId="61C23E14" w14:textId="77777777" w:rsidR="00113157" w:rsidRPr="0098018A" w:rsidRDefault="00113157" w:rsidP="00113157">
                  <w:pPr>
                    <w:jc w:val="center"/>
                    <w:rPr>
                      <w:b/>
                      <w:sz w:val="20"/>
                      <w:szCs w:val="20"/>
                      <w:lang w:eastAsia="en-US"/>
                    </w:rPr>
                  </w:pPr>
                  <w:r w:rsidRPr="0098018A">
                    <w:rPr>
                      <w:b/>
                      <w:sz w:val="20"/>
                      <w:szCs w:val="20"/>
                      <w:lang w:eastAsia="en-US"/>
                    </w:rPr>
                    <w:t>100 000,00</w:t>
                  </w:r>
                </w:p>
              </w:tc>
              <w:tc>
                <w:tcPr>
                  <w:tcW w:w="2268" w:type="dxa"/>
                  <w:shd w:val="clear" w:color="auto" w:fill="auto"/>
                  <w:vAlign w:val="center"/>
                </w:tcPr>
                <w:p w14:paraId="73D47E46" w14:textId="30ED443B" w:rsidR="00113157" w:rsidRPr="0098018A" w:rsidRDefault="0014271D" w:rsidP="00FC6F2A">
                  <w:pPr>
                    <w:jc w:val="center"/>
                    <w:rPr>
                      <w:sz w:val="20"/>
                      <w:szCs w:val="20"/>
                      <w:lang w:eastAsia="en-US"/>
                    </w:rPr>
                  </w:pPr>
                  <w:r w:rsidRPr="00626089">
                    <w:rPr>
                      <w:sz w:val="20"/>
                      <w:szCs w:val="22"/>
                      <w:lang w:eastAsia="en-US"/>
                    </w:rPr>
                    <w:t>Finansējuma apmērs plānots atbilstoši iepriekšējo čeku loterijas publicitātes iepirkumu pieredzei un izdevumiem, lai gada ietvaros loterijai varētu nodrošināt dažāda veida publicitāti (reklāma, reprezentācijas materiāli, sabie</w:t>
                  </w:r>
                  <w:r w:rsidR="00FC6F2A" w:rsidRPr="00626089">
                    <w:rPr>
                      <w:sz w:val="20"/>
                      <w:szCs w:val="22"/>
                      <w:lang w:eastAsia="en-US"/>
                    </w:rPr>
                    <w:t>drisko attiecību pasākumi u.c.)</w:t>
                  </w:r>
                </w:p>
              </w:tc>
            </w:tr>
            <w:tr w:rsidR="00113157" w:rsidRPr="0098018A" w14:paraId="3AEF2E7C" w14:textId="77777777" w:rsidTr="0025653F">
              <w:tc>
                <w:tcPr>
                  <w:tcW w:w="2405" w:type="dxa"/>
                  <w:shd w:val="clear" w:color="auto" w:fill="auto"/>
                  <w:vAlign w:val="center"/>
                </w:tcPr>
                <w:p w14:paraId="405B3ABD" w14:textId="77777777" w:rsidR="00113157" w:rsidRPr="0098018A" w:rsidRDefault="00113157" w:rsidP="00113157">
                  <w:pPr>
                    <w:rPr>
                      <w:b/>
                      <w:sz w:val="20"/>
                      <w:szCs w:val="20"/>
                      <w:lang w:eastAsia="en-US"/>
                    </w:rPr>
                  </w:pPr>
                  <w:r w:rsidRPr="0098018A">
                    <w:rPr>
                      <w:b/>
                      <w:sz w:val="20"/>
                      <w:szCs w:val="20"/>
                      <w:lang w:eastAsia="en-US"/>
                    </w:rPr>
                    <w:t>3. Čeku loterijas organizēšanas un īstenošanas pakalpojuma nodrošināšana (SIA"MOBILLY")</w:t>
                  </w:r>
                </w:p>
              </w:tc>
              <w:tc>
                <w:tcPr>
                  <w:tcW w:w="1843" w:type="dxa"/>
                  <w:shd w:val="clear" w:color="auto" w:fill="auto"/>
                  <w:vAlign w:val="center"/>
                </w:tcPr>
                <w:p w14:paraId="06E94339" w14:textId="77777777" w:rsidR="00113157" w:rsidRPr="0098018A" w:rsidRDefault="00113157" w:rsidP="00113157">
                  <w:pPr>
                    <w:jc w:val="center"/>
                    <w:rPr>
                      <w:b/>
                      <w:sz w:val="20"/>
                      <w:szCs w:val="20"/>
                      <w:lang w:eastAsia="en-US"/>
                    </w:rPr>
                  </w:pPr>
                  <w:r w:rsidRPr="0098018A">
                    <w:rPr>
                      <w:b/>
                      <w:sz w:val="20"/>
                      <w:szCs w:val="20"/>
                      <w:lang w:eastAsia="en-US"/>
                    </w:rPr>
                    <w:t>75 000,00</w:t>
                  </w:r>
                </w:p>
              </w:tc>
              <w:tc>
                <w:tcPr>
                  <w:tcW w:w="2268" w:type="dxa"/>
                  <w:shd w:val="clear" w:color="auto" w:fill="auto"/>
                  <w:vAlign w:val="center"/>
                </w:tcPr>
                <w:p w14:paraId="3DC49E06" w14:textId="77777777" w:rsidR="00113157" w:rsidRPr="0098018A" w:rsidRDefault="00113157" w:rsidP="00113157">
                  <w:pPr>
                    <w:jc w:val="center"/>
                    <w:rPr>
                      <w:sz w:val="20"/>
                      <w:szCs w:val="20"/>
                      <w:lang w:eastAsia="en-US"/>
                    </w:rPr>
                  </w:pPr>
                </w:p>
              </w:tc>
            </w:tr>
            <w:tr w:rsidR="00113157" w:rsidRPr="0098018A" w14:paraId="1DFD6C7B" w14:textId="77777777" w:rsidTr="0025653F">
              <w:tc>
                <w:tcPr>
                  <w:tcW w:w="2405" w:type="dxa"/>
                  <w:shd w:val="clear" w:color="auto" w:fill="auto"/>
                  <w:vAlign w:val="center"/>
                </w:tcPr>
                <w:p w14:paraId="04D730E1" w14:textId="77777777" w:rsidR="00113157" w:rsidRPr="0098018A" w:rsidRDefault="00113157" w:rsidP="00113157">
                  <w:pPr>
                    <w:rPr>
                      <w:sz w:val="20"/>
                      <w:szCs w:val="20"/>
                      <w:lang w:eastAsia="en-US"/>
                    </w:rPr>
                  </w:pPr>
                  <w:r>
                    <w:rPr>
                      <w:sz w:val="20"/>
                      <w:szCs w:val="20"/>
                      <w:lang w:eastAsia="en-US"/>
                    </w:rPr>
                    <w:t xml:space="preserve">3.1. </w:t>
                  </w:r>
                  <w:r w:rsidRPr="0098018A">
                    <w:rPr>
                      <w:sz w:val="20"/>
                      <w:szCs w:val="20"/>
                      <w:lang w:eastAsia="en-US"/>
                    </w:rPr>
                    <w:t>Ikmēneša nomas maksa</w:t>
                  </w:r>
                </w:p>
              </w:tc>
              <w:tc>
                <w:tcPr>
                  <w:tcW w:w="1843" w:type="dxa"/>
                  <w:shd w:val="clear" w:color="auto" w:fill="auto"/>
                  <w:vAlign w:val="center"/>
                </w:tcPr>
                <w:p w14:paraId="4E7AD572" w14:textId="77777777" w:rsidR="00113157" w:rsidRPr="0098018A" w:rsidRDefault="00113157" w:rsidP="00113157">
                  <w:pPr>
                    <w:jc w:val="center"/>
                    <w:rPr>
                      <w:sz w:val="20"/>
                      <w:szCs w:val="20"/>
                      <w:lang w:eastAsia="en-US"/>
                    </w:rPr>
                  </w:pPr>
                  <w:r w:rsidRPr="0098018A">
                    <w:rPr>
                      <w:sz w:val="20"/>
                      <w:szCs w:val="20"/>
                      <w:lang w:eastAsia="en-US"/>
                    </w:rPr>
                    <w:t>68 098,80</w:t>
                  </w:r>
                </w:p>
              </w:tc>
              <w:tc>
                <w:tcPr>
                  <w:tcW w:w="2268" w:type="dxa"/>
                  <w:shd w:val="clear" w:color="auto" w:fill="auto"/>
                  <w:vAlign w:val="center"/>
                </w:tcPr>
                <w:p w14:paraId="595B489C" w14:textId="77777777" w:rsidR="00113157" w:rsidRPr="0098018A" w:rsidRDefault="00113157" w:rsidP="00113157">
                  <w:pPr>
                    <w:jc w:val="center"/>
                    <w:rPr>
                      <w:sz w:val="20"/>
                      <w:szCs w:val="20"/>
                      <w:lang w:eastAsia="en-US"/>
                    </w:rPr>
                  </w:pPr>
                  <w:r w:rsidRPr="0098018A">
                    <w:rPr>
                      <w:sz w:val="20"/>
                      <w:szCs w:val="20"/>
                      <w:lang w:eastAsia="en-US"/>
                    </w:rPr>
                    <w:t>5674,9 EUR x 12 mēneši</w:t>
                  </w:r>
                </w:p>
              </w:tc>
            </w:tr>
            <w:tr w:rsidR="00113157" w:rsidRPr="0098018A" w14:paraId="5A4454B9" w14:textId="77777777" w:rsidTr="0025653F">
              <w:tc>
                <w:tcPr>
                  <w:tcW w:w="2405" w:type="dxa"/>
                  <w:shd w:val="clear" w:color="auto" w:fill="auto"/>
                  <w:vAlign w:val="center"/>
                </w:tcPr>
                <w:p w14:paraId="1E375C10" w14:textId="77777777" w:rsidR="00113157" w:rsidRPr="0098018A" w:rsidRDefault="00113157" w:rsidP="00113157">
                  <w:pPr>
                    <w:rPr>
                      <w:sz w:val="20"/>
                      <w:szCs w:val="20"/>
                      <w:lang w:eastAsia="en-US"/>
                    </w:rPr>
                  </w:pPr>
                  <w:r>
                    <w:rPr>
                      <w:sz w:val="20"/>
                      <w:szCs w:val="20"/>
                      <w:lang w:eastAsia="en-US"/>
                    </w:rPr>
                    <w:t xml:space="preserve">3.2. </w:t>
                  </w:r>
                  <w:r w:rsidRPr="0098018A">
                    <w:rPr>
                      <w:sz w:val="20"/>
                      <w:szCs w:val="20"/>
                      <w:lang w:eastAsia="en-US"/>
                    </w:rPr>
                    <w:t>Sistēmas uzlabojumi</w:t>
                  </w:r>
                </w:p>
              </w:tc>
              <w:tc>
                <w:tcPr>
                  <w:tcW w:w="1843" w:type="dxa"/>
                  <w:shd w:val="clear" w:color="auto" w:fill="auto"/>
                  <w:vAlign w:val="center"/>
                </w:tcPr>
                <w:p w14:paraId="4CD3A030" w14:textId="77777777" w:rsidR="00113157" w:rsidRPr="0098018A" w:rsidRDefault="00113157" w:rsidP="00113157">
                  <w:pPr>
                    <w:jc w:val="center"/>
                    <w:rPr>
                      <w:sz w:val="20"/>
                      <w:szCs w:val="20"/>
                      <w:lang w:eastAsia="en-US"/>
                    </w:rPr>
                  </w:pPr>
                  <w:r w:rsidRPr="0098018A">
                    <w:rPr>
                      <w:sz w:val="20"/>
                      <w:szCs w:val="20"/>
                      <w:lang w:eastAsia="en-US"/>
                    </w:rPr>
                    <w:t>6 901,20</w:t>
                  </w:r>
                </w:p>
              </w:tc>
              <w:tc>
                <w:tcPr>
                  <w:tcW w:w="2268" w:type="dxa"/>
                  <w:shd w:val="clear" w:color="auto" w:fill="auto"/>
                  <w:vAlign w:val="center"/>
                </w:tcPr>
                <w:p w14:paraId="6DB52B20" w14:textId="77777777" w:rsidR="00113157" w:rsidRPr="0098018A" w:rsidRDefault="00113157" w:rsidP="00113157">
                  <w:pPr>
                    <w:jc w:val="center"/>
                    <w:rPr>
                      <w:sz w:val="20"/>
                      <w:szCs w:val="20"/>
                      <w:lang w:eastAsia="en-US"/>
                    </w:rPr>
                  </w:pPr>
                </w:p>
              </w:tc>
            </w:tr>
            <w:tr w:rsidR="00113157" w:rsidRPr="0098018A" w14:paraId="5A52A3FF" w14:textId="77777777" w:rsidTr="0025653F">
              <w:tc>
                <w:tcPr>
                  <w:tcW w:w="2405" w:type="dxa"/>
                  <w:shd w:val="clear" w:color="auto" w:fill="auto"/>
                  <w:vAlign w:val="center"/>
                </w:tcPr>
                <w:p w14:paraId="0A731ED8" w14:textId="77777777" w:rsidR="00113157" w:rsidRPr="0098018A" w:rsidRDefault="00113157" w:rsidP="00113157">
                  <w:pPr>
                    <w:rPr>
                      <w:b/>
                      <w:sz w:val="20"/>
                      <w:szCs w:val="20"/>
                      <w:lang w:eastAsia="en-US"/>
                    </w:rPr>
                  </w:pPr>
                  <w:r w:rsidRPr="0098018A">
                    <w:rPr>
                      <w:b/>
                      <w:sz w:val="20"/>
                      <w:szCs w:val="20"/>
                      <w:lang w:eastAsia="en-US"/>
                    </w:rPr>
                    <w:t>4. Izlozes rezultātu pārraide un raidījuma montāža (VAS "LATVIJAS LOTO")</w:t>
                  </w:r>
                </w:p>
              </w:tc>
              <w:tc>
                <w:tcPr>
                  <w:tcW w:w="1843" w:type="dxa"/>
                  <w:shd w:val="clear" w:color="auto" w:fill="auto"/>
                  <w:vAlign w:val="center"/>
                </w:tcPr>
                <w:p w14:paraId="7D72EB94" w14:textId="77777777" w:rsidR="00113157" w:rsidRPr="0098018A" w:rsidRDefault="00113157" w:rsidP="00113157">
                  <w:pPr>
                    <w:jc w:val="center"/>
                    <w:rPr>
                      <w:b/>
                      <w:sz w:val="20"/>
                      <w:szCs w:val="20"/>
                      <w:lang w:eastAsia="en-US"/>
                    </w:rPr>
                  </w:pPr>
                  <w:r w:rsidRPr="0098018A">
                    <w:rPr>
                      <w:b/>
                      <w:sz w:val="20"/>
                      <w:szCs w:val="20"/>
                      <w:lang w:eastAsia="en-US"/>
                    </w:rPr>
                    <w:t>30 000,00</w:t>
                  </w:r>
                </w:p>
              </w:tc>
              <w:tc>
                <w:tcPr>
                  <w:tcW w:w="2268" w:type="dxa"/>
                  <w:shd w:val="clear" w:color="auto" w:fill="auto"/>
                  <w:vAlign w:val="center"/>
                </w:tcPr>
                <w:p w14:paraId="3CC485ED" w14:textId="77777777" w:rsidR="00113157" w:rsidRPr="0098018A" w:rsidRDefault="00113157" w:rsidP="00113157">
                  <w:pPr>
                    <w:jc w:val="center"/>
                    <w:rPr>
                      <w:sz w:val="20"/>
                      <w:szCs w:val="20"/>
                      <w:lang w:eastAsia="en-US"/>
                    </w:rPr>
                  </w:pPr>
                </w:p>
              </w:tc>
            </w:tr>
            <w:tr w:rsidR="00113157" w:rsidRPr="0098018A" w14:paraId="307CDCC3" w14:textId="77777777" w:rsidTr="0025653F">
              <w:tc>
                <w:tcPr>
                  <w:tcW w:w="2405" w:type="dxa"/>
                  <w:shd w:val="clear" w:color="auto" w:fill="auto"/>
                  <w:vAlign w:val="center"/>
                </w:tcPr>
                <w:p w14:paraId="2F6A51BE" w14:textId="77777777" w:rsidR="00113157" w:rsidRPr="0098018A" w:rsidRDefault="00113157" w:rsidP="00113157">
                  <w:pPr>
                    <w:rPr>
                      <w:sz w:val="20"/>
                      <w:szCs w:val="20"/>
                      <w:lang w:eastAsia="en-US"/>
                    </w:rPr>
                  </w:pPr>
                  <w:r>
                    <w:rPr>
                      <w:sz w:val="20"/>
                      <w:szCs w:val="20"/>
                      <w:lang w:eastAsia="en-US"/>
                    </w:rPr>
                    <w:t xml:space="preserve">4.1. </w:t>
                  </w:r>
                  <w:r w:rsidRPr="0098018A">
                    <w:rPr>
                      <w:sz w:val="20"/>
                      <w:szCs w:val="20"/>
                      <w:lang w:eastAsia="en-US"/>
                    </w:rPr>
                    <w:t xml:space="preserve">Ikmēneša izlozes rezultātu publiskošanas producēšanas izmaksas un loterijas rezultātu publiskošanas pašreklāmas izmaksas </w:t>
                  </w:r>
                  <w:proofErr w:type="spellStart"/>
                  <w:r w:rsidRPr="0098018A">
                    <w:rPr>
                      <w:sz w:val="20"/>
                      <w:szCs w:val="20"/>
                      <w:lang w:eastAsia="en-US"/>
                    </w:rPr>
                    <w:t>All</w:t>
                  </w:r>
                  <w:proofErr w:type="spellEnd"/>
                  <w:r w:rsidRPr="0098018A">
                    <w:rPr>
                      <w:sz w:val="20"/>
                      <w:szCs w:val="20"/>
                      <w:lang w:eastAsia="en-US"/>
                    </w:rPr>
                    <w:t xml:space="preserve"> </w:t>
                  </w:r>
                  <w:proofErr w:type="spellStart"/>
                  <w:r w:rsidRPr="0098018A">
                    <w:rPr>
                      <w:sz w:val="20"/>
                      <w:szCs w:val="20"/>
                      <w:lang w:eastAsia="en-US"/>
                    </w:rPr>
                    <w:t>Media</w:t>
                  </w:r>
                  <w:proofErr w:type="spellEnd"/>
                  <w:r w:rsidRPr="0098018A">
                    <w:rPr>
                      <w:sz w:val="20"/>
                      <w:szCs w:val="20"/>
                      <w:lang w:eastAsia="en-US"/>
                    </w:rPr>
                    <w:t xml:space="preserve"> </w:t>
                  </w:r>
                  <w:proofErr w:type="spellStart"/>
                  <w:r w:rsidRPr="0098018A">
                    <w:rPr>
                      <w:sz w:val="20"/>
                      <w:szCs w:val="20"/>
                      <w:lang w:eastAsia="en-US"/>
                    </w:rPr>
                    <w:t>Latvia</w:t>
                  </w:r>
                  <w:proofErr w:type="spellEnd"/>
                </w:p>
              </w:tc>
              <w:tc>
                <w:tcPr>
                  <w:tcW w:w="1843" w:type="dxa"/>
                  <w:shd w:val="clear" w:color="auto" w:fill="auto"/>
                  <w:vAlign w:val="center"/>
                </w:tcPr>
                <w:p w14:paraId="1CCEB347" w14:textId="77777777" w:rsidR="00113157" w:rsidRPr="0098018A" w:rsidRDefault="00113157" w:rsidP="00113157">
                  <w:pPr>
                    <w:jc w:val="center"/>
                    <w:rPr>
                      <w:sz w:val="20"/>
                      <w:szCs w:val="20"/>
                      <w:lang w:eastAsia="en-US"/>
                    </w:rPr>
                  </w:pPr>
                  <w:r w:rsidRPr="0098018A">
                    <w:rPr>
                      <w:sz w:val="20"/>
                      <w:szCs w:val="20"/>
                      <w:lang w:eastAsia="en-US"/>
                    </w:rPr>
                    <w:t>28 488,24</w:t>
                  </w:r>
                </w:p>
              </w:tc>
              <w:tc>
                <w:tcPr>
                  <w:tcW w:w="2268" w:type="dxa"/>
                  <w:shd w:val="clear" w:color="auto" w:fill="auto"/>
                  <w:vAlign w:val="center"/>
                </w:tcPr>
                <w:p w14:paraId="40C068AF" w14:textId="77777777" w:rsidR="00113157" w:rsidRPr="0098018A" w:rsidRDefault="00113157" w:rsidP="00113157">
                  <w:pPr>
                    <w:jc w:val="center"/>
                    <w:rPr>
                      <w:sz w:val="20"/>
                      <w:szCs w:val="20"/>
                      <w:lang w:eastAsia="en-US"/>
                    </w:rPr>
                  </w:pPr>
                  <w:r w:rsidRPr="0098018A">
                    <w:rPr>
                      <w:sz w:val="20"/>
                      <w:szCs w:val="20"/>
                      <w:lang w:eastAsia="en-US"/>
                    </w:rPr>
                    <w:t>2374,02 EUR x 12 mēneši</w:t>
                  </w:r>
                </w:p>
              </w:tc>
            </w:tr>
            <w:tr w:rsidR="00113157" w:rsidRPr="0098018A" w14:paraId="7C1A3AE0" w14:textId="77777777" w:rsidTr="0025653F">
              <w:tc>
                <w:tcPr>
                  <w:tcW w:w="2405" w:type="dxa"/>
                  <w:shd w:val="clear" w:color="auto" w:fill="auto"/>
                  <w:vAlign w:val="center"/>
                </w:tcPr>
                <w:p w14:paraId="412E00DA" w14:textId="77777777" w:rsidR="00113157" w:rsidRPr="0098018A" w:rsidRDefault="00113157" w:rsidP="00113157">
                  <w:pPr>
                    <w:rPr>
                      <w:sz w:val="20"/>
                      <w:szCs w:val="20"/>
                      <w:lang w:eastAsia="en-US"/>
                    </w:rPr>
                  </w:pPr>
                  <w:r>
                    <w:rPr>
                      <w:sz w:val="20"/>
                      <w:szCs w:val="20"/>
                      <w:lang w:eastAsia="en-US"/>
                    </w:rPr>
                    <w:t xml:space="preserve">4.2. </w:t>
                  </w:r>
                  <w:r w:rsidRPr="0098018A">
                    <w:rPr>
                      <w:sz w:val="20"/>
                      <w:szCs w:val="20"/>
                      <w:lang w:eastAsia="en-US"/>
                    </w:rPr>
                    <w:t>Gada izlozes rezultātu producēšanas izdevumi</w:t>
                  </w:r>
                </w:p>
              </w:tc>
              <w:tc>
                <w:tcPr>
                  <w:tcW w:w="1843" w:type="dxa"/>
                  <w:shd w:val="clear" w:color="auto" w:fill="auto"/>
                  <w:vAlign w:val="center"/>
                </w:tcPr>
                <w:p w14:paraId="1CE38723" w14:textId="77777777" w:rsidR="00113157" w:rsidRPr="0098018A" w:rsidRDefault="00113157" w:rsidP="00113157">
                  <w:pPr>
                    <w:jc w:val="center"/>
                    <w:rPr>
                      <w:sz w:val="20"/>
                      <w:szCs w:val="20"/>
                      <w:lang w:eastAsia="en-US"/>
                    </w:rPr>
                  </w:pPr>
                  <w:r w:rsidRPr="0098018A">
                    <w:rPr>
                      <w:sz w:val="20"/>
                      <w:szCs w:val="20"/>
                      <w:lang w:eastAsia="en-US"/>
                    </w:rPr>
                    <w:t>1511,76</w:t>
                  </w:r>
                </w:p>
              </w:tc>
              <w:tc>
                <w:tcPr>
                  <w:tcW w:w="2268" w:type="dxa"/>
                  <w:shd w:val="clear" w:color="auto" w:fill="auto"/>
                  <w:vAlign w:val="center"/>
                </w:tcPr>
                <w:p w14:paraId="5FC3F852" w14:textId="77777777" w:rsidR="00113157" w:rsidRPr="0098018A" w:rsidRDefault="00113157" w:rsidP="00113157">
                  <w:pPr>
                    <w:jc w:val="center"/>
                    <w:rPr>
                      <w:sz w:val="20"/>
                      <w:szCs w:val="20"/>
                      <w:lang w:eastAsia="en-US"/>
                    </w:rPr>
                  </w:pPr>
                </w:p>
              </w:tc>
            </w:tr>
            <w:tr w:rsidR="00113157" w:rsidRPr="0098018A" w14:paraId="1A145A9A" w14:textId="77777777" w:rsidTr="0025653F">
              <w:tc>
                <w:tcPr>
                  <w:tcW w:w="2405" w:type="dxa"/>
                  <w:shd w:val="clear" w:color="auto" w:fill="auto"/>
                  <w:vAlign w:val="center"/>
                </w:tcPr>
                <w:p w14:paraId="1551A275" w14:textId="77777777" w:rsidR="00113157" w:rsidRPr="0098018A" w:rsidRDefault="00113157" w:rsidP="00113157">
                  <w:pPr>
                    <w:rPr>
                      <w:b/>
                      <w:sz w:val="20"/>
                      <w:szCs w:val="20"/>
                      <w:lang w:eastAsia="en-US"/>
                    </w:rPr>
                  </w:pPr>
                  <w:r w:rsidRPr="0098018A">
                    <w:rPr>
                      <w:b/>
                      <w:sz w:val="20"/>
                      <w:szCs w:val="20"/>
                      <w:lang w:eastAsia="en-US"/>
                    </w:rPr>
                    <w:t>5. Domēna vārda cekuloterija.lv uzturēšanas izmaksas NIC</w:t>
                  </w:r>
                </w:p>
              </w:tc>
              <w:tc>
                <w:tcPr>
                  <w:tcW w:w="1843" w:type="dxa"/>
                  <w:shd w:val="clear" w:color="auto" w:fill="auto"/>
                  <w:vAlign w:val="center"/>
                </w:tcPr>
                <w:p w14:paraId="77D21860" w14:textId="77777777" w:rsidR="00113157" w:rsidRPr="0098018A" w:rsidRDefault="00113157" w:rsidP="00113157">
                  <w:pPr>
                    <w:jc w:val="center"/>
                    <w:rPr>
                      <w:b/>
                      <w:sz w:val="20"/>
                      <w:szCs w:val="20"/>
                      <w:lang w:eastAsia="en-US"/>
                    </w:rPr>
                  </w:pPr>
                  <w:r w:rsidRPr="0098018A">
                    <w:rPr>
                      <w:b/>
                      <w:sz w:val="20"/>
                      <w:szCs w:val="20"/>
                      <w:lang w:eastAsia="en-US"/>
                    </w:rPr>
                    <w:t>12,00</w:t>
                  </w:r>
                </w:p>
              </w:tc>
              <w:tc>
                <w:tcPr>
                  <w:tcW w:w="2268" w:type="dxa"/>
                  <w:shd w:val="clear" w:color="auto" w:fill="auto"/>
                  <w:vAlign w:val="center"/>
                </w:tcPr>
                <w:p w14:paraId="51FE0BB7" w14:textId="77777777" w:rsidR="00113157" w:rsidRPr="0098018A" w:rsidRDefault="00113157" w:rsidP="00113157">
                  <w:pPr>
                    <w:jc w:val="center"/>
                    <w:rPr>
                      <w:sz w:val="20"/>
                      <w:szCs w:val="20"/>
                      <w:lang w:eastAsia="en-US"/>
                    </w:rPr>
                  </w:pPr>
                </w:p>
              </w:tc>
            </w:tr>
            <w:tr w:rsidR="00113157" w:rsidRPr="0098018A" w14:paraId="7073D16F" w14:textId="77777777" w:rsidTr="0025653F">
              <w:tc>
                <w:tcPr>
                  <w:tcW w:w="2405" w:type="dxa"/>
                  <w:shd w:val="clear" w:color="auto" w:fill="auto"/>
                  <w:vAlign w:val="center"/>
                </w:tcPr>
                <w:p w14:paraId="19E487BC" w14:textId="77777777" w:rsidR="00113157" w:rsidRPr="0098018A" w:rsidRDefault="00113157" w:rsidP="00113157">
                  <w:pPr>
                    <w:rPr>
                      <w:b/>
                      <w:sz w:val="20"/>
                      <w:szCs w:val="20"/>
                      <w:lang w:eastAsia="en-US"/>
                    </w:rPr>
                  </w:pPr>
                  <w:r w:rsidRPr="0098018A">
                    <w:rPr>
                      <w:b/>
                      <w:sz w:val="20"/>
                      <w:szCs w:val="20"/>
                      <w:lang w:eastAsia="en-US"/>
                    </w:rPr>
                    <w:t>KOPĀ</w:t>
                  </w:r>
                </w:p>
              </w:tc>
              <w:tc>
                <w:tcPr>
                  <w:tcW w:w="1843" w:type="dxa"/>
                  <w:shd w:val="clear" w:color="auto" w:fill="auto"/>
                  <w:vAlign w:val="center"/>
                </w:tcPr>
                <w:p w14:paraId="6F37FD34" w14:textId="77777777" w:rsidR="00113157" w:rsidRPr="0098018A" w:rsidRDefault="00113157" w:rsidP="00113157">
                  <w:pPr>
                    <w:jc w:val="center"/>
                    <w:rPr>
                      <w:b/>
                      <w:sz w:val="20"/>
                      <w:szCs w:val="20"/>
                      <w:lang w:eastAsia="en-US"/>
                    </w:rPr>
                  </w:pPr>
                  <w:r w:rsidRPr="0098018A">
                    <w:rPr>
                      <w:b/>
                      <w:sz w:val="20"/>
                      <w:szCs w:val="20"/>
                      <w:lang w:eastAsia="en-US"/>
                    </w:rPr>
                    <w:t>635 012,00</w:t>
                  </w:r>
                </w:p>
              </w:tc>
              <w:tc>
                <w:tcPr>
                  <w:tcW w:w="2268" w:type="dxa"/>
                  <w:shd w:val="clear" w:color="auto" w:fill="auto"/>
                  <w:vAlign w:val="center"/>
                </w:tcPr>
                <w:p w14:paraId="51F99FC9" w14:textId="77777777" w:rsidR="00113157" w:rsidRPr="0098018A" w:rsidRDefault="00113157" w:rsidP="00113157">
                  <w:pPr>
                    <w:jc w:val="center"/>
                    <w:rPr>
                      <w:sz w:val="20"/>
                      <w:szCs w:val="20"/>
                      <w:lang w:eastAsia="en-US"/>
                    </w:rPr>
                  </w:pPr>
                </w:p>
              </w:tc>
            </w:tr>
          </w:tbl>
          <w:p w14:paraId="49231FF6" w14:textId="1D34735D" w:rsidR="00E65781" w:rsidRPr="006173A1" w:rsidRDefault="00E65781" w:rsidP="0014271D">
            <w:pPr>
              <w:jc w:val="both"/>
              <w:rPr>
                <w:sz w:val="22"/>
                <w:szCs w:val="22"/>
                <w:lang w:eastAsia="en-US"/>
              </w:rPr>
            </w:pPr>
          </w:p>
        </w:tc>
      </w:tr>
      <w:tr w:rsidR="00E65781" w:rsidRPr="0084558D" w14:paraId="2DBDE2FD" w14:textId="77777777" w:rsidTr="00F53339">
        <w:tc>
          <w:tcPr>
            <w:tcW w:w="2162" w:type="dxa"/>
            <w:shd w:val="clear" w:color="auto" w:fill="auto"/>
            <w:hideMark/>
          </w:tcPr>
          <w:p w14:paraId="5890D741" w14:textId="77777777" w:rsidR="00E65781" w:rsidRPr="00C06CAA" w:rsidRDefault="00E65781" w:rsidP="00E65781">
            <w:pPr>
              <w:rPr>
                <w:sz w:val="22"/>
                <w:szCs w:val="22"/>
                <w:lang w:eastAsia="en-US"/>
              </w:rPr>
            </w:pPr>
            <w:r w:rsidRPr="00C06CAA">
              <w:rPr>
                <w:sz w:val="22"/>
                <w:szCs w:val="22"/>
                <w:lang w:eastAsia="en-US"/>
              </w:rPr>
              <w:t>6.1. detalizēts ieņēmumu aprēķins</w:t>
            </w:r>
          </w:p>
        </w:tc>
        <w:tc>
          <w:tcPr>
            <w:tcW w:w="6903" w:type="dxa"/>
            <w:gridSpan w:val="7"/>
            <w:vMerge/>
            <w:shd w:val="clear" w:color="auto" w:fill="auto"/>
            <w:vAlign w:val="center"/>
            <w:hideMark/>
          </w:tcPr>
          <w:p w14:paraId="479EAF74" w14:textId="77777777" w:rsidR="00E65781" w:rsidRPr="00C06CAA" w:rsidRDefault="00E65781" w:rsidP="00E65781">
            <w:pPr>
              <w:jc w:val="center"/>
              <w:rPr>
                <w:sz w:val="22"/>
                <w:szCs w:val="22"/>
                <w:lang w:eastAsia="en-US"/>
              </w:rPr>
            </w:pPr>
          </w:p>
        </w:tc>
      </w:tr>
      <w:tr w:rsidR="00E65781" w:rsidRPr="0084558D" w14:paraId="520F04A4" w14:textId="77777777" w:rsidTr="00F53339">
        <w:tc>
          <w:tcPr>
            <w:tcW w:w="2162" w:type="dxa"/>
            <w:shd w:val="clear" w:color="auto" w:fill="auto"/>
            <w:hideMark/>
          </w:tcPr>
          <w:p w14:paraId="68B9C253" w14:textId="77777777" w:rsidR="00E65781" w:rsidRPr="00C06CAA" w:rsidRDefault="00E65781" w:rsidP="00E65781">
            <w:pPr>
              <w:rPr>
                <w:sz w:val="22"/>
                <w:szCs w:val="22"/>
                <w:lang w:eastAsia="en-US"/>
              </w:rPr>
            </w:pPr>
            <w:r w:rsidRPr="00C06CAA">
              <w:rPr>
                <w:sz w:val="22"/>
                <w:szCs w:val="22"/>
                <w:lang w:eastAsia="en-US"/>
              </w:rPr>
              <w:t>6.2. detalizēts izdevumu aprēķins</w:t>
            </w:r>
          </w:p>
        </w:tc>
        <w:tc>
          <w:tcPr>
            <w:tcW w:w="6903" w:type="dxa"/>
            <w:gridSpan w:val="7"/>
            <w:vMerge/>
            <w:shd w:val="clear" w:color="auto" w:fill="auto"/>
            <w:vAlign w:val="center"/>
            <w:hideMark/>
          </w:tcPr>
          <w:p w14:paraId="3960CFC1" w14:textId="77777777" w:rsidR="00E65781" w:rsidRPr="00C06CAA" w:rsidRDefault="00E65781" w:rsidP="00E65781">
            <w:pPr>
              <w:jc w:val="center"/>
              <w:rPr>
                <w:sz w:val="22"/>
                <w:szCs w:val="22"/>
                <w:lang w:eastAsia="en-US"/>
              </w:rPr>
            </w:pPr>
          </w:p>
        </w:tc>
      </w:tr>
      <w:tr w:rsidR="00E65781" w:rsidRPr="0084558D" w14:paraId="469397FF" w14:textId="77777777" w:rsidTr="00F53339">
        <w:tc>
          <w:tcPr>
            <w:tcW w:w="2162" w:type="dxa"/>
            <w:shd w:val="clear" w:color="auto" w:fill="auto"/>
            <w:hideMark/>
          </w:tcPr>
          <w:p w14:paraId="2531E624" w14:textId="77777777" w:rsidR="00E65781" w:rsidRPr="00C06CAA" w:rsidRDefault="00E65781" w:rsidP="00E65781">
            <w:pPr>
              <w:rPr>
                <w:sz w:val="22"/>
                <w:szCs w:val="22"/>
                <w:lang w:eastAsia="en-US"/>
              </w:rPr>
            </w:pPr>
            <w:r w:rsidRPr="00C06CAA">
              <w:rPr>
                <w:sz w:val="22"/>
                <w:szCs w:val="22"/>
                <w:lang w:eastAsia="en-US"/>
              </w:rPr>
              <w:t>7. Amata vietu skaita izmaiņas</w:t>
            </w:r>
          </w:p>
        </w:tc>
        <w:tc>
          <w:tcPr>
            <w:tcW w:w="6903" w:type="dxa"/>
            <w:gridSpan w:val="7"/>
            <w:shd w:val="clear" w:color="auto" w:fill="auto"/>
            <w:hideMark/>
          </w:tcPr>
          <w:p w14:paraId="0656AF66" w14:textId="77777777" w:rsidR="00E65781" w:rsidRPr="00C06CAA" w:rsidRDefault="00E65781" w:rsidP="00E65781">
            <w:pPr>
              <w:rPr>
                <w:sz w:val="22"/>
                <w:szCs w:val="22"/>
                <w:lang w:eastAsia="en-US"/>
              </w:rPr>
            </w:pPr>
            <w:r>
              <w:t>Projekts šo jomu neskar.</w:t>
            </w:r>
          </w:p>
        </w:tc>
      </w:tr>
      <w:tr w:rsidR="00E65781" w:rsidRPr="0084558D" w14:paraId="20F8B02C" w14:textId="77777777" w:rsidTr="00F53339">
        <w:tc>
          <w:tcPr>
            <w:tcW w:w="2162" w:type="dxa"/>
            <w:shd w:val="clear" w:color="auto" w:fill="auto"/>
            <w:hideMark/>
          </w:tcPr>
          <w:p w14:paraId="273AF777" w14:textId="77777777" w:rsidR="00E65781" w:rsidRPr="00C06CAA" w:rsidRDefault="00E65781" w:rsidP="00E65781">
            <w:pPr>
              <w:rPr>
                <w:sz w:val="22"/>
                <w:szCs w:val="22"/>
                <w:lang w:eastAsia="en-US"/>
              </w:rPr>
            </w:pPr>
            <w:r w:rsidRPr="00C06CAA">
              <w:rPr>
                <w:sz w:val="22"/>
                <w:szCs w:val="22"/>
                <w:lang w:eastAsia="en-US"/>
              </w:rPr>
              <w:t>8. Cita informācija</w:t>
            </w:r>
          </w:p>
        </w:tc>
        <w:tc>
          <w:tcPr>
            <w:tcW w:w="6903" w:type="dxa"/>
            <w:gridSpan w:val="7"/>
            <w:shd w:val="clear" w:color="auto" w:fill="auto"/>
            <w:hideMark/>
          </w:tcPr>
          <w:p w14:paraId="273281B2" w14:textId="77777777" w:rsidR="00E65781" w:rsidRDefault="00401053" w:rsidP="00401053">
            <w:pPr>
              <w:jc w:val="both"/>
              <w:rPr>
                <w:szCs w:val="22"/>
                <w:lang w:eastAsia="en-US"/>
              </w:rPr>
            </w:pPr>
            <w:r>
              <w:rPr>
                <w:szCs w:val="22"/>
                <w:lang w:eastAsia="en-US"/>
              </w:rPr>
              <w:t>Finansējums 2021.gadā tehnisko izmaiņu</w:t>
            </w:r>
            <w:r w:rsidRPr="00401053">
              <w:rPr>
                <w:szCs w:val="22"/>
                <w:lang w:eastAsia="en-US"/>
              </w:rPr>
              <w:t xml:space="preserve"> gadījuma skaitļu ģeneratorā</w:t>
            </w:r>
            <w:r>
              <w:rPr>
                <w:szCs w:val="22"/>
                <w:lang w:eastAsia="en-US"/>
              </w:rPr>
              <w:t xml:space="preserve"> ieviešanai</w:t>
            </w:r>
            <w:r w:rsidRPr="00401053">
              <w:rPr>
                <w:szCs w:val="22"/>
                <w:lang w:eastAsia="en-US"/>
              </w:rPr>
              <w:t xml:space="preserve"> tiks nodrošināts Finanšu ministrijas budžeta programmā 33.00.00 “Valsts ieņēmumu un muitas politikas nodrošināšana” piešķirto līdzekļu ietvaros</w:t>
            </w:r>
            <w:r>
              <w:rPr>
                <w:szCs w:val="22"/>
                <w:lang w:eastAsia="en-US"/>
              </w:rPr>
              <w:t>.</w:t>
            </w:r>
          </w:p>
          <w:p w14:paraId="1C34644D" w14:textId="737B0037" w:rsidR="0014271D" w:rsidRPr="00C06CAA" w:rsidRDefault="0014271D" w:rsidP="006137A0">
            <w:pPr>
              <w:jc w:val="both"/>
              <w:rPr>
                <w:sz w:val="22"/>
                <w:szCs w:val="22"/>
                <w:lang w:eastAsia="en-US"/>
              </w:rPr>
            </w:pPr>
            <w:r w:rsidRPr="00626089">
              <w:rPr>
                <w:color w:val="000000" w:themeColor="text1"/>
              </w:rPr>
              <w:t>2021.gada valsts bu</w:t>
            </w:r>
            <w:r w:rsidR="00FC6F2A" w:rsidRPr="00626089">
              <w:rPr>
                <w:color w:val="000000" w:themeColor="text1"/>
              </w:rPr>
              <w:t xml:space="preserve">džeta sagatavošanas procesā </w:t>
            </w:r>
            <w:r w:rsidRPr="00626089">
              <w:rPr>
                <w:color w:val="000000" w:themeColor="text1"/>
              </w:rPr>
              <w:t>palielināta nodokļu ieņēmumu prognoze 2021., 2022. un 2023. gadā par 698 785 EUR (tai skaitā ieņēmumus no pievienotās vērtības nodokļa par 677 822 EUR, valsts sociālās apdrošināšanas obligātās iemaksas par 16 770 EUR un ieņēmumus no iedzīvotāju ienākuma nodokļa par</w:t>
            </w:r>
            <w:r w:rsidR="00FC6F2A" w:rsidRPr="00626089">
              <w:rPr>
                <w:color w:val="000000" w:themeColor="text1"/>
              </w:rPr>
              <w:t xml:space="preserve"> 4 193 EUR) ik gadu un</w:t>
            </w:r>
            <w:r w:rsidRPr="00626089">
              <w:rPr>
                <w:color w:val="000000" w:themeColor="text1"/>
              </w:rPr>
              <w:t xml:space="preserve"> palielināta dotācija no vis</w:t>
            </w:r>
            <w:r w:rsidR="00FC6F2A" w:rsidRPr="00626089">
              <w:rPr>
                <w:color w:val="000000" w:themeColor="text1"/>
              </w:rPr>
              <w:t xml:space="preserve">pārējiem ieņēmumiem un izdevumi 635 012 </w:t>
            </w:r>
            <w:r w:rsidR="006137A0" w:rsidRPr="006137A0">
              <w:rPr>
                <w:color w:val="000000" w:themeColor="text1"/>
              </w:rPr>
              <w:t>EUR</w:t>
            </w:r>
            <w:r w:rsidR="00FC6F2A" w:rsidRPr="00626089">
              <w:rPr>
                <w:color w:val="000000" w:themeColor="text1"/>
              </w:rPr>
              <w:t xml:space="preserve"> apmērā ik gadu Finanšu ministrijas</w:t>
            </w:r>
            <w:r w:rsidRPr="00626089">
              <w:rPr>
                <w:color w:val="000000" w:themeColor="text1"/>
              </w:rPr>
              <w:t xml:space="preserve"> budžeta programmā 33.00.00 “Valsts ieņēmumu un muitas politikas nodrošināšana”, lai nodrošinātu čeku loterijas organizēšanas un izmaksājamo balvu izdevumu segšanu</w:t>
            </w:r>
            <w:r w:rsidR="00626089" w:rsidRPr="00626089">
              <w:rPr>
                <w:color w:val="000000" w:themeColor="text1"/>
              </w:rPr>
              <w:t>.</w:t>
            </w:r>
          </w:p>
        </w:tc>
      </w:tr>
    </w:tbl>
    <w:p w14:paraId="7F8B456C" w14:textId="77777777" w:rsidR="00C06CAA" w:rsidRDefault="00C06CAA"/>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0"/>
        <w:gridCol w:w="2666"/>
        <w:gridCol w:w="5829"/>
      </w:tblGrid>
      <w:tr w:rsidR="00FE00CC" w:rsidRPr="0084558D" w14:paraId="3AAB5E0E" w14:textId="77777777" w:rsidTr="00FE00CC">
        <w:trPr>
          <w:cantSplit/>
        </w:trPr>
        <w:tc>
          <w:tcPr>
            <w:tcW w:w="9065" w:type="dxa"/>
            <w:gridSpan w:val="3"/>
            <w:vAlign w:val="center"/>
            <w:hideMark/>
          </w:tcPr>
          <w:p w14:paraId="1CF33E57" w14:textId="77777777" w:rsidR="00FE00CC" w:rsidRPr="0084558D" w:rsidRDefault="00FE00CC" w:rsidP="00FE00CC">
            <w:pPr>
              <w:jc w:val="center"/>
              <w:rPr>
                <w:b/>
                <w:bCs/>
              </w:rPr>
            </w:pPr>
            <w:r w:rsidRPr="0084558D">
              <w:rPr>
                <w:b/>
                <w:bCs/>
              </w:rPr>
              <w:t>IV. Tiesību akta projekta ietekme uz spēkā esošo tiesību normu sistēmu</w:t>
            </w:r>
          </w:p>
        </w:tc>
      </w:tr>
      <w:tr w:rsidR="00FE00CC" w:rsidRPr="0084558D" w14:paraId="257262AF" w14:textId="77777777" w:rsidTr="00FE00CC">
        <w:trPr>
          <w:cantSplit/>
        </w:trPr>
        <w:tc>
          <w:tcPr>
            <w:tcW w:w="570" w:type="dxa"/>
            <w:hideMark/>
          </w:tcPr>
          <w:p w14:paraId="5B441FBE" w14:textId="77777777" w:rsidR="00FE00CC" w:rsidRPr="0084558D" w:rsidRDefault="00FE00CC" w:rsidP="00FE00CC">
            <w:pPr>
              <w:jc w:val="center"/>
            </w:pPr>
            <w:r w:rsidRPr="0084558D">
              <w:t>1.</w:t>
            </w:r>
          </w:p>
        </w:tc>
        <w:tc>
          <w:tcPr>
            <w:tcW w:w="2666" w:type="dxa"/>
            <w:hideMark/>
          </w:tcPr>
          <w:p w14:paraId="5F82A200" w14:textId="77777777" w:rsidR="00FE00CC" w:rsidRPr="0084558D" w:rsidRDefault="00FE00CC" w:rsidP="00FE00CC">
            <w:r w:rsidRPr="0084558D">
              <w:t>Saistītie tiesību aktu projekti</w:t>
            </w:r>
          </w:p>
        </w:tc>
        <w:tc>
          <w:tcPr>
            <w:tcW w:w="5829" w:type="dxa"/>
            <w:hideMark/>
          </w:tcPr>
          <w:p w14:paraId="318DBC02" w14:textId="53498272" w:rsidR="00FE00CC" w:rsidRPr="0084558D" w:rsidRDefault="0039621D" w:rsidP="00626089">
            <w:pPr>
              <w:jc w:val="both"/>
            </w:pPr>
            <w:r>
              <w:t xml:space="preserve">Likumprojekts izskatāms vienotā paketē ar Finanšu ministrijas likumprojektu </w:t>
            </w:r>
            <w:r w:rsidR="00626089">
              <w:t>“</w:t>
            </w:r>
            <w:r w:rsidRPr="00370139">
              <w:t xml:space="preserve">Par vidēja termiņa budžeta ietvaru 2021., 2022. </w:t>
            </w:r>
            <w:r>
              <w:t>un 2023. gadam</w:t>
            </w:r>
            <w:r w:rsidR="00626089">
              <w:t>”</w:t>
            </w:r>
            <w:r>
              <w:t xml:space="preserve"> un likumprojektu </w:t>
            </w:r>
            <w:r w:rsidR="00626089">
              <w:t>“</w:t>
            </w:r>
            <w:r>
              <w:t>Par valsts budžetu 2021.</w:t>
            </w:r>
            <w:r w:rsidRPr="00370139">
              <w:t>gadam</w:t>
            </w:r>
            <w:r w:rsidR="00626089">
              <w:t>”</w:t>
            </w:r>
            <w:r w:rsidR="00EE7AB1">
              <w:t>.</w:t>
            </w:r>
          </w:p>
        </w:tc>
      </w:tr>
      <w:tr w:rsidR="00FE00CC" w:rsidRPr="0084558D" w14:paraId="7449D3D9" w14:textId="77777777" w:rsidTr="00FE00CC">
        <w:trPr>
          <w:cantSplit/>
        </w:trPr>
        <w:tc>
          <w:tcPr>
            <w:tcW w:w="570" w:type="dxa"/>
            <w:hideMark/>
          </w:tcPr>
          <w:p w14:paraId="304091C4" w14:textId="77777777" w:rsidR="00FE00CC" w:rsidRPr="0084558D" w:rsidRDefault="00FE00CC" w:rsidP="00FE00CC">
            <w:pPr>
              <w:jc w:val="center"/>
            </w:pPr>
            <w:r w:rsidRPr="0084558D">
              <w:t>2.</w:t>
            </w:r>
          </w:p>
        </w:tc>
        <w:tc>
          <w:tcPr>
            <w:tcW w:w="2666" w:type="dxa"/>
            <w:hideMark/>
          </w:tcPr>
          <w:p w14:paraId="3824DCE7" w14:textId="77777777" w:rsidR="00FE00CC" w:rsidRPr="0084558D" w:rsidRDefault="00FE00CC" w:rsidP="00FE00CC">
            <w:r w:rsidRPr="0084558D">
              <w:t>Atbildīgā institūcija</w:t>
            </w:r>
          </w:p>
        </w:tc>
        <w:tc>
          <w:tcPr>
            <w:tcW w:w="5829" w:type="dxa"/>
            <w:hideMark/>
          </w:tcPr>
          <w:p w14:paraId="793B5571" w14:textId="51DFEB64" w:rsidR="00FE00CC" w:rsidRPr="0084558D" w:rsidRDefault="007F4EC8" w:rsidP="00FE00CC">
            <w:r w:rsidRPr="00C21CD0">
              <w:t>Finanšu ministrija</w:t>
            </w:r>
          </w:p>
        </w:tc>
      </w:tr>
      <w:tr w:rsidR="00FE00CC" w:rsidRPr="0084558D" w14:paraId="33BC96B8" w14:textId="77777777" w:rsidTr="00FE00CC">
        <w:trPr>
          <w:cantSplit/>
        </w:trPr>
        <w:tc>
          <w:tcPr>
            <w:tcW w:w="570" w:type="dxa"/>
            <w:hideMark/>
          </w:tcPr>
          <w:p w14:paraId="4F511927" w14:textId="77777777" w:rsidR="00FE00CC" w:rsidRPr="0084558D" w:rsidRDefault="00FE00CC" w:rsidP="00FE00CC">
            <w:pPr>
              <w:jc w:val="center"/>
            </w:pPr>
            <w:r w:rsidRPr="0084558D">
              <w:t>3.</w:t>
            </w:r>
          </w:p>
        </w:tc>
        <w:tc>
          <w:tcPr>
            <w:tcW w:w="2666" w:type="dxa"/>
            <w:hideMark/>
          </w:tcPr>
          <w:p w14:paraId="753EC79A" w14:textId="77777777" w:rsidR="00FE00CC" w:rsidRPr="0084558D" w:rsidRDefault="00FE00CC" w:rsidP="00FE00CC">
            <w:r w:rsidRPr="0084558D">
              <w:t>Cita informācija</w:t>
            </w:r>
          </w:p>
        </w:tc>
        <w:tc>
          <w:tcPr>
            <w:tcW w:w="5829" w:type="dxa"/>
            <w:hideMark/>
          </w:tcPr>
          <w:p w14:paraId="047C685E" w14:textId="29D0C26E" w:rsidR="00FE00CC" w:rsidRPr="0084558D" w:rsidRDefault="00FE00CC" w:rsidP="00FE00CC">
            <w:r w:rsidRPr="0084558D">
              <w:t>N</w:t>
            </w:r>
            <w:r w:rsidR="007F4EC8">
              <w:t>av</w:t>
            </w:r>
          </w:p>
        </w:tc>
      </w:tr>
    </w:tbl>
    <w:p w14:paraId="64EEF000" w14:textId="77777777" w:rsidR="00BD5588" w:rsidRPr="0084558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84558D" w14:paraId="11C66184" w14:textId="77777777" w:rsidTr="009E0502">
        <w:trPr>
          <w:cantSplit/>
        </w:trPr>
        <w:tc>
          <w:tcPr>
            <w:tcW w:w="5000" w:type="pct"/>
            <w:vAlign w:val="center"/>
            <w:hideMark/>
          </w:tcPr>
          <w:p w14:paraId="3D7A2410" w14:textId="77777777" w:rsidR="00BD5588" w:rsidRPr="0084558D" w:rsidRDefault="00BD5588" w:rsidP="009E0502">
            <w:pPr>
              <w:jc w:val="center"/>
              <w:rPr>
                <w:b/>
                <w:bCs/>
              </w:rPr>
            </w:pPr>
            <w:r w:rsidRPr="0084558D">
              <w:rPr>
                <w:b/>
                <w:bCs/>
              </w:rPr>
              <w:t>V. Tiesību akta projekta atbilstība Latvijas Republikas starptautiskajām saistībām</w:t>
            </w:r>
          </w:p>
        </w:tc>
      </w:tr>
      <w:tr w:rsidR="00F65A5F" w:rsidRPr="0084558D" w14:paraId="2982854E" w14:textId="77777777" w:rsidTr="00F65A5F">
        <w:trPr>
          <w:cantSplit/>
          <w:trHeight w:val="142"/>
        </w:trPr>
        <w:tc>
          <w:tcPr>
            <w:tcW w:w="5000" w:type="pct"/>
          </w:tcPr>
          <w:p w14:paraId="49324B60" w14:textId="395D50F1" w:rsidR="00F65A5F" w:rsidRPr="0084558D" w:rsidRDefault="00F65A5F" w:rsidP="00F65A5F">
            <w:pPr>
              <w:jc w:val="center"/>
            </w:pPr>
            <w:r w:rsidRPr="00C21CD0">
              <w:rPr>
                <w:bCs/>
                <w:i/>
              </w:rPr>
              <w:t>Projekts šo jomu neskar.</w:t>
            </w:r>
          </w:p>
        </w:tc>
      </w:tr>
    </w:tbl>
    <w:p w14:paraId="334CA1E3" w14:textId="77777777" w:rsidR="00BD5588" w:rsidRPr="0084558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84558D" w14:paraId="17C80C7D" w14:textId="77777777" w:rsidTr="009E0502">
        <w:trPr>
          <w:cantSplit/>
        </w:trPr>
        <w:tc>
          <w:tcPr>
            <w:tcW w:w="5000" w:type="pct"/>
            <w:gridSpan w:val="3"/>
            <w:vAlign w:val="center"/>
            <w:hideMark/>
          </w:tcPr>
          <w:p w14:paraId="2069D974" w14:textId="77777777" w:rsidR="00BD5588" w:rsidRPr="0084558D" w:rsidRDefault="00BD5588" w:rsidP="009E0502">
            <w:pPr>
              <w:jc w:val="center"/>
              <w:rPr>
                <w:b/>
                <w:bCs/>
              </w:rPr>
            </w:pPr>
            <w:r w:rsidRPr="0084558D">
              <w:rPr>
                <w:b/>
                <w:bCs/>
              </w:rPr>
              <w:t>VI. Sabiedrības līdzdalība un komunikācijas aktivitātes</w:t>
            </w:r>
          </w:p>
        </w:tc>
      </w:tr>
      <w:tr w:rsidR="00BD5588" w:rsidRPr="0084558D" w14:paraId="20AF8E6D" w14:textId="77777777" w:rsidTr="009E0502">
        <w:trPr>
          <w:cantSplit/>
        </w:trPr>
        <w:tc>
          <w:tcPr>
            <w:tcW w:w="311" w:type="pct"/>
            <w:hideMark/>
          </w:tcPr>
          <w:p w14:paraId="7093C69D" w14:textId="77777777" w:rsidR="00BD5588" w:rsidRPr="0084558D" w:rsidRDefault="00BD5588" w:rsidP="009E0502">
            <w:pPr>
              <w:jc w:val="center"/>
            </w:pPr>
            <w:r w:rsidRPr="0084558D">
              <w:t>1.</w:t>
            </w:r>
          </w:p>
        </w:tc>
        <w:tc>
          <w:tcPr>
            <w:tcW w:w="1479" w:type="pct"/>
            <w:hideMark/>
          </w:tcPr>
          <w:p w14:paraId="70375F81" w14:textId="77777777" w:rsidR="00BD5588" w:rsidRPr="0084558D" w:rsidRDefault="00BD5588" w:rsidP="009E0502">
            <w:r w:rsidRPr="0084558D">
              <w:t>Plānotās sabiedrības līdzdalības un komunikācijas aktivitātes saistībā ar projektu</w:t>
            </w:r>
          </w:p>
        </w:tc>
        <w:tc>
          <w:tcPr>
            <w:tcW w:w="3210" w:type="pct"/>
            <w:hideMark/>
          </w:tcPr>
          <w:p w14:paraId="77995D06" w14:textId="10CEC358" w:rsidR="00A01F6A" w:rsidRDefault="0072164F" w:rsidP="00A01F6A">
            <w:pPr>
              <w:jc w:val="both"/>
            </w:pPr>
            <w:r>
              <w:t>S</w:t>
            </w:r>
            <w:r w:rsidRPr="0084558D">
              <w:t>abiedrības līdzdalības un komunikācijas aktivitātes</w:t>
            </w:r>
            <w:r>
              <w:t xml:space="preserve"> netika veiktas, jo l</w:t>
            </w:r>
            <w:r w:rsidR="00370139">
              <w:t xml:space="preserve">ikumprojekts </w:t>
            </w:r>
            <w:r>
              <w:t>izskatāms vienotā paketē</w:t>
            </w:r>
            <w:r w:rsidR="00F65A5F" w:rsidRPr="00C21CD0">
              <w:t xml:space="preserve"> </w:t>
            </w:r>
            <w:r w:rsidR="00370139">
              <w:t xml:space="preserve">ar </w:t>
            </w:r>
            <w:r w:rsidR="00370139" w:rsidRPr="00370139">
              <w:t>likumprojekt</w:t>
            </w:r>
            <w:r w:rsidR="00370139">
              <w:t>u</w:t>
            </w:r>
            <w:r w:rsidR="00370139" w:rsidRPr="00370139">
              <w:t xml:space="preserve"> </w:t>
            </w:r>
            <w:r w:rsidR="00626089">
              <w:t>“</w:t>
            </w:r>
            <w:r w:rsidR="00370139" w:rsidRPr="00370139">
              <w:t xml:space="preserve">Par vidēja termiņa budžeta ietvaru 2021., 2022. </w:t>
            </w:r>
            <w:r w:rsidR="00370139">
              <w:t>un 2023. gadam</w:t>
            </w:r>
            <w:r w:rsidR="00626089">
              <w:t>”</w:t>
            </w:r>
            <w:r w:rsidR="00370139">
              <w:t xml:space="preserve"> un likumprojektu</w:t>
            </w:r>
            <w:r w:rsidR="005A203C">
              <w:t xml:space="preserve"> </w:t>
            </w:r>
            <w:r w:rsidR="00626089">
              <w:t>“</w:t>
            </w:r>
            <w:r w:rsidR="005A203C">
              <w:t>Par valsts budžetu 2021.</w:t>
            </w:r>
            <w:r w:rsidR="00370139" w:rsidRPr="00370139">
              <w:t>gadam</w:t>
            </w:r>
            <w:r w:rsidR="00626089">
              <w:t>”</w:t>
            </w:r>
            <w:r w:rsidR="00370139">
              <w:t xml:space="preserve">. </w:t>
            </w:r>
          </w:p>
          <w:p w14:paraId="1757DC6A" w14:textId="5CF966F0" w:rsidR="00BD5588" w:rsidRPr="0084558D" w:rsidRDefault="00A80504" w:rsidP="00A01F6A">
            <w:pPr>
              <w:jc w:val="both"/>
            </w:pPr>
            <w:r>
              <w:t xml:space="preserve">Pēc </w:t>
            </w:r>
            <w:r w:rsidRPr="00B254DB">
              <w:t xml:space="preserve">likumprojekta pieņemšanas </w:t>
            </w:r>
            <w:r w:rsidR="00A51790">
              <w:t>informācija</w:t>
            </w:r>
            <w:r w:rsidR="00A01F6A">
              <w:t xml:space="preserve"> par izmaiņām čeku loterijā </w:t>
            </w:r>
            <w:r>
              <w:t xml:space="preserve">tiks publicēta čeku loterijas tīmekļvietnē </w:t>
            </w:r>
            <w:r w:rsidRPr="00B254DB">
              <w:t>cekuloterija.lv</w:t>
            </w:r>
            <w:r>
              <w:t>.</w:t>
            </w:r>
          </w:p>
        </w:tc>
      </w:tr>
      <w:tr w:rsidR="00BD5588" w:rsidRPr="0084558D" w14:paraId="16B578D7" w14:textId="77777777" w:rsidTr="009E0502">
        <w:trPr>
          <w:cantSplit/>
        </w:trPr>
        <w:tc>
          <w:tcPr>
            <w:tcW w:w="311" w:type="pct"/>
            <w:hideMark/>
          </w:tcPr>
          <w:p w14:paraId="09F79CC1" w14:textId="77777777" w:rsidR="00BD5588" w:rsidRPr="0084558D" w:rsidRDefault="00BD5588" w:rsidP="009E0502">
            <w:pPr>
              <w:jc w:val="center"/>
            </w:pPr>
            <w:r w:rsidRPr="0084558D">
              <w:t>2.</w:t>
            </w:r>
          </w:p>
        </w:tc>
        <w:tc>
          <w:tcPr>
            <w:tcW w:w="1479" w:type="pct"/>
            <w:hideMark/>
          </w:tcPr>
          <w:p w14:paraId="7B455194" w14:textId="77777777" w:rsidR="00BD5588" w:rsidRPr="0084558D" w:rsidRDefault="00BD5588" w:rsidP="009E0502">
            <w:r w:rsidRPr="0084558D">
              <w:t>Sabiedrības līdzdalība projekta izstrādē</w:t>
            </w:r>
          </w:p>
        </w:tc>
        <w:tc>
          <w:tcPr>
            <w:tcW w:w="3210" w:type="pct"/>
            <w:hideMark/>
          </w:tcPr>
          <w:p w14:paraId="2D57A72F" w14:textId="7090FD8B" w:rsidR="00BD5588" w:rsidRPr="0084558D" w:rsidRDefault="00E556EB" w:rsidP="00A80504">
            <w:pPr>
              <w:jc w:val="both"/>
            </w:pPr>
            <w:r>
              <w:t>Nav</w:t>
            </w:r>
            <w:r w:rsidR="00B254DB">
              <w:t xml:space="preserve"> </w:t>
            </w:r>
            <w:r w:rsidR="00626089">
              <w:t>attiecināms.</w:t>
            </w:r>
          </w:p>
        </w:tc>
      </w:tr>
      <w:tr w:rsidR="00BD5588" w:rsidRPr="0084558D" w14:paraId="2032D517" w14:textId="77777777" w:rsidTr="009E0502">
        <w:trPr>
          <w:cantSplit/>
        </w:trPr>
        <w:tc>
          <w:tcPr>
            <w:tcW w:w="311" w:type="pct"/>
            <w:hideMark/>
          </w:tcPr>
          <w:p w14:paraId="4AE97D83" w14:textId="77777777" w:rsidR="00BD5588" w:rsidRPr="0084558D" w:rsidRDefault="00BD5588" w:rsidP="009E0502">
            <w:pPr>
              <w:jc w:val="center"/>
            </w:pPr>
            <w:r w:rsidRPr="0084558D">
              <w:t>3.</w:t>
            </w:r>
          </w:p>
        </w:tc>
        <w:tc>
          <w:tcPr>
            <w:tcW w:w="1479" w:type="pct"/>
            <w:hideMark/>
          </w:tcPr>
          <w:p w14:paraId="7A80E746" w14:textId="77777777" w:rsidR="00BD5588" w:rsidRPr="0084558D" w:rsidRDefault="00BD5588" w:rsidP="009E0502">
            <w:r w:rsidRPr="0084558D">
              <w:t>Sabiedrības līdzdalības rezultāti</w:t>
            </w:r>
          </w:p>
        </w:tc>
        <w:tc>
          <w:tcPr>
            <w:tcW w:w="3210" w:type="pct"/>
            <w:hideMark/>
          </w:tcPr>
          <w:p w14:paraId="3E355CB8" w14:textId="77EBCDC3" w:rsidR="00BD5588" w:rsidRPr="0084558D" w:rsidRDefault="00F1449D" w:rsidP="009E0502">
            <w:r>
              <w:t>Nav</w:t>
            </w:r>
            <w:r w:rsidR="00626089">
              <w:t xml:space="preserve"> attiecināms.</w:t>
            </w:r>
          </w:p>
        </w:tc>
      </w:tr>
      <w:tr w:rsidR="00BD5588" w:rsidRPr="0084558D" w14:paraId="763D3CDB" w14:textId="77777777" w:rsidTr="009E0502">
        <w:trPr>
          <w:cantSplit/>
        </w:trPr>
        <w:tc>
          <w:tcPr>
            <w:tcW w:w="311" w:type="pct"/>
            <w:hideMark/>
          </w:tcPr>
          <w:p w14:paraId="59258974" w14:textId="77777777" w:rsidR="00BD5588" w:rsidRPr="0084558D" w:rsidRDefault="00BD5588" w:rsidP="009E0502">
            <w:pPr>
              <w:jc w:val="center"/>
            </w:pPr>
            <w:r w:rsidRPr="0084558D">
              <w:t>4.</w:t>
            </w:r>
          </w:p>
        </w:tc>
        <w:tc>
          <w:tcPr>
            <w:tcW w:w="1479" w:type="pct"/>
            <w:hideMark/>
          </w:tcPr>
          <w:p w14:paraId="10170687" w14:textId="77777777" w:rsidR="00BD5588" w:rsidRPr="0084558D" w:rsidRDefault="00BD5588" w:rsidP="009E0502">
            <w:r w:rsidRPr="0084558D">
              <w:t>Cita informācija</w:t>
            </w:r>
          </w:p>
        </w:tc>
        <w:tc>
          <w:tcPr>
            <w:tcW w:w="3210" w:type="pct"/>
            <w:hideMark/>
          </w:tcPr>
          <w:p w14:paraId="5E622549" w14:textId="368DADC8" w:rsidR="00BD5588" w:rsidRPr="0084558D" w:rsidRDefault="00214809" w:rsidP="009E0502">
            <w:r>
              <w:t>Nav</w:t>
            </w:r>
          </w:p>
        </w:tc>
      </w:tr>
    </w:tbl>
    <w:p w14:paraId="26548782" w14:textId="77777777" w:rsidR="00BD5588" w:rsidRPr="0084558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84558D" w14:paraId="7A8F4831" w14:textId="77777777" w:rsidTr="009E0502">
        <w:trPr>
          <w:cantSplit/>
        </w:trPr>
        <w:tc>
          <w:tcPr>
            <w:tcW w:w="5000" w:type="pct"/>
            <w:gridSpan w:val="3"/>
            <w:vAlign w:val="center"/>
            <w:hideMark/>
          </w:tcPr>
          <w:p w14:paraId="21EF74DA" w14:textId="55A7AA85" w:rsidR="00BD5588" w:rsidRPr="0072164F" w:rsidRDefault="00BD5588" w:rsidP="0072164F">
            <w:pPr>
              <w:jc w:val="center"/>
              <w:rPr>
                <w:b/>
                <w:bCs/>
              </w:rPr>
            </w:pPr>
            <w:r w:rsidRPr="0084558D">
              <w:rPr>
                <w:b/>
                <w:bCs/>
              </w:rPr>
              <w:t>VII. Tiesību akta projekta izpildes nodrošināšana un tās ietekme uz institūcijām</w:t>
            </w:r>
          </w:p>
        </w:tc>
      </w:tr>
      <w:tr w:rsidR="00BD5588" w:rsidRPr="0084558D" w14:paraId="3893E21E" w14:textId="77777777" w:rsidTr="009E0502">
        <w:trPr>
          <w:cantSplit/>
        </w:trPr>
        <w:tc>
          <w:tcPr>
            <w:tcW w:w="311" w:type="pct"/>
            <w:hideMark/>
          </w:tcPr>
          <w:p w14:paraId="65D16FF7" w14:textId="77777777" w:rsidR="00BD5588" w:rsidRPr="0084558D" w:rsidRDefault="00BD5588" w:rsidP="009E0502">
            <w:pPr>
              <w:jc w:val="center"/>
            </w:pPr>
            <w:r w:rsidRPr="0084558D">
              <w:t>1.</w:t>
            </w:r>
          </w:p>
        </w:tc>
        <w:tc>
          <w:tcPr>
            <w:tcW w:w="1479" w:type="pct"/>
            <w:hideMark/>
          </w:tcPr>
          <w:p w14:paraId="097AF16C" w14:textId="780429A5" w:rsidR="00BD5588" w:rsidRPr="00CE46E7" w:rsidRDefault="00BD5588" w:rsidP="0099330E">
            <w:r w:rsidRPr="0084558D">
              <w:t>Projekta izpildē iesaistītās institūcijas</w:t>
            </w:r>
          </w:p>
        </w:tc>
        <w:tc>
          <w:tcPr>
            <w:tcW w:w="3210" w:type="pct"/>
            <w:hideMark/>
          </w:tcPr>
          <w:p w14:paraId="49B825ED" w14:textId="2BD98D83" w:rsidR="00BD5588" w:rsidRPr="0084558D" w:rsidRDefault="00214809" w:rsidP="009E0502">
            <w:r w:rsidRPr="00C21CD0">
              <w:rPr>
                <w:rFonts w:eastAsia="Arial Unicode MS"/>
              </w:rPr>
              <w:t>V</w:t>
            </w:r>
            <w:r>
              <w:rPr>
                <w:rFonts w:eastAsia="Arial Unicode MS"/>
              </w:rPr>
              <w:t>alsts ieņēmumu dienests</w:t>
            </w:r>
          </w:p>
        </w:tc>
      </w:tr>
      <w:tr w:rsidR="00BD5588" w:rsidRPr="0084558D" w14:paraId="401A2F19" w14:textId="77777777" w:rsidTr="009E0502">
        <w:trPr>
          <w:cantSplit/>
        </w:trPr>
        <w:tc>
          <w:tcPr>
            <w:tcW w:w="311" w:type="pct"/>
            <w:hideMark/>
          </w:tcPr>
          <w:p w14:paraId="1C567DC1" w14:textId="77777777" w:rsidR="00BD5588" w:rsidRPr="0084558D" w:rsidRDefault="00BD5588" w:rsidP="009E0502">
            <w:pPr>
              <w:jc w:val="center"/>
            </w:pPr>
            <w:r w:rsidRPr="0084558D">
              <w:t>2.</w:t>
            </w:r>
          </w:p>
        </w:tc>
        <w:tc>
          <w:tcPr>
            <w:tcW w:w="1479" w:type="pct"/>
            <w:hideMark/>
          </w:tcPr>
          <w:p w14:paraId="3D231B52" w14:textId="77777777" w:rsidR="00BD5588" w:rsidRPr="0084558D" w:rsidRDefault="00BD5588" w:rsidP="009E0502">
            <w:r w:rsidRPr="0084558D">
              <w:t>Projekta izpildes ietekme uz pārvaldes funkcijām un institucionālo struktūru.</w:t>
            </w:r>
            <w:r w:rsidRPr="0084558D">
              <w:br/>
              <w:t>Jaunu institūciju izveide, esošu institūciju likvidācija vai reorganizācija, to ietekme uz institūcijas cilvēkresursiem</w:t>
            </w:r>
          </w:p>
        </w:tc>
        <w:tc>
          <w:tcPr>
            <w:tcW w:w="3210" w:type="pct"/>
            <w:hideMark/>
          </w:tcPr>
          <w:p w14:paraId="303B7500" w14:textId="77777777" w:rsidR="00214809" w:rsidRPr="00C21CD0" w:rsidRDefault="00214809" w:rsidP="000D3B3A">
            <w:pPr>
              <w:jc w:val="both"/>
            </w:pPr>
            <w:r w:rsidRPr="00C21CD0">
              <w:t>Likumprojekts neparedz veidot jaunas institūcijas, reorganizēt vai likvidēt esošās institūcijas.</w:t>
            </w:r>
          </w:p>
          <w:p w14:paraId="74044136" w14:textId="37829E4A" w:rsidR="00214809" w:rsidRDefault="00214809" w:rsidP="000D3B3A">
            <w:pPr>
              <w:jc w:val="both"/>
            </w:pPr>
            <w:r w:rsidRPr="00C21CD0">
              <w:t xml:space="preserve">Likumprojekta izpilde tiks nodrošināta </w:t>
            </w:r>
            <w:r w:rsidR="00BF6560">
              <w:t>VID</w:t>
            </w:r>
            <w:r>
              <w:t xml:space="preserve"> piešķirto </w:t>
            </w:r>
            <w:r w:rsidRPr="00C21CD0">
              <w:t>resursu ietvaros.</w:t>
            </w:r>
          </w:p>
          <w:p w14:paraId="06DBFA33" w14:textId="6246A801" w:rsidR="00BD5588" w:rsidRPr="0084558D" w:rsidRDefault="00214809" w:rsidP="000D3B3A">
            <w:r>
              <w:t>Papildus cilvēkresursi nav nepieciešami.</w:t>
            </w:r>
          </w:p>
        </w:tc>
      </w:tr>
      <w:tr w:rsidR="00BD5588" w:rsidRPr="0084558D" w14:paraId="17F0359C" w14:textId="77777777" w:rsidTr="009E0502">
        <w:trPr>
          <w:cantSplit/>
        </w:trPr>
        <w:tc>
          <w:tcPr>
            <w:tcW w:w="311" w:type="pct"/>
            <w:hideMark/>
          </w:tcPr>
          <w:p w14:paraId="478DB13E" w14:textId="77777777" w:rsidR="00BD5588" w:rsidRPr="0084558D" w:rsidRDefault="00BD5588" w:rsidP="009E0502">
            <w:pPr>
              <w:jc w:val="center"/>
            </w:pPr>
            <w:r w:rsidRPr="0084558D">
              <w:t>3.</w:t>
            </w:r>
          </w:p>
        </w:tc>
        <w:tc>
          <w:tcPr>
            <w:tcW w:w="1479" w:type="pct"/>
            <w:hideMark/>
          </w:tcPr>
          <w:p w14:paraId="21D5653A" w14:textId="77777777" w:rsidR="00BD5588" w:rsidRPr="0084558D" w:rsidRDefault="00BD5588" w:rsidP="009E0502">
            <w:r w:rsidRPr="0084558D">
              <w:t>Cita informācija</w:t>
            </w:r>
          </w:p>
        </w:tc>
        <w:tc>
          <w:tcPr>
            <w:tcW w:w="3210" w:type="pct"/>
            <w:hideMark/>
          </w:tcPr>
          <w:p w14:paraId="12992369" w14:textId="3B28E1C2" w:rsidR="00BD5588" w:rsidRPr="0084558D" w:rsidRDefault="00214809" w:rsidP="009E0502">
            <w:r>
              <w:t>Nav</w:t>
            </w:r>
          </w:p>
        </w:tc>
      </w:tr>
    </w:tbl>
    <w:p w14:paraId="4C81C073" w14:textId="0C0E9AB3" w:rsidR="007F55CF" w:rsidRDefault="007F55CF" w:rsidP="00037EE9">
      <w:pPr>
        <w:pStyle w:val="Body"/>
        <w:spacing w:after="0" w:line="240" w:lineRule="auto"/>
        <w:ind w:firstLine="709"/>
        <w:jc w:val="both"/>
        <w:rPr>
          <w:rFonts w:ascii="Times New Roman" w:hAnsi="Times New Roman"/>
          <w:color w:val="auto"/>
          <w:sz w:val="28"/>
          <w:lang w:val="de-DE"/>
        </w:rPr>
      </w:pPr>
    </w:p>
    <w:p w14:paraId="27517655" w14:textId="7B356248" w:rsidR="007F55CF" w:rsidRDefault="007F55CF" w:rsidP="00037EE9">
      <w:pPr>
        <w:pStyle w:val="Body"/>
        <w:spacing w:after="0" w:line="240" w:lineRule="auto"/>
        <w:ind w:firstLine="709"/>
        <w:jc w:val="both"/>
        <w:rPr>
          <w:rFonts w:ascii="Times New Roman" w:hAnsi="Times New Roman"/>
          <w:color w:val="auto"/>
          <w:sz w:val="28"/>
          <w:lang w:val="de-DE"/>
        </w:rPr>
      </w:pPr>
    </w:p>
    <w:p w14:paraId="4A086854" w14:textId="77777777" w:rsidR="007F55CF" w:rsidRDefault="007F55CF" w:rsidP="00037EE9">
      <w:pPr>
        <w:pStyle w:val="Body"/>
        <w:spacing w:after="0" w:line="240" w:lineRule="auto"/>
        <w:ind w:firstLine="709"/>
        <w:jc w:val="both"/>
        <w:rPr>
          <w:rFonts w:ascii="Times New Roman" w:hAnsi="Times New Roman"/>
          <w:color w:val="auto"/>
          <w:sz w:val="28"/>
          <w:lang w:val="de-DE"/>
        </w:rPr>
      </w:pPr>
    </w:p>
    <w:p w14:paraId="28C0EB46" w14:textId="77777777" w:rsidR="007F55CF" w:rsidRPr="00DE283C" w:rsidRDefault="007F55CF"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05FE69A3" w14:textId="50E097EA" w:rsidR="00214809" w:rsidRDefault="00214809" w:rsidP="00214809"/>
    <w:p w14:paraId="5E65C099" w14:textId="009A9895" w:rsidR="00214809" w:rsidRDefault="00214809" w:rsidP="00214809"/>
    <w:p w14:paraId="45DC4E4A" w14:textId="77777777" w:rsidR="00214809" w:rsidRPr="00945280" w:rsidRDefault="00214809" w:rsidP="00214809"/>
    <w:p w14:paraId="3CAD5ECE" w14:textId="2BFCB485" w:rsidR="00214809" w:rsidRPr="00214809" w:rsidRDefault="00214809" w:rsidP="00214809">
      <w:pPr>
        <w:ind w:firstLine="709"/>
        <w:rPr>
          <w:sz w:val="20"/>
          <w:szCs w:val="22"/>
        </w:rPr>
      </w:pPr>
      <w:r w:rsidRPr="00214809">
        <w:rPr>
          <w:sz w:val="20"/>
          <w:szCs w:val="22"/>
        </w:rPr>
        <w:t>Krēsliņa, 67122667</w:t>
      </w:r>
    </w:p>
    <w:p w14:paraId="662E6269" w14:textId="76BA50BD" w:rsidR="00214809" w:rsidRPr="00214809" w:rsidRDefault="00386B92" w:rsidP="00214809">
      <w:pPr>
        <w:ind w:firstLine="709"/>
        <w:rPr>
          <w:sz w:val="20"/>
          <w:szCs w:val="22"/>
        </w:rPr>
      </w:pPr>
      <w:hyperlink r:id="rId8" w:history="1">
        <w:r w:rsidR="00214809" w:rsidRPr="00214809">
          <w:rPr>
            <w:rStyle w:val="Hyperlink"/>
            <w:sz w:val="20"/>
            <w:szCs w:val="22"/>
          </w:rPr>
          <w:t>Arta.Kreslina@vid.gov.lv</w:t>
        </w:r>
      </w:hyperlink>
    </w:p>
    <w:p w14:paraId="0D6E2FCC" w14:textId="77777777" w:rsidR="00214809" w:rsidRDefault="00214809" w:rsidP="00214809">
      <w:pPr>
        <w:ind w:firstLine="709"/>
        <w:rPr>
          <w:sz w:val="20"/>
          <w:szCs w:val="22"/>
        </w:rPr>
      </w:pPr>
    </w:p>
    <w:p w14:paraId="35E33443" w14:textId="64B84CFB" w:rsidR="00214809" w:rsidRPr="00214809" w:rsidRDefault="00214809" w:rsidP="00214809">
      <w:pPr>
        <w:ind w:firstLine="709"/>
        <w:rPr>
          <w:sz w:val="20"/>
          <w:szCs w:val="22"/>
        </w:rPr>
      </w:pPr>
      <w:r w:rsidRPr="00214809">
        <w:rPr>
          <w:sz w:val="20"/>
          <w:szCs w:val="22"/>
        </w:rPr>
        <w:t>Boriseviča 67095512</w:t>
      </w:r>
    </w:p>
    <w:p w14:paraId="6858B37F" w14:textId="77777777" w:rsidR="00214809" w:rsidRPr="00214809" w:rsidRDefault="00386B92" w:rsidP="00214809">
      <w:pPr>
        <w:ind w:firstLine="709"/>
        <w:rPr>
          <w:sz w:val="20"/>
          <w:szCs w:val="22"/>
        </w:rPr>
      </w:pPr>
      <w:hyperlink r:id="rId9" w:history="1">
        <w:r w:rsidR="00214809" w:rsidRPr="00214809">
          <w:rPr>
            <w:rStyle w:val="Hyperlink"/>
            <w:sz w:val="20"/>
            <w:szCs w:val="22"/>
          </w:rPr>
          <w:t>alesja.borisevica@fm.gov.lv</w:t>
        </w:r>
      </w:hyperlink>
    </w:p>
    <w:p w14:paraId="2DEB0214" w14:textId="77777777" w:rsidR="00214809" w:rsidRDefault="00214809" w:rsidP="00214809">
      <w:pPr>
        <w:ind w:firstLine="709"/>
        <w:rPr>
          <w:sz w:val="20"/>
          <w:szCs w:val="20"/>
        </w:rPr>
      </w:pPr>
    </w:p>
    <w:p w14:paraId="2BBB852B" w14:textId="6590987D" w:rsidR="00214809" w:rsidRDefault="007F55CF" w:rsidP="00214809">
      <w:pPr>
        <w:ind w:firstLine="709"/>
        <w:rPr>
          <w:sz w:val="20"/>
          <w:szCs w:val="20"/>
        </w:rPr>
      </w:pPr>
      <w:proofErr w:type="spellStart"/>
      <w:r>
        <w:rPr>
          <w:sz w:val="20"/>
          <w:szCs w:val="20"/>
        </w:rPr>
        <w:t>v_sk</w:t>
      </w:r>
      <w:proofErr w:type="spellEnd"/>
      <w:r>
        <w:rPr>
          <w:sz w:val="20"/>
          <w:szCs w:val="20"/>
        </w:rPr>
        <w:t xml:space="preserve"> = 304</w:t>
      </w:r>
      <w:r w:rsidR="00D3203F">
        <w:rPr>
          <w:sz w:val="20"/>
          <w:szCs w:val="20"/>
        </w:rPr>
        <w:t>7</w:t>
      </w:r>
    </w:p>
    <w:sectPr w:rsidR="00214809" w:rsidSect="007F55C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315F" w14:textId="77777777" w:rsidR="007C5109" w:rsidRDefault="007C5109" w:rsidP="00150F90">
      <w:r>
        <w:separator/>
      </w:r>
    </w:p>
  </w:endnote>
  <w:endnote w:type="continuationSeparator" w:id="0">
    <w:p w14:paraId="2ABD62DB" w14:textId="77777777" w:rsidR="007C5109" w:rsidRDefault="007C5109" w:rsidP="0015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041D" w14:textId="14700435" w:rsidR="00214809" w:rsidRDefault="00214809">
    <w:pPr>
      <w:pStyle w:val="Footer"/>
    </w:pPr>
    <w:r>
      <w:t>FManot_</w:t>
    </w:r>
    <w:r w:rsidR="004556EE">
      <w:t>0</w:t>
    </w:r>
    <w:r w:rsidR="00AA75EF">
      <w:t>8</w:t>
    </w:r>
    <w:r w:rsidR="004556EE">
      <w:t>09</w:t>
    </w:r>
    <w:r>
      <w:t>20_CLgroz</w:t>
    </w:r>
    <w:r w:rsidR="007F55CF">
      <w:t xml:space="preserve"> (TA-1825)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4A63" w14:textId="2F848446" w:rsidR="007F55CF" w:rsidRDefault="007F55CF">
    <w:pPr>
      <w:pStyle w:val="Footer"/>
    </w:pPr>
    <w:r>
      <w:t>FManot_080920_CLgroz (TA-1825)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079B" w14:textId="77777777" w:rsidR="007C5109" w:rsidRDefault="007C5109" w:rsidP="00150F90">
      <w:r>
        <w:separator/>
      </w:r>
    </w:p>
  </w:footnote>
  <w:footnote w:type="continuationSeparator" w:id="0">
    <w:p w14:paraId="4D4C7D4F" w14:textId="77777777" w:rsidR="007C5109" w:rsidRDefault="007C5109" w:rsidP="0015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333372"/>
      <w:docPartObj>
        <w:docPartGallery w:val="Page Numbers (Top of Page)"/>
        <w:docPartUnique/>
      </w:docPartObj>
    </w:sdtPr>
    <w:sdtEndPr>
      <w:rPr>
        <w:noProof/>
      </w:rPr>
    </w:sdtEndPr>
    <w:sdtContent>
      <w:p w14:paraId="79A23794" w14:textId="7BD34182" w:rsidR="007F55CF" w:rsidRDefault="007F55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C352FD" w14:textId="77777777" w:rsidR="007F55CF" w:rsidRDefault="007F5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245"/>
    <w:multiLevelType w:val="hybridMultilevel"/>
    <w:tmpl w:val="41FE0EB0"/>
    <w:lvl w:ilvl="0" w:tplc="04260001">
      <w:start w:val="1"/>
      <w:numFmt w:val="bullet"/>
      <w:lvlText w:val=""/>
      <w:lvlJc w:val="left"/>
      <w:pPr>
        <w:ind w:left="1271" w:hanging="360"/>
      </w:pPr>
      <w:rPr>
        <w:rFonts w:ascii="Symbol" w:hAnsi="Symbol" w:hint="default"/>
      </w:rPr>
    </w:lvl>
    <w:lvl w:ilvl="1" w:tplc="04260003" w:tentative="1">
      <w:start w:val="1"/>
      <w:numFmt w:val="bullet"/>
      <w:lvlText w:val="o"/>
      <w:lvlJc w:val="left"/>
      <w:pPr>
        <w:ind w:left="1991" w:hanging="360"/>
      </w:pPr>
      <w:rPr>
        <w:rFonts w:ascii="Courier New" w:hAnsi="Courier New" w:cs="Courier New" w:hint="default"/>
      </w:rPr>
    </w:lvl>
    <w:lvl w:ilvl="2" w:tplc="04260005" w:tentative="1">
      <w:start w:val="1"/>
      <w:numFmt w:val="bullet"/>
      <w:lvlText w:val=""/>
      <w:lvlJc w:val="left"/>
      <w:pPr>
        <w:ind w:left="2711" w:hanging="360"/>
      </w:pPr>
      <w:rPr>
        <w:rFonts w:ascii="Wingdings" w:hAnsi="Wingdings" w:hint="default"/>
      </w:rPr>
    </w:lvl>
    <w:lvl w:ilvl="3" w:tplc="04260001" w:tentative="1">
      <w:start w:val="1"/>
      <w:numFmt w:val="bullet"/>
      <w:lvlText w:val=""/>
      <w:lvlJc w:val="left"/>
      <w:pPr>
        <w:ind w:left="3431" w:hanging="360"/>
      </w:pPr>
      <w:rPr>
        <w:rFonts w:ascii="Symbol" w:hAnsi="Symbol" w:hint="default"/>
      </w:rPr>
    </w:lvl>
    <w:lvl w:ilvl="4" w:tplc="04260003" w:tentative="1">
      <w:start w:val="1"/>
      <w:numFmt w:val="bullet"/>
      <w:lvlText w:val="o"/>
      <w:lvlJc w:val="left"/>
      <w:pPr>
        <w:ind w:left="4151" w:hanging="360"/>
      </w:pPr>
      <w:rPr>
        <w:rFonts w:ascii="Courier New" w:hAnsi="Courier New" w:cs="Courier New" w:hint="default"/>
      </w:rPr>
    </w:lvl>
    <w:lvl w:ilvl="5" w:tplc="04260005" w:tentative="1">
      <w:start w:val="1"/>
      <w:numFmt w:val="bullet"/>
      <w:lvlText w:val=""/>
      <w:lvlJc w:val="left"/>
      <w:pPr>
        <w:ind w:left="4871" w:hanging="360"/>
      </w:pPr>
      <w:rPr>
        <w:rFonts w:ascii="Wingdings" w:hAnsi="Wingdings" w:hint="default"/>
      </w:rPr>
    </w:lvl>
    <w:lvl w:ilvl="6" w:tplc="04260001" w:tentative="1">
      <w:start w:val="1"/>
      <w:numFmt w:val="bullet"/>
      <w:lvlText w:val=""/>
      <w:lvlJc w:val="left"/>
      <w:pPr>
        <w:ind w:left="5591" w:hanging="360"/>
      </w:pPr>
      <w:rPr>
        <w:rFonts w:ascii="Symbol" w:hAnsi="Symbol" w:hint="default"/>
      </w:rPr>
    </w:lvl>
    <w:lvl w:ilvl="7" w:tplc="04260003" w:tentative="1">
      <w:start w:val="1"/>
      <w:numFmt w:val="bullet"/>
      <w:lvlText w:val="o"/>
      <w:lvlJc w:val="left"/>
      <w:pPr>
        <w:ind w:left="6311" w:hanging="360"/>
      </w:pPr>
      <w:rPr>
        <w:rFonts w:ascii="Courier New" w:hAnsi="Courier New" w:cs="Courier New" w:hint="default"/>
      </w:rPr>
    </w:lvl>
    <w:lvl w:ilvl="8" w:tplc="04260005" w:tentative="1">
      <w:start w:val="1"/>
      <w:numFmt w:val="bullet"/>
      <w:lvlText w:val=""/>
      <w:lvlJc w:val="left"/>
      <w:pPr>
        <w:ind w:left="7031" w:hanging="360"/>
      </w:pPr>
      <w:rPr>
        <w:rFonts w:ascii="Wingdings" w:hAnsi="Wingdings" w:hint="default"/>
      </w:rPr>
    </w:lvl>
  </w:abstractNum>
  <w:abstractNum w:abstractNumId="1" w15:restartNumberingAfterBreak="0">
    <w:nsid w:val="444F3CC5"/>
    <w:multiLevelType w:val="hybridMultilevel"/>
    <w:tmpl w:val="5C92B54C"/>
    <w:lvl w:ilvl="0" w:tplc="A6BE7008">
      <w:numFmt w:val="bullet"/>
      <w:lvlText w:val="-"/>
      <w:lvlJc w:val="left"/>
      <w:pPr>
        <w:ind w:left="500" w:hanging="360"/>
      </w:pPr>
      <w:rPr>
        <w:rFonts w:ascii="Times New Roman" w:eastAsia="Times New Roman"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2" w15:restartNumberingAfterBreak="0">
    <w:nsid w:val="519166F2"/>
    <w:multiLevelType w:val="hybridMultilevel"/>
    <w:tmpl w:val="19F8A9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352B28"/>
    <w:multiLevelType w:val="hybridMultilevel"/>
    <w:tmpl w:val="D026D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1A11C6"/>
    <w:multiLevelType w:val="hybridMultilevel"/>
    <w:tmpl w:val="7EA4B79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6C46"/>
    <w:rsid w:val="00012F8E"/>
    <w:rsid w:val="00021E04"/>
    <w:rsid w:val="000254AC"/>
    <w:rsid w:val="0003417B"/>
    <w:rsid w:val="000372B3"/>
    <w:rsid w:val="0004134C"/>
    <w:rsid w:val="00047996"/>
    <w:rsid w:val="000504F5"/>
    <w:rsid w:val="00066A3A"/>
    <w:rsid w:val="000760C5"/>
    <w:rsid w:val="000833CA"/>
    <w:rsid w:val="000945C2"/>
    <w:rsid w:val="000A28A5"/>
    <w:rsid w:val="000A47D2"/>
    <w:rsid w:val="000C2262"/>
    <w:rsid w:val="000D28B8"/>
    <w:rsid w:val="000D3B3A"/>
    <w:rsid w:val="000E5A31"/>
    <w:rsid w:val="00105CDE"/>
    <w:rsid w:val="00113157"/>
    <w:rsid w:val="00114322"/>
    <w:rsid w:val="00137EBD"/>
    <w:rsid w:val="0014271D"/>
    <w:rsid w:val="00150F90"/>
    <w:rsid w:val="00160B0C"/>
    <w:rsid w:val="001706FA"/>
    <w:rsid w:val="001840AB"/>
    <w:rsid w:val="001936B4"/>
    <w:rsid w:val="00194DC2"/>
    <w:rsid w:val="001B4CD1"/>
    <w:rsid w:val="001C4C95"/>
    <w:rsid w:val="001C7088"/>
    <w:rsid w:val="001D59CB"/>
    <w:rsid w:val="001E0CE1"/>
    <w:rsid w:val="00205CDD"/>
    <w:rsid w:val="00214809"/>
    <w:rsid w:val="00240D8F"/>
    <w:rsid w:val="002428F8"/>
    <w:rsid w:val="00246B08"/>
    <w:rsid w:val="002701A8"/>
    <w:rsid w:val="00271007"/>
    <w:rsid w:val="00293F32"/>
    <w:rsid w:val="00294A6F"/>
    <w:rsid w:val="002B2A41"/>
    <w:rsid w:val="002C3AB7"/>
    <w:rsid w:val="002D3494"/>
    <w:rsid w:val="002D35B2"/>
    <w:rsid w:val="002D7F9A"/>
    <w:rsid w:val="002E7CE8"/>
    <w:rsid w:val="00300471"/>
    <w:rsid w:val="00307031"/>
    <w:rsid w:val="00326DAD"/>
    <w:rsid w:val="00337A2A"/>
    <w:rsid w:val="00351408"/>
    <w:rsid w:val="00370139"/>
    <w:rsid w:val="00370AE3"/>
    <w:rsid w:val="0037251F"/>
    <w:rsid w:val="00376B1E"/>
    <w:rsid w:val="00384DBA"/>
    <w:rsid w:val="00386B92"/>
    <w:rsid w:val="00391B7E"/>
    <w:rsid w:val="00393A2F"/>
    <w:rsid w:val="0039621D"/>
    <w:rsid w:val="003B22C8"/>
    <w:rsid w:val="003B64DC"/>
    <w:rsid w:val="003C34A8"/>
    <w:rsid w:val="003C5758"/>
    <w:rsid w:val="003D0843"/>
    <w:rsid w:val="003E752D"/>
    <w:rsid w:val="003F1733"/>
    <w:rsid w:val="00401053"/>
    <w:rsid w:val="004031B1"/>
    <w:rsid w:val="0040700C"/>
    <w:rsid w:val="004138D5"/>
    <w:rsid w:val="00422F4A"/>
    <w:rsid w:val="00425325"/>
    <w:rsid w:val="00443C5D"/>
    <w:rsid w:val="00443DED"/>
    <w:rsid w:val="00446E00"/>
    <w:rsid w:val="004556EE"/>
    <w:rsid w:val="00455D02"/>
    <w:rsid w:val="00457264"/>
    <w:rsid w:val="00466D60"/>
    <w:rsid w:val="00470D1F"/>
    <w:rsid w:val="00480826"/>
    <w:rsid w:val="0048768D"/>
    <w:rsid w:val="00493214"/>
    <w:rsid w:val="004A3EE1"/>
    <w:rsid w:val="004B0747"/>
    <w:rsid w:val="004D3E12"/>
    <w:rsid w:val="004D6ACE"/>
    <w:rsid w:val="004E6673"/>
    <w:rsid w:val="004F0FD1"/>
    <w:rsid w:val="004F2D16"/>
    <w:rsid w:val="004F5CDE"/>
    <w:rsid w:val="005070A0"/>
    <w:rsid w:val="00537D66"/>
    <w:rsid w:val="00574DEE"/>
    <w:rsid w:val="005A203C"/>
    <w:rsid w:val="005A7848"/>
    <w:rsid w:val="005B1854"/>
    <w:rsid w:val="005B5F40"/>
    <w:rsid w:val="005C43B1"/>
    <w:rsid w:val="005D3AF5"/>
    <w:rsid w:val="005D5BB7"/>
    <w:rsid w:val="005E6EA9"/>
    <w:rsid w:val="00604668"/>
    <w:rsid w:val="006137A0"/>
    <w:rsid w:val="006173A1"/>
    <w:rsid w:val="00625B41"/>
    <w:rsid w:val="00626089"/>
    <w:rsid w:val="006400A5"/>
    <w:rsid w:val="00650EA4"/>
    <w:rsid w:val="00663587"/>
    <w:rsid w:val="006652A6"/>
    <w:rsid w:val="006764F4"/>
    <w:rsid w:val="00677C76"/>
    <w:rsid w:val="00682051"/>
    <w:rsid w:val="00692B9F"/>
    <w:rsid w:val="006962FD"/>
    <w:rsid w:val="00696BCB"/>
    <w:rsid w:val="006A47D0"/>
    <w:rsid w:val="006B310A"/>
    <w:rsid w:val="006D5390"/>
    <w:rsid w:val="006E21FB"/>
    <w:rsid w:val="006F7D57"/>
    <w:rsid w:val="007023EA"/>
    <w:rsid w:val="00705D2E"/>
    <w:rsid w:val="00706EEE"/>
    <w:rsid w:val="00707ABF"/>
    <w:rsid w:val="007141B5"/>
    <w:rsid w:val="007144BE"/>
    <w:rsid w:val="0072164F"/>
    <w:rsid w:val="007220AC"/>
    <w:rsid w:val="00731547"/>
    <w:rsid w:val="00731AA3"/>
    <w:rsid w:val="00731D2F"/>
    <w:rsid w:val="007376CD"/>
    <w:rsid w:val="00744F54"/>
    <w:rsid w:val="00745A67"/>
    <w:rsid w:val="00745AA7"/>
    <w:rsid w:val="00755051"/>
    <w:rsid w:val="007841AA"/>
    <w:rsid w:val="007929CC"/>
    <w:rsid w:val="007A34C7"/>
    <w:rsid w:val="007B329F"/>
    <w:rsid w:val="007B617A"/>
    <w:rsid w:val="007C3737"/>
    <w:rsid w:val="007C5109"/>
    <w:rsid w:val="007E2FA8"/>
    <w:rsid w:val="007E76F9"/>
    <w:rsid w:val="007F12D2"/>
    <w:rsid w:val="007F4EC8"/>
    <w:rsid w:val="007F55CF"/>
    <w:rsid w:val="00806B1E"/>
    <w:rsid w:val="0081106B"/>
    <w:rsid w:val="0083271C"/>
    <w:rsid w:val="008363AE"/>
    <w:rsid w:val="0084558D"/>
    <w:rsid w:val="00846495"/>
    <w:rsid w:val="008572BC"/>
    <w:rsid w:val="0086350F"/>
    <w:rsid w:val="00876F7F"/>
    <w:rsid w:val="0088428B"/>
    <w:rsid w:val="008B04AF"/>
    <w:rsid w:val="008B7F6E"/>
    <w:rsid w:val="008C24B3"/>
    <w:rsid w:val="008C36BE"/>
    <w:rsid w:val="008C4DF7"/>
    <w:rsid w:val="008D0661"/>
    <w:rsid w:val="008D5E0C"/>
    <w:rsid w:val="008E7E2F"/>
    <w:rsid w:val="009136E7"/>
    <w:rsid w:val="00916694"/>
    <w:rsid w:val="00936B50"/>
    <w:rsid w:val="0093769D"/>
    <w:rsid w:val="009408A8"/>
    <w:rsid w:val="00955DE4"/>
    <w:rsid w:val="009645C5"/>
    <w:rsid w:val="00975F43"/>
    <w:rsid w:val="00976E3C"/>
    <w:rsid w:val="00987040"/>
    <w:rsid w:val="0099330E"/>
    <w:rsid w:val="00995A4E"/>
    <w:rsid w:val="009A4191"/>
    <w:rsid w:val="009A605F"/>
    <w:rsid w:val="009B1BA0"/>
    <w:rsid w:val="009B248A"/>
    <w:rsid w:val="009B27F2"/>
    <w:rsid w:val="009B598A"/>
    <w:rsid w:val="009C237A"/>
    <w:rsid w:val="009D04BD"/>
    <w:rsid w:val="009E50E1"/>
    <w:rsid w:val="009F5C4B"/>
    <w:rsid w:val="00A01F6A"/>
    <w:rsid w:val="00A15970"/>
    <w:rsid w:val="00A16F5E"/>
    <w:rsid w:val="00A2132B"/>
    <w:rsid w:val="00A32CF8"/>
    <w:rsid w:val="00A444D2"/>
    <w:rsid w:val="00A46AC3"/>
    <w:rsid w:val="00A51790"/>
    <w:rsid w:val="00A54CAA"/>
    <w:rsid w:val="00A5552A"/>
    <w:rsid w:val="00A62BD7"/>
    <w:rsid w:val="00A80504"/>
    <w:rsid w:val="00A836D2"/>
    <w:rsid w:val="00AA34A8"/>
    <w:rsid w:val="00AA75EF"/>
    <w:rsid w:val="00AB3FDF"/>
    <w:rsid w:val="00AB591D"/>
    <w:rsid w:val="00AE6861"/>
    <w:rsid w:val="00AE737A"/>
    <w:rsid w:val="00AF36AA"/>
    <w:rsid w:val="00AF3862"/>
    <w:rsid w:val="00AF58F4"/>
    <w:rsid w:val="00B015F7"/>
    <w:rsid w:val="00B062C6"/>
    <w:rsid w:val="00B200E4"/>
    <w:rsid w:val="00B206EF"/>
    <w:rsid w:val="00B254DB"/>
    <w:rsid w:val="00B53516"/>
    <w:rsid w:val="00B546EC"/>
    <w:rsid w:val="00B56FEC"/>
    <w:rsid w:val="00B71062"/>
    <w:rsid w:val="00B73D38"/>
    <w:rsid w:val="00B76E2E"/>
    <w:rsid w:val="00B86922"/>
    <w:rsid w:val="00B94112"/>
    <w:rsid w:val="00BA3377"/>
    <w:rsid w:val="00BB1B0A"/>
    <w:rsid w:val="00BB3C6B"/>
    <w:rsid w:val="00BC193C"/>
    <w:rsid w:val="00BC3705"/>
    <w:rsid w:val="00BD341A"/>
    <w:rsid w:val="00BD5588"/>
    <w:rsid w:val="00BF0A8A"/>
    <w:rsid w:val="00BF26A4"/>
    <w:rsid w:val="00BF6560"/>
    <w:rsid w:val="00C06BB5"/>
    <w:rsid w:val="00C06CAA"/>
    <w:rsid w:val="00C13C10"/>
    <w:rsid w:val="00C16583"/>
    <w:rsid w:val="00C2133D"/>
    <w:rsid w:val="00C305B4"/>
    <w:rsid w:val="00C32A52"/>
    <w:rsid w:val="00C72A2B"/>
    <w:rsid w:val="00C86E71"/>
    <w:rsid w:val="00CA2DAC"/>
    <w:rsid w:val="00CA63DB"/>
    <w:rsid w:val="00CC1F40"/>
    <w:rsid w:val="00CC2AD8"/>
    <w:rsid w:val="00CE46E7"/>
    <w:rsid w:val="00CF1437"/>
    <w:rsid w:val="00CF5F38"/>
    <w:rsid w:val="00D14FC9"/>
    <w:rsid w:val="00D3203F"/>
    <w:rsid w:val="00D3751B"/>
    <w:rsid w:val="00D423C0"/>
    <w:rsid w:val="00D516D1"/>
    <w:rsid w:val="00D5249F"/>
    <w:rsid w:val="00D67B21"/>
    <w:rsid w:val="00D7387A"/>
    <w:rsid w:val="00D74951"/>
    <w:rsid w:val="00DA716A"/>
    <w:rsid w:val="00DC0492"/>
    <w:rsid w:val="00DD256C"/>
    <w:rsid w:val="00DD34E9"/>
    <w:rsid w:val="00E30252"/>
    <w:rsid w:val="00E37299"/>
    <w:rsid w:val="00E44472"/>
    <w:rsid w:val="00E556EB"/>
    <w:rsid w:val="00E65781"/>
    <w:rsid w:val="00E77E2F"/>
    <w:rsid w:val="00E94A9F"/>
    <w:rsid w:val="00E96D25"/>
    <w:rsid w:val="00EC522A"/>
    <w:rsid w:val="00EE7AB1"/>
    <w:rsid w:val="00EF0F8A"/>
    <w:rsid w:val="00F01ED2"/>
    <w:rsid w:val="00F020FB"/>
    <w:rsid w:val="00F1449D"/>
    <w:rsid w:val="00F14A1D"/>
    <w:rsid w:val="00F22D02"/>
    <w:rsid w:val="00F25787"/>
    <w:rsid w:val="00F40DD2"/>
    <w:rsid w:val="00F426B1"/>
    <w:rsid w:val="00F50396"/>
    <w:rsid w:val="00F53339"/>
    <w:rsid w:val="00F566B1"/>
    <w:rsid w:val="00F64C87"/>
    <w:rsid w:val="00F65A5F"/>
    <w:rsid w:val="00F77DA4"/>
    <w:rsid w:val="00F864E0"/>
    <w:rsid w:val="00FA22F0"/>
    <w:rsid w:val="00FC410B"/>
    <w:rsid w:val="00FC6F2A"/>
    <w:rsid w:val="00FD0C19"/>
    <w:rsid w:val="00FD77AA"/>
    <w:rsid w:val="00FE00CC"/>
    <w:rsid w:val="00FE5D6B"/>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19D3C"/>
  <w15:docId w15:val="{F8B261C2-1A1D-4DBA-AA5F-7F5B1429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150F90"/>
    <w:pPr>
      <w:tabs>
        <w:tab w:val="center" w:pos="4153"/>
        <w:tab w:val="right" w:pos="8306"/>
      </w:tabs>
    </w:pPr>
  </w:style>
  <w:style w:type="character" w:customStyle="1" w:styleId="HeaderChar">
    <w:name w:val="Header Char"/>
    <w:basedOn w:val="DefaultParagraphFont"/>
    <w:link w:val="Header"/>
    <w:uiPriority w:val="99"/>
    <w:rsid w:val="00150F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50F90"/>
    <w:pPr>
      <w:tabs>
        <w:tab w:val="center" w:pos="4153"/>
        <w:tab w:val="right" w:pos="8306"/>
      </w:tabs>
    </w:pPr>
  </w:style>
  <w:style w:type="character" w:customStyle="1" w:styleId="FooterChar">
    <w:name w:val="Footer Char"/>
    <w:basedOn w:val="DefaultParagraphFont"/>
    <w:link w:val="Footer"/>
    <w:uiPriority w:val="99"/>
    <w:rsid w:val="00150F9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652A6"/>
    <w:rPr>
      <w:sz w:val="16"/>
      <w:szCs w:val="16"/>
    </w:rPr>
  </w:style>
  <w:style w:type="paragraph" w:styleId="CommentText">
    <w:name w:val="annotation text"/>
    <w:basedOn w:val="Normal"/>
    <w:link w:val="CommentTextChar"/>
    <w:uiPriority w:val="99"/>
    <w:unhideWhenUsed/>
    <w:rsid w:val="006652A6"/>
    <w:rPr>
      <w:sz w:val="20"/>
      <w:szCs w:val="20"/>
    </w:rPr>
  </w:style>
  <w:style w:type="character" w:customStyle="1" w:styleId="CommentTextChar">
    <w:name w:val="Comment Text Char"/>
    <w:basedOn w:val="DefaultParagraphFont"/>
    <w:link w:val="CommentText"/>
    <w:uiPriority w:val="99"/>
    <w:rsid w:val="006652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652A6"/>
    <w:rPr>
      <w:b/>
      <w:bCs/>
    </w:rPr>
  </w:style>
  <w:style w:type="character" w:customStyle="1" w:styleId="CommentSubjectChar">
    <w:name w:val="Comment Subject Char"/>
    <w:basedOn w:val="CommentTextChar"/>
    <w:link w:val="CommentSubject"/>
    <w:uiPriority w:val="99"/>
    <w:semiHidden/>
    <w:rsid w:val="006652A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6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A6"/>
    <w:rPr>
      <w:rFonts w:ascii="Segoe UI" w:eastAsia="Times New Roman" w:hAnsi="Segoe UI" w:cs="Segoe UI"/>
      <w:sz w:val="18"/>
      <w:szCs w:val="18"/>
      <w:lang w:eastAsia="lv-LV"/>
    </w:rPr>
  </w:style>
  <w:style w:type="paragraph" w:customStyle="1" w:styleId="naisf">
    <w:name w:val="naisf"/>
    <w:basedOn w:val="Normal"/>
    <w:rsid w:val="00214809"/>
    <w:pPr>
      <w:spacing w:before="75" w:after="75"/>
      <w:ind w:firstLine="375"/>
      <w:jc w:val="both"/>
    </w:pPr>
  </w:style>
  <w:style w:type="paragraph" w:customStyle="1" w:styleId="Default">
    <w:name w:val="Default"/>
    <w:rsid w:val="0004799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94DC2"/>
    <w:pPr>
      <w:ind w:left="720"/>
      <w:contextualSpacing/>
    </w:pPr>
  </w:style>
  <w:style w:type="paragraph" w:styleId="Revision">
    <w:name w:val="Revision"/>
    <w:hidden/>
    <w:uiPriority w:val="99"/>
    <w:semiHidden/>
    <w:rsid w:val="008E7E2F"/>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E6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55CF"/>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5756">
      <w:bodyDiv w:val="1"/>
      <w:marLeft w:val="0"/>
      <w:marRight w:val="0"/>
      <w:marTop w:val="0"/>
      <w:marBottom w:val="0"/>
      <w:divBdr>
        <w:top w:val="none" w:sz="0" w:space="0" w:color="auto"/>
        <w:left w:val="none" w:sz="0" w:space="0" w:color="auto"/>
        <w:bottom w:val="none" w:sz="0" w:space="0" w:color="auto"/>
        <w:right w:val="none" w:sz="0" w:space="0" w:color="auto"/>
      </w:divBdr>
    </w:div>
    <w:div w:id="160583744">
      <w:bodyDiv w:val="1"/>
      <w:marLeft w:val="0"/>
      <w:marRight w:val="0"/>
      <w:marTop w:val="0"/>
      <w:marBottom w:val="0"/>
      <w:divBdr>
        <w:top w:val="none" w:sz="0" w:space="0" w:color="auto"/>
        <w:left w:val="none" w:sz="0" w:space="0" w:color="auto"/>
        <w:bottom w:val="none" w:sz="0" w:space="0" w:color="auto"/>
        <w:right w:val="none" w:sz="0" w:space="0" w:color="auto"/>
      </w:divBdr>
    </w:div>
    <w:div w:id="196823226">
      <w:bodyDiv w:val="1"/>
      <w:marLeft w:val="0"/>
      <w:marRight w:val="0"/>
      <w:marTop w:val="0"/>
      <w:marBottom w:val="0"/>
      <w:divBdr>
        <w:top w:val="none" w:sz="0" w:space="0" w:color="auto"/>
        <w:left w:val="none" w:sz="0" w:space="0" w:color="auto"/>
        <w:bottom w:val="none" w:sz="0" w:space="0" w:color="auto"/>
        <w:right w:val="none" w:sz="0" w:space="0" w:color="auto"/>
      </w:divBdr>
    </w:div>
    <w:div w:id="495195921">
      <w:bodyDiv w:val="1"/>
      <w:marLeft w:val="0"/>
      <w:marRight w:val="0"/>
      <w:marTop w:val="0"/>
      <w:marBottom w:val="0"/>
      <w:divBdr>
        <w:top w:val="none" w:sz="0" w:space="0" w:color="auto"/>
        <w:left w:val="none" w:sz="0" w:space="0" w:color="auto"/>
        <w:bottom w:val="none" w:sz="0" w:space="0" w:color="auto"/>
        <w:right w:val="none" w:sz="0" w:space="0" w:color="auto"/>
      </w:divBdr>
    </w:div>
    <w:div w:id="588125043">
      <w:bodyDiv w:val="1"/>
      <w:marLeft w:val="0"/>
      <w:marRight w:val="0"/>
      <w:marTop w:val="0"/>
      <w:marBottom w:val="0"/>
      <w:divBdr>
        <w:top w:val="none" w:sz="0" w:space="0" w:color="auto"/>
        <w:left w:val="none" w:sz="0" w:space="0" w:color="auto"/>
        <w:bottom w:val="none" w:sz="0" w:space="0" w:color="auto"/>
        <w:right w:val="none" w:sz="0" w:space="0" w:color="auto"/>
      </w:divBdr>
    </w:div>
    <w:div w:id="617764690">
      <w:bodyDiv w:val="1"/>
      <w:marLeft w:val="0"/>
      <w:marRight w:val="0"/>
      <w:marTop w:val="0"/>
      <w:marBottom w:val="0"/>
      <w:divBdr>
        <w:top w:val="none" w:sz="0" w:space="0" w:color="auto"/>
        <w:left w:val="none" w:sz="0" w:space="0" w:color="auto"/>
        <w:bottom w:val="none" w:sz="0" w:space="0" w:color="auto"/>
        <w:right w:val="none" w:sz="0" w:space="0" w:color="auto"/>
      </w:divBdr>
    </w:div>
    <w:div w:id="1313102116">
      <w:bodyDiv w:val="1"/>
      <w:marLeft w:val="0"/>
      <w:marRight w:val="0"/>
      <w:marTop w:val="0"/>
      <w:marBottom w:val="0"/>
      <w:divBdr>
        <w:top w:val="none" w:sz="0" w:space="0" w:color="auto"/>
        <w:left w:val="none" w:sz="0" w:space="0" w:color="auto"/>
        <w:bottom w:val="none" w:sz="0" w:space="0" w:color="auto"/>
        <w:right w:val="none" w:sz="0" w:space="0" w:color="auto"/>
      </w:divBdr>
    </w:div>
    <w:div w:id="1614938325">
      <w:bodyDiv w:val="1"/>
      <w:marLeft w:val="0"/>
      <w:marRight w:val="0"/>
      <w:marTop w:val="0"/>
      <w:marBottom w:val="0"/>
      <w:divBdr>
        <w:top w:val="none" w:sz="0" w:space="0" w:color="auto"/>
        <w:left w:val="none" w:sz="0" w:space="0" w:color="auto"/>
        <w:bottom w:val="none" w:sz="0" w:space="0" w:color="auto"/>
        <w:right w:val="none" w:sz="0" w:space="0" w:color="auto"/>
      </w:divBdr>
    </w:div>
    <w:div w:id="19115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eslina@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sja.borisevic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3843-4AF5-4F64-A1F8-D63AD307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3123</Words>
  <Characters>20019</Characters>
  <Application>Microsoft Office Word</Application>
  <DocSecurity>0</DocSecurity>
  <Lines>500</Lines>
  <Paragraphs>186</Paragraphs>
  <ScaleCrop>false</ScaleCrop>
  <HeadingPairs>
    <vt:vector size="2" baseType="variant">
      <vt:variant>
        <vt:lpstr>Title</vt:lpstr>
      </vt:variant>
      <vt:variant>
        <vt:i4>1</vt:i4>
      </vt:variant>
    </vt:vector>
  </HeadingPairs>
  <TitlesOfParts>
    <vt:vector size="1" baseType="lpstr">
      <vt:lpstr>Likumprojekta "Grozījumi Čeku spēles likumā" sākotnējās ietekmes novērtējuma ziņojums (anotācija)</vt:lpstr>
    </vt:vector>
  </TitlesOfParts>
  <Company>Valsts ieņēmumu dienests, Finanšu ministrija</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Čeku spēles likumā" sākotnējās ietekmes novērtējuma ziņojums (anotācija)</dc:title>
  <dc:subject>Anotācija</dc:subject>
  <dc:creator>Edijs Ceipe</dc:creator>
  <dc:description>67122667, arta.kreslina@vid.gov.lv, 67095512, alesja.borisevica@fm.gov.lv</dc:description>
  <cp:lastModifiedBy>Anna Putane</cp:lastModifiedBy>
  <cp:revision>30</cp:revision>
  <cp:lastPrinted>2020-08-25T11:19:00Z</cp:lastPrinted>
  <dcterms:created xsi:type="dcterms:W3CDTF">2020-08-28T08:36:00Z</dcterms:created>
  <dcterms:modified xsi:type="dcterms:W3CDTF">2020-09-28T13:04:00Z</dcterms:modified>
</cp:coreProperties>
</file>