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3177141"/>
        <w:docPartObj>
          <w:docPartGallery w:val="Cover Pages"/>
          <w:docPartUnique/>
        </w:docPartObj>
      </w:sdtPr>
      <w:sdtEndPr>
        <w:rPr>
          <w:rFonts w:ascii="Times New Roman" w:hAnsi="Times New Roman" w:cs="Times New Roman"/>
          <w:b/>
          <w:sz w:val="40"/>
        </w:rPr>
      </w:sdtEndPr>
      <w:sdtContent>
        <w:p w14:paraId="2024BC02" w14:textId="77777777" w:rsidR="00444AD7" w:rsidRDefault="00444AD7">
          <w:r>
            <w:rPr>
              <w:noProof/>
              <w:lang w:eastAsia="lv-LV"/>
            </w:rPr>
            <mc:AlternateContent>
              <mc:Choice Requires="wpg">
                <w:drawing>
                  <wp:anchor distT="0" distB="0" distL="114300" distR="114300" simplePos="0" relativeHeight="251664384" behindDoc="1" locked="0" layoutInCell="1" allowOverlap="1" wp14:anchorId="10B6438A" wp14:editId="3B49CDD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F6243" w14:textId="77777777" w:rsidR="00A9144F" w:rsidRDefault="00A9144F">
                                  <w:pPr>
                                    <w:pStyle w:val="NoSpacing"/>
                                    <w:spacing w:before="120"/>
                                    <w:jc w:val="center"/>
                                    <w:rPr>
                                      <w:color w:val="FFFFFF" w:themeColor="background1"/>
                                    </w:rPr>
                                  </w:pPr>
                                </w:p>
                                <w:p w14:paraId="18898BF8" w14:textId="3BA4F301" w:rsidR="00A9144F" w:rsidRDefault="00A9144F">
                                  <w:pPr>
                                    <w:pStyle w:val="NoSpacing"/>
                                    <w:spacing w:before="120"/>
                                    <w:jc w:val="center"/>
                                    <w:rPr>
                                      <w:color w:val="FFFFFF" w:themeColor="background1"/>
                                    </w:rPr>
                                  </w:pPr>
                                  <w:sdt>
                                    <w:sdtPr>
                                      <w:rPr>
                                        <w:rFonts w:ascii="Times New Roman" w:hAnsi="Times New Roman" w:cs="Times New Roman"/>
                                        <w:caps/>
                                        <w:color w:val="FFFFFF" w:themeColor="background1"/>
                                        <w:sz w:val="24"/>
                                      </w:rPr>
                                      <w:alias w:val="Company"/>
                                      <w:tag w:val=""/>
                                      <w:id w:val="1618182777"/>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caps/>
                                          <w:color w:val="FFFFFF" w:themeColor="background1"/>
                                          <w:sz w:val="24"/>
                                        </w:rPr>
                                        <w:t>Finanšu ministrija</w:t>
                                      </w:r>
                                    </w:sdtContent>
                                  </w:sdt>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8DEB0DF" w14:textId="77777777" w:rsidR="00A9144F" w:rsidRPr="00086E69" w:rsidRDefault="00A9144F">
                                      <w:pPr>
                                        <w:pStyle w:val="NoSpacing"/>
                                        <w:jc w:val="center"/>
                                        <w:rPr>
                                          <w:rFonts w:asciiTheme="majorHAnsi" w:eastAsiaTheme="majorEastAsia" w:hAnsiTheme="majorHAnsi" w:cstheme="majorBidi"/>
                                          <w:caps/>
                                          <w:color w:val="5B9BD5" w:themeColor="accent1"/>
                                          <w:sz w:val="96"/>
                                          <w:szCs w:val="72"/>
                                        </w:rPr>
                                      </w:pPr>
                                      <w:r w:rsidRPr="003378B7">
                                        <w:rPr>
                                          <w:rFonts w:ascii="Times New Roman" w:eastAsiaTheme="majorEastAsia" w:hAnsi="Times New Roman" w:cs="Times New Roman"/>
                                          <w:b/>
                                          <w:caps/>
                                          <w:sz w:val="56"/>
                                          <w:szCs w:val="72"/>
                                        </w:rPr>
                                        <w:t>Fiskālo risku deklarācija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0B6438A" id="Group 193" o:spid="_x0000_s1026" style="position:absolute;margin-left:0;margin-top:0;width:540.55pt;height:718.4pt;z-index:-2516520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579F6243" w14:textId="77777777" w:rsidR="00A9144F" w:rsidRDefault="00A9144F">
                            <w:pPr>
                              <w:pStyle w:val="NoSpacing"/>
                              <w:spacing w:before="120"/>
                              <w:jc w:val="center"/>
                              <w:rPr>
                                <w:color w:val="FFFFFF" w:themeColor="background1"/>
                              </w:rPr>
                            </w:pPr>
                          </w:p>
                          <w:p w14:paraId="18898BF8" w14:textId="3BA4F301" w:rsidR="00A9144F" w:rsidRDefault="00A9144F">
                            <w:pPr>
                              <w:pStyle w:val="NoSpacing"/>
                              <w:spacing w:before="120"/>
                              <w:jc w:val="center"/>
                              <w:rPr>
                                <w:color w:val="FFFFFF" w:themeColor="background1"/>
                              </w:rPr>
                            </w:pPr>
                            <w:sdt>
                              <w:sdtPr>
                                <w:rPr>
                                  <w:rFonts w:ascii="Times New Roman" w:hAnsi="Times New Roman" w:cs="Times New Roman"/>
                                  <w:caps/>
                                  <w:color w:val="FFFFFF" w:themeColor="background1"/>
                                  <w:sz w:val="24"/>
                                </w:rPr>
                                <w:alias w:val="Company"/>
                                <w:tag w:val=""/>
                                <w:id w:val="1618182777"/>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caps/>
                                    <w:color w:val="FFFFFF" w:themeColor="background1"/>
                                    <w:sz w:val="24"/>
                                  </w:rPr>
                                  <w:t>Finanšu ministrija</w:t>
                                </w:r>
                              </w:sdtContent>
                            </w:sdt>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caps/>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8DEB0DF" w14:textId="77777777" w:rsidR="00A9144F" w:rsidRPr="00086E69" w:rsidRDefault="00A9144F">
                                <w:pPr>
                                  <w:pStyle w:val="NoSpacing"/>
                                  <w:jc w:val="center"/>
                                  <w:rPr>
                                    <w:rFonts w:asciiTheme="majorHAnsi" w:eastAsiaTheme="majorEastAsia" w:hAnsiTheme="majorHAnsi" w:cstheme="majorBidi"/>
                                    <w:caps/>
                                    <w:color w:val="5B9BD5" w:themeColor="accent1"/>
                                    <w:sz w:val="96"/>
                                    <w:szCs w:val="72"/>
                                  </w:rPr>
                                </w:pPr>
                                <w:r w:rsidRPr="003378B7">
                                  <w:rPr>
                                    <w:rFonts w:ascii="Times New Roman" w:eastAsiaTheme="majorEastAsia" w:hAnsi="Times New Roman" w:cs="Times New Roman"/>
                                    <w:b/>
                                    <w:caps/>
                                    <w:sz w:val="56"/>
                                    <w:szCs w:val="72"/>
                                  </w:rPr>
                                  <w:t>Fiskālo risku deklarācija</w:t>
                                </w:r>
                              </w:p>
                            </w:sdtContent>
                          </w:sdt>
                        </w:txbxContent>
                      </v:textbox>
                    </v:shape>
                    <w10:wrap anchorx="page" anchory="page"/>
                  </v:group>
                </w:pict>
              </mc:Fallback>
            </mc:AlternateContent>
          </w:r>
        </w:p>
        <w:p w14:paraId="3C4D5319" w14:textId="77777777" w:rsidR="00444AD7" w:rsidRDefault="00444AD7">
          <w:pPr>
            <w:rPr>
              <w:rFonts w:ascii="Times New Roman" w:hAnsi="Times New Roman" w:cs="Times New Roman"/>
              <w:b/>
              <w:sz w:val="40"/>
            </w:rPr>
          </w:pPr>
          <w:r>
            <w:rPr>
              <w:rFonts w:ascii="Times New Roman" w:hAnsi="Times New Roman" w:cs="Times New Roman"/>
              <w:b/>
              <w:sz w:val="40"/>
            </w:rPr>
            <w:br w:type="page"/>
          </w:r>
        </w:p>
      </w:sdtContent>
    </w:sdt>
    <w:sdt>
      <w:sdtPr>
        <w:rPr>
          <w:rFonts w:asciiTheme="minorHAnsi" w:eastAsiaTheme="minorEastAsia" w:hAnsiTheme="minorHAnsi" w:cstheme="minorBidi"/>
          <w:b w:val="0"/>
          <w:bCs w:val="0"/>
          <w:smallCaps w:val="0"/>
          <w:color w:val="auto"/>
          <w:sz w:val="22"/>
          <w:szCs w:val="22"/>
        </w:rPr>
        <w:id w:val="494848509"/>
        <w:docPartObj>
          <w:docPartGallery w:val="Table of Contents"/>
          <w:docPartUnique/>
        </w:docPartObj>
      </w:sdtPr>
      <w:sdtEndPr>
        <w:rPr>
          <w:rFonts w:ascii="Times New Roman" w:hAnsi="Times New Roman" w:cs="Times New Roman"/>
          <w:noProof/>
          <w:sz w:val="24"/>
          <w:szCs w:val="24"/>
        </w:rPr>
      </w:sdtEndPr>
      <w:sdtContent>
        <w:p w14:paraId="7D79ACA9" w14:textId="77777777" w:rsidR="002A186B" w:rsidRPr="009A15DD" w:rsidRDefault="002A186B" w:rsidP="002A186B">
          <w:pPr>
            <w:pStyle w:val="TOCHeading"/>
            <w:numPr>
              <w:ilvl w:val="0"/>
              <w:numId w:val="0"/>
            </w:numPr>
            <w:ind w:left="432" w:hanging="432"/>
            <w:jc w:val="right"/>
            <w:rPr>
              <w:rFonts w:ascii="Times New Roman" w:hAnsi="Times New Roman" w:cs="Times New Roman"/>
            </w:rPr>
          </w:pPr>
          <w:r w:rsidRPr="009A15DD">
            <w:rPr>
              <w:rFonts w:ascii="Times New Roman" w:hAnsi="Times New Roman" w:cs="Times New Roman"/>
            </w:rPr>
            <w:t>Saturs</w:t>
          </w:r>
        </w:p>
        <w:p w14:paraId="520B0901" w14:textId="77777777" w:rsidR="005603AD" w:rsidRPr="005603AD" w:rsidRDefault="00AA5EF1">
          <w:pPr>
            <w:pStyle w:val="TOC1"/>
            <w:rPr>
              <w:rFonts w:ascii="Times New Roman" w:hAnsi="Times New Roman" w:cs="Times New Roman"/>
              <w:noProof/>
              <w:sz w:val="24"/>
              <w:szCs w:val="24"/>
            </w:rPr>
          </w:pPr>
          <w:r w:rsidRPr="009A15DD">
            <w:rPr>
              <w:rFonts w:ascii="Times New Roman" w:hAnsi="Times New Roman" w:cs="Times New Roman"/>
              <w:sz w:val="24"/>
            </w:rPr>
            <w:t xml:space="preserve"> </w:t>
          </w:r>
          <w:r w:rsidR="002A186B" w:rsidRPr="005603AD">
            <w:rPr>
              <w:rFonts w:ascii="Times New Roman" w:hAnsi="Times New Roman" w:cs="Times New Roman"/>
              <w:sz w:val="24"/>
              <w:szCs w:val="24"/>
            </w:rPr>
            <w:fldChar w:fldCharType="begin"/>
          </w:r>
          <w:r w:rsidR="002A186B" w:rsidRPr="005603AD">
            <w:rPr>
              <w:rFonts w:ascii="Times New Roman" w:hAnsi="Times New Roman" w:cs="Times New Roman"/>
              <w:sz w:val="24"/>
              <w:szCs w:val="24"/>
            </w:rPr>
            <w:instrText xml:space="preserve"> TOC \o "1-3" \h \z \u </w:instrText>
          </w:r>
          <w:r w:rsidR="002A186B" w:rsidRPr="005603AD">
            <w:rPr>
              <w:rFonts w:ascii="Times New Roman" w:hAnsi="Times New Roman" w:cs="Times New Roman"/>
              <w:sz w:val="24"/>
              <w:szCs w:val="24"/>
            </w:rPr>
            <w:fldChar w:fldCharType="separate"/>
          </w:r>
        </w:p>
        <w:p w14:paraId="0C6555FD" w14:textId="110EF938" w:rsidR="005603AD" w:rsidRPr="005603AD" w:rsidRDefault="00A9144F">
          <w:pPr>
            <w:pStyle w:val="TOC1"/>
            <w:rPr>
              <w:rFonts w:ascii="Times New Roman" w:hAnsi="Times New Roman" w:cs="Times New Roman"/>
              <w:noProof/>
              <w:sz w:val="24"/>
              <w:szCs w:val="24"/>
              <w:lang w:eastAsia="lv-LV"/>
            </w:rPr>
          </w:pPr>
          <w:hyperlink w:anchor="_Toc536626707" w:history="1">
            <w:r w:rsidR="005603AD" w:rsidRPr="005603AD">
              <w:rPr>
                <w:rStyle w:val="Hyperlink"/>
                <w:rFonts w:ascii="Times New Roman" w:hAnsi="Times New Roman" w:cs="Times New Roman"/>
                <w:noProof/>
                <w:sz w:val="24"/>
                <w:szCs w:val="24"/>
              </w:rPr>
              <w:t>Ievads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_Toc536626707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3</w:t>
            </w:r>
            <w:r w:rsidR="005603AD" w:rsidRPr="005603AD">
              <w:rPr>
                <w:rFonts w:ascii="Times New Roman" w:hAnsi="Times New Roman" w:cs="Times New Roman"/>
                <w:noProof/>
                <w:webHidden/>
                <w:sz w:val="24"/>
                <w:szCs w:val="24"/>
              </w:rPr>
              <w:fldChar w:fldCharType="end"/>
            </w:r>
          </w:hyperlink>
        </w:p>
        <w:p w14:paraId="26A09098" w14:textId="11D25A9B" w:rsidR="005603AD" w:rsidRPr="005603AD" w:rsidRDefault="00A9144F">
          <w:pPr>
            <w:pStyle w:val="TOC1"/>
            <w:rPr>
              <w:rFonts w:ascii="Times New Roman" w:hAnsi="Times New Roman" w:cs="Times New Roman"/>
              <w:noProof/>
              <w:sz w:val="24"/>
              <w:szCs w:val="24"/>
              <w:lang w:eastAsia="lv-LV"/>
            </w:rPr>
          </w:pPr>
          <w:hyperlink w:anchor="_Toc536626708" w:history="1">
            <w:r w:rsidR="005603AD" w:rsidRPr="005603AD">
              <w:rPr>
                <w:rStyle w:val="Hyperlink"/>
                <w:rFonts w:ascii="Times New Roman" w:hAnsi="Times New Roman" w:cs="Times New Roman"/>
                <w:noProof/>
                <w:sz w:val="24"/>
                <w:szCs w:val="24"/>
              </w:rPr>
              <w:t>1.</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Fiskālo risku vispārējā vadība</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_Toc536626708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4</w:t>
            </w:r>
            <w:r w:rsidR="005603AD" w:rsidRPr="005603AD">
              <w:rPr>
                <w:rFonts w:ascii="Times New Roman" w:hAnsi="Times New Roman" w:cs="Times New Roman"/>
                <w:noProof/>
                <w:webHidden/>
                <w:sz w:val="24"/>
                <w:szCs w:val="24"/>
              </w:rPr>
              <w:fldChar w:fldCharType="end"/>
            </w:r>
          </w:hyperlink>
        </w:p>
        <w:p w14:paraId="78D7EE35" w14:textId="4ACB5046" w:rsidR="005603AD" w:rsidRPr="005603AD" w:rsidRDefault="00A9144F">
          <w:pPr>
            <w:pStyle w:val="TOC2"/>
            <w:rPr>
              <w:rFonts w:ascii="Times New Roman" w:hAnsi="Times New Roman" w:cs="Times New Roman"/>
              <w:noProof/>
              <w:sz w:val="24"/>
              <w:szCs w:val="24"/>
              <w:lang w:eastAsia="lv-LV"/>
            </w:rPr>
          </w:pPr>
          <w:hyperlink w:anchor="_Toc536626709" w:history="1">
            <w:r w:rsidR="005603AD" w:rsidRPr="005603AD">
              <w:rPr>
                <w:rStyle w:val="Hyperlink"/>
                <w:rFonts w:ascii="Times New Roman" w:hAnsi="Times New Roman" w:cs="Times New Roman"/>
                <w:noProof/>
                <w:sz w:val="24"/>
                <w:szCs w:val="24"/>
              </w:rPr>
              <w:t>1.1.</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Fiskālo risku vispārējās vadības mehānisms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_Toc536626709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4</w:t>
            </w:r>
            <w:r w:rsidR="005603AD" w:rsidRPr="005603AD">
              <w:rPr>
                <w:rFonts w:ascii="Times New Roman" w:hAnsi="Times New Roman" w:cs="Times New Roman"/>
                <w:noProof/>
                <w:webHidden/>
                <w:sz w:val="24"/>
                <w:szCs w:val="24"/>
              </w:rPr>
              <w:fldChar w:fldCharType="end"/>
            </w:r>
          </w:hyperlink>
        </w:p>
        <w:p w14:paraId="0EDA630A" w14:textId="3EF1207F" w:rsidR="005603AD" w:rsidRPr="005603AD" w:rsidRDefault="00A9144F">
          <w:pPr>
            <w:pStyle w:val="TOC2"/>
            <w:rPr>
              <w:rFonts w:ascii="Times New Roman" w:hAnsi="Times New Roman" w:cs="Times New Roman"/>
              <w:noProof/>
              <w:sz w:val="24"/>
              <w:szCs w:val="24"/>
              <w:lang w:eastAsia="lv-LV"/>
            </w:rPr>
          </w:pPr>
          <w:hyperlink w:anchor="_Toc536626710" w:history="1">
            <w:r w:rsidR="005603AD" w:rsidRPr="005603AD">
              <w:rPr>
                <w:rStyle w:val="Hyperlink"/>
                <w:rFonts w:ascii="Times New Roman" w:hAnsi="Times New Roman" w:cs="Times New Roman"/>
                <w:noProof/>
                <w:sz w:val="24"/>
                <w:szCs w:val="24"/>
              </w:rPr>
              <w:t>1.2.</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Fiskālo risku klasifikācija</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_Toc536626710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5</w:t>
            </w:r>
            <w:r w:rsidR="005603AD" w:rsidRPr="005603AD">
              <w:rPr>
                <w:rFonts w:ascii="Times New Roman" w:hAnsi="Times New Roman" w:cs="Times New Roman"/>
                <w:noProof/>
                <w:webHidden/>
                <w:sz w:val="24"/>
                <w:szCs w:val="24"/>
              </w:rPr>
              <w:fldChar w:fldCharType="end"/>
            </w:r>
          </w:hyperlink>
        </w:p>
        <w:p w14:paraId="6B162CCE" w14:textId="2C0BCC7E" w:rsidR="005603AD" w:rsidRPr="005603AD" w:rsidRDefault="00A9144F">
          <w:pPr>
            <w:pStyle w:val="TOC2"/>
            <w:rPr>
              <w:rFonts w:ascii="Times New Roman" w:hAnsi="Times New Roman" w:cs="Times New Roman"/>
              <w:noProof/>
              <w:sz w:val="24"/>
              <w:szCs w:val="24"/>
              <w:lang w:eastAsia="lv-LV"/>
            </w:rPr>
          </w:pPr>
          <w:hyperlink w:anchor="_Toc536626711" w:history="1">
            <w:r w:rsidR="005603AD" w:rsidRPr="005603AD">
              <w:rPr>
                <w:rStyle w:val="Hyperlink"/>
                <w:rFonts w:ascii="Times New Roman" w:hAnsi="Times New Roman" w:cs="Times New Roman"/>
                <w:noProof/>
                <w:sz w:val="24"/>
                <w:szCs w:val="24"/>
              </w:rPr>
              <w:t>1.3.</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Fiskālo risku ietekmes un iestāšanās varbūtības novērtēšanas metodes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_Toc536626711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5</w:t>
            </w:r>
            <w:r w:rsidR="005603AD" w:rsidRPr="005603AD">
              <w:rPr>
                <w:rFonts w:ascii="Times New Roman" w:hAnsi="Times New Roman" w:cs="Times New Roman"/>
                <w:noProof/>
                <w:webHidden/>
                <w:sz w:val="24"/>
                <w:szCs w:val="24"/>
              </w:rPr>
              <w:fldChar w:fldCharType="end"/>
            </w:r>
          </w:hyperlink>
        </w:p>
        <w:p w14:paraId="4CC1C130" w14:textId="12914350" w:rsidR="005603AD" w:rsidRPr="005603AD" w:rsidRDefault="00A9144F">
          <w:pPr>
            <w:pStyle w:val="TOC1"/>
            <w:rPr>
              <w:rFonts w:ascii="Times New Roman" w:hAnsi="Times New Roman" w:cs="Times New Roman"/>
              <w:noProof/>
              <w:sz w:val="24"/>
              <w:szCs w:val="24"/>
              <w:lang w:eastAsia="lv-LV"/>
            </w:rPr>
          </w:pPr>
          <w:hyperlink w:anchor="_Toc536626712" w:history="1">
            <w:r w:rsidR="005603AD" w:rsidRPr="005603AD">
              <w:rPr>
                <w:rStyle w:val="Hyperlink"/>
                <w:rFonts w:ascii="Times New Roman" w:hAnsi="Times New Roman" w:cs="Times New Roman"/>
                <w:noProof/>
                <w:sz w:val="24"/>
                <w:szCs w:val="24"/>
              </w:rPr>
              <w:t>2.</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Kvantificējamie fiskālie riski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_Toc536626712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7</w:t>
            </w:r>
            <w:r w:rsidR="005603AD" w:rsidRPr="005603AD">
              <w:rPr>
                <w:rFonts w:ascii="Times New Roman" w:hAnsi="Times New Roman" w:cs="Times New Roman"/>
                <w:noProof/>
                <w:webHidden/>
                <w:sz w:val="24"/>
                <w:szCs w:val="24"/>
              </w:rPr>
              <w:fldChar w:fldCharType="end"/>
            </w:r>
          </w:hyperlink>
        </w:p>
        <w:p w14:paraId="401D2D12" w14:textId="080B3A2D" w:rsidR="005603AD" w:rsidRPr="005603AD" w:rsidRDefault="00A9144F">
          <w:pPr>
            <w:pStyle w:val="TOC2"/>
            <w:rPr>
              <w:rFonts w:ascii="Times New Roman" w:hAnsi="Times New Roman" w:cs="Times New Roman"/>
              <w:noProof/>
              <w:sz w:val="24"/>
              <w:szCs w:val="24"/>
              <w:lang w:eastAsia="lv-LV"/>
            </w:rPr>
          </w:pPr>
          <w:hyperlink w:anchor="_Toc536626713" w:history="1">
            <w:r w:rsidR="005603AD" w:rsidRPr="005603AD">
              <w:rPr>
                <w:rStyle w:val="Hyperlink"/>
                <w:rFonts w:ascii="Times New Roman" w:hAnsi="Times New Roman" w:cs="Times New Roman"/>
                <w:noProof/>
                <w:sz w:val="24"/>
                <w:szCs w:val="24"/>
              </w:rPr>
              <w:t>2.1.</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Valsts un pašvaldību galvojumi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_Toc536626713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7</w:t>
            </w:r>
            <w:r w:rsidR="005603AD" w:rsidRPr="005603AD">
              <w:rPr>
                <w:rFonts w:ascii="Times New Roman" w:hAnsi="Times New Roman" w:cs="Times New Roman"/>
                <w:noProof/>
                <w:webHidden/>
                <w:sz w:val="24"/>
                <w:szCs w:val="24"/>
              </w:rPr>
              <w:fldChar w:fldCharType="end"/>
            </w:r>
          </w:hyperlink>
        </w:p>
        <w:p w14:paraId="3A56F530" w14:textId="4BE38DE9" w:rsidR="005603AD" w:rsidRPr="005603AD" w:rsidRDefault="00A9144F">
          <w:pPr>
            <w:pStyle w:val="TOC2"/>
            <w:rPr>
              <w:rFonts w:ascii="Times New Roman" w:hAnsi="Times New Roman" w:cs="Times New Roman"/>
              <w:noProof/>
              <w:sz w:val="24"/>
              <w:szCs w:val="24"/>
              <w:lang w:eastAsia="lv-LV"/>
            </w:rPr>
          </w:pPr>
          <w:hyperlink w:anchor="_Toc536626714" w:history="1">
            <w:r w:rsidR="005603AD" w:rsidRPr="005603AD">
              <w:rPr>
                <w:rStyle w:val="Hyperlink"/>
                <w:rFonts w:ascii="Times New Roman" w:hAnsi="Times New Roman" w:cs="Times New Roman"/>
                <w:noProof/>
                <w:sz w:val="24"/>
                <w:szCs w:val="24"/>
              </w:rPr>
              <w:t>2.2.</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Valsts galvojums studiju un studējošo kreditēšanai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_Toc536626714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8</w:t>
            </w:r>
            <w:r w:rsidR="005603AD" w:rsidRPr="005603AD">
              <w:rPr>
                <w:rFonts w:ascii="Times New Roman" w:hAnsi="Times New Roman" w:cs="Times New Roman"/>
                <w:noProof/>
                <w:webHidden/>
                <w:sz w:val="24"/>
                <w:szCs w:val="24"/>
              </w:rPr>
              <w:fldChar w:fldCharType="end"/>
            </w:r>
          </w:hyperlink>
        </w:p>
        <w:p w14:paraId="350910A0" w14:textId="2150C866" w:rsidR="005603AD" w:rsidRPr="005603AD" w:rsidRDefault="00A9144F">
          <w:pPr>
            <w:pStyle w:val="TOC2"/>
            <w:rPr>
              <w:rFonts w:ascii="Times New Roman" w:hAnsi="Times New Roman" w:cs="Times New Roman"/>
              <w:noProof/>
              <w:sz w:val="24"/>
              <w:szCs w:val="24"/>
              <w:lang w:eastAsia="lv-LV"/>
            </w:rPr>
          </w:pPr>
          <w:hyperlink w:anchor="_Toc536626715" w:history="1">
            <w:r w:rsidR="005603AD" w:rsidRPr="005603AD">
              <w:rPr>
                <w:rStyle w:val="Hyperlink"/>
                <w:rFonts w:ascii="Times New Roman" w:hAnsi="Times New Roman" w:cs="Times New Roman"/>
                <w:noProof/>
                <w:sz w:val="24"/>
                <w:szCs w:val="24"/>
              </w:rPr>
              <w:t>2.3.</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Valsts aizdevumi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_Toc536626715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9</w:t>
            </w:r>
            <w:r w:rsidR="005603AD" w:rsidRPr="005603AD">
              <w:rPr>
                <w:rFonts w:ascii="Times New Roman" w:hAnsi="Times New Roman" w:cs="Times New Roman"/>
                <w:noProof/>
                <w:webHidden/>
                <w:sz w:val="24"/>
                <w:szCs w:val="24"/>
              </w:rPr>
              <w:fldChar w:fldCharType="end"/>
            </w:r>
          </w:hyperlink>
        </w:p>
        <w:p w14:paraId="37CF89F7" w14:textId="60EB2E57" w:rsidR="005603AD" w:rsidRPr="005603AD" w:rsidRDefault="00A9144F">
          <w:pPr>
            <w:pStyle w:val="TOC2"/>
            <w:rPr>
              <w:rFonts w:ascii="Times New Roman" w:hAnsi="Times New Roman" w:cs="Times New Roman"/>
              <w:noProof/>
              <w:sz w:val="24"/>
              <w:szCs w:val="24"/>
              <w:lang w:eastAsia="lv-LV"/>
            </w:rPr>
          </w:pPr>
          <w:hyperlink w:anchor="_Toc536626716" w:history="1">
            <w:r w:rsidR="005603AD" w:rsidRPr="005603AD">
              <w:rPr>
                <w:rStyle w:val="Hyperlink"/>
                <w:rFonts w:ascii="Times New Roman" w:hAnsi="Times New Roman" w:cs="Times New Roman"/>
                <w:noProof/>
                <w:sz w:val="24"/>
                <w:szCs w:val="24"/>
              </w:rPr>
              <w:t>2.4.</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Kvantificējamie riski labklājības nozarē</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_Toc536626716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10</w:t>
            </w:r>
            <w:r w:rsidR="005603AD" w:rsidRPr="005603AD">
              <w:rPr>
                <w:rFonts w:ascii="Times New Roman" w:hAnsi="Times New Roman" w:cs="Times New Roman"/>
                <w:noProof/>
                <w:webHidden/>
                <w:sz w:val="24"/>
                <w:szCs w:val="24"/>
              </w:rPr>
              <w:fldChar w:fldCharType="end"/>
            </w:r>
          </w:hyperlink>
        </w:p>
        <w:p w14:paraId="2FEC9948" w14:textId="152BFE59" w:rsidR="005603AD" w:rsidRPr="005603AD" w:rsidRDefault="00A9144F">
          <w:pPr>
            <w:pStyle w:val="TOC2"/>
            <w:rPr>
              <w:rFonts w:ascii="Times New Roman" w:hAnsi="Times New Roman" w:cs="Times New Roman"/>
              <w:noProof/>
              <w:sz w:val="24"/>
              <w:szCs w:val="24"/>
              <w:lang w:eastAsia="lv-LV"/>
            </w:rPr>
          </w:pPr>
          <w:hyperlink w:anchor="_Toc536626717" w:history="1">
            <w:r w:rsidR="005603AD" w:rsidRPr="005603AD">
              <w:rPr>
                <w:rStyle w:val="Hyperlink"/>
                <w:rFonts w:ascii="Times New Roman" w:hAnsi="Times New Roman" w:cs="Times New Roman"/>
                <w:noProof/>
                <w:sz w:val="24"/>
                <w:szCs w:val="24"/>
              </w:rPr>
              <w:t>2.5.</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Kārtējo maksājumu Eiropas Savienības budžetā un starptautiskai sadarbībai pieaugums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_Toc536626717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13</w:t>
            </w:r>
            <w:r w:rsidR="005603AD" w:rsidRPr="005603AD">
              <w:rPr>
                <w:rFonts w:ascii="Times New Roman" w:hAnsi="Times New Roman" w:cs="Times New Roman"/>
                <w:noProof/>
                <w:webHidden/>
                <w:sz w:val="24"/>
                <w:szCs w:val="24"/>
              </w:rPr>
              <w:fldChar w:fldCharType="end"/>
            </w:r>
          </w:hyperlink>
        </w:p>
        <w:p w14:paraId="22C11CC0" w14:textId="0828D52F" w:rsidR="005603AD" w:rsidRPr="005603AD" w:rsidRDefault="00A9144F">
          <w:pPr>
            <w:pStyle w:val="TOC2"/>
            <w:rPr>
              <w:rFonts w:ascii="Times New Roman" w:hAnsi="Times New Roman" w:cs="Times New Roman"/>
              <w:noProof/>
              <w:sz w:val="24"/>
              <w:szCs w:val="24"/>
              <w:lang w:eastAsia="lv-LV"/>
            </w:rPr>
          </w:pPr>
          <w:hyperlink w:anchor="_Toc536626718" w:history="1">
            <w:r w:rsidR="005603AD" w:rsidRPr="005603AD">
              <w:rPr>
                <w:rStyle w:val="Hyperlink"/>
                <w:rFonts w:ascii="Times New Roman" w:hAnsi="Times New Roman" w:cs="Times New Roman"/>
                <w:noProof/>
                <w:sz w:val="24"/>
                <w:szCs w:val="24"/>
              </w:rPr>
              <w:t>2.6.</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Eiropas Savienības politiku instrumentu un citu ārvalstu finanšu palīdzības programmas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_Toc536626718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14</w:t>
            </w:r>
            <w:r w:rsidR="005603AD" w:rsidRPr="005603AD">
              <w:rPr>
                <w:rFonts w:ascii="Times New Roman" w:hAnsi="Times New Roman" w:cs="Times New Roman"/>
                <w:noProof/>
                <w:webHidden/>
                <w:sz w:val="24"/>
                <w:szCs w:val="24"/>
              </w:rPr>
              <w:fldChar w:fldCharType="end"/>
            </w:r>
          </w:hyperlink>
        </w:p>
        <w:p w14:paraId="6578B110" w14:textId="2A4292FB" w:rsidR="005603AD" w:rsidRPr="005603AD" w:rsidRDefault="00A9144F">
          <w:pPr>
            <w:pStyle w:val="TOC2"/>
            <w:rPr>
              <w:rFonts w:ascii="Times New Roman" w:hAnsi="Times New Roman" w:cs="Times New Roman"/>
              <w:noProof/>
              <w:sz w:val="24"/>
              <w:szCs w:val="24"/>
              <w:lang w:eastAsia="lv-LV"/>
            </w:rPr>
          </w:pPr>
          <w:hyperlink w:anchor="_Toc536626719" w:history="1">
            <w:r w:rsidR="005603AD" w:rsidRPr="005603AD">
              <w:rPr>
                <w:rStyle w:val="Hyperlink"/>
                <w:rFonts w:ascii="Times New Roman" w:hAnsi="Times New Roman" w:cs="Times New Roman"/>
                <w:noProof/>
                <w:sz w:val="24"/>
                <w:szCs w:val="24"/>
              </w:rPr>
              <w:t>2.7.</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Kapitāls uz pieprasījumu</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_Toc536626719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15</w:t>
            </w:r>
            <w:r w:rsidR="005603AD" w:rsidRPr="005603AD">
              <w:rPr>
                <w:rFonts w:ascii="Times New Roman" w:hAnsi="Times New Roman" w:cs="Times New Roman"/>
                <w:noProof/>
                <w:webHidden/>
                <w:sz w:val="24"/>
                <w:szCs w:val="24"/>
              </w:rPr>
              <w:fldChar w:fldCharType="end"/>
            </w:r>
          </w:hyperlink>
        </w:p>
        <w:p w14:paraId="622D9F4F" w14:textId="27A8A32E" w:rsidR="005603AD" w:rsidRPr="005603AD" w:rsidRDefault="00A9144F">
          <w:pPr>
            <w:pStyle w:val="TOC2"/>
            <w:rPr>
              <w:rFonts w:ascii="Times New Roman" w:hAnsi="Times New Roman" w:cs="Times New Roman"/>
              <w:noProof/>
              <w:sz w:val="24"/>
              <w:szCs w:val="24"/>
              <w:lang w:eastAsia="lv-LV"/>
            </w:rPr>
          </w:pPr>
          <w:hyperlink w:anchor="_Toc536626720" w:history="1">
            <w:r w:rsidR="005603AD" w:rsidRPr="005603AD">
              <w:rPr>
                <w:rStyle w:val="Hyperlink"/>
                <w:rFonts w:ascii="Times New Roman" w:hAnsi="Times New Roman" w:cs="Times New Roman"/>
                <w:noProof/>
                <w:sz w:val="24"/>
                <w:szCs w:val="24"/>
              </w:rPr>
              <w:t>2.8.</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Valsts kapitālsabiedrības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_Toc536626720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16</w:t>
            </w:r>
            <w:r w:rsidR="005603AD" w:rsidRPr="005603AD">
              <w:rPr>
                <w:rFonts w:ascii="Times New Roman" w:hAnsi="Times New Roman" w:cs="Times New Roman"/>
                <w:noProof/>
                <w:webHidden/>
                <w:sz w:val="24"/>
                <w:szCs w:val="24"/>
              </w:rPr>
              <w:fldChar w:fldCharType="end"/>
            </w:r>
          </w:hyperlink>
        </w:p>
        <w:p w14:paraId="0B457424" w14:textId="2DDAAA32" w:rsidR="005603AD" w:rsidRPr="005603AD" w:rsidRDefault="00A9144F">
          <w:pPr>
            <w:pStyle w:val="TOC2"/>
            <w:rPr>
              <w:rFonts w:ascii="Times New Roman" w:hAnsi="Times New Roman" w:cs="Times New Roman"/>
              <w:noProof/>
              <w:sz w:val="24"/>
              <w:szCs w:val="24"/>
              <w:lang w:eastAsia="lv-LV"/>
            </w:rPr>
          </w:pPr>
          <w:hyperlink w:anchor="_Toc536626721" w:history="1">
            <w:r w:rsidR="005603AD" w:rsidRPr="005603AD">
              <w:rPr>
                <w:rStyle w:val="Hyperlink"/>
                <w:rFonts w:ascii="Times New Roman" w:hAnsi="Times New Roman" w:cs="Times New Roman"/>
                <w:noProof/>
                <w:sz w:val="24"/>
                <w:szCs w:val="24"/>
              </w:rPr>
              <w:t>2.9.</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Enerģijas publiskais tirgotājs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_Toc536626721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19</w:t>
            </w:r>
            <w:r w:rsidR="005603AD" w:rsidRPr="005603AD">
              <w:rPr>
                <w:rFonts w:ascii="Times New Roman" w:hAnsi="Times New Roman" w:cs="Times New Roman"/>
                <w:noProof/>
                <w:webHidden/>
                <w:sz w:val="24"/>
                <w:szCs w:val="24"/>
              </w:rPr>
              <w:fldChar w:fldCharType="end"/>
            </w:r>
          </w:hyperlink>
        </w:p>
        <w:p w14:paraId="028545C6" w14:textId="46A5D419" w:rsidR="005603AD" w:rsidRPr="005603AD" w:rsidRDefault="00A9144F">
          <w:pPr>
            <w:pStyle w:val="TOC1"/>
            <w:rPr>
              <w:rFonts w:ascii="Times New Roman" w:hAnsi="Times New Roman" w:cs="Times New Roman"/>
              <w:noProof/>
              <w:sz w:val="24"/>
              <w:szCs w:val="24"/>
              <w:lang w:eastAsia="lv-LV"/>
            </w:rPr>
          </w:pPr>
          <w:hyperlink w:anchor="_Toc536626722" w:history="1">
            <w:r w:rsidR="005603AD" w:rsidRPr="005603AD">
              <w:rPr>
                <w:rStyle w:val="Hyperlink"/>
                <w:rFonts w:ascii="Times New Roman" w:hAnsi="Times New Roman" w:cs="Times New Roman"/>
                <w:noProof/>
                <w:sz w:val="24"/>
                <w:szCs w:val="24"/>
              </w:rPr>
              <w:t>3.</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Nekvantificējamie fiskālie riski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_Toc536626722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20</w:t>
            </w:r>
            <w:r w:rsidR="005603AD" w:rsidRPr="005603AD">
              <w:rPr>
                <w:rFonts w:ascii="Times New Roman" w:hAnsi="Times New Roman" w:cs="Times New Roman"/>
                <w:noProof/>
                <w:webHidden/>
                <w:sz w:val="24"/>
                <w:szCs w:val="24"/>
              </w:rPr>
              <w:fldChar w:fldCharType="end"/>
            </w:r>
          </w:hyperlink>
        </w:p>
        <w:p w14:paraId="4DD2755A" w14:textId="462C165D" w:rsidR="005603AD" w:rsidRPr="005603AD" w:rsidRDefault="00A9144F">
          <w:pPr>
            <w:pStyle w:val="TOC2"/>
            <w:rPr>
              <w:rFonts w:ascii="Times New Roman" w:hAnsi="Times New Roman" w:cs="Times New Roman"/>
              <w:noProof/>
              <w:sz w:val="24"/>
              <w:szCs w:val="24"/>
              <w:lang w:eastAsia="lv-LV"/>
            </w:rPr>
          </w:pPr>
          <w:hyperlink w:anchor="_Toc536626723" w:history="1">
            <w:r w:rsidR="005603AD" w:rsidRPr="005603AD">
              <w:rPr>
                <w:rStyle w:val="Hyperlink"/>
                <w:rFonts w:ascii="Times New Roman" w:hAnsi="Times New Roman" w:cs="Times New Roman"/>
                <w:noProof/>
                <w:sz w:val="24"/>
                <w:szCs w:val="24"/>
              </w:rPr>
              <w:t>3.1.</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Publiskās un privātās partnerības (t.sk. koncesijas) projekti</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_Toc536626723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20</w:t>
            </w:r>
            <w:r w:rsidR="005603AD" w:rsidRPr="005603AD">
              <w:rPr>
                <w:rFonts w:ascii="Times New Roman" w:hAnsi="Times New Roman" w:cs="Times New Roman"/>
                <w:noProof/>
                <w:webHidden/>
                <w:sz w:val="24"/>
                <w:szCs w:val="24"/>
              </w:rPr>
              <w:fldChar w:fldCharType="end"/>
            </w:r>
          </w:hyperlink>
        </w:p>
        <w:p w14:paraId="1DECCEEC" w14:textId="585C79C7" w:rsidR="005603AD" w:rsidRPr="005603AD" w:rsidRDefault="00A9144F">
          <w:pPr>
            <w:pStyle w:val="TOC2"/>
            <w:rPr>
              <w:rFonts w:ascii="Times New Roman" w:hAnsi="Times New Roman" w:cs="Times New Roman"/>
              <w:noProof/>
              <w:sz w:val="24"/>
              <w:szCs w:val="24"/>
              <w:lang w:eastAsia="lv-LV"/>
            </w:rPr>
          </w:pPr>
          <w:hyperlink w:anchor="_Toc536626724" w:history="1">
            <w:r w:rsidR="005603AD" w:rsidRPr="005603AD">
              <w:rPr>
                <w:rStyle w:val="Hyperlink"/>
                <w:rFonts w:ascii="Times New Roman" w:hAnsi="Times New Roman" w:cs="Times New Roman"/>
                <w:noProof/>
                <w:sz w:val="24"/>
                <w:szCs w:val="24"/>
              </w:rPr>
              <w:t>3.2.</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Starptautisko tiesu un Satversmes tiesas spriedumu izpilde</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_Toc536626724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23</w:t>
            </w:r>
            <w:r w:rsidR="005603AD" w:rsidRPr="005603AD">
              <w:rPr>
                <w:rFonts w:ascii="Times New Roman" w:hAnsi="Times New Roman" w:cs="Times New Roman"/>
                <w:noProof/>
                <w:webHidden/>
                <w:sz w:val="24"/>
                <w:szCs w:val="24"/>
              </w:rPr>
              <w:fldChar w:fldCharType="end"/>
            </w:r>
          </w:hyperlink>
        </w:p>
        <w:p w14:paraId="20CAFA52" w14:textId="772517BD" w:rsidR="005603AD" w:rsidRPr="005603AD" w:rsidRDefault="00A9144F">
          <w:pPr>
            <w:pStyle w:val="TOC3"/>
            <w:tabs>
              <w:tab w:val="right" w:leader="dot" w:pos="9628"/>
            </w:tabs>
            <w:rPr>
              <w:rFonts w:ascii="Times New Roman" w:hAnsi="Times New Roman" w:cs="Times New Roman"/>
              <w:noProof/>
              <w:sz w:val="24"/>
              <w:szCs w:val="24"/>
              <w:lang w:eastAsia="lv-LV"/>
            </w:rPr>
          </w:pPr>
          <w:hyperlink w:anchor="_Toc536626725" w:history="1">
            <w:r w:rsidR="005603AD" w:rsidRPr="005603AD">
              <w:rPr>
                <w:rStyle w:val="Hyperlink"/>
                <w:rFonts w:ascii="Times New Roman" w:eastAsia="Times New Roman" w:hAnsi="Times New Roman" w:cs="Times New Roman"/>
                <w:noProof/>
                <w:sz w:val="24"/>
                <w:szCs w:val="24"/>
                <w:lang w:eastAsia="lv-LV"/>
              </w:rPr>
              <w:t>3.2.1.Tiesnešu algas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_Toc536626725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25</w:t>
            </w:r>
            <w:r w:rsidR="005603AD" w:rsidRPr="005603AD">
              <w:rPr>
                <w:rFonts w:ascii="Times New Roman" w:hAnsi="Times New Roman" w:cs="Times New Roman"/>
                <w:noProof/>
                <w:webHidden/>
                <w:sz w:val="24"/>
                <w:szCs w:val="24"/>
              </w:rPr>
              <w:fldChar w:fldCharType="end"/>
            </w:r>
          </w:hyperlink>
        </w:p>
        <w:p w14:paraId="25F1D350" w14:textId="39EC8E37" w:rsidR="005603AD" w:rsidRPr="005603AD" w:rsidRDefault="00A9144F">
          <w:pPr>
            <w:pStyle w:val="TOC2"/>
            <w:rPr>
              <w:rFonts w:ascii="Times New Roman" w:hAnsi="Times New Roman" w:cs="Times New Roman"/>
              <w:noProof/>
              <w:sz w:val="24"/>
              <w:szCs w:val="24"/>
              <w:lang w:eastAsia="lv-LV"/>
            </w:rPr>
          </w:pPr>
          <w:hyperlink w:anchor="_Toc536626726" w:history="1">
            <w:r w:rsidR="005603AD" w:rsidRPr="005603AD">
              <w:rPr>
                <w:rStyle w:val="Hyperlink"/>
                <w:rFonts w:ascii="Times New Roman" w:hAnsi="Times New Roman" w:cs="Times New Roman"/>
                <w:noProof/>
                <w:sz w:val="24"/>
                <w:szCs w:val="24"/>
              </w:rPr>
              <w:t>3.3.</w:t>
            </w:r>
            <w:r w:rsidR="005603AD" w:rsidRPr="005603AD">
              <w:rPr>
                <w:rFonts w:ascii="Times New Roman" w:hAnsi="Times New Roman" w:cs="Times New Roman"/>
                <w:noProof/>
                <w:sz w:val="24"/>
                <w:szCs w:val="24"/>
                <w:lang w:eastAsia="lv-LV"/>
              </w:rPr>
              <w:tab/>
            </w:r>
            <w:r w:rsidR="005603AD" w:rsidRPr="005603AD">
              <w:rPr>
                <w:rStyle w:val="Hyperlink"/>
                <w:rFonts w:ascii="Times New Roman" w:hAnsi="Times New Roman" w:cs="Times New Roman"/>
                <w:noProof/>
                <w:sz w:val="24"/>
                <w:szCs w:val="24"/>
              </w:rPr>
              <w:t>Finanšu sektors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_Toc536626726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25</w:t>
            </w:r>
            <w:r w:rsidR="005603AD" w:rsidRPr="005603AD">
              <w:rPr>
                <w:rFonts w:ascii="Times New Roman" w:hAnsi="Times New Roman" w:cs="Times New Roman"/>
                <w:noProof/>
                <w:webHidden/>
                <w:sz w:val="24"/>
                <w:szCs w:val="24"/>
              </w:rPr>
              <w:fldChar w:fldCharType="end"/>
            </w:r>
          </w:hyperlink>
        </w:p>
        <w:p w14:paraId="49446E64" w14:textId="6A7B8240" w:rsidR="005603AD" w:rsidRPr="005603AD" w:rsidRDefault="00A9144F">
          <w:pPr>
            <w:pStyle w:val="TOC1"/>
            <w:rPr>
              <w:rFonts w:ascii="Times New Roman" w:hAnsi="Times New Roman" w:cs="Times New Roman"/>
              <w:noProof/>
              <w:sz w:val="24"/>
              <w:szCs w:val="24"/>
              <w:lang w:eastAsia="lv-LV"/>
            </w:rPr>
          </w:pPr>
          <w:hyperlink w:anchor="_Toc536626727" w:history="1">
            <w:r w:rsidR="005603AD" w:rsidRPr="005603AD">
              <w:rPr>
                <w:rStyle w:val="Hyperlink"/>
                <w:rFonts w:ascii="Times New Roman" w:hAnsi="Times New Roman" w:cs="Times New Roman"/>
                <w:noProof/>
                <w:sz w:val="24"/>
                <w:szCs w:val="24"/>
              </w:rPr>
              <w:t>4. Iepriekšējā laika perioda fiskālo rādītāju iznākumu un prognožu salīdzinājums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_Toc536626727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28</w:t>
            </w:r>
            <w:r w:rsidR="005603AD" w:rsidRPr="005603AD">
              <w:rPr>
                <w:rFonts w:ascii="Times New Roman" w:hAnsi="Times New Roman" w:cs="Times New Roman"/>
                <w:noProof/>
                <w:webHidden/>
                <w:sz w:val="24"/>
                <w:szCs w:val="24"/>
              </w:rPr>
              <w:fldChar w:fldCharType="end"/>
            </w:r>
          </w:hyperlink>
        </w:p>
        <w:p w14:paraId="614BD35C" w14:textId="3DDAFA0F" w:rsidR="005603AD" w:rsidRPr="005603AD" w:rsidRDefault="00A9144F">
          <w:pPr>
            <w:pStyle w:val="TOC1"/>
            <w:rPr>
              <w:rFonts w:ascii="Times New Roman" w:hAnsi="Times New Roman" w:cs="Times New Roman"/>
              <w:noProof/>
              <w:sz w:val="24"/>
              <w:szCs w:val="24"/>
              <w:lang w:eastAsia="lv-LV"/>
            </w:rPr>
          </w:pPr>
          <w:hyperlink w:anchor="_Toc536626728" w:history="1">
            <w:r w:rsidR="005603AD" w:rsidRPr="005603AD">
              <w:rPr>
                <w:rStyle w:val="Hyperlink"/>
                <w:rFonts w:ascii="Times New Roman" w:hAnsi="Times New Roman" w:cs="Times New Roman"/>
                <w:noProof/>
                <w:sz w:val="24"/>
                <w:szCs w:val="24"/>
              </w:rPr>
              <w:t>5. Fiskālā nodrošinājuma rezerves aprēķins</w:t>
            </w:r>
            <w:r w:rsidR="005603AD" w:rsidRPr="005603AD">
              <w:rPr>
                <w:rFonts w:ascii="Times New Roman" w:hAnsi="Times New Roman" w:cs="Times New Roman"/>
                <w:noProof/>
                <w:webHidden/>
                <w:sz w:val="24"/>
                <w:szCs w:val="24"/>
              </w:rPr>
              <w:tab/>
            </w:r>
            <w:r w:rsidR="005603AD" w:rsidRPr="005603AD">
              <w:rPr>
                <w:rFonts w:ascii="Times New Roman" w:hAnsi="Times New Roman" w:cs="Times New Roman"/>
                <w:noProof/>
                <w:webHidden/>
                <w:sz w:val="24"/>
                <w:szCs w:val="24"/>
              </w:rPr>
              <w:fldChar w:fldCharType="begin"/>
            </w:r>
            <w:r w:rsidR="005603AD" w:rsidRPr="005603AD">
              <w:rPr>
                <w:rFonts w:ascii="Times New Roman" w:hAnsi="Times New Roman" w:cs="Times New Roman"/>
                <w:noProof/>
                <w:webHidden/>
                <w:sz w:val="24"/>
                <w:szCs w:val="24"/>
              </w:rPr>
              <w:instrText xml:space="preserve"> PAGEREF _Toc536626728 \h </w:instrText>
            </w:r>
            <w:r w:rsidR="005603AD" w:rsidRPr="005603AD">
              <w:rPr>
                <w:rFonts w:ascii="Times New Roman" w:hAnsi="Times New Roman" w:cs="Times New Roman"/>
                <w:noProof/>
                <w:webHidden/>
                <w:sz w:val="24"/>
                <w:szCs w:val="24"/>
              </w:rPr>
            </w:r>
            <w:r w:rsidR="005603AD" w:rsidRPr="005603AD">
              <w:rPr>
                <w:rFonts w:ascii="Times New Roman" w:hAnsi="Times New Roman" w:cs="Times New Roman"/>
                <w:noProof/>
                <w:webHidden/>
                <w:sz w:val="24"/>
                <w:szCs w:val="24"/>
              </w:rPr>
              <w:fldChar w:fldCharType="separate"/>
            </w:r>
            <w:r w:rsidR="005603AD" w:rsidRPr="005603AD">
              <w:rPr>
                <w:rFonts w:ascii="Times New Roman" w:hAnsi="Times New Roman" w:cs="Times New Roman"/>
                <w:noProof/>
                <w:webHidden/>
                <w:sz w:val="24"/>
                <w:szCs w:val="24"/>
              </w:rPr>
              <w:t>32</w:t>
            </w:r>
            <w:r w:rsidR="005603AD" w:rsidRPr="005603AD">
              <w:rPr>
                <w:rFonts w:ascii="Times New Roman" w:hAnsi="Times New Roman" w:cs="Times New Roman"/>
                <w:noProof/>
                <w:webHidden/>
                <w:sz w:val="24"/>
                <w:szCs w:val="24"/>
              </w:rPr>
              <w:fldChar w:fldCharType="end"/>
            </w:r>
          </w:hyperlink>
        </w:p>
        <w:p w14:paraId="4D05276D" w14:textId="77777777" w:rsidR="002A186B" w:rsidRPr="007F3E85" w:rsidRDefault="002A186B">
          <w:pPr>
            <w:rPr>
              <w:rFonts w:ascii="Times New Roman" w:hAnsi="Times New Roman" w:cs="Times New Roman"/>
              <w:sz w:val="24"/>
              <w:szCs w:val="24"/>
            </w:rPr>
          </w:pPr>
          <w:r w:rsidRPr="005603AD">
            <w:rPr>
              <w:rFonts w:ascii="Times New Roman" w:hAnsi="Times New Roman" w:cs="Times New Roman"/>
              <w:b/>
              <w:bCs/>
              <w:noProof/>
              <w:sz w:val="24"/>
              <w:szCs w:val="24"/>
            </w:rPr>
            <w:fldChar w:fldCharType="end"/>
          </w:r>
        </w:p>
      </w:sdtContent>
    </w:sdt>
    <w:p w14:paraId="59C6642D" w14:textId="77777777" w:rsidR="008F58C9" w:rsidRPr="008F58C9" w:rsidRDefault="008F58C9" w:rsidP="008F58C9">
      <w:pPr>
        <w:jc w:val="center"/>
        <w:rPr>
          <w:rFonts w:ascii="Times New Roman" w:hAnsi="Times New Roman" w:cs="Times New Roman"/>
          <w:szCs w:val="24"/>
        </w:rPr>
      </w:pPr>
    </w:p>
    <w:p w14:paraId="2AFDFB8C" w14:textId="77777777" w:rsidR="008F58C9" w:rsidRDefault="008F58C9">
      <w:pPr>
        <w:rPr>
          <w:szCs w:val="24"/>
        </w:rPr>
      </w:pPr>
      <w:r>
        <w:rPr>
          <w:szCs w:val="24"/>
        </w:rPr>
        <w:br w:type="page"/>
      </w:r>
    </w:p>
    <w:p w14:paraId="6CA80498" w14:textId="77777777" w:rsidR="008F58C9" w:rsidRPr="00B5470B" w:rsidRDefault="008F58C9" w:rsidP="00C14897">
      <w:pPr>
        <w:pStyle w:val="Heading1"/>
        <w:numPr>
          <w:ilvl w:val="0"/>
          <w:numId w:val="0"/>
        </w:numPr>
        <w:ind w:left="432"/>
        <w:jc w:val="right"/>
        <w:rPr>
          <w:rFonts w:ascii="Times New Roman" w:hAnsi="Times New Roman" w:cs="Times New Roman"/>
          <w:sz w:val="32"/>
        </w:rPr>
      </w:pPr>
      <w:bookmarkStart w:id="0" w:name="_Toc536626707"/>
      <w:r w:rsidRPr="00B5470B">
        <w:rPr>
          <w:rFonts w:ascii="Times New Roman" w:hAnsi="Times New Roman" w:cs="Times New Roman"/>
          <w:sz w:val="32"/>
        </w:rPr>
        <w:lastRenderedPageBreak/>
        <w:t>Ievads</w:t>
      </w:r>
      <w:bookmarkEnd w:id="0"/>
    </w:p>
    <w:p w14:paraId="04C53A27"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sidRPr="00AC7FAC">
        <w:rPr>
          <w:rFonts w:ascii="Times New Roman" w:hAnsi="Times New Roman" w:cs="Times New Roman"/>
          <w:sz w:val="24"/>
          <w:szCs w:val="24"/>
        </w:rPr>
        <w:t>Fiskālos riskus var definēt kā v</w:t>
      </w:r>
      <w:r>
        <w:rPr>
          <w:rFonts w:ascii="Times New Roman" w:hAnsi="Times New Roman" w:cs="Times New Roman"/>
          <w:sz w:val="24"/>
          <w:szCs w:val="24"/>
        </w:rPr>
        <w:t xml:space="preserve">arbūtību, ka fiskālie </w:t>
      </w:r>
      <w:r w:rsidR="005232A4">
        <w:rPr>
          <w:rFonts w:ascii="Times New Roman" w:hAnsi="Times New Roman" w:cs="Times New Roman"/>
          <w:sz w:val="24"/>
          <w:szCs w:val="24"/>
        </w:rPr>
        <w:t xml:space="preserve">rādītāji </w:t>
      </w:r>
      <w:r w:rsidRPr="00AC7FAC">
        <w:rPr>
          <w:rFonts w:ascii="Times New Roman" w:hAnsi="Times New Roman" w:cs="Times New Roman"/>
          <w:sz w:val="24"/>
          <w:szCs w:val="24"/>
        </w:rPr>
        <w:t>novirzās no prognozētaj</w:t>
      </w:r>
      <w:r w:rsidR="005232A4">
        <w:rPr>
          <w:rFonts w:ascii="Times New Roman" w:hAnsi="Times New Roman" w:cs="Times New Roman"/>
          <w:sz w:val="24"/>
          <w:szCs w:val="24"/>
        </w:rPr>
        <w:t>ām</w:t>
      </w:r>
      <w:r w:rsidRPr="00AC7FAC">
        <w:rPr>
          <w:rFonts w:ascii="Times New Roman" w:hAnsi="Times New Roman" w:cs="Times New Roman"/>
          <w:sz w:val="24"/>
          <w:szCs w:val="24"/>
        </w:rPr>
        <w:t xml:space="preserve"> </w:t>
      </w:r>
      <w:r w:rsidR="005232A4">
        <w:rPr>
          <w:rFonts w:ascii="Times New Roman" w:hAnsi="Times New Roman" w:cs="Times New Roman"/>
          <w:sz w:val="24"/>
          <w:szCs w:val="24"/>
        </w:rPr>
        <w:t>vērtībām</w:t>
      </w:r>
      <w:r w:rsidRPr="00AC7F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Fiskālo risku laicīga apzināšana ļauj valsts pārvaldei īstenot tādu budžeta politiku un pasākumus, lai ierobežotu finanšu problēmu veidošanos, jo </w:t>
      </w:r>
      <w:r w:rsidRPr="00A4529B">
        <w:rPr>
          <w:rFonts w:ascii="Times New Roman" w:hAnsi="Times New Roman" w:cs="Times New Roman"/>
          <w:color w:val="000000"/>
          <w:sz w:val="24"/>
          <w:szCs w:val="24"/>
        </w:rPr>
        <w:t xml:space="preserve">nesavlaicīga fiskālo risku apzināšana un to novēršanas plāna neesamība var izraisīt papildus valdības finansiālas saistības, finansēšanas nepieciešamības pieaugumu, valsts parāda būtisku pieaugumu, valsts parāda pārfinansēšanas risku un pat finanšu krīzi. </w:t>
      </w:r>
    </w:p>
    <w:p w14:paraId="1D549242" w14:textId="46D7C114" w:rsidR="00B205AA" w:rsidRDefault="00B205AA"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Fiskālo risku vadība tika izveidota ar </w:t>
      </w:r>
      <w:r w:rsidRPr="00A4529B">
        <w:rPr>
          <w:rFonts w:ascii="Times New Roman" w:hAnsi="Times New Roman" w:cs="Times New Roman"/>
          <w:color w:val="000000"/>
          <w:sz w:val="24"/>
          <w:szCs w:val="24"/>
        </w:rPr>
        <w:t>mērķi</w:t>
      </w:r>
      <w:r>
        <w:rPr>
          <w:rFonts w:ascii="Times New Roman" w:hAnsi="Times New Roman" w:cs="Times New Roman"/>
          <w:color w:val="000000"/>
          <w:sz w:val="24"/>
          <w:szCs w:val="24"/>
        </w:rPr>
        <w:t xml:space="preserve"> </w:t>
      </w:r>
      <w:r w:rsidRPr="00A4529B">
        <w:rPr>
          <w:rFonts w:ascii="Times New Roman" w:hAnsi="Times New Roman" w:cs="Times New Roman"/>
          <w:color w:val="000000"/>
          <w:sz w:val="24"/>
          <w:szCs w:val="24"/>
        </w:rPr>
        <w:t>nodrošināt fiskālo rādītāju (prognozētais iekšzemes kopprodukts (turpmāk – IKP), plānotā vispārējās valdības budžeta strukturālā bilance, plānotā vispārējās valdības budžeta bilance, prognozētie valsts budžeta ieņēmumi un koriģētie maksimāli pieļaujamie valsts budžeta izdevu</w:t>
      </w:r>
      <w:r w:rsidR="00974C98">
        <w:rPr>
          <w:rFonts w:ascii="Times New Roman" w:hAnsi="Times New Roman" w:cs="Times New Roman"/>
          <w:color w:val="000000"/>
          <w:sz w:val="24"/>
          <w:szCs w:val="24"/>
        </w:rPr>
        <w:t>mi) stabilitāti vidējā termiņā.</w:t>
      </w:r>
      <w:r>
        <w:rPr>
          <w:rFonts w:ascii="Times New Roman" w:hAnsi="Times New Roman" w:cs="Times New Roman"/>
          <w:color w:val="000000"/>
          <w:sz w:val="24"/>
          <w:szCs w:val="24"/>
        </w:rPr>
        <w:t xml:space="preserve"> </w:t>
      </w:r>
      <w:r w:rsidR="005232A4">
        <w:rPr>
          <w:rFonts w:ascii="Times New Roman" w:hAnsi="Times New Roman" w:cs="Times New Roman"/>
          <w:color w:val="000000"/>
          <w:sz w:val="24"/>
          <w:szCs w:val="24"/>
        </w:rPr>
        <w:t>F</w:t>
      </w:r>
      <w:r>
        <w:rPr>
          <w:rFonts w:ascii="Times New Roman" w:hAnsi="Times New Roman" w:cs="Times New Roman"/>
          <w:color w:val="000000"/>
          <w:sz w:val="24"/>
          <w:szCs w:val="24"/>
        </w:rPr>
        <w:t>iskālo risku vispārējās vadības mehānisms ir procedūru kopums</w:t>
      </w:r>
      <w:r w:rsidRPr="00A4529B">
        <w:rPr>
          <w:rFonts w:ascii="Times New Roman" w:hAnsi="Times New Roman" w:cs="Times New Roman"/>
          <w:color w:val="000000"/>
          <w:sz w:val="24"/>
          <w:szCs w:val="24"/>
        </w:rPr>
        <w:t>, kas ietver ikgadēju fiskālo risku identificēšanu, to iestāšanās varbūtības un fiskālās ietekmes novērtēšanu, kā arī fiskālo risku novēršanai vai mazināšanai nepieciešamo pasākumu izstrādi</w:t>
      </w:r>
      <w:r>
        <w:rPr>
          <w:rFonts w:ascii="Times New Roman" w:hAnsi="Times New Roman" w:cs="Times New Roman"/>
          <w:color w:val="000000"/>
          <w:sz w:val="24"/>
          <w:szCs w:val="24"/>
        </w:rPr>
        <w:t xml:space="preserve"> (detalizētāk skatīt 1.sadaļu “Fiskālo risku vispārējā vadība”)</w:t>
      </w:r>
      <w:r w:rsidRPr="00A4529B">
        <w:rPr>
          <w:rFonts w:ascii="Times New Roman" w:hAnsi="Times New Roman" w:cs="Times New Roman"/>
          <w:color w:val="000000"/>
          <w:sz w:val="24"/>
          <w:szCs w:val="24"/>
        </w:rPr>
        <w:t>.</w:t>
      </w:r>
    </w:p>
    <w:p w14:paraId="507BA845"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fiskālo risku klasifikācijai </w:t>
      </w:r>
      <w:r w:rsidRPr="00BA0795">
        <w:rPr>
          <w:rFonts w:ascii="Times New Roman" w:hAnsi="Times New Roman" w:cs="Times New Roman"/>
          <w:color w:val="000000"/>
          <w:sz w:val="24"/>
          <w:szCs w:val="24"/>
        </w:rPr>
        <w:t>(detalizētāk skatīt 1.sadaļu “Fiskālo risku vispārējā vadība”)</w:t>
      </w:r>
      <w:r>
        <w:rPr>
          <w:rFonts w:ascii="Times New Roman" w:hAnsi="Times New Roman" w:cs="Times New Roman"/>
          <w:color w:val="000000"/>
          <w:sz w:val="24"/>
          <w:szCs w:val="24"/>
        </w:rPr>
        <w:t xml:space="preserve"> fiskālie riski tiek iedalīti divās grupās – </w:t>
      </w:r>
      <w:r w:rsidRPr="00BA0795">
        <w:rPr>
          <w:rFonts w:ascii="Times New Roman" w:hAnsi="Times New Roman" w:cs="Times New Roman"/>
          <w:color w:val="000000"/>
          <w:sz w:val="24"/>
          <w:szCs w:val="24"/>
        </w:rPr>
        <w:t>kvantificējamie</w:t>
      </w:r>
      <w:r>
        <w:rPr>
          <w:rFonts w:ascii="Times New Roman" w:hAnsi="Times New Roman" w:cs="Times New Roman"/>
          <w:color w:val="000000"/>
          <w:sz w:val="24"/>
          <w:szCs w:val="24"/>
        </w:rPr>
        <w:t xml:space="preserve"> fiskālie riski</w:t>
      </w:r>
      <w:r w:rsidRPr="00BA0795">
        <w:rPr>
          <w:rFonts w:ascii="Times New Roman" w:hAnsi="Times New Roman" w:cs="Times New Roman"/>
          <w:color w:val="000000"/>
          <w:sz w:val="24"/>
          <w:szCs w:val="24"/>
        </w:rPr>
        <w:t xml:space="preserve"> un nekvantificējamie fiskālie riski</w:t>
      </w:r>
      <w:r>
        <w:rPr>
          <w:rFonts w:ascii="Times New Roman" w:hAnsi="Times New Roman" w:cs="Times New Roman"/>
          <w:color w:val="000000"/>
          <w:sz w:val="24"/>
          <w:szCs w:val="24"/>
        </w:rPr>
        <w:t xml:space="preserve"> – un attiecīgi to izklāsts ir iekļauts </w:t>
      </w:r>
      <w:r w:rsidRPr="00BA0795">
        <w:rPr>
          <w:rFonts w:ascii="Times New Roman" w:hAnsi="Times New Roman" w:cs="Times New Roman"/>
          <w:color w:val="000000"/>
          <w:sz w:val="24"/>
          <w:szCs w:val="24"/>
        </w:rPr>
        <w:t>2. un 3.sadaļā</w:t>
      </w:r>
      <w:r>
        <w:rPr>
          <w:rFonts w:ascii="Times New Roman" w:hAnsi="Times New Roman" w:cs="Times New Roman"/>
          <w:color w:val="000000"/>
          <w:sz w:val="24"/>
          <w:szCs w:val="24"/>
        </w:rPr>
        <w:t>.</w:t>
      </w:r>
      <w:r w:rsidRPr="007D7DF3">
        <w:rPr>
          <w:rFonts w:ascii="Times New Roman" w:hAnsi="Times New Roman" w:cs="Times New Roman"/>
          <w:color w:val="000000"/>
          <w:sz w:val="24"/>
          <w:szCs w:val="24"/>
        </w:rPr>
        <w:t xml:space="preserve"> Fiskālie riski tiek vērtēti kvalitatīvi, un, kur tas iespējams, arī kvantitatīvi. </w:t>
      </w:r>
    </w:p>
    <w:p w14:paraId="32F3450C" w14:textId="0781BF0F" w:rsidR="00B205AA" w:rsidRPr="000B423D" w:rsidRDefault="00B205AA" w:rsidP="00B205AA">
      <w:pPr>
        <w:spacing w:after="0" w:line="240" w:lineRule="auto"/>
        <w:ind w:firstLine="720"/>
        <w:jc w:val="both"/>
        <w:rPr>
          <w:rFonts w:ascii="Times New Roman" w:hAnsi="Times New Roman" w:cs="Times New Roman"/>
          <w:color w:val="000000"/>
          <w:sz w:val="24"/>
          <w:szCs w:val="24"/>
        </w:rPr>
      </w:pPr>
      <w:r w:rsidRPr="00BA0795">
        <w:rPr>
          <w:rFonts w:ascii="Times New Roman" w:hAnsi="Times New Roman" w:cs="Times New Roman"/>
          <w:bCs/>
          <w:sz w:val="24"/>
          <w:szCs w:val="24"/>
        </w:rPr>
        <w:t xml:space="preserve">Lai vērtētu fiskālo risku vadības sistēmas efektivitāti, </w:t>
      </w:r>
      <w:r>
        <w:rPr>
          <w:rFonts w:ascii="Times New Roman" w:hAnsi="Times New Roman" w:cs="Times New Roman"/>
          <w:color w:val="000000"/>
          <w:sz w:val="24"/>
          <w:szCs w:val="24"/>
        </w:rPr>
        <w:t xml:space="preserve">4.sadaļā tiek aplūkots </w:t>
      </w:r>
      <w:r>
        <w:rPr>
          <w:rFonts w:ascii="Times New Roman" w:hAnsi="Times New Roman" w:cs="Times New Roman"/>
          <w:bCs/>
          <w:sz w:val="24"/>
          <w:szCs w:val="24"/>
        </w:rPr>
        <w:t>fiskālo rādītāju (</w:t>
      </w:r>
      <w:r w:rsidRPr="00BA0795">
        <w:rPr>
          <w:rFonts w:ascii="Times New Roman" w:hAnsi="Times New Roman" w:cs="Times New Roman"/>
          <w:bCs/>
          <w:sz w:val="24"/>
          <w:szCs w:val="24"/>
        </w:rPr>
        <w:t>vispārējās valdības budžeta strukturālā bilance un vispārējās valdības budžeta bilance</w:t>
      </w:r>
      <w:r>
        <w:rPr>
          <w:rFonts w:ascii="Times New Roman" w:hAnsi="Times New Roman" w:cs="Times New Roman"/>
          <w:bCs/>
          <w:sz w:val="24"/>
          <w:szCs w:val="24"/>
        </w:rPr>
        <w:t xml:space="preserve">) </w:t>
      </w:r>
      <w:r w:rsidR="00974C98">
        <w:rPr>
          <w:rFonts w:ascii="Times New Roman" w:hAnsi="Times New Roman" w:cs="Times New Roman"/>
          <w:bCs/>
          <w:sz w:val="24"/>
          <w:szCs w:val="24"/>
        </w:rPr>
        <w:t>faktiskās izpildes</w:t>
      </w:r>
      <w:r>
        <w:rPr>
          <w:rFonts w:ascii="Times New Roman" w:hAnsi="Times New Roman" w:cs="Times New Roman"/>
          <w:bCs/>
          <w:sz w:val="24"/>
          <w:szCs w:val="24"/>
        </w:rPr>
        <w:t xml:space="preserve"> un prognožu salīdzinājums. </w:t>
      </w:r>
    </w:p>
    <w:p w14:paraId="39AC9901"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sidRPr="00A4529B">
        <w:rPr>
          <w:rFonts w:ascii="Times New Roman" w:hAnsi="Times New Roman" w:cs="Times New Roman"/>
          <w:color w:val="000000"/>
          <w:sz w:val="24"/>
          <w:szCs w:val="24"/>
        </w:rPr>
        <w:t>Fiskālo risku vispārējās vadības kvantitatīvais rezultāts ir fiskālā nodrošinājuma rezerve</w:t>
      </w:r>
      <w:r>
        <w:rPr>
          <w:rFonts w:ascii="Times New Roman" w:hAnsi="Times New Roman" w:cs="Times New Roman"/>
          <w:color w:val="000000"/>
          <w:sz w:val="24"/>
          <w:szCs w:val="24"/>
        </w:rPr>
        <w:t xml:space="preserve"> (detalizētāk skatīt 5.sadaļu “Fiskālā nodrošinājuma rezerves aprēķins”)</w:t>
      </w:r>
      <w:r w:rsidRPr="00A4529B">
        <w:rPr>
          <w:rFonts w:ascii="Times New Roman" w:hAnsi="Times New Roman" w:cs="Times New Roman"/>
          <w:color w:val="000000"/>
          <w:sz w:val="24"/>
          <w:szCs w:val="24"/>
        </w:rPr>
        <w:t>, kuras mērķis ir nodrošināt Vidēja termiņa budžeta ietvara likumā (turpmāk – Ietvara likums) attiecīgajam gadam noteikto vispārējās valdības budžeta bilances plānoto līmeni nelielu makroekonomisko svārstību gadījumā un fiskālo risku izrais</w:t>
      </w:r>
      <w:r>
        <w:rPr>
          <w:rFonts w:ascii="Times New Roman" w:hAnsi="Times New Roman" w:cs="Times New Roman"/>
          <w:color w:val="000000"/>
          <w:sz w:val="24"/>
          <w:szCs w:val="24"/>
        </w:rPr>
        <w:t>īto izdevumu segšanas gadījumā.</w:t>
      </w:r>
    </w:p>
    <w:p w14:paraId="2D768552" w14:textId="77777777" w:rsidR="00B205AA" w:rsidRPr="00A4529B" w:rsidDel="001D2FBC" w:rsidRDefault="00B205AA" w:rsidP="00B205AA">
      <w:pPr>
        <w:spacing w:after="0" w:line="240" w:lineRule="auto"/>
        <w:ind w:firstLine="720"/>
        <w:jc w:val="both"/>
        <w:rPr>
          <w:rFonts w:ascii="Times New Roman" w:hAnsi="Times New Roman" w:cs="Times New Roman"/>
          <w:color w:val="000000"/>
          <w:sz w:val="24"/>
          <w:szCs w:val="24"/>
        </w:rPr>
      </w:pPr>
      <w:r w:rsidRPr="00A4529B" w:rsidDel="001D2FBC">
        <w:rPr>
          <w:rFonts w:ascii="Times New Roman" w:hAnsi="Times New Roman" w:cs="Times New Roman"/>
          <w:color w:val="000000"/>
          <w:sz w:val="24"/>
          <w:szCs w:val="24"/>
        </w:rPr>
        <w:t xml:space="preserve">Atbilstoši </w:t>
      </w:r>
      <w:r>
        <w:rPr>
          <w:rFonts w:ascii="Times New Roman" w:hAnsi="Times New Roman" w:cs="Times New Roman"/>
          <w:color w:val="000000"/>
          <w:sz w:val="24"/>
          <w:szCs w:val="24"/>
        </w:rPr>
        <w:t xml:space="preserve">Fiskālās disciplīnas likuma (turpmāk – </w:t>
      </w:r>
      <w:r w:rsidRPr="00A4529B" w:rsidDel="001D2FBC">
        <w:rPr>
          <w:rFonts w:ascii="Times New Roman" w:hAnsi="Times New Roman" w:cs="Times New Roman"/>
          <w:color w:val="000000"/>
          <w:sz w:val="24"/>
          <w:szCs w:val="24"/>
        </w:rPr>
        <w:t>FDL</w:t>
      </w:r>
      <w:r>
        <w:rPr>
          <w:rFonts w:ascii="Times New Roman" w:hAnsi="Times New Roman" w:cs="Times New Roman"/>
          <w:color w:val="000000"/>
          <w:sz w:val="24"/>
          <w:szCs w:val="24"/>
        </w:rPr>
        <w:t>)</w:t>
      </w:r>
      <w:r w:rsidRPr="00A4529B" w:rsidDel="001D2FBC">
        <w:rPr>
          <w:rFonts w:ascii="Times New Roman" w:hAnsi="Times New Roman" w:cs="Times New Roman"/>
          <w:color w:val="000000"/>
          <w:sz w:val="24"/>
          <w:szCs w:val="24"/>
        </w:rPr>
        <w:t xml:space="preserve"> regulējumam, sagatavojot Ietvara likuma projektu, tiek aprēķināti koriģētie maksimāli pieļaujamie valsts budžeta izdevumi, kas savukārt tiek samazināti par fiskālā nodrošinājuma rezerves apmēru, kad tiek noteikts maksimāli pieļaujamais</w:t>
      </w:r>
      <w:r w:rsidR="006551E7">
        <w:rPr>
          <w:rFonts w:ascii="Times New Roman" w:hAnsi="Times New Roman" w:cs="Times New Roman"/>
          <w:color w:val="000000"/>
          <w:sz w:val="24"/>
          <w:szCs w:val="24"/>
        </w:rPr>
        <w:t xml:space="preserve"> centrālās valdības budžeta</w:t>
      </w:r>
      <w:r w:rsidRPr="00A4529B" w:rsidDel="001D2FBC">
        <w:rPr>
          <w:rFonts w:ascii="Times New Roman" w:hAnsi="Times New Roman" w:cs="Times New Roman"/>
          <w:color w:val="000000"/>
          <w:sz w:val="24"/>
          <w:szCs w:val="24"/>
        </w:rPr>
        <w:t xml:space="preserve"> izdevumu līmenis, kuru izmanto, sagatavojot gadskārtējo valsts budžeta likumprojektu. Tādā veidā tiek nodrošināts </w:t>
      </w:r>
      <w:r>
        <w:rPr>
          <w:rFonts w:ascii="Times New Roman" w:hAnsi="Times New Roman" w:cs="Times New Roman"/>
          <w:color w:val="000000"/>
          <w:sz w:val="24"/>
          <w:szCs w:val="24"/>
        </w:rPr>
        <w:t>“drošības spilvens”</w:t>
      </w:r>
      <w:r w:rsidRPr="00A4529B" w:rsidDel="001D2FBC">
        <w:rPr>
          <w:rFonts w:ascii="Times New Roman" w:hAnsi="Times New Roman" w:cs="Times New Roman"/>
          <w:color w:val="000000"/>
          <w:sz w:val="24"/>
          <w:szCs w:val="24"/>
        </w:rPr>
        <w:t xml:space="preserve">, ja makroekonomiskie un fiskālie rādītāji </w:t>
      </w:r>
      <w:r>
        <w:rPr>
          <w:rFonts w:ascii="Times New Roman" w:hAnsi="Times New Roman" w:cs="Times New Roman"/>
          <w:color w:val="000000"/>
          <w:sz w:val="24"/>
          <w:szCs w:val="24"/>
        </w:rPr>
        <w:t>novirzās</w:t>
      </w:r>
      <w:r w:rsidRPr="00A4529B" w:rsidDel="001D2FBC">
        <w:rPr>
          <w:rFonts w:ascii="Times New Roman" w:hAnsi="Times New Roman" w:cs="Times New Roman"/>
          <w:color w:val="000000"/>
          <w:sz w:val="24"/>
          <w:szCs w:val="24"/>
        </w:rPr>
        <w:t xml:space="preserve"> no to plānotajām vērtībām.</w:t>
      </w:r>
    </w:p>
    <w:p w14:paraId="36E558FB" w14:textId="5DF976AB" w:rsidR="00B205AA" w:rsidRPr="00C9279C" w:rsidRDefault="00B205AA" w:rsidP="00B205AA">
      <w:pPr>
        <w:spacing w:after="0" w:line="240" w:lineRule="auto"/>
        <w:ind w:firstLine="720"/>
        <w:jc w:val="both"/>
        <w:rPr>
          <w:rFonts w:ascii="Times New Roman" w:hAnsi="Times New Roman"/>
          <w:strike/>
          <w:sz w:val="24"/>
          <w:szCs w:val="24"/>
        </w:rPr>
      </w:pPr>
      <w:r w:rsidRPr="00A4529B">
        <w:rPr>
          <w:rFonts w:ascii="Times New Roman" w:hAnsi="Times New Roman" w:cs="Times New Roman"/>
          <w:color w:val="000000"/>
          <w:sz w:val="24"/>
          <w:szCs w:val="24"/>
        </w:rPr>
        <w:t xml:space="preserve">Ietvara likuma projektā noteikto fiskālo rādītāju stabilitātes nodrošināšanai nepieciešamie pasākumi tiek noteikti </w:t>
      </w:r>
      <w:r>
        <w:rPr>
          <w:rFonts w:ascii="Times New Roman" w:hAnsi="Times New Roman" w:cs="Times New Roman"/>
          <w:color w:val="000000"/>
          <w:sz w:val="24"/>
          <w:szCs w:val="24"/>
        </w:rPr>
        <w:t>informatīvajā ziņojumā “Fiskālo risku deklarācija” (turpmāk – fiskālo risku deklarācija)</w:t>
      </w:r>
      <w:r w:rsidR="00852E10">
        <w:rPr>
          <w:rFonts w:ascii="Times New Roman" w:hAnsi="Times New Roman" w:cs="Times New Roman"/>
          <w:color w:val="000000"/>
          <w:sz w:val="24"/>
          <w:szCs w:val="24"/>
        </w:rPr>
        <w:t>.</w:t>
      </w:r>
    </w:p>
    <w:p w14:paraId="179365E2" w14:textId="77777777" w:rsidR="00B95E92" w:rsidRPr="00164012" w:rsidRDefault="00B95E92" w:rsidP="000063AD">
      <w:pPr>
        <w:pStyle w:val="Heading1"/>
        <w:spacing w:before="0" w:after="0" w:line="240" w:lineRule="auto"/>
        <w:jc w:val="right"/>
        <w:rPr>
          <w:rFonts w:ascii="Times New Roman" w:hAnsi="Times New Roman"/>
          <w:b w:val="0"/>
          <w:sz w:val="28"/>
          <w:szCs w:val="28"/>
        </w:rPr>
      </w:pPr>
      <w:r>
        <w:rPr>
          <w:rFonts w:ascii="Times New Roman" w:hAnsi="Times New Roman" w:cs="Times New Roman"/>
          <w:sz w:val="32"/>
        </w:rPr>
        <w:br w:type="page"/>
      </w:r>
      <w:bookmarkStart w:id="1" w:name="_Toc405371070"/>
      <w:bookmarkStart w:id="2" w:name="_Toc536626708"/>
      <w:r w:rsidRPr="00B95E92">
        <w:rPr>
          <w:rFonts w:ascii="Times New Roman" w:hAnsi="Times New Roman" w:cs="Times New Roman"/>
          <w:sz w:val="32"/>
        </w:rPr>
        <w:lastRenderedPageBreak/>
        <w:t>Fiskālo risku vispārējā vadība</w:t>
      </w:r>
      <w:bookmarkEnd w:id="1"/>
      <w:bookmarkEnd w:id="2"/>
    </w:p>
    <w:p w14:paraId="0CB85AA2" w14:textId="77777777" w:rsidR="00B95E92" w:rsidRPr="00A3568A" w:rsidRDefault="00B95E92" w:rsidP="009A521C">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3" w:name="_Toc405371071"/>
      <w:bookmarkStart w:id="4" w:name="_Toc536626709"/>
      <w:r w:rsidRPr="00A3568A">
        <w:rPr>
          <w:rFonts w:ascii="Times New Roman" w:hAnsi="Times New Roman" w:cs="Times New Roman"/>
          <w:color w:val="auto"/>
          <w:sz w:val="24"/>
          <w:szCs w:val="24"/>
        </w:rPr>
        <w:t>Fiskālo risku vispārējās vadības mehānisms</w:t>
      </w:r>
      <w:bookmarkEnd w:id="3"/>
      <w:bookmarkEnd w:id="4"/>
    </w:p>
    <w:p w14:paraId="1779AFED" w14:textId="691BA2CB" w:rsidR="00481389" w:rsidRDefault="00481389" w:rsidP="00E3792D">
      <w:pPr>
        <w:spacing w:after="0" w:line="240" w:lineRule="auto"/>
        <w:ind w:firstLine="720"/>
        <w:jc w:val="both"/>
        <w:rPr>
          <w:rFonts w:ascii="Times New Roman" w:hAnsi="Times New Roman" w:cs="Times New Roman"/>
          <w:iCs/>
          <w:sz w:val="24"/>
          <w:szCs w:val="24"/>
        </w:rPr>
      </w:pPr>
      <w:r w:rsidRPr="004D1CDD">
        <w:rPr>
          <w:rFonts w:ascii="Times New Roman" w:hAnsi="Times New Roman" w:cs="Times New Roman"/>
          <w:color w:val="000000"/>
          <w:sz w:val="24"/>
          <w:szCs w:val="24"/>
        </w:rPr>
        <w:t xml:space="preserve">FDL </w:t>
      </w:r>
      <w:r>
        <w:rPr>
          <w:rFonts w:ascii="Times New Roman" w:hAnsi="Times New Roman" w:cs="Times New Roman"/>
          <w:color w:val="000000"/>
          <w:sz w:val="24"/>
          <w:szCs w:val="24"/>
        </w:rPr>
        <w:t>paredz f</w:t>
      </w:r>
      <w:r w:rsidRPr="00AC08BA">
        <w:rPr>
          <w:rFonts w:ascii="Times New Roman" w:hAnsi="Times New Roman" w:cs="Times New Roman"/>
          <w:color w:val="000000"/>
          <w:sz w:val="24"/>
          <w:szCs w:val="24"/>
        </w:rPr>
        <w:t>iskālo risku vispārēj</w:t>
      </w:r>
      <w:r>
        <w:rPr>
          <w:rFonts w:ascii="Times New Roman" w:hAnsi="Times New Roman" w:cs="Times New Roman"/>
          <w:color w:val="000000"/>
          <w:sz w:val="24"/>
          <w:szCs w:val="24"/>
        </w:rPr>
        <w:t>o</w:t>
      </w:r>
      <w:r w:rsidRPr="00AC08BA">
        <w:rPr>
          <w:rFonts w:ascii="Times New Roman" w:hAnsi="Times New Roman" w:cs="Times New Roman"/>
          <w:color w:val="000000"/>
          <w:sz w:val="24"/>
          <w:szCs w:val="24"/>
        </w:rPr>
        <w:t xml:space="preserve"> vadīb</w:t>
      </w:r>
      <w:r>
        <w:rPr>
          <w:rFonts w:ascii="Times New Roman" w:hAnsi="Times New Roman" w:cs="Times New Roman"/>
          <w:color w:val="000000"/>
          <w:sz w:val="24"/>
          <w:szCs w:val="24"/>
        </w:rPr>
        <w:t>u.</w:t>
      </w:r>
      <w:r w:rsidRPr="00AC0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Fiskālo risku vispārējās vadības metodoloģiskais regulējums tika </w:t>
      </w:r>
      <w:r w:rsidRPr="00AC08BA">
        <w:rPr>
          <w:rFonts w:ascii="Times New Roman" w:hAnsi="Times New Roman" w:cs="Times New Roman"/>
          <w:color w:val="000000"/>
          <w:sz w:val="24"/>
          <w:szCs w:val="24"/>
        </w:rPr>
        <w:t>izveidot</w:t>
      </w:r>
      <w:r>
        <w:rPr>
          <w:rFonts w:ascii="Times New Roman" w:hAnsi="Times New Roman" w:cs="Times New Roman"/>
          <w:color w:val="000000"/>
          <w:sz w:val="24"/>
          <w:szCs w:val="24"/>
        </w:rPr>
        <w:t>s</w:t>
      </w:r>
      <w:r w:rsidRPr="00AC08BA">
        <w:rPr>
          <w:rFonts w:ascii="Times New Roman" w:hAnsi="Times New Roman" w:cs="Times New Roman"/>
          <w:color w:val="000000"/>
          <w:sz w:val="24"/>
          <w:szCs w:val="24"/>
        </w:rPr>
        <w:t xml:space="preserve"> 2014.gadā līdz ar </w:t>
      </w:r>
      <w:r w:rsidR="00852E10" w:rsidRPr="00A4529B">
        <w:rPr>
          <w:rFonts w:ascii="Times New Roman" w:hAnsi="Times New Roman" w:cs="Times New Roman"/>
          <w:color w:val="000000"/>
          <w:sz w:val="24"/>
          <w:szCs w:val="24"/>
        </w:rPr>
        <w:t>Ministru kabinets (turpmāk – MK)</w:t>
      </w:r>
      <w:r w:rsidRPr="00AC08BA">
        <w:rPr>
          <w:rFonts w:ascii="Times New Roman" w:hAnsi="Times New Roman" w:cs="Times New Roman"/>
          <w:color w:val="000000"/>
          <w:sz w:val="24"/>
          <w:szCs w:val="24"/>
        </w:rPr>
        <w:t xml:space="preserve"> noteikumu</w:t>
      </w:r>
      <w:r>
        <w:t xml:space="preserve"> </w:t>
      </w:r>
      <w:r>
        <w:rPr>
          <w:rFonts w:ascii="Times New Roman" w:hAnsi="Times New Roman" w:cs="Times New Roman"/>
          <w:color w:val="000000"/>
          <w:sz w:val="24"/>
          <w:szCs w:val="24"/>
        </w:rPr>
        <w:t>Nr.</w:t>
      </w:r>
      <w:r w:rsidRPr="00AC7FAC">
        <w:rPr>
          <w:rFonts w:ascii="Times New Roman" w:hAnsi="Times New Roman" w:cs="Times New Roman"/>
          <w:color w:val="000000"/>
          <w:sz w:val="24"/>
          <w:szCs w:val="24"/>
        </w:rPr>
        <w:t>229</w:t>
      </w:r>
      <w:r>
        <w:rPr>
          <w:rFonts w:ascii="Times New Roman" w:hAnsi="Times New Roman" w:cs="Times New Roman"/>
          <w:color w:val="000000"/>
          <w:sz w:val="24"/>
          <w:szCs w:val="24"/>
        </w:rPr>
        <w:t xml:space="preserve"> </w:t>
      </w:r>
      <w:r w:rsidRPr="00167534">
        <w:rPr>
          <w:rFonts w:ascii="Times New Roman" w:hAnsi="Times New Roman" w:cs="Times New Roman"/>
          <w:color w:val="000000"/>
          <w:sz w:val="24"/>
          <w:szCs w:val="24"/>
        </w:rPr>
        <w:t xml:space="preserve">„Noteikumi par fiskālo risku vispārējo vadību un par fiskālās nodrošinājuma rezerves apjoma noteikšanas </w:t>
      </w:r>
      <w:r w:rsidRPr="00AC08BA">
        <w:rPr>
          <w:rFonts w:ascii="Times New Roman" w:hAnsi="Times New Roman" w:cs="Times New Roman"/>
          <w:iCs/>
          <w:sz w:val="24"/>
          <w:szCs w:val="24"/>
        </w:rPr>
        <w:t>metodoloģiju”</w:t>
      </w:r>
      <w:r>
        <w:rPr>
          <w:rFonts w:ascii="Times New Roman" w:hAnsi="Times New Roman" w:cs="Times New Roman"/>
          <w:iCs/>
          <w:sz w:val="24"/>
          <w:szCs w:val="24"/>
        </w:rPr>
        <w:t xml:space="preserve"> (turpmāk</w:t>
      </w:r>
      <w:r>
        <w:t xml:space="preserve"> </w:t>
      </w:r>
      <w:r>
        <w:rPr>
          <w:rFonts w:ascii="Times New Roman" w:hAnsi="Times New Roman" w:cs="Times New Roman"/>
          <w:iCs/>
          <w:sz w:val="24"/>
          <w:szCs w:val="24"/>
        </w:rPr>
        <w:t>– MK noteikumi Nr.229) apstiprināšanu</w:t>
      </w:r>
      <w:r w:rsidRPr="00C62EB0">
        <w:rPr>
          <w:rFonts w:ascii="Times New Roman" w:hAnsi="Times New Roman" w:cs="Times New Roman"/>
          <w:iCs/>
          <w:sz w:val="24"/>
          <w:szCs w:val="24"/>
        </w:rPr>
        <w:t xml:space="preserve">. </w:t>
      </w:r>
      <w:r>
        <w:rPr>
          <w:rFonts w:ascii="Times New Roman" w:hAnsi="Times New Roman" w:cs="Times New Roman"/>
          <w:iCs/>
          <w:sz w:val="24"/>
          <w:szCs w:val="24"/>
        </w:rPr>
        <w:t>Fiskālo risku vispārējās vadības sistēma</w:t>
      </w:r>
      <w:r w:rsidRPr="00C62EB0">
        <w:rPr>
          <w:rFonts w:ascii="Times New Roman" w:hAnsi="Times New Roman" w:cs="Times New Roman"/>
          <w:iCs/>
          <w:sz w:val="24"/>
          <w:szCs w:val="24"/>
        </w:rPr>
        <w:t xml:space="preserve"> paredz, ka</w:t>
      </w:r>
      <w:r w:rsidRPr="00AC08BA">
        <w:rPr>
          <w:rFonts w:ascii="Times New Roman" w:hAnsi="Times New Roman" w:cs="Times New Roman"/>
          <w:iCs/>
          <w:sz w:val="24"/>
          <w:szCs w:val="24"/>
        </w:rPr>
        <w:t xml:space="preserve"> </w:t>
      </w:r>
      <w:r>
        <w:rPr>
          <w:rFonts w:ascii="Times New Roman" w:hAnsi="Times New Roman" w:cs="Times New Roman"/>
          <w:iCs/>
          <w:sz w:val="24"/>
          <w:szCs w:val="24"/>
        </w:rPr>
        <w:t xml:space="preserve">valstiskā </w:t>
      </w:r>
      <w:r w:rsidRPr="00167534">
        <w:rPr>
          <w:rFonts w:ascii="Times New Roman" w:hAnsi="Times New Roman" w:cs="Times New Roman"/>
          <w:iCs/>
          <w:sz w:val="24"/>
          <w:szCs w:val="24"/>
        </w:rPr>
        <w:t>līmenī</w:t>
      </w:r>
      <w:r>
        <w:rPr>
          <w:rFonts w:ascii="Times New Roman" w:hAnsi="Times New Roman" w:cs="Times New Roman"/>
          <w:iCs/>
          <w:sz w:val="24"/>
          <w:szCs w:val="24"/>
        </w:rPr>
        <w:t xml:space="preserve"> tiek nodrošināta sistemātiska</w:t>
      </w:r>
      <w:r w:rsidRPr="00167534">
        <w:rPr>
          <w:rFonts w:ascii="Times New Roman" w:hAnsi="Times New Roman" w:cs="Times New Roman"/>
          <w:iCs/>
          <w:sz w:val="24"/>
          <w:szCs w:val="24"/>
        </w:rPr>
        <w:t xml:space="preserve"> fiskālo risku identific</w:t>
      </w:r>
      <w:r>
        <w:rPr>
          <w:rFonts w:ascii="Times New Roman" w:hAnsi="Times New Roman" w:cs="Times New Roman"/>
          <w:iCs/>
          <w:sz w:val="24"/>
          <w:szCs w:val="24"/>
        </w:rPr>
        <w:t>ēšana</w:t>
      </w:r>
      <w:r w:rsidRPr="00167534">
        <w:rPr>
          <w:rFonts w:ascii="Times New Roman" w:hAnsi="Times New Roman" w:cs="Times New Roman"/>
          <w:iCs/>
          <w:sz w:val="24"/>
          <w:szCs w:val="24"/>
        </w:rPr>
        <w:t>, fiskālo risku iespējamās ietekmes uz vals</w:t>
      </w:r>
      <w:r>
        <w:rPr>
          <w:rFonts w:ascii="Times New Roman" w:hAnsi="Times New Roman" w:cs="Times New Roman"/>
          <w:iCs/>
          <w:sz w:val="24"/>
          <w:szCs w:val="24"/>
        </w:rPr>
        <w:t>ts budžetu un parādu izvērtēšana</w:t>
      </w:r>
      <w:r w:rsidRPr="00167534">
        <w:rPr>
          <w:rFonts w:ascii="Times New Roman" w:hAnsi="Times New Roman" w:cs="Times New Roman"/>
          <w:iCs/>
          <w:sz w:val="24"/>
          <w:szCs w:val="24"/>
        </w:rPr>
        <w:t xml:space="preserve">, attiecīgā </w:t>
      </w:r>
      <w:r>
        <w:rPr>
          <w:rFonts w:ascii="Times New Roman" w:hAnsi="Times New Roman" w:cs="Times New Roman"/>
          <w:iCs/>
          <w:sz w:val="24"/>
          <w:szCs w:val="24"/>
        </w:rPr>
        <w:t>riska vadības instrumenta izvēle un piemērošana</w:t>
      </w:r>
      <w:r w:rsidRPr="00167534">
        <w:rPr>
          <w:rFonts w:ascii="Times New Roman" w:hAnsi="Times New Roman" w:cs="Times New Roman"/>
          <w:iCs/>
          <w:sz w:val="24"/>
          <w:szCs w:val="24"/>
        </w:rPr>
        <w:t>.</w:t>
      </w:r>
    </w:p>
    <w:p w14:paraId="325EDDFB" w14:textId="77777777" w:rsidR="00481389" w:rsidRPr="000B423D" w:rsidRDefault="00481389" w:rsidP="00E3792D">
      <w:pPr>
        <w:spacing w:after="0" w:line="240" w:lineRule="auto"/>
        <w:ind w:firstLine="720"/>
        <w:jc w:val="both"/>
        <w:rPr>
          <w:rFonts w:ascii="Times New Roman" w:eastAsia="Times New Roman" w:hAnsi="Times New Roman" w:cs="Times New Roman"/>
          <w:sz w:val="24"/>
          <w:szCs w:val="24"/>
          <w:lang w:eastAsia="lv-LV"/>
        </w:rPr>
      </w:pPr>
      <w:r w:rsidRPr="000B423D">
        <w:rPr>
          <w:rFonts w:ascii="Times New Roman" w:hAnsi="Times New Roman" w:cs="Times New Roman"/>
          <w:sz w:val="24"/>
          <w:szCs w:val="24"/>
        </w:rPr>
        <w:t>Fiskālo risku identificēšana un mērīšana ir nepieciešama ar mērķi:</w:t>
      </w:r>
    </w:p>
    <w:p w14:paraId="7C76B993" w14:textId="77777777" w:rsidR="00481389" w:rsidRPr="000B423D" w:rsidRDefault="00481389" w:rsidP="00E3792D">
      <w:pPr>
        <w:pStyle w:val="ListParagraph"/>
        <w:numPr>
          <w:ilvl w:val="0"/>
          <w:numId w:val="8"/>
        </w:numPr>
        <w:ind w:left="1418"/>
        <w:contextualSpacing w:val="0"/>
        <w:rPr>
          <w:rFonts w:ascii="Times New Roman" w:hAnsi="Times New Roman"/>
          <w:sz w:val="24"/>
          <w:szCs w:val="24"/>
        </w:rPr>
      </w:pPr>
      <w:r w:rsidRPr="000B423D">
        <w:rPr>
          <w:rFonts w:ascii="Times New Roman" w:hAnsi="Times New Roman"/>
          <w:sz w:val="24"/>
          <w:szCs w:val="24"/>
        </w:rPr>
        <w:t>nodrošināt fiskālo risku novērtēšanu un vadīšanu;</w:t>
      </w:r>
    </w:p>
    <w:p w14:paraId="71BA42F9"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izstrādāt efektīvu fiskālo risku vadības stratēģiju, apzinot risku mazināšanas vai novēršanas instrumentus un pasākumus;</w:t>
      </w:r>
    </w:p>
    <w:p w14:paraId="11A82CFE"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uzlabot fiskālās politikas ietvaros pieņemto lēmumu kvalitāti un ilgtspēju;</w:t>
      </w:r>
    </w:p>
    <w:p w14:paraId="7BD2BA5A"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 xml:space="preserve">veicināt valsts kredītreitinga izaugsmi un investoru uzticību. </w:t>
      </w:r>
    </w:p>
    <w:p w14:paraId="5E4403BB" w14:textId="77777777" w:rsidR="00481389" w:rsidRDefault="00481389" w:rsidP="00E3792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Finanšu ministrija (turpmāk – FM) ir atbildīga par fiskālo risku vispārējo vadību, uzkrāj </w:t>
      </w:r>
      <w:r w:rsidRPr="00167534">
        <w:rPr>
          <w:rFonts w:ascii="Times New Roman" w:hAnsi="Times New Roman" w:cs="Times New Roman"/>
          <w:sz w:val="24"/>
        </w:rPr>
        <w:t>nepieciešamo informāciju par fiskālajiem riskiem</w:t>
      </w:r>
      <w:r>
        <w:rPr>
          <w:rFonts w:ascii="Times New Roman" w:hAnsi="Times New Roman" w:cs="Times New Roman"/>
          <w:sz w:val="24"/>
        </w:rPr>
        <w:t>, lai uzturētu fiskālo risku reģistru, kas ir v</w:t>
      </w:r>
      <w:r>
        <w:rPr>
          <w:rFonts w:ascii="Times New Roman" w:hAnsi="Times New Roman" w:cs="Times New Roman"/>
          <w:iCs/>
          <w:sz w:val="24"/>
          <w:szCs w:val="24"/>
        </w:rPr>
        <w:t>iens no fiskālo risku vispārējās vadības galvenajiem instrumentiem. Savukārt, centrālās valsts iestādes ir atbildīgas par savas kompetences fiskālajiem riskiem, to uzraudzību, novēršanu un fiskālo risku seku samazināšanu.</w:t>
      </w:r>
      <w:r w:rsidRPr="008E074C">
        <w:rPr>
          <w:rFonts w:ascii="Times New Roman" w:hAnsi="Times New Roman" w:cs="Times New Roman"/>
          <w:iCs/>
          <w:sz w:val="24"/>
          <w:szCs w:val="24"/>
        </w:rPr>
        <w:t xml:space="preserve"> </w:t>
      </w:r>
      <w:r>
        <w:rPr>
          <w:rFonts w:ascii="Times New Roman" w:hAnsi="Times New Roman" w:cs="Times New Roman"/>
          <w:iCs/>
          <w:sz w:val="24"/>
          <w:szCs w:val="24"/>
        </w:rPr>
        <w:t>Lai FM varētu uzturēt aktuālu fiskālo risku reģistru un izstrādāt fiskālo risku deklarāciju, nepieciešamo informāciju par fiskālajiem riskiem sniedz centrālās valsts iestādes, kas izstrādā fiskālo risku vadības ziņojumus.</w:t>
      </w:r>
    </w:p>
    <w:p w14:paraId="725012A5" w14:textId="7318CCF3" w:rsidR="00AC7FAC" w:rsidRDefault="00AC7FAC" w:rsidP="00953696">
      <w:pPr>
        <w:pStyle w:val="liknoteik"/>
        <w:shd w:val="clear" w:color="auto" w:fill="FFFFFF"/>
        <w:spacing w:before="0" w:beforeAutospacing="0" w:after="0" w:afterAutospacing="0"/>
        <w:jc w:val="both"/>
        <w:rPr>
          <w:rFonts w:eastAsiaTheme="majorEastAsia"/>
          <w:b/>
          <w:bCs/>
          <w:smallCaps/>
        </w:rPr>
      </w:pPr>
      <w:bookmarkStart w:id="5" w:name="_Toc405371072"/>
    </w:p>
    <w:p w14:paraId="04E82B7F" w14:textId="20C7D68B" w:rsidR="00B95E92" w:rsidRPr="00521C35" w:rsidRDefault="00B95E92" w:rsidP="009A521C">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6" w:name="_Toc536626710"/>
      <w:r w:rsidRPr="008D7F0E">
        <w:rPr>
          <w:rFonts w:ascii="Times New Roman" w:hAnsi="Times New Roman" w:cs="Times New Roman"/>
          <w:color w:val="auto"/>
          <w:sz w:val="24"/>
          <w:szCs w:val="24"/>
        </w:rPr>
        <w:t>Fiskālo risku klasifikācija</w:t>
      </w:r>
      <w:bookmarkEnd w:id="5"/>
      <w:bookmarkEnd w:id="6"/>
    </w:p>
    <w:p w14:paraId="59D95BCF" w14:textId="07053CED"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Fiskālo risku klasifikācijas jomā plaši tiek izmantota Pasaules Bankas ekspertes Hanas Polackovas Bri</w:t>
      </w:r>
      <w:r>
        <w:rPr>
          <w:rFonts w:ascii="Times New Roman" w:hAnsi="Times New Roman" w:cs="Times New Roman"/>
          <w:sz w:val="24"/>
          <w:szCs w:val="24"/>
        </w:rPr>
        <w:t>ksi</w:t>
      </w:r>
      <w:r w:rsidRPr="00167534">
        <w:rPr>
          <w:rFonts w:ascii="Times New Roman" w:hAnsi="Times New Roman" w:cs="Times New Roman"/>
          <w:sz w:val="24"/>
          <w:szCs w:val="24"/>
        </w:rPr>
        <w:t xml:space="preserve">i </w:t>
      </w:r>
      <w:r w:rsidRPr="00167534">
        <w:rPr>
          <w:rFonts w:ascii="Times New Roman" w:hAnsi="Times New Roman" w:cs="Times New Roman"/>
          <w:i/>
          <w:sz w:val="24"/>
          <w:szCs w:val="24"/>
        </w:rPr>
        <w:t>(Hana Polackova Brixi)</w:t>
      </w:r>
      <w:r w:rsidRPr="00167534">
        <w:rPr>
          <w:rFonts w:ascii="Times New Roman" w:hAnsi="Times New Roman" w:cs="Times New Roman"/>
          <w:sz w:val="24"/>
          <w:szCs w:val="24"/>
        </w:rPr>
        <w:t xml:space="preserve"> izstrādātā fiskālo ri</w:t>
      </w:r>
      <w:r>
        <w:rPr>
          <w:rFonts w:ascii="Times New Roman" w:hAnsi="Times New Roman" w:cs="Times New Roman"/>
          <w:sz w:val="24"/>
          <w:szCs w:val="24"/>
        </w:rPr>
        <w:t>sku avotu klasifikācija (skat. t</w:t>
      </w:r>
      <w:r w:rsidRPr="00167534">
        <w:rPr>
          <w:rFonts w:ascii="Times New Roman" w:hAnsi="Times New Roman" w:cs="Times New Roman"/>
          <w:sz w:val="24"/>
          <w:szCs w:val="24"/>
        </w:rPr>
        <w:t>abula Nr.</w:t>
      </w:r>
      <w:r w:rsidR="005603AD">
        <w:rPr>
          <w:rFonts w:ascii="Times New Roman" w:hAnsi="Times New Roman" w:cs="Times New Roman"/>
          <w:sz w:val="24"/>
          <w:szCs w:val="24"/>
        </w:rPr>
        <w:t>1</w:t>
      </w:r>
      <w:r w:rsidRPr="00167534">
        <w:rPr>
          <w:rFonts w:ascii="Times New Roman" w:hAnsi="Times New Roman" w:cs="Times New Roman"/>
          <w:sz w:val="24"/>
          <w:szCs w:val="24"/>
        </w:rPr>
        <w:t>), kas tiek iedalīta četrās grupās un pielāgotā versijā tiek pielietota arī Latvijas fiskālo risku avotu klasifikācijai:</w:t>
      </w:r>
    </w:p>
    <w:p w14:paraId="02A408A4"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Tiešās saistības</w:t>
      </w:r>
      <w:r w:rsidRPr="00167534">
        <w:rPr>
          <w:rFonts w:ascii="Times New Roman" w:hAnsi="Times New Roman"/>
          <w:color w:val="000000"/>
          <w:sz w:val="24"/>
          <w:szCs w:val="24"/>
        </w:rPr>
        <w:t xml:space="preserve"> ir iepriekš nosakāmās saistības, kuras iestāsies jebkurā gadījumā.</w:t>
      </w:r>
      <w:r>
        <w:rPr>
          <w:rFonts w:ascii="Times New Roman" w:hAnsi="Times New Roman"/>
          <w:color w:val="000000"/>
          <w:sz w:val="24"/>
          <w:szCs w:val="24"/>
        </w:rPr>
        <w:t xml:space="preserve"> Fiskālais risks šajā gadījumā ir saistīts ar nenoteiktību izdevumu apjomā.</w:t>
      </w:r>
    </w:p>
    <w:p w14:paraId="69EC3964" w14:textId="77777777" w:rsidR="00481389"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Iespējamās saistības</w:t>
      </w:r>
      <w:r w:rsidRPr="00167534">
        <w:rPr>
          <w:rFonts w:ascii="Times New Roman" w:hAnsi="Times New Roman"/>
          <w:color w:val="000000"/>
          <w:sz w:val="24"/>
          <w:szCs w:val="24"/>
        </w:rPr>
        <w:t xml:space="preserve"> ir tādas saistības, kuras var izraisīt iespējami notikumi nākotnē.</w:t>
      </w:r>
      <w:r>
        <w:rPr>
          <w:rFonts w:ascii="Times New Roman" w:hAnsi="Times New Roman"/>
          <w:color w:val="000000"/>
          <w:sz w:val="24"/>
          <w:szCs w:val="24"/>
        </w:rPr>
        <w:t xml:space="preserve"> Fiskālais risks šajā gadījumā primāri ir tajā apstāklī, ka ir nezināms, vai riska notikums iestāsies vai nē. Papildus tam, nenoteiktība var būt arī izdevumu apjomā.</w:t>
      </w:r>
    </w:p>
    <w:p w14:paraId="2662ABEA" w14:textId="77777777" w:rsidR="00481389" w:rsidRDefault="00481389" w:rsidP="00481389">
      <w:pPr>
        <w:spacing w:after="0" w:line="240" w:lineRule="auto"/>
        <w:jc w:val="both"/>
        <w:textAlignment w:val="top"/>
        <w:rPr>
          <w:rFonts w:ascii="Times New Roman" w:hAnsi="Times New Roman"/>
          <w:color w:val="000000"/>
          <w:sz w:val="24"/>
          <w:szCs w:val="24"/>
        </w:rPr>
      </w:pPr>
    </w:p>
    <w:p w14:paraId="326A00C8" w14:textId="77777777" w:rsidR="00481389" w:rsidRPr="002E19F1" w:rsidRDefault="00481389" w:rsidP="00300229">
      <w:pPr>
        <w:spacing w:after="0" w:line="240" w:lineRule="auto"/>
        <w:ind w:firstLine="709"/>
        <w:jc w:val="both"/>
        <w:textAlignment w:val="top"/>
        <w:rPr>
          <w:rFonts w:ascii="Times New Roman" w:hAnsi="Times New Roman"/>
          <w:color w:val="000000"/>
          <w:sz w:val="24"/>
          <w:szCs w:val="24"/>
        </w:rPr>
      </w:pPr>
      <w:r>
        <w:rPr>
          <w:rFonts w:ascii="Times New Roman" w:hAnsi="Times New Roman"/>
          <w:color w:val="000000"/>
          <w:sz w:val="24"/>
          <w:szCs w:val="24"/>
        </w:rPr>
        <w:t xml:space="preserve">Katru no augstāk minētajiem fiskālo risku avotiem var iedalīt divās apakškategorijās: </w:t>
      </w:r>
    </w:p>
    <w:p w14:paraId="27ACCB27"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Precīzi noteiktās saistības</w:t>
      </w:r>
      <w:r w:rsidRPr="00167534">
        <w:rPr>
          <w:rFonts w:ascii="Times New Roman" w:hAnsi="Times New Roman"/>
          <w:color w:val="000000"/>
          <w:sz w:val="24"/>
          <w:szCs w:val="24"/>
        </w:rPr>
        <w:t xml:space="preserve"> ir valdības saistības, kuras ir noteiktas likumos vai līgumos.</w:t>
      </w:r>
    </w:p>
    <w:p w14:paraId="2AFA707C"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Netiešās (nosacītās) saistības</w:t>
      </w:r>
      <w:r>
        <w:rPr>
          <w:rFonts w:ascii="Times New Roman" w:hAnsi="Times New Roman"/>
          <w:color w:val="000000"/>
          <w:sz w:val="24"/>
          <w:szCs w:val="24"/>
        </w:rPr>
        <w:t xml:space="preserve"> </w:t>
      </w:r>
      <w:r w:rsidRPr="00167534">
        <w:rPr>
          <w:rFonts w:ascii="Times New Roman" w:hAnsi="Times New Roman"/>
          <w:color w:val="000000"/>
          <w:sz w:val="24"/>
          <w:szCs w:val="24"/>
        </w:rPr>
        <w:t>ir valdības politisks/morāls pienākums vai sagaidāms slogs, kam nav juridiska seguma, bet kuru izraisa sabiedrības gaidas un politisks spiediens. Tās ir raksturīgas krīžu gadījumos.</w:t>
      </w:r>
    </w:p>
    <w:p w14:paraId="56F524B4" w14:textId="77777777" w:rsidR="00953696" w:rsidRDefault="00953696" w:rsidP="00507D6B">
      <w:pPr>
        <w:ind w:firstLine="720"/>
        <w:jc w:val="right"/>
        <w:rPr>
          <w:rFonts w:ascii="Times New Roman" w:hAnsi="Times New Roman" w:cs="Times New Roman"/>
          <w:b/>
          <w:sz w:val="24"/>
          <w:szCs w:val="24"/>
        </w:rPr>
      </w:pPr>
    </w:p>
    <w:p w14:paraId="5AD8BD9D" w14:textId="77777777" w:rsidR="00953696" w:rsidRPr="00167534" w:rsidRDefault="00953696" w:rsidP="00953696">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 xml:space="preserve">Fiskālie riski fiskālo risku deklarācijā tiek iedalīti divās grupās: </w:t>
      </w:r>
    </w:p>
    <w:p w14:paraId="47EF1B1C" w14:textId="77777777" w:rsidR="00953696" w:rsidRPr="00167534" w:rsidRDefault="00953696" w:rsidP="00953696">
      <w:pPr>
        <w:pStyle w:val="ListParagraph"/>
        <w:numPr>
          <w:ilvl w:val="0"/>
          <w:numId w:val="11"/>
        </w:numPr>
        <w:contextualSpacing w:val="0"/>
        <w:rPr>
          <w:rFonts w:ascii="Times New Roman" w:hAnsi="Times New Roman"/>
          <w:sz w:val="24"/>
          <w:szCs w:val="24"/>
        </w:rPr>
      </w:pPr>
      <w:r w:rsidRPr="00167534">
        <w:rPr>
          <w:rFonts w:ascii="Times New Roman" w:hAnsi="Times New Roman"/>
          <w:sz w:val="24"/>
          <w:szCs w:val="24"/>
        </w:rPr>
        <w:t xml:space="preserve">kvantificējamie fiskālie riski – fiskālie riski, kuriem </w:t>
      </w:r>
      <w:r>
        <w:rPr>
          <w:rFonts w:ascii="Times New Roman" w:hAnsi="Times New Roman"/>
          <w:sz w:val="24"/>
          <w:szCs w:val="24"/>
        </w:rPr>
        <w:t>ir</w:t>
      </w:r>
      <w:r w:rsidRPr="00167534">
        <w:rPr>
          <w:rFonts w:ascii="Times New Roman" w:hAnsi="Times New Roman"/>
          <w:sz w:val="24"/>
          <w:szCs w:val="24"/>
        </w:rPr>
        <w:t xml:space="preserve"> novērtēt</w:t>
      </w:r>
      <w:r>
        <w:rPr>
          <w:rFonts w:ascii="Times New Roman" w:hAnsi="Times New Roman"/>
          <w:sz w:val="24"/>
          <w:szCs w:val="24"/>
        </w:rPr>
        <w:t>a</w:t>
      </w:r>
      <w:r w:rsidRPr="00167534">
        <w:rPr>
          <w:rFonts w:ascii="Times New Roman" w:hAnsi="Times New Roman"/>
          <w:sz w:val="24"/>
          <w:szCs w:val="24"/>
        </w:rPr>
        <w:t xml:space="preserve"> iestāšanās varbūtīb</w:t>
      </w:r>
      <w:r>
        <w:rPr>
          <w:rFonts w:ascii="Times New Roman" w:hAnsi="Times New Roman"/>
          <w:sz w:val="24"/>
          <w:szCs w:val="24"/>
        </w:rPr>
        <w:t>a</w:t>
      </w:r>
      <w:r w:rsidRPr="00167534">
        <w:rPr>
          <w:rFonts w:ascii="Times New Roman" w:hAnsi="Times New Roman"/>
          <w:sz w:val="24"/>
          <w:szCs w:val="24"/>
        </w:rPr>
        <w:t xml:space="preserve"> un ietekm</w:t>
      </w:r>
      <w:r>
        <w:rPr>
          <w:rFonts w:ascii="Times New Roman" w:hAnsi="Times New Roman"/>
          <w:sz w:val="24"/>
          <w:szCs w:val="24"/>
        </w:rPr>
        <w:t>e</w:t>
      </w:r>
      <w:r w:rsidRPr="00167534">
        <w:rPr>
          <w:rFonts w:ascii="Times New Roman" w:hAnsi="Times New Roman"/>
          <w:sz w:val="24"/>
          <w:szCs w:val="24"/>
        </w:rPr>
        <w:t xml:space="preserve"> uz vispārējās valdības budžeta bilanci;</w:t>
      </w:r>
    </w:p>
    <w:p w14:paraId="3AEFCA4D" w14:textId="77777777" w:rsidR="00953696" w:rsidRDefault="00953696" w:rsidP="00953696">
      <w:pPr>
        <w:pStyle w:val="ListParagraph"/>
        <w:numPr>
          <w:ilvl w:val="0"/>
          <w:numId w:val="11"/>
        </w:numPr>
        <w:contextualSpacing w:val="0"/>
        <w:rPr>
          <w:rFonts w:ascii="Times New Roman" w:hAnsi="Times New Roman"/>
          <w:sz w:val="24"/>
        </w:rPr>
      </w:pPr>
      <w:r w:rsidRPr="00167534">
        <w:rPr>
          <w:rFonts w:ascii="Times New Roman" w:hAnsi="Times New Roman"/>
          <w:sz w:val="24"/>
          <w:szCs w:val="24"/>
        </w:rPr>
        <w:t>nekvantificējamie fiskālie riski – fiskālie riski, kuriem iestāšanās varbūtība un fiskālā ietekme nav novērtēta.</w:t>
      </w:r>
      <w:r w:rsidRPr="00164012">
        <w:rPr>
          <w:rFonts w:ascii="Times New Roman" w:hAnsi="Times New Roman"/>
          <w:sz w:val="24"/>
        </w:rPr>
        <w:t xml:space="preserve"> </w:t>
      </w:r>
    </w:p>
    <w:p w14:paraId="4810D2BF" w14:textId="77777777" w:rsidR="00953696" w:rsidRDefault="00953696" w:rsidP="00507D6B">
      <w:pPr>
        <w:ind w:firstLine="720"/>
        <w:jc w:val="right"/>
        <w:rPr>
          <w:rFonts w:ascii="Times New Roman" w:hAnsi="Times New Roman" w:cs="Times New Roman"/>
          <w:b/>
          <w:sz w:val="24"/>
          <w:szCs w:val="24"/>
        </w:rPr>
      </w:pPr>
    </w:p>
    <w:p w14:paraId="61445C0C" w14:textId="77777777" w:rsidR="00953696" w:rsidRDefault="00953696" w:rsidP="00507D6B">
      <w:pPr>
        <w:ind w:firstLine="720"/>
        <w:jc w:val="right"/>
        <w:rPr>
          <w:rFonts w:ascii="Times New Roman" w:hAnsi="Times New Roman" w:cs="Times New Roman"/>
          <w:b/>
          <w:sz w:val="24"/>
          <w:szCs w:val="24"/>
        </w:rPr>
      </w:pPr>
    </w:p>
    <w:p w14:paraId="64BA0C4D" w14:textId="74E9BD54" w:rsidR="00481389" w:rsidRPr="00167534" w:rsidRDefault="00481389" w:rsidP="00507D6B">
      <w:pPr>
        <w:ind w:firstLine="720"/>
        <w:jc w:val="right"/>
        <w:rPr>
          <w:rFonts w:ascii="Times New Roman" w:hAnsi="Times New Roman" w:cs="Times New Roman"/>
          <w:b/>
          <w:sz w:val="24"/>
          <w:szCs w:val="24"/>
        </w:rPr>
      </w:pPr>
      <w:r w:rsidRPr="00167534">
        <w:rPr>
          <w:rFonts w:ascii="Times New Roman" w:hAnsi="Times New Roman" w:cs="Times New Roman"/>
          <w:b/>
          <w:sz w:val="24"/>
          <w:szCs w:val="24"/>
        </w:rPr>
        <w:lastRenderedPageBreak/>
        <w:t>Tabula Nr.</w:t>
      </w:r>
      <w:r w:rsidR="00786453">
        <w:rPr>
          <w:rFonts w:ascii="Times New Roman" w:hAnsi="Times New Roman" w:cs="Times New Roman"/>
          <w:b/>
          <w:sz w:val="24"/>
          <w:szCs w:val="24"/>
        </w:rPr>
        <w:t>1</w:t>
      </w:r>
      <w:r w:rsidRPr="00167534">
        <w:rPr>
          <w:rFonts w:ascii="Times New Roman" w:hAnsi="Times New Roman" w:cs="Times New Roman"/>
          <w:b/>
          <w:sz w:val="24"/>
          <w:szCs w:val="24"/>
        </w:rPr>
        <w:t xml:space="preserve"> Fiskālo risku avotu klasifikācija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94"/>
      </w:tblGrid>
      <w:tr w:rsidR="00481389" w:rsidRPr="00C1770E" w14:paraId="68C43782" w14:textId="77777777" w:rsidTr="00953696">
        <w:tc>
          <w:tcPr>
            <w:tcW w:w="3114" w:type="dxa"/>
            <w:shd w:val="clear" w:color="auto" w:fill="9CC2E5" w:themeFill="accent1" w:themeFillTint="99"/>
            <w:vAlign w:val="center"/>
          </w:tcPr>
          <w:p w14:paraId="5076DC35" w14:textId="77777777" w:rsidR="00481389" w:rsidRPr="00C1770E" w:rsidRDefault="00481389" w:rsidP="00843E83">
            <w:pPr>
              <w:jc w:val="center"/>
              <w:textAlignment w:val="top"/>
              <w:rPr>
                <w:rFonts w:ascii="Times New Roman" w:hAnsi="Times New Roman" w:cs="Times New Roman"/>
                <w:b/>
                <w:i/>
              </w:rPr>
            </w:pPr>
            <w:r w:rsidRPr="00C1770E">
              <w:rPr>
                <w:rFonts w:ascii="Times New Roman" w:hAnsi="Times New Roman" w:cs="Times New Roman"/>
                <w:b/>
                <w:i/>
              </w:rPr>
              <w:t>Saistību avoti</w:t>
            </w:r>
          </w:p>
        </w:tc>
        <w:tc>
          <w:tcPr>
            <w:tcW w:w="2126" w:type="dxa"/>
            <w:shd w:val="clear" w:color="auto" w:fill="9CC2E5" w:themeFill="accent1" w:themeFillTint="99"/>
            <w:vAlign w:val="center"/>
          </w:tcPr>
          <w:p w14:paraId="7AEACF37" w14:textId="77777777" w:rsidR="00481389" w:rsidRPr="00C1770E" w:rsidRDefault="00481389" w:rsidP="00843E83">
            <w:pPr>
              <w:jc w:val="center"/>
              <w:textAlignment w:val="top"/>
              <w:rPr>
                <w:rFonts w:ascii="Times New Roman" w:hAnsi="Times New Roman" w:cs="Times New Roman"/>
                <w:i/>
              </w:rPr>
            </w:pPr>
            <w:r w:rsidRPr="00C1770E">
              <w:rPr>
                <w:rFonts w:ascii="Times New Roman" w:hAnsi="Times New Roman" w:cs="Times New Roman"/>
                <w:b/>
                <w:i/>
              </w:rPr>
              <w:t>Tiešās (direct) saistības</w:t>
            </w:r>
            <w:r w:rsidRPr="00C1770E">
              <w:rPr>
                <w:rFonts w:ascii="Times New Roman" w:hAnsi="Times New Roman" w:cs="Times New Roman"/>
                <w:i/>
              </w:rPr>
              <w:t xml:space="preserve"> (iestājās jebkurā gadījumā)</w:t>
            </w:r>
          </w:p>
        </w:tc>
        <w:tc>
          <w:tcPr>
            <w:tcW w:w="4394" w:type="dxa"/>
            <w:shd w:val="clear" w:color="auto" w:fill="9CC2E5" w:themeFill="accent1" w:themeFillTint="99"/>
            <w:vAlign w:val="center"/>
          </w:tcPr>
          <w:p w14:paraId="1D1C7BC0" w14:textId="77777777" w:rsidR="00481389" w:rsidRPr="00C1770E" w:rsidRDefault="00481389" w:rsidP="00843E83">
            <w:pPr>
              <w:jc w:val="center"/>
              <w:textAlignment w:val="top"/>
              <w:rPr>
                <w:rFonts w:ascii="Times New Roman" w:hAnsi="Times New Roman" w:cs="Times New Roman"/>
                <w:i/>
              </w:rPr>
            </w:pPr>
            <w:r w:rsidRPr="00C1770E">
              <w:rPr>
                <w:rFonts w:ascii="Times New Roman" w:hAnsi="Times New Roman" w:cs="Times New Roman"/>
                <w:b/>
                <w:i/>
              </w:rPr>
              <w:t>Iespējamās (contingent) saistības</w:t>
            </w:r>
            <w:r w:rsidRPr="00C1770E">
              <w:rPr>
                <w:rFonts w:ascii="Times New Roman" w:hAnsi="Times New Roman" w:cs="Times New Roman"/>
                <w:i/>
              </w:rPr>
              <w:t xml:space="preserve"> (iestājās īpašu nākotnes notikumu rezultātā)</w:t>
            </w:r>
          </w:p>
        </w:tc>
      </w:tr>
      <w:tr w:rsidR="00481389" w:rsidRPr="00C1770E" w14:paraId="7A553591" w14:textId="77777777" w:rsidTr="00953696">
        <w:tc>
          <w:tcPr>
            <w:tcW w:w="3114" w:type="dxa"/>
            <w:shd w:val="clear" w:color="auto" w:fill="9CC2E5" w:themeFill="accent1" w:themeFillTint="99"/>
          </w:tcPr>
          <w:p w14:paraId="4A92705C" w14:textId="77777777" w:rsidR="00481389" w:rsidRPr="00C1770E" w:rsidRDefault="00481389" w:rsidP="00843E83">
            <w:pPr>
              <w:spacing w:after="60"/>
              <w:textAlignment w:val="top"/>
              <w:rPr>
                <w:rFonts w:ascii="Times New Roman" w:hAnsi="Times New Roman" w:cs="Times New Roman"/>
              </w:rPr>
            </w:pPr>
            <w:r w:rsidRPr="00C1770E">
              <w:rPr>
                <w:rFonts w:ascii="Times New Roman" w:hAnsi="Times New Roman" w:cs="Times New Roman"/>
                <w:b/>
                <w:i/>
              </w:rPr>
              <w:t>Precīzi noteiktas</w:t>
            </w:r>
            <w:r w:rsidRPr="00C1770E">
              <w:rPr>
                <w:rFonts w:ascii="Times New Roman" w:hAnsi="Times New Roman" w:cs="Times New Roman"/>
              </w:rPr>
              <w:t xml:space="preserve"> (</w:t>
            </w:r>
            <w:r w:rsidRPr="00C1770E">
              <w:rPr>
                <w:rFonts w:ascii="Times New Roman" w:hAnsi="Times New Roman" w:cs="Times New Roman"/>
                <w:i/>
              </w:rPr>
              <w:t>explicit</w:t>
            </w:r>
            <w:r w:rsidRPr="00C1770E">
              <w:rPr>
                <w:rFonts w:ascii="Times New Roman" w:hAnsi="Times New Roman" w:cs="Times New Roman"/>
              </w:rPr>
              <w:t xml:space="preserve">) </w:t>
            </w:r>
            <w:r w:rsidRPr="00C1770E">
              <w:rPr>
                <w:rFonts w:ascii="Times New Roman" w:hAnsi="Times New Roman" w:cs="Times New Roman"/>
                <w:b/>
                <w:i/>
              </w:rPr>
              <w:t>saistības</w:t>
            </w:r>
            <w:r w:rsidRPr="00C1770E">
              <w:rPr>
                <w:rFonts w:ascii="Times New Roman" w:hAnsi="Times New Roman" w:cs="Times New Roman"/>
              </w:rPr>
              <w:t>, kas izriet no likumiem vai līgumiem</w:t>
            </w:r>
          </w:p>
        </w:tc>
        <w:tc>
          <w:tcPr>
            <w:tcW w:w="2126" w:type="dxa"/>
          </w:tcPr>
          <w:p w14:paraId="6EED561B" w14:textId="77777777" w:rsidR="00481389" w:rsidRPr="00C1770E" w:rsidRDefault="00481389" w:rsidP="00481389">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C1770E">
              <w:rPr>
                <w:rFonts w:ascii="Times New Roman" w:hAnsi="Times New Roman" w:cs="Times New Roman"/>
              </w:rPr>
              <w:t>valsts parādsaistības;</w:t>
            </w:r>
          </w:p>
          <w:p w14:paraId="220D3E19" w14:textId="77777777" w:rsidR="00481389" w:rsidRPr="00C1770E" w:rsidRDefault="00481389" w:rsidP="00481389">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C1770E">
              <w:rPr>
                <w:rFonts w:ascii="Times New Roman" w:hAnsi="Times New Roman" w:cs="Times New Roman"/>
              </w:rPr>
              <w:t>ilgtermiņa saistības (pensijas un citi sociālās apdrošināšanas maksājumi u.c.).</w:t>
            </w:r>
          </w:p>
        </w:tc>
        <w:tc>
          <w:tcPr>
            <w:tcW w:w="4394" w:type="dxa"/>
          </w:tcPr>
          <w:p w14:paraId="71141B52"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valsts galvojumi, t.sk. privāto investīciju galvojumi;</w:t>
            </w:r>
          </w:p>
          <w:p w14:paraId="2B691B9E"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„jumta” valsts galvojumi par dažādu veidu aizdevumiem (hipotekārie aizdevumi, studējošo kreditēšana, aizdevumi lauksaimniekiem, maziem un vidējiem uzņēmējiem).</w:t>
            </w:r>
          </w:p>
        </w:tc>
      </w:tr>
      <w:tr w:rsidR="00481389" w:rsidRPr="00C1770E" w14:paraId="1C9644AD" w14:textId="77777777" w:rsidTr="00953696">
        <w:trPr>
          <w:trHeight w:val="1370"/>
        </w:trPr>
        <w:tc>
          <w:tcPr>
            <w:tcW w:w="3114" w:type="dxa"/>
            <w:shd w:val="clear" w:color="auto" w:fill="9CC2E5" w:themeFill="accent1" w:themeFillTint="99"/>
          </w:tcPr>
          <w:p w14:paraId="31F4EC38" w14:textId="39FFA3EA" w:rsidR="00481389" w:rsidRPr="00C1770E" w:rsidRDefault="00481389" w:rsidP="00843E83">
            <w:pPr>
              <w:spacing w:after="60"/>
              <w:textAlignment w:val="top"/>
              <w:rPr>
                <w:rFonts w:ascii="Times New Roman" w:hAnsi="Times New Roman" w:cs="Times New Roman"/>
              </w:rPr>
            </w:pPr>
            <w:r w:rsidRPr="00C1770E">
              <w:rPr>
                <w:rFonts w:ascii="Times New Roman" w:hAnsi="Times New Roman" w:cs="Times New Roman"/>
                <w:b/>
                <w:i/>
              </w:rPr>
              <w:t>Nosacītās (netiešas) saistības</w:t>
            </w:r>
            <w:r w:rsidRPr="00C1770E">
              <w:rPr>
                <w:rFonts w:ascii="Times New Roman" w:hAnsi="Times New Roman" w:cs="Times New Roman"/>
              </w:rPr>
              <w:t xml:space="preserve">  (</w:t>
            </w:r>
            <w:r w:rsidRPr="00C1770E">
              <w:rPr>
                <w:rFonts w:ascii="Times New Roman" w:hAnsi="Times New Roman" w:cs="Times New Roman"/>
                <w:i/>
              </w:rPr>
              <w:t>implicit</w:t>
            </w:r>
            <w:r w:rsidRPr="00C1770E">
              <w:rPr>
                <w:rFonts w:ascii="Times New Roman" w:hAnsi="Times New Roman" w:cs="Times New Roman"/>
              </w:rPr>
              <w:t>) (valdības morālās saistī</w:t>
            </w:r>
            <w:r w:rsidR="00953696">
              <w:rPr>
                <w:rFonts w:ascii="Times New Roman" w:hAnsi="Times New Roman" w:cs="Times New Roman"/>
              </w:rPr>
              <w:t>bas, kuru pamatā ir sabiedrības</w:t>
            </w:r>
            <w:r w:rsidRPr="00C1770E">
              <w:rPr>
                <w:rFonts w:ascii="Times New Roman" w:hAnsi="Times New Roman" w:cs="Times New Roman"/>
              </w:rPr>
              <w:t xml:space="preserve"> un interešu grupu gaidas vai spiedienu)</w:t>
            </w:r>
          </w:p>
        </w:tc>
        <w:tc>
          <w:tcPr>
            <w:tcW w:w="2126" w:type="dxa"/>
          </w:tcPr>
          <w:p w14:paraId="1C16F397" w14:textId="77777777" w:rsidR="00481389" w:rsidRPr="00C1770E" w:rsidRDefault="00481389" w:rsidP="00843E83">
            <w:pPr>
              <w:ind w:left="230"/>
              <w:jc w:val="both"/>
              <w:textAlignment w:val="top"/>
              <w:rPr>
                <w:rFonts w:ascii="Times New Roman" w:hAnsi="Times New Roman" w:cs="Times New Roman"/>
              </w:rPr>
            </w:pPr>
          </w:p>
        </w:tc>
        <w:tc>
          <w:tcPr>
            <w:tcW w:w="4394" w:type="dxa"/>
          </w:tcPr>
          <w:p w14:paraId="378BBA21"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nodarbinātības fondu, sociālās aizsardzības fondu un citu fondu maksātnespēja;</w:t>
            </w:r>
          </w:p>
          <w:p w14:paraId="06704867" w14:textId="77777777" w:rsidR="00481389" w:rsidRPr="00C1770E" w:rsidRDefault="00481389" w:rsidP="00481389">
            <w:pPr>
              <w:numPr>
                <w:ilvl w:val="0"/>
                <w:numId w:val="9"/>
              </w:numPr>
              <w:tabs>
                <w:tab w:val="clear" w:pos="720"/>
                <w:tab w:val="num" w:pos="230"/>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pašvaldību, valsts uzņēmumu, lielo privāto uzņēmumu, valsts un ārpusbudžeta aģentūru zaudējumu kompensēšana, saistību pārņemšana.</w:t>
            </w:r>
          </w:p>
        </w:tc>
      </w:tr>
    </w:tbl>
    <w:p w14:paraId="4BD56F99" w14:textId="77777777" w:rsidR="00481389" w:rsidRPr="000E4882" w:rsidRDefault="00481389" w:rsidP="00481389">
      <w:pPr>
        <w:rPr>
          <w:rFonts w:ascii="Times New Roman" w:hAnsi="Times New Roman" w:cs="Times New Roman"/>
          <w:szCs w:val="24"/>
        </w:rPr>
      </w:pPr>
      <w:r w:rsidRPr="000E4882">
        <w:rPr>
          <w:rFonts w:ascii="Times New Roman" w:hAnsi="Times New Roman" w:cs="Times New Roman"/>
          <w:i/>
          <w:sz w:val="20"/>
        </w:rPr>
        <w:t>Avots: Hana Polackova Brixi, (1998).</w:t>
      </w:r>
    </w:p>
    <w:p w14:paraId="46FDC5C6" w14:textId="77777777" w:rsidR="00481389" w:rsidRDefault="00481389" w:rsidP="00481389">
      <w:pPr>
        <w:spacing w:after="0" w:line="240" w:lineRule="auto"/>
      </w:pPr>
    </w:p>
    <w:p w14:paraId="10991BCB" w14:textId="77777777" w:rsidR="00B95E92" w:rsidRPr="008D7F0E" w:rsidRDefault="00B95E92" w:rsidP="009A521C">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7" w:name="_Toc405371073"/>
      <w:bookmarkStart w:id="8" w:name="_Toc536626711"/>
      <w:r w:rsidRPr="008D7F0E">
        <w:rPr>
          <w:rFonts w:ascii="Times New Roman" w:hAnsi="Times New Roman" w:cs="Times New Roman"/>
          <w:color w:val="auto"/>
          <w:sz w:val="24"/>
          <w:szCs w:val="24"/>
        </w:rPr>
        <w:t>Fiskālo risku ietekmes un iestāšanās varbūtības novērtēšanas metodes</w:t>
      </w:r>
      <w:bookmarkEnd w:id="7"/>
      <w:bookmarkEnd w:id="8"/>
    </w:p>
    <w:p w14:paraId="5CCBEC92" w14:textId="77777777" w:rsidR="00481389" w:rsidRPr="00167534" w:rsidRDefault="00481389" w:rsidP="003002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MK noteikumi Nr.</w:t>
      </w:r>
      <w:r w:rsidRPr="00167534">
        <w:rPr>
          <w:rFonts w:ascii="Times New Roman" w:hAnsi="Times New Roman" w:cs="Times New Roman"/>
          <w:sz w:val="24"/>
          <w:szCs w:val="24"/>
        </w:rPr>
        <w:t>229 nosaka fiskālo risku ietekmes un iestāšanās varbūtības noteikšanas metodes.</w:t>
      </w:r>
      <w:r>
        <w:rPr>
          <w:rFonts w:ascii="Times New Roman" w:hAnsi="Times New Roman" w:cs="Times New Roman"/>
          <w:sz w:val="24"/>
          <w:szCs w:val="24"/>
        </w:rPr>
        <w:t xml:space="preserve"> </w:t>
      </w:r>
      <w:r w:rsidRPr="00167534">
        <w:rPr>
          <w:rFonts w:ascii="Times New Roman" w:hAnsi="Times New Roman" w:cs="Times New Roman"/>
          <w:sz w:val="24"/>
          <w:szCs w:val="24"/>
        </w:rPr>
        <w:t>Fiskālā ietekme fiskālo risku iestāšanās gadījumā uz vispārējās valdības budžeta bilanci, ja iespējams, tiek vērtēta kvalitatīvi. Kvalitatīvais novērtējums paredz fiskālo ietekmi novērtēt kā būtisku, vidēju vai zemu:</w:t>
      </w:r>
    </w:p>
    <w:p w14:paraId="163F953A"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būtiska fiskālā ietekme tiek paredzēta tādā gadījumā, ja ietekme uz vispārējās valdības budžeta bilanci pārsniedz 0,5% no IKP;</w:t>
      </w:r>
    </w:p>
    <w:p w14:paraId="204C9309"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vidēja fiskālā ietekme – ja ietekme uz vispārējās valdības budžeta bilanci ir robežās no 0,01 līdz 0,5% no IKP;</w:t>
      </w:r>
    </w:p>
    <w:p w14:paraId="34B18641"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zema fiskālā ietekme – ja ietekme uz vispārējās valdības budžeta bilanci nepārsniedz 0,01% no IKP.</w:t>
      </w:r>
    </w:p>
    <w:p w14:paraId="1978381E" w14:textId="77777777"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Vienlaikus, ja iespējams, tad fiskālā ietekme tiek vērtēta kvantitatīvi procentos no IKP</w:t>
      </w:r>
      <w:r>
        <w:rPr>
          <w:rFonts w:ascii="Times New Roman" w:hAnsi="Times New Roman" w:cs="Times New Roman"/>
          <w:sz w:val="24"/>
          <w:szCs w:val="24"/>
        </w:rPr>
        <w:t>,</w:t>
      </w:r>
      <w:r w:rsidRPr="00167534">
        <w:rPr>
          <w:rFonts w:ascii="Times New Roman" w:hAnsi="Times New Roman" w:cs="Times New Roman"/>
          <w:sz w:val="24"/>
          <w:szCs w:val="24"/>
        </w:rPr>
        <w:t xml:space="preserve"> izvērtējot specifisko fiskālo risku vadības iestāžu sagatavotos fiskālo risku vadības ziņojumus. Fiskālās ietekmes kvantitatīvais novērtējums tiek veikts</w:t>
      </w:r>
      <w:r>
        <w:rPr>
          <w:rFonts w:ascii="Times New Roman" w:hAnsi="Times New Roman" w:cs="Times New Roman"/>
          <w:sz w:val="24"/>
          <w:szCs w:val="24"/>
        </w:rPr>
        <w:t>,</w:t>
      </w:r>
      <w:r w:rsidRPr="00167534">
        <w:rPr>
          <w:rFonts w:ascii="Times New Roman" w:hAnsi="Times New Roman" w:cs="Times New Roman"/>
          <w:sz w:val="24"/>
          <w:szCs w:val="24"/>
        </w:rPr>
        <w:t xml:space="preserve"> </w:t>
      </w:r>
      <w:r>
        <w:rPr>
          <w:rFonts w:ascii="Times New Roman" w:hAnsi="Times New Roman" w:cs="Times New Roman"/>
          <w:sz w:val="24"/>
          <w:szCs w:val="24"/>
        </w:rPr>
        <w:t>ja novērtējumu var veikt ar šādu precizitāti</w:t>
      </w:r>
      <w:r w:rsidRPr="00167534">
        <w:rPr>
          <w:rFonts w:ascii="Times New Roman" w:hAnsi="Times New Roman" w:cs="Times New Roman"/>
          <w:sz w:val="24"/>
          <w:szCs w:val="24"/>
        </w:rPr>
        <w:t xml:space="preserve">: </w:t>
      </w:r>
    </w:p>
    <w:p w14:paraId="340D9BD5" w14:textId="77777777" w:rsidR="00481389" w:rsidRPr="00167534"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eastAsiaTheme="minorHAnsi" w:hAnsi="Times New Roman"/>
          <w:sz w:val="24"/>
          <w:szCs w:val="24"/>
        </w:rPr>
        <w:t>fiskālie</w:t>
      </w:r>
      <w:r>
        <w:rPr>
          <w:rFonts w:ascii="Times New Roman" w:eastAsiaTheme="minorHAnsi" w:hAnsi="Times New Roman"/>
          <w:sz w:val="24"/>
          <w:szCs w:val="24"/>
        </w:rPr>
        <w:t>m</w:t>
      </w:r>
      <w:r w:rsidRPr="00167534">
        <w:rPr>
          <w:rFonts w:ascii="Times New Roman" w:eastAsiaTheme="minorHAnsi" w:hAnsi="Times New Roman"/>
          <w:sz w:val="24"/>
          <w:szCs w:val="24"/>
        </w:rPr>
        <w:t xml:space="preserve"> riski</w:t>
      </w:r>
      <w:r>
        <w:rPr>
          <w:rFonts w:ascii="Times New Roman" w:eastAsiaTheme="minorHAnsi" w:hAnsi="Times New Roman"/>
          <w:sz w:val="24"/>
          <w:szCs w:val="24"/>
        </w:rPr>
        <w:t>em</w:t>
      </w:r>
      <w:r w:rsidRPr="00167534">
        <w:rPr>
          <w:rFonts w:ascii="Times New Roman" w:eastAsiaTheme="minorHAnsi" w:hAnsi="Times New Roman"/>
          <w:sz w:val="24"/>
          <w:szCs w:val="24"/>
        </w:rPr>
        <w:t xml:space="preserve"> ar fiskālo ietekmi zem 0,1% no IKP,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0,01 procentpunktu;</w:t>
      </w:r>
    </w:p>
    <w:p w14:paraId="0920186B" w14:textId="77777777" w:rsidR="00481389" w:rsidRPr="00167534"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hAnsi="Times New Roman"/>
          <w:sz w:val="24"/>
          <w:szCs w:val="24"/>
        </w:rPr>
        <w:t>fiskālie</w:t>
      </w:r>
      <w:r>
        <w:rPr>
          <w:rFonts w:ascii="Times New Roman" w:hAnsi="Times New Roman"/>
          <w:sz w:val="24"/>
          <w:szCs w:val="24"/>
        </w:rPr>
        <w:t xml:space="preserve">m </w:t>
      </w:r>
      <w:r w:rsidRPr="00167534">
        <w:rPr>
          <w:rFonts w:ascii="Times New Roman" w:hAnsi="Times New Roman"/>
          <w:sz w:val="24"/>
          <w:szCs w:val="24"/>
        </w:rPr>
        <w:t>riski</w:t>
      </w:r>
      <w:r>
        <w:rPr>
          <w:rFonts w:ascii="Times New Roman" w:hAnsi="Times New Roman"/>
          <w:sz w:val="24"/>
          <w:szCs w:val="24"/>
        </w:rPr>
        <w:t>em</w:t>
      </w:r>
      <w:r w:rsidRPr="00167534">
        <w:rPr>
          <w:rFonts w:ascii="Times New Roman" w:hAnsi="Times New Roman"/>
          <w:sz w:val="24"/>
          <w:szCs w:val="24"/>
        </w:rPr>
        <w:t xml:space="preserve"> ar fiskālo ietekmi robežās no 0,1% līdz 1% no IKP,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0,1 procentpunktu</w:t>
      </w:r>
      <w:r w:rsidRPr="00167534">
        <w:rPr>
          <w:rFonts w:ascii="Times New Roman" w:hAnsi="Times New Roman"/>
          <w:sz w:val="24"/>
          <w:szCs w:val="24"/>
        </w:rPr>
        <w:t>;</w:t>
      </w:r>
    </w:p>
    <w:p w14:paraId="2F5572C6" w14:textId="77777777" w:rsidR="00481389" w:rsidRPr="00E22505"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hAnsi="Times New Roman"/>
          <w:sz w:val="24"/>
          <w:szCs w:val="24"/>
        </w:rPr>
        <w:t>fiskālie</w:t>
      </w:r>
      <w:r>
        <w:rPr>
          <w:rFonts w:ascii="Times New Roman" w:hAnsi="Times New Roman"/>
          <w:sz w:val="24"/>
          <w:szCs w:val="24"/>
        </w:rPr>
        <w:t>m</w:t>
      </w:r>
      <w:r w:rsidRPr="00167534">
        <w:rPr>
          <w:rFonts w:ascii="Times New Roman" w:hAnsi="Times New Roman"/>
          <w:sz w:val="24"/>
          <w:szCs w:val="24"/>
        </w:rPr>
        <w:t xml:space="preserve"> riski</w:t>
      </w:r>
      <w:r>
        <w:rPr>
          <w:rFonts w:ascii="Times New Roman" w:hAnsi="Times New Roman"/>
          <w:sz w:val="24"/>
          <w:szCs w:val="24"/>
        </w:rPr>
        <w:t>em</w:t>
      </w:r>
      <w:r w:rsidRPr="00167534">
        <w:rPr>
          <w:rFonts w:ascii="Times New Roman" w:hAnsi="Times New Roman"/>
          <w:sz w:val="24"/>
          <w:szCs w:val="24"/>
        </w:rPr>
        <w:t xml:space="preserve"> ar fiskālo ietekmi 1% no IKP un vairāk,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1 procentpunktu</w:t>
      </w:r>
      <w:r w:rsidRPr="00167534">
        <w:rPr>
          <w:rFonts w:ascii="Times New Roman" w:hAnsi="Times New Roman"/>
          <w:sz w:val="24"/>
          <w:szCs w:val="24"/>
        </w:rPr>
        <w:t>.</w:t>
      </w:r>
    </w:p>
    <w:p w14:paraId="7C20EEB7" w14:textId="77777777"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Fiskālā</w:t>
      </w:r>
      <w:r>
        <w:rPr>
          <w:rFonts w:ascii="Times New Roman" w:hAnsi="Times New Roman" w:cs="Times New Roman"/>
          <w:sz w:val="24"/>
          <w:szCs w:val="24"/>
        </w:rPr>
        <w:t xml:space="preserve"> riska</w:t>
      </w:r>
      <w:r w:rsidRPr="00167534">
        <w:rPr>
          <w:rFonts w:ascii="Times New Roman" w:hAnsi="Times New Roman" w:cs="Times New Roman"/>
          <w:sz w:val="24"/>
          <w:szCs w:val="24"/>
        </w:rPr>
        <w:t xml:space="preserve"> iestāšanās varbūtība tiek novērtēta 5 punktu skalā</w:t>
      </w:r>
      <w:r>
        <w:rPr>
          <w:rFonts w:ascii="Times New Roman" w:hAnsi="Times New Roman" w:cs="Times New Roman"/>
          <w:sz w:val="24"/>
          <w:szCs w:val="24"/>
        </w:rPr>
        <w:t>. Iestāšanās varbūtību nosaka paliekošajam riskam, tas ir,</w:t>
      </w:r>
      <w:r w:rsidRPr="00AA3111">
        <w:rPr>
          <w:rFonts w:ascii="Times New Roman" w:hAnsi="Times New Roman" w:cs="Times New Roman"/>
          <w:sz w:val="24"/>
          <w:szCs w:val="24"/>
        </w:rPr>
        <w:t xml:space="preserve"> </w:t>
      </w:r>
      <w:r w:rsidRPr="00167534">
        <w:rPr>
          <w:rFonts w:ascii="Times New Roman" w:hAnsi="Times New Roman" w:cs="Times New Roman"/>
          <w:sz w:val="24"/>
          <w:szCs w:val="24"/>
        </w:rPr>
        <w:t>ņemot vērā jau pastāvošos fiskālo risku mazināšanas pasākumus.</w:t>
      </w:r>
    </w:p>
    <w:p w14:paraId="1672EC0D" w14:textId="6F77694A" w:rsidR="00481389" w:rsidRPr="00167534" w:rsidRDefault="00481389" w:rsidP="00507D6B">
      <w:pPr>
        <w:spacing w:before="240"/>
        <w:ind w:firstLine="720"/>
        <w:jc w:val="right"/>
        <w:rPr>
          <w:rFonts w:ascii="Times New Roman" w:hAnsi="Times New Roman" w:cs="Times New Roman"/>
          <w:b/>
          <w:sz w:val="24"/>
          <w:szCs w:val="24"/>
        </w:rPr>
      </w:pPr>
      <w:r w:rsidRPr="00167534">
        <w:rPr>
          <w:rFonts w:ascii="Times New Roman" w:hAnsi="Times New Roman" w:cs="Times New Roman"/>
          <w:b/>
          <w:sz w:val="24"/>
          <w:szCs w:val="24"/>
        </w:rPr>
        <w:t>Tabula Nr.</w:t>
      </w:r>
      <w:r w:rsidR="00786453">
        <w:rPr>
          <w:rFonts w:ascii="Times New Roman" w:hAnsi="Times New Roman" w:cs="Times New Roman"/>
          <w:b/>
          <w:sz w:val="24"/>
          <w:szCs w:val="24"/>
        </w:rPr>
        <w:t>2</w:t>
      </w:r>
      <w:r w:rsidRPr="00167534">
        <w:rPr>
          <w:rFonts w:ascii="Times New Roman" w:hAnsi="Times New Roman" w:cs="Times New Roman"/>
          <w:b/>
          <w:sz w:val="24"/>
          <w:szCs w:val="24"/>
        </w:rPr>
        <w:t xml:space="preserve"> Iestāšanās varbūtības novērtēšanas metodoloģija</w:t>
      </w:r>
    </w:p>
    <w:tbl>
      <w:tblPr>
        <w:tblStyle w:val="TableGrid"/>
        <w:tblW w:w="0" w:type="auto"/>
        <w:jc w:val="center"/>
        <w:tblLook w:val="04A0" w:firstRow="1" w:lastRow="0" w:firstColumn="1" w:lastColumn="0" w:noHBand="0" w:noVBand="1"/>
      </w:tblPr>
      <w:tblGrid>
        <w:gridCol w:w="4248"/>
        <w:gridCol w:w="4678"/>
      </w:tblGrid>
      <w:tr w:rsidR="00481389" w:rsidRPr="00C1770E" w14:paraId="2E048A5E" w14:textId="77777777" w:rsidTr="00F60E00">
        <w:trPr>
          <w:jc w:val="center"/>
        </w:trPr>
        <w:tc>
          <w:tcPr>
            <w:tcW w:w="4248" w:type="dxa"/>
            <w:shd w:val="clear" w:color="auto" w:fill="9CC2E5" w:themeFill="accent1" w:themeFillTint="99"/>
          </w:tcPr>
          <w:p w14:paraId="51D67514" w14:textId="77777777" w:rsidR="00481389" w:rsidRPr="00C1770E" w:rsidRDefault="00481389" w:rsidP="00843E83">
            <w:pPr>
              <w:jc w:val="center"/>
              <w:rPr>
                <w:b/>
                <w:sz w:val="22"/>
              </w:rPr>
            </w:pPr>
            <w:r w:rsidRPr="00C1770E">
              <w:rPr>
                <w:b/>
                <w:sz w:val="22"/>
              </w:rPr>
              <w:t>Iestāšanās varbūtības novērtējums</w:t>
            </w:r>
          </w:p>
        </w:tc>
        <w:tc>
          <w:tcPr>
            <w:tcW w:w="4678" w:type="dxa"/>
            <w:shd w:val="clear" w:color="auto" w:fill="9CC2E5" w:themeFill="accent1" w:themeFillTint="99"/>
          </w:tcPr>
          <w:p w14:paraId="2B566F9C" w14:textId="77777777" w:rsidR="00481389" w:rsidRPr="00C1770E" w:rsidRDefault="00481389" w:rsidP="00843E83">
            <w:pPr>
              <w:jc w:val="center"/>
              <w:rPr>
                <w:b/>
                <w:sz w:val="22"/>
              </w:rPr>
            </w:pPr>
            <w:r w:rsidRPr="00C1770E">
              <w:rPr>
                <w:b/>
                <w:sz w:val="22"/>
              </w:rPr>
              <w:t>Iestāšanās varbūtība</w:t>
            </w:r>
          </w:p>
        </w:tc>
      </w:tr>
      <w:tr w:rsidR="00481389" w:rsidRPr="00C1770E" w14:paraId="07462EB9" w14:textId="77777777" w:rsidTr="00F60E00">
        <w:trPr>
          <w:jc w:val="center"/>
        </w:trPr>
        <w:tc>
          <w:tcPr>
            <w:tcW w:w="4248" w:type="dxa"/>
          </w:tcPr>
          <w:p w14:paraId="7F3CF1B1" w14:textId="77777777" w:rsidR="00481389" w:rsidRPr="00C1770E" w:rsidRDefault="00481389" w:rsidP="00843E83">
            <w:pPr>
              <w:jc w:val="center"/>
              <w:rPr>
                <w:sz w:val="22"/>
              </w:rPr>
            </w:pPr>
            <w:r w:rsidRPr="00C1770E">
              <w:rPr>
                <w:sz w:val="22"/>
              </w:rPr>
              <w:t>1</w:t>
            </w:r>
          </w:p>
        </w:tc>
        <w:tc>
          <w:tcPr>
            <w:tcW w:w="4678" w:type="dxa"/>
          </w:tcPr>
          <w:p w14:paraId="60110052" w14:textId="77777777" w:rsidR="00481389" w:rsidRPr="00C1770E" w:rsidRDefault="00481389" w:rsidP="00843E83">
            <w:pPr>
              <w:jc w:val="center"/>
              <w:rPr>
                <w:sz w:val="22"/>
              </w:rPr>
            </w:pPr>
            <w:r w:rsidRPr="00C1770E">
              <w:rPr>
                <w:sz w:val="22"/>
              </w:rPr>
              <w:t>ir tuvāka 0%</w:t>
            </w:r>
          </w:p>
        </w:tc>
      </w:tr>
      <w:tr w:rsidR="00481389" w:rsidRPr="00C1770E" w14:paraId="183313C2" w14:textId="77777777" w:rsidTr="00F60E00">
        <w:trPr>
          <w:jc w:val="center"/>
        </w:trPr>
        <w:tc>
          <w:tcPr>
            <w:tcW w:w="4248" w:type="dxa"/>
          </w:tcPr>
          <w:p w14:paraId="2A7B1606" w14:textId="77777777" w:rsidR="00481389" w:rsidRPr="00C1770E" w:rsidRDefault="00481389" w:rsidP="00843E83">
            <w:pPr>
              <w:jc w:val="center"/>
              <w:rPr>
                <w:sz w:val="22"/>
              </w:rPr>
            </w:pPr>
            <w:r w:rsidRPr="00C1770E">
              <w:rPr>
                <w:sz w:val="22"/>
              </w:rPr>
              <w:t>2</w:t>
            </w:r>
          </w:p>
        </w:tc>
        <w:tc>
          <w:tcPr>
            <w:tcW w:w="4678" w:type="dxa"/>
          </w:tcPr>
          <w:p w14:paraId="4F089B1A" w14:textId="77777777" w:rsidR="00481389" w:rsidRPr="00C1770E" w:rsidRDefault="00481389" w:rsidP="00843E83">
            <w:pPr>
              <w:jc w:val="center"/>
              <w:rPr>
                <w:sz w:val="22"/>
              </w:rPr>
            </w:pPr>
            <w:r w:rsidRPr="00C1770E">
              <w:rPr>
                <w:sz w:val="22"/>
              </w:rPr>
              <w:t>ir tuvāka 10%</w:t>
            </w:r>
          </w:p>
        </w:tc>
      </w:tr>
      <w:tr w:rsidR="00481389" w:rsidRPr="00C1770E" w14:paraId="554369FA" w14:textId="77777777" w:rsidTr="00F60E00">
        <w:trPr>
          <w:jc w:val="center"/>
        </w:trPr>
        <w:tc>
          <w:tcPr>
            <w:tcW w:w="4248" w:type="dxa"/>
          </w:tcPr>
          <w:p w14:paraId="7A89AEBF" w14:textId="77777777" w:rsidR="00481389" w:rsidRPr="00C1770E" w:rsidRDefault="00481389" w:rsidP="00843E83">
            <w:pPr>
              <w:jc w:val="center"/>
              <w:rPr>
                <w:sz w:val="22"/>
              </w:rPr>
            </w:pPr>
            <w:r w:rsidRPr="00C1770E">
              <w:rPr>
                <w:sz w:val="22"/>
              </w:rPr>
              <w:t>3</w:t>
            </w:r>
          </w:p>
        </w:tc>
        <w:tc>
          <w:tcPr>
            <w:tcW w:w="4678" w:type="dxa"/>
          </w:tcPr>
          <w:p w14:paraId="0F01DB36" w14:textId="77777777" w:rsidR="00481389" w:rsidRPr="00C1770E" w:rsidRDefault="00481389" w:rsidP="00843E83">
            <w:pPr>
              <w:jc w:val="center"/>
              <w:rPr>
                <w:sz w:val="22"/>
              </w:rPr>
            </w:pPr>
            <w:r w:rsidRPr="00C1770E">
              <w:rPr>
                <w:sz w:val="22"/>
              </w:rPr>
              <w:t>ir tuvāka 30%</w:t>
            </w:r>
          </w:p>
        </w:tc>
      </w:tr>
      <w:tr w:rsidR="00481389" w:rsidRPr="00C1770E" w14:paraId="3BDB290E" w14:textId="77777777" w:rsidTr="00F60E00">
        <w:trPr>
          <w:jc w:val="center"/>
        </w:trPr>
        <w:tc>
          <w:tcPr>
            <w:tcW w:w="4248" w:type="dxa"/>
          </w:tcPr>
          <w:p w14:paraId="164580FA" w14:textId="77777777" w:rsidR="00481389" w:rsidRPr="00C1770E" w:rsidRDefault="00481389" w:rsidP="00843E83">
            <w:pPr>
              <w:jc w:val="center"/>
              <w:rPr>
                <w:sz w:val="22"/>
              </w:rPr>
            </w:pPr>
            <w:r w:rsidRPr="00C1770E">
              <w:rPr>
                <w:sz w:val="22"/>
              </w:rPr>
              <w:t>4</w:t>
            </w:r>
          </w:p>
        </w:tc>
        <w:tc>
          <w:tcPr>
            <w:tcW w:w="4678" w:type="dxa"/>
          </w:tcPr>
          <w:p w14:paraId="0371B28B" w14:textId="77777777" w:rsidR="00481389" w:rsidRPr="00C1770E" w:rsidRDefault="00481389" w:rsidP="00843E83">
            <w:pPr>
              <w:jc w:val="center"/>
              <w:rPr>
                <w:sz w:val="22"/>
              </w:rPr>
            </w:pPr>
            <w:r w:rsidRPr="00C1770E">
              <w:rPr>
                <w:sz w:val="22"/>
              </w:rPr>
              <w:t>ir tuvāka 60%</w:t>
            </w:r>
          </w:p>
        </w:tc>
      </w:tr>
      <w:tr w:rsidR="00481389" w:rsidRPr="00C1770E" w14:paraId="14417556" w14:textId="77777777" w:rsidTr="00F60E00">
        <w:trPr>
          <w:jc w:val="center"/>
        </w:trPr>
        <w:tc>
          <w:tcPr>
            <w:tcW w:w="4248" w:type="dxa"/>
          </w:tcPr>
          <w:p w14:paraId="61C2DE84" w14:textId="77777777" w:rsidR="00481389" w:rsidRPr="00C1770E" w:rsidRDefault="00481389" w:rsidP="00843E83">
            <w:pPr>
              <w:jc w:val="center"/>
              <w:rPr>
                <w:sz w:val="22"/>
              </w:rPr>
            </w:pPr>
            <w:r w:rsidRPr="00C1770E">
              <w:rPr>
                <w:sz w:val="22"/>
              </w:rPr>
              <w:t>5</w:t>
            </w:r>
          </w:p>
        </w:tc>
        <w:tc>
          <w:tcPr>
            <w:tcW w:w="4678" w:type="dxa"/>
          </w:tcPr>
          <w:p w14:paraId="0BDF6564" w14:textId="77777777" w:rsidR="00481389" w:rsidRPr="00C1770E" w:rsidRDefault="00481389" w:rsidP="00843E83">
            <w:pPr>
              <w:jc w:val="center"/>
              <w:rPr>
                <w:sz w:val="22"/>
              </w:rPr>
            </w:pPr>
            <w:r w:rsidRPr="00C1770E">
              <w:rPr>
                <w:sz w:val="22"/>
              </w:rPr>
              <w:t>ir tuvāka 100%</w:t>
            </w:r>
          </w:p>
        </w:tc>
      </w:tr>
    </w:tbl>
    <w:p w14:paraId="48B0FAA8" w14:textId="4D8FF7EF"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Fiskālos riskus, kuru iestāšanās varbūtība ir tuva 100% un tiek novērtēta ar koeficientu 5, iekļauj Ietvara likumā kā plānojamus (paredzamus) pasākumus un, attiecīgi, tie netiek</w:t>
      </w:r>
      <w:r w:rsidR="00974C98">
        <w:rPr>
          <w:rFonts w:ascii="Times New Roman" w:hAnsi="Times New Roman" w:cs="Times New Roman"/>
          <w:sz w:val="24"/>
          <w:szCs w:val="24"/>
        </w:rPr>
        <w:t xml:space="preserve"> atspoguļoti šajā deklarācijā.</w:t>
      </w:r>
    </w:p>
    <w:p w14:paraId="488CE72E" w14:textId="5203D8C1"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Novērtējot fiskālos riskus pēc to būtības, FM fiskālo risku vadībā ir ieviesusi terminu „simetrisks fiskālais risks”. Tas nozīmē, ka pastāv vienāda varbūtība, ka konkrētā fiskālā rādītāja faktiskais rezultāts var būt gan lielāks, gan mazāks nekā tika iepriekš prognozēts un novirzes amplitūda abos virz</w:t>
      </w:r>
      <w:r w:rsidR="00974C98">
        <w:rPr>
          <w:rFonts w:ascii="Times New Roman" w:hAnsi="Times New Roman" w:cs="Times New Roman"/>
          <w:sz w:val="24"/>
          <w:szCs w:val="24"/>
        </w:rPr>
        <w:t xml:space="preserve">ienos ir līdzīga. </w:t>
      </w:r>
      <w:r>
        <w:rPr>
          <w:rFonts w:ascii="Times New Roman" w:hAnsi="Times New Roman" w:cs="Times New Roman"/>
          <w:sz w:val="24"/>
          <w:szCs w:val="24"/>
        </w:rPr>
        <w:t xml:space="preserve">Simetriskajam riskam varbūtība, ka fiskālais rādītājs </w:t>
      </w:r>
      <w:r w:rsidR="00556DBF">
        <w:rPr>
          <w:rFonts w:ascii="Times New Roman" w:hAnsi="Times New Roman" w:cs="Times New Roman"/>
          <w:sz w:val="24"/>
          <w:szCs w:val="24"/>
        </w:rPr>
        <w:t>ietekmēs budžeta deficītu ir 50</w:t>
      </w:r>
      <w:r>
        <w:rPr>
          <w:rFonts w:ascii="Times New Roman" w:hAnsi="Times New Roman" w:cs="Times New Roman"/>
          <w:sz w:val="24"/>
          <w:szCs w:val="24"/>
        </w:rPr>
        <w:t xml:space="preserve">%. Turklāt fiskālā ietekme ilgtermiņā ir tuva nullei, jo novirzes ilgākā periodā kompensēs viena otru. </w:t>
      </w:r>
    </w:p>
    <w:p w14:paraId="608DBBFB" w14:textId="77777777"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Simetrisko fiskālo risku īpatnība ir tā, ka tie vienmēr iestājas, jo fiskālā rādītāja rezultāts nekad precīzi nesakrīt ar tā prognozēto vērtību. Tomēr, tā kā ilgākā laika periodā novirzes kompensē viena otru, tie “nav bīstami” publisko finanšu ilgtspējai un fiskālā nodrošinājuma rezervi šiem riskiem neveido.</w:t>
      </w:r>
    </w:p>
    <w:p w14:paraId="76470244" w14:textId="3BBCE413" w:rsidR="002F17DB" w:rsidRDefault="00590A19" w:rsidP="002F17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Šajā gadījumā būtisks jautājums ir par to, kā konstatēt riska simetriskumu. Viens variants ir analizēt pagātnes datus. Kopumā fiskālo risku vadības sistēma ir relatīvi jauna un nav uzkrāta pietiekama informācija par novirzēm no fiskālajiem rādītājiem iepriekšējos gados, lai šo metodi pilnvērtīgi izmantotu. Tajā pašā laikā par atsevišķiem fiskālajiem riskiem – valsts kapitālsabiedrību </w:t>
      </w:r>
      <w:r w:rsidR="002F17DB">
        <w:rPr>
          <w:rFonts w:ascii="Times New Roman" w:hAnsi="Times New Roman" w:cs="Times New Roman"/>
          <w:sz w:val="24"/>
          <w:szCs w:val="24"/>
        </w:rPr>
        <w:t>radītajiem riskiem</w:t>
      </w:r>
      <w:r>
        <w:rPr>
          <w:rFonts w:ascii="Times New Roman" w:hAnsi="Times New Roman" w:cs="Times New Roman"/>
          <w:sz w:val="24"/>
          <w:szCs w:val="24"/>
        </w:rPr>
        <w:t xml:space="preserve">, kvantificējamajiem riskiem labklājības nozarē un iemaksām Eiropas Savienības budžetā – uzkrātais datu apjoms ļauj secināt, ka periods, kurā jāvērtē </w:t>
      </w:r>
      <w:r w:rsidRPr="009D6D33">
        <w:rPr>
          <w:rFonts w:ascii="Times New Roman" w:hAnsi="Times New Roman" w:cs="Times New Roman"/>
          <w:sz w:val="24"/>
          <w:szCs w:val="24"/>
        </w:rPr>
        <w:t>simetriskuma principa piemērošana</w:t>
      </w:r>
      <w:r>
        <w:rPr>
          <w:rFonts w:ascii="Times New Roman" w:hAnsi="Times New Roman" w:cs="Times New Roman"/>
          <w:sz w:val="24"/>
          <w:szCs w:val="24"/>
        </w:rPr>
        <w:t>, ir atšķirīgs, tomēr tam ir jābūt tik garam, lai būtu iespējams veikt pilnu izdevumu cikla novērtējumu t.i. novērot gadījumus, kad faktiskie izdevumi gan pārsniedz plānoto apmēru, gan ir mazāki nekā plānots. Fiskālos riskus var ietekmēt tādi faktori kā  ekonomikas cikliskā attīstība,</w:t>
      </w:r>
      <w:r w:rsidR="00682D5F">
        <w:rPr>
          <w:rFonts w:ascii="Times New Roman" w:hAnsi="Times New Roman" w:cs="Times New Roman"/>
          <w:sz w:val="24"/>
          <w:szCs w:val="24"/>
        </w:rPr>
        <w:t xml:space="preserve"> normatīvā regulējuma izmaiņas</w:t>
      </w:r>
      <w:r>
        <w:rPr>
          <w:rFonts w:ascii="Times New Roman" w:hAnsi="Times New Roman" w:cs="Times New Roman"/>
          <w:sz w:val="24"/>
          <w:szCs w:val="24"/>
        </w:rPr>
        <w:t xml:space="preserve">, un savukārt šo faktoru ietekme uz fiskālo risku var būt atšķirīga. </w:t>
      </w:r>
    </w:p>
    <w:p w14:paraId="0EAF485E" w14:textId="77777777" w:rsidR="002F17DB" w:rsidRDefault="002F17DB" w:rsidP="002F17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Otra metode ir analizēt riska avotu. Ja riska avots ir process, kas, teorētiski ņemot, ģenerē simetriskas novirzes, šajā deklarācijā risks tiek atzīts par simetrisku risku. Tomēr, pastāv iespēja, ka, lai arī teorētiski novirzēm būtu jābūt simetriskām, praksē tas tā nav, jo procesu ietekmē neidentificēti faktori, piemēram, </w:t>
      </w:r>
      <w:r w:rsidRPr="00682D5F">
        <w:rPr>
          <w:rFonts w:ascii="Times New Roman" w:hAnsi="Times New Roman" w:cs="Times New Roman"/>
          <w:sz w:val="24"/>
          <w:szCs w:val="24"/>
        </w:rPr>
        <w:t>sabiedrības uzvedības maiņa</w:t>
      </w:r>
      <w:r>
        <w:rPr>
          <w:rFonts w:ascii="Times New Roman" w:hAnsi="Times New Roman" w:cs="Times New Roman"/>
          <w:sz w:val="24"/>
          <w:szCs w:val="24"/>
        </w:rPr>
        <w:t>, kas prognozēs netiek pienācīgi ņemtas vērā.</w:t>
      </w:r>
    </w:p>
    <w:p w14:paraId="741886AE" w14:textId="49F4C77F" w:rsidR="008C07FB" w:rsidRDefault="002F17DB" w:rsidP="008C05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periodam, kurā būtu nepieciešams vērtēt fiskālā riska simetriskumu ir jābūt vismaz vidējam termiņam (3 </w:t>
      </w:r>
      <w:r w:rsidR="00711C13">
        <w:rPr>
          <w:rFonts w:ascii="Times New Roman" w:hAnsi="Times New Roman" w:cs="Times New Roman"/>
          <w:color w:val="000000"/>
          <w:sz w:val="24"/>
          <w:szCs w:val="24"/>
        </w:rPr>
        <w:t>–</w:t>
      </w:r>
      <w:r>
        <w:rPr>
          <w:rFonts w:ascii="Times New Roman" w:hAnsi="Times New Roman" w:cs="Times New Roman"/>
          <w:sz w:val="24"/>
          <w:szCs w:val="24"/>
        </w:rPr>
        <w:t xml:space="preserve"> 5 gadi), savukārt ja attiecīgajā periodā nav iespējams praktiski konstatēt simetriska fiskālā riska pazīmes, tad</w:t>
      </w:r>
      <w:r w:rsidR="00953696">
        <w:rPr>
          <w:rFonts w:ascii="Times New Roman" w:hAnsi="Times New Roman" w:cs="Times New Roman"/>
          <w:sz w:val="24"/>
          <w:szCs w:val="24"/>
        </w:rPr>
        <w:t xml:space="preserve"> novērojumu periods jāpagarina </w:t>
      </w:r>
      <w:r>
        <w:rPr>
          <w:rFonts w:ascii="Times New Roman" w:hAnsi="Times New Roman" w:cs="Times New Roman"/>
          <w:sz w:val="24"/>
          <w:szCs w:val="24"/>
        </w:rPr>
        <w:t xml:space="preserve">līdz 7 gadiem, ko varētu vērtēt kā ilgtermiņu (angliski: </w:t>
      </w:r>
      <w:r w:rsidRPr="00112437">
        <w:rPr>
          <w:rFonts w:ascii="Times New Roman" w:hAnsi="Times New Roman" w:cs="Times New Roman"/>
          <w:i/>
          <w:sz w:val="24"/>
          <w:szCs w:val="24"/>
        </w:rPr>
        <w:t>long</w:t>
      </w:r>
      <w:r w:rsidR="00711C13">
        <w:rPr>
          <w:rFonts w:ascii="Times New Roman" w:hAnsi="Times New Roman" w:cs="Times New Roman"/>
          <w:color w:val="000000"/>
          <w:sz w:val="24"/>
          <w:szCs w:val="24"/>
        </w:rPr>
        <w:t>–</w:t>
      </w:r>
      <w:r w:rsidRPr="00112437">
        <w:rPr>
          <w:rFonts w:ascii="Times New Roman" w:hAnsi="Times New Roman" w:cs="Times New Roman"/>
          <w:i/>
          <w:sz w:val="24"/>
          <w:szCs w:val="24"/>
        </w:rPr>
        <w:t>term</w:t>
      </w:r>
      <w:r>
        <w:rPr>
          <w:rFonts w:ascii="Times New Roman" w:hAnsi="Times New Roman" w:cs="Times New Roman"/>
          <w:sz w:val="24"/>
          <w:szCs w:val="24"/>
        </w:rPr>
        <w:t xml:space="preserve">).  </w:t>
      </w:r>
    </w:p>
    <w:p w14:paraId="4E9625C8" w14:textId="5EF9D329" w:rsidR="00953696" w:rsidRDefault="00953696">
      <w:pPr>
        <w:rPr>
          <w:rFonts w:ascii="Times New Roman" w:hAnsi="Times New Roman" w:cs="Times New Roman"/>
          <w:sz w:val="24"/>
          <w:szCs w:val="24"/>
        </w:rPr>
      </w:pPr>
      <w:r>
        <w:rPr>
          <w:rFonts w:ascii="Times New Roman" w:hAnsi="Times New Roman" w:cs="Times New Roman"/>
          <w:sz w:val="24"/>
          <w:szCs w:val="24"/>
        </w:rPr>
        <w:br w:type="page"/>
      </w:r>
    </w:p>
    <w:p w14:paraId="3126BB50" w14:textId="77777777" w:rsidR="00953696" w:rsidRPr="002F17DB" w:rsidRDefault="00953696" w:rsidP="008C0513">
      <w:pPr>
        <w:spacing w:after="0" w:line="240" w:lineRule="auto"/>
        <w:ind w:firstLine="720"/>
        <w:jc w:val="both"/>
        <w:rPr>
          <w:rFonts w:ascii="Times New Roman" w:hAnsi="Times New Roman" w:cs="Times New Roman"/>
          <w:sz w:val="24"/>
          <w:szCs w:val="24"/>
        </w:rPr>
      </w:pPr>
    </w:p>
    <w:p w14:paraId="6BF3C53B" w14:textId="77777777" w:rsidR="008F58C9" w:rsidRPr="008F58C9" w:rsidRDefault="008F58C9" w:rsidP="008F58C9">
      <w:pPr>
        <w:pStyle w:val="Heading1"/>
        <w:jc w:val="right"/>
        <w:rPr>
          <w:rFonts w:ascii="Times New Roman" w:hAnsi="Times New Roman" w:cs="Times New Roman"/>
          <w:sz w:val="32"/>
        </w:rPr>
      </w:pPr>
      <w:bookmarkStart w:id="9" w:name="_Toc536626712"/>
      <w:r w:rsidRPr="008F58C9">
        <w:rPr>
          <w:rFonts w:ascii="Times New Roman" w:hAnsi="Times New Roman" w:cs="Times New Roman"/>
          <w:sz w:val="32"/>
        </w:rPr>
        <w:t>Kvantificējamie fiskālie riski</w:t>
      </w:r>
      <w:bookmarkEnd w:id="9"/>
    </w:p>
    <w:p w14:paraId="01E26ABD" w14:textId="46447A2B"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0" w:name="_Toc405371076"/>
      <w:bookmarkStart w:id="11" w:name="_Toc536626713"/>
      <w:r w:rsidRPr="008D7F0E">
        <w:rPr>
          <w:rFonts w:ascii="Times New Roman" w:hAnsi="Times New Roman" w:cs="Times New Roman"/>
          <w:color w:val="auto"/>
          <w:sz w:val="24"/>
          <w:szCs w:val="24"/>
        </w:rPr>
        <w:t xml:space="preserve">Valsts </w:t>
      </w:r>
      <w:r w:rsidR="00393298">
        <w:rPr>
          <w:rFonts w:ascii="Times New Roman" w:hAnsi="Times New Roman" w:cs="Times New Roman"/>
          <w:color w:val="auto"/>
          <w:sz w:val="24"/>
          <w:szCs w:val="24"/>
        </w:rPr>
        <w:t xml:space="preserve">un pašvaldību </w:t>
      </w:r>
      <w:r w:rsidRPr="008D7F0E">
        <w:rPr>
          <w:rFonts w:ascii="Times New Roman" w:hAnsi="Times New Roman" w:cs="Times New Roman"/>
          <w:color w:val="auto"/>
          <w:sz w:val="24"/>
          <w:szCs w:val="24"/>
        </w:rPr>
        <w:t>galvojumi</w:t>
      </w:r>
      <w:bookmarkEnd w:id="10"/>
      <w:bookmarkEnd w:id="11"/>
    </w:p>
    <w:p w14:paraId="66258357"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Valsts galvojumi saskaņā ar fiskālo risku avotu klasifikāciju ir iespējamās saistības, kas izriet no likumiem vai līgumiem. Valsts galvojumu </w:t>
      </w:r>
      <w:r w:rsidRPr="00103B4E">
        <w:rPr>
          <w:rFonts w:ascii="Times New Roman" w:eastAsia="Calibri" w:hAnsi="Times New Roman"/>
          <w:b/>
          <w:sz w:val="24"/>
          <w:szCs w:val="24"/>
        </w:rPr>
        <w:t>fiskālais risks</w:t>
      </w:r>
      <w:r w:rsidRPr="00103B4E">
        <w:rPr>
          <w:rFonts w:ascii="Times New Roman" w:eastAsia="Calibri" w:hAnsi="Times New Roman"/>
          <w:sz w:val="24"/>
          <w:szCs w:val="24"/>
        </w:rPr>
        <w:t xml:space="preserve"> (turpmāk – galvojumu risks) ir nenoteiktības ietekme uz valsts galvoto aizdevumu saņēmēju (turpmāk – galvojumu saņēmēju) spēju segt savas saistības savlaicīgi un pilnā apmērā</w:t>
      </w:r>
      <w:r>
        <w:rPr>
          <w:rStyle w:val="FootnoteReference"/>
          <w:rFonts w:ascii="Times New Roman" w:eastAsia="Calibri" w:hAnsi="Times New Roman" w:cs="Times New Roman"/>
          <w:sz w:val="24"/>
          <w:szCs w:val="24"/>
        </w:rPr>
        <w:footnoteReference w:id="1"/>
      </w:r>
      <w:r w:rsidRPr="00103B4E">
        <w:rPr>
          <w:rFonts w:ascii="Times New Roman" w:eastAsia="Calibri" w:hAnsi="Times New Roman"/>
          <w:sz w:val="24"/>
          <w:szCs w:val="24"/>
        </w:rPr>
        <w:t xml:space="preserve">, kā rezultātā valstij var rasties pienākums segt saistības pret attiecīgo </w:t>
      </w:r>
      <w:r>
        <w:rPr>
          <w:rFonts w:ascii="Times New Roman" w:eastAsia="Calibri" w:hAnsi="Times New Roman"/>
          <w:sz w:val="24"/>
          <w:szCs w:val="24"/>
        </w:rPr>
        <w:t>banku</w:t>
      </w:r>
      <w:r w:rsidRPr="00103B4E">
        <w:rPr>
          <w:rFonts w:ascii="Times New Roman" w:eastAsia="Calibri" w:hAnsi="Times New Roman"/>
          <w:sz w:val="24"/>
          <w:szCs w:val="24"/>
        </w:rPr>
        <w:t xml:space="preserve"> galvojuma saņēmēja vietā. Saskaņā ar MK noteikumiem Nr.229 galvojumu riska </w:t>
      </w:r>
      <w:r w:rsidRPr="00103B4E">
        <w:rPr>
          <w:rFonts w:ascii="Times New Roman" w:eastAsia="Calibri" w:hAnsi="Times New Roman"/>
          <w:b/>
          <w:sz w:val="24"/>
          <w:szCs w:val="24"/>
        </w:rPr>
        <w:t>fiskālo ietekmi</w:t>
      </w:r>
      <w:r w:rsidRPr="00103B4E">
        <w:rPr>
          <w:rFonts w:ascii="Times New Roman" w:eastAsia="Calibri" w:hAnsi="Times New Roman"/>
          <w:sz w:val="24"/>
          <w:szCs w:val="24"/>
        </w:rPr>
        <w:t xml:space="preserve"> katrā gadā aprēķina kā katra valsts galvotā aizdevuma ārpus vispārējās valdības sektora klasificētām iestādēm attiecīgajā gadā saskaņā ar aizdevuma līguma grafiku plānoto maksājumu kopsummu. Savukārt </w:t>
      </w:r>
      <w:r w:rsidRPr="00103B4E">
        <w:rPr>
          <w:rFonts w:ascii="Times New Roman" w:eastAsia="Calibri" w:hAnsi="Times New Roman"/>
          <w:b/>
          <w:sz w:val="24"/>
          <w:szCs w:val="24"/>
        </w:rPr>
        <w:t>fiskālā nodrošinājuma rezervi</w:t>
      </w:r>
      <w:r w:rsidRPr="00103B4E">
        <w:rPr>
          <w:rFonts w:ascii="Times New Roman" w:eastAsia="Calibri" w:hAnsi="Times New Roman"/>
          <w:sz w:val="24"/>
          <w:szCs w:val="24"/>
        </w:rPr>
        <w:t xml:space="preserve"> valsts galvojumiem aprēķina, reizinot galvojumu risku fiskālās ietekmes vērtības ar galvojumu risku iestāšanās varbūtībām.</w:t>
      </w:r>
    </w:p>
    <w:p w14:paraId="628EC658" w14:textId="6F44A99E" w:rsidR="00BF5645" w:rsidRPr="00103B4E" w:rsidRDefault="00BF5645" w:rsidP="00BF5645">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Uz 201</w:t>
      </w:r>
      <w:r>
        <w:rPr>
          <w:rFonts w:ascii="Times New Roman" w:eastAsia="Calibri" w:hAnsi="Times New Roman"/>
          <w:sz w:val="24"/>
          <w:szCs w:val="24"/>
        </w:rPr>
        <w:t>8</w:t>
      </w:r>
      <w:r w:rsidRPr="00103B4E">
        <w:rPr>
          <w:rFonts w:ascii="Times New Roman" w:eastAsia="Calibri" w:hAnsi="Times New Roman"/>
          <w:sz w:val="24"/>
          <w:szCs w:val="24"/>
        </w:rPr>
        <w:t xml:space="preserve">.gada </w:t>
      </w:r>
      <w:r>
        <w:rPr>
          <w:rFonts w:ascii="Times New Roman" w:eastAsia="Calibri" w:hAnsi="Times New Roman"/>
          <w:sz w:val="24"/>
          <w:szCs w:val="24"/>
        </w:rPr>
        <w:t>31.decembri</w:t>
      </w:r>
      <w:r w:rsidRPr="00103B4E">
        <w:rPr>
          <w:rFonts w:ascii="Times New Roman" w:eastAsia="Calibri" w:hAnsi="Times New Roman"/>
          <w:sz w:val="24"/>
          <w:szCs w:val="24"/>
        </w:rPr>
        <w:t xml:space="preserve"> valsts izsniegto galvojumu atlikums bija </w:t>
      </w:r>
      <w:r>
        <w:rPr>
          <w:rFonts w:ascii="Times New Roman" w:eastAsia="Calibri" w:hAnsi="Times New Roman"/>
          <w:sz w:val="24"/>
          <w:szCs w:val="24"/>
        </w:rPr>
        <w:t>284,0</w:t>
      </w:r>
      <w:r w:rsidRPr="00103B4E">
        <w:rPr>
          <w:rFonts w:ascii="Times New Roman" w:eastAsia="Calibri" w:hAnsi="Times New Roman"/>
          <w:sz w:val="24"/>
          <w:szCs w:val="24"/>
        </w:rPr>
        <w:t xml:space="preserve"> milj. </w:t>
      </w:r>
      <w:r w:rsidRPr="00103B4E">
        <w:rPr>
          <w:rFonts w:ascii="Times New Roman" w:eastAsia="Calibri" w:hAnsi="Times New Roman"/>
          <w:i/>
          <w:sz w:val="24"/>
          <w:szCs w:val="24"/>
        </w:rPr>
        <w:t>euro</w:t>
      </w:r>
      <w:r>
        <w:rPr>
          <w:rStyle w:val="FootnoteReference"/>
          <w:rFonts w:ascii="Times New Roman" w:eastAsia="Calibri" w:hAnsi="Times New Roman"/>
          <w:i/>
          <w:sz w:val="24"/>
          <w:szCs w:val="24"/>
        </w:rPr>
        <w:footnoteReference w:id="2"/>
      </w:r>
      <w:r w:rsidRPr="00103B4E">
        <w:rPr>
          <w:rFonts w:ascii="Times New Roman" w:eastAsia="Calibri" w:hAnsi="Times New Roman"/>
          <w:sz w:val="24"/>
          <w:szCs w:val="24"/>
        </w:rPr>
        <w:t>. 201</w:t>
      </w:r>
      <w:r>
        <w:rPr>
          <w:rFonts w:ascii="Times New Roman" w:eastAsia="Calibri" w:hAnsi="Times New Roman"/>
          <w:sz w:val="24"/>
          <w:szCs w:val="24"/>
        </w:rPr>
        <w:t>9</w:t>
      </w:r>
      <w:r w:rsidRPr="00103B4E">
        <w:rPr>
          <w:rFonts w:ascii="Times New Roman" w:eastAsia="Calibri" w:hAnsi="Times New Roman"/>
          <w:sz w:val="24"/>
          <w:szCs w:val="24"/>
        </w:rPr>
        <w:t>.gadā galvojumu portfelim ir aprēķināta galvojumu riska fiskālā ietekme</w:t>
      </w:r>
      <w:r>
        <w:rPr>
          <w:rStyle w:val="FootnoteReference"/>
          <w:rFonts w:ascii="Times New Roman" w:eastAsia="Calibri" w:hAnsi="Times New Roman"/>
          <w:sz w:val="24"/>
          <w:szCs w:val="24"/>
        </w:rPr>
        <w:footnoteReference w:id="3"/>
      </w:r>
      <w:r w:rsidRPr="00103B4E">
        <w:rPr>
          <w:rFonts w:ascii="Times New Roman" w:eastAsia="Calibri" w:hAnsi="Times New Roman"/>
          <w:sz w:val="24"/>
          <w:szCs w:val="24"/>
        </w:rPr>
        <w:t xml:space="preserve"> </w:t>
      </w:r>
      <w:r>
        <w:rPr>
          <w:rFonts w:ascii="Times New Roman" w:eastAsia="Calibri" w:hAnsi="Times New Roman"/>
          <w:sz w:val="24"/>
          <w:szCs w:val="24"/>
        </w:rPr>
        <w:t xml:space="preserve">4 </w:t>
      </w:r>
      <w:r w:rsidRPr="00103B4E">
        <w:rPr>
          <w:rFonts w:ascii="Times New Roman" w:eastAsia="Calibri" w:hAnsi="Times New Roman"/>
          <w:sz w:val="24"/>
          <w:szCs w:val="24"/>
        </w:rPr>
        <w:t>milj</w:t>
      </w:r>
      <w:r>
        <w:rPr>
          <w:rStyle w:val="FootnoteReference"/>
          <w:rFonts w:ascii="Times New Roman" w:eastAsia="Calibri" w:hAnsi="Times New Roman"/>
          <w:sz w:val="24"/>
          <w:szCs w:val="24"/>
        </w:rPr>
        <w:footnoteReference w:id="4"/>
      </w:r>
      <w:r w:rsidRPr="00103B4E">
        <w:rPr>
          <w:rFonts w:ascii="Times New Roman" w:eastAsia="Calibri" w:hAnsi="Times New Roman"/>
          <w:sz w:val="24"/>
          <w:szCs w:val="24"/>
        </w:rPr>
        <w:t xml:space="preserve">. </w:t>
      </w:r>
      <w:r w:rsidRPr="00103B4E">
        <w:rPr>
          <w:rFonts w:ascii="Times New Roman" w:eastAsia="Calibri" w:hAnsi="Times New Roman"/>
          <w:i/>
          <w:sz w:val="24"/>
          <w:szCs w:val="24"/>
        </w:rPr>
        <w:t>euro</w:t>
      </w:r>
      <w:r w:rsidRPr="00103B4E">
        <w:rPr>
          <w:rFonts w:ascii="Times New Roman" w:eastAsia="Calibri" w:hAnsi="Times New Roman"/>
          <w:sz w:val="24"/>
          <w:szCs w:val="24"/>
        </w:rPr>
        <w:t xml:space="preserve"> apmērā, 20</w:t>
      </w:r>
      <w:r>
        <w:rPr>
          <w:rFonts w:ascii="Times New Roman" w:eastAsia="Calibri" w:hAnsi="Times New Roman"/>
          <w:sz w:val="24"/>
          <w:szCs w:val="24"/>
        </w:rPr>
        <w:t xml:space="preserve">20.gadā </w:t>
      </w:r>
      <w:r w:rsidRPr="00103B4E">
        <w:rPr>
          <w:rFonts w:ascii="Times New Roman" w:eastAsia="Calibri" w:hAnsi="Times New Roman"/>
          <w:sz w:val="24"/>
          <w:szCs w:val="24"/>
        </w:rPr>
        <w:t xml:space="preserve">– </w:t>
      </w:r>
      <w:r>
        <w:rPr>
          <w:rFonts w:ascii="Times New Roman" w:eastAsia="Calibri" w:hAnsi="Times New Roman"/>
          <w:sz w:val="24"/>
          <w:szCs w:val="24"/>
        </w:rPr>
        <w:t>0,2</w:t>
      </w:r>
      <w:r w:rsidRPr="00103B4E">
        <w:rPr>
          <w:rFonts w:ascii="Times New Roman" w:eastAsia="Calibri" w:hAnsi="Times New Roman"/>
          <w:sz w:val="24"/>
          <w:szCs w:val="24"/>
        </w:rPr>
        <w:t xml:space="preserve"> milj. </w:t>
      </w:r>
      <w:r w:rsidRPr="00103B4E">
        <w:rPr>
          <w:rFonts w:ascii="Times New Roman" w:eastAsia="Calibri" w:hAnsi="Times New Roman"/>
          <w:i/>
          <w:sz w:val="24"/>
          <w:szCs w:val="24"/>
        </w:rPr>
        <w:t>euro</w:t>
      </w:r>
      <w:r w:rsidRPr="00103B4E">
        <w:rPr>
          <w:rFonts w:ascii="Times New Roman" w:eastAsia="Calibri" w:hAnsi="Times New Roman"/>
          <w:sz w:val="24"/>
          <w:szCs w:val="24"/>
        </w:rPr>
        <w:t xml:space="preserve"> apmērā, 20</w:t>
      </w:r>
      <w:r>
        <w:rPr>
          <w:rFonts w:ascii="Times New Roman" w:eastAsia="Calibri" w:hAnsi="Times New Roman"/>
          <w:sz w:val="24"/>
          <w:szCs w:val="24"/>
        </w:rPr>
        <w:t>21</w:t>
      </w:r>
      <w:r w:rsidRPr="00103B4E">
        <w:rPr>
          <w:rFonts w:ascii="Times New Roman" w:eastAsia="Calibri" w:hAnsi="Times New Roman"/>
          <w:sz w:val="24"/>
          <w:szCs w:val="24"/>
        </w:rPr>
        <w:t>.gadā – 0,</w:t>
      </w:r>
      <w:r>
        <w:rPr>
          <w:rFonts w:ascii="Times New Roman" w:eastAsia="Calibri" w:hAnsi="Times New Roman"/>
          <w:sz w:val="24"/>
          <w:szCs w:val="24"/>
        </w:rPr>
        <w:t>2</w:t>
      </w:r>
      <w:r w:rsidR="00953696">
        <w:rPr>
          <w:rFonts w:ascii="Times New Roman" w:eastAsia="Calibri" w:hAnsi="Times New Roman"/>
          <w:sz w:val="24"/>
          <w:szCs w:val="24"/>
        </w:rPr>
        <w:t xml:space="preserve"> </w:t>
      </w:r>
      <w:r w:rsidRPr="00103B4E">
        <w:rPr>
          <w:rFonts w:ascii="Times New Roman" w:eastAsia="Calibri" w:hAnsi="Times New Roman"/>
          <w:sz w:val="24"/>
          <w:szCs w:val="24"/>
        </w:rPr>
        <w:t xml:space="preserve">milj. </w:t>
      </w:r>
      <w:r w:rsidRPr="00103B4E">
        <w:rPr>
          <w:rFonts w:ascii="Times New Roman" w:eastAsia="Calibri" w:hAnsi="Times New Roman"/>
          <w:i/>
          <w:sz w:val="24"/>
          <w:szCs w:val="24"/>
        </w:rPr>
        <w:t>euro</w:t>
      </w:r>
      <w:r w:rsidRPr="00103B4E">
        <w:rPr>
          <w:rFonts w:ascii="Times New Roman" w:eastAsia="Calibri" w:hAnsi="Times New Roman"/>
          <w:sz w:val="24"/>
          <w:szCs w:val="24"/>
        </w:rPr>
        <w:t xml:space="preserve"> apmērā, savukārt 20</w:t>
      </w:r>
      <w:r>
        <w:rPr>
          <w:rFonts w:ascii="Times New Roman" w:eastAsia="Calibri" w:hAnsi="Times New Roman"/>
          <w:sz w:val="24"/>
          <w:szCs w:val="24"/>
        </w:rPr>
        <w:t>22</w:t>
      </w:r>
      <w:r w:rsidRPr="00103B4E">
        <w:rPr>
          <w:rFonts w:ascii="Times New Roman" w:eastAsia="Calibri" w:hAnsi="Times New Roman"/>
          <w:sz w:val="24"/>
          <w:szCs w:val="24"/>
        </w:rPr>
        <w:t xml:space="preserve">.gadā – 0,2 milj. </w:t>
      </w:r>
      <w:r w:rsidRPr="00103B4E">
        <w:rPr>
          <w:rFonts w:ascii="Times New Roman" w:eastAsia="Calibri" w:hAnsi="Times New Roman"/>
          <w:i/>
          <w:sz w:val="24"/>
          <w:szCs w:val="24"/>
        </w:rPr>
        <w:t>euro</w:t>
      </w:r>
      <w:r w:rsidRPr="00103B4E">
        <w:rPr>
          <w:rFonts w:ascii="Times New Roman" w:eastAsia="Calibri" w:hAnsi="Times New Roman"/>
          <w:sz w:val="24"/>
          <w:szCs w:val="24"/>
        </w:rPr>
        <w:t xml:space="preserve"> apmērā. Ņemot vērā MK noteikumos Nr.229 noteikto fiskālā nodrošinājuma rezerves aprēķina metodoloģiju, 201</w:t>
      </w:r>
      <w:r>
        <w:rPr>
          <w:rFonts w:ascii="Times New Roman" w:eastAsia="Calibri" w:hAnsi="Times New Roman"/>
          <w:sz w:val="24"/>
          <w:szCs w:val="24"/>
        </w:rPr>
        <w:t>9</w:t>
      </w:r>
      <w:r w:rsidRPr="00103B4E">
        <w:rPr>
          <w:rFonts w:ascii="Times New Roman" w:eastAsia="Calibri" w:hAnsi="Times New Roman"/>
          <w:sz w:val="24"/>
          <w:szCs w:val="24"/>
        </w:rPr>
        <w:t>.gadā valsts galvojumiem fiskālā nodrošinājuma rezerve ir aprēķināta 0,0</w:t>
      </w:r>
      <w:r>
        <w:rPr>
          <w:rFonts w:ascii="Times New Roman" w:eastAsia="Calibri" w:hAnsi="Times New Roman"/>
          <w:sz w:val="24"/>
          <w:szCs w:val="24"/>
        </w:rPr>
        <w:t>01</w:t>
      </w:r>
      <w:r w:rsidRPr="00103B4E">
        <w:rPr>
          <w:rFonts w:ascii="Times New Roman" w:eastAsia="Calibri" w:hAnsi="Times New Roman"/>
          <w:sz w:val="24"/>
          <w:szCs w:val="24"/>
        </w:rPr>
        <w:t>% apmērā no IKP,</w:t>
      </w:r>
      <w:r>
        <w:rPr>
          <w:rFonts w:ascii="Times New Roman" w:eastAsia="Calibri" w:hAnsi="Times New Roman"/>
          <w:sz w:val="24"/>
          <w:szCs w:val="24"/>
        </w:rPr>
        <w:t xml:space="preserve"> 2020.</w:t>
      </w:r>
      <w:r w:rsidR="00276946" w:rsidRPr="00276946">
        <w:rPr>
          <w:rFonts w:ascii="Times New Roman" w:eastAsia="Calibri" w:hAnsi="Times New Roman"/>
          <w:sz w:val="24"/>
          <w:szCs w:val="24"/>
        </w:rPr>
        <w:t xml:space="preserve"> </w:t>
      </w:r>
      <w:r w:rsidR="00276946" w:rsidRPr="00103B4E">
        <w:rPr>
          <w:rFonts w:ascii="Times New Roman" w:eastAsia="Calibri" w:hAnsi="Times New Roman"/>
          <w:sz w:val="24"/>
          <w:szCs w:val="24"/>
        </w:rPr>
        <w:t>–</w:t>
      </w:r>
      <w:r w:rsidR="00276946">
        <w:rPr>
          <w:rFonts w:ascii="Times New Roman" w:eastAsia="Calibri" w:hAnsi="Times New Roman"/>
          <w:sz w:val="24"/>
          <w:szCs w:val="24"/>
        </w:rPr>
        <w:t xml:space="preserve"> </w:t>
      </w:r>
      <w:r w:rsidR="00953696">
        <w:rPr>
          <w:rFonts w:ascii="Times New Roman" w:eastAsia="Calibri" w:hAnsi="Times New Roman"/>
          <w:sz w:val="24"/>
          <w:szCs w:val="24"/>
        </w:rPr>
        <w:t xml:space="preserve">2022.gadā </w:t>
      </w:r>
      <w:r>
        <w:rPr>
          <w:rFonts w:ascii="Times New Roman" w:eastAsia="Calibri" w:hAnsi="Times New Roman"/>
          <w:sz w:val="24"/>
          <w:szCs w:val="24"/>
        </w:rPr>
        <w:t>0% apmērā no IKP katru gadu</w:t>
      </w:r>
      <w:r>
        <w:rPr>
          <w:rStyle w:val="FootnoteReference"/>
          <w:rFonts w:ascii="Times New Roman" w:eastAsia="Calibri" w:hAnsi="Times New Roman" w:cs="Times New Roman"/>
          <w:sz w:val="24"/>
          <w:szCs w:val="24"/>
        </w:rPr>
        <w:footnoteReference w:id="5"/>
      </w:r>
      <w:r w:rsidRPr="00103B4E">
        <w:rPr>
          <w:rFonts w:ascii="Times New Roman" w:eastAsia="Calibri" w:hAnsi="Times New Roman"/>
          <w:sz w:val="24"/>
          <w:szCs w:val="24"/>
        </w:rPr>
        <w:t>.</w:t>
      </w:r>
    </w:p>
    <w:p w14:paraId="307BA79B"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Galvojumu risks tiek vadīts, regulāri uzraugot galvojumu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galvojumu saņēmēju pelnītspēja, apgrozāmo līdzekļu pietiekamība īstermiņa saistību segšanai un kapitāla struktūra), kredītvēsturi un nodrošinājuma likviditāti un pietiekamību. Situācijās, kad galvojumu risks ir paaugstināts, tiek veikti papildu uzraudzības pasākumi, tai skaitā ikmēneša finanšu pārskatu un atjaunotu biznesa plānu pieprasīšana, tikšanās ar galvojuma saņēmēja vadību. </w:t>
      </w:r>
    </w:p>
    <w:p w14:paraId="12D9AD2B"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Likumā par budžetu un finanšu vadību ir noteikts potenciālo valsts galvojuma saņēmēju loks un mērķi, kā arī nosacījumi, kuriem īstenojoties valsts galvojumu nesniedz. Valsts galvojumu sniegšanas un uzraudzības kārtību nosaka 2014.gada 8.jūlija MK noteikumi Nr.391 „Kārtība, kādā gadskārtējā valsts budžeta likumprojektā iekļauj pieprasījumus valsts vārdā sniedzamajiem galvojumiem, un galvojumu sniegšanas un uzraudzības kārtība”, kas paredz paaugstināta aizdevuma atmaksas riska noteikšanas kritērijus, kas ir viens no nosacījumiem, kuram īstenojoties valsts galvojumu nesniedz, pienākumus nozares ministrijai, Valsts kasei un galvojuma saņēmējam valsts galvoto saistību uzraudzības procesā un rīcību galvojuma saņēmēja finanšu rādītāju vai nodrošinājuma vērtības samazināšanās gadījumā (iespēja pārskatīt riska procentu likmi, pieprasīt zvērināta revidenta atzinumu par finansiālo stāvokli, kā arī tiesības piekļūt galvojuma saņēmēja informācijai, kas attiecas uz tā saimniecisko darbību un valsts galvotā aizdevuma izlietošanu), lai tiktu nodrošināta valsts interešu aizsardzība. </w:t>
      </w:r>
    </w:p>
    <w:p w14:paraId="43D50584" w14:textId="4C0FE722" w:rsidR="005C32F2" w:rsidRDefault="005C32F2" w:rsidP="005C32F2">
      <w:pPr>
        <w:spacing w:after="0" w:line="240" w:lineRule="auto"/>
        <w:ind w:firstLine="709"/>
        <w:jc w:val="both"/>
        <w:rPr>
          <w:rFonts w:ascii="Times New Roman" w:eastAsia="Calibri" w:hAnsi="Times New Roman"/>
          <w:sz w:val="24"/>
          <w:szCs w:val="24"/>
        </w:rPr>
      </w:pPr>
      <w:r w:rsidRPr="00103B4E">
        <w:rPr>
          <w:rFonts w:ascii="Times New Roman" w:eastAsia="Calibri" w:hAnsi="Times New Roman"/>
          <w:sz w:val="24"/>
          <w:szCs w:val="24"/>
        </w:rPr>
        <w:lastRenderedPageBreak/>
        <w:t>Valsts galvoto aizdevumu portfeļa uzraudzības procesa ietvaros attiecībā uz galvojumu saņēmējiem, kuru kredītspēja atbilstoši Valsts kases iekšējiem noteikumiem tiek vērtēta kā „vāja” vai „slikta”, divas reizes gadā finanšu ministram tiek sagatavots ziņojums ar priekšlikumiem par nepieciešamo rīcību valsts interešu ievērošanai. Savukārt vienu reizi gadā finanšu ministrs iesniedz MK informatīvo ziņojumu par valsts galvoto aizdevumu portfeļa kvalitāti.</w:t>
      </w:r>
    </w:p>
    <w:p w14:paraId="496435D6" w14:textId="63A560FE" w:rsidR="00393298" w:rsidRPr="00D71D04" w:rsidRDefault="00393298" w:rsidP="002769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2018.gada kopējais pieļaujamais pašvaldību galvojumu saistību palielinājums </w:t>
      </w:r>
      <w:r>
        <w:rPr>
          <w:rFonts w:ascii="Times New Roman" w:hAnsi="Times New Roman" w:cs="Times New Roman"/>
          <w:sz w:val="24"/>
          <w:szCs w:val="24"/>
          <w:lang w:eastAsia="lv-LV"/>
        </w:rPr>
        <w:t>2018.gada valsts budžeta likumā</w:t>
      </w:r>
      <w:r>
        <w:rPr>
          <w:rFonts w:ascii="Times New Roman" w:hAnsi="Times New Roman" w:cs="Times New Roman"/>
          <w:sz w:val="24"/>
          <w:szCs w:val="24"/>
        </w:rPr>
        <w:t xml:space="preserve">  </w:t>
      </w:r>
      <w:r w:rsidRPr="00D731B7">
        <w:rPr>
          <w:rFonts w:ascii="Times New Roman" w:hAnsi="Times New Roman" w:cs="Times New Roman"/>
          <w:color w:val="000000" w:themeColor="text1"/>
          <w:sz w:val="24"/>
          <w:szCs w:val="24"/>
        </w:rPr>
        <w:t xml:space="preserve">ir </w:t>
      </w:r>
      <w:r w:rsidRPr="00D731B7">
        <w:rPr>
          <w:rFonts w:ascii="Times New Roman" w:hAnsi="Times New Roman" w:cs="Times New Roman"/>
          <w:color w:val="000000" w:themeColor="text1"/>
          <w:sz w:val="24"/>
          <w:szCs w:val="24"/>
          <w:lang w:eastAsia="lv-LV"/>
        </w:rPr>
        <w:t>56 914 872  EUR.</w:t>
      </w:r>
      <w:r>
        <w:rPr>
          <w:rFonts w:ascii="Times New Roman" w:hAnsi="Times New Roman" w:cs="Times New Roman"/>
          <w:color w:val="000000" w:themeColor="text1"/>
          <w:sz w:val="24"/>
          <w:szCs w:val="24"/>
          <w:lang w:eastAsia="lv-LV"/>
        </w:rPr>
        <w:t xml:space="preserve"> </w:t>
      </w:r>
      <w:r w:rsidRPr="00D71D04">
        <w:rPr>
          <w:rFonts w:ascii="Times New Roman" w:hAnsi="Times New Roman" w:cs="Times New Roman"/>
          <w:sz w:val="24"/>
          <w:szCs w:val="24"/>
          <w:lang w:eastAsia="lv-LV"/>
        </w:rPr>
        <w:t xml:space="preserve">Vērtējot pašvaldības galvojuma pieprasījumu, tiek </w:t>
      </w:r>
      <w:r w:rsidRPr="00D71D04">
        <w:rPr>
          <w:rFonts w:ascii="Times New Roman" w:hAnsi="Times New Roman" w:cs="Times New Roman"/>
          <w:sz w:val="24"/>
          <w:szCs w:val="24"/>
        </w:rPr>
        <w:t>vērtēta pašvaldības esošo saistību (aizņēmumu saistību izpilde noteiktajos termiņos un apmēros) un pašvaldības spēja uzņemties jaunas galvojumu saistības. Pašvaldībām saistību apmēru vērtē procentos, t.i., attiecīgajā gadā atmaksājamās summas pret pamatbudžeta plānotajiem ieņēmumiem bez valsts budžeta transfertiem noteiktam mērķim un iemaksām Pašvaldību finanšu izlīdzināšanas fondā. Minētais rādītājs tiek vērtēts, jo pašvaldību finanšu stabilizācijas riska iespēja var iestāties, ja pašvaldības parāda saistības, kurām iestājies atmaksāšanas termiņš kārtējā saimnieciskajā gadā, kopā ar iepriekšējo gadu parāda saistībām, kurām iestājies atm</w:t>
      </w:r>
      <w:r w:rsidR="00276946">
        <w:rPr>
          <w:rFonts w:ascii="Times New Roman" w:hAnsi="Times New Roman" w:cs="Times New Roman"/>
          <w:sz w:val="24"/>
          <w:szCs w:val="24"/>
        </w:rPr>
        <w:t>aksāšanas termiņš, pārsniedz 20</w:t>
      </w:r>
      <w:r w:rsidRPr="00D71D04">
        <w:rPr>
          <w:rFonts w:ascii="Times New Roman" w:hAnsi="Times New Roman" w:cs="Times New Roman"/>
          <w:sz w:val="24"/>
          <w:szCs w:val="24"/>
        </w:rPr>
        <w:t xml:space="preserve">% no pašvaldības kārtējā saimnieciskā gada budžeta kopapjoma. </w:t>
      </w:r>
    </w:p>
    <w:p w14:paraId="32CC6ACA" w14:textId="7B237379" w:rsidR="00393298" w:rsidRDefault="00393298" w:rsidP="002769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2018.gadā ir nodrošināts stingrs un fiskāli atbildīgs aizņēmumu un galvojumu saistību uzņemšanās un izpildes process </w:t>
      </w:r>
      <w:r>
        <w:rPr>
          <w:rFonts w:ascii="Times New Roman" w:hAnsi="Times New Roman" w:cs="Times New Roman"/>
          <w:color w:val="000000"/>
          <w:sz w:val="24"/>
          <w:szCs w:val="24"/>
        </w:rPr>
        <w:t>–</w:t>
      </w:r>
      <w:r>
        <w:rPr>
          <w:rFonts w:ascii="Times New Roman" w:hAnsi="Times New Roman" w:cs="Times New Roman"/>
          <w:sz w:val="24"/>
          <w:szCs w:val="24"/>
        </w:rPr>
        <w:t xml:space="preserve"> nevienai no pašvaldībām uzņemto saistību (aizņēmumu, galvojumu, citu ilgtermiņa saistību) apmēri (atmaksājamās summas 2018.gadā) nepārsniedz 13% no 2018.gada pašvaldību plānotajiem pamatbudžeta ieņēmumiem bez valsts budžeta transfertiem noteiktam mērķim un iemaksām Pašvaldību finanšu izlīdzināšanas fondā. </w:t>
      </w:r>
    </w:p>
    <w:p w14:paraId="1A11D17C" w14:textId="360E72C7" w:rsidR="00711C13" w:rsidRDefault="00711C13" w:rsidP="00711C13">
      <w:pPr>
        <w:spacing w:after="0" w:line="240" w:lineRule="auto"/>
        <w:ind w:firstLine="720"/>
        <w:jc w:val="both"/>
        <w:rPr>
          <w:rFonts w:ascii="Times New Roman" w:hAnsi="Times New Roman" w:cs="Times New Roman"/>
          <w:sz w:val="24"/>
          <w:szCs w:val="24"/>
        </w:rPr>
      </w:pPr>
      <w:r w:rsidRPr="00103B4E">
        <w:rPr>
          <w:rFonts w:ascii="Times New Roman" w:eastAsia="Calibri" w:hAnsi="Times New Roman"/>
          <w:sz w:val="24"/>
          <w:szCs w:val="24"/>
        </w:rPr>
        <w:t>Valsts</w:t>
      </w:r>
      <w:r w:rsidRPr="0089209F">
        <w:rPr>
          <w:rFonts w:ascii="Times New Roman" w:eastAsiaTheme="minorHAnsi" w:hAnsi="Times New Roman"/>
          <w:sz w:val="24"/>
        </w:rPr>
        <w:t xml:space="preserve"> </w:t>
      </w:r>
      <w:r>
        <w:rPr>
          <w:rFonts w:ascii="Times New Roman" w:eastAsiaTheme="minorHAnsi" w:hAnsi="Times New Roman"/>
          <w:sz w:val="24"/>
        </w:rPr>
        <w:t xml:space="preserve">un </w:t>
      </w:r>
      <w:r>
        <w:rPr>
          <w:rFonts w:ascii="Times New Roman" w:hAnsi="Times New Roman" w:cs="Times New Roman"/>
          <w:sz w:val="24"/>
          <w:szCs w:val="24"/>
        </w:rPr>
        <w:t xml:space="preserve">pašvaldību galvojumu </w:t>
      </w:r>
      <w:r w:rsidRPr="0089209F">
        <w:rPr>
          <w:rFonts w:ascii="Times New Roman" w:eastAsiaTheme="minorHAnsi" w:hAnsi="Times New Roman"/>
          <w:sz w:val="24"/>
        </w:rPr>
        <w:t xml:space="preserve">fiskālā ietekme ilgtermiņā ir </w:t>
      </w:r>
      <w:r>
        <w:rPr>
          <w:rFonts w:ascii="Times New Roman" w:eastAsiaTheme="minorHAnsi" w:hAnsi="Times New Roman"/>
          <w:sz w:val="24"/>
        </w:rPr>
        <w:t>tuva nullei</w:t>
      </w:r>
      <w:r w:rsidRPr="0089209F">
        <w:rPr>
          <w:rFonts w:ascii="Times New Roman" w:eastAsiaTheme="minorHAnsi" w:hAnsi="Times New Roman"/>
          <w:sz w:val="24"/>
        </w:rPr>
        <w:t xml:space="preserve">. Līdz ar to fiskālais risks, kas attiecas uz </w:t>
      </w:r>
      <w:r w:rsidR="006B5E3D" w:rsidRPr="00103B4E">
        <w:rPr>
          <w:rFonts w:ascii="Times New Roman" w:eastAsia="Calibri" w:hAnsi="Times New Roman"/>
          <w:sz w:val="24"/>
          <w:szCs w:val="24"/>
        </w:rPr>
        <w:t>Valsts</w:t>
      </w:r>
      <w:r w:rsidR="006B5E3D" w:rsidRPr="0089209F">
        <w:rPr>
          <w:rFonts w:ascii="Times New Roman" w:eastAsiaTheme="minorHAnsi" w:hAnsi="Times New Roman"/>
          <w:sz w:val="24"/>
        </w:rPr>
        <w:t xml:space="preserve"> </w:t>
      </w:r>
      <w:r w:rsidR="006B5E3D">
        <w:rPr>
          <w:rFonts w:ascii="Times New Roman" w:eastAsiaTheme="minorHAnsi" w:hAnsi="Times New Roman"/>
          <w:sz w:val="24"/>
        </w:rPr>
        <w:t xml:space="preserve">un </w:t>
      </w:r>
      <w:r w:rsidR="006B5E3D">
        <w:rPr>
          <w:rFonts w:ascii="Times New Roman" w:hAnsi="Times New Roman" w:cs="Times New Roman"/>
          <w:sz w:val="24"/>
          <w:szCs w:val="24"/>
        </w:rPr>
        <w:t>pašvaldību galvojumiem</w:t>
      </w:r>
      <w:r>
        <w:rPr>
          <w:rFonts w:ascii="Times New Roman" w:eastAsiaTheme="minorHAnsi" w:hAnsi="Times New Roman"/>
          <w:sz w:val="24"/>
        </w:rPr>
        <w:t>,</w:t>
      </w:r>
      <w:r w:rsidRPr="0089209F">
        <w:rPr>
          <w:rFonts w:ascii="Times New Roman" w:eastAsiaTheme="minorHAnsi" w:hAnsi="Times New Roman"/>
          <w:sz w:val="24"/>
        </w:rPr>
        <w:t xml:space="preserve"> netiek </w:t>
      </w:r>
      <w:r w:rsidRPr="0089209F">
        <w:rPr>
          <w:rFonts w:ascii="Times New Roman" w:eastAsiaTheme="minorHAnsi" w:hAnsi="Times New Roman" w:cs="Times New Roman"/>
          <w:sz w:val="24"/>
        </w:rPr>
        <w:t>ietverts fiskālās nodrošinājuma rezerves aprēķinā</w:t>
      </w:r>
      <w:r w:rsidRPr="0089209F">
        <w:rPr>
          <w:rFonts w:ascii="Times New Roman" w:eastAsiaTheme="minorHAnsi" w:hAnsi="Times New Roman"/>
          <w:sz w:val="24"/>
        </w:rPr>
        <w:t>.</w:t>
      </w:r>
    </w:p>
    <w:p w14:paraId="0E8A76AF" w14:textId="77777777" w:rsidR="000D02B5" w:rsidRPr="00103B4E" w:rsidRDefault="000D02B5" w:rsidP="005C32F2">
      <w:pPr>
        <w:spacing w:after="0" w:line="240" w:lineRule="auto"/>
        <w:ind w:firstLine="709"/>
        <w:jc w:val="both"/>
        <w:rPr>
          <w:rFonts w:ascii="Times New Roman" w:hAnsi="Times New Roman"/>
          <w:sz w:val="24"/>
          <w:szCs w:val="24"/>
          <w:lang w:eastAsia="lv-LV"/>
        </w:rPr>
      </w:pPr>
    </w:p>
    <w:p w14:paraId="55B112E8" w14:textId="77777777" w:rsidR="006B5E3D" w:rsidRDefault="006B5E3D" w:rsidP="006B5E3D">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2" w:name="_Toc405371081"/>
      <w:bookmarkStart w:id="13" w:name="_Toc536626714"/>
      <w:bookmarkStart w:id="14" w:name="_Toc405371077"/>
      <w:r w:rsidRPr="00521C35">
        <w:rPr>
          <w:rFonts w:ascii="Times New Roman" w:hAnsi="Times New Roman" w:cs="Times New Roman"/>
          <w:color w:val="auto"/>
          <w:sz w:val="24"/>
          <w:szCs w:val="24"/>
        </w:rPr>
        <w:t>Valsts galvojums studiju un studējošo kreditēšanai</w:t>
      </w:r>
      <w:bookmarkEnd w:id="12"/>
      <w:bookmarkEnd w:id="13"/>
    </w:p>
    <w:p w14:paraId="052F2A13" w14:textId="77777777" w:rsidR="006B5E3D" w:rsidRDefault="006B5E3D" w:rsidP="006B5E3D">
      <w:pPr>
        <w:spacing w:after="0" w:line="240" w:lineRule="auto"/>
        <w:ind w:firstLine="720"/>
        <w:jc w:val="both"/>
        <w:rPr>
          <w:rFonts w:ascii="Times New Roman" w:eastAsiaTheme="minorHAnsi" w:hAnsi="Times New Roman" w:cs="Times New Roman"/>
          <w:sz w:val="24"/>
        </w:rPr>
      </w:pPr>
      <w:r w:rsidRPr="0089209F">
        <w:rPr>
          <w:rFonts w:ascii="Times New Roman" w:eastAsiaTheme="minorHAnsi" w:hAnsi="Times New Roman" w:cs="Times New Roman"/>
          <w:sz w:val="24"/>
        </w:rPr>
        <w:t>Fiskālais risks var iestāties, ja valstij vienlaicīgi ir jāveic liels skaits maksājumu attiecībā pret sniegtaj</w:t>
      </w:r>
      <w:r>
        <w:rPr>
          <w:rFonts w:ascii="Times New Roman" w:eastAsiaTheme="minorHAnsi" w:hAnsi="Times New Roman" w:cs="Times New Roman"/>
          <w:sz w:val="24"/>
        </w:rPr>
        <w:t>iem</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galvojumiem</w:t>
      </w:r>
      <w:r w:rsidRPr="0089209F">
        <w:rPr>
          <w:rFonts w:ascii="Times New Roman" w:eastAsiaTheme="minorHAnsi" w:hAnsi="Times New Roman" w:cs="Times New Roman"/>
          <w:sz w:val="24"/>
        </w:rPr>
        <w:t xml:space="preserve">, kas var palielināt vispārējās valdības budžeta </w:t>
      </w:r>
      <w:r>
        <w:rPr>
          <w:rFonts w:ascii="Times New Roman" w:eastAsiaTheme="minorHAnsi" w:hAnsi="Times New Roman" w:cs="Times New Roman"/>
          <w:sz w:val="24"/>
        </w:rPr>
        <w:t>deficītu</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J</w:t>
      </w:r>
      <w:r w:rsidRPr="0089209F">
        <w:rPr>
          <w:rFonts w:ascii="Times New Roman" w:eastAsiaTheme="minorHAnsi" w:hAnsi="Times New Roman" w:cs="Times New Roman"/>
          <w:sz w:val="24"/>
        </w:rPr>
        <w:t>āatzīmē, ka valsts galvojumu sistēma paredz, ka papildus valsts galvojumam tiek saņemti arī trešo personu galvojumi, kas iestājas pirms valsts galvojuma.</w:t>
      </w:r>
    </w:p>
    <w:p w14:paraId="7D6DBB91" w14:textId="77777777" w:rsidR="006B5E3D" w:rsidRDefault="006B5E3D" w:rsidP="006B5E3D">
      <w:pPr>
        <w:spacing w:after="0" w:line="240" w:lineRule="auto"/>
        <w:ind w:firstLine="720"/>
        <w:jc w:val="both"/>
        <w:rPr>
          <w:rFonts w:ascii="Times New Roman" w:eastAsiaTheme="minorHAnsi" w:hAnsi="Times New Roman" w:cs="Times New Roman"/>
          <w:sz w:val="24"/>
        </w:rPr>
      </w:pPr>
      <w:r w:rsidRPr="00EA3337">
        <w:rPr>
          <w:rFonts w:ascii="Times New Roman" w:eastAsiaTheme="minorHAnsi" w:hAnsi="Times New Roman" w:cs="Times New Roman"/>
          <w:sz w:val="24"/>
        </w:rPr>
        <w:t>2016.gadā valsts ir veikusi galvojumu saistību izpildi 30</w:t>
      </w:r>
      <w:r w:rsidRPr="00316C22">
        <w:rPr>
          <w:rFonts w:ascii="Times New Roman" w:eastAsiaTheme="minorHAnsi" w:hAnsi="Times New Roman" w:cs="Times New Roman"/>
        </w:rPr>
        <w:t> </w:t>
      </w:r>
      <w:r w:rsidRPr="00EA3337">
        <w:rPr>
          <w:rFonts w:ascii="Times New Roman" w:eastAsiaTheme="minorHAnsi" w:hAnsi="Times New Roman" w:cs="Times New Roman"/>
          <w:sz w:val="24"/>
        </w:rPr>
        <w:t xml:space="preserve">453 </w:t>
      </w:r>
      <w:r w:rsidRPr="00EA3337">
        <w:rPr>
          <w:rFonts w:ascii="Times New Roman" w:eastAsiaTheme="minorHAnsi" w:hAnsi="Times New Roman" w:cs="Times New Roman"/>
          <w:i/>
          <w:sz w:val="24"/>
        </w:rPr>
        <w:t>euro</w:t>
      </w:r>
      <w:r w:rsidRPr="00EA3337">
        <w:rPr>
          <w:rFonts w:ascii="Times New Roman" w:eastAsiaTheme="minorHAnsi" w:hAnsi="Times New Roman" w:cs="Times New Roman"/>
          <w:sz w:val="24"/>
        </w:rPr>
        <w:t xml:space="preserve"> apmērā, bet 201</w:t>
      </w:r>
      <w:r>
        <w:rPr>
          <w:rFonts w:ascii="Times New Roman" w:eastAsiaTheme="minorHAnsi" w:hAnsi="Times New Roman" w:cs="Times New Roman"/>
          <w:sz w:val="24"/>
        </w:rPr>
        <w:t>7.gadā tas ir samazinājies līdz</w:t>
      </w:r>
      <w:r w:rsidRPr="00EA3337">
        <w:rPr>
          <w:rFonts w:ascii="Times New Roman" w:eastAsiaTheme="minorHAnsi" w:hAnsi="Times New Roman" w:cs="Times New Roman"/>
          <w:sz w:val="24"/>
        </w:rPr>
        <w:t xml:space="preserve"> 14</w:t>
      </w:r>
      <w:r w:rsidRPr="00316C22">
        <w:rPr>
          <w:rFonts w:ascii="Times New Roman" w:eastAsiaTheme="minorHAnsi" w:hAnsi="Times New Roman" w:cs="Times New Roman"/>
        </w:rPr>
        <w:t> </w:t>
      </w:r>
      <w:r w:rsidRPr="00EA3337">
        <w:rPr>
          <w:rFonts w:ascii="Times New Roman" w:eastAsiaTheme="minorHAnsi" w:hAnsi="Times New Roman" w:cs="Times New Roman"/>
          <w:sz w:val="24"/>
        </w:rPr>
        <w:t xml:space="preserve">333 </w:t>
      </w:r>
      <w:r w:rsidRPr="00EA3337">
        <w:rPr>
          <w:rFonts w:ascii="Times New Roman" w:eastAsiaTheme="minorHAnsi" w:hAnsi="Times New Roman" w:cs="Times New Roman"/>
          <w:i/>
          <w:sz w:val="24"/>
        </w:rPr>
        <w:t>euro</w:t>
      </w:r>
      <w:r>
        <w:rPr>
          <w:rFonts w:ascii="Times New Roman" w:eastAsiaTheme="minorHAnsi" w:hAnsi="Times New Roman" w:cs="Times New Roman"/>
          <w:sz w:val="24"/>
        </w:rPr>
        <w:t xml:space="preserve">, kas sastāda </w:t>
      </w:r>
      <w:r w:rsidRPr="00EA3337">
        <w:rPr>
          <w:rFonts w:ascii="Times New Roman" w:eastAsiaTheme="minorHAnsi" w:hAnsi="Times New Roman" w:cs="Times New Roman"/>
          <w:sz w:val="24"/>
        </w:rPr>
        <w:t>tikai 0,03% no izsniegtā valsts galvojuma apmēra st</w:t>
      </w:r>
      <w:r>
        <w:rPr>
          <w:rFonts w:ascii="Times New Roman" w:eastAsiaTheme="minorHAnsi" w:hAnsi="Times New Roman" w:cs="Times New Roman"/>
          <w:sz w:val="24"/>
        </w:rPr>
        <w:t>udiju un studējošo kreditēšanai.</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2017.gadā tika veikti pārskaitījumi: </w:t>
      </w:r>
    </w:p>
    <w:p w14:paraId="75C1B15E" w14:textId="77777777" w:rsidR="006B5E3D" w:rsidRPr="00436799" w:rsidRDefault="006B5E3D" w:rsidP="006B5E3D">
      <w:pPr>
        <w:pStyle w:val="ListParagraph"/>
        <w:numPr>
          <w:ilvl w:val="0"/>
          <w:numId w:val="16"/>
        </w:numPr>
        <w:ind w:left="709"/>
        <w:rPr>
          <w:rFonts w:ascii="Times New Roman" w:eastAsiaTheme="minorHAnsi" w:hAnsi="Times New Roman"/>
          <w:sz w:val="24"/>
        </w:rPr>
      </w:pPr>
      <w:r w:rsidRPr="00436799">
        <w:rPr>
          <w:rFonts w:ascii="Times New Roman" w:eastAsiaTheme="minorHAnsi" w:hAnsi="Times New Roman"/>
          <w:sz w:val="24"/>
        </w:rPr>
        <w:t>1</w:t>
      </w:r>
      <w:r w:rsidRPr="00316C22">
        <w:rPr>
          <w:rFonts w:ascii="Times New Roman" w:eastAsiaTheme="minorHAnsi" w:hAnsi="Times New Roman"/>
        </w:rPr>
        <w:t> </w:t>
      </w:r>
      <w:r w:rsidRPr="00436799">
        <w:rPr>
          <w:rFonts w:ascii="Times New Roman" w:eastAsiaTheme="minorHAnsi" w:hAnsi="Times New Roman"/>
          <w:sz w:val="24"/>
        </w:rPr>
        <w:t xml:space="preserve">921 </w:t>
      </w:r>
      <w:r w:rsidRPr="00436799">
        <w:rPr>
          <w:rFonts w:ascii="Times New Roman" w:eastAsiaTheme="minorHAnsi" w:hAnsi="Times New Roman"/>
          <w:i/>
          <w:sz w:val="24"/>
        </w:rPr>
        <w:t>euro</w:t>
      </w:r>
      <w:r w:rsidRPr="00436799">
        <w:rPr>
          <w:rFonts w:ascii="Times New Roman" w:eastAsiaTheme="minorHAnsi" w:hAnsi="Times New Roman"/>
          <w:sz w:val="24"/>
        </w:rPr>
        <w:t xml:space="preserve"> apmērā, kad studējošais un tā galvinieks nav veikuši kredīta maksājumus saskaņā ar noslēgtajiem kredīta līgumiem un kuros atbilstoši MK noteikumu tiesību normām  kredītiestāde pēc valsts galvojuma saistību izpildes turpina veikt neatmaksātā kredīta piedziņu, </w:t>
      </w:r>
    </w:p>
    <w:p w14:paraId="22BE618E" w14:textId="77777777" w:rsidR="006B5E3D" w:rsidRPr="00436799" w:rsidRDefault="006B5E3D" w:rsidP="006B5E3D">
      <w:pPr>
        <w:pStyle w:val="ListParagraph"/>
        <w:numPr>
          <w:ilvl w:val="0"/>
          <w:numId w:val="16"/>
        </w:numPr>
        <w:ind w:left="709"/>
        <w:rPr>
          <w:rFonts w:ascii="Times New Roman" w:eastAsiaTheme="minorHAnsi" w:hAnsi="Times New Roman"/>
          <w:sz w:val="24"/>
        </w:rPr>
      </w:pPr>
      <w:r w:rsidRPr="00436799">
        <w:rPr>
          <w:rFonts w:ascii="Times New Roman" w:eastAsiaTheme="minorHAnsi" w:hAnsi="Times New Roman"/>
          <w:sz w:val="24"/>
        </w:rPr>
        <w:t>12</w:t>
      </w:r>
      <w:r w:rsidRPr="00316C22">
        <w:rPr>
          <w:rFonts w:ascii="Times New Roman" w:eastAsiaTheme="minorHAnsi" w:hAnsi="Times New Roman"/>
        </w:rPr>
        <w:t> </w:t>
      </w:r>
      <w:r w:rsidRPr="00436799">
        <w:rPr>
          <w:rFonts w:ascii="Times New Roman" w:eastAsiaTheme="minorHAnsi" w:hAnsi="Times New Roman"/>
          <w:sz w:val="24"/>
        </w:rPr>
        <w:t xml:space="preserve">412 </w:t>
      </w:r>
      <w:r w:rsidRPr="00436799">
        <w:rPr>
          <w:rFonts w:ascii="Times New Roman" w:eastAsiaTheme="minorHAnsi" w:hAnsi="Times New Roman"/>
          <w:i/>
          <w:sz w:val="24"/>
        </w:rPr>
        <w:t>euro</w:t>
      </w:r>
      <w:r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7CB1488B" w14:textId="77777777" w:rsidR="006B5E3D" w:rsidRPr="0089209F" w:rsidRDefault="006B5E3D" w:rsidP="006B5E3D">
      <w:pPr>
        <w:spacing w:after="0" w:line="240" w:lineRule="auto"/>
        <w:ind w:firstLine="720"/>
        <w:jc w:val="both"/>
        <w:rPr>
          <w:rFonts w:ascii="Times New Roman" w:eastAsiaTheme="minorHAnsi" w:hAnsi="Times New Roman" w:cs="Times New Roman"/>
          <w:b/>
          <w:sz w:val="24"/>
          <w:szCs w:val="20"/>
        </w:rPr>
      </w:pPr>
      <w:r>
        <w:rPr>
          <w:rFonts w:ascii="Times New Roman" w:eastAsiaTheme="minorHAnsi" w:hAnsi="Times New Roman" w:cs="Times New Roman"/>
          <w:sz w:val="24"/>
        </w:rPr>
        <w:t>F</w:t>
      </w:r>
      <w:r w:rsidRPr="00EA3337">
        <w:rPr>
          <w:rFonts w:ascii="Times New Roman" w:eastAsiaTheme="minorHAnsi" w:hAnsi="Times New Roman" w:cs="Times New Roman"/>
          <w:sz w:val="24"/>
        </w:rPr>
        <w:t>iskālā ietekme un iestāšanās varbūtība šim specifiskajam fiskālajam riskam tiek novērtēta tuvu nullei, jo vēsturiskā pieredze neliecina par būtisku ietekmi uz valsts budžetu. Ņemot vērā minēto, fiskālā nodrošinājuma rezerve šim riskam netiek veidota.</w:t>
      </w:r>
    </w:p>
    <w:p w14:paraId="3838F309" w14:textId="77777777" w:rsidR="006B5E3D" w:rsidRDefault="006B5E3D" w:rsidP="006B5E3D">
      <w:pPr>
        <w:spacing w:after="0" w:line="240" w:lineRule="auto"/>
        <w:ind w:firstLine="720"/>
        <w:jc w:val="both"/>
        <w:rPr>
          <w:rFonts w:ascii="Times New Roman" w:eastAsiaTheme="minorHAnsi" w:hAnsi="Times New Roman" w:cs="Times New Roman"/>
          <w:sz w:val="24"/>
        </w:rPr>
      </w:pPr>
      <w:r w:rsidRPr="00EA3337">
        <w:rPr>
          <w:rFonts w:ascii="Times New Roman" w:eastAsiaTheme="minorHAnsi" w:hAnsi="Times New Roman" w:cs="Times New Roman"/>
          <w:sz w:val="24"/>
        </w:rPr>
        <w:t>201</w:t>
      </w:r>
      <w:r>
        <w:rPr>
          <w:rFonts w:ascii="Times New Roman" w:eastAsiaTheme="minorHAnsi" w:hAnsi="Times New Roman" w:cs="Times New Roman"/>
          <w:sz w:val="24"/>
        </w:rPr>
        <w:t>7</w:t>
      </w:r>
      <w:r w:rsidRPr="00EA3337">
        <w:rPr>
          <w:rFonts w:ascii="Times New Roman" w:eastAsiaTheme="minorHAnsi" w:hAnsi="Times New Roman" w:cs="Times New Roman"/>
          <w:sz w:val="24"/>
        </w:rPr>
        <w:t xml:space="preserve">.gadā valsts ir veikusi galvojumu saistību izpildi </w:t>
      </w:r>
      <w:r>
        <w:rPr>
          <w:rFonts w:ascii="Times New Roman" w:eastAsiaTheme="minorHAnsi" w:hAnsi="Times New Roman" w:cs="Times New Roman"/>
          <w:sz w:val="24"/>
        </w:rPr>
        <w:t>14 333</w:t>
      </w:r>
      <w:r w:rsidRPr="00EA3337">
        <w:rPr>
          <w:rFonts w:ascii="Times New Roman" w:eastAsiaTheme="minorHAnsi" w:hAnsi="Times New Roman" w:cs="Times New Roman"/>
          <w:sz w:val="24"/>
        </w:rPr>
        <w:t xml:space="preserve"> </w:t>
      </w:r>
      <w:r w:rsidRPr="00EA3337">
        <w:rPr>
          <w:rFonts w:ascii="Times New Roman" w:eastAsiaTheme="minorHAnsi" w:hAnsi="Times New Roman" w:cs="Times New Roman"/>
          <w:i/>
          <w:sz w:val="24"/>
        </w:rPr>
        <w:t>euro</w:t>
      </w:r>
      <w:r w:rsidRPr="00EA3337">
        <w:rPr>
          <w:rFonts w:ascii="Times New Roman" w:eastAsiaTheme="minorHAnsi" w:hAnsi="Times New Roman" w:cs="Times New Roman"/>
          <w:sz w:val="24"/>
        </w:rPr>
        <w:t xml:space="preserve"> apmērā, bet 201</w:t>
      </w:r>
      <w:r>
        <w:rPr>
          <w:rFonts w:ascii="Times New Roman" w:eastAsiaTheme="minorHAnsi" w:hAnsi="Times New Roman" w:cs="Times New Roman"/>
          <w:sz w:val="24"/>
        </w:rPr>
        <w:t>8.gadā tas ir 17 978</w:t>
      </w:r>
      <w:r w:rsidRPr="00EA3337">
        <w:rPr>
          <w:rFonts w:ascii="Times New Roman" w:eastAsiaTheme="minorHAnsi" w:hAnsi="Times New Roman" w:cs="Times New Roman"/>
          <w:sz w:val="24"/>
        </w:rPr>
        <w:t xml:space="preserve"> </w:t>
      </w:r>
      <w:r w:rsidRPr="00EA3337">
        <w:rPr>
          <w:rFonts w:ascii="Times New Roman" w:eastAsiaTheme="minorHAnsi" w:hAnsi="Times New Roman" w:cs="Times New Roman"/>
          <w:i/>
          <w:sz w:val="24"/>
        </w:rPr>
        <w:t>euro</w:t>
      </w:r>
      <w:r>
        <w:rPr>
          <w:rFonts w:ascii="Times New Roman" w:eastAsiaTheme="minorHAnsi" w:hAnsi="Times New Roman" w:cs="Times New Roman"/>
          <w:sz w:val="24"/>
        </w:rPr>
        <w:t xml:space="preserve">, kas sastāda </w:t>
      </w:r>
      <w:r w:rsidRPr="00EA3337">
        <w:rPr>
          <w:rFonts w:ascii="Times New Roman" w:eastAsiaTheme="minorHAnsi" w:hAnsi="Times New Roman" w:cs="Times New Roman"/>
          <w:sz w:val="24"/>
        </w:rPr>
        <w:t>tikai 0,0</w:t>
      </w:r>
      <w:r>
        <w:rPr>
          <w:rFonts w:ascii="Times New Roman" w:eastAsiaTheme="minorHAnsi" w:hAnsi="Times New Roman" w:cs="Times New Roman"/>
          <w:sz w:val="24"/>
        </w:rPr>
        <w:t>2</w:t>
      </w:r>
      <w:r w:rsidRPr="00EA3337">
        <w:rPr>
          <w:rFonts w:ascii="Times New Roman" w:eastAsiaTheme="minorHAnsi" w:hAnsi="Times New Roman" w:cs="Times New Roman"/>
          <w:sz w:val="24"/>
        </w:rPr>
        <w:t>% no izsniegtā valsts galvojuma apmēra st</w:t>
      </w:r>
      <w:r>
        <w:rPr>
          <w:rFonts w:ascii="Times New Roman" w:eastAsiaTheme="minorHAnsi" w:hAnsi="Times New Roman" w:cs="Times New Roman"/>
          <w:sz w:val="24"/>
        </w:rPr>
        <w:t>udiju un studējošo kreditēšanai.</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2018.gadā tika veikti pārskaitījumi: </w:t>
      </w:r>
    </w:p>
    <w:p w14:paraId="7BD06187" w14:textId="77777777" w:rsidR="006B5E3D" w:rsidRPr="00436799" w:rsidRDefault="006B5E3D" w:rsidP="006B5E3D">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10 330</w:t>
      </w:r>
      <w:r w:rsidRPr="00436799">
        <w:rPr>
          <w:rFonts w:ascii="Times New Roman" w:eastAsiaTheme="minorHAnsi" w:hAnsi="Times New Roman"/>
          <w:sz w:val="24"/>
        </w:rPr>
        <w:t xml:space="preserve"> </w:t>
      </w:r>
      <w:r w:rsidRPr="00436799">
        <w:rPr>
          <w:rFonts w:ascii="Times New Roman" w:eastAsiaTheme="minorHAnsi" w:hAnsi="Times New Roman"/>
          <w:i/>
          <w:sz w:val="24"/>
        </w:rPr>
        <w:t>euro</w:t>
      </w:r>
      <w:r w:rsidRPr="00436799">
        <w:rPr>
          <w:rFonts w:ascii="Times New Roman" w:eastAsiaTheme="minorHAnsi" w:hAnsi="Times New Roman"/>
          <w:sz w:val="24"/>
        </w:rPr>
        <w:t xml:space="preserve"> apmērā, kad studējošais un tā galvinieks nav veikuši kredīta maksājumus saskaņā ar noslēgtajiem kredīta līgumiem un kuros atbilstoši MK noteikumu tiesību normām  kredītiestāde pēc valsts galvojuma saistību izpildes turpina veikt neatmaksātā kredīta piedziņu, </w:t>
      </w:r>
    </w:p>
    <w:p w14:paraId="043A8044" w14:textId="77777777" w:rsidR="006B5E3D" w:rsidRPr="00436799" w:rsidRDefault="006B5E3D" w:rsidP="006B5E3D">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7 648</w:t>
      </w:r>
      <w:r w:rsidRPr="00436799">
        <w:rPr>
          <w:rFonts w:ascii="Times New Roman" w:eastAsiaTheme="minorHAnsi" w:hAnsi="Times New Roman"/>
          <w:sz w:val="24"/>
        </w:rPr>
        <w:t xml:space="preserve"> </w:t>
      </w:r>
      <w:r w:rsidRPr="00436799">
        <w:rPr>
          <w:rFonts w:ascii="Times New Roman" w:eastAsiaTheme="minorHAnsi" w:hAnsi="Times New Roman"/>
          <w:i/>
          <w:sz w:val="24"/>
        </w:rPr>
        <w:t>euro</w:t>
      </w:r>
      <w:r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53576CDF" w14:textId="77777777" w:rsidR="006B5E3D" w:rsidRPr="0089209F" w:rsidRDefault="006B5E3D" w:rsidP="006B5E3D">
      <w:pPr>
        <w:spacing w:after="0" w:line="240" w:lineRule="auto"/>
        <w:ind w:firstLine="720"/>
        <w:jc w:val="both"/>
        <w:rPr>
          <w:rFonts w:ascii="Times New Roman" w:eastAsiaTheme="minorHAnsi" w:hAnsi="Times New Roman" w:cs="Times New Roman"/>
          <w:b/>
          <w:sz w:val="24"/>
          <w:szCs w:val="20"/>
        </w:rPr>
      </w:pPr>
      <w:r>
        <w:rPr>
          <w:rFonts w:ascii="Times New Roman" w:eastAsiaTheme="minorHAnsi" w:hAnsi="Times New Roman" w:cs="Times New Roman"/>
          <w:sz w:val="24"/>
        </w:rPr>
        <w:lastRenderedPageBreak/>
        <w:t>F</w:t>
      </w:r>
      <w:r w:rsidRPr="00EA3337">
        <w:rPr>
          <w:rFonts w:ascii="Times New Roman" w:eastAsiaTheme="minorHAnsi" w:hAnsi="Times New Roman" w:cs="Times New Roman"/>
          <w:sz w:val="24"/>
        </w:rPr>
        <w:t>iskālā ietekme un iestāšanās varbūtība šim specifiskajam fiskālajam riskam tiek novērtēta tuvu nullei, jo vēsturiskā pieredze neliecina par būtisku ietekmi uz valsts budžetu. Ņemot vērā minēto, fiskālā nodrošinājuma rezerve šim riskam netiek veidota.</w:t>
      </w:r>
    </w:p>
    <w:p w14:paraId="4D795C68" w14:textId="77777777" w:rsidR="006B5E3D" w:rsidRDefault="006B5E3D" w:rsidP="006B5E3D">
      <w:pPr>
        <w:pStyle w:val="Heading2"/>
        <w:numPr>
          <w:ilvl w:val="0"/>
          <w:numId w:val="0"/>
        </w:numPr>
        <w:tabs>
          <w:tab w:val="left" w:pos="3261"/>
          <w:tab w:val="left" w:pos="5103"/>
          <w:tab w:val="left" w:pos="5245"/>
        </w:tabs>
        <w:spacing w:before="120" w:after="120" w:line="240" w:lineRule="auto"/>
        <w:ind w:left="567"/>
        <w:rPr>
          <w:rFonts w:ascii="Times New Roman" w:hAnsi="Times New Roman" w:cs="Times New Roman"/>
          <w:color w:val="auto"/>
          <w:sz w:val="24"/>
          <w:szCs w:val="24"/>
        </w:rPr>
      </w:pPr>
    </w:p>
    <w:p w14:paraId="70F7BE29" w14:textId="562B12B4"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5" w:name="_Toc536626715"/>
      <w:r w:rsidRPr="00521C35">
        <w:rPr>
          <w:rFonts w:ascii="Times New Roman" w:hAnsi="Times New Roman" w:cs="Times New Roman"/>
          <w:color w:val="auto"/>
          <w:sz w:val="24"/>
          <w:szCs w:val="24"/>
        </w:rPr>
        <w:t>Valsts aizdevumi</w:t>
      </w:r>
      <w:bookmarkEnd w:id="14"/>
      <w:bookmarkEnd w:id="15"/>
    </w:p>
    <w:p w14:paraId="6B4719A3" w14:textId="77777777" w:rsidR="005C32F2" w:rsidRPr="00103B4E" w:rsidRDefault="005C32F2" w:rsidP="005C32F2">
      <w:pPr>
        <w:spacing w:after="0" w:line="240" w:lineRule="auto"/>
        <w:ind w:firstLine="709"/>
        <w:jc w:val="both"/>
        <w:rPr>
          <w:rFonts w:ascii="Times New Roman" w:hAnsi="Times New Roman"/>
          <w:sz w:val="24"/>
        </w:rPr>
      </w:pPr>
      <w:r w:rsidRPr="00103B4E">
        <w:rPr>
          <w:rFonts w:ascii="Times New Roman" w:eastAsia="Calibri" w:hAnsi="Times New Roman"/>
          <w:sz w:val="24"/>
        </w:rPr>
        <w:t xml:space="preserve">Valsts aizdevumu fiskālais risks </w:t>
      </w:r>
      <w:r w:rsidRPr="00103B4E">
        <w:rPr>
          <w:rFonts w:ascii="Times New Roman" w:eastAsia="Calibri" w:hAnsi="Times New Roman"/>
          <w:sz w:val="24"/>
          <w:szCs w:val="24"/>
        </w:rPr>
        <w:t>saskaņā ar fiskālo risku avotu klasifikāciju ir iespējamās saistības (izdevumi), kas izriet no līgumiem.</w:t>
      </w:r>
      <w:r w:rsidRPr="00103B4E">
        <w:rPr>
          <w:rFonts w:ascii="Times New Roman" w:eastAsia="Calibri" w:hAnsi="Times New Roman"/>
          <w:sz w:val="24"/>
        </w:rPr>
        <w:t xml:space="preserve"> </w:t>
      </w:r>
      <w:r w:rsidRPr="00103B4E">
        <w:rPr>
          <w:rFonts w:ascii="Times New Roman" w:eastAsia="Calibri" w:hAnsi="Times New Roman"/>
          <w:sz w:val="24"/>
          <w:szCs w:val="24"/>
        </w:rPr>
        <w:t xml:space="preserve">Valsts aizdevumu </w:t>
      </w:r>
      <w:r w:rsidRPr="00103B4E">
        <w:rPr>
          <w:rFonts w:ascii="Times New Roman" w:eastAsia="Calibri" w:hAnsi="Times New Roman"/>
          <w:b/>
          <w:sz w:val="24"/>
          <w:szCs w:val="24"/>
        </w:rPr>
        <w:t>fiskālais risks</w:t>
      </w:r>
      <w:r w:rsidRPr="00103B4E">
        <w:rPr>
          <w:rFonts w:ascii="Times New Roman" w:eastAsia="Calibri" w:hAnsi="Times New Roman"/>
          <w:sz w:val="24"/>
          <w:szCs w:val="24"/>
        </w:rPr>
        <w:t xml:space="preserve"> (turpmāk – aizdevumu risks) ir nenoteiktības ietekme uz valsts aizdevumu saņēmēju (turpmāk – aizdevumu saņēmēju) spēju segt savas saistības savlaicīgi un pilnā apmērā, kā rezultātā valsts var nesaņemt plānotos valsts aizdevumu pamatsummu un procentu maksājumus. </w:t>
      </w:r>
      <w:r w:rsidRPr="00103B4E">
        <w:rPr>
          <w:rFonts w:ascii="Times New Roman" w:eastAsia="Calibri" w:hAnsi="Times New Roman"/>
          <w:sz w:val="24"/>
        </w:rPr>
        <w:t xml:space="preserve">Saskaņā ar MK noteikumiem Nr.229 aizdevumu riska </w:t>
      </w:r>
      <w:r w:rsidRPr="00103B4E">
        <w:rPr>
          <w:rFonts w:ascii="Times New Roman" w:eastAsia="Calibri" w:hAnsi="Times New Roman"/>
          <w:b/>
          <w:sz w:val="24"/>
        </w:rPr>
        <w:t>fiskālo ietekmi</w:t>
      </w:r>
      <w:r w:rsidRPr="00103B4E">
        <w:rPr>
          <w:rFonts w:ascii="Times New Roman" w:eastAsia="Calibri" w:hAnsi="Times New Roman"/>
          <w:sz w:val="24"/>
        </w:rPr>
        <w:t xml:space="preserve"> katrā gadā aprēķina kā katra valsts aizdevuma </w:t>
      </w:r>
      <w:r w:rsidRPr="00103B4E">
        <w:rPr>
          <w:rFonts w:ascii="Times New Roman" w:eastAsia="Calibri" w:hAnsi="Times New Roman"/>
          <w:sz w:val="24"/>
          <w:szCs w:val="24"/>
        </w:rPr>
        <w:t>ārpus vispārējās valdības sektora klasificētām iestādēm</w:t>
      </w:r>
      <w:r w:rsidRPr="00103B4E">
        <w:rPr>
          <w:rFonts w:ascii="Times New Roman" w:eastAsia="Calibri" w:hAnsi="Times New Roman"/>
          <w:sz w:val="24"/>
        </w:rPr>
        <w:t xml:space="preserve"> attiecīgajā gadā saskaņā ar aizdevuma līguma grafiku plānoto maksājumu kopsummu. Savukārt </w:t>
      </w:r>
      <w:r w:rsidRPr="00103B4E">
        <w:rPr>
          <w:rFonts w:ascii="Times New Roman" w:eastAsia="Calibri" w:hAnsi="Times New Roman"/>
          <w:b/>
          <w:sz w:val="24"/>
        </w:rPr>
        <w:t>fiskālā nodrošinājuma rezervi</w:t>
      </w:r>
      <w:r w:rsidRPr="00103B4E">
        <w:rPr>
          <w:rFonts w:ascii="Times New Roman" w:eastAsia="Calibri" w:hAnsi="Times New Roman"/>
          <w:sz w:val="24"/>
        </w:rPr>
        <w:t xml:space="preserve"> valsts aizdevumiem aprēķina, reizinot aizdevumu risku fiskālās ietekmes vērtības ar aizdevumu risku iestāšanās varbūtībām.</w:t>
      </w:r>
    </w:p>
    <w:p w14:paraId="6D7866EF" w14:textId="77777777" w:rsidR="00BF5645" w:rsidRPr="00103B4E" w:rsidRDefault="005C32F2" w:rsidP="00BF5645">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 xml:space="preserve"> </w:t>
      </w:r>
      <w:r w:rsidR="00BF5645">
        <w:rPr>
          <w:rFonts w:ascii="Times New Roman" w:eastAsia="Calibri" w:hAnsi="Times New Roman"/>
          <w:sz w:val="24"/>
          <w:szCs w:val="24"/>
        </w:rPr>
        <w:t xml:space="preserve">2018.gadā ar valsts aizdevumiem saistītie fiskālie riski nav iestājušies. </w:t>
      </w:r>
      <w:r w:rsidR="00BF5645" w:rsidRPr="00103B4E">
        <w:rPr>
          <w:rFonts w:ascii="Times New Roman" w:eastAsia="Calibri" w:hAnsi="Times New Roman"/>
          <w:sz w:val="24"/>
          <w:szCs w:val="24"/>
        </w:rPr>
        <w:t>Uz 201</w:t>
      </w:r>
      <w:r w:rsidR="00BF5645">
        <w:rPr>
          <w:rFonts w:ascii="Times New Roman" w:eastAsia="Calibri" w:hAnsi="Times New Roman"/>
          <w:sz w:val="24"/>
          <w:szCs w:val="24"/>
        </w:rPr>
        <w:t>8</w:t>
      </w:r>
      <w:r w:rsidR="00BF5645" w:rsidRPr="00103B4E">
        <w:rPr>
          <w:rFonts w:ascii="Times New Roman" w:eastAsia="Calibri" w:hAnsi="Times New Roman"/>
          <w:sz w:val="24"/>
          <w:szCs w:val="24"/>
        </w:rPr>
        <w:t xml:space="preserve">.gada </w:t>
      </w:r>
      <w:r w:rsidR="00BF5645">
        <w:rPr>
          <w:rFonts w:ascii="Times New Roman" w:eastAsia="Calibri" w:hAnsi="Times New Roman"/>
          <w:sz w:val="24"/>
          <w:szCs w:val="24"/>
        </w:rPr>
        <w:t>31.decembri</w:t>
      </w:r>
      <w:r w:rsidR="00BF5645" w:rsidRPr="00103B4E">
        <w:rPr>
          <w:rFonts w:ascii="Times New Roman" w:eastAsia="Calibri" w:hAnsi="Times New Roman"/>
          <w:sz w:val="24"/>
          <w:szCs w:val="24"/>
        </w:rPr>
        <w:t xml:space="preserve"> valsts aizdevumu atlikums bija </w:t>
      </w:r>
      <w:r w:rsidR="00BF5645">
        <w:rPr>
          <w:rFonts w:ascii="Times New Roman" w:eastAsia="Calibri" w:hAnsi="Times New Roman"/>
          <w:sz w:val="24"/>
          <w:szCs w:val="24"/>
        </w:rPr>
        <w:t>1 427,2</w:t>
      </w:r>
      <w:r w:rsidR="00BF5645" w:rsidRPr="00103B4E">
        <w:rPr>
          <w:rFonts w:ascii="Times New Roman" w:eastAsia="Calibri" w:hAnsi="Times New Roman"/>
          <w:sz w:val="24"/>
          <w:szCs w:val="24"/>
        </w:rPr>
        <w:t xml:space="preserve"> milj. </w:t>
      </w:r>
      <w:r w:rsidR="00BF5645" w:rsidRPr="00103B4E">
        <w:rPr>
          <w:rFonts w:ascii="Times New Roman" w:eastAsia="Calibri" w:hAnsi="Times New Roman"/>
          <w:i/>
          <w:sz w:val="24"/>
          <w:szCs w:val="24"/>
        </w:rPr>
        <w:t>euro</w:t>
      </w:r>
      <w:r w:rsidR="00BF5645" w:rsidRPr="00103B4E">
        <w:rPr>
          <w:rFonts w:ascii="Times New Roman" w:eastAsia="Calibri" w:hAnsi="Times New Roman"/>
          <w:sz w:val="24"/>
        </w:rPr>
        <w:t>. Valsts aizdevumu portfelim 201</w:t>
      </w:r>
      <w:r w:rsidR="00BF5645">
        <w:rPr>
          <w:rFonts w:ascii="Times New Roman" w:eastAsia="Calibri" w:hAnsi="Times New Roman"/>
          <w:sz w:val="24"/>
        </w:rPr>
        <w:t>9</w:t>
      </w:r>
      <w:r w:rsidR="00BF5645" w:rsidRPr="00103B4E">
        <w:rPr>
          <w:rFonts w:ascii="Times New Roman" w:eastAsia="Calibri" w:hAnsi="Times New Roman"/>
          <w:sz w:val="24"/>
        </w:rPr>
        <w:t>.gadā ir aprēķināta aizdevumu riska fiskālā ietekme</w:t>
      </w:r>
      <w:r w:rsidR="00BF5645">
        <w:rPr>
          <w:rStyle w:val="FootnoteReference"/>
          <w:rFonts w:ascii="Times New Roman" w:eastAsia="Calibri" w:hAnsi="Times New Roman" w:cs="Times New Roman"/>
          <w:sz w:val="24"/>
        </w:rPr>
        <w:footnoteReference w:id="6"/>
      </w:r>
      <w:r w:rsidR="00BF5645" w:rsidRPr="00103B4E">
        <w:rPr>
          <w:rFonts w:ascii="Times New Roman" w:eastAsia="Calibri" w:hAnsi="Times New Roman"/>
          <w:sz w:val="24"/>
        </w:rPr>
        <w:t xml:space="preserve"> </w:t>
      </w:r>
      <w:r w:rsidR="00BF5645">
        <w:rPr>
          <w:rFonts w:ascii="Times New Roman" w:eastAsia="Calibri" w:hAnsi="Times New Roman"/>
          <w:sz w:val="24"/>
        </w:rPr>
        <w:t>2,7</w:t>
      </w:r>
      <w:r w:rsidR="00BF5645" w:rsidRPr="00103B4E">
        <w:rPr>
          <w:rFonts w:ascii="Times New Roman" w:eastAsia="Calibri" w:hAnsi="Times New Roman"/>
          <w:sz w:val="24"/>
        </w:rPr>
        <w:t xml:space="preserve"> milj. </w:t>
      </w:r>
      <w:r w:rsidR="00BF5645" w:rsidRPr="00103B4E">
        <w:rPr>
          <w:rFonts w:ascii="Times New Roman" w:eastAsia="Calibri" w:hAnsi="Times New Roman"/>
          <w:i/>
          <w:sz w:val="24"/>
        </w:rPr>
        <w:t>euro</w:t>
      </w:r>
      <w:r w:rsidR="00BF5645" w:rsidRPr="00103B4E">
        <w:rPr>
          <w:rFonts w:ascii="Times New Roman" w:eastAsia="Calibri" w:hAnsi="Times New Roman"/>
          <w:sz w:val="24"/>
        </w:rPr>
        <w:t xml:space="preserve"> apmērā, 20</w:t>
      </w:r>
      <w:r w:rsidR="00BF5645">
        <w:rPr>
          <w:rFonts w:ascii="Times New Roman" w:eastAsia="Calibri" w:hAnsi="Times New Roman"/>
          <w:sz w:val="24"/>
        </w:rPr>
        <w:t>20</w:t>
      </w:r>
      <w:r w:rsidR="00BF5645" w:rsidRPr="00103B4E">
        <w:rPr>
          <w:rFonts w:ascii="Times New Roman" w:eastAsia="Calibri" w:hAnsi="Times New Roman"/>
          <w:sz w:val="24"/>
        </w:rPr>
        <w:t>.gadā – 3,</w:t>
      </w:r>
      <w:r w:rsidR="00BF5645">
        <w:rPr>
          <w:rFonts w:ascii="Times New Roman" w:eastAsia="Calibri" w:hAnsi="Times New Roman"/>
          <w:sz w:val="24"/>
        </w:rPr>
        <w:t>2</w:t>
      </w:r>
      <w:r w:rsidR="00BF5645" w:rsidRPr="00103B4E">
        <w:rPr>
          <w:rFonts w:ascii="Times New Roman" w:eastAsia="Calibri" w:hAnsi="Times New Roman"/>
          <w:sz w:val="24"/>
        </w:rPr>
        <w:t xml:space="preserve"> milj. </w:t>
      </w:r>
      <w:r w:rsidR="00BF5645" w:rsidRPr="00103B4E">
        <w:rPr>
          <w:rFonts w:ascii="Times New Roman" w:eastAsia="Calibri" w:hAnsi="Times New Roman"/>
          <w:i/>
          <w:sz w:val="24"/>
          <w:szCs w:val="24"/>
        </w:rPr>
        <w:t>euro,</w:t>
      </w:r>
      <w:r w:rsidR="00BF5645" w:rsidRPr="00103B4E">
        <w:rPr>
          <w:rFonts w:ascii="Times New Roman" w:eastAsia="Calibri" w:hAnsi="Times New Roman"/>
          <w:sz w:val="24"/>
        </w:rPr>
        <w:t xml:space="preserve"> 20</w:t>
      </w:r>
      <w:r w:rsidR="00BF5645">
        <w:rPr>
          <w:rFonts w:ascii="Times New Roman" w:eastAsia="Calibri" w:hAnsi="Times New Roman"/>
          <w:sz w:val="24"/>
        </w:rPr>
        <w:t>21</w:t>
      </w:r>
      <w:r w:rsidR="00BF5645" w:rsidRPr="00103B4E">
        <w:rPr>
          <w:rFonts w:ascii="Times New Roman" w:eastAsia="Calibri" w:hAnsi="Times New Roman"/>
          <w:sz w:val="24"/>
        </w:rPr>
        <w:t xml:space="preserve">.gadā – </w:t>
      </w:r>
      <w:r w:rsidR="00BF5645">
        <w:rPr>
          <w:rFonts w:ascii="Times New Roman" w:eastAsia="Calibri" w:hAnsi="Times New Roman"/>
          <w:sz w:val="24"/>
        </w:rPr>
        <w:t>2,8</w:t>
      </w:r>
      <w:r w:rsidR="00BF5645" w:rsidRPr="00103B4E">
        <w:rPr>
          <w:rFonts w:ascii="Times New Roman" w:eastAsia="Calibri" w:hAnsi="Times New Roman"/>
          <w:sz w:val="24"/>
        </w:rPr>
        <w:t xml:space="preserve"> milj. </w:t>
      </w:r>
      <w:r w:rsidR="00BF5645" w:rsidRPr="00103B4E">
        <w:rPr>
          <w:rFonts w:ascii="Times New Roman" w:eastAsia="Calibri" w:hAnsi="Times New Roman"/>
          <w:i/>
          <w:sz w:val="24"/>
        </w:rPr>
        <w:t>euro</w:t>
      </w:r>
      <w:r w:rsidR="00BF5645" w:rsidRPr="00103B4E">
        <w:rPr>
          <w:rFonts w:ascii="Times New Roman" w:eastAsia="Calibri" w:hAnsi="Times New Roman"/>
          <w:sz w:val="24"/>
        </w:rPr>
        <w:t xml:space="preserve"> un 202</w:t>
      </w:r>
      <w:r w:rsidR="00BF5645">
        <w:rPr>
          <w:rFonts w:ascii="Times New Roman" w:eastAsia="Calibri" w:hAnsi="Times New Roman"/>
          <w:sz w:val="24"/>
        </w:rPr>
        <w:t>2</w:t>
      </w:r>
      <w:r w:rsidR="00BF5645" w:rsidRPr="00103B4E">
        <w:rPr>
          <w:rFonts w:ascii="Times New Roman" w:eastAsia="Calibri" w:hAnsi="Times New Roman"/>
          <w:sz w:val="24"/>
        </w:rPr>
        <w:t xml:space="preserve">.gadā – </w:t>
      </w:r>
      <w:r w:rsidR="00BF5645">
        <w:rPr>
          <w:rFonts w:ascii="Times New Roman" w:eastAsia="Calibri" w:hAnsi="Times New Roman"/>
          <w:sz w:val="24"/>
        </w:rPr>
        <w:t>2,8</w:t>
      </w:r>
      <w:r w:rsidR="00BF5645" w:rsidRPr="00103B4E">
        <w:rPr>
          <w:rFonts w:ascii="Times New Roman" w:eastAsia="Calibri" w:hAnsi="Times New Roman"/>
          <w:sz w:val="24"/>
        </w:rPr>
        <w:t xml:space="preserve"> milj. </w:t>
      </w:r>
      <w:r w:rsidR="00BF5645" w:rsidRPr="00103B4E">
        <w:rPr>
          <w:rFonts w:ascii="Times New Roman" w:eastAsia="Calibri" w:hAnsi="Times New Roman"/>
          <w:i/>
          <w:sz w:val="24"/>
        </w:rPr>
        <w:t>euro.</w:t>
      </w:r>
      <w:r w:rsidR="00BF5645" w:rsidRPr="00103B4E">
        <w:rPr>
          <w:rFonts w:ascii="Times New Roman" w:eastAsia="Calibri" w:hAnsi="Times New Roman"/>
          <w:sz w:val="24"/>
        </w:rPr>
        <w:t xml:space="preserve"> </w:t>
      </w:r>
      <w:r w:rsidR="00BF5645" w:rsidRPr="00103B4E">
        <w:rPr>
          <w:rFonts w:ascii="Times New Roman" w:eastAsia="Calibri" w:hAnsi="Times New Roman"/>
          <w:sz w:val="24"/>
          <w:szCs w:val="24"/>
        </w:rPr>
        <w:t>Ņemot vērā MK noteikumos Nr.229 noteikto fiskālā nodrošinājuma rezerves aprēķina metodoloģiju, 201</w:t>
      </w:r>
      <w:r w:rsidR="00BF5645">
        <w:rPr>
          <w:rFonts w:ascii="Times New Roman" w:eastAsia="Calibri" w:hAnsi="Times New Roman"/>
          <w:sz w:val="24"/>
          <w:szCs w:val="24"/>
        </w:rPr>
        <w:t>9</w:t>
      </w:r>
      <w:r w:rsidR="00BF5645" w:rsidRPr="00103B4E">
        <w:rPr>
          <w:rFonts w:ascii="Times New Roman" w:eastAsia="Calibri" w:hAnsi="Times New Roman"/>
          <w:sz w:val="24"/>
          <w:szCs w:val="24"/>
        </w:rPr>
        <w:t>.gadā valsts aizdevumiem fiskālā nodrošinājuma rezerve ir aprēķināta 0,0</w:t>
      </w:r>
      <w:r w:rsidR="00BF5645">
        <w:rPr>
          <w:rFonts w:ascii="Times New Roman" w:eastAsia="Calibri" w:hAnsi="Times New Roman"/>
          <w:sz w:val="24"/>
          <w:szCs w:val="24"/>
        </w:rPr>
        <w:t>05</w:t>
      </w:r>
      <w:r w:rsidR="00BF5645" w:rsidRPr="00103B4E">
        <w:rPr>
          <w:rFonts w:ascii="Times New Roman" w:eastAsia="Calibri" w:hAnsi="Times New Roman"/>
          <w:sz w:val="24"/>
          <w:szCs w:val="24"/>
        </w:rPr>
        <w:t>% apmērā no IKP, 20</w:t>
      </w:r>
      <w:r w:rsidR="00BF5645">
        <w:rPr>
          <w:rFonts w:ascii="Times New Roman" w:eastAsia="Calibri" w:hAnsi="Times New Roman"/>
          <w:sz w:val="24"/>
          <w:szCs w:val="24"/>
        </w:rPr>
        <w:t>20</w:t>
      </w:r>
      <w:r w:rsidR="00BF5645" w:rsidRPr="00103B4E">
        <w:rPr>
          <w:rFonts w:ascii="Times New Roman" w:eastAsia="Calibri" w:hAnsi="Times New Roman"/>
          <w:sz w:val="24"/>
          <w:szCs w:val="24"/>
        </w:rPr>
        <w:t>.gadā – 0,0</w:t>
      </w:r>
      <w:r w:rsidR="00BF5645">
        <w:rPr>
          <w:rFonts w:ascii="Times New Roman" w:eastAsia="Calibri" w:hAnsi="Times New Roman"/>
          <w:sz w:val="24"/>
          <w:szCs w:val="24"/>
        </w:rPr>
        <w:t>07</w:t>
      </w:r>
      <w:r w:rsidR="00BF5645" w:rsidRPr="00103B4E">
        <w:rPr>
          <w:rFonts w:ascii="Times New Roman" w:eastAsia="Calibri" w:hAnsi="Times New Roman"/>
          <w:sz w:val="24"/>
          <w:szCs w:val="24"/>
        </w:rPr>
        <w:t>% apmērā no IKP</w:t>
      </w:r>
      <w:r w:rsidR="00BF5645">
        <w:rPr>
          <w:rFonts w:ascii="Times New Roman" w:eastAsia="Calibri" w:hAnsi="Times New Roman"/>
          <w:sz w:val="24"/>
          <w:szCs w:val="24"/>
        </w:rPr>
        <w:t xml:space="preserve">, </w:t>
      </w:r>
      <w:r w:rsidR="00BF5645" w:rsidRPr="00103B4E">
        <w:rPr>
          <w:rFonts w:ascii="Times New Roman" w:eastAsia="Calibri" w:hAnsi="Times New Roman"/>
          <w:sz w:val="24"/>
          <w:szCs w:val="24"/>
        </w:rPr>
        <w:t>202</w:t>
      </w:r>
      <w:r w:rsidR="00BF5645">
        <w:rPr>
          <w:rFonts w:ascii="Times New Roman" w:eastAsia="Calibri" w:hAnsi="Times New Roman"/>
          <w:sz w:val="24"/>
          <w:szCs w:val="24"/>
        </w:rPr>
        <w:t>1</w:t>
      </w:r>
      <w:r w:rsidR="00BF5645" w:rsidRPr="00103B4E">
        <w:rPr>
          <w:rFonts w:ascii="Times New Roman" w:eastAsia="Calibri" w:hAnsi="Times New Roman"/>
          <w:sz w:val="24"/>
          <w:szCs w:val="24"/>
        </w:rPr>
        <w:t>.gadā – 0,0</w:t>
      </w:r>
      <w:r w:rsidR="00BF5645">
        <w:rPr>
          <w:rFonts w:ascii="Times New Roman" w:eastAsia="Calibri" w:hAnsi="Times New Roman"/>
          <w:sz w:val="24"/>
          <w:szCs w:val="24"/>
        </w:rPr>
        <w:t>05</w:t>
      </w:r>
      <w:r w:rsidR="00BF5645" w:rsidRPr="00103B4E">
        <w:rPr>
          <w:rFonts w:ascii="Times New Roman" w:eastAsia="Calibri" w:hAnsi="Times New Roman"/>
          <w:sz w:val="24"/>
          <w:szCs w:val="24"/>
        </w:rPr>
        <w:t>% apmērā no IKP</w:t>
      </w:r>
      <w:r w:rsidR="00BF5645">
        <w:rPr>
          <w:rFonts w:ascii="Times New Roman" w:eastAsia="Calibri" w:hAnsi="Times New Roman"/>
          <w:sz w:val="24"/>
          <w:szCs w:val="24"/>
        </w:rPr>
        <w:t xml:space="preserve"> </w:t>
      </w:r>
      <w:r w:rsidR="00BF5645" w:rsidRPr="00103B4E">
        <w:rPr>
          <w:rFonts w:ascii="Times New Roman" w:eastAsia="Calibri" w:hAnsi="Times New Roman"/>
          <w:sz w:val="24"/>
          <w:szCs w:val="24"/>
        </w:rPr>
        <w:t>un 202</w:t>
      </w:r>
      <w:r w:rsidR="00BF5645">
        <w:rPr>
          <w:rFonts w:ascii="Times New Roman" w:eastAsia="Calibri" w:hAnsi="Times New Roman"/>
          <w:sz w:val="24"/>
          <w:szCs w:val="24"/>
        </w:rPr>
        <w:t>2</w:t>
      </w:r>
      <w:r w:rsidR="00BF5645" w:rsidRPr="00103B4E">
        <w:rPr>
          <w:rFonts w:ascii="Times New Roman" w:eastAsia="Calibri" w:hAnsi="Times New Roman"/>
          <w:sz w:val="24"/>
          <w:szCs w:val="24"/>
        </w:rPr>
        <w:t>.gadā – 0,0</w:t>
      </w:r>
      <w:r w:rsidR="00BF5645">
        <w:rPr>
          <w:rFonts w:ascii="Times New Roman" w:eastAsia="Calibri" w:hAnsi="Times New Roman"/>
          <w:sz w:val="24"/>
          <w:szCs w:val="24"/>
        </w:rPr>
        <w:t>05</w:t>
      </w:r>
      <w:r w:rsidR="00BF5645" w:rsidRPr="00103B4E">
        <w:rPr>
          <w:rFonts w:ascii="Times New Roman" w:eastAsia="Calibri" w:hAnsi="Times New Roman"/>
          <w:sz w:val="24"/>
          <w:szCs w:val="24"/>
        </w:rPr>
        <w:t>% apmērā no IKP</w:t>
      </w:r>
      <w:r w:rsidR="00BF5645" w:rsidRPr="00103B4E">
        <w:rPr>
          <w:rFonts w:ascii="Times New Roman" w:eastAsia="Calibri" w:hAnsi="Times New Roman"/>
          <w:sz w:val="24"/>
        </w:rPr>
        <w:t xml:space="preserve">. </w:t>
      </w:r>
    </w:p>
    <w:p w14:paraId="621D37CB"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Aizdevumu risks tiek vadīts, regulāri uzraugot aizdevumu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aizdevumu saņēmēju pelnītspēja, apgrozāmo līdzekļu pietiekamība īstermiņa saistību segšanai un kapitāla struktūra), kredītvēsturi un nodrošinājuma likviditāti un pietiekamību. Situācijās, kad aizdevumu risks ir paaugstināts, tiek veikti papildus uzraudzības pasākumi, tai skaitā atjaunotu biznesa plānu pieprasīšana un tikšanās ar aizdevuma saņēmēja vadību.</w:t>
      </w:r>
    </w:p>
    <w:p w14:paraId="15F24F80" w14:textId="77777777" w:rsidR="005C32F2" w:rsidRPr="00103B4E" w:rsidRDefault="005C32F2" w:rsidP="005C32F2">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Likumā par budžetu un finanšu vadību ir noteikts potenciālo valsts aizdevuma saņēmēju loks un mērķi. Valsts aizdevumu izsniegšanas un apkalpošanas kārtību nosaka 2015.gada 30.jūnija MK noteikumi</w:t>
      </w:r>
      <w:r w:rsidRPr="00103B4E">
        <w:rPr>
          <w:rFonts w:ascii="Times New Roman" w:eastAsia="Calibri" w:hAnsi="Times New Roman"/>
          <w:sz w:val="24"/>
        </w:rPr>
        <w:t xml:space="preserve"> Nr.363 „Kārtība, kādā ministrijas un citas centrālās valsts iestādes iekļauj gadskārtējā valsts budžeta likumprojektā valsts aizdevumu pieprasījumus un valsts aizdevumu izsniegšanas un apkalpošanas kārtība”, kuros noteikts valsts aizdevuma saņemšanas process un tā saderība ar valsts atbalsta normām, iekļauti paaugstināta aizdevuma atmaksas riska noteikšanas kritēriji, noteikta rīcība gadījumos, kad pasliktinās aizdevuma saņēmēja finanšu rādītāji vai samazinās nodrošinājuma vērtība, tādējādi nodrošinot valsts interešu aizsardzību, kā arī noteikta nozares ministriju atbildība par projekta īstenošanu, nodrošinot projekta atbilstību attiecīgās nozares ministrijas politikas plānošanas dokumentos noteikto mērķu sasniegšanai. </w:t>
      </w:r>
    </w:p>
    <w:p w14:paraId="0BE0926F"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rPr>
        <w:t xml:space="preserve">Valsts aizdevumu </w:t>
      </w:r>
      <w:r w:rsidRPr="00103B4E">
        <w:rPr>
          <w:rFonts w:ascii="Times New Roman" w:eastAsia="Calibri" w:hAnsi="Times New Roman"/>
          <w:sz w:val="24"/>
          <w:szCs w:val="24"/>
        </w:rPr>
        <w:t>portfeļa uzraudzības procesa ietvaros divas reizes gadā finanšu ministram tiek sagatavots ziņojums par valsts aizdevumu portfeli ar priekšlikumiem par nepieciešamo rīcību valsts interešu ievērošanai.</w:t>
      </w:r>
    </w:p>
    <w:p w14:paraId="5A5206E1" w14:textId="77777777" w:rsidR="005C32F2" w:rsidRPr="005C32F2" w:rsidRDefault="005C32F2" w:rsidP="005C32F2"/>
    <w:p w14:paraId="17DECD97" w14:textId="77777777"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6" w:name="_Toc405371078"/>
      <w:bookmarkStart w:id="17" w:name="_Toc536626716"/>
      <w:r w:rsidRPr="00521C35">
        <w:rPr>
          <w:rFonts w:ascii="Times New Roman" w:hAnsi="Times New Roman" w:cs="Times New Roman"/>
          <w:color w:val="auto"/>
          <w:sz w:val="24"/>
          <w:szCs w:val="24"/>
        </w:rPr>
        <w:t>Kvantificējamie riski labklājības nozarē</w:t>
      </w:r>
      <w:bookmarkEnd w:id="16"/>
      <w:bookmarkEnd w:id="17"/>
    </w:p>
    <w:p w14:paraId="5981EA41" w14:textId="77777777" w:rsidR="00D535FD" w:rsidRDefault="00D535FD" w:rsidP="000D02B5">
      <w:pPr>
        <w:spacing w:after="0" w:line="240" w:lineRule="auto"/>
        <w:ind w:firstLine="720"/>
        <w:jc w:val="both"/>
        <w:rPr>
          <w:rFonts w:ascii="Times New Roman" w:eastAsiaTheme="minorHAnsi" w:hAnsi="Times New Roman"/>
          <w:sz w:val="24"/>
          <w:szCs w:val="20"/>
        </w:rPr>
      </w:pPr>
      <w:r w:rsidRPr="00D535FD">
        <w:rPr>
          <w:rFonts w:ascii="Times New Roman" w:eastAsiaTheme="minorHAnsi" w:hAnsi="Times New Roman"/>
          <w:sz w:val="24"/>
          <w:szCs w:val="20"/>
        </w:rPr>
        <w:t xml:space="preserve">Labklājības ministrijas (turpmāk </w:t>
      </w:r>
      <w:r w:rsidR="00DD6ACA" w:rsidRPr="00D535FD">
        <w:rPr>
          <w:rFonts w:ascii="Times New Roman" w:eastAsiaTheme="minorHAnsi" w:hAnsi="Times New Roman"/>
          <w:sz w:val="24"/>
          <w:szCs w:val="20"/>
        </w:rPr>
        <w:t>–</w:t>
      </w:r>
      <w:r w:rsidRPr="00D535FD">
        <w:rPr>
          <w:rFonts w:ascii="Times New Roman" w:eastAsiaTheme="minorHAnsi" w:hAnsi="Times New Roman"/>
          <w:sz w:val="24"/>
          <w:szCs w:val="20"/>
        </w:rPr>
        <w:t xml:space="preserve"> LM) pārziņā ir vairāki specifiskie fiskālie riski, kas ir saistīti gan ar valsts pamatbudžeta maksājumiem valsts sociālajiem pabalstiem un izdienas pensijām, </w:t>
      </w:r>
      <w:r w:rsidRPr="00D535FD">
        <w:rPr>
          <w:rFonts w:ascii="Times New Roman" w:eastAsiaTheme="minorHAnsi" w:hAnsi="Times New Roman"/>
          <w:sz w:val="24"/>
          <w:szCs w:val="20"/>
        </w:rPr>
        <w:lastRenderedPageBreak/>
        <w:t>gan ar valsts atbalsta sociālajai apdrošināšanai nodrošināšanu, gan ar speciālā valsts budžeta veidiem</w:t>
      </w:r>
      <w:r w:rsidR="00DD6ACA">
        <w:rPr>
          <w:rFonts w:ascii="Times New Roman" w:eastAsiaTheme="minorHAnsi" w:hAnsi="Times New Roman"/>
          <w:sz w:val="24"/>
          <w:szCs w:val="20"/>
        </w:rPr>
        <w:t xml:space="preserve"> </w:t>
      </w:r>
      <w:r w:rsidRPr="00D535FD">
        <w:rPr>
          <w:rFonts w:ascii="Times New Roman" w:eastAsiaTheme="minorHAnsi" w:hAnsi="Times New Roman"/>
          <w:sz w:val="24"/>
          <w:szCs w:val="20"/>
        </w:rPr>
        <w:t>– pensiju, nodarbinātības, invaliditātes, maternitātes un slimības, darba negadījuma speciālo budžetu.</w:t>
      </w:r>
    </w:p>
    <w:p w14:paraId="680495A1" w14:textId="77777777" w:rsidR="004A6489" w:rsidRPr="00457F02" w:rsidRDefault="004A6489" w:rsidP="000D02B5">
      <w:pPr>
        <w:spacing w:after="0" w:line="240" w:lineRule="auto"/>
        <w:ind w:firstLine="720"/>
        <w:jc w:val="both"/>
        <w:rPr>
          <w:rFonts w:ascii="Times New Roman" w:eastAsiaTheme="minorHAnsi" w:hAnsi="Times New Roman" w:cs="Times New Roman"/>
          <w:sz w:val="24"/>
          <w:szCs w:val="20"/>
        </w:rPr>
      </w:pPr>
      <w:r w:rsidRPr="00457F02">
        <w:rPr>
          <w:rFonts w:ascii="Times New Roman" w:eastAsiaTheme="minorHAnsi" w:hAnsi="Times New Roman" w:cs="Times New Roman"/>
          <w:sz w:val="24"/>
          <w:szCs w:val="20"/>
        </w:rPr>
        <w:t>Fiskālie riski šajā gadījumā ir saistīti ar augstāk minēto valsts pamatbudžeta un valsts speciālā budžeta rādītāju novirzīšanos no plānotajām vērtībām. Var izšķirt</w:t>
      </w:r>
      <w:r>
        <w:rPr>
          <w:rFonts w:ascii="Times New Roman" w:eastAsiaTheme="minorHAnsi" w:hAnsi="Times New Roman" w:cs="Times New Roman"/>
          <w:sz w:val="24"/>
          <w:szCs w:val="20"/>
        </w:rPr>
        <w:t xml:space="preserve"> vairākas fiskālo risku grupas:</w:t>
      </w:r>
    </w:p>
    <w:p w14:paraId="12ED2F69" w14:textId="77777777" w:rsidR="004A6489" w:rsidRPr="00E10FF2" w:rsidRDefault="004A6489" w:rsidP="000D02B5">
      <w:pPr>
        <w:numPr>
          <w:ilvl w:val="0"/>
          <w:numId w:val="2"/>
        </w:numPr>
        <w:spacing w:after="0" w:line="240" w:lineRule="auto"/>
        <w:ind w:left="709" w:hanging="357"/>
        <w:jc w:val="both"/>
        <w:rPr>
          <w:rFonts w:ascii="Calibri" w:eastAsia="Calibri" w:hAnsi="Calibri" w:cs="Times New Roman"/>
          <w:szCs w:val="24"/>
        </w:rPr>
      </w:pPr>
      <w:r w:rsidRPr="00457F02">
        <w:rPr>
          <w:rFonts w:ascii="Times New Roman" w:eastAsia="Calibri" w:hAnsi="Times New Roman" w:cs="Times New Roman"/>
          <w:sz w:val="24"/>
          <w:szCs w:val="24"/>
          <w:u w:val="single"/>
        </w:rPr>
        <w:t>Valsts pamatbudžeta vai valsts speciālā budžeta izdevumi pieaug vairāk nekā iepriekš prognozēts, sakarā ar faktiskām izmaiņām sociālās apdrošināšanas pakalpojumu saņēmēju kontingentā un/vai pensiju un pabalstu vidējā apmērā.</w:t>
      </w:r>
    </w:p>
    <w:p w14:paraId="30409488" w14:textId="77777777" w:rsidR="004A6489" w:rsidRPr="00457F02" w:rsidRDefault="004A6489" w:rsidP="000D02B5">
      <w:pPr>
        <w:spacing w:after="0" w:line="240" w:lineRule="auto"/>
        <w:ind w:left="709"/>
        <w:jc w:val="both"/>
        <w:rPr>
          <w:rFonts w:ascii="Calibri" w:eastAsia="Calibri" w:hAnsi="Calibri" w:cs="Times New Roman"/>
          <w:szCs w:val="24"/>
        </w:rPr>
      </w:pPr>
      <w:r w:rsidRPr="004077BA">
        <w:rPr>
          <w:rFonts w:ascii="Times New Roman" w:eastAsia="Calibri" w:hAnsi="Times New Roman" w:cs="Times New Roman"/>
          <w:sz w:val="24"/>
          <w:szCs w:val="24"/>
        </w:rPr>
        <w:t xml:space="preserve">Attiecībā uz šiem LM pārziņā esošajiem fiskālajiem riskiem nav identificēti papildu nepieciešamie pasākumi fiskālo risku mazināšanai, jo FDL šādā gadījumā pieļauj koriģēto maksimāli pieļaujamo valsts budžeta izdevumu pārsniegumu. </w:t>
      </w:r>
      <w:r w:rsidRPr="00E65AEF">
        <w:rPr>
          <w:rFonts w:ascii="Times New Roman" w:eastAsia="Calibri" w:hAnsi="Times New Roman" w:cs="Times New Roman"/>
          <w:sz w:val="24"/>
          <w:szCs w:val="24"/>
        </w:rPr>
        <w:t xml:space="preserve">Riski ir simetriski, tas ir, pastāv vienāda varbūtība, ka izmaksas var būt gan lielākas, gan mazākas par prognozēto apjomu. Līdz ar to arī varbūtība, ka budžeta deficīts pieaugs ir 50%. </w:t>
      </w:r>
      <w:r w:rsidRPr="004077BA">
        <w:rPr>
          <w:rFonts w:ascii="Times New Roman" w:eastAsia="Calibri" w:hAnsi="Times New Roman" w:cs="Times New Roman"/>
          <w:sz w:val="24"/>
          <w:szCs w:val="24"/>
        </w:rPr>
        <w:t>Fiskālā ietekme konkrētajā gadā nav nosakāma, bet ilgtermiņa fiskālā ietekme ir tuva nullei, jo risks ir simetrisks. Līdz ar to fiskālā nodrošinājuma rezerve šim riskam netiek veidota.</w:t>
      </w:r>
      <w:r w:rsidRPr="00457F02">
        <w:rPr>
          <w:rFonts w:ascii="Times New Roman" w:eastAsia="Calibri" w:hAnsi="Times New Roman" w:cs="Times New Roman"/>
          <w:sz w:val="24"/>
          <w:szCs w:val="24"/>
        </w:rPr>
        <w:t xml:space="preserve"> </w:t>
      </w:r>
    </w:p>
    <w:p w14:paraId="388EE087" w14:textId="77777777" w:rsidR="004A6489" w:rsidRPr="00E10FF2" w:rsidRDefault="004A6489" w:rsidP="000D02B5">
      <w:pPr>
        <w:numPr>
          <w:ilvl w:val="0"/>
          <w:numId w:val="2"/>
        </w:numPr>
        <w:spacing w:after="0" w:line="240" w:lineRule="auto"/>
        <w:ind w:left="709" w:hanging="357"/>
        <w:jc w:val="both"/>
        <w:rPr>
          <w:rFonts w:ascii="Calibri" w:eastAsia="Calibri" w:hAnsi="Calibri" w:cs="Times New Roman"/>
          <w:szCs w:val="24"/>
          <w:u w:val="single"/>
        </w:rPr>
      </w:pPr>
      <w:r w:rsidRPr="00457F02">
        <w:rPr>
          <w:rFonts w:ascii="Times New Roman" w:eastAsia="Calibri" w:hAnsi="Times New Roman" w:cs="Times New Roman"/>
          <w:sz w:val="24"/>
          <w:szCs w:val="24"/>
          <w:u w:val="single"/>
        </w:rPr>
        <w:t>Valsts sociālās apdrošināšanas speciālā budžetā plānoto ieņēmumu neizpilde, salīdzinot ar valsts budžetā apstiprinātajiem ieņēmumiem.</w:t>
      </w:r>
    </w:p>
    <w:p w14:paraId="5C485A95" w14:textId="77777777" w:rsidR="004A6489" w:rsidRPr="00E10FF2" w:rsidRDefault="004A6489" w:rsidP="000D02B5">
      <w:pPr>
        <w:spacing w:after="0" w:line="240" w:lineRule="auto"/>
        <w:ind w:left="709"/>
        <w:jc w:val="both"/>
        <w:rPr>
          <w:rFonts w:ascii="Times New Roman" w:eastAsia="Calibri" w:hAnsi="Times New Roman" w:cs="Times New Roman"/>
          <w:sz w:val="24"/>
          <w:szCs w:val="24"/>
        </w:rPr>
      </w:pPr>
      <w:r w:rsidRPr="00457F02">
        <w:rPr>
          <w:rFonts w:ascii="Times New Roman" w:eastAsia="Calibri" w:hAnsi="Times New Roman" w:cs="Times New Roman"/>
          <w:sz w:val="24"/>
          <w:szCs w:val="24"/>
        </w:rPr>
        <w:t>Faktiskie ieņēmumi valsts sociālās apdrošināšanas speciālajā budžetā vienmēr atšķirsies no plānotajiem. Risks ir saistīts ar ieņēmuma plāna faktisko izpildi, kas neizpildes gadījumā negatīvi ietekmē valsts budžeta bilanci, kā arī izmaiņām ieņēmumu prognozēs (ieņēmumu plāna samazinājums), kas lielākoties nav līdzvērtīgs un tieši saistīts ar attiecīgu izdevumu samazinājumu. Tā, kā novirzes ar vienādu varbūtību var būt gan bilances palielinājuma, gan samazinājuma v</w:t>
      </w:r>
      <w:r>
        <w:rPr>
          <w:rFonts w:ascii="Times New Roman" w:eastAsia="Calibri" w:hAnsi="Times New Roman" w:cs="Times New Roman"/>
          <w:sz w:val="24"/>
          <w:szCs w:val="24"/>
        </w:rPr>
        <w:t>irzienā, risks ir simetrisks un</w:t>
      </w:r>
      <w:r w:rsidRPr="00457F02">
        <w:rPr>
          <w:rFonts w:ascii="Times New Roman" w:eastAsia="Calibri" w:hAnsi="Times New Roman" w:cs="Times New Roman"/>
          <w:sz w:val="24"/>
          <w:szCs w:val="24"/>
        </w:rPr>
        <w:t xml:space="preserve"> līdz ar to arī varbūtība, ka deficīts pieaugs ir 50%. Fiskālā ietekme konkrētajā gadā nav prognozējama, bet ilgtermiņa fiskālā ietekme ir </w:t>
      </w:r>
      <w:r>
        <w:rPr>
          <w:rFonts w:ascii="Times New Roman" w:eastAsia="Calibri" w:hAnsi="Times New Roman" w:cs="Times New Roman"/>
          <w:sz w:val="24"/>
          <w:szCs w:val="24"/>
        </w:rPr>
        <w:t xml:space="preserve">tuva </w:t>
      </w:r>
      <w:r w:rsidRPr="00457F02">
        <w:rPr>
          <w:rFonts w:ascii="Times New Roman" w:eastAsia="Calibri" w:hAnsi="Times New Roman" w:cs="Times New Roman"/>
          <w:sz w:val="24"/>
          <w:szCs w:val="24"/>
        </w:rPr>
        <w:t>nulle, jo risks ir simetrisks. Līdz ar to fiskālā nodrošinājuma rez</w:t>
      </w:r>
      <w:r>
        <w:rPr>
          <w:rFonts w:ascii="Times New Roman" w:eastAsia="Calibri" w:hAnsi="Times New Roman" w:cs="Times New Roman"/>
          <w:sz w:val="24"/>
          <w:szCs w:val="24"/>
        </w:rPr>
        <w:t>erve šim riskam netiek veidota.</w:t>
      </w:r>
    </w:p>
    <w:p w14:paraId="278C1CD8" w14:textId="5DDB39F5" w:rsidR="00561836" w:rsidRDefault="004A6489" w:rsidP="00C1770E">
      <w:pPr>
        <w:spacing w:after="0" w:line="240" w:lineRule="auto"/>
        <w:ind w:left="709"/>
        <w:jc w:val="both"/>
        <w:rPr>
          <w:rFonts w:ascii="Times New Roman" w:eastAsia="Calibri" w:hAnsi="Times New Roman" w:cs="Times New Roman"/>
          <w:sz w:val="24"/>
          <w:szCs w:val="24"/>
        </w:rPr>
      </w:pPr>
      <w:r w:rsidRPr="00457F02">
        <w:rPr>
          <w:rFonts w:ascii="Times New Roman" w:eastAsia="Calibri" w:hAnsi="Times New Roman" w:cs="Times New Roman"/>
          <w:sz w:val="24"/>
          <w:szCs w:val="24"/>
        </w:rPr>
        <w:t>Papildus risks rodas tad, ja ieņēmumu plāna neizpildes rezultātā rodas likviditātes risks nepieciešamo maksājumu veikšanai. Riska iestāšanās gadījumā, tā mazināšanai un novēršanai ir nepieciešama papildus rīcība, piemēram, īstermiņa aizņēmums, jo atšķirībā no tā, ka izdevumu palielinājuma gadījumā, atbilstoši Likuma par budžetu un finanšu vadību 13.panta pirmajai daļai, finanšu ministram ir tiesības veikt apropriāciju pārdales ministrijai vai citai centrālajai valsts iestādei gadskārtējā valsts budžeta likumā noteiktās apropriācijas ietvaros starp programmām, apakšprogrammām un izdevumu kodiem atbilstoši ekonomiskajām kategorijām, ieņēmumu samazināšanās gadījumā operatīva rīcība nav noteikta.</w:t>
      </w:r>
    </w:p>
    <w:p w14:paraId="3E4B4F0F" w14:textId="77777777" w:rsidR="006259C6" w:rsidRPr="00C1770E" w:rsidRDefault="006259C6" w:rsidP="00C1770E">
      <w:pPr>
        <w:spacing w:after="0" w:line="240" w:lineRule="auto"/>
        <w:ind w:left="709"/>
        <w:jc w:val="both"/>
        <w:rPr>
          <w:rFonts w:ascii="Times New Roman" w:eastAsia="Calibri" w:hAnsi="Times New Roman" w:cs="Times New Roman"/>
          <w:sz w:val="24"/>
          <w:szCs w:val="24"/>
        </w:rPr>
      </w:pPr>
    </w:p>
    <w:p w14:paraId="359440EE" w14:textId="77777777" w:rsidR="006259C6" w:rsidRDefault="006259C6" w:rsidP="006259C6">
      <w:pPr>
        <w:spacing w:after="0" w:line="240" w:lineRule="auto"/>
        <w:ind w:firstLine="720"/>
        <w:jc w:val="both"/>
        <w:rPr>
          <w:rFonts w:ascii="Times New Roman" w:eastAsiaTheme="minorHAnsi" w:hAnsi="Times New Roman" w:cs="Times New Roman"/>
          <w:sz w:val="24"/>
          <w:szCs w:val="20"/>
        </w:rPr>
      </w:pPr>
      <w:r w:rsidRPr="006259C6">
        <w:rPr>
          <w:rFonts w:ascii="Times New Roman" w:eastAsiaTheme="minorHAnsi" w:hAnsi="Times New Roman" w:cs="Times New Roman"/>
          <w:sz w:val="24"/>
          <w:szCs w:val="20"/>
        </w:rPr>
        <w:t>Tabulā Nr.3</w:t>
      </w:r>
      <w:r w:rsidRPr="0089209F">
        <w:rPr>
          <w:rFonts w:ascii="Times New Roman" w:eastAsiaTheme="minorHAnsi" w:hAnsi="Times New Roman" w:cs="Times New Roman"/>
          <w:b/>
          <w:sz w:val="24"/>
          <w:szCs w:val="20"/>
        </w:rPr>
        <w:t xml:space="preserve"> </w:t>
      </w:r>
      <w:r w:rsidRPr="0089209F">
        <w:rPr>
          <w:rFonts w:ascii="Times New Roman" w:eastAsiaTheme="minorHAnsi" w:hAnsi="Times New Roman" w:cs="Times New Roman"/>
          <w:sz w:val="24"/>
          <w:szCs w:val="20"/>
        </w:rPr>
        <w:t>ir</w:t>
      </w:r>
      <w:r>
        <w:rPr>
          <w:rFonts w:ascii="Times New Roman" w:eastAsiaTheme="minorHAnsi" w:hAnsi="Times New Roman" w:cs="Times New Roman"/>
          <w:sz w:val="24"/>
          <w:szCs w:val="20"/>
        </w:rPr>
        <w:t xml:space="preserve"> redzama</w:t>
      </w:r>
      <w:r w:rsidRPr="0089209F">
        <w:rPr>
          <w:rFonts w:ascii="Times New Roman" w:eastAsiaTheme="minorHAnsi" w:hAnsi="Times New Roman" w:cs="Times New Roman"/>
          <w:sz w:val="24"/>
          <w:szCs w:val="20"/>
        </w:rPr>
        <w:t xml:space="preserve"> valsts speciālā budžeta izdevum</w:t>
      </w:r>
      <w:r>
        <w:rPr>
          <w:rFonts w:ascii="Times New Roman" w:eastAsiaTheme="minorHAnsi" w:hAnsi="Times New Roman" w:cs="Times New Roman"/>
          <w:sz w:val="24"/>
          <w:szCs w:val="20"/>
        </w:rPr>
        <w:t>u</w:t>
      </w:r>
      <w:r w:rsidRPr="0089209F">
        <w:rPr>
          <w:rFonts w:ascii="Times New Roman" w:eastAsiaTheme="minorHAnsi" w:hAnsi="Times New Roman" w:cs="Times New Roman"/>
          <w:sz w:val="24"/>
          <w:szCs w:val="20"/>
        </w:rPr>
        <w:t xml:space="preserve"> sociālajiem pabalstiem</w:t>
      </w:r>
      <w:r>
        <w:rPr>
          <w:rFonts w:ascii="Times New Roman" w:eastAsiaTheme="minorHAnsi" w:hAnsi="Times New Roman" w:cs="Times New Roman"/>
          <w:sz w:val="24"/>
          <w:szCs w:val="20"/>
        </w:rPr>
        <w:t xml:space="preserve"> dinamika apakšprogrammu griezumā no 2007</w:t>
      </w:r>
      <w:r w:rsidRPr="0089209F">
        <w:rPr>
          <w:rFonts w:ascii="Times New Roman" w:eastAsiaTheme="minorHAnsi" w:hAnsi="Times New Roman" w:cs="Times New Roman"/>
          <w:sz w:val="24"/>
          <w:szCs w:val="20"/>
        </w:rPr>
        <w:t>.gada līdz 201</w:t>
      </w:r>
      <w:r>
        <w:rPr>
          <w:rFonts w:ascii="Times New Roman" w:eastAsiaTheme="minorHAnsi" w:hAnsi="Times New Roman" w:cs="Times New Roman"/>
          <w:sz w:val="24"/>
          <w:szCs w:val="20"/>
        </w:rPr>
        <w:t>8</w:t>
      </w:r>
      <w:r w:rsidRPr="0089209F">
        <w:rPr>
          <w:rFonts w:ascii="Times New Roman" w:eastAsiaTheme="minorHAnsi" w:hAnsi="Times New Roman" w:cs="Times New Roman"/>
          <w:sz w:val="24"/>
          <w:szCs w:val="20"/>
        </w:rPr>
        <w:t>.gadam</w:t>
      </w:r>
      <w:r>
        <w:rPr>
          <w:rFonts w:ascii="Times New Roman" w:eastAsiaTheme="minorHAnsi" w:hAnsi="Times New Roman" w:cs="Times New Roman"/>
          <w:sz w:val="24"/>
          <w:szCs w:val="20"/>
        </w:rPr>
        <w:t>, kā rezultātā, simetriskuma princips tiek noteikts šim laika periodam</w:t>
      </w:r>
      <w:r w:rsidRPr="0089209F">
        <w:rPr>
          <w:rFonts w:ascii="Times New Roman" w:eastAsiaTheme="minorHAnsi" w:hAnsi="Times New Roman" w:cs="Times New Roman"/>
          <w:sz w:val="24"/>
          <w:szCs w:val="20"/>
        </w:rPr>
        <w:t xml:space="preserve">. </w:t>
      </w:r>
      <w:r w:rsidRPr="00FD000A">
        <w:rPr>
          <w:rFonts w:ascii="Times New Roman" w:eastAsiaTheme="minorHAnsi" w:hAnsi="Times New Roman" w:cs="Times New Roman"/>
          <w:sz w:val="24"/>
          <w:szCs w:val="20"/>
        </w:rPr>
        <w:t>Teorētiski fiskālajam riskam ir jābūt simetriskam un rezultāti norāda uz sistēmiska rakstura prognozi</w:t>
      </w:r>
      <w:r>
        <w:rPr>
          <w:rFonts w:ascii="Times New Roman" w:eastAsiaTheme="minorHAnsi" w:hAnsi="Times New Roman" w:cs="Times New Roman"/>
          <w:sz w:val="24"/>
          <w:szCs w:val="20"/>
        </w:rPr>
        <w:t xml:space="preserve">. No 2007.gada līdz 2012.gadam novirze ir izdevumu samazinājuma virzienā, bet no 2013.gada līdz </w:t>
      </w:r>
      <w:r w:rsidRPr="00450275">
        <w:rPr>
          <w:rFonts w:ascii="Times New Roman" w:eastAsiaTheme="minorHAnsi" w:hAnsi="Times New Roman" w:cs="Times New Roman"/>
          <w:sz w:val="24"/>
          <w:szCs w:val="20"/>
        </w:rPr>
        <w:t>2016.</w:t>
      </w:r>
      <w:r>
        <w:rPr>
          <w:rFonts w:ascii="Times New Roman" w:eastAsiaTheme="minorHAnsi" w:hAnsi="Times New Roman" w:cs="Times New Roman"/>
          <w:sz w:val="24"/>
          <w:szCs w:val="20"/>
        </w:rPr>
        <w:t xml:space="preserve">gadam tā ir izdevumu pieauguma virzienā. </w:t>
      </w:r>
      <w:r w:rsidRPr="006604A7">
        <w:rPr>
          <w:rFonts w:ascii="Times New Roman" w:eastAsiaTheme="minorHAnsi" w:hAnsi="Times New Roman" w:cs="Times New Roman"/>
          <w:sz w:val="24"/>
          <w:szCs w:val="20"/>
        </w:rPr>
        <w:t>2017.</w:t>
      </w:r>
      <w:r>
        <w:rPr>
          <w:rFonts w:ascii="Times New Roman" w:eastAsiaTheme="minorHAnsi" w:hAnsi="Times New Roman" w:cs="Times New Roman"/>
          <w:sz w:val="24"/>
          <w:szCs w:val="20"/>
        </w:rPr>
        <w:t xml:space="preserve"> un 2018.</w:t>
      </w:r>
      <w:r w:rsidRPr="006604A7">
        <w:rPr>
          <w:rFonts w:ascii="Times New Roman" w:eastAsiaTheme="minorHAnsi" w:hAnsi="Times New Roman" w:cs="Times New Roman"/>
          <w:sz w:val="24"/>
          <w:szCs w:val="20"/>
        </w:rPr>
        <w:t>gadā atkal ir vērojams samazinājums.</w:t>
      </w:r>
    </w:p>
    <w:p w14:paraId="138BBBC3" w14:textId="77777777" w:rsidR="006259C6" w:rsidRPr="00DE530C" w:rsidRDefault="006259C6" w:rsidP="006259C6">
      <w:pPr>
        <w:spacing w:after="0" w:line="240" w:lineRule="auto"/>
        <w:ind w:firstLine="720"/>
        <w:jc w:val="both"/>
        <w:rPr>
          <w:rFonts w:ascii="Times New Roman" w:eastAsiaTheme="minorHAnsi" w:hAnsi="Times New Roman" w:cs="Times New Roman"/>
          <w:sz w:val="24"/>
          <w:szCs w:val="20"/>
        </w:rPr>
      </w:pPr>
      <w:r w:rsidRPr="00DE530C">
        <w:rPr>
          <w:rFonts w:ascii="Times New Roman" w:eastAsiaTheme="minorHAnsi" w:hAnsi="Times New Roman" w:cs="Times New Roman"/>
          <w:sz w:val="24"/>
          <w:szCs w:val="20"/>
        </w:rPr>
        <w:t>Salīdzinot likumā „Par valsts budžetu 201</w:t>
      </w:r>
      <w:r>
        <w:rPr>
          <w:rFonts w:ascii="Times New Roman" w:eastAsiaTheme="minorHAnsi" w:hAnsi="Times New Roman" w:cs="Times New Roman"/>
          <w:sz w:val="24"/>
          <w:szCs w:val="20"/>
        </w:rPr>
        <w:t>8</w:t>
      </w:r>
      <w:r w:rsidRPr="00DE530C">
        <w:rPr>
          <w:rFonts w:ascii="Times New Roman" w:eastAsiaTheme="minorHAnsi" w:hAnsi="Times New Roman" w:cs="Times New Roman"/>
          <w:sz w:val="24"/>
          <w:szCs w:val="20"/>
        </w:rPr>
        <w:t>.gadam” plānoto apmēru sociālās apdrošināšanas speciālajā budžetā sociālajiem pabalstiem ar faktisko izpildi, var secināt, ka atsevišķās apakšprogrammās bija vērojams faktiskās izpildes pārsniegums pār plānoto apmēru</w:t>
      </w:r>
      <w:r>
        <w:rPr>
          <w:rFonts w:ascii="Times New Roman" w:eastAsiaTheme="minorHAnsi" w:hAnsi="Times New Roman" w:cs="Times New Roman"/>
          <w:sz w:val="24"/>
          <w:szCs w:val="20"/>
        </w:rPr>
        <w:t>.</w:t>
      </w:r>
    </w:p>
    <w:p w14:paraId="12904413"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50A2306D"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2E6CBB91"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640302FC"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324442F5"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6F0E0184" w14:textId="77777777" w:rsidR="00953696" w:rsidRDefault="00953696" w:rsidP="004A6489">
      <w:pPr>
        <w:spacing w:after="0" w:line="240" w:lineRule="auto"/>
        <w:jc w:val="right"/>
        <w:rPr>
          <w:rFonts w:ascii="Times New Roman" w:eastAsiaTheme="minorHAnsi" w:hAnsi="Times New Roman" w:cs="Times New Roman"/>
          <w:b/>
          <w:sz w:val="24"/>
          <w:szCs w:val="20"/>
        </w:rPr>
      </w:pPr>
    </w:p>
    <w:p w14:paraId="17171D7A" w14:textId="77777777" w:rsidR="00953696" w:rsidRDefault="00953696" w:rsidP="004A6489">
      <w:pPr>
        <w:spacing w:after="0" w:line="240" w:lineRule="auto"/>
        <w:jc w:val="right"/>
        <w:rPr>
          <w:rFonts w:ascii="Times New Roman" w:eastAsiaTheme="minorHAnsi" w:hAnsi="Times New Roman" w:cs="Times New Roman"/>
          <w:b/>
          <w:sz w:val="24"/>
          <w:szCs w:val="20"/>
        </w:rPr>
      </w:pPr>
    </w:p>
    <w:p w14:paraId="7FE6A592" w14:textId="77777777" w:rsidR="00953696" w:rsidRDefault="00953696" w:rsidP="004A6489">
      <w:pPr>
        <w:spacing w:after="0" w:line="240" w:lineRule="auto"/>
        <w:jc w:val="right"/>
        <w:rPr>
          <w:rFonts w:ascii="Times New Roman" w:eastAsiaTheme="minorHAnsi" w:hAnsi="Times New Roman" w:cs="Times New Roman"/>
          <w:b/>
          <w:sz w:val="24"/>
          <w:szCs w:val="20"/>
        </w:rPr>
      </w:pPr>
    </w:p>
    <w:p w14:paraId="453B5EB0" w14:textId="4750C01B" w:rsidR="004A6489" w:rsidRPr="0089209F" w:rsidRDefault="004A6489" w:rsidP="004A6489">
      <w:pPr>
        <w:spacing w:after="0" w:line="240" w:lineRule="auto"/>
        <w:jc w:val="right"/>
        <w:rPr>
          <w:rFonts w:ascii="Times New Roman" w:eastAsiaTheme="minorHAnsi" w:hAnsi="Times New Roman" w:cs="Times New Roman"/>
          <w:b/>
          <w:sz w:val="24"/>
          <w:szCs w:val="20"/>
        </w:rPr>
      </w:pPr>
      <w:r w:rsidRPr="0089209F">
        <w:rPr>
          <w:rFonts w:ascii="Times New Roman" w:eastAsiaTheme="minorHAnsi" w:hAnsi="Times New Roman" w:cs="Times New Roman"/>
          <w:b/>
          <w:sz w:val="24"/>
          <w:szCs w:val="20"/>
        </w:rPr>
        <w:lastRenderedPageBreak/>
        <w:t xml:space="preserve">Tabula </w:t>
      </w:r>
      <w:r w:rsidRPr="00507D6B">
        <w:rPr>
          <w:rFonts w:ascii="Times New Roman" w:eastAsiaTheme="minorHAnsi" w:hAnsi="Times New Roman" w:cs="Times New Roman"/>
          <w:b/>
          <w:sz w:val="24"/>
          <w:szCs w:val="20"/>
        </w:rPr>
        <w:t>Nr.</w:t>
      </w:r>
      <w:r w:rsidR="00786453">
        <w:rPr>
          <w:rFonts w:ascii="Times New Roman" w:eastAsiaTheme="minorHAnsi" w:hAnsi="Times New Roman" w:cs="Times New Roman"/>
          <w:b/>
          <w:sz w:val="24"/>
          <w:szCs w:val="20"/>
        </w:rPr>
        <w:t>3</w:t>
      </w:r>
      <w:r w:rsidRPr="0089209F">
        <w:rPr>
          <w:rFonts w:ascii="Times New Roman" w:eastAsiaTheme="minorHAnsi" w:hAnsi="Times New Roman" w:cs="Times New Roman"/>
          <w:b/>
          <w:sz w:val="24"/>
          <w:szCs w:val="20"/>
        </w:rPr>
        <w:t xml:space="preserve"> Valsts speciālā budžeta izdevumi sociālajiem pabalstiem</w:t>
      </w:r>
    </w:p>
    <w:p w14:paraId="11AC6613" w14:textId="77777777" w:rsidR="004A6489" w:rsidRDefault="004A6489" w:rsidP="00507D6B">
      <w:pPr>
        <w:spacing w:line="240" w:lineRule="auto"/>
        <w:jc w:val="right"/>
        <w:rPr>
          <w:rFonts w:ascii="Times New Roman" w:eastAsiaTheme="minorHAnsi" w:hAnsi="Times New Roman" w:cs="Times New Roman"/>
          <w:b/>
          <w:sz w:val="24"/>
          <w:szCs w:val="20"/>
        </w:rPr>
      </w:pPr>
      <w:r w:rsidRPr="0089209F">
        <w:rPr>
          <w:rFonts w:ascii="Times New Roman" w:eastAsiaTheme="minorHAnsi" w:hAnsi="Times New Roman" w:cs="Times New Roman"/>
          <w:b/>
          <w:sz w:val="24"/>
          <w:szCs w:val="20"/>
        </w:rPr>
        <w:t xml:space="preserve">sadalījumā pa apakšprogrammām, milj. </w:t>
      </w:r>
      <w:r w:rsidRPr="0089209F">
        <w:rPr>
          <w:rFonts w:ascii="Times New Roman" w:eastAsiaTheme="minorHAnsi" w:hAnsi="Times New Roman" w:cs="Times New Roman"/>
          <w:b/>
          <w:i/>
          <w:sz w:val="24"/>
          <w:szCs w:val="20"/>
        </w:rPr>
        <w:t>euro</w:t>
      </w:r>
      <w:r w:rsidRPr="0089209F">
        <w:rPr>
          <w:rFonts w:ascii="Times New Roman" w:eastAsiaTheme="minorHAnsi" w:hAnsi="Times New Roman" w:cs="Times New Roman"/>
          <w:b/>
          <w:sz w:val="24"/>
          <w:szCs w:val="20"/>
        </w:rPr>
        <w:t xml:space="preserve"> </w:t>
      </w:r>
    </w:p>
    <w:tbl>
      <w:tblPr>
        <w:tblStyle w:val="GridTable6Colorful-Accent1"/>
        <w:tblW w:w="9693" w:type="dxa"/>
        <w:tblLook w:val="04A0" w:firstRow="1" w:lastRow="0" w:firstColumn="1" w:lastColumn="0" w:noHBand="0" w:noVBand="1"/>
      </w:tblPr>
      <w:tblGrid>
        <w:gridCol w:w="663"/>
        <w:gridCol w:w="997"/>
        <w:gridCol w:w="933"/>
        <w:gridCol w:w="1461"/>
        <w:gridCol w:w="1028"/>
        <w:gridCol w:w="1206"/>
        <w:gridCol w:w="1239"/>
        <w:gridCol w:w="1333"/>
        <w:gridCol w:w="833"/>
      </w:tblGrid>
      <w:tr w:rsidR="001A6001" w:rsidRPr="00C1770E" w14:paraId="1A2F66B9" w14:textId="77777777" w:rsidTr="00ED304F">
        <w:trPr>
          <w:cnfStyle w:val="100000000000" w:firstRow="1" w:lastRow="0" w:firstColumn="0" w:lastColumn="0" w:oddVBand="0" w:evenVBand="0" w:oddHBand="0"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1660" w:type="dxa"/>
            <w:gridSpan w:val="2"/>
            <w:noWrap/>
            <w:hideMark/>
          </w:tcPr>
          <w:p w14:paraId="1DD49C1B" w14:textId="685604BC" w:rsidR="00DD0968" w:rsidRPr="00C1770E" w:rsidRDefault="00DD0968" w:rsidP="00DD0968">
            <w:pPr>
              <w:jc w:val="center"/>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Gads/rādītājs</w:t>
            </w:r>
          </w:p>
        </w:tc>
        <w:tc>
          <w:tcPr>
            <w:tcW w:w="933" w:type="dxa"/>
          </w:tcPr>
          <w:p w14:paraId="524190C6" w14:textId="77777777"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Sociālie pabalsti no pamat-</w:t>
            </w:r>
          </w:p>
          <w:p w14:paraId="7276EDD4" w14:textId="2E6ACCDA"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budžeta</w:t>
            </w:r>
          </w:p>
        </w:tc>
        <w:tc>
          <w:tcPr>
            <w:tcW w:w="1461" w:type="dxa"/>
          </w:tcPr>
          <w:p w14:paraId="007569F1" w14:textId="1BEE23FD"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Sociālā apdrošināšana</w:t>
            </w:r>
          </w:p>
        </w:tc>
        <w:tc>
          <w:tcPr>
            <w:tcW w:w="1028" w:type="dxa"/>
          </w:tcPr>
          <w:p w14:paraId="336DE385" w14:textId="19E754D7"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Valsts pensiju speciālais budžets</w:t>
            </w:r>
          </w:p>
        </w:tc>
        <w:tc>
          <w:tcPr>
            <w:tcW w:w="1206" w:type="dxa"/>
          </w:tcPr>
          <w:p w14:paraId="19BE3C2A" w14:textId="660503A5"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Nodarbinā</w:t>
            </w:r>
            <w:r w:rsidR="00B913A7" w:rsidRPr="00C1770E">
              <w:rPr>
                <w:rFonts w:ascii="Times New Roman" w:hAnsi="Times New Roman" w:cs="Times New Roman"/>
                <w:color w:val="000000" w:themeColor="text1"/>
                <w:sz w:val="20"/>
                <w:szCs w:val="20"/>
              </w:rPr>
              <w:t>-</w:t>
            </w:r>
            <w:r w:rsidRPr="00C1770E">
              <w:rPr>
                <w:rFonts w:ascii="Times New Roman" w:hAnsi="Times New Roman" w:cs="Times New Roman"/>
                <w:color w:val="000000" w:themeColor="text1"/>
                <w:sz w:val="20"/>
                <w:szCs w:val="20"/>
              </w:rPr>
              <w:t>tības speciālais budžets</w:t>
            </w:r>
          </w:p>
        </w:tc>
        <w:tc>
          <w:tcPr>
            <w:tcW w:w="1239" w:type="dxa"/>
          </w:tcPr>
          <w:p w14:paraId="3216C3E1" w14:textId="704660F2"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Darba negadījumu speciālais budžets</w:t>
            </w:r>
          </w:p>
        </w:tc>
        <w:tc>
          <w:tcPr>
            <w:tcW w:w="1333" w:type="dxa"/>
          </w:tcPr>
          <w:p w14:paraId="2E655BCE" w14:textId="57021AC0"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Invaliditātes, maternitātes un slimības speciālais budžets</w:t>
            </w:r>
          </w:p>
        </w:tc>
        <w:tc>
          <w:tcPr>
            <w:tcW w:w="833" w:type="dxa"/>
          </w:tcPr>
          <w:p w14:paraId="017FAD7E" w14:textId="02F155D9" w:rsidR="00DD0968" w:rsidRPr="00C1770E" w:rsidRDefault="00DD0968" w:rsidP="00DD09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Vidējā izpilde gadā</w:t>
            </w:r>
          </w:p>
        </w:tc>
      </w:tr>
      <w:tr w:rsidR="00ED304F" w:rsidRPr="00C1770E" w14:paraId="182667A1" w14:textId="77777777" w:rsidTr="00ED304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63" w:type="dxa"/>
            <w:noWrap/>
            <w:hideMark/>
          </w:tcPr>
          <w:p w14:paraId="27847BEC" w14:textId="768447E0" w:rsidR="00ED304F" w:rsidRPr="00C1770E" w:rsidRDefault="00ED304F" w:rsidP="00ED304F">
            <w:pPr>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2007</w:t>
            </w:r>
          </w:p>
        </w:tc>
        <w:tc>
          <w:tcPr>
            <w:tcW w:w="997" w:type="dxa"/>
            <w:noWrap/>
            <w:hideMark/>
          </w:tcPr>
          <w:p w14:paraId="2092D69E" w14:textId="10E0ADD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1F969498" w14:textId="2CC7DAD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147,53</w:t>
            </w:r>
          </w:p>
        </w:tc>
        <w:tc>
          <w:tcPr>
            <w:tcW w:w="1461" w:type="dxa"/>
            <w:hideMark/>
          </w:tcPr>
          <w:p w14:paraId="3C40229F" w14:textId="331F1F2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1 286,6</w:t>
            </w:r>
          </w:p>
        </w:tc>
        <w:tc>
          <w:tcPr>
            <w:tcW w:w="1028" w:type="dxa"/>
            <w:hideMark/>
          </w:tcPr>
          <w:p w14:paraId="037D0296" w14:textId="6E9FEF9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1 010,0</w:t>
            </w:r>
          </w:p>
        </w:tc>
        <w:tc>
          <w:tcPr>
            <w:tcW w:w="1206" w:type="dxa"/>
            <w:hideMark/>
          </w:tcPr>
          <w:p w14:paraId="6DD8D948" w14:textId="6D5156F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61,8</w:t>
            </w:r>
          </w:p>
        </w:tc>
        <w:tc>
          <w:tcPr>
            <w:tcW w:w="1239" w:type="dxa"/>
            <w:hideMark/>
          </w:tcPr>
          <w:p w14:paraId="3314801D" w14:textId="20969FC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9</w:t>
            </w:r>
          </w:p>
        </w:tc>
        <w:tc>
          <w:tcPr>
            <w:tcW w:w="1333" w:type="dxa"/>
            <w:hideMark/>
          </w:tcPr>
          <w:p w14:paraId="3483B42C" w14:textId="16CBEF9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205,7</w:t>
            </w:r>
          </w:p>
        </w:tc>
        <w:tc>
          <w:tcPr>
            <w:tcW w:w="833" w:type="dxa"/>
            <w:vMerge w:val="restart"/>
            <w:hideMark/>
          </w:tcPr>
          <w:p w14:paraId="3BA3DB72"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1D261A95" w14:textId="77777777" w:rsidTr="00ED304F">
        <w:trPr>
          <w:trHeight w:val="236"/>
        </w:trPr>
        <w:tc>
          <w:tcPr>
            <w:cnfStyle w:val="001000000000" w:firstRow="0" w:lastRow="0" w:firstColumn="1" w:lastColumn="0" w:oddVBand="0" w:evenVBand="0" w:oddHBand="0" w:evenHBand="0" w:firstRowFirstColumn="0" w:firstRowLastColumn="0" w:lastRowFirstColumn="0" w:lastRowLastColumn="0"/>
            <w:tcW w:w="663" w:type="dxa"/>
            <w:vMerge w:val="restart"/>
            <w:hideMark/>
          </w:tcPr>
          <w:p w14:paraId="14623C58"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17B1BFEE" w14:textId="2678B00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1F4BE859" w14:textId="026055B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173,09</w:t>
            </w:r>
          </w:p>
        </w:tc>
        <w:tc>
          <w:tcPr>
            <w:tcW w:w="1461" w:type="dxa"/>
            <w:hideMark/>
          </w:tcPr>
          <w:p w14:paraId="191CDDA3" w14:textId="7C9AE1D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1 268,5</w:t>
            </w:r>
          </w:p>
        </w:tc>
        <w:tc>
          <w:tcPr>
            <w:tcW w:w="1028" w:type="dxa"/>
            <w:hideMark/>
          </w:tcPr>
          <w:p w14:paraId="036F7755" w14:textId="1483620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992,7</w:t>
            </w:r>
          </w:p>
        </w:tc>
        <w:tc>
          <w:tcPr>
            <w:tcW w:w="1206" w:type="dxa"/>
            <w:hideMark/>
          </w:tcPr>
          <w:p w14:paraId="6641A56F" w14:textId="6395A90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61,8</w:t>
            </w:r>
          </w:p>
        </w:tc>
        <w:tc>
          <w:tcPr>
            <w:tcW w:w="1239" w:type="dxa"/>
            <w:hideMark/>
          </w:tcPr>
          <w:p w14:paraId="7F747DF2" w14:textId="4B2FD41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9</w:t>
            </w:r>
          </w:p>
        </w:tc>
        <w:tc>
          <w:tcPr>
            <w:tcW w:w="1333" w:type="dxa"/>
            <w:hideMark/>
          </w:tcPr>
          <w:p w14:paraId="331098F6" w14:textId="6EFAABD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205,5</w:t>
            </w:r>
          </w:p>
        </w:tc>
        <w:tc>
          <w:tcPr>
            <w:tcW w:w="833" w:type="dxa"/>
            <w:vMerge/>
            <w:hideMark/>
          </w:tcPr>
          <w:p w14:paraId="1EC8EC83"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1F5F124D" w14:textId="77777777" w:rsidTr="00ED304F">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63" w:type="dxa"/>
            <w:vMerge/>
            <w:hideMark/>
          </w:tcPr>
          <w:p w14:paraId="59D69A6C"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18EF0857" w14:textId="4D87F6E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07AFAEAA" w14:textId="559CFED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117,32%</w:t>
            </w:r>
          </w:p>
        </w:tc>
        <w:tc>
          <w:tcPr>
            <w:tcW w:w="1461" w:type="dxa"/>
            <w:vAlign w:val="center"/>
            <w:hideMark/>
          </w:tcPr>
          <w:p w14:paraId="251FA2AF" w14:textId="6265CED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98,6%</w:t>
            </w:r>
          </w:p>
        </w:tc>
        <w:tc>
          <w:tcPr>
            <w:tcW w:w="1028" w:type="dxa"/>
            <w:vAlign w:val="center"/>
            <w:hideMark/>
          </w:tcPr>
          <w:p w14:paraId="49B0EC70" w14:textId="4504842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98,3%</w:t>
            </w:r>
          </w:p>
        </w:tc>
        <w:tc>
          <w:tcPr>
            <w:tcW w:w="1206" w:type="dxa"/>
            <w:vAlign w:val="center"/>
            <w:hideMark/>
          </w:tcPr>
          <w:p w14:paraId="236B6EDD" w14:textId="36918B7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99,9%</w:t>
            </w:r>
          </w:p>
        </w:tc>
        <w:tc>
          <w:tcPr>
            <w:tcW w:w="1239" w:type="dxa"/>
            <w:vAlign w:val="center"/>
            <w:hideMark/>
          </w:tcPr>
          <w:p w14:paraId="6B88D685" w14:textId="5A82D8F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333" w:type="dxa"/>
            <w:vAlign w:val="center"/>
            <w:hideMark/>
          </w:tcPr>
          <w:p w14:paraId="7B9A9C08" w14:textId="4492634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99,9%</w:t>
            </w:r>
          </w:p>
        </w:tc>
        <w:tc>
          <w:tcPr>
            <w:tcW w:w="833" w:type="dxa"/>
            <w:vAlign w:val="center"/>
            <w:hideMark/>
          </w:tcPr>
          <w:p w14:paraId="7560D883" w14:textId="11F911D2" w:rsidR="00ED304F" w:rsidRPr="00C1770E" w:rsidRDefault="00ED304F" w:rsidP="00ED30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rPr>
            </w:pPr>
            <w:r w:rsidRPr="00C1770E">
              <w:rPr>
                <w:rFonts w:ascii="Times New Roman" w:hAnsi="Times New Roman" w:cs="Times New Roman"/>
                <w:i/>
                <w:iCs/>
                <w:color w:val="000000" w:themeColor="text1"/>
                <w:sz w:val="20"/>
                <w:szCs w:val="20"/>
              </w:rPr>
              <w:t>102,3%</w:t>
            </w:r>
          </w:p>
        </w:tc>
      </w:tr>
      <w:tr w:rsidR="00ED304F" w:rsidRPr="00C1770E" w14:paraId="34587B0E" w14:textId="77777777" w:rsidTr="00ED304F">
        <w:trPr>
          <w:trHeight w:val="186"/>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651C0427"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2008</w:t>
            </w:r>
          </w:p>
          <w:p w14:paraId="1D4DDF6E" w14:textId="19296BDF"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4F812F10" w14:textId="48FC015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3329EDE6" w14:textId="5ACEF01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143,79</w:t>
            </w:r>
          </w:p>
        </w:tc>
        <w:tc>
          <w:tcPr>
            <w:tcW w:w="1461" w:type="dxa"/>
            <w:hideMark/>
          </w:tcPr>
          <w:p w14:paraId="29F76A2E" w14:textId="048B9E2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1 713,1</w:t>
            </w:r>
          </w:p>
        </w:tc>
        <w:tc>
          <w:tcPr>
            <w:tcW w:w="1028" w:type="dxa"/>
            <w:hideMark/>
          </w:tcPr>
          <w:p w14:paraId="13B139BC" w14:textId="5E32E9B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1 253,3</w:t>
            </w:r>
          </w:p>
        </w:tc>
        <w:tc>
          <w:tcPr>
            <w:tcW w:w="1206" w:type="dxa"/>
            <w:hideMark/>
          </w:tcPr>
          <w:p w14:paraId="11009EAB" w14:textId="3F797F2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80,4</w:t>
            </w:r>
          </w:p>
        </w:tc>
        <w:tc>
          <w:tcPr>
            <w:tcW w:w="1239" w:type="dxa"/>
            <w:hideMark/>
          </w:tcPr>
          <w:p w14:paraId="5FD3B087" w14:textId="2CD44B6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12,3</w:t>
            </w:r>
          </w:p>
        </w:tc>
        <w:tc>
          <w:tcPr>
            <w:tcW w:w="1333" w:type="dxa"/>
            <w:hideMark/>
          </w:tcPr>
          <w:p w14:paraId="572823E7" w14:textId="2AFF248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368</w:t>
            </w:r>
          </w:p>
        </w:tc>
        <w:tc>
          <w:tcPr>
            <w:tcW w:w="833" w:type="dxa"/>
            <w:vMerge w:val="restart"/>
            <w:hideMark/>
          </w:tcPr>
          <w:p w14:paraId="39F62E3C"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2FC72F5D" w14:textId="77777777" w:rsidTr="00ED304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63" w:type="dxa"/>
            <w:vMerge/>
            <w:hideMark/>
          </w:tcPr>
          <w:p w14:paraId="417597F6"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575383F8" w14:textId="4AB1AD4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71C9924B" w14:textId="02D7E5F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138,06</w:t>
            </w:r>
          </w:p>
        </w:tc>
        <w:tc>
          <w:tcPr>
            <w:tcW w:w="1461" w:type="dxa"/>
            <w:hideMark/>
          </w:tcPr>
          <w:p w14:paraId="39FAA580" w14:textId="167D842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1 696,4</w:t>
            </w:r>
          </w:p>
        </w:tc>
        <w:tc>
          <w:tcPr>
            <w:tcW w:w="1028" w:type="dxa"/>
            <w:hideMark/>
          </w:tcPr>
          <w:p w14:paraId="5FABE242" w14:textId="31AA588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1 235,8</w:t>
            </w:r>
          </w:p>
        </w:tc>
        <w:tc>
          <w:tcPr>
            <w:tcW w:w="1206" w:type="dxa"/>
            <w:hideMark/>
          </w:tcPr>
          <w:p w14:paraId="6013F81C" w14:textId="6FFDE95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80,4</w:t>
            </w:r>
          </w:p>
        </w:tc>
        <w:tc>
          <w:tcPr>
            <w:tcW w:w="1239" w:type="dxa"/>
            <w:hideMark/>
          </w:tcPr>
          <w:p w14:paraId="792226DB" w14:textId="792D1E3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12,3</w:t>
            </w:r>
          </w:p>
        </w:tc>
        <w:tc>
          <w:tcPr>
            <w:tcW w:w="1333" w:type="dxa"/>
            <w:hideMark/>
          </w:tcPr>
          <w:p w14:paraId="2E3993D9" w14:textId="4BF6BF6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367,9</w:t>
            </w:r>
          </w:p>
        </w:tc>
        <w:tc>
          <w:tcPr>
            <w:tcW w:w="833" w:type="dxa"/>
            <w:vMerge/>
            <w:hideMark/>
          </w:tcPr>
          <w:p w14:paraId="71E9C212"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16F377C8" w14:textId="77777777" w:rsidTr="00ED304F">
        <w:trPr>
          <w:trHeight w:val="122"/>
        </w:trPr>
        <w:tc>
          <w:tcPr>
            <w:cnfStyle w:val="001000000000" w:firstRow="0" w:lastRow="0" w:firstColumn="1" w:lastColumn="0" w:oddVBand="0" w:evenVBand="0" w:oddHBand="0" w:evenHBand="0" w:firstRowFirstColumn="0" w:firstRowLastColumn="0" w:lastRowFirstColumn="0" w:lastRowLastColumn="0"/>
            <w:tcW w:w="663" w:type="dxa"/>
            <w:vMerge/>
            <w:hideMark/>
          </w:tcPr>
          <w:p w14:paraId="0770E253"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10A72DF9" w14:textId="7959817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23218BDA" w14:textId="5A9F6B5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96,01%</w:t>
            </w:r>
          </w:p>
        </w:tc>
        <w:tc>
          <w:tcPr>
            <w:tcW w:w="1461" w:type="dxa"/>
            <w:vAlign w:val="center"/>
            <w:hideMark/>
          </w:tcPr>
          <w:p w14:paraId="789B5630" w14:textId="1C7A468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99,0%</w:t>
            </w:r>
          </w:p>
        </w:tc>
        <w:tc>
          <w:tcPr>
            <w:tcW w:w="1028" w:type="dxa"/>
            <w:vAlign w:val="center"/>
            <w:hideMark/>
          </w:tcPr>
          <w:p w14:paraId="7A465A22" w14:textId="1228BE7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98,6%</w:t>
            </w:r>
          </w:p>
        </w:tc>
        <w:tc>
          <w:tcPr>
            <w:tcW w:w="1206" w:type="dxa"/>
            <w:vAlign w:val="center"/>
            <w:hideMark/>
          </w:tcPr>
          <w:p w14:paraId="77FCBD5D" w14:textId="0616FB3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239" w:type="dxa"/>
            <w:vAlign w:val="center"/>
            <w:hideMark/>
          </w:tcPr>
          <w:p w14:paraId="35F99218" w14:textId="711BF34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333" w:type="dxa"/>
            <w:vAlign w:val="center"/>
            <w:hideMark/>
          </w:tcPr>
          <w:p w14:paraId="42667F8E" w14:textId="4026B6B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833" w:type="dxa"/>
            <w:vAlign w:val="center"/>
            <w:hideMark/>
          </w:tcPr>
          <w:p w14:paraId="71384672" w14:textId="103A3C0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98,9%</w:t>
            </w:r>
          </w:p>
        </w:tc>
      </w:tr>
      <w:tr w:rsidR="00ED304F" w:rsidRPr="00C1770E" w14:paraId="7C2A1B81" w14:textId="77777777" w:rsidTr="00ED304F">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04F5B7D1"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2009</w:t>
            </w:r>
          </w:p>
          <w:p w14:paraId="1546EA95" w14:textId="610B2E22"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5CA20F13" w14:textId="6A103AD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483C969C" w14:textId="298A166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153,90</w:t>
            </w:r>
          </w:p>
        </w:tc>
        <w:tc>
          <w:tcPr>
            <w:tcW w:w="1461" w:type="dxa"/>
            <w:noWrap/>
            <w:hideMark/>
          </w:tcPr>
          <w:p w14:paraId="5029278A" w14:textId="497AC8A5"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2 102,1</w:t>
            </w:r>
          </w:p>
        </w:tc>
        <w:tc>
          <w:tcPr>
            <w:tcW w:w="1028" w:type="dxa"/>
            <w:noWrap/>
            <w:hideMark/>
          </w:tcPr>
          <w:p w14:paraId="55DEB897" w14:textId="195C28B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1 390,4</w:t>
            </w:r>
          </w:p>
        </w:tc>
        <w:tc>
          <w:tcPr>
            <w:tcW w:w="1206" w:type="dxa"/>
            <w:noWrap/>
            <w:hideMark/>
          </w:tcPr>
          <w:p w14:paraId="5C5C626E" w14:textId="42715E6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243,5</w:t>
            </w:r>
          </w:p>
        </w:tc>
        <w:tc>
          <w:tcPr>
            <w:tcW w:w="1239" w:type="dxa"/>
            <w:noWrap/>
            <w:hideMark/>
          </w:tcPr>
          <w:p w14:paraId="5F38ED2D" w14:textId="0193F32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17,3</w:t>
            </w:r>
          </w:p>
        </w:tc>
        <w:tc>
          <w:tcPr>
            <w:tcW w:w="1333" w:type="dxa"/>
            <w:noWrap/>
            <w:hideMark/>
          </w:tcPr>
          <w:p w14:paraId="25EFC1AC" w14:textId="0E9ABB2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450,9</w:t>
            </w:r>
          </w:p>
        </w:tc>
        <w:tc>
          <w:tcPr>
            <w:tcW w:w="833" w:type="dxa"/>
            <w:vMerge w:val="restart"/>
            <w:noWrap/>
            <w:hideMark/>
          </w:tcPr>
          <w:p w14:paraId="79E5B3A8"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12E376DF" w14:textId="77777777" w:rsidTr="00ED304F">
        <w:trPr>
          <w:trHeight w:val="213"/>
        </w:trPr>
        <w:tc>
          <w:tcPr>
            <w:cnfStyle w:val="001000000000" w:firstRow="0" w:lastRow="0" w:firstColumn="1" w:lastColumn="0" w:oddVBand="0" w:evenVBand="0" w:oddHBand="0" w:evenHBand="0" w:firstRowFirstColumn="0" w:firstRowLastColumn="0" w:lastRowFirstColumn="0" w:lastRowLastColumn="0"/>
            <w:tcW w:w="663" w:type="dxa"/>
            <w:vMerge/>
            <w:hideMark/>
          </w:tcPr>
          <w:p w14:paraId="766E1E38"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798A3C02" w14:textId="59C8969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322D02AC" w14:textId="2814CD7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143,38</w:t>
            </w:r>
          </w:p>
        </w:tc>
        <w:tc>
          <w:tcPr>
            <w:tcW w:w="1461" w:type="dxa"/>
            <w:noWrap/>
            <w:hideMark/>
          </w:tcPr>
          <w:p w14:paraId="472D07B2" w14:textId="1293B8C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2 048,3</w:t>
            </w:r>
          </w:p>
        </w:tc>
        <w:tc>
          <w:tcPr>
            <w:tcW w:w="1028" w:type="dxa"/>
            <w:noWrap/>
            <w:hideMark/>
          </w:tcPr>
          <w:p w14:paraId="258D11F4" w14:textId="157E78B5"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1 389,1</w:t>
            </w:r>
          </w:p>
        </w:tc>
        <w:tc>
          <w:tcPr>
            <w:tcW w:w="1206" w:type="dxa"/>
            <w:noWrap/>
            <w:hideMark/>
          </w:tcPr>
          <w:p w14:paraId="2FF692C3" w14:textId="2CBFFA3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195,5</w:t>
            </w:r>
          </w:p>
        </w:tc>
        <w:tc>
          <w:tcPr>
            <w:tcW w:w="1239" w:type="dxa"/>
            <w:noWrap/>
            <w:hideMark/>
          </w:tcPr>
          <w:p w14:paraId="21690381" w14:textId="59F6A3BC"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17,3</w:t>
            </w:r>
          </w:p>
        </w:tc>
        <w:tc>
          <w:tcPr>
            <w:tcW w:w="1333" w:type="dxa"/>
            <w:noWrap/>
            <w:hideMark/>
          </w:tcPr>
          <w:p w14:paraId="54B83C56" w14:textId="661C566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446,5</w:t>
            </w:r>
          </w:p>
        </w:tc>
        <w:tc>
          <w:tcPr>
            <w:tcW w:w="833" w:type="dxa"/>
            <w:vMerge/>
            <w:hideMark/>
          </w:tcPr>
          <w:p w14:paraId="3AEF8C3B"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3DE60DB5" w14:textId="77777777" w:rsidTr="00ED304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63" w:type="dxa"/>
            <w:vMerge/>
            <w:hideMark/>
          </w:tcPr>
          <w:p w14:paraId="3B540EC5"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22C77987" w14:textId="7769F9F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4E6D7975" w14:textId="719FA24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93,16%</w:t>
            </w:r>
          </w:p>
        </w:tc>
        <w:tc>
          <w:tcPr>
            <w:tcW w:w="1461" w:type="dxa"/>
            <w:noWrap/>
            <w:vAlign w:val="center"/>
            <w:hideMark/>
          </w:tcPr>
          <w:p w14:paraId="598E0157" w14:textId="6082B0E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97,4%</w:t>
            </w:r>
          </w:p>
        </w:tc>
        <w:tc>
          <w:tcPr>
            <w:tcW w:w="1028" w:type="dxa"/>
            <w:noWrap/>
            <w:vAlign w:val="center"/>
            <w:hideMark/>
          </w:tcPr>
          <w:p w14:paraId="37D64384" w14:textId="212CD81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99,9%</w:t>
            </w:r>
          </w:p>
        </w:tc>
        <w:tc>
          <w:tcPr>
            <w:tcW w:w="1206" w:type="dxa"/>
            <w:noWrap/>
            <w:vAlign w:val="center"/>
            <w:hideMark/>
          </w:tcPr>
          <w:p w14:paraId="31E901C9" w14:textId="4BB0AAD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80,3%</w:t>
            </w:r>
          </w:p>
        </w:tc>
        <w:tc>
          <w:tcPr>
            <w:tcW w:w="1239" w:type="dxa"/>
            <w:noWrap/>
            <w:vAlign w:val="center"/>
            <w:hideMark/>
          </w:tcPr>
          <w:p w14:paraId="52F645E6" w14:textId="6CB55FA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99,8%</w:t>
            </w:r>
          </w:p>
        </w:tc>
        <w:tc>
          <w:tcPr>
            <w:tcW w:w="1333" w:type="dxa"/>
            <w:noWrap/>
            <w:vAlign w:val="center"/>
            <w:hideMark/>
          </w:tcPr>
          <w:p w14:paraId="4CE46624" w14:textId="28B027B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99,0%</w:t>
            </w:r>
          </w:p>
        </w:tc>
        <w:tc>
          <w:tcPr>
            <w:tcW w:w="833" w:type="dxa"/>
            <w:noWrap/>
            <w:vAlign w:val="center"/>
            <w:hideMark/>
          </w:tcPr>
          <w:p w14:paraId="712F47E5" w14:textId="10488E2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94,9%</w:t>
            </w:r>
          </w:p>
        </w:tc>
      </w:tr>
      <w:tr w:rsidR="00ED304F" w:rsidRPr="00C1770E" w14:paraId="2D84627B" w14:textId="77777777" w:rsidTr="00ED304F">
        <w:trPr>
          <w:trHeight w:val="135"/>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01CF8518"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2010</w:t>
            </w:r>
          </w:p>
          <w:p w14:paraId="3DA8B9C9" w14:textId="19C05026"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0CEC367B" w14:textId="0C2CBE1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2665AC38" w14:textId="506A721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138,35</w:t>
            </w:r>
          </w:p>
        </w:tc>
        <w:tc>
          <w:tcPr>
            <w:tcW w:w="1461" w:type="dxa"/>
            <w:noWrap/>
            <w:hideMark/>
          </w:tcPr>
          <w:p w14:paraId="5CF2B3B8" w14:textId="06E9F8D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2 165,4</w:t>
            </w:r>
          </w:p>
        </w:tc>
        <w:tc>
          <w:tcPr>
            <w:tcW w:w="1028" w:type="dxa"/>
            <w:noWrap/>
            <w:hideMark/>
          </w:tcPr>
          <w:p w14:paraId="65E58C08" w14:textId="57EE539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1 617,0</w:t>
            </w:r>
          </w:p>
        </w:tc>
        <w:tc>
          <w:tcPr>
            <w:tcW w:w="1206" w:type="dxa"/>
            <w:noWrap/>
            <w:hideMark/>
          </w:tcPr>
          <w:p w14:paraId="323A0837" w14:textId="4FDEF3E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158,2</w:t>
            </w:r>
          </w:p>
        </w:tc>
        <w:tc>
          <w:tcPr>
            <w:tcW w:w="1239" w:type="dxa"/>
            <w:noWrap/>
            <w:hideMark/>
          </w:tcPr>
          <w:p w14:paraId="775A02BD" w14:textId="29F2202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19,3</w:t>
            </w:r>
          </w:p>
        </w:tc>
        <w:tc>
          <w:tcPr>
            <w:tcW w:w="1333" w:type="dxa"/>
            <w:noWrap/>
            <w:hideMark/>
          </w:tcPr>
          <w:p w14:paraId="532807EB" w14:textId="67DCB95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371</w:t>
            </w:r>
          </w:p>
        </w:tc>
        <w:tc>
          <w:tcPr>
            <w:tcW w:w="833" w:type="dxa"/>
            <w:vMerge w:val="restart"/>
            <w:noWrap/>
            <w:hideMark/>
          </w:tcPr>
          <w:p w14:paraId="41C49491"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0EB5FC25" w14:textId="77777777" w:rsidTr="00ED304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663" w:type="dxa"/>
            <w:vMerge/>
            <w:hideMark/>
          </w:tcPr>
          <w:p w14:paraId="4AC2E06D"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312883F9" w14:textId="380F115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1F0C7A13" w14:textId="2E318D2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135,89</w:t>
            </w:r>
          </w:p>
        </w:tc>
        <w:tc>
          <w:tcPr>
            <w:tcW w:w="1461" w:type="dxa"/>
            <w:noWrap/>
            <w:hideMark/>
          </w:tcPr>
          <w:p w14:paraId="7A5BC125" w14:textId="4E368A5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2 124,0</w:t>
            </w:r>
          </w:p>
        </w:tc>
        <w:tc>
          <w:tcPr>
            <w:tcW w:w="1028" w:type="dxa"/>
            <w:noWrap/>
            <w:hideMark/>
          </w:tcPr>
          <w:p w14:paraId="2D0D928B" w14:textId="01F3D15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1 616,2</w:t>
            </w:r>
          </w:p>
        </w:tc>
        <w:tc>
          <w:tcPr>
            <w:tcW w:w="1206" w:type="dxa"/>
            <w:noWrap/>
            <w:hideMark/>
          </w:tcPr>
          <w:p w14:paraId="7CBB99C3" w14:textId="6E31509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1 26,5</w:t>
            </w:r>
          </w:p>
        </w:tc>
        <w:tc>
          <w:tcPr>
            <w:tcW w:w="1239" w:type="dxa"/>
            <w:noWrap/>
            <w:hideMark/>
          </w:tcPr>
          <w:p w14:paraId="4406C1AE" w14:textId="325F431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19,1</w:t>
            </w:r>
          </w:p>
        </w:tc>
        <w:tc>
          <w:tcPr>
            <w:tcW w:w="1333" w:type="dxa"/>
            <w:noWrap/>
            <w:hideMark/>
          </w:tcPr>
          <w:p w14:paraId="52410328" w14:textId="236BC59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362,2</w:t>
            </w:r>
          </w:p>
        </w:tc>
        <w:tc>
          <w:tcPr>
            <w:tcW w:w="833" w:type="dxa"/>
            <w:vMerge/>
            <w:hideMark/>
          </w:tcPr>
          <w:p w14:paraId="2322F24B"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6C7DF558" w14:textId="77777777" w:rsidTr="00ED304F">
        <w:trPr>
          <w:trHeight w:val="228"/>
        </w:trPr>
        <w:tc>
          <w:tcPr>
            <w:cnfStyle w:val="001000000000" w:firstRow="0" w:lastRow="0" w:firstColumn="1" w:lastColumn="0" w:oddVBand="0" w:evenVBand="0" w:oddHBand="0" w:evenHBand="0" w:firstRowFirstColumn="0" w:firstRowLastColumn="0" w:lastRowFirstColumn="0" w:lastRowLastColumn="0"/>
            <w:tcW w:w="663" w:type="dxa"/>
            <w:vMerge/>
            <w:hideMark/>
          </w:tcPr>
          <w:p w14:paraId="7696C332"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10CB585E" w14:textId="30B54C2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5B41A297" w14:textId="4A9C945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98,22%</w:t>
            </w:r>
          </w:p>
        </w:tc>
        <w:tc>
          <w:tcPr>
            <w:tcW w:w="1461" w:type="dxa"/>
            <w:noWrap/>
            <w:vAlign w:val="center"/>
            <w:hideMark/>
          </w:tcPr>
          <w:p w14:paraId="6409C3B8" w14:textId="747325F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98,1%</w:t>
            </w:r>
          </w:p>
        </w:tc>
        <w:tc>
          <w:tcPr>
            <w:tcW w:w="1028" w:type="dxa"/>
            <w:noWrap/>
            <w:vAlign w:val="center"/>
            <w:hideMark/>
          </w:tcPr>
          <w:p w14:paraId="65A6652C" w14:textId="544A19C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206" w:type="dxa"/>
            <w:noWrap/>
            <w:vAlign w:val="center"/>
            <w:hideMark/>
          </w:tcPr>
          <w:p w14:paraId="3B844870" w14:textId="6C43D19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79,9%</w:t>
            </w:r>
          </w:p>
        </w:tc>
        <w:tc>
          <w:tcPr>
            <w:tcW w:w="1239" w:type="dxa"/>
            <w:noWrap/>
            <w:vAlign w:val="center"/>
            <w:hideMark/>
          </w:tcPr>
          <w:p w14:paraId="5CDBC967" w14:textId="3C8AAB3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99,1%</w:t>
            </w:r>
          </w:p>
        </w:tc>
        <w:tc>
          <w:tcPr>
            <w:tcW w:w="1333" w:type="dxa"/>
            <w:noWrap/>
            <w:vAlign w:val="center"/>
            <w:hideMark/>
          </w:tcPr>
          <w:p w14:paraId="76CA50A7" w14:textId="1AFE649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97,6%</w:t>
            </w:r>
          </w:p>
        </w:tc>
        <w:tc>
          <w:tcPr>
            <w:tcW w:w="833" w:type="dxa"/>
            <w:noWrap/>
            <w:vAlign w:val="center"/>
            <w:hideMark/>
          </w:tcPr>
          <w:p w14:paraId="4A850782" w14:textId="5CD924B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95,5%</w:t>
            </w:r>
          </w:p>
        </w:tc>
      </w:tr>
      <w:tr w:rsidR="00ED304F" w:rsidRPr="00C1770E" w14:paraId="3FB0DD35" w14:textId="77777777" w:rsidTr="00ED30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3DFEC7C1"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2011</w:t>
            </w:r>
          </w:p>
          <w:p w14:paraId="373A191F" w14:textId="6E9DFCF9"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4AE28052" w14:textId="6BEB3B6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367F48DC" w14:textId="55DE653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141,04</w:t>
            </w:r>
          </w:p>
        </w:tc>
        <w:tc>
          <w:tcPr>
            <w:tcW w:w="1461" w:type="dxa"/>
            <w:noWrap/>
            <w:hideMark/>
          </w:tcPr>
          <w:p w14:paraId="6E619D42" w14:textId="7982EF3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2 020,1</w:t>
            </w:r>
          </w:p>
        </w:tc>
        <w:tc>
          <w:tcPr>
            <w:tcW w:w="1028" w:type="dxa"/>
            <w:noWrap/>
            <w:hideMark/>
          </w:tcPr>
          <w:p w14:paraId="31DAD427" w14:textId="670CFDF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1 543,0</w:t>
            </w:r>
          </w:p>
        </w:tc>
        <w:tc>
          <w:tcPr>
            <w:tcW w:w="1206" w:type="dxa"/>
            <w:noWrap/>
            <w:hideMark/>
          </w:tcPr>
          <w:p w14:paraId="3309BAA7" w14:textId="486E349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124</w:t>
            </w:r>
          </w:p>
        </w:tc>
        <w:tc>
          <w:tcPr>
            <w:tcW w:w="1239" w:type="dxa"/>
            <w:noWrap/>
            <w:hideMark/>
          </w:tcPr>
          <w:p w14:paraId="174A7462" w14:textId="3C12A965"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17</w:t>
            </w:r>
          </w:p>
        </w:tc>
        <w:tc>
          <w:tcPr>
            <w:tcW w:w="1333" w:type="dxa"/>
            <w:noWrap/>
            <w:hideMark/>
          </w:tcPr>
          <w:p w14:paraId="1E5F93AB" w14:textId="2624D8C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336,1</w:t>
            </w:r>
          </w:p>
        </w:tc>
        <w:tc>
          <w:tcPr>
            <w:tcW w:w="833" w:type="dxa"/>
            <w:vMerge w:val="restart"/>
            <w:noWrap/>
            <w:hideMark/>
          </w:tcPr>
          <w:p w14:paraId="53B0C636"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7D973322" w14:textId="77777777" w:rsidTr="00ED304F">
        <w:trPr>
          <w:trHeight w:val="150"/>
        </w:trPr>
        <w:tc>
          <w:tcPr>
            <w:cnfStyle w:val="001000000000" w:firstRow="0" w:lastRow="0" w:firstColumn="1" w:lastColumn="0" w:oddVBand="0" w:evenVBand="0" w:oddHBand="0" w:evenHBand="0" w:firstRowFirstColumn="0" w:firstRowLastColumn="0" w:lastRowFirstColumn="0" w:lastRowLastColumn="0"/>
            <w:tcW w:w="663" w:type="dxa"/>
            <w:vMerge/>
            <w:hideMark/>
          </w:tcPr>
          <w:p w14:paraId="7F23210D"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01B7F805" w14:textId="6C322B1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40ECB8A9" w14:textId="77DB87D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156,06</w:t>
            </w:r>
          </w:p>
        </w:tc>
        <w:tc>
          <w:tcPr>
            <w:tcW w:w="1461" w:type="dxa"/>
            <w:noWrap/>
            <w:hideMark/>
          </w:tcPr>
          <w:p w14:paraId="09B29AE2" w14:textId="4555223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1 940,4</w:t>
            </w:r>
          </w:p>
        </w:tc>
        <w:tc>
          <w:tcPr>
            <w:tcW w:w="1028" w:type="dxa"/>
            <w:noWrap/>
            <w:hideMark/>
          </w:tcPr>
          <w:p w14:paraId="23EC7306" w14:textId="3DE8F7A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1 555,0</w:t>
            </w:r>
          </w:p>
        </w:tc>
        <w:tc>
          <w:tcPr>
            <w:tcW w:w="1206" w:type="dxa"/>
            <w:noWrap/>
            <w:hideMark/>
          </w:tcPr>
          <w:p w14:paraId="41056A03" w14:textId="0B9B55C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62,3</w:t>
            </w:r>
          </w:p>
        </w:tc>
        <w:tc>
          <w:tcPr>
            <w:tcW w:w="1239" w:type="dxa"/>
            <w:noWrap/>
            <w:hideMark/>
          </w:tcPr>
          <w:p w14:paraId="07C0D291" w14:textId="7BB8CBC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20,8</w:t>
            </w:r>
          </w:p>
        </w:tc>
        <w:tc>
          <w:tcPr>
            <w:tcW w:w="1333" w:type="dxa"/>
            <w:noWrap/>
            <w:hideMark/>
          </w:tcPr>
          <w:p w14:paraId="0B5ABBD4" w14:textId="5610C91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302,3</w:t>
            </w:r>
          </w:p>
        </w:tc>
        <w:tc>
          <w:tcPr>
            <w:tcW w:w="833" w:type="dxa"/>
            <w:vMerge/>
            <w:hideMark/>
          </w:tcPr>
          <w:p w14:paraId="32E45B81"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3D840E9C" w14:textId="77777777" w:rsidTr="00ED304F">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663" w:type="dxa"/>
            <w:vMerge/>
            <w:hideMark/>
          </w:tcPr>
          <w:p w14:paraId="2C91A64D"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6AA590B1" w14:textId="56572D0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2614DA77" w14:textId="386E086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110,64%</w:t>
            </w:r>
          </w:p>
        </w:tc>
        <w:tc>
          <w:tcPr>
            <w:tcW w:w="1461" w:type="dxa"/>
            <w:noWrap/>
            <w:vAlign w:val="center"/>
            <w:hideMark/>
          </w:tcPr>
          <w:p w14:paraId="6CACC365" w14:textId="2A60A66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96,1%</w:t>
            </w:r>
          </w:p>
        </w:tc>
        <w:tc>
          <w:tcPr>
            <w:tcW w:w="1028" w:type="dxa"/>
            <w:noWrap/>
            <w:vAlign w:val="center"/>
            <w:hideMark/>
          </w:tcPr>
          <w:p w14:paraId="3AD0E584" w14:textId="2583440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100,8%</w:t>
            </w:r>
          </w:p>
        </w:tc>
        <w:tc>
          <w:tcPr>
            <w:tcW w:w="1206" w:type="dxa"/>
            <w:noWrap/>
            <w:vAlign w:val="center"/>
            <w:hideMark/>
          </w:tcPr>
          <w:p w14:paraId="7B01BB1D" w14:textId="1DE5D5D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50,2%</w:t>
            </w:r>
          </w:p>
        </w:tc>
        <w:tc>
          <w:tcPr>
            <w:tcW w:w="1239" w:type="dxa"/>
            <w:noWrap/>
            <w:vAlign w:val="center"/>
            <w:hideMark/>
          </w:tcPr>
          <w:p w14:paraId="0C74304A" w14:textId="43549FD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122,2%</w:t>
            </w:r>
          </w:p>
        </w:tc>
        <w:tc>
          <w:tcPr>
            <w:tcW w:w="1333" w:type="dxa"/>
            <w:noWrap/>
            <w:vAlign w:val="center"/>
            <w:hideMark/>
          </w:tcPr>
          <w:p w14:paraId="606D37F6" w14:textId="11D5FE4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89,9%</w:t>
            </w:r>
          </w:p>
        </w:tc>
        <w:tc>
          <w:tcPr>
            <w:tcW w:w="833" w:type="dxa"/>
            <w:noWrap/>
            <w:vAlign w:val="center"/>
            <w:hideMark/>
          </w:tcPr>
          <w:p w14:paraId="5908B13B" w14:textId="022FEFE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95,0%</w:t>
            </w:r>
          </w:p>
        </w:tc>
      </w:tr>
      <w:tr w:rsidR="00ED304F" w:rsidRPr="00C1770E" w14:paraId="457F9663" w14:textId="77777777" w:rsidTr="00ED304F">
        <w:trPr>
          <w:trHeight w:val="228"/>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4068B6B6"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2012</w:t>
            </w:r>
          </w:p>
          <w:p w14:paraId="0E3138E9" w14:textId="108E5BE9"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11610C01" w14:textId="39262D4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72163D03" w14:textId="27773A0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158,03</w:t>
            </w:r>
          </w:p>
        </w:tc>
        <w:tc>
          <w:tcPr>
            <w:tcW w:w="1461" w:type="dxa"/>
            <w:noWrap/>
            <w:hideMark/>
          </w:tcPr>
          <w:p w14:paraId="53162F2B" w14:textId="51E6F53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1 972,5</w:t>
            </w:r>
          </w:p>
        </w:tc>
        <w:tc>
          <w:tcPr>
            <w:tcW w:w="1028" w:type="dxa"/>
            <w:noWrap/>
            <w:hideMark/>
          </w:tcPr>
          <w:p w14:paraId="151C764A" w14:textId="494498C5"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1 569,1</w:t>
            </w:r>
          </w:p>
        </w:tc>
        <w:tc>
          <w:tcPr>
            <w:tcW w:w="1206" w:type="dxa"/>
            <w:noWrap/>
            <w:hideMark/>
          </w:tcPr>
          <w:p w14:paraId="7FF2BD69" w14:textId="5771B9A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68,4</w:t>
            </w:r>
          </w:p>
        </w:tc>
        <w:tc>
          <w:tcPr>
            <w:tcW w:w="1239" w:type="dxa"/>
            <w:noWrap/>
            <w:hideMark/>
          </w:tcPr>
          <w:p w14:paraId="1E595EC1" w14:textId="45AFBE6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21,6</w:t>
            </w:r>
          </w:p>
        </w:tc>
        <w:tc>
          <w:tcPr>
            <w:tcW w:w="1333" w:type="dxa"/>
            <w:noWrap/>
            <w:hideMark/>
          </w:tcPr>
          <w:p w14:paraId="6594E475" w14:textId="78B345EC"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313,4</w:t>
            </w:r>
          </w:p>
        </w:tc>
        <w:tc>
          <w:tcPr>
            <w:tcW w:w="833" w:type="dxa"/>
            <w:vMerge w:val="restart"/>
            <w:noWrap/>
            <w:hideMark/>
          </w:tcPr>
          <w:p w14:paraId="1C0D4E3F"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6DE005E3" w14:textId="77777777" w:rsidTr="00ED304F">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663" w:type="dxa"/>
            <w:vMerge/>
            <w:hideMark/>
          </w:tcPr>
          <w:p w14:paraId="4AB92317"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3B83FC01" w14:textId="182A4F3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70075581" w14:textId="7276ED0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160,38</w:t>
            </w:r>
          </w:p>
        </w:tc>
        <w:tc>
          <w:tcPr>
            <w:tcW w:w="1461" w:type="dxa"/>
            <w:noWrap/>
            <w:hideMark/>
          </w:tcPr>
          <w:p w14:paraId="51677340" w14:textId="1A9A72B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1 972,4</w:t>
            </w:r>
          </w:p>
        </w:tc>
        <w:tc>
          <w:tcPr>
            <w:tcW w:w="1028" w:type="dxa"/>
            <w:noWrap/>
            <w:hideMark/>
          </w:tcPr>
          <w:p w14:paraId="08BD43A2" w14:textId="7E49681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1 600,2</w:t>
            </w:r>
          </w:p>
        </w:tc>
        <w:tc>
          <w:tcPr>
            <w:tcW w:w="1206" w:type="dxa"/>
            <w:noWrap/>
            <w:hideMark/>
          </w:tcPr>
          <w:p w14:paraId="5FD8481C" w14:textId="648081B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58,2</w:t>
            </w:r>
          </w:p>
        </w:tc>
        <w:tc>
          <w:tcPr>
            <w:tcW w:w="1239" w:type="dxa"/>
            <w:noWrap/>
            <w:hideMark/>
          </w:tcPr>
          <w:p w14:paraId="07534519" w14:textId="1F40485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22,1</w:t>
            </w:r>
          </w:p>
        </w:tc>
        <w:tc>
          <w:tcPr>
            <w:tcW w:w="1333" w:type="dxa"/>
            <w:noWrap/>
            <w:hideMark/>
          </w:tcPr>
          <w:p w14:paraId="208E8B47" w14:textId="7689485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291,9</w:t>
            </w:r>
          </w:p>
        </w:tc>
        <w:tc>
          <w:tcPr>
            <w:tcW w:w="833" w:type="dxa"/>
            <w:vMerge/>
            <w:hideMark/>
          </w:tcPr>
          <w:p w14:paraId="1781E94E"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7B41A89E" w14:textId="77777777" w:rsidTr="00ED304F">
        <w:trPr>
          <w:trHeight w:val="178"/>
        </w:trPr>
        <w:tc>
          <w:tcPr>
            <w:cnfStyle w:val="001000000000" w:firstRow="0" w:lastRow="0" w:firstColumn="1" w:lastColumn="0" w:oddVBand="0" w:evenVBand="0" w:oddHBand="0" w:evenHBand="0" w:firstRowFirstColumn="0" w:firstRowLastColumn="0" w:lastRowFirstColumn="0" w:lastRowLastColumn="0"/>
            <w:tcW w:w="663" w:type="dxa"/>
            <w:vMerge/>
            <w:hideMark/>
          </w:tcPr>
          <w:p w14:paraId="464ECA47"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57B2E686" w14:textId="4D99170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0B652DB8" w14:textId="2D72095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101,48%</w:t>
            </w:r>
          </w:p>
        </w:tc>
        <w:tc>
          <w:tcPr>
            <w:tcW w:w="1461" w:type="dxa"/>
            <w:noWrap/>
            <w:vAlign w:val="center"/>
            <w:hideMark/>
          </w:tcPr>
          <w:p w14:paraId="05428FA1" w14:textId="121426CC"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028" w:type="dxa"/>
            <w:noWrap/>
            <w:vAlign w:val="center"/>
            <w:hideMark/>
          </w:tcPr>
          <w:p w14:paraId="658CCB02" w14:textId="559F692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102,0%</w:t>
            </w:r>
          </w:p>
        </w:tc>
        <w:tc>
          <w:tcPr>
            <w:tcW w:w="1206" w:type="dxa"/>
            <w:noWrap/>
            <w:vAlign w:val="center"/>
            <w:hideMark/>
          </w:tcPr>
          <w:p w14:paraId="6554FC6B" w14:textId="5CA39F6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85,0%</w:t>
            </w:r>
          </w:p>
        </w:tc>
        <w:tc>
          <w:tcPr>
            <w:tcW w:w="1239" w:type="dxa"/>
            <w:noWrap/>
            <w:vAlign w:val="center"/>
            <w:hideMark/>
          </w:tcPr>
          <w:p w14:paraId="086475E8" w14:textId="78242F7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102,3%</w:t>
            </w:r>
          </w:p>
        </w:tc>
        <w:tc>
          <w:tcPr>
            <w:tcW w:w="1333" w:type="dxa"/>
            <w:noWrap/>
            <w:vAlign w:val="center"/>
            <w:hideMark/>
          </w:tcPr>
          <w:p w14:paraId="110C0160" w14:textId="1F989ADF"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93,2%</w:t>
            </w:r>
          </w:p>
        </w:tc>
        <w:tc>
          <w:tcPr>
            <w:tcW w:w="833" w:type="dxa"/>
            <w:noWrap/>
            <w:vAlign w:val="center"/>
            <w:hideMark/>
          </w:tcPr>
          <w:p w14:paraId="149D8D47" w14:textId="346F5F35"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97,3%</w:t>
            </w:r>
          </w:p>
        </w:tc>
      </w:tr>
      <w:tr w:rsidR="00ED304F" w:rsidRPr="00C1770E" w14:paraId="706887AF" w14:textId="77777777" w:rsidTr="00ED304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51F1E706"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2013</w:t>
            </w:r>
          </w:p>
          <w:p w14:paraId="20EEAEB6" w14:textId="6D54313D"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7FB13296" w14:textId="58415AD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2B2C79F0" w14:textId="4167FF8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177,80</w:t>
            </w:r>
          </w:p>
        </w:tc>
        <w:tc>
          <w:tcPr>
            <w:tcW w:w="1461" w:type="dxa"/>
            <w:noWrap/>
            <w:hideMark/>
          </w:tcPr>
          <w:p w14:paraId="4BEEA6B8" w14:textId="643090A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2 005,5</w:t>
            </w:r>
          </w:p>
        </w:tc>
        <w:tc>
          <w:tcPr>
            <w:tcW w:w="1028" w:type="dxa"/>
            <w:noWrap/>
            <w:hideMark/>
          </w:tcPr>
          <w:p w14:paraId="1D7EAEFF" w14:textId="1FF4F22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1 604,3</w:t>
            </w:r>
          </w:p>
        </w:tc>
        <w:tc>
          <w:tcPr>
            <w:tcW w:w="1206" w:type="dxa"/>
            <w:noWrap/>
            <w:hideMark/>
          </w:tcPr>
          <w:p w14:paraId="200C316C" w14:textId="50185E2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66,9</w:t>
            </w:r>
          </w:p>
        </w:tc>
        <w:tc>
          <w:tcPr>
            <w:tcW w:w="1239" w:type="dxa"/>
            <w:noWrap/>
            <w:hideMark/>
          </w:tcPr>
          <w:p w14:paraId="0ED0CC56" w14:textId="456AB08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23,3</w:t>
            </w:r>
          </w:p>
        </w:tc>
        <w:tc>
          <w:tcPr>
            <w:tcW w:w="1333" w:type="dxa"/>
            <w:noWrap/>
            <w:hideMark/>
          </w:tcPr>
          <w:p w14:paraId="7B3BB962" w14:textId="0F81458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310,9</w:t>
            </w:r>
          </w:p>
        </w:tc>
        <w:tc>
          <w:tcPr>
            <w:tcW w:w="833" w:type="dxa"/>
            <w:vMerge w:val="restart"/>
            <w:noWrap/>
            <w:hideMark/>
          </w:tcPr>
          <w:p w14:paraId="3D43E302"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5CA17E90" w14:textId="77777777" w:rsidTr="00ED304F">
        <w:trPr>
          <w:trHeight w:val="128"/>
        </w:trPr>
        <w:tc>
          <w:tcPr>
            <w:cnfStyle w:val="001000000000" w:firstRow="0" w:lastRow="0" w:firstColumn="1" w:lastColumn="0" w:oddVBand="0" w:evenVBand="0" w:oddHBand="0" w:evenHBand="0" w:firstRowFirstColumn="0" w:firstRowLastColumn="0" w:lastRowFirstColumn="0" w:lastRowLastColumn="0"/>
            <w:tcW w:w="663" w:type="dxa"/>
            <w:vMerge/>
            <w:hideMark/>
          </w:tcPr>
          <w:p w14:paraId="752A3B1C"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702A88CC" w14:textId="3F6D82D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38A05F4D" w14:textId="4DC58425"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183,04</w:t>
            </w:r>
          </w:p>
        </w:tc>
        <w:tc>
          <w:tcPr>
            <w:tcW w:w="1461" w:type="dxa"/>
            <w:noWrap/>
            <w:hideMark/>
          </w:tcPr>
          <w:p w14:paraId="2ACEDC0B" w14:textId="114F7A6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2 071,6</w:t>
            </w:r>
          </w:p>
        </w:tc>
        <w:tc>
          <w:tcPr>
            <w:tcW w:w="1028" w:type="dxa"/>
            <w:noWrap/>
            <w:hideMark/>
          </w:tcPr>
          <w:p w14:paraId="5CDC550E" w14:textId="546635C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1 647,2</w:t>
            </w:r>
          </w:p>
        </w:tc>
        <w:tc>
          <w:tcPr>
            <w:tcW w:w="1206" w:type="dxa"/>
            <w:noWrap/>
            <w:hideMark/>
          </w:tcPr>
          <w:p w14:paraId="0BB7E9BC" w14:textId="3630134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74,3</w:t>
            </w:r>
          </w:p>
        </w:tc>
        <w:tc>
          <w:tcPr>
            <w:tcW w:w="1239" w:type="dxa"/>
            <w:noWrap/>
            <w:hideMark/>
          </w:tcPr>
          <w:p w14:paraId="298E7723" w14:textId="25B6AFE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24,6</w:t>
            </w:r>
          </w:p>
        </w:tc>
        <w:tc>
          <w:tcPr>
            <w:tcW w:w="1333" w:type="dxa"/>
            <w:noWrap/>
            <w:hideMark/>
          </w:tcPr>
          <w:p w14:paraId="597D4923" w14:textId="7B739D7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325,5</w:t>
            </w:r>
          </w:p>
        </w:tc>
        <w:tc>
          <w:tcPr>
            <w:tcW w:w="833" w:type="dxa"/>
            <w:vMerge/>
            <w:hideMark/>
          </w:tcPr>
          <w:p w14:paraId="366BB23C"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2A4CF9FA" w14:textId="77777777" w:rsidTr="00ED304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663" w:type="dxa"/>
            <w:vMerge/>
            <w:hideMark/>
          </w:tcPr>
          <w:p w14:paraId="3A814131"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0BAEB757" w14:textId="173F0B3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4B71D1A5" w14:textId="0B3B861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102,94%</w:t>
            </w:r>
          </w:p>
        </w:tc>
        <w:tc>
          <w:tcPr>
            <w:tcW w:w="1461" w:type="dxa"/>
            <w:noWrap/>
            <w:vAlign w:val="center"/>
            <w:hideMark/>
          </w:tcPr>
          <w:p w14:paraId="48BC4378" w14:textId="46EFE0F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103,3%</w:t>
            </w:r>
          </w:p>
        </w:tc>
        <w:tc>
          <w:tcPr>
            <w:tcW w:w="1028" w:type="dxa"/>
            <w:noWrap/>
            <w:vAlign w:val="center"/>
            <w:hideMark/>
          </w:tcPr>
          <w:p w14:paraId="79753BA4" w14:textId="79BA816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102,7%</w:t>
            </w:r>
          </w:p>
        </w:tc>
        <w:tc>
          <w:tcPr>
            <w:tcW w:w="1206" w:type="dxa"/>
            <w:noWrap/>
            <w:vAlign w:val="center"/>
            <w:hideMark/>
          </w:tcPr>
          <w:p w14:paraId="217DF5BF" w14:textId="279DE93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111,0%</w:t>
            </w:r>
          </w:p>
        </w:tc>
        <w:tc>
          <w:tcPr>
            <w:tcW w:w="1239" w:type="dxa"/>
            <w:noWrap/>
            <w:vAlign w:val="center"/>
            <w:hideMark/>
          </w:tcPr>
          <w:p w14:paraId="78495AE7" w14:textId="2D5A30F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105,2%</w:t>
            </w:r>
          </w:p>
        </w:tc>
        <w:tc>
          <w:tcPr>
            <w:tcW w:w="1333" w:type="dxa"/>
            <w:noWrap/>
            <w:vAlign w:val="center"/>
            <w:hideMark/>
          </w:tcPr>
          <w:p w14:paraId="31314ACD" w14:textId="7B7AA0C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104,7%</w:t>
            </w:r>
          </w:p>
        </w:tc>
        <w:tc>
          <w:tcPr>
            <w:tcW w:w="833" w:type="dxa"/>
            <w:noWrap/>
            <w:vAlign w:val="center"/>
            <w:hideMark/>
          </w:tcPr>
          <w:p w14:paraId="4B0F701E" w14:textId="31D431C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105,0%</w:t>
            </w:r>
          </w:p>
        </w:tc>
      </w:tr>
      <w:tr w:rsidR="00ED304F" w:rsidRPr="00C1770E" w14:paraId="7DA67774" w14:textId="77777777" w:rsidTr="00ED304F">
        <w:trPr>
          <w:trHeight w:val="205"/>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40B4635D"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2014</w:t>
            </w:r>
          </w:p>
          <w:p w14:paraId="661EC5CF" w14:textId="4EA23ABE"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459775CF" w14:textId="6BE339D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3DB21150" w14:textId="1F1C3AD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204,29</w:t>
            </w:r>
          </w:p>
        </w:tc>
        <w:tc>
          <w:tcPr>
            <w:tcW w:w="1461" w:type="dxa"/>
            <w:noWrap/>
            <w:hideMark/>
          </w:tcPr>
          <w:p w14:paraId="5E8F5758" w14:textId="1B2BECE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2 051,5</w:t>
            </w:r>
          </w:p>
        </w:tc>
        <w:tc>
          <w:tcPr>
            <w:tcW w:w="1028" w:type="dxa"/>
            <w:noWrap/>
            <w:hideMark/>
          </w:tcPr>
          <w:p w14:paraId="3C16C04F" w14:textId="34A0854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1 632,6</w:t>
            </w:r>
          </w:p>
        </w:tc>
        <w:tc>
          <w:tcPr>
            <w:tcW w:w="1206" w:type="dxa"/>
            <w:noWrap/>
            <w:hideMark/>
          </w:tcPr>
          <w:p w14:paraId="4FDC5B68" w14:textId="608B470C"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71,4</w:t>
            </w:r>
          </w:p>
        </w:tc>
        <w:tc>
          <w:tcPr>
            <w:tcW w:w="1239" w:type="dxa"/>
            <w:noWrap/>
            <w:hideMark/>
          </w:tcPr>
          <w:p w14:paraId="53AB9446" w14:textId="36BC389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24,7</w:t>
            </w:r>
          </w:p>
        </w:tc>
        <w:tc>
          <w:tcPr>
            <w:tcW w:w="1333" w:type="dxa"/>
            <w:noWrap/>
            <w:hideMark/>
          </w:tcPr>
          <w:p w14:paraId="7864260E" w14:textId="790EFA3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322,9</w:t>
            </w:r>
          </w:p>
        </w:tc>
        <w:tc>
          <w:tcPr>
            <w:tcW w:w="833" w:type="dxa"/>
            <w:vMerge w:val="restart"/>
            <w:noWrap/>
            <w:hideMark/>
          </w:tcPr>
          <w:p w14:paraId="3514E51E"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1BCC03F7" w14:textId="77777777" w:rsidTr="00ED304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63" w:type="dxa"/>
            <w:vMerge/>
            <w:hideMark/>
          </w:tcPr>
          <w:p w14:paraId="764188E2"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4B2D4E19" w14:textId="4651A19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381F148F" w14:textId="2F662DE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203,27</w:t>
            </w:r>
          </w:p>
        </w:tc>
        <w:tc>
          <w:tcPr>
            <w:tcW w:w="1461" w:type="dxa"/>
            <w:noWrap/>
            <w:hideMark/>
          </w:tcPr>
          <w:p w14:paraId="2419E2A3" w14:textId="41A8677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2 099,1</w:t>
            </w:r>
          </w:p>
        </w:tc>
        <w:tc>
          <w:tcPr>
            <w:tcW w:w="1028" w:type="dxa"/>
            <w:noWrap/>
            <w:hideMark/>
          </w:tcPr>
          <w:p w14:paraId="10183A9E" w14:textId="4A23241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1 645,4</w:t>
            </w:r>
          </w:p>
        </w:tc>
        <w:tc>
          <w:tcPr>
            <w:tcW w:w="1206" w:type="dxa"/>
            <w:noWrap/>
            <w:hideMark/>
          </w:tcPr>
          <w:p w14:paraId="0C8D8A1B" w14:textId="4529D31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85,3</w:t>
            </w:r>
          </w:p>
        </w:tc>
        <w:tc>
          <w:tcPr>
            <w:tcW w:w="1239" w:type="dxa"/>
            <w:noWrap/>
            <w:hideMark/>
          </w:tcPr>
          <w:p w14:paraId="2CF7E4F5" w14:textId="6516A3F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26,6</w:t>
            </w:r>
          </w:p>
        </w:tc>
        <w:tc>
          <w:tcPr>
            <w:tcW w:w="1333" w:type="dxa"/>
            <w:noWrap/>
            <w:hideMark/>
          </w:tcPr>
          <w:p w14:paraId="3D1758DB" w14:textId="7A7D29F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341,7</w:t>
            </w:r>
          </w:p>
        </w:tc>
        <w:tc>
          <w:tcPr>
            <w:tcW w:w="833" w:type="dxa"/>
            <w:vMerge/>
            <w:hideMark/>
          </w:tcPr>
          <w:p w14:paraId="43B898D5"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38D4DBF6" w14:textId="77777777" w:rsidTr="00ED304F">
        <w:trPr>
          <w:trHeight w:val="155"/>
        </w:trPr>
        <w:tc>
          <w:tcPr>
            <w:cnfStyle w:val="001000000000" w:firstRow="0" w:lastRow="0" w:firstColumn="1" w:lastColumn="0" w:oddVBand="0" w:evenVBand="0" w:oddHBand="0" w:evenHBand="0" w:firstRowFirstColumn="0" w:firstRowLastColumn="0" w:lastRowFirstColumn="0" w:lastRowLastColumn="0"/>
            <w:tcW w:w="663" w:type="dxa"/>
            <w:vMerge/>
            <w:hideMark/>
          </w:tcPr>
          <w:p w14:paraId="7CC0D35F"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0C79F001" w14:textId="315E50C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78FDB0F4" w14:textId="3660C8E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99,50%</w:t>
            </w:r>
          </w:p>
        </w:tc>
        <w:tc>
          <w:tcPr>
            <w:tcW w:w="1461" w:type="dxa"/>
            <w:noWrap/>
            <w:vAlign w:val="center"/>
            <w:hideMark/>
          </w:tcPr>
          <w:p w14:paraId="3CF92005" w14:textId="1F47C84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102,3%</w:t>
            </w:r>
          </w:p>
        </w:tc>
        <w:tc>
          <w:tcPr>
            <w:tcW w:w="1028" w:type="dxa"/>
            <w:noWrap/>
            <w:vAlign w:val="center"/>
            <w:hideMark/>
          </w:tcPr>
          <w:p w14:paraId="3C4E287F" w14:textId="38A9623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100,8%</w:t>
            </w:r>
          </w:p>
        </w:tc>
        <w:tc>
          <w:tcPr>
            <w:tcW w:w="1206" w:type="dxa"/>
            <w:noWrap/>
            <w:vAlign w:val="center"/>
            <w:hideMark/>
          </w:tcPr>
          <w:p w14:paraId="1D747152" w14:textId="3200C56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119,6%</w:t>
            </w:r>
          </w:p>
        </w:tc>
        <w:tc>
          <w:tcPr>
            <w:tcW w:w="1239" w:type="dxa"/>
            <w:noWrap/>
            <w:vAlign w:val="center"/>
            <w:hideMark/>
          </w:tcPr>
          <w:p w14:paraId="172C20D2" w14:textId="7A6C378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107,9%</w:t>
            </w:r>
          </w:p>
        </w:tc>
        <w:tc>
          <w:tcPr>
            <w:tcW w:w="1333" w:type="dxa"/>
            <w:noWrap/>
            <w:vAlign w:val="center"/>
            <w:hideMark/>
          </w:tcPr>
          <w:p w14:paraId="12F3DD73" w14:textId="7D249A6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105,8%</w:t>
            </w:r>
          </w:p>
        </w:tc>
        <w:tc>
          <w:tcPr>
            <w:tcW w:w="833" w:type="dxa"/>
            <w:noWrap/>
            <w:vAlign w:val="center"/>
            <w:hideMark/>
          </w:tcPr>
          <w:p w14:paraId="3083515B" w14:textId="47371F31"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106,0%</w:t>
            </w:r>
          </w:p>
        </w:tc>
      </w:tr>
      <w:tr w:rsidR="00ED304F" w:rsidRPr="00C1770E" w14:paraId="014560ED" w14:textId="77777777" w:rsidTr="00ED304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63" w:type="dxa"/>
            <w:vMerge w:val="restart"/>
            <w:noWrap/>
            <w:hideMark/>
          </w:tcPr>
          <w:p w14:paraId="209C6098"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2015</w:t>
            </w:r>
          </w:p>
          <w:p w14:paraId="59074648" w14:textId="704BA240"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072010CD" w14:textId="2D2DD78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6DD69C71" w14:textId="0CE9D82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268,20</w:t>
            </w:r>
          </w:p>
        </w:tc>
        <w:tc>
          <w:tcPr>
            <w:tcW w:w="1461" w:type="dxa"/>
            <w:noWrap/>
            <w:hideMark/>
          </w:tcPr>
          <w:p w14:paraId="74313760" w14:textId="70BC2C6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2 123,4</w:t>
            </w:r>
          </w:p>
        </w:tc>
        <w:tc>
          <w:tcPr>
            <w:tcW w:w="1028" w:type="dxa"/>
            <w:noWrap/>
            <w:hideMark/>
          </w:tcPr>
          <w:p w14:paraId="1F2652D7" w14:textId="1FF4A9B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1 641,8</w:t>
            </w:r>
          </w:p>
        </w:tc>
        <w:tc>
          <w:tcPr>
            <w:tcW w:w="1206" w:type="dxa"/>
            <w:noWrap/>
            <w:hideMark/>
          </w:tcPr>
          <w:p w14:paraId="1C44CA6A" w14:textId="627B043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97,3</w:t>
            </w:r>
          </w:p>
        </w:tc>
        <w:tc>
          <w:tcPr>
            <w:tcW w:w="1239" w:type="dxa"/>
            <w:noWrap/>
            <w:hideMark/>
          </w:tcPr>
          <w:p w14:paraId="161602DA" w14:textId="11EC4F0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29,2</w:t>
            </w:r>
          </w:p>
        </w:tc>
        <w:tc>
          <w:tcPr>
            <w:tcW w:w="1333" w:type="dxa"/>
            <w:noWrap/>
            <w:hideMark/>
          </w:tcPr>
          <w:p w14:paraId="65781D77" w14:textId="5C422328"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355</w:t>
            </w:r>
          </w:p>
        </w:tc>
        <w:tc>
          <w:tcPr>
            <w:tcW w:w="833" w:type="dxa"/>
            <w:vMerge w:val="restart"/>
            <w:noWrap/>
            <w:hideMark/>
          </w:tcPr>
          <w:p w14:paraId="4C0F47E1"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50E9D70E" w14:textId="77777777" w:rsidTr="00ED304F">
        <w:trPr>
          <w:trHeight w:val="248"/>
        </w:trPr>
        <w:tc>
          <w:tcPr>
            <w:cnfStyle w:val="001000000000" w:firstRow="0" w:lastRow="0" w:firstColumn="1" w:lastColumn="0" w:oddVBand="0" w:evenVBand="0" w:oddHBand="0" w:evenHBand="0" w:firstRowFirstColumn="0" w:firstRowLastColumn="0" w:lastRowFirstColumn="0" w:lastRowLastColumn="0"/>
            <w:tcW w:w="663" w:type="dxa"/>
            <w:vMerge/>
            <w:hideMark/>
          </w:tcPr>
          <w:p w14:paraId="5DA423EF"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7D037EBC" w14:textId="6E1AF34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7895C45C" w14:textId="353D004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261,13</w:t>
            </w:r>
          </w:p>
        </w:tc>
        <w:tc>
          <w:tcPr>
            <w:tcW w:w="1461" w:type="dxa"/>
            <w:noWrap/>
            <w:hideMark/>
          </w:tcPr>
          <w:p w14:paraId="0A21E1B8" w14:textId="6DBDEE0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2 179,4</w:t>
            </w:r>
          </w:p>
        </w:tc>
        <w:tc>
          <w:tcPr>
            <w:tcW w:w="1028" w:type="dxa"/>
            <w:noWrap/>
            <w:hideMark/>
          </w:tcPr>
          <w:p w14:paraId="50DD0737" w14:textId="1C771CD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1 660,9</w:t>
            </w:r>
          </w:p>
        </w:tc>
        <w:tc>
          <w:tcPr>
            <w:tcW w:w="1206" w:type="dxa"/>
            <w:noWrap/>
            <w:hideMark/>
          </w:tcPr>
          <w:p w14:paraId="4A6AABBC" w14:textId="2C125BB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102,3</w:t>
            </w:r>
          </w:p>
        </w:tc>
        <w:tc>
          <w:tcPr>
            <w:tcW w:w="1239" w:type="dxa"/>
            <w:noWrap/>
            <w:hideMark/>
          </w:tcPr>
          <w:p w14:paraId="794B3491" w14:textId="276E130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29,5</w:t>
            </w:r>
          </w:p>
        </w:tc>
        <w:tc>
          <w:tcPr>
            <w:tcW w:w="1333" w:type="dxa"/>
            <w:noWrap/>
            <w:hideMark/>
          </w:tcPr>
          <w:p w14:paraId="552CA6BF" w14:textId="7176136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386,8</w:t>
            </w:r>
          </w:p>
        </w:tc>
        <w:tc>
          <w:tcPr>
            <w:tcW w:w="833" w:type="dxa"/>
            <w:vMerge/>
            <w:hideMark/>
          </w:tcPr>
          <w:p w14:paraId="2D05C1D5"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r>
      <w:tr w:rsidR="00ED304F" w:rsidRPr="00C1770E" w14:paraId="0A1D0730" w14:textId="77777777" w:rsidTr="00ED304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63" w:type="dxa"/>
            <w:vMerge/>
            <w:hideMark/>
          </w:tcPr>
          <w:p w14:paraId="35EC0349"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hideMark/>
          </w:tcPr>
          <w:p w14:paraId="3A46E122" w14:textId="7EA291F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6937527D" w14:textId="5C1F8FA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97,36%</w:t>
            </w:r>
          </w:p>
        </w:tc>
        <w:tc>
          <w:tcPr>
            <w:tcW w:w="1461" w:type="dxa"/>
            <w:noWrap/>
            <w:vAlign w:val="center"/>
            <w:hideMark/>
          </w:tcPr>
          <w:p w14:paraId="4C37B87B" w14:textId="2259C5E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102,6%</w:t>
            </w:r>
          </w:p>
        </w:tc>
        <w:tc>
          <w:tcPr>
            <w:tcW w:w="1028" w:type="dxa"/>
            <w:noWrap/>
            <w:vAlign w:val="center"/>
            <w:hideMark/>
          </w:tcPr>
          <w:p w14:paraId="10AD2C70" w14:textId="4B61B48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101,2%</w:t>
            </w:r>
          </w:p>
        </w:tc>
        <w:tc>
          <w:tcPr>
            <w:tcW w:w="1206" w:type="dxa"/>
            <w:noWrap/>
            <w:vAlign w:val="center"/>
            <w:hideMark/>
          </w:tcPr>
          <w:p w14:paraId="5E8E91CA" w14:textId="74DAC2F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105,1%</w:t>
            </w:r>
          </w:p>
        </w:tc>
        <w:tc>
          <w:tcPr>
            <w:tcW w:w="1239" w:type="dxa"/>
            <w:noWrap/>
            <w:vAlign w:val="center"/>
            <w:hideMark/>
          </w:tcPr>
          <w:p w14:paraId="1E7BC8B4" w14:textId="4973290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101,1%</w:t>
            </w:r>
          </w:p>
        </w:tc>
        <w:tc>
          <w:tcPr>
            <w:tcW w:w="1333" w:type="dxa"/>
            <w:noWrap/>
            <w:vAlign w:val="center"/>
            <w:hideMark/>
          </w:tcPr>
          <w:p w14:paraId="0DCF5E76" w14:textId="2CAD4F4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108,9%</w:t>
            </w:r>
          </w:p>
        </w:tc>
        <w:tc>
          <w:tcPr>
            <w:tcW w:w="833" w:type="dxa"/>
            <w:noWrap/>
            <w:vAlign w:val="center"/>
            <w:hideMark/>
          </w:tcPr>
          <w:p w14:paraId="676789C4" w14:textId="7146B96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102,7%</w:t>
            </w:r>
          </w:p>
        </w:tc>
      </w:tr>
      <w:tr w:rsidR="00ED304F" w:rsidRPr="00C1770E" w14:paraId="50AB299F" w14:textId="77777777" w:rsidTr="00ED304F">
        <w:trPr>
          <w:trHeight w:val="124"/>
        </w:trPr>
        <w:tc>
          <w:tcPr>
            <w:cnfStyle w:val="001000000000" w:firstRow="0" w:lastRow="0" w:firstColumn="1" w:lastColumn="0" w:oddVBand="0" w:evenVBand="0" w:oddHBand="0" w:evenHBand="0" w:firstRowFirstColumn="0" w:firstRowLastColumn="0" w:lastRowFirstColumn="0" w:lastRowLastColumn="0"/>
            <w:tcW w:w="663" w:type="dxa"/>
            <w:vMerge w:val="restart"/>
          </w:tcPr>
          <w:p w14:paraId="7AD4CD73"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2016</w:t>
            </w:r>
          </w:p>
          <w:p w14:paraId="16A96DE5" w14:textId="4BA7AE41"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7CE9992B" w14:textId="20F1E38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496FF75C" w14:textId="7F0EE9D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283,93</w:t>
            </w:r>
          </w:p>
        </w:tc>
        <w:tc>
          <w:tcPr>
            <w:tcW w:w="1461" w:type="dxa"/>
            <w:noWrap/>
          </w:tcPr>
          <w:p w14:paraId="28A6028E" w14:textId="7090DDA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2 219,1</w:t>
            </w:r>
          </w:p>
        </w:tc>
        <w:tc>
          <w:tcPr>
            <w:tcW w:w="1028" w:type="dxa"/>
            <w:noWrap/>
          </w:tcPr>
          <w:p w14:paraId="03BCC5DA" w14:textId="44784BB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1 689,4</w:t>
            </w:r>
          </w:p>
        </w:tc>
        <w:tc>
          <w:tcPr>
            <w:tcW w:w="1206" w:type="dxa"/>
            <w:noWrap/>
          </w:tcPr>
          <w:p w14:paraId="7BFEDB83" w14:textId="24AFAB95"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102,3</w:t>
            </w:r>
          </w:p>
        </w:tc>
        <w:tc>
          <w:tcPr>
            <w:tcW w:w="1239" w:type="dxa"/>
            <w:noWrap/>
          </w:tcPr>
          <w:p w14:paraId="7B382DF1" w14:textId="42D0E368"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31,1</w:t>
            </w:r>
          </w:p>
        </w:tc>
        <w:tc>
          <w:tcPr>
            <w:tcW w:w="1333" w:type="dxa"/>
            <w:noWrap/>
          </w:tcPr>
          <w:p w14:paraId="35477269" w14:textId="3592613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396,3</w:t>
            </w:r>
          </w:p>
        </w:tc>
        <w:tc>
          <w:tcPr>
            <w:tcW w:w="833" w:type="dxa"/>
            <w:vMerge w:val="restart"/>
            <w:noWrap/>
          </w:tcPr>
          <w:p w14:paraId="10FCE35D"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p>
        </w:tc>
      </w:tr>
      <w:tr w:rsidR="00ED304F" w:rsidRPr="00C1770E" w14:paraId="1E65ACDA" w14:textId="77777777" w:rsidTr="00ED304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51689380"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33EF6E11" w14:textId="7024811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02B2E818" w14:textId="55382DC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275,07</w:t>
            </w:r>
          </w:p>
        </w:tc>
        <w:tc>
          <w:tcPr>
            <w:tcW w:w="1461" w:type="dxa"/>
            <w:noWrap/>
          </w:tcPr>
          <w:p w14:paraId="035E507B" w14:textId="7AB5B98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2 267,3</w:t>
            </w:r>
          </w:p>
        </w:tc>
        <w:tc>
          <w:tcPr>
            <w:tcW w:w="1028" w:type="dxa"/>
            <w:noWrap/>
          </w:tcPr>
          <w:p w14:paraId="54422B0A" w14:textId="7E30FA3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1 687,0</w:t>
            </w:r>
          </w:p>
        </w:tc>
        <w:tc>
          <w:tcPr>
            <w:tcW w:w="1206" w:type="dxa"/>
            <w:noWrap/>
          </w:tcPr>
          <w:p w14:paraId="097A0CDB" w14:textId="5631CFDD"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116,5</w:t>
            </w:r>
          </w:p>
        </w:tc>
        <w:tc>
          <w:tcPr>
            <w:tcW w:w="1239" w:type="dxa"/>
            <w:noWrap/>
          </w:tcPr>
          <w:p w14:paraId="2A4BE874" w14:textId="35C4AB4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32,8</w:t>
            </w:r>
          </w:p>
        </w:tc>
        <w:tc>
          <w:tcPr>
            <w:tcW w:w="1333" w:type="dxa"/>
            <w:noWrap/>
          </w:tcPr>
          <w:p w14:paraId="3D217B23" w14:textId="7539D01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431,1</w:t>
            </w:r>
          </w:p>
        </w:tc>
        <w:tc>
          <w:tcPr>
            <w:tcW w:w="833" w:type="dxa"/>
            <w:vMerge/>
            <w:noWrap/>
          </w:tcPr>
          <w:p w14:paraId="487DD51E"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p>
        </w:tc>
      </w:tr>
      <w:tr w:rsidR="00ED304F" w:rsidRPr="00C1770E" w14:paraId="3243DC44" w14:textId="77777777" w:rsidTr="00ED304F">
        <w:trPr>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3DA4EF94"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7B87C612" w14:textId="2C546F5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273EB162" w14:textId="757A862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96,88%</w:t>
            </w:r>
          </w:p>
        </w:tc>
        <w:tc>
          <w:tcPr>
            <w:tcW w:w="1461" w:type="dxa"/>
            <w:noWrap/>
            <w:vAlign w:val="center"/>
          </w:tcPr>
          <w:p w14:paraId="22C6A16B" w14:textId="1B6EFE1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102,2%</w:t>
            </w:r>
          </w:p>
        </w:tc>
        <w:tc>
          <w:tcPr>
            <w:tcW w:w="1028" w:type="dxa"/>
            <w:noWrap/>
            <w:vAlign w:val="center"/>
          </w:tcPr>
          <w:p w14:paraId="392B4988" w14:textId="2C73BA5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99,9%</w:t>
            </w:r>
          </w:p>
        </w:tc>
        <w:tc>
          <w:tcPr>
            <w:tcW w:w="1206" w:type="dxa"/>
            <w:noWrap/>
            <w:vAlign w:val="center"/>
          </w:tcPr>
          <w:p w14:paraId="4CB0C112" w14:textId="7DAD930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113,9%</w:t>
            </w:r>
          </w:p>
        </w:tc>
        <w:tc>
          <w:tcPr>
            <w:tcW w:w="1239" w:type="dxa"/>
            <w:noWrap/>
            <w:vAlign w:val="center"/>
          </w:tcPr>
          <w:p w14:paraId="33EBA123" w14:textId="6A8F2703"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105,4%</w:t>
            </w:r>
          </w:p>
        </w:tc>
        <w:tc>
          <w:tcPr>
            <w:tcW w:w="1333" w:type="dxa"/>
            <w:noWrap/>
            <w:vAlign w:val="center"/>
          </w:tcPr>
          <w:p w14:paraId="71918E22" w14:textId="5FD0655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108,8%</w:t>
            </w:r>
          </w:p>
        </w:tc>
        <w:tc>
          <w:tcPr>
            <w:tcW w:w="833" w:type="dxa"/>
            <w:noWrap/>
            <w:vAlign w:val="center"/>
          </w:tcPr>
          <w:p w14:paraId="7806A70F" w14:textId="3F08215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104,5%</w:t>
            </w:r>
          </w:p>
        </w:tc>
      </w:tr>
      <w:tr w:rsidR="00ED304F" w:rsidRPr="00C1770E" w14:paraId="77B51B0B" w14:textId="77777777" w:rsidTr="00ED304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63" w:type="dxa"/>
            <w:vMerge w:val="restart"/>
          </w:tcPr>
          <w:p w14:paraId="4E3A1B90" w14:textId="77777777" w:rsidR="00ED304F" w:rsidRPr="00C1770E" w:rsidRDefault="00ED304F" w:rsidP="00ED304F">
            <w:pPr>
              <w:rPr>
                <w:rFonts w:ascii="Times New Roman" w:eastAsia="Times New Roman" w:hAnsi="Times New Roman" w:cs="Times New Roman"/>
                <w:b w:val="0"/>
                <w:bCs w:val="0"/>
                <w:color w:val="000000" w:themeColor="text1"/>
                <w:sz w:val="20"/>
                <w:szCs w:val="20"/>
                <w:lang w:eastAsia="lv-LV"/>
              </w:rPr>
            </w:pPr>
            <w:r w:rsidRPr="00C1770E">
              <w:rPr>
                <w:rFonts w:ascii="Times New Roman" w:hAnsi="Times New Roman" w:cs="Times New Roman"/>
                <w:color w:val="000000" w:themeColor="text1"/>
                <w:sz w:val="20"/>
                <w:szCs w:val="20"/>
              </w:rPr>
              <w:t>2017</w:t>
            </w:r>
          </w:p>
          <w:p w14:paraId="7065F33E" w14:textId="31561395"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123189DD" w14:textId="059C3A4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Plāns*</w:t>
            </w:r>
          </w:p>
        </w:tc>
        <w:tc>
          <w:tcPr>
            <w:tcW w:w="933" w:type="dxa"/>
            <w:vAlign w:val="center"/>
          </w:tcPr>
          <w:p w14:paraId="2FBF9CBA" w14:textId="3F935B0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296,39</w:t>
            </w:r>
          </w:p>
        </w:tc>
        <w:tc>
          <w:tcPr>
            <w:tcW w:w="1461" w:type="dxa"/>
            <w:noWrap/>
          </w:tcPr>
          <w:p w14:paraId="11828BF9" w14:textId="758979B9"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2 394,1</w:t>
            </w:r>
          </w:p>
        </w:tc>
        <w:tc>
          <w:tcPr>
            <w:tcW w:w="1028" w:type="dxa"/>
            <w:noWrap/>
          </w:tcPr>
          <w:p w14:paraId="58409B22" w14:textId="0E6CD451"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1 756,9</w:t>
            </w:r>
          </w:p>
        </w:tc>
        <w:tc>
          <w:tcPr>
            <w:tcW w:w="1206" w:type="dxa"/>
            <w:noWrap/>
          </w:tcPr>
          <w:p w14:paraId="418C52B9" w14:textId="7C7F2F9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121,9</w:t>
            </w:r>
          </w:p>
        </w:tc>
        <w:tc>
          <w:tcPr>
            <w:tcW w:w="1239" w:type="dxa"/>
            <w:noWrap/>
          </w:tcPr>
          <w:p w14:paraId="3F4E6836" w14:textId="14879416"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36,1</w:t>
            </w:r>
          </w:p>
        </w:tc>
        <w:tc>
          <w:tcPr>
            <w:tcW w:w="1333" w:type="dxa"/>
            <w:noWrap/>
          </w:tcPr>
          <w:p w14:paraId="3E00B3C3" w14:textId="7431B0B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479,1</w:t>
            </w:r>
          </w:p>
        </w:tc>
        <w:tc>
          <w:tcPr>
            <w:tcW w:w="833" w:type="dxa"/>
            <w:vMerge w:val="restart"/>
            <w:noWrap/>
          </w:tcPr>
          <w:p w14:paraId="3BFD1901" w14:textId="77777777"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p>
        </w:tc>
      </w:tr>
      <w:tr w:rsidR="00ED304F" w:rsidRPr="00C1770E" w14:paraId="3ACFDF36" w14:textId="77777777" w:rsidTr="00ED304F">
        <w:trPr>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79DB7379"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72E9DA2C" w14:textId="082681F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Izpilde</w:t>
            </w:r>
          </w:p>
        </w:tc>
        <w:tc>
          <w:tcPr>
            <w:tcW w:w="933" w:type="dxa"/>
            <w:vAlign w:val="center"/>
          </w:tcPr>
          <w:p w14:paraId="5B7704C4" w14:textId="128D8E9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highlight w:val="yellow"/>
                <w:lang w:eastAsia="lv-LV"/>
              </w:rPr>
            </w:pPr>
            <w:r w:rsidRPr="00C1770E">
              <w:rPr>
                <w:rFonts w:ascii="Times New Roman" w:hAnsi="Times New Roman" w:cs="Times New Roman"/>
                <w:color w:val="000000" w:themeColor="text1"/>
                <w:sz w:val="20"/>
                <w:szCs w:val="20"/>
              </w:rPr>
              <w:t>289,49</w:t>
            </w:r>
          </w:p>
        </w:tc>
        <w:tc>
          <w:tcPr>
            <w:tcW w:w="1461" w:type="dxa"/>
            <w:noWrap/>
          </w:tcPr>
          <w:p w14:paraId="1063B582" w14:textId="0C3E7E5E"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2 363,7</w:t>
            </w:r>
          </w:p>
        </w:tc>
        <w:tc>
          <w:tcPr>
            <w:tcW w:w="1028" w:type="dxa"/>
            <w:noWrap/>
          </w:tcPr>
          <w:p w14:paraId="5C3708E0" w14:textId="32959EB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1 757,5</w:t>
            </w:r>
          </w:p>
        </w:tc>
        <w:tc>
          <w:tcPr>
            <w:tcW w:w="1206" w:type="dxa"/>
            <w:noWrap/>
          </w:tcPr>
          <w:p w14:paraId="465C729C" w14:textId="0FBCBC04"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112,9</w:t>
            </w:r>
          </w:p>
        </w:tc>
        <w:tc>
          <w:tcPr>
            <w:tcW w:w="1239" w:type="dxa"/>
            <w:noWrap/>
          </w:tcPr>
          <w:p w14:paraId="63A5A077" w14:textId="5D853CE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37,6</w:t>
            </w:r>
          </w:p>
        </w:tc>
        <w:tc>
          <w:tcPr>
            <w:tcW w:w="1333" w:type="dxa"/>
            <w:noWrap/>
          </w:tcPr>
          <w:p w14:paraId="6409CE3E" w14:textId="3A27DA7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455,7</w:t>
            </w:r>
          </w:p>
        </w:tc>
        <w:tc>
          <w:tcPr>
            <w:tcW w:w="833" w:type="dxa"/>
            <w:vMerge/>
            <w:noWrap/>
          </w:tcPr>
          <w:p w14:paraId="673A18A2"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p>
        </w:tc>
      </w:tr>
      <w:tr w:rsidR="00ED304F" w:rsidRPr="00C1770E" w14:paraId="3B51B877" w14:textId="77777777" w:rsidTr="00ED304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53B2E4B8"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10FD5956" w14:textId="37F38BB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C1770E">
              <w:rPr>
                <w:rFonts w:ascii="Times New Roman" w:hAnsi="Times New Roman" w:cs="Times New Roman"/>
                <w:color w:val="000000" w:themeColor="text1"/>
                <w:sz w:val="20"/>
                <w:szCs w:val="20"/>
              </w:rPr>
              <w:t>Izmaiņas %</w:t>
            </w:r>
          </w:p>
        </w:tc>
        <w:tc>
          <w:tcPr>
            <w:tcW w:w="933" w:type="dxa"/>
            <w:vAlign w:val="center"/>
          </w:tcPr>
          <w:p w14:paraId="67D9D552" w14:textId="2B3EBEE2"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0"/>
                <w:szCs w:val="20"/>
                <w:highlight w:val="yellow"/>
                <w:lang w:eastAsia="lv-LV"/>
              </w:rPr>
            </w:pPr>
            <w:r w:rsidRPr="00C1770E">
              <w:rPr>
                <w:rFonts w:ascii="Times New Roman" w:hAnsi="Times New Roman" w:cs="Times New Roman"/>
                <w:i/>
                <w:iCs/>
                <w:color w:val="000000" w:themeColor="text1"/>
                <w:sz w:val="20"/>
                <w:szCs w:val="20"/>
              </w:rPr>
              <w:t>97,67%</w:t>
            </w:r>
          </w:p>
        </w:tc>
        <w:tc>
          <w:tcPr>
            <w:tcW w:w="1461" w:type="dxa"/>
            <w:noWrap/>
            <w:vAlign w:val="center"/>
          </w:tcPr>
          <w:p w14:paraId="625900B2" w14:textId="2115346A"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98,7%</w:t>
            </w:r>
          </w:p>
        </w:tc>
        <w:tc>
          <w:tcPr>
            <w:tcW w:w="1028" w:type="dxa"/>
            <w:noWrap/>
            <w:vAlign w:val="center"/>
          </w:tcPr>
          <w:p w14:paraId="0B7C9F4F" w14:textId="2400D91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100,0%</w:t>
            </w:r>
          </w:p>
        </w:tc>
        <w:tc>
          <w:tcPr>
            <w:tcW w:w="1206" w:type="dxa"/>
            <w:noWrap/>
            <w:vAlign w:val="center"/>
          </w:tcPr>
          <w:p w14:paraId="46F849BA" w14:textId="111F8A94"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92,7%</w:t>
            </w:r>
          </w:p>
        </w:tc>
        <w:tc>
          <w:tcPr>
            <w:tcW w:w="1239" w:type="dxa"/>
            <w:noWrap/>
            <w:vAlign w:val="center"/>
          </w:tcPr>
          <w:p w14:paraId="3E314EF8" w14:textId="535D43C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104,1%</w:t>
            </w:r>
          </w:p>
        </w:tc>
        <w:tc>
          <w:tcPr>
            <w:tcW w:w="1333" w:type="dxa"/>
            <w:noWrap/>
            <w:vAlign w:val="center"/>
          </w:tcPr>
          <w:p w14:paraId="04AF573D" w14:textId="710BB8DB"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95,1%</w:t>
            </w:r>
          </w:p>
        </w:tc>
        <w:tc>
          <w:tcPr>
            <w:tcW w:w="833" w:type="dxa"/>
            <w:noWrap/>
            <w:vAlign w:val="center"/>
          </w:tcPr>
          <w:p w14:paraId="55B27C27" w14:textId="79B805F5"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0"/>
                <w:szCs w:val="20"/>
                <w:lang w:eastAsia="lv-LV"/>
              </w:rPr>
            </w:pPr>
            <w:r w:rsidRPr="00C1770E">
              <w:rPr>
                <w:rFonts w:ascii="Times New Roman" w:hAnsi="Times New Roman" w:cs="Times New Roman"/>
                <w:i/>
                <w:iCs/>
                <w:color w:val="000000" w:themeColor="text1"/>
                <w:sz w:val="20"/>
                <w:szCs w:val="20"/>
              </w:rPr>
              <w:t>98,1%</w:t>
            </w:r>
          </w:p>
        </w:tc>
      </w:tr>
      <w:tr w:rsidR="00ED304F" w:rsidRPr="00C1770E" w14:paraId="57E0B2CE" w14:textId="77777777" w:rsidTr="00ED304F">
        <w:trPr>
          <w:trHeight w:val="124"/>
        </w:trPr>
        <w:tc>
          <w:tcPr>
            <w:cnfStyle w:val="001000000000" w:firstRow="0" w:lastRow="0" w:firstColumn="1" w:lastColumn="0" w:oddVBand="0" w:evenVBand="0" w:oddHBand="0" w:evenHBand="0" w:firstRowFirstColumn="0" w:firstRowLastColumn="0" w:lastRowFirstColumn="0" w:lastRowLastColumn="0"/>
            <w:tcW w:w="663" w:type="dxa"/>
            <w:vMerge w:val="restart"/>
          </w:tcPr>
          <w:p w14:paraId="06AC3F95" w14:textId="159FB79B" w:rsidR="00ED304F" w:rsidRPr="00C1770E" w:rsidRDefault="00ED304F" w:rsidP="00ED304F">
            <w:pPr>
              <w:rPr>
                <w:rFonts w:ascii="Times New Roman" w:eastAsia="Times New Roman" w:hAnsi="Times New Roman" w:cs="Times New Roman"/>
                <w:color w:val="000000" w:themeColor="text1"/>
                <w:sz w:val="20"/>
                <w:szCs w:val="20"/>
                <w:lang w:eastAsia="lv-LV"/>
              </w:rPr>
            </w:pPr>
            <w:r w:rsidRPr="00C1770E">
              <w:rPr>
                <w:rFonts w:ascii="Times New Roman" w:eastAsia="Times New Roman" w:hAnsi="Times New Roman" w:cs="Times New Roman"/>
                <w:color w:val="000000" w:themeColor="text1"/>
                <w:sz w:val="20"/>
                <w:szCs w:val="20"/>
                <w:lang w:eastAsia="lv-LV"/>
              </w:rPr>
              <w:t>2018</w:t>
            </w:r>
          </w:p>
        </w:tc>
        <w:tc>
          <w:tcPr>
            <w:tcW w:w="997" w:type="dxa"/>
            <w:noWrap/>
          </w:tcPr>
          <w:p w14:paraId="190FEE0E" w14:textId="661C7F49"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Plāns*</w:t>
            </w:r>
          </w:p>
        </w:tc>
        <w:tc>
          <w:tcPr>
            <w:tcW w:w="933" w:type="dxa"/>
            <w:vAlign w:val="bottom"/>
          </w:tcPr>
          <w:p w14:paraId="132C4809" w14:textId="212DB60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282,7</w:t>
            </w:r>
          </w:p>
        </w:tc>
        <w:tc>
          <w:tcPr>
            <w:tcW w:w="1461" w:type="dxa"/>
            <w:noWrap/>
            <w:vAlign w:val="bottom"/>
          </w:tcPr>
          <w:p w14:paraId="24D4368C" w14:textId="6921E16D"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2823,9</w:t>
            </w:r>
          </w:p>
        </w:tc>
        <w:tc>
          <w:tcPr>
            <w:tcW w:w="1028" w:type="dxa"/>
            <w:noWrap/>
            <w:vAlign w:val="bottom"/>
          </w:tcPr>
          <w:p w14:paraId="7C3D51F4" w14:textId="53D2016A"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1928,2</w:t>
            </w:r>
          </w:p>
        </w:tc>
        <w:tc>
          <w:tcPr>
            <w:tcW w:w="1206" w:type="dxa"/>
            <w:noWrap/>
            <w:vAlign w:val="bottom"/>
          </w:tcPr>
          <w:p w14:paraId="577DE737" w14:textId="3A8D3226"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163,7</w:t>
            </w:r>
          </w:p>
        </w:tc>
        <w:tc>
          <w:tcPr>
            <w:tcW w:w="1239" w:type="dxa"/>
            <w:noWrap/>
            <w:vAlign w:val="bottom"/>
          </w:tcPr>
          <w:p w14:paraId="141C0046" w14:textId="55C9B232"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48,6</w:t>
            </w:r>
          </w:p>
        </w:tc>
        <w:tc>
          <w:tcPr>
            <w:tcW w:w="1333" w:type="dxa"/>
            <w:noWrap/>
            <w:vAlign w:val="bottom"/>
          </w:tcPr>
          <w:p w14:paraId="1143485C" w14:textId="35C61290"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663,6</w:t>
            </w:r>
          </w:p>
        </w:tc>
        <w:tc>
          <w:tcPr>
            <w:tcW w:w="833" w:type="dxa"/>
            <w:vMerge w:val="restart"/>
            <w:noWrap/>
            <w:vAlign w:val="bottom"/>
          </w:tcPr>
          <w:p w14:paraId="6998905D" w14:textId="77777777"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 </w:t>
            </w:r>
          </w:p>
          <w:p w14:paraId="5D3BBD79" w14:textId="1CE7246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 </w:t>
            </w:r>
          </w:p>
        </w:tc>
      </w:tr>
      <w:tr w:rsidR="00ED304F" w:rsidRPr="00C1770E" w14:paraId="209730C7" w14:textId="77777777" w:rsidTr="00ED304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1F0528EA"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23FF6942" w14:textId="6E4C10CC"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Izpilde</w:t>
            </w:r>
          </w:p>
        </w:tc>
        <w:tc>
          <w:tcPr>
            <w:tcW w:w="933" w:type="dxa"/>
            <w:vAlign w:val="bottom"/>
          </w:tcPr>
          <w:p w14:paraId="1875D10F" w14:textId="71ABE5E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282,1</w:t>
            </w:r>
          </w:p>
        </w:tc>
        <w:tc>
          <w:tcPr>
            <w:tcW w:w="1461" w:type="dxa"/>
            <w:noWrap/>
            <w:vAlign w:val="bottom"/>
          </w:tcPr>
          <w:p w14:paraId="7AE1FC3F" w14:textId="744F467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2731,4</w:t>
            </w:r>
          </w:p>
        </w:tc>
        <w:tc>
          <w:tcPr>
            <w:tcW w:w="1028" w:type="dxa"/>
            <w:noWrap/>
            <w:vAlign w:val="bottom"/>
          </w:tcPr>
          <w:p w14:paraId="4A96E7E2" w14:textId="20504A6F"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1915,4</w:t>
            </w:r>
          </w:p>
        </w:tc>
        <w:tc>
          <w:tcPr>
            <w:tcW w:w="1206" w:type="dxa"/>
            <w:noWrap/>
            <w:vAlign w:val="bottom"/>
          </w:tcPr>
          <w:p w14:paraId="1A4AB1A1" w14:textId="43444523"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152,0</w:t>
            </w:r>
          </w:p>
        </w:tc>
        <w:tc>
          <w:tcPr>
            <w:tcW w:w="1239" w:type="dxa"/>
            <w:noWrap/>
            <w:vAlign w:val="bottom"/>
          </w:tcPr>
          <w:p w14:paraId="3E8D2FE0" w14:textId="2D1D2E2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47,1</w:t>
            </w:r>
          </w:p>
        </w:tc>
        <w:tc>
          <w:tcPr>
            <w:tcW w:w="1333" w:type="dxa"/>
            <w:noWrap/>
            <w:vAlign w:val="bottom"/>
          </w:tcPr>
          <w:p w14:paraId="49727BAB" w14:textId="537F565E"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color w:val="000000" w:themeColor="text1"/>
                <w:sz w:val="20"/>
                <w:szCs w:val="20"/>
              </w:rPr>
              <w:t>597,4</w:t>
            </w:r>
          </w:p>
        </w:tc>
        <w:tc>
          <w:tcPr>
            <w:tcW w:w="833" w:type="dxa"/>
            <w:vMerge/>
            <w:noWrap/>
            <w:vAlign w:val="bottom"/>
          </w:tcPr>
          <w:p w14:paraId="47FF1A0D" w14:textId="1DB5FC30" w:rsidR="00ED304F" w:rsidRPr="00C1770E" w:rsidRDefault="00ED304F" w:rsidP="00ED3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szCs w:val="20"/>
                <w:highlight w:val="yellow"/>
              </w:rPr>
            </w:pPr>
          </w:p>
        </w:tc>
      </w:tr>
      <w:tr w:rsidR="00ED304F" w:rsidRPr="00C1770E" w14:paraId="630BFC44" w14:textId="77777777" w:rsidTr="00D0412B">
        <w:trPr>
          <w:trHeight w:val="124"/>
        </w:trPr>
        <w:tc>
          <w:tcPr>
            <w:cnfStyle w:val="001000000000" w:firstRow="0" w:lastRow="0" w:firstColumn="1" w:lastColumn="0" w:oddVBand="0" w:evenVBand="0" w:oddHBand="0" w:evenHBand="0" w:firstRowFirstColumn="0" w:firstRowLastColumn="0" w:lastRowFirstColumn="0" w:lastRowLastColumn="0"/>
            <w:tcW w:w="663" w:type="dxa"/>
            <w:vMerge/>
          </w:tcPr>
          <w:p w14:paraId="4F6A13C3" w14:textId="77777777" w:rsidR="00ED304F" w:rsidRPr="00C1770E" w:rsidRDefault="00ED304F" w:rsidP="00ED304F">
            <w:pPr>
              <w:rPr>
                <w:rFonts w:ascii="Times New Roman" w:eastAsia="Times New Roman" w:hAnsi="Times New Roman" w:cs="Times New Roman"/>
                <w:color w:val="000000" w:themeColor="text1"/>
                <w:sz w:val="20"/>
                <w:szCs w:val="20"/>
                <w:lang w:eastAsia="lv-LV"/>
              </w:rPr>
            </w:pPr>
          </w:p>
        </w:tc>
        <w:tc>
          <w:tcPr>
            <w:tcW w:w="997" w:type="dxa"/>
            <w:noWrap/>
          </w:tcPr>
          <w:p w14:paraId="3385096A" w14:textId="772D56EB" w:rsidR="00ED304F" w:rsidRPr="00C1770E" w:rsidRDefault="00ED304F" w:rsidP="00ED30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1770E">
              <w:rPr>
                <w:rFonts w:ascii="Times New Roman" w:hAnsi="Times New Roman" w:cs="Times New Roman"/>
                <w:color w:val="000000" w:themeColor="text1"/>
                <w:sz w:val="20"/>
                <w:szCs w:val="20"/>
              </w:rPr>
              <w:t>Izmaiņas %</w:t>
            </w:r>
          </w:p>
        </w:tc>
        <w:tc>
          <w:tcPr>
            <w:tcW w:w="933" w:type="dxa"/>
            <w:vAlign w:val="center"/>
          </w:tcPr>
          <w:p w14:paraId="11C6FEBA" w14:textId="6AA0C3AF" w:rsidR="00ED304F" w:rsidRPr="00C1770E" w:rsidRDefault="00ED304F" w:rsidP="00ED30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99,80%</w:t>
            </w:r>
          </w:p>
        </w:tc>
        <w:tc>
          <w:tcPr>
            <w:tcW w:w="1461" w:type="dxa"/>
            <w:noWrap/>
            <w:vAlign w:val="center"/>
          </w:tcPr>
          <w:p w14:paraId="1A26E988" w14:textId="316F17BE"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96,73%</w:t>
            </w:r>
          </w:p>
        </w:tc>
        <w:tc>
          <w:tcPr>
            <w:tcW w:w="1028" w:type="dxa"/>
            <w:noWrap/>
            <w:vAlign w:val="center"/>
          </w:tcPr>
          <w:p w14:paraId="61D9D694" w14:textId="0DEEAF24"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99,33%</w:t>
            </w:r>
          </w:p>
        </w:tc>
        <w:tc>
          <w:tcPr>
            <w:tcW w:w="1206" w:type="dxa"/>
            <w:noWrap/>
            <w:vAlign w:val="center"/>
          </w:tcPr>
          <w:p w14:paraId="7D09D33D" w14:textId="18C1A6C3"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92,84%</w:t>
            </w:r>
          </w:p>
        </w:tc>
        <w:tc>
          <w:tcPr>
            <w:tcW w:w="1239" w:type="dxa"/>
            <w:noWrap/>
            <w:vAlign w:val="center"/>
          </w:tcPr>
          <w:p w14:paraId="7CF9C571" w14:textId="58274089"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96,85%</w:t>
            </w:r>
          </w:p>
        </w:tc>
        <w:tc>
          <w:tcPr>
            <w:tcW w:w="1333" w:type="dxa"/>
            <w:noWrap/>
            <w:vAlign w:val="center"/>
          </w:tcPr>
          <w:p w14:paraId="15186AAD" w14:textId="74E39C5C"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90,02%</w:t>
            </w:r>
          </w:p>
        </w:tc>
        <w:tc>
          <w:tcPr>
            <w:tcW w:w="833" w:type="dxa"/>
            <w:noWrap/>
            <w:vAlign w:val="center"/>
          </w:tcPr>
          <w:p w14:paraId="64C1349B" w14:textId="5AF27865" w:rsidR="00ED304F" w:rsidRPr="00C1770E" w:rsidRDefault="00ED304F" w:rsidP="00D041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highlight w:val="yellow"/>
              </w:rPr>
            </w:pPr>
            <w:r w:rsidRPr="00C1770E">
              <w:rPr>
                <w:rFonts w:ascii="Times New Roman" w:hAnsi="Times New Roman" w:cs="Times New Roman"/>
                <w:i/>
                <w:iCs/>
                <w:color w:val="000000" w:themeColor="text1"/>
                <w:sz w:val="20"/>
                <w:szCs w:val="20"/>
              </w:rPr>
              <w:t>95,93%</w:t>
            </w:r>
          </w:p>
        </w:tc>
      </w:tr>
    </w:tbl>
    <w:p w14:paraId="491E6DF8" w14:textId="77777777" w:rsidR="0019574C" w:rsidRDefault="0019574C" w:rsidP="004A6489">
      <w:pPr>
        <w:spacing w:after="0" w:line="240" w:lineRule="auto"/>
        <w:ind w:firstLine="720"/>
        <w:jc w:val="both"/>
        <w:rPr>
          <w:rFonts w:ascii="Times New Roman" w:eastAsiaTheme="minorHAnsi" w:hAnsi="Times New Roman" w:cs="Times New Roman"/>
          <w:sz w:val="24"/>
          <w:szCs w:val="20"/>
        </w:rPr>
      </w:pPr>
    </w:p>
    <w:p w14:paraId="11BF6543" w14:textId="61FEF8E8" w:rsidR="004A6489" w:rsidRDefault="00077C41" w:rsidP="00077C41">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L</w:t>
      </w:r>
      <w:r w:rsidR="004A6489" w:rsidRPr="00F83955">
        <w:rPr>
          <w:rFonts w:ascii="Times New Roman" w:eastAsiaTheme="minorHAnsi" w:hAnsi="Times New Roman" w:cs="Times New Roman"/>
          <w:sz w:val="24"/>
          <w:szCs w:val="20"/>
        </w:rPr>
        <w:t xml:space="preserve">īdztekus makroekonomisko un demogrāfisko tendenču izmaiņām, sociālās apdrošināšanas pakalpojumu izmaksu prognožu sagatavošanā svarīgi ir analizēt arī „cilvēku uzvedības modeļa” </w:t>
      </w:r>
      <w:r w:rsidR="004A6489" w:rsidRPr="00F83955">
        <w:rPr>
          <w:rFonts w:ascii="Times New Roman" w:eastAsiaTheme="minorHAnsi" w:hAnsi="Times New Roman" w:cs="Times New Roman"/>
          <w:sz w:val="24"/>
          <w:szCs w:val="20"/>
        </w:rPr>
        <w:lastRenderedPageBreak/>
        <w:t>attīstības tendences. Tāpat nākotnē plānojot un izstrādājot jaunas likumdošanas iniciatīvas, noteikti ir jāņem vērā esošā pieredze par to kā likumdošanas izmaiņas pabalstu jomā var ietekmēt cilvēku uzvedību un izraisīt negatīvu ietekmi uz budžeta rādītājiem.</w:t>
      </w:r>
      <w:r>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Minētie faktori iepriekšējā plānošanas periodā tika identificēti un ņemti vērā LM sagatavotajās prognozēs 2018.</w:t>
      </w:r>
      <w:r w:rsidR="00D43296">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w:t>
      </w:r>
      <w:r w:rsidR="00D43296">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 xml:space="preserve">2020.gadiem un turpmāk. </w:t>
      </w:r>
      <w:r w:rsidR="004A6489" w:rsidRPr="00CE26E9">
        <w:rPr>
          <w:rFonts w:ascii="Times New Roman" w:eastAsiaTheme="minorHAnsi" w:hAnsi="Times New Roman" w:cs="Times New Roman"/>
          <w:sz w:val="24"/>
          <w:szCs w:val="20"/>
        </w:rPr>
        <w:t>Tāpēc pašlaik nav pamata pieņemt, ka prognozēs joprojām saglabāsies sistēmiska rakstura faktori, kas izjauc fiskālā riska simetrisko raksturu. Līdz ar to šis fiskālais risks tiek atzīts par simetrisku fiskālo risku. Tādējādi varbūtība, ka izdevumi būs virs vai zem plānotā ir 50% un fiskālā ietekme vidējā termiņā nav ar izteiktu tendenci palielinājuma virzienā. Attiecīgi ar labklājības nozari saistītie fiskālie riski nav ietverti fiskālā nodrošinājuma rezerves aprēķinā.</w:t>
      </w:r>
    </w:p>
    <w:p w14:paraId="1CBC877D" w14:textId="77777777" w:rsidR="00F60E00" w:rsidRDefault="00F60E00" w:rsidP="00F60E00">
      <w:pPr>
        <w:spacing w:after="0"/>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Salīdzinot ar iepriekšējiem gadiem, tabula papildināta ar sadaļu </w:t>
      </w:r>
      <w:r w:rsidRPr="00F60E00">
        <w:rPr>
          <w:rFonts w:ascii="Times New Roman" w:eastAsiaTheme="minorHAnsi" w:hAnsi="Times New Roman" w:cs="Times New Roman"/>
          <w:sz w:val="24"/>
          <w:szCs w:val="20"/>
        </w:rPr>
        <w:t xml:space="preserve">Sociālie pabalsti no pamatbudžeta, </w:t>
      </w:r>
      <w:r w:rsidRPr="00DE530C">
        <w:rPr>
          <w:rFonts w:ascii="Times New Roman" w:eastAsiaTheme="minorHAnsi" w:hAnsi="Times New Roman" w:cs="Times New Roman"/>
          <w:sz w:val="24"/>
          <w:szCs w:val="20"/>
        </w:rPr>
        <w:t xml:space="preserve">var secināt, ka </w:t>
      </w:r>
      <w:r>
        <w:rPr>
          <w:rFonts w:ascii="Times New Roman" w:eastAsiaTheme="minorHAnsi" w:hAnsi="Times New Roman" w:cs="Times New Roman"/>
          <w:sz w:val="24"/>
          <w:szCs w:val="20"/>
        </w:rPr>
        <w:t>apakšprogrammā</w:t>
      </w:r>
      <w:r w:rsidRPr="00DE530C">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faktiskā izpilde</w:t>
      </w:r>
      <w:r w:rsidRPr="00DE530C">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ļoti pietuvinās plānotajam apmēram, 2018.gadā sasniedzot </w:t>
      </w:r>
      <w:r w:rsidRPr="00F60E00">
        <w:rPr>
          <w:rFonts w:ascii="Times New Roman" w:eastAsiaTheme="minorHAnsi" w:hAnsi="Times New Roman" w:cs="Times New Roman"/>
          <w:sz w:val="24"/>
          <w:szCs w:val="20"/>
        </w:rPr>
        <w:t>99,80%.</w:t>
      </w:r>
    </w:p>
    <w:p w14:paraId="630A6A7F" w14:textId="564E8120" w:rsidR="00590A19" w:rsidRDefault="00590A19" w:rsidP="00F60E00">
      <w:pPr>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Papildus efekts, kas turpmākajos periodos būtu jāvērtē attiecībā uz fiskālajiem riskiem labklājības nozarē ir Saeimas pieņemtie lēmumi </w:t>
      </w:r>
      <w:r w:rsidRPr="00786453">
        <w:rPr>
          <w:rFonts w:ascii="Times New Roman" w:eastAsiaTheme="minorHAnsi" w:hAnsi="Times New Roman" w:cs="Times New Roman"/>
          <w:sz w:val="24"/>
          <w:szCs w:val="20"/>
        </w:rPr>
        <w:t>(skat. tabulu nr.</w:t>
      </w:r>
      <w:r w:rsidR="00786453" w:rsidRPr="00786453">
        <w:rPr>
          <w:rFonts w:ascii="Times New Roman" w:eastAsiaTheme="minorHAnsi" w:hAnsi="Times New Roman" w:cs="Times New Roman"/>
          <w:sz w:val="24"/>
          <w:szCs w:val="20"/>
        </w:rPr>
        <w:t>4</w:t>
      </w:r>
      <w:r w:rsidRPr="00786453">
        <w:rPr>
          <w:rFonts w:ascii="Times New Roman" w:eastAsiaTheme="minorHAnsi" w:hAnsi="Times New Roman" w:cs="Times New Roman"/>
          <w:sz w:val="24"/>
          <w:szCs w:val="20"/>
        </w:rPr>
        <w:t>).</w:t>
      </w:r>
      <w:r>
        <w:rPr>
          <w:rFonts w:ascii="Times New Roman" w:eastAsiaTheme="minorHAnsi" w:hAnsi="Times New Roman" w:cs="Times New Roman"/>
          <w:sz w:val="24"/>
          <w:szCs w:val="20"/>
        </w:rPr>
        <w:t xml:space="preserve"> </w:t>
      </w:r>
    </w:p>
    <w:p w14:paraId="21A47416" w14:textId="77777777" w:rsidR="00590A19" w:rsidRDefault="00590A19" w:rsidP="00590A19">
      <w:pPr>
        <w:spacing w:after="0" w:line="240" w:lineRule="auto"/>
        <w:ind w:firstLine="720"/>
        <w:jc w:val="both"/>
        <w:rPr>
          <w:rFonts w:ascii="Times New Roman" w:eastAsiaTheme="minorHAnsi" w:hAnsi="Times New Roman" w:cs="Times New Roman"/>
          <w:sz w:val="24"/>
          <w:szCs w:val="20"/>
        </w:rPr>
      </w:pPr>
    </w:p>
    <w:p w14:paraId="50A3DB14" w14:textId="722D57BE" w:rsidR="00590A19" w:rsidRPr="00590A19" w:rsidRDefault="00786453" w:rsidP="00590A19">
      <w:pPr>
        <w:spacing w:after="0" w:line="240" w:lineRule="auto"/>
        <w:ind w:firstLine="720"/>
        <w:jc w:val="right"/>
        <w:rPr>
          <w:rFonts w:ascii="Times New Roman" w:eastAsiaTheme="minorHAnsi" w:hAnsi="Times New Roman" w:cs="Times New Roman"/>
          <w:b/>
          <w:sz w:val="24"/>
          <w:szCs w:val="20"/>
        </w:rPr>
      </w:pPr>
      <w:r>
        <w:rPr>
          <w:rFonts w:ascii="Times New Roman" w:eastAsiaTheme="minorHAnsi" w:hAnsi="Times New Roman" w:cs="Times New Roman"/>
          <w:b/>
          <w:sz w:val="24"/>
          <w:szCs w:val="20"/>
        </w:rPr>
        <w:t>Tabula N</w:t>
      </w:r>
      <w:r w:rsidR="00590A19" w:rsidRPr="00786453">
        <w:rPr>
          <w:rFonts w:ascii="Times New Roman" w:eastAsiaTheme="minorHAnsi" w:hAnsi="Times New Roman" w:cs="Times New Roman"/>
          <w:b/>
          <w:sz w:val="24"/>
          <w:szCs w:val="20"/>
        </w:rPr>
        <w:t>r.</w:t>
      </w:r>
      <w:r w:rsidRPr="00786453">
        <w:rPr>
          <w:rFonts w:ascii="Times New Roman" w:eastAsiaTheme="minorHAnsi" w:hAnsi="Times New Roman" w:cs="Times New Roman"/>
          <w:b/>
          <w:sz w:val="24"/>
          <w:szCs w:val="20"/>
        </w:rPr>
        <w:t>4</w:t>
      </w:r>
      <w:r w:rsidR="00590A19" w:rsidRPr="00786453">
        <w:rPr>
          <w:rFonts w:ascii="Times New Roman" w:eastAsiaTheme="minorHAnsi" w:hAnsi="Times New Roman" w:cs="Times New Roman"/>
          <w:b/>
          <w:sz w:val="24"/>
          <w:szCs w:val="20"/>
        </w:rPr>
        <w:t xml:space="preserve"> Saeimas pieņemtie lēmumi labklājības nozarē (diskrecionārā ietekme), milj</w:t>
      </w:r>
      <w:r w:rsidR="00590A19" w:rsidRPr="00786453">
        <w:rPr>
          <w:rFonts w:ascii="Times New Roman" w:eastAsiaTheme="minorHAnsi" w:hAnsi="Times New Roman" w:cs="Times New Roman"/>
          <w:b/>
          <w:i/>
          <w:sz w:val="24"/>
          <w:szCs w:val="20"/>
        </w:rPr>
        <w:t>. euro</w:t>
      </w:r>
    </w:p>
    <w:p w14:paraId="39186422" w14:textId="77777777" w:rsidR="00590A19" w:rsidRDefault="00590A19" w:rsidP="00590A19">
      <w:pPr>
        <w:spacing w:after="0" w:line="240" w:lineRule="auto"/>
        <w:ind w:firstLine="720"/>
        <w:jc w:val="right"/>
        <w:rPr>
          <w:rFonts w:ascii="Times New Roman" w:eastAsiaTheme="minorHAnsi" w:hAnsi="Times New Roman" w:cs="Times New Roman"/>
          <w:sz w:val="24"/>
          <w:szCs w:val="20"/>
        </w:rPr>
      </w:pPr>
    </w:p>
    <w:tbl>
      <w:tblPr>
        <w:tblW w:w="9628" w:type="dxa"/>
        <w:tblLook w:val="04A0" w:firstRow="1" w:lastRow="0" w:firstColumn="1" w:lastColumn="0" w:noHBand="0" w:noVBand="1"/>
      </w:tblPr>
      <w:tblGrid>
        <w:gridCol w:w="5949"/>
        <w:gridCol w:w="778"/>
        <w:gridCol w:w="656"/>
        <w:gridCol w:w="704"/>
        <w:gridCol w:w="790"/>
        <w:gridCol w:w="751"/>
      </w:tblGrid>
      <w:tr w:rsidR="00590A19" w:rsidRPr="00584719" w14:paraId="67523FB2" w14:textId="77777777" w:rsidTr="00FC6F14">
        <w:trPr>
          <w:trHeight w:val="281"/>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4C55" w14:textId="77777777" w:rsidR="00590A19" w:rsidRPr="00584719" w:rsidRDefault="00590A19" w:rsidP="00FC6F14">
            <w:pPr>
              <w:spacing w:after="0" w:line="240" w:lineRule="auto"/>
              <w:rPr>
                <w:rFonts w:ascii="Times New Roman" w:eastAsia="Times New Roman" w:hAnsi="Times New Roman" w:cs="Times New Roman"/>
                <w:i/>
                <w:iCs/>
                <w:color w:val="000000"/>
                <w:lang w:eastAsia="lv-LV"/>
              </w:rPr>
            </w:pP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0D6B4CDF" w14:textId="77777777" w:rsidR="00590A19" w:rsidRPr="00584719" w:rsidRDefault="00590A19" w:rsidP="00FC6F14">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2017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870C161" w14:textId="77777777" w:rsidR="00590A19" w:rsidRPr="00584719" w:rsidRDefault="00590A19" w:rsidP="00FC6F14">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2018</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48B7932F" w14:textId="77777777" w:rsidR="00590A19" w:rsidRPr="00584719" w:rsidRDefault="00590A19" w:rsidP="00FC6F14">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2019</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5964FF6" w14:textId="77777777" w:rsidR="00590A19" w:rsidRPr="00584719" w:rsidRDefault="00590A19" w:rsidP="00FC6F14">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2020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2865AB2" w14:textId="77777777" w:rsidR="00590A19" w:rsidRPr="00584719" w:rsidRDefault="00590A19" w:rsidP="00FC6F14">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2021</w:t>
            </w:r>
          </w:p>
        </w:tc>
      </w:tr>
      <w:tr w:rsidR="00590A19" w:rsidRPr="00584719" w14:paraId="20AF0C3E" w14:textId="77777777" w:rsidTr="00584719">
        <w:trPr>
          <w:trHeight w:val="562"/>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5962721E"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 xml:space="preserve">Grozījumi likumā "Par valsts pensijām" </w:t>
            </w:r>
          </w:p>
          <w:p w14:paraId="30C0DCAA"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(pieņemts Saeimā 10.03.2016.)</w:t>
            </w:r>
          </w:p>
        </w:tc>
        <w:tc>
          <w:tcPr>
            <w:tcW w:w="778" w:type="dxa"/>
            <w:tcBorders>
              <w:top w:val="nil"/>
              <w:left w:val="nil"/>
              <w:bottom w:val="single" w:sz="4" w:space="0" w:color="auto"/>
              <w:right w:val="single" w:sz="4" w:space="0" w:color="auto"/>
            </w:tcBorders>
            <w:shd w:val="clear" w:color="auto" w:fill="auto"/>
            <w:noWrap/>
            <w:vAlign w:val="center"/>
            <w:hideMark/>
          </w:tcPr>
          <w:p w14:paraId="71DE3195"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5,6</w:t>
            </w:r>
          </w:p>
        </w:tc>
        <w:tc>
          <w:tcPr>
            <w:tcW w:w="656" w:type="dxa"/>
            <w:tcBorders>
              <w:top w:val="nil"/>
              <w:left w:val="nil"/>
              <w:bottom w:val="single" w:sz="4" w:space="0" w:color="auto"/>
              <w:right w:val="single" w:sz="4" w:space="0" w:color="auto"/>
            </w:tcBorders>
            <w:shd w:val="clear" w:color="auto" w:fill="auto"/>
            <w:noWrap/>
            <w:vAlign w:val="center"/>
            <w:hideMark/>
          </w:tcPr>
          <w:p w14:paraId="74211A6F"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23,1</w:t>
            </w:r>
          </w:p>
        </w:tc>
        <w:tc>
          <w:tcPr>
            <w:tcW w:w="704" w:type="dxa"/>
            <w:tcBorders>
              <w:top w:val="nil"/>
              <w:left w:val="nil"/>
              <w:bottom w:val="single" w:sz="4" w:space="0" w:color="auto"/>
              <w:right w:val="single" w:sz="4" w:space="0" w:color="auto"/>
            </w:tcBorders>
            <w:shd w:val="clear" w:color="auto" w:fill="auto"/>
            <w:noWrap/>
            <w:vAlign w:val="center"/>
            <w:hideMark/>
          </w:tcPr>
          <w:p w14:paraId="35001786"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27,4</w:t>
            </w:r>
          </w:p>
        </w:tc>
        <w:tc>
          <w:tcPr>
            <w:tcW w:w="790" w:type="dxa"/>
            <w:tcBorders>
              <w:top w:val="nil"/>
              <w:left w:val="nil"/>
              <w:bottom w:val="single" w:sz="4" w:space="0" w:color="auto"/>
              <w:right w:val="single" w:sz="4" w:space="0" w:color="auto"/>
            </w:tcBorders>
            <w:shd w:val="clear" w:color="auto" w:fill="auto"/>
            <w:noWrap/>
            <w:vAlign w:val="center"/>
            <w:hideMark/>
          </w:tcPr>
          <w:p w14:paraId="5F934B9D" w14:textId="57522564"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751" w:type="dxa"/>
            <w:tcBorders>
              <w:top w:val="nil"/>
              <w:left w:val="nil"/>
              <w:bottom w:val="single" w:sz="4" w:space="0" w:color="auto"/>
              <w:right w:val="single" w:sz="4" w:space="0" w:color="auto"/>
            </w:tcBorders>
            <w:shd w:val="clear" w:color="auto" w:fill="auto"/>
            <w:noWrap/>
            <w:vAlign w:val="center"/>
            <w:hideMark/>
          </w:tcPr>
          <w:p w14:paraId="30C8C15E" w14:textId="05716059"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r>
      <w:tr w:rsidR="00590A19" w:rsidRPr="00584719" w14:paraId="28D2674D" w14:textId="77777777" w:rsidTr="00584719">
        <w:trPr>
          <w:trHeight w:val="886"/>
        </w:trPr>
        <w:tc>
          <w:tcPr>
            <w:tcW w:w="5949" w:type="dxa"/>
            <w:tcBorders>
              <w:top w:val="nil"/>
              <w:left w:val="single" w:sz="4" w:space="0" w:color="auto"/>
              <w:bottom w:val="single" w:sz="4" w:space="0" w:color="auto"/>
              <w:right w:val="single" w:sz="4" w:space="0" w:color="auto"/>
            </w:tcBorders>
            <w:shd w:val="clear" w:color="auto" w:fill="auto"/>
            <w:hideMark/>
          </w:tcPr>
          <w:p w14:paraId="767558DF"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Grozījumi Černobiļas atomelektrostacijas avārijas seku likvidēšanas dalībnieku un Černobiļas atomelektrostacijas avārijas rezultātā cietušo personu sociālās aizsardzības likumā (pieņemts Saeimā 16.06.2016.)</w:t>
            </w:r>
          </w:p>
        </w:tc>
        <w:tc>
          <w:tcPr>
            <w:tcW w:w="778" w:type="dxa"/>
            <w:tcBorders>
              <w:top w:val="nil"/>
              <w:left w:val="nil"/>
              <w:bottom w:val="single" w:sz="4" w:space="0" w:color="auto"/>
              <w:right w:val="single" w:sz="4" w:space="0" w:color="auto"/>
            </w:tcBorders>
            <w:shd w:val="clear" w:color="auto" w:fill="auto"/>
            <w:noWrap/>
            <w:vAlign w:val="center"/>
            <w:hideMark/>
          </w:tcPr>
          <w:p w14:paraId="0EDF659D"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2,4</w:t>
            </w:r>
          </w:p>
        </w:tc>
        <w:tc>
          <w:tcPr>
            <w:tcW w:w="656" w:type="dxa"/>
            <w:tcBorders>
              <w:top w:val="nil"/>
              <w:left w:val="nil"/>
              <w:bottom w:val="single" w:sz="4" w:space="0" w:color="auto"/>
              <w:right w:val="single" w:sz="4" w:space="0" w:color="auto"/>
            </w:tcBorders>
            <w:shd w:val="clear" w:color="auto" w:fill="auto"/>
            <w:noWrap/>
            <w:vAlign w:val="center"/>
            <w:hideMark/>
          </w:tcPr>
          <w:p w14:paraId="2B4A0297"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0,2</w:t>
            </w:r>
          </w:p>
        </w:tc>
        <w:tc>
          <w:tcPr>
            <w:tcW w:w="704" w:type="dxa"/>
            <w:tcBorders>
              <w:top w:val="nil"/>
              <w:left w:val="nil"/>
              <w:bottom w:val="single" w:sz="4" w:space="0" w:color="auto"/>
              <w:right w:val="single" w:sz="4" w:space="0" w:color="auto"/>
            </w:tcBorders>
            <w:shd w:val="clear" w:color="auto" w:fill="auto"/>
            <w:noWrap/>
            <w:vAlign w:val="center"/>
            <w:hideMark/>
          </w:tcPr>
          <w:p w14:paraId="51522A6E"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0,2</w:t>
            </w:r>
          </w:p>
        </w:tc>
        <w:tc>
          <w:tcPr>
            <w:tcW w:w="790" w:type="dxa"/>
            <w:tcBorders>
              <w:top w:val="nil"/>
              <w:left w:val="nil"/>
              <w:bottom w:val="single" w:sz="4" w:space="0" w:color="auto"/>
              <w:right w:val="single" w:sz="4" w:space="0" w:color="auto"/>
            </w:tcBorders>
            <w:shd w:val="clear" w:color="auto" w:fill="auto"/>
            <w:noWrap/>
            <w:vAlign w:val="center"/>
            <w:hideMark/>
          </w:tcPr>
          <w:p w14:paraId="5832940D" w14:textId="6989E2D6"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751" w:type="dxa"/>
            <w:tcBorders>
              <w:top w:val="nil"/>
              <w:left w:val="nil"/>
              <w:bottom w:val="single" w:sz="4" w:space="0" w:color="auto"/>
              <w:right w:val="single" w:sz="4" w:space="0" w:color="auto"/>
            </w:tcBorders>
            <w:shd w:val="clear" w:color="auto" w:fill="auto"/>
            <w:noWrap/>
            <w:vAlign w:val="center"/>
            <w:hideMark/>
          </w:tcPr>
          <w:p w14:paraId="2766AB9D" w14:textId="69D027E5"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r>
      <w:tr w:rsidR="00590A19" w:rsidRPr="00584719" w14:paraId="4C953C01" w14:textId="77777777" w:rsidTr="00584719">
        <w:trPr>
          <w:trHeight w:val="562"/>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2AD1B078"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Atbilstoši likumam "Grozījumi likumā "Par valsts pensijām"" (izsludināts 29.06.2017.)</w:t>
            </w:r>
          </w:p>
        </w:tc>
        <w:tc>
          <w:tcPr>
            <w:tcW w:w="778" w:type="dxa"/>
            <w:tcBorders>
              <w:top w:val="nil"/>
              <w:left w:val="nil"/>
              <w:bottom w:val="single" w:sz="4" w:space="0" w:color="auto"/>
              <w:right w:val="single" w:sz="4" w:space="0" w:color="auto"/>
            </w:tcBorders>
            <w:shd w:val="clear" w:color="auto" w:fill="auto"/>
            <w:noWrap/>
            <w:vAlign w:val="center"/>
            <w:hideMark/>
          </w:tcPr>
          <w:p w14:paraId="496BA79C" w14:textId="71977B91"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656" w:type="dxa"/>
            <w:tcBorders>
              <w:top w:val="nil"/>
              <w:left w:val="nil"/>
              <w:bottom w:val="single" w:sz="4" w:space="0" w:color="auto"/>
              <w:right w:val="single" w:sz="4" w:space="0" w:color="auto"/>
            </w:tcBorders>
            <w:shd w:val="clear" w:color="auto" w:fill="auto"/>
            <w:noWrap/>
            <w:vAlign w:val="center"/>
            <w:hideMark/>
          </w:tcPr>
          <w:p w14:paraId="4209F878"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16,6</w:t>
            </w:r>
          </w:p>
        </w:tc>
        <w:tc>
          <w:tcPr>
            <w:tcW w:w="704" w:type="dxa"/>
            <w:tcBorders>
              <w:top w:val="nil"/>
              <w:left w:val="nil"/>
              <w:bottom w:val="single" w:sz="4" w:space="0" w:color="auto"/>
              <w:right w:val="single" w:sz="4" w:space="0" w:color="auto"/>
            </w:tcBorders>
            <w:shd w:val="clear" w:color="auto" w:fill="auto"/>
            <w:noWrap/>
            <w:vAlign w:val="center"/>
            <w:hideMark/>
          </w:tcPr>
          <w:p w14:paraId="138DE38C"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26,5</w:t>
            </w:r>
          </w:p>
        </w:tc>
        <w:tc>
          <w:tcPr>
            <w:tcW w:w="790" w:type="dxa"/>
            <w:tcBorders>
              <w:top w:val="nil"/>
              <w:left w:val="nil"/>
              <w:bottom w:val="single" w:sz="4" w:space="0" w:color="auto"/>
              <w:right w:val="single" w:sz="4" w:space="0" w:color="auto"/>
            </w:tcBorders>
            <w:shd w:val="clear" w:color="auto" w:fill="auto"/>
            <w:noWrap/>
            <w:vAlign w:val="center"/>
            <w:hideMark/>
          </w:tcPr>
          <w:p w14:paraId="455F1E11"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-19,4</w:t>
            </w:r>
          </w:p>
        </w:tc>
        <w:tc>
          <w:tcPr>
            <w:tcW w:w="751" w:type="dxa"/>
            <w:tcBorders>
              <w:top w:val="nil"/>
              <w:left w:val="nil"/>
              <w:bottom w:val="single" w:sz="4" w:space="0" w:color="auto"/>
              <w:right w:val="single" w:sz="4" w:space="0" w:color="auto"/>
            </w:tcBorders>
            <w:shd w:val="clear" w:color="auto" w:fill="auto"/>
            <w:noWrap/>
            <w:vAlign w:val="center"/>
            <w:hideMark/>
          </w:tcPr>
          <w:p w14:paraId="6D115275" w14:textId="5B6C61C9"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r>
      <w:tr w:rsidR="00590A19" w:rsidRPr="00584719" w14:paraId="39F475C2" w14:textId="77777777" w:rsidTr="00584719">
        <w:trPr>
          <w:trHeight w:val="562"/>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142BC29D"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Atbilstoši likumam “Grozījumi likumā “Par valsts pensijām”” (pieņemts Saeimā 26.04.18.)</w:t>
            </w:r>
          </w:p>
        </w:tc>
        <w:tc>
          <w:tcPr>
            <w:tcW w:w="778" w:type="dxa"/>
            <w:tcBorders>
              <w:top w:val="nil"/>
              <w:left w:val="nil"/>
              <w:bottom w:val="single" w:sz="4" w:space="0" w:color="auto"/>
              <w:right w:val="single" w:sz="4" w:space="0" w:color="auto"/>
            </w:tcBorders>
            <w:shd w:val="clear" w:color="auto" w:fill="auto"/>
            <w:noWrap/>
            <w:vAlign w:val="center"/>
            <w:hideMark/>
          </w:tcPr>
          <w:p w14:paraId="6DD5C91D" w14:textId="67F03C73"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656" w:type="dxa"/>
            <w:tcBorders>
              <w:top w:val="nil"/>
              <w:left w:val="nil"/>
              <w:bottom w:val="single" w:sz="4" w:space="0" w:color="auto"/>
              <w:right w:val="single" w:sz="4" w:space="0" w:color="auto"/>
            </w:tcBorders>
            <w:shd w:val="clear" w:color="auto" w:fill="auto"/>
            <w:noWrap/>
            <w:vAlign w:val="center"/>
            <w:hideMark/>
          </w:tcPr>
          <w:p w14:paraId="3D9153B3"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1,0</w:t>
            </w:r>
          </w:p>
        </w:tc>
        <w:tc>
          <w:tcPr>
            <w:tcW w:w="704" w:type="dxa"/>
            <w:tcBorders>
              <w:top w:val="nil"/>
              <w:left w:val="nil"/>
              <w:bottom w:val="single" w:sz="4" w:space="0" w:color="auto"/>
              <w:right w:val="single" w:sz="4" w:space="0" w:color="auto"/>
            </w:tcBorders>
            <w:shd w:val="clear" w:color="auto" w:fill="auto"/>
            <w:noWrap/>
            <w:vAlign w:val="center"/>
            <w:hideMark/>
          </w:tcPr>
          <w:p w14:paraId="0B44BEBD"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5,9</w:t>
            </w:r>
          </w:p>
        </w:tc>
        <w:tc>
          <w:tcPr>
            <w:tcW w:w="790" w:type="dxa"/>
            <w:tcBorders>
              <w:top w:val="nil"/>
              <w:left w:val="nil"/>
              <w:bottom w:val="single" w:sz="4" w:space="0" w:color="auto"/>
              <w:right w:val="single" w:sz="4" w:space="0" w:color="auto"/>
            </w:tcBorders>
            <w:shd w:val="clear" w:color="auto" w:fill="auto"/>
            <w:noWrap/>
            <w:vAlign w:val="center"/>
            <w:hideMark/>
          </w:tcPr>
          <w:p w14:paraId="675621CA"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6,5</w:t>
            </w:r>
          </w:p>
        </w:tc>
        <w:tc>
          <w:tcPr>
            <w:tcW w:w="751" w:type="dxa"/>
            <w:tcBorders>
              <w:top w:val="nil"/>
              <w:left w:val="nil"/>
              <w:bottom w:val="single" w:sz="4" w:space="0" w:color="auto"/>
              <w:right w:val="single" w:sz="4" w:space="0" w:color="auto"/>
            </w:tcBorders>
            <w:shd w:val="clear" w:color="auto" w:fill="auto"/>
            <w:noWrap/>
            <w:vAlign w:val="center"/>
            <w:hideMark/>
          </w:tcPr>
          <w:p w14:paraId="6E5B2702"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0,5</w:t>
            </w:r>
          </w:p>
        </w:tc>
      </w:tr>
      <w:tr w:rsidR="00590A19" w:rsidRPr="00584719" w14:paraId="1537C84D" w14:textId="77777777" w:rsidTr="00584719">
        <w:trPr>
          <w:trHeight w:val="562"/>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72565B08" w14:textId="77777777" w:rsidR="00590A19" w:rsidRPr="00584719" w:rsidRDefault="00590A19" w:rsidP="00FC6F14">
            <w:pPr>
              <w:spacing w:after="0" w:line="240" w:lineRule="auto"/>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Atbilstoši likumam “Grozījumi likumā “Par valsts pensijām”” (pieņemts Saeimā 27.09.18.)</w:t>
            </w:r>
          </w:p>
        </w:tc>
        <w:tc>
          <w:tcPr>
            <w:tcW w:w="778" w:type="dxa"/>
            <w:tcBorders>
              <w:top w:val="nil"/>
              <w:left w:val="nil"/>
              <w:bottom w:val="single" w:sz="4" w:space="0" w:color="auto"/>
              <w:right w:val="single" w:sz="4" w:space="0" w:color="auto"/>
            </w:tcBorders>
            <w:shd w:val="clear" w:color="auto" w:fill="auto"/>
            <w:noWrap/>
            <w:vAlign w:val="center"/>
            <w:hideMark/>
          </w:tcPr>
          <w:p w14:paraId="75EF2DA6" w14:textId="064BFF38"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656" w:type="dxa"/>
            <w:tcBorders>
              <w:top w:val="nil"/>
              <w:left w:val="nil"/>
              <w:bottom w:val="single" w:sz="4" w:space="0" w:color="auto"/>
              <w:right w:val="single" w:sz="4" w:space="0" w:color="auto"/>
            </w:tcBorders>
            <w:shd w:val="clear" w:color="auto" w:fill="auto"/>
            <w:noWrap/>
            <w:vAlign w:val="center"/>
            <w:hideMark/>
          </w:tcPr>
          <w:p w14:paraId="73B7414C" w14:textId="2C8AA8FD"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p>
        </w:tc>
        <w:tc>
          <w:tcPr>
            <w:tcW w:w="704" w:type="dxa"/>
            <w:tcBorders>
              <w:top w:val="nil"/>
              <w:left w:val="nil"/>
              <w:bottom w:val="single" w:sz="4" w:space="0" w:color="auto"/>
              <w:right w:val="single" w:sz="4" w:space="0" w:color="auto"/>
            </w:tcBorders>
            <w:shd w:val="clear" w:color="auto" w:fill="auto"/>
            <w:noWrap/>
            <w:vAlign w:val="center"/>
            <w:hideMark/>
          </w:tcPr>
          <w:p w14:paraId="5850F486"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3,4</w:t>
            </w:r>
          </w:p>
        </w:tc>
        <w:tc>
          <w:tcPr>
            <w:tcW w:w="790" w:type="dxa"/>
            <w:tcBorders>
              <w:top w:val="nil"/>
              <w:left w:val="nil"/>
              <w:bottom w:val="single" w:sz="4" w:space="0" w:color="auto"/>
              <w:right w:val="single" w:sz="4" w:space="0" w:color="auto"/>
            </w:tcBorders>
            <w:shd w:val="clear" w:color="auto" w:fill="auto"/>
            <w:noWrap/>
            <w:vAlign w:val="center"/>
            <w:hideMark/>
          </w:tcPr>
          <w:p w14:paraId="34C19285"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11,7</w:t>
            </w:r>
          </w:p>
        </w:tc>
        <w:tc>
          <w:tcPr>
            <w:tcW w:w="751" w:type="dxa"/>
            <w:tcBorders>
              <w:top w:val="nil"/>
              <w:left w:val="nil"/>
              <w:bottom w:val="single" w:sz="4" w:space="0" w:color="auto"/>
              <w:right w:val="single" w:sz="4" w:space="0" w:color="auto"/>
            </w:tcBorders>
            <w:shd w:val="clear" w:color="auto" w:fill="auto"/>
            <w:noWrap/>
            <w:vAlign w:val="center"/>
            <w:hideMark/>
          </w:tcPr>
          <w:p w14:paraId="011EC9FE" w14:textId="77777777" w:rsidR="00590A19" w:rsidRPr="00584719" w:rsidRDefault="00590A19" w:rsidP="00584719">
            <w:pPr>
              <w:spacing w:after="0" w:line="240" w:lineRule="auto"/>
              <w:jc w:val="center"/>
              <w:rPr>
                <w:rFonts w:ascii="Times New Roman" w:eastAsia="Times New Roman" w:hAnsi="Times New Roman" w:cs="Times New Roman"/>
                <w:color w:val="000000"/>
                <w:lang w:eastAsia="lv-LV"/>
              </w:rPr>
            </w:pPr>
            <w:r w:rsidRPr="00584719">
              <w:rPr>
                <w:rFonts w:ascii="Times New Roman" w:eastAsia="Times New Roman" w:hAnsi="Times New Roman" w:cs="Times New Roman"/>
                <w:color w:val="000000"/>
                <w:lang w:eastAsia="lv-LV"/>
              </w:rPr>
              <w:t>7,6</w:t>
            </w:r>
          </w:p>
        </w:tc>
      </w:tr>
      <w:tr w:rsidR="00590A19" w:rsidRPr="00584719" w14:paraId="4C8D2AB3" w14:textId="77777777" w:rsidTr="00584719">
        <w:trPr>
          <w:trHeight w:val="281"/>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80C0034" w14:textId="77777777" w:rsidR="00590A19" w:rsidRPr="00584719" w:rsidRDefault="00590A19" w:rsidP="00FC6F14">
            <w:pPr>
              <w:spacing w:after="0" w:line="240" w:lineRule="auto"/>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Kopā</w:t>
            </w:r>
          </w:p>
        </w:tc>
        <w:tc>
          <w:tcPr>
            <w:tcW w:w="778" w:type="dxa"/>
            <w:tcBorders>
              <w:top w:val="nil"/>
              <w:left w:val="nil"/>
              <w:bottom w:val="single" w:sz="4" w:space="0" w:color="auto"/>
              <w:right w:val="single" w:sz="4" w:space="0" w:color="auto"/>
            </w:tcBorders>
            <w:shd w:val="clear" w:color="auto" w:fill="auto"/>
            <w:noWrap/>
            <w:vAlign w:val="center"/>
            <w:hideMark/>
          </w:tcPr>
          <w:p w14:paraId="1F707BC9" w14:textId="77777777" w:rsidR="00590A19" w:rsidRPr="00584719" w:rsidRDefault="00590A19" w:rsidP="00584719">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8,0</w:t>
            </w:r>
          </w:p>
        </w:tc>
        <w:tc>
          <w:tcPr>
            <w:tcW w:w="656" w:type="dxa"/>
            <w:tcBorders>
              <w:top w:val="nil"/>
              <w:left w:val="nil"/>
              <w:bottom w:val="single" w:sz="4" w:space="0" w:color="auto"/>
              <w:right w:val="single" w:sz="4" w:space="0" w:color="auto"/>
            </w:tcBorders>
            <w:shd w:val="clear" w:color="auto" w:fill="auto"/>
            <w:noWrap/>
            <w:vAlign w:val="center"/>
            <w:hideMark/>
          </w:tcPr>
          <w:p w14:paraId="39498248" w14:textId="77777777" w:rsidR="00590A19" w:rsidRPr="00584719" w:rsidRDefault="00590A19" w:rsidP="00584719">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40,9</w:t>
            </w:r>
          </w:p>
        </w:tc>
        <w:tc>
          <w:tcPr>
            <w:tcW w:w="704" w:type="dxa"/>
            <w:tcBorders>
              <w:top w:val="nil"/>
              <w:left w:val="nil"/>
              <w:bottom w:val="single" w:sz="4" w:space="0" w:color="auto"/>
              <w:right w:val="single" w:sz="4" w:space="0" w:color="auto"/>
            </w:tcBorders>
            <w:shd w:val="clear" w:color="auto" w:fill="auto"/>
            <w:noWrap/>
            <w:vAlign w:val="center"/>
            <w:hideMark/>
          </w:tcPr>
          <w:p w14:paraId="5417E573" w14:textId="77777777" w:rsidR="00590A19" w:rsidRPr="00584719" w:rsidRDefault="00590A19" w:rsidP="00584719">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63,5</w:t>
            </w:r>
          </w:p>
        </w:tc>
        <w:tc>
          <w:tcPr>
            <w:tcW w:w="790" w:type="dxa"/>
            <w:tcBorders>
              <w:top w:val="nil"/>
              <w:left w:val="nil"/>
              <w:bottom w:val="single" w:sz="4" w:space="0" w:color="auto"/>
              <w:right w:val="single" w:sz="4" w:space="0" w:color="auto"/>
            </w:tcBorders>
            <w:shd w:val="clear" w:color="auto" w:fill="auto"/>
            <w:noWrap/>
            <w:vAlign w:val="center"/>
            <w:hideMark/>
          </w:tcPr>
          <w:p w14:paraId="33CA547B" w14:textId="77777777" w:rsidR="00590A19" w:rsidRPr="00584719" w:rsidRDefault="00590A19" w:rsidP="00584719">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-1,2</w:t>
            </w:r>
          </w:p>
        </w:tc>
        <w:tc>
          <w:tcPr>
            <w:tcW w:w="751" w:type="dxa"/>
            <w:tcBorders>
              <w:top w:val="nil"/>
              <w:left w:val="nil"/>
              <w:bottom w:val="single" w:sz="4" w:space="0" w:color="auto"/>
              <w:right w:val="single" w:sz="4" w:space="0" w:color="auto"/>
            </w:tcBorders>
            <w:shd w:val="clear" w:color="auto" w:fill="auto"/>
            <w:noWrap/>
            <w:vAlign w:val="center"/>
            <w:hideMark/>
          </w:tcPr>
          <w:p w14:paraId="7417B524" w14:textId="77777777" w:rsidR="00590A19" w:rsidRPr="00584719" w:rsidRDefault="00590A19" w:rsidP="00584719">
            <w:pPr>
              <w:spacing w:after="0" w:line="240" w:lineRule="auto"/>
              <w:jc w:val="center"/>
              <w:rPr>
                <w:rFonts w:ascii="Times New Roman" w:eastAsia="Times New Roman" w:hAnsi="Times New Roman" w:cs="Times New Roman"/>
                <w:b/>
                <w:bCs/>
                <w:color w:val="000000"/>
                <w:lang w:eastAsia="lv-LV"/>
              </w:rPr>
            </w:pPr>
            <w:r w:rsidRPr="00584719">
              <w:rPr>
                <w:rFonts w:ascii="Times New Roman" w:eastAsia="Times New Roman" w:hAnsi="Times New Roman" w:cs="Times New Roman"/>
                <w:b/>
                <w:bCs/>
                <w:color w:val="000000"/>
                <w:lang w:eastAsia="lv-LV"/>
              </w:rPr>
              <w:t>8,1</w:t>
            </w:r>
          </w:p>
        </w:tc>
      </w:tr>
    </w:tbl>
    <w:p w14:paraId="5EAC0259" w14:textId="77777777" w:rsidR="00590A19" w:rsidRDefault="00590A19" w:rsidP="00590A19">
      <w:pPr>
        <w:spacing w:after="0" w:line="240" w:lineRule="auto"/>
        <w:ind w:firstLine="720"/>
        <w:rPr>
          <w:rFonts w:ascii="Times New Roman" w:eastAsiaTheme="minorHAnsi" w:hAnsi="Times New Roman" w:cs="Times New Roman"/>
          <w:sz w:val="24"/>
          <w:szCs w:val="20"/>
        </w:rPr>
      </w:pPr>
    </w:p>
    <w:p w14:paraId="07E2EAB3" w14:textId="49E8583D" w:rsidR="00590A19" w:rsidRDefault="00590A19" w:rsidP="00D43296">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Tabulā ir apkopota informācija par Saeimā</w:t>
      </w:r>
      <w:r w:rsidR="00786453">
        <w:rPr>
          <w:rFonts w:ascii="Times New Roman" w:eastAsiaTheme="minorHAnsi" w:hAnsi="Times New Roman" w:cs="Times New Roman"/>
          <w:sz w:val="24"/>
          <w:szCs w:val="20"/>
        </w:rPr>
        <w:t xml:space="preserve"> pieņemtajiem lēmumiem no 2016.</w:t>
      </w:r>
      <w:r>
        <w:rPr>
          <w:rFonts w:ascii="Times New Roman" w:eastAsiaTheme="minorHAnsi" w:hAnsi="Times New Roman" w:cs="Times New Roman"/>
          <w:sz w:val="24"/>
          <w:szCs w:val="20"/>
        </w:rPr>
        <w:t xml:space="preserve">gada, kas ievieš izmaiņas labklājības nozares normatīvajā regulējumā ārpus valsts budžeta sagatavošanas procesa. Tajā pašā laikā jāatzīmē, ka bieži vien lēmumi par izdevumu paaugstināšanu ir tikuši pieņemti situācijā, kad nav bijusi pieejam fiskālā telpa, kas paaugstina risku, ka vispārējās valdības budžeta deficīts var pārsniegt ietvara likumā definēto mērķi. </w:t>
      </w:r>
    </w:p>
    <w:p w14:paraId="27528AC1" w14:textId="77777777" w:rsidR="00590A19" w:rsidRDefault="00590A19" w:rsidP="00D43296">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Pieņemtie lēmumi pamatā ir bijuši saistīti ar vecuma pensiju indeksācijas straujāku augšupvērstu pārskatīšanu, pensiju piemaksu palielināšanu, kā arī sociālo pabalstu paaugstināšanu. Šo lēmumu analīze ir nozīmīgi no tāda aspekta, ka tiem ir vērojams izteikts sistēmisks raksturs t.i. tie tiek pieņemti katru gadu un turpmākajos gados paaugstina valsts budžeta izdevumu līmeni. </w:t>
      </w:r>
    </w:p>
    <w:p w14:paraId="24A1CAA8" w14:textId="77777777" w:rsidR="00590A19" w:rsidRDefault="00590A19" w:rsidP="00D43296">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Līdz ar to turpmākajos periodos ir jāvērtē vai šāda diskrecionāra politika, līdztekus tādiem dabiskajiem procesiem kā sabiedrības novecošanās, dzīves ilguma paaugstināšanās un darba samaksas pieaugums, nerada spiedienu uz labklājības nozares budžeta izdevumu tendenču izmaiņām un joprojām ir uzturams pieņēmums, ka fiskālie riski labklājības nozarē ir simetriski un tiem nav jāveido fiskālā nodrošinājuma rezerve.</w:t>
      </w:r>
    </w:p>
    <w:p w14:paraId="06B31435" w14:textId="77777777" w:rsidR="00590A19" w:rsidRDefault="00590A19" w:rsidP="00D43296">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Pašlaik </w:t>
      </w:r>
      <w:r w:rsidRPr="00CE26E9">
        <w:rPr>
          <w:rFonts w:ascii="Times New Roman" w:eastAsiaTheme="minorHAnsi" w:hAnsi="Times New Roman" w:cs="Times New Roman"/>
          <w:sz w:val="24"/>
          <w:szCs w:val="20"/>
        </w:rPr>
        <w:t xml:space="preserve"> šis fiskālais risks tiek atzīts par simetrisku fiskālo risku. Tādējādi varbūtība, ka izdevumi būs virs vai zem plānotā ir 50% un fiskālā ietekme vidējā termiņā nav ar izteiktu tendenci </w:t>
      </w:r>
      <w:r w:rsidRPr="00CE26E9">
        <w:rPr>
          <w:rFonts w:ascii="Times New Roman" w:eastAsiaTheme="minorHAnsi" w:hAnsi="Times New Roman" w:cs="Times New Roman"/>
          <w:sz w:val="24"/>
          <w:szCs w:val="20"/>
        </w:rPr>
        <w:lastRenderedPageBreak/>
        <w:t>palielinājuma virzienā. Attiecīgi ar labklājības nozari saistītie fiskālie riski nav ietverti fiskālā nodrošinājuma rezerves aprēķinā.</w:t>
      </w:r>
    </w:p>
    <w:p w14:paraId="1F1AE43C" w14:textId="77777777" w:rsidR="00590A19" w:rsidRDefault="00590A19" w:rsidP="00590A19"/>
    <w:p w14:paraId="6DE63078" w14:textId="77777777"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8" w:name="_Toc405371079"/>
      <w:bookmarkStart w:id="19" w:name="_Toc536626717"/>
      <w:r w:rsidRPr="00521C35">
        <w:rPr>
          <w:rFonts w:ascii="Times New Roman" w:hAnsi="Times New Roman" w:cs="Times New Roman"/>
          <w:color w:val="auto"/>
          <w:sz w:val="24"/>
          <w:szCs w:val="24"/>
        </w:rPr>
        <w:t>Kārtējo maksājumu Eiropas Savienības budžetā un starptautiskai sadarbībai pieaugums</w:t>
      </w:r>
      <w:bookmarkEnd w:id="18"/>
      <w:bookmarkEnd w:id="19"/>
    </w:p>
    <w:p w14:paraId="32DE6534" w14:textId="77777777" w:rsidR="00A93036" w:rsidRPr="0089209F" w:rsidRDefault="00A93036" w:rsidP="00A93036">
      <w:pPr>
        <w:spacing w:after="0" w:line="240" w:lineRule="auto"/>
        <w:ind w:firstLine="720"/>
        <w:jc w:val="both"/>
        <w:rPr>
          <w:rFonts w:ascii="Times New Roman" w:hAnsi="Times New Roman"/>
          <w:sz w:val="24"/>
          <w:szCs w:val="24"/>
        </w:rPr>
      </w:pPr>
      <w:r w:rsidRPr="0089209F">
        <w:rPr>
          <w:rFonts w:ascii="Times New Roman" w:hAnsi="Times New Roman"/>
          <w:sz w:val="24"/>
          <w:szCs w:val="24"/>
        </w:rPr>
        <w:t xml:space="preserve">Fiskālais risks iestājas gadījumā, ja kārtējo maksājumu </w:t>
      </w:r>
      <w:r>
        <w:rPr>
          <w:rFonts w:ascii="Times New Roman" w:hAnsi="Times New Roman"/>
          <w:sz w:val="24"/>
          <w:szCs w:val="24"/>
        </w:rPr>
        <w:t>ES</w:t>
      </w:r>
      <w:r w:rsidRPr="0089209F">
        <w:rPr>
          <w:rFonts w:ascii="Times New Roman" w:hAnsi="Times New Roman"/>
          <w:sz w:val="24"/>
          <w:szCs w:val="24"/>
        </w:rPr>
        <w:t xml:space="preserve"> budžetā nodrošināšanai ir nepieciešams veikt apropriācijas palielināšanu, kā rezultātā rodas negatīva ietekme uz vispārējās valdības budžeta bilanci. Savukārt, ja notiek apropriācijas samazināšana, tad </w:t>
      </w:r>
      <w:r w:rsidR="009D6109">
        <w:rPr>
          <w:rFonts w:ascii="Times New Roman" w:hAnsi="Times New Roman"/>
          <w:sz w:val="24"/>
          <w:szCs w:val="24"/>
        </w:rPr>
        <w:t xml:space="preserve">tai </w:t>
      </w:r>
      <w:r w:rsidRPr="0089209F">
        <w:rPr>
          <w:rFonts w:ascii="Times New Roman" w:hAnsi="Times New Roman"/>
          <w:sz w:val="24"/>
          <w:szCs w:val="24"/>
        </w:rPr>
        <w:t xml:space="preserve">ir pozitīva ietekme uz vispārējās valdības budžeta bilanci. </w:t>
      </w:r>
    </w:p>
    <w:p w14:paraId="18DD4E3D" w14:textId="77777777" w:rsidR="00A93036" w:rsidRPr="0089209F" w:rsidRDefault="00A93036" w:rsidP="00A93036">
      <w:pPr>
        <w:spacing w:after="0" w:line="240" w:lineRule="auto"/>
        <w:ind w:firstLine="720"/>
        <w:jc w:val="both"/>
        <w:rPr>
          <w:rFonts w:ascii="Times New Roman" w:hAnsi="Times New Roman"/>
          <w:sz w:val="24"/>
          <w:szCs w:val="24"/>
        </w:rPr>
      </w:pPr>
      <w:r w:rsidRPr="0089209F">
        <w:rPr>
          <w:rFonts w:ascii="Times New Roman" w:hAnsi="Times New Roman"/>
          <w:sz w:val="24"/>
          <w:szCs w:val="24"/>
        </w:rPr>
        <w:t xml:space="preserve">Iemaksu </w:t>
      </w:r>
      <w:r>
        <w:rPr>
          <w:rFonts w:ascii="Times New Roman" w:hAnsi="Times New Roman"/>
          <w:sz w:val="24"/>
          <w:szCs w:val="24"/>
        </w:rPr>
        <w:t>ES</w:t>
      </w:r>
      <w:r w:rsidRPr="0089209F">
        <w:rPr>
          <w:rFonts w:ascii="Times New Roman" w:hAnsi="Times New Roman"/>
          <w:sz w:val="24"/>
          <w:szCs w:val="24"/>
        </w:rPr>
        <w:t xml:space="preserve"> budžetā apmēru ietekmē </w:t>
      </w:r>
      <w:r>
        <w:rPr>
          <w:rFonts w:ascii="Times New Roman" w:hAnsi="Times New Roman"/>
          <w:sz w:val="24"/>
          <w:szCs w:val="24"/>
        </w:rPr>
        <w:t>šādi</w:t>
      </w:r>
      <w:r w:rsidRPr="0089209F">
        <w:rPr>
          <w:rFonts w:ascii="Times New Roman" w:hAnsi="Times New Roman"/>
          <w:sz w:val="24"/>
          <w:szCs w:val="24"/>
        </w:rPr>
        <w:t xml:space="preserve"> faktori:</w:t>
      </w:r>
    </w:p>
    <w:p w14:paraId="7D0F4589" w14:textId="77777777"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w:t>
      </w:r>
      <w:r w:rsidRPr="0089209F">
        <w:rPr>
          <w:rFonts w:ascii="Times New Roman" w:hAnsi="Times New Roman"/>
          <w:sz w:val="24"/>
          <w:szCs w:val="24"/>
        </w:rPr>
        <w:t xml:space="preserve"> budžeta </w:t>
      </w:r>
      <w:r>
        <w:rPr>
          <w:rFonts w:ascii="Times New Roman" w:hAnsi="Times New Roman"/>
          <w:sz w:val="24"/>
          <w:szCs w:val="24"/>
        </w:rPr>
        <w:t xml:space="preserve">kopapjoms, kas </w:t>
      </w:r>
      <w:r w:rsidRPr="00021A26">
        <w:rPr>
          <w:rFonts w:ascii="Times New Roman" w:hAnsi="Times New Roman"/>
          <w:sz w:val="24"/>
          <w:szCs w:val="24"/>
        </w:rPr>
        <w:t>nosaka</w:t>
      </w:r>
      <w:r>
        <w:rPr>
          <w:rFonts w:ascii="Times New Roman" w:hAnsi="Times New Roman"/>
          <w:sz w:val="24"/>
          <w:szCs w:val="24"/>
        </w:rPr>
        <w:t xml:space="preserve"> </w:t>
      </w:r>
      <w:r w:rsidRPr="0089209F">
        <w:rPr>
          <w:rFonts w:ascii="Times New Roman" w:hAnsi="Times New Roman"/>
          <w:sz w:val="24"/>
          <w:szCs w:val="24"/>
        </w:rPr>
        <w:t>izdevumu apmēr</w:t>
      </w:r>
      <w:r>
        <w:rPr>
          <w:rFonts w:ascii="Times New Roman" w:hAnsi="Times New Roman"/>
          <w:sz w:val="24"/>
          <w:szCs w:val="24"/>
        </w:rPr>
        <w:t xml:space="preserve">u, ko </w:t>
      </w:r>
      <w:r w:rsidRPr="00021A26">
        <w:rPr>
          <w:rFonts w:ascii="Times New Roman" w:hAnsi="Times New Roman"/>
          <w:sz w:val="24"/>
          <w:szCs w:val="24"/>
        </w:rPr>
        <w:t>dalībvalstis finansē proporcionāli to labklājības līmenim</w:t>
      </w:r>
      <w:r>
        <w:rPr>
          <w:rFonts w:ascii="Times New Roman" w:hAnsi="Times New Roman"/>
          <w:sz w:val="24"/>
          <w:szCs w:val="24"/>
        </w:rPr>
        <w:t>, un ES budžeta grozījumi, ar kuru palīdzību ES budžeta kopapjoms</w:t>
      </w:r>
      <w:r w:rsidRPr="00607D91">
        <w:rPr>
          <w:rFonts w:ascii="Times New Roman" w:hAnsi="Times New Roman"/>
          <w:sz w:val="24"/>
          <w:szCs w:val="24"/>
        </w:rPr>
        <w:t xml:space="preserve"> </w:t>
      </w:r>
      <w:r>
        <w:rPr>
          <w:rFonts w:ascii="Times New Roman" w:hAnsi="Times New Roman"/>
          <w:sz w:val="24"/>
          <w:szCs w:val="24"/>
        </w:rPr>
        <w:t>var tikt mainīts. Ja ES budžeta izdevumi pieaug, iemaksas ES budžetā arī palielinās un otrādi</w:t>
      </w:r>
      <w:r w:rsidRPr="0089209F">
        <w:rPr>
          <w:rFonts w:ascii="Times New Roman" w:hAnsi="Times New Roman"/>
          <w:sz w:val="24"/>
          <w:szCs w:val="24"/>
        </w:rPr>
        <w:t>;</w:t>
      </w:r>
    </w:p>
    <w:p w14:paraId="4DEB8EA2" w14:textId="77777777"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 budžeta grozījumu apstiprināšanas gaita. Ja ES budžeta grozījumi tiek apstiprināti tekošā gada beigās, tie var faktiski (pēc naudas plūsmas) ietekmēt nākamā gada maksājumus ES budžetā;</w:t>
      </w:r>
    </w:p>
    <w:p w14:paraId="60CBAC0D" w14:textId="77777777" w:rsidR="00A93036" w:rsidRPr="0089209F" w:rsidRDefault="00A93036" w:rsidP="00A93036">
      <w:pPr>
        <w:pStyle w:val="ListParagraph"/>
        <w:numPr>
          <w:ilvl w:val="0"/>
          <w:numId w:val="2"/>
        </w:numPr>
        <w:ind w:left="709"/>
        <w:rPr>
          <w:rFonts w:ascii="Times New Roman" w:hAnsi="Times New Roman"/>
          <w:sz w:val="24"/>
          <w:szCs w:val="24"/>
        </w:rPr>
      </w:pPr>
      <w:r w:rsidRPr="002F0959">
        <w:rPr>
          <w:rFonts w:ascii="Times New Roman" w:hAnsi="Times New Roman"/>
          <w:sz w:val="24"/>
          <w:szCs w:val="24"/>
        </w:rPr>
        <w:t>Latvija</w:t>
      </w:r>
      <w:r>
        <w:rPr>
          <w:rFonts w:ascii="Times New Roman" w:hAnsi="Times New Roman"/>
          <w:sz w:val="24"/>
          <w:szCs w:val="24"/>
        </w:rPr>
        <w:t xml:space="preserve">s izaugsmes rādītāji un to izmaiņas, ņemot vērā, ka </w:t>
      </w:r>
      <w:r w:rsidRPr="002F0959">
        <w:rPr>
          <w:rFonts w:ascii="Times New Roman" w:hAnsi="Times New Roman"/>
          <w:sz w:val="24"/>
          <w:szCs w:val="24"/>
        </w:rPr>
        <w:t>ES izdevumus dalībvalstis finansē proporcionāli to labklājības līmenim</w:t>
      </w:r>
      <w:r>
        <w:rPr>
          <w:rFonts w:ascii="Times New Roman" w:hAnsi="Times New Roman"/>
          <w:sz w:val="24"/>
          <w:szCs w:val="24"/>
        </w:rPr>
        <w:t>;</w:t>
      </w:r>
    </w:p>
    <w:p w14:paraId="00944857" w14:textId="77777777" w:rsidR="00A93036" w:rsidRPr="0089209F"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citu</w:t>
      </w:r>
      <w:r w:rsidRPr="0089209F">
        <w:rPr>
          <w:rFonts w:ascii="Times New Roman" w:hAnsi="Times New Roman"/>
          <w:sz w:val="24"/>
          <w:szCs w:val="24"/>
        </w:rPr>
        <w:t xml:space="preserve"> </w:t>
      </w:r>
      <w:r>
        <w:rPr>
          <w:rFonts w:ascii="Times New Roman" w:hAnsi="Times New Roman"/>
          <w:sz w:val="24"/>
          <w:szCs w:val="24"/>
        </w:rPr>
        <w:t xml:space="preserve">ES budžeta </w:t>
      </w:r>
      <w:r w:rsidRPr="0089209F">
        <w:rPr>
          <w:rFonts w:ascii="Times New Roman" w:hAnsi="Times New Roman"/>
          <w:sz w:val="24"/>
          <w:szCs w:val="24"/>
        </w:rPr>
        <w:t xml:space="preserve">ieņēmumu apmērs (iekasētās soda naudas, kavējumu procenti, </w:t>
      </w:r>
      <w:r w:rsidRPr="00DF385A">
        <w:rPr>
          <w:rFonts w:ascii="Times New Roman" w:hAnsi="Times New Roman"/>
          <w:sz w:val="24"/>
          <w:szCs w:val="24"/>
        </w:rPr>
        <w:t xml:space="preserve">iepriekšējā gada </w:t>
      </w:r>
      <w:r>
        <w:rPr>
          <w:rFonts w:ascii="Times New Roman" w:hAnsi="Times New Roman"/>
          <w:sz w:val="24"/>
          <w:szCs w:val="24"/>
        </w:rPr>
        <w:t xml:space="preserve">ES </w:t>
      </w:r>
      <w:r w:rsidRPr="00DF385A">
        <w:rPr>
          <w:rFonts w:ascii="Times New Roman" w:hAnsi="Times New Roman"/>
          <w:sz w:val="24"/>
          <w:szCs w:val="24"/>
        </w:rPr>
        <w:t>budžeta izpildes pārpalikums</w:t>
      </w:r>
      <w:r>
        <w:rPr>
          <w:rFonts w:ascii="Times New Roman" w:hAnsi="Times New Roman"/>
          <w:sz w:val="24"/>
          <w:szCs w:val="24"/>
        </w:rPr>
        <w:t xml:space="preserve"> </w:t>
      </w:r>
      <w:r w:rsidRPr="0089209F">
        <w:rPr>
          <w:rFonts w:ascii="Times New Roman" w:hAnsi="Times New Roman"/>
          <w:sz w:val="24"/>
          <w:szCs w:val="24"/>
        </w:rPr>
        <w:t xml:space="preserve">u.tml.), jo ES budžets netiek finansēts vienīgi </w:t>
      </w:r>
      <w:r>
        <w:rPr>
          <w:rFonts w:ascii="Times New Roman" w:hAnsi="Times New Roman"/>
          <w:sz w:val="24"/>
          <w:szCs w:val="24"/>
        </w:rPr>
        <w:t>ar</w:t>
      </w:r>
      <w:r w:rsidRPr="0089209F">
        <w:rPr>
          <w:rFonts w:ascii="Times New Roman" w:hAnsi="Times New Roman"/>
          <w:sz w:val="24"/>
          <w:szCs w:val="24"/>
        </w:rPr>
        <w:t xml:space="preserve"> </w:t>
      </w:r>
      <w:r>
        <w:rPr>
          <w:rFonts w:ascii="Times New Roman" w:hAnsi="Times New Roman"/>
          <w:sz w:val="24"/>
          <w:szCs w:val="24"/>
        </w:rPr>
        <w:t>dalībvalstu iemaksām</w:t>
      </w:r>
      <w:r w:rsidRPr="0089209F">
        <w:rPr>
          <w:rFonts w:ascii="Times New Roman" w:hAnsi="Times New Roman"/>
          <w:sz w:val="24"/>
          <w:szCs w:val="24"/>
        </w:rPr>
        <w:t xml:space="preserve">. Ja </w:t>
      </w:r>
      <w:r>
        <w:rPr>
          <w:rFonts w:ascii="Times New Roman" w:hAnsi="Times New Roman"/>
          <w:sz w:val="24"/>
          <w:szCs w:val="24"/>
        </w:rPr>
        <w:t>citi ES budžeta</w:t>
      </w:r>
      <w:r w:rsidRPr="0089209F">
        <w:rPr>
          <w:rFonts w:ascii="Times New Roman" w:hAnsi="Times New Roman"/>
          <w:sz w:val="24"/>
          <w:szCs w:val="24"/>
        </w:rPr>
        <w:t xml:space="preserve"> ieņēmumi pieaug, iemaksas </w:t>
      </w:r>
      <w:r>
        <w:rPr>
          <w:rFonts w:ascii="Times New Roman" w:hAnsi="Times New Roman"/>
          <w:sz w:val="24"/>
          <w:szCs w:val="24"/>
        </w:rPr>
        <w:t xml:space="preserve">ES budžetā </w:t>
      </w:r>
      <w:r w:rsidRPr="0089209F">
        <w:rPr>
          <w:rFonts w:ascii="Times New Roman" w:hAnsi="Times New Roman"/>
          <w:sz w:val="24"/>
          <w:szCs w:val="24"/>
        </w:rPr>
        <w:t>samazinās;</w:t>
      </w:r>
    </w:p>
    <w:p w14:paraId="53A7EE5F" w14:textId="77777777" w:rsidR="00A93036" w:rsidRDefault="00A93036" w:rsidP="00A93036">
      <w:pPr>
        <w:pStyle w:val="ListParagraph"/>
        <w:numPr>
          <w:ilvl w:val="0"/>
          <w:numId w:val="2"/>
        </w:numPr>
        <w:ind w:left="709"/>
        <w:rPr>
          <w:rFonts w:ascii="Times New Roman" w:hAnsi="Times New Roman"/>
          <w:sz w:val="24"/>
          <w:szCs w:val="24"/>
        </w:rPr>
      </w:pPr>
      <w:r w:rsidRPr="0089209F">
        <w:rPr>
          <w:rFonts w:ascii="Times New Roman" w:hAnsi="Times New Roman"/>
          <w:sz w:val="24"/>
          <w:szCs w:val="24"/>
        </w:rPr>
        <w:t>korekcijas maksājuma apmērs, kas tiek veikts, balstoties uz faktiskajiem pievienotās vērtības nodokļa</w:t>
      </w:r>
      <w:r>
        <w:rPr>
          <w:rFonts w:ascii="Times New Roman" w:hAnsi="Times New Roman"/>
          <w:sz w:val="24"/>
          <w:szCs w:val="24"/>
        </w:rPr>
        <w:t xml:space="preserve"> (turpmāk – PVN)</w:t>
      </w:r>
      <w:r w:rsidRPr="0089209F">
        <w:rPr>
          <w:rFonts w:ascii="Times New Roman" w:hAnsi="Times New Roman"/>
          <w:sz w:val="24"/>
          <w:szCs w:val="24"/>
        </w:rPr>
        <w:t xml:space="preserve"> un nacionālā kopienākuma (</w:t>
      </w:r>
      <w:r>
        <w:rPr>
          <w:rFonts w:ascii="Times New Roman" w:hAnsi="Times New Roman"/>
          <w:sz w:val="24"/>
          <w:szCs w:val="24"/>
        </w:rPr>
        <w:t xml:space="preserve">turpmāk – </w:t>
      </w:r>
      <w:r w:rsidRPr="0089209F">
        <w:rPr>
          <w:rFonts w:ascii="Times New Roman" w:hAnsi="Times New Roman"/>
          <w:sz w:val="24"/>
          <w:szCs w:val="24"/>
        </w:rPr>
        <w:t xml:space="preserve">NKI) </w:t>
      </w:r>
      <w:r>
        <w:rPr>
          <w:rFonts w:ascii="Times New Roman" w:hAnsi="Times New Roman"/>
          <w:sz w:val="24"/>
          <w:szCs w:val="24"/>
        </w:rPr>
        <w:t xml:space="preserve">bāzes </w:t>
      </w:r>
      <w:r w:rsidRPr="0089209F">
        <w:rPr>
          <w:rFonts w:ascii="Times New Roman" w:hAnsi="Times New Roman"/>
          <w:sz w:val="24"/>
          <w:szCs w:val="24"/>
        </w:rPr>
        <w:t>apjomiem par iepriekšējiem saimnieciskajiem gadiem. Ta</w:t>
      </w:r>
      <w:r>
        <w:rPr>
          <w:rFonts w:ascii="Times New Roman" w:hAnsi="Times New Roman"/>
          <w:sz w:val="24"/>
          <w:szCs w:val="24"/>
        </w:rPr>
        <w:t>m</w:t>
      </w:r>
      <w:r w:rsidRPr="0089209F">
        <w:rPr>
          <w:rFonts w:ascii="Times New Roman" w:hAnsi="Times New Roman"/>
          <w:sz w:val="24"/>
          <w:szCs w:val="24"/>
        </w:rPr>
        <w:t xml:space="preserve"> var būt gan </w:t>
      </w:r>
      <w:r>
        <w:rPr>
          <w:rFonts w:ascii="Times New Roman" w:hAnsi="Times New Roman"/>
          <w:sz w:val="24"/>
          <w:szCs w:val="24"/>
        </w:rPr>
        <w:t xml:space="preserve">iemaksas samazinoša, gan iemaksas </w:t>
      </w:r>
      <w:r w:rsidRPr="0089209F">
        <w:rPr>
          <w:rFonts w:ascii="Times New Roman" w:hAnsi="Times New Roman"/>
          <w:sz w:val="24"/>
          <w:szCs w:val="24"/>
        </w:rPr>
        <w:t>palielin</w:t>
      </w:r>
      <w:r>
        <w:rPr>
          <w:rFonts w:ascii="Times New Roman" w:hAnsi="Times New Roman"/>
          <w:sz w:val="24"/>
          <w:szCs w:val="24"/>
        </w:rPr>
        <w:t>oša ietekme</w:t>
      </w:r>
      <w:r w:rsidRPr="0089209F">
        <w:rPr>
          <w:rFonts w:ascii="Times New Roman" w:hAnsi="Times New Roman"/>
          <w:sz w:val="24"/>
          <w:szCs w:val="24"/>
        </w:rPr>
        <w:t xml:space="preserve"> atkarī</w:t>
      </w:r>
      <w:r>
        <w:rPr>
          <w:rFonts w:ascii="Times New Roman" w:hAnsi="Times New Roman"/>
          <w:sz w:val="24"/>
          <w:szCs w:val="24"/>
        </w:rPr>
        <w:t>bā</w:t>
      </w:r>
      <w:r w:rsidRPr="0089209F">
        <w:rPr>
          <w:rFonts w:ascii="Times New Roman" w:hAnsi="Times New Roman"/>
          <w:sz w:val="24"/>
          <w:szCs w:val="24"/>
        </w:rPr>
        <w:t xml:space="preserve"> no tā, </w:t>
      </w:r>
      <w:r>
        <w:rPr>
          <w:rFonts w:ascii="Times New Roman" w:hAnsi="Times New Roman"/>
          <w:sz w:val="24"/>
          <w:szCs w:val="24"/>
        </w:rPr>
        <w:t>kāda ir faktisko un prognozēto PVN un NKI bāžu atšķirība.</w:t>
      </w:r>
    </w:p>
    <w:p w14:paraId="6C709843" w14:textId="77777777"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 dalībvalstu fondu līdzekļu apguves apjomu novirze no plānotajiem apjomiem. Ja dalībvalstis nespēj apgūt ES fondu līdzekļus 100% apmērā atbilstoši plānotajam, tad veidojas budžetā pārpalikums, kā rezultātā iemaksas ES budžetā samazinās un otrādi.</w:t>
      </w:r>
    </w:p>
    <w:p w14:paraId="641CEB24" w14:textId="6EF5AAB8" w:rsidR="00E02C27" w:rsidRPr="00E02C27" w:rsidRDefault="00E02C27" w:rsidP="00E02C27">
      <w:pPr>
        <w:pStyle w:val="ListParagraph"/>
        <w:numPr>
          <w:ilvl w:val="0"/>
          <w:numId w:val="2"/>
        </w:numPr>
        <w:ind w:left="709"/>
        <w:rPr>
          <w:rFonts w:ascii="Franklin Gothic Medium" w:hAnsi="Franklin Gothic Medium"/>
          <w:iCs/>
          <w:sz w:val="20"/>
          <w:szCs w:val="20"/>
        </w:rPr>
      </w:pPr>
      <w:r w:rsidRPr="00E02C27">
        <w:rPr>
          <w:rFonts w:ascii="Times New Roman" w:hAnsi="Times New Roman"/>
          <w:sz w:val="24"/>
          <w:szCs w:val="24"/>
        </w:rPr>
        <w:t xml:space="preserve">Atsevišķi kā iemaksu ietekmējošais faktors jāizceļ Apvienotās Karalistes (turpmāk – AK) izstāšanās no ES (turpmāk – </w:t>
      </w:r>
      <w:r w:rsidRPr="00E02C27">
        <w:rPr>
          <w:rFonts w:ascii="Times New Roman" w:hAnsi="Times New Roman"/>
          <w:i/>
          <w:sz w:val="24"/>
          <w:szCs w:val="24"/>
        </w:rPr>
        <w:t>Brexit</w:t>
      </w:r>
      <w:r w:rsidRPr="00E02C27">
        <w:rPr>
          <w:rFonts w:ascii="Times New Roman" w:hAnsi="Times New Roman"/>
          <w:sz w:val="24"/>
          <w:szCs w:val="24"/>
        </w:rPr>
        <w:t xml:space="preserve">), kas rada zināmu nenoteiktību attiecībā uz iemaksām ES budžetā pēc 2019.gada 29.marta. Pastāv risks, ka vidējā termiņā Latvijas iemaksas ES budžetā varētu pieaugt attiecībā pret plānoto apjomu, ja </w:t>
      </w:r>
      <w:r w:rsidRPr="00E02C27">
        <w:rPr>
          <w:rFonts w:ascii="Times New Roman" w:hAnsi="Times New Roman"/>
          <w:i/>
          <w:sz w:val="24"/>
          <w:szCs w:val="24"/>
        </w:rPr>
        <w:t>Brexit</w:t>
      </w:r>
      <w:r w:rsidRPr="00E02C27">
        <w:rPr>
          <w:rFonts w:ascii="Times New Roman" w:hAnsi="Times New Roman"/>
          <w:sz w:val="24"/>
          <w:szCs w:val="24"/>
        </w:rPr>
        <w:t xml:space="preserve"> notiek bez vienošanās, kā rezultātā AK automātiski kļūs par trešo valsti. Respektīvi, negatīva iznākuma rezultātā Latvijas iemaksas ES budžetā 2019.gadā varētu palielināties maksimāli par 5,3% (t.i., līdz 14,5 milj. </w:t>
      </w:r>
      <w:r w:rsidRPr="00E02C27">
        <w:rPr>
          <w:rFonts w:ascii="Times New Roman" w:hAnsi="Times New Roman"/>
          <w:i/>
          <w:sz w:val="24"/>
          <w:szCs w:val="24"/>
        </w:rPr>
        <w:t>euro</w:t>
      </w:r>
      <w:r w:rsidRPr="00E02C27">
        <w:rPr>
          <w:rFonts w:ascii="Times New Roman" w:hAnsi="Times New Roman"/>
          <w:sz w:val="24"/>
          <w:szCs w:val="24"/>
        </w:rPr>
        <w:t xml:space="preserve">), savukārt 2020.gadā maksimāli par 5,4% (t.i., līdz 16,5 milj. </w:t>
      </w:r>
      <w:r w:rsidRPr="00E02C27">
        <w:rPr>
          <w:rFonts w:ascii="Times New Roman" w:hAnsi="Times New Roman"/>
          <w:i/>
          <w:sz w:val="24"/>
          <w:szCs w:val="24"/>
        </w:rPr>
        <w:t>euro</w:t>
      </w:r>
      <w:r w:rsidRPr="00E02C27">
        <w:rPr>
          <w:rFonts w:ascii="Times New Roman" w:hAnsi="Times New Roman"/>
          <w:sz w:val="24"/>
          <w:szCs w:val="24"/>
        </w:rPr>
        <w:t xml:space="preserve">). </w:t>
      </w:r>
      <w:r w:rsidRPr="00E02C27">
        <w:rPr>
          <w:rFonts w:ascii="Times New Roman" w:hAnsi="Times New Roman"/>
          <w:iCs/>
          <w:sz w:val="24"/>
          <w:szCs w:val="24"/>
        </w:rPr>
        <w:t>Pašreizējā brīdi nav iespējams noteikt “bez vienošanās” scenārija ietekmi uz maksājumiem, kuri izriet no ES daudzgadu budžeta 2014.</w:t>
      </w:r>
      <w:r w:rsidR="00BE3C97" w:rsidRPr="00BE3C97">
        <w:rPr>
          <w:rFonts w:ascii="Times New Roman" w:hAnsi="Times New Roman"/>
          <w:sz w:val="24"/>
          <w:szCs w:val="24"/>
        </w:rPr>
        <w:t xml:space="preserve"> </w:t>
      </w:r>
      <w:r w:rsidR="00BE3C97" w:rsidRPr="00E02C27">
        <w:rPr>
          <w:rFonts w:ascii="Times New Roman" w:hAnsi="Times New Roman"/>
          <w:sz w:val="24"/>
          <w:szCs w:val="24"/>
        </w:rPr>
        <w:t>–</w:t>
      </w:r>
      <w:r w:rsidR="00BE3C97">
        <w:rPr>
          <w:rFonts w:ascii="Times New Roman" w:hAnsi="Times New Roman"/>
          <w:sz w:val="24"/>
          <w:szCs w:val="24"/>
        </w:rPr>
        <w:t xml:space="preserve"> </w:t>
      </w:r>
      <w:r w:rsidRPr="00E02C27">
        <w:rPr>
          <w:rFonts w:ascii="Times New Roman" w:hAnsi="Times New Roman"/>
          <w:iCs/>
          <w:sz w:val="24"/>
          <w:szCs w:val="24"/>
        </w:rPr>
        <w:t>2020.gadam un kuri vēl būs jāveic nākamā plānošanas perioda laikā, jo to apmērs būs atkarīgs no programmu ieviešanas 2019.</w:t>
      </w:r>
      <w:r w:rsidR="00BE3C97" w:rsidRPr="00BE3C97">
        <w:rPr>
          <w:rFonts w:ascii="Times New Roman" w:hAnsi="Times New Roman"/>
          <w:sz w:val="24"/>
          <w:szCs w:val="24"/>
        </w:rPr>
        <w:t xml:space="preserve"> </w:t>
      </w:r>
      <w:r w:rsidR="00BE3C97" w:rsidRPr="00E02C27">
        <w:rPr>
          <w:rFonts w:ascii="Times New Roman" w:hAnsi="Times New Roman"/>
          <w:sz w:val="24"/>
          <w:szCs w:val="24"/>
        </w:rPr>
        <w:t>–</w:t>
      </w:r>
      <w:r w:rsidR="00BE3C97">
        <w:rPr>
          <w:rFonts w:ascii="Times New Roman" w:hAnsi="Times New Roman"/>
          <w:sz w:val="24"/>
          <w:szCs w:val="24"/>
        </w:rPr>
        <w:t xml:space="preserve"> </w:t>
      </w:r>
      <w:r w:rsidRPr="00E02C27">
        <w:rPr>
          <w:rFonts w:ascii="Times New Roman" w:hAnsi="Times New Roman"/>
          <w:iCs/>
          <w:sz w:val="24"/>
          <w:szCs w:val="24"/>
        </w:rPr>
        <w:t>2020.gadā.</w:t>
      </w:r>
      <w:r w:rsidRPr="00E02C27">
        <w:rPr>
          <w:rFonts w:ascii="Franklin Gothic Medium" w:hAnsi="Franklin Gothic Medium"/>
          <w:i/>
          <w:iCs/>
          <w:sz w:val="20"/>
          <w:szCs w:val="20"/>
        </w:rPr>
        <w:t xml:space="preserve"> </w:t>
      </w:r>
    </w:p>
    <w:p w14:paraId="7D2553F2" w14:textId="77777777" w:rsidR="00953696" w:rsidRPr="00E02C27" w:rsidRDefault="00953696" w:rsidP="00953696">
      <w:pPr>
        <w:pStyle w:val="ListParagraph"/>
        <w:numPr>
          <w:ilvl w:val="0"/>
          <w:numId w:val="2"/>
        </w:numPr>
        <w:ind w:left="709"/>
        <w:rPr>
          <w:rFonts w:ascii="Times New Roman" w:eastAsiaTheme="minorHAnsi" w:hAnsi="Times New Roman"/>
          <w:sz w:val="24"/>
        </w:rPr>
      </w:pPr>
      <w:r w:rsidRPr="00E02C27">
        <w:rPr>
          <w:rFonts w:ascii="Times New Roman" w:hAnsi="Times New Roman"/>
          <w:iCs/>
          <w:sz w:val="24"/>
          <w:szCs w:val="24"/>
        </w:rPr>
        <w:t xml:space="preserve">Varbūtība, ka AK nesegs savas finansiālās saistības attiecībā uz ES budžetu, </w:t>
      </w:r>
      <w:r>
        <w:rPr>
          <w:rFonts w:ascii="Times New Roman" w:hAnsi="Times New Roman"/>
          <w:iCs/>
          <w:sz w:val="24"/>
          <w:szCs w:val="24"/>
        </w:rPr>
        <w:t>šajā fiskālo risku deklarācijā netiek vērtēta</w:t>
      </w:r>
      <w:r w:rsidRPr="00E02C27">
        <w:rPr>
          <w:rFonts w:ascii="Times New Roman" w:hAnsi="Times New Roman"/>
          <w:iCs/>
          <w:sz w:val="24"/>
          <w:szCs w:val="24"/>
        </w:rPr>
        <w:t xml:space="preserve">, tāpēc ar to saistītais fiskālais risks </w:t>
      </w:r>
      <w:r w:rsidRPr="00E02C27">
        <w:rPr>
          <w:rFonts w:ascii="Times New Roman" w:eastAsiaTheme="minorHAnsi" w:hAnsi="Times New Roman"/>
          <w:sz w:val="24"/>
        </w:rPr>
        <w:t xml:space="preserve">tiek ietverts fiskālās nodrošinājuma rezerves </w:t>
      </w:r>
      <w:r>
        <w:rPr>
          <w:rFonts w:ascii="Times New Roman" w:eastAsiaTheme="minorHAnsi" w:hAnsi="Times New Roman"/>
          <w:sz w:val="24"/>
        </w:rPr>
        <w:t xml:space="preserve">minimālajā apjomā. </w:t>
      </w:r>
    </w:p>
    <w:p w14:paraId="2730B6E0" w14:textId="6F607E65" w:rsidR="00351B08" w:rsidRDefault="00351B08" w:rsidP="00953696">
      <w:pPr>
        <w:spacing w:before="240" w:after="0" w:line="240" w:lineRule="auto"/>
        <w:ind w:firstLine="709"/>
        <w:jc w:val="both"/>
        <w:rPr>
          <w:rFonts w:ascii="Times New Roman" w:eastAsiaTheme="minorHAnsi" w:hAnsi="Times New Roman"/>
          <w:sz w:val="24"/>
        </w:rPr>
      </w:pPr>
      <w:r w:rsidRPr="0089209F">
        <w:rPr>
          <w:rFonts w:ascii="Times New Roman" w:eastAsiaTheme="minorHAnsi" w:hAnsi="Times New Roman"/>
          <w:sz w:val="24"/>
        </w:rPr>
        <w:t>Ņemot vērā iepriekš minētos faktorus, kas ietekmē kārtējos maksājumus ES budžetā</w:t>
      </w:r>
      <w:r w:rsidR="00A71A27">
        <w:rPr>
          <w:rFonts w:ascii="Times New Roman" w:eastAsiaTheme="minorHAnsi" w:hAnsi="Times New Roman"/>
          <w:sz w:val="24"/>
        </w:rPr>
        <w:t>,</w:t>
      </w:r>
      <w:r>
        <w:rPr>
          <w:rFonts w:ascii="Times New Roman" w:eastAsiaTheme="minorHAnsi" w:hAnsi="Times New Roman"/>
          <w:sz w:val="24"/>
        </w:rPr>
        <w:t xml:space="preserve"> fiskālajam riskam ir jābūt simetriskam. </w:t>
      </w:r>
      <w:r w:rsidR="00A71A27">
        <w:rPr>
          <w:rFonts w:ascii="Times New Roman" w:eastAsiaTheme="minorHAnsi" w:hAnsi="Times New Roman"/>
          <w:sz w:val="24"/>
        </w:rPr>
        <w:t xml:space="preserve">Tomēr </w:t>
      </w:r>
      <w:r w:rsidRPr="000E7D3B">
        <w:rPr>
          <w:rFonts w:ascii="Times New Roman" w:eastAsiaTheme="minorHAnsi" w:hAnsi="Times New Roman"/>
          <w:sz w:val="24"/>
        </w:rPr>
        <w:t>faktiskās novirzes, kas attēlotas tabulā Nr.5</w:t>
      </w:r>
      <w:r w:rsidR="00A71A27">
        <w:rPr>
          <w:rFonts w:ascii="Times New Roman" w:eastAsiaTheme="minorHAnsi" w:hAnsi="Times New Roman"/>
          <w:sz w:val="24"/>
        </w:rPr>
        <w:t>,</w:t>
      </w:r>
      <w:r w:rsidRPr="000E7D3B">
        <w:rPr>
          <w:rFonts w:ascii="Times New Roman" w:eastAsiaTheme="minorHAnsi" w:hAnsi="Times New Roman"/>
          <w:sz w:val="24"/>
        </w:rPr>
        <w:t xml:space="preserve"> norāda uz sistēmiska rakstura novirzēm</w:t>
      </w:r>
      <w:r>
        <w:rPr>
          <w:rFonts w:ascii="Times New Roman" w:eastAsiaTheme="minorHAnsi" w:hAnsi="Times New Roman"/>
          <w:sz w:val="24"/>
        </w:rPr>
        <w:t>, kas vai</w:t>
      </w:r>
      <w:r w:rsidR="00A71A27">
        <w:rPr>
          <w:rFonts w:ascii="Times New Roman" w:eastAsiaTheme="minorHAnsi" w:hAnsi="Times New Roman"/>
          <w:sz w:val="24"/>
        </w:rPr>
        <w:t>rākus gadus pēc kārtas saglabā</w:t>
      </w:r>
      <w:r>
        <w:rPr>
          <w:rFonts w:ascii="Times New Roman" w:eastAsiaTheme="minorHAnsi" w:hAnsi="Times New Roman"/>
          <w:sz w:val="24"/>
        </w:rPr>
        <w:t xml:space="preserve"> vienu noteiktu virzienu </w:t>
      </w:r>
      <w:r w:rsidR="00A71A27" w:rsidRPr="00E02C27">
        <w:rPr>
          <w:rFonts w:ascii="Times New Roman" w:hAnsi="Times New Roman"/>
          <w:sz w:val="24"/>
          <w:szCs w:val="24"/>
        </w:rPr>
        <w:t>–</w:t>
      </w:r>
      <w:r>
        <w:rPr>
          <w:rFonts w:ascii="Times New Roman" w:eastAsiaTheme="minorHAnsi" w:hAnsi="Times New Roman"/>
          <w:sz w:val="24"/>
        </w:rPr>
        <w:t xml:space="preserve"> laika periods no 2006</w:t>
      </w:r>
      <w:r w:rsidR="00A71A27">
        <w:rPr>
          <w:rFonts w:ascii="Times New Roman" w:eastAsiaTheme="minorHAnsi" w:hAnsi="Times New Roman"/>
          <w:sz w:val="24"/>
        </w:rPr>
        <w:t>. līdz 2010.gadam raksturīgs ar</w:t>
      </w:r>
      <w:r>
        <w:rPr>
          <w:rFonts w:ascii="Times New Roman" w:eastAsiaTheme="minorHAnsi" w:hAnsi="Times New Roman"/>
          <w:sz w:val="24"/>
        </w:rPr>
        <w:t xml:space="preserve"> zemāku faktisko izpildi pret plānu, savukārt laika periods no 2011.gada līdz 2014.gadam iezīmē augstākus faktiskos izdevumus nekā tika iepriekš prognozēts. Turpretī laika periods no 2015.gada līdz 2017.gadam atkal ir bijis rakstu</w:t>
      </w:r>
      <w:r w:rsidR="00A71A27">
        <w:rPr>
          <w:rFonts w:ascii="Times New Roman" w:eastAsiaTheme="minorHAnsi" w:hAnsi="Times New Roman"/>
          <w:sz w:val="24"/>
        </w:rPr>
        <w:t xml:space="preserve">rīgs ar zemāku izdevumu apmēru </w:t>
      </w:r>
      <w:r>
        <w:rPr>
          <w:rFonts w:ascii="Times New Roman" w:eastAsiaTheme="minorHAnsi" w:hAnsi="Times New Roman"/>
          <w:sz w:val="24"/>
        </w:rPr>
        <w:t>nekā prognozēts.</w:t>
      </w:r>
    </w:p>
    <w:p w14:paraId="37B84467" w14:textId="77777777" w:rsidR="00351B08" w:rsidRDefault="00351B08" w:rsidP="00507D6B">
      <w:pPr>
        <w:spacing w:line="240" w:lineRule="auto"/>
        <w:jc w:val="right"/>
        <w:rPr>
          <w:rFonts w:ascii="Times New Roman" w:eastAsiaTheme="minorHAnsi" w:hAnsi="Times New Roman"/>
          <w:b/>
          <w:sz w:val="24"/>
        </w:rPr>
      </w:pPr>
    </w:p>
    <w:p w14:paraId="3CB5229C" w14:textId="5041F558" w:rsidR="00A93036" w:rsidRDefault="00A93036" w:rsidP="00507D6B">
      <w:pPr>
        <w:spacing w:line="240" w:lineRule="auto"/>
        <w:jc w:val="right"/>
        <w:rPr>
          <w:rFonts w:ascii="Times New Roman" w:eastAsiaTheme="minorHAnsi" w:hAnsi="Times New Roman"/>
          <w:b/>
          <w:i/>
          <w:sz w:val="24"/>
        </w:rPr>
      </w:pPr>
      <w:r w:rsidRPr="00507D6B">
        <w:rPr>
          <w:rFonts w:ascii="Times New Roman" w:eastAsiaTheme="minorHAnsi" w:hAnsi="Times New Roman"/>
          <w:b/>
          <w:sz w:val="24"/>
        </w:rPr>
        <w:lastRenderedPageBreak/>
        <w:t>Tabula Nr.</w:t>
      </w:r>
      <w:r w:rsidR="00786453">
        <w:rPr>
          <w:rFonts w:ascii="Times New Roman" w:eastAsiaTheme="minorHAnsi" w:hAnsi="Times New Roman"/>
          <w:b/>
          <w:sz w:val="24"/>
        </w:rPr>
        <w:t>5</w:t>
      </w:r>
      <w:r w:rsidRPr="0089209F">
        <w:rPr>
          <w:rFonts w:ascii="Times New Roman" w:eastAsiaTheme="minorHAnsi" w:hAnsi="Times New Roman"/>
          <w:b/>
          <w:sz w:val="24"/>
        </w:rPr>
        <w:t xml:space="preserve"> Kārtējie maksājumi ES budžetā, milj. </w:t>
      </w:r>
      <w:r w:rsidRPr="0089209F">
        <w:rPr>
          <w:rFonts w:ascii="Times New Roman" w:eastAsiaTheme="minorHAnsi" w:hAnsi="Times New Roman"/>
          <w:b/>
          <w:i/>
          <w:sz w:val="24"/>
        </w:rPr>
        <w:t>euro</w:t>
      </w:r>
    </w:p>
    <w:tbl>
      <w:tblPr>
        <w:tblStyle w:val="GridTable6Colorful-Accent11"/>
        <w:tblW w:w="7078" w:type="dxa"/>
        <w:jc w:val="center"/>
        <w:tblLook w:val="04A0" w:firstRow="1" w:lastRow="0" w:firstColumn="1" w:lastColumn="0" w:noHBand="0" w:noVBand="1"/>
      </w:tblPr>
      <w:tblGrid>
        <w:gridCol w:w="1080"/>
        <w:gridCol w:w="1080"/>
        <w:gridCol w:w="1080"/>
        <w:gridCol w:w="2279"/>
        <w:gridCol w:w="1559"/>
      </w:tblGrid>
      <w:tr w:rsidR="00A93036" w:rsidRPr="00C1770E" w14:paraId="34EEFD20" w14:textId="77777777" w:rsidTr="00905326">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BFDA0A7" w14:textId="77777777" w:rsidR="00A93036" w:rsidRPr="00C1770E" w:rsidRDefault="00A93036" w:rsidP="006F69AD">
            <w:pPr>
              <w:rPr>
                <w:rFonts w:cs="Times New Roman"/>
                <w:color w:val="000000"/>
                <w:sz w:val="22"/>
                <w:lang w:eastAsia="lv-LV"/>
              </w:rPr>
            </w:pPr>
            <w:r w:rsidRPr="00C1770E">
              <w:rPr>
                <w:rFonts w:cs="Times New Roman"/>
                <w:color w:val="000000"/>
                <w:sz w:val="22"/>
                <w:lang w:eastAsia="lv-LV"/>
              </w:rPr>
              <w:t> </w:t>
            </w:r>
          </w:p>
        </w:tc>
        <w:tc>
          <w:tcPr>
            <w:tcW w:w="1080" w:type="dxa"/>
            <w:noWrap/>
            <w:hideMark/>
          </w:tcPr>
          <w:p w14:paraId="1C08E250"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Plāns</w:t>
            </w:r>
          </w:p>
        </w:tc>
        <w:tc>
          <w:tcPr>
            <w:tcW w:w="1080" w:type="dxa"/>
            <w:noWrap/>
            <w:hideMark/>
          </w:tcPr>
          <w:p w14:paraId="1BDEE105"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Fakts</w:t>
            </w:r>
          </w:p>
        </w:tc>
        <w:tc>
          <w:tcPr>
            <w:tcW w:w="2279" w:type="dxa"/>
            <w:noWrap/>
            <w:hideMark/>
          </w:tcPr>
          <w:p w14:paraId="506B3B02"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 xml:space="preserve">Izmaiņas, milj. </w:t>
            </w:r>
            <w:r w:rsidRPr="00C1770E">
              <w:rPr>
                <w:rFonts w:cs="Times New Roman"/>
                <w:i/>
                <w:iCs/>
                <w:color w:val="000000"/>
                <w:sz w:val="22"/>
                <w:lang w:eastAsia="lv-LV"/>
              </w:rPr>
              <w:t>euro</w:t>
            </w:r>
          </w:p>
        </w:tc>
        <w:tc>
          <w:tcPr>
            <w:tcW w:w="1559" w:type="dxa"/>
            <w:noWrap/>
            <w:hideMark/>
          </w:tcPr>
          <w:p w14:paraId="3CC38C6D"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Izpilde, %</w:t>
            </w:r>
          </w:p>
        </w:tc>
      </w:tr>
      <w:tr w:rsidR="00A93036" w:rsidRPr="00C1770E" w14:paraId="6D2AC8AE" w14:textId="77777777" w:rsidTr="00905326">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F71920F"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2006</w:t>
            </w:r>
          </w:p>
        </w:tc>
        <w:tc>
          <w:tcPr>
            <w:tcW w:w="1080" w:type="dxa"/>
            <w:noWrap/>
            <w:vAlign w:val="center"/>
            <w:hideMark/>
          </w:tcPr>
          <w:p w14:paraId="52FD36B2"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163,8</w:t>
            </w:r>
          </w:p>
        </w:tc>
        <w:tc>
          <w:tcPr>
            <w:tcW w:w="1080" w:type="dxa"/>
            <w:noWrap/>
            <w:vAlign w:val="center"/>
            <w:hideMark/>
          </w:tcPr>
          <w:p w14:paraId="57281E0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159,0</w:t>
            </w:r>
          </w:p>
        </w:tc>
        <w:tc>
          <w:tcPr>
            <w:tcW w:w="2279" w:type="dxa"/>
            <w:noWrap/>
            <w:vAlign w:val="center"/>
            <w:hideMark/>
          </w:tcPr>
          <w:p w14:paraId="391605A8"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-4,8</w:t>
            </w:r>
          </w:p>
        </w:tc>
        <w:tc>
          <w:tcPr>
            <w:tcW w:w="1559" w:type="dxa"/>
            <w:noWrap/>
            <w:vAlign w:val="center"/>
            <w:hideMark/>
          </w:tcPr>
          <w:p w14:paraId="1CE3E090"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97,1</w:t>
            </w:r>
          </w:p>
        </w:tc>
      </w:tr>
      <w:tr w:rsidR="00A93036" w:rsidRPr="00C1770E" w14:paraId="3879E626" w14:textId="77777777" w:rsidTr="00905326">
        <w:trPr>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D61A948"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2007</w:t>
            </w:r>
          </w:p>
        </w:tc>
        <w:tc>
          <w:tcPr>
            <w:tcW w:w="1080" w:type="dxa"/>
            <w:noWrap/>
            <w:vAlign w:val="center"/>
            <w:hideMark/>
          </w:tcPr>
          <w:p w14:paraId="46A8028D"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207,6</w:t>
            </w:r>
          </w:p>
        </w:tc>
        <w:tc>
          <w:tcPr>
            <w:tcW w:w="1080" w:type="dxa"/>
            <w:noWrap/>
            <w:vAlign w:val="center"/>
            <w:hideMark/>
          </w:tcPr>
          <w:p w14:paraId="3676BB6E"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197,8</w:t>
            </w:r>
          </w:p>
        </w:tc>
        <w:tc>
          <w:tcPr>
            <w:tcW w:w="2279" w:type="dxa"/>
            <w:noWrap/>
            <w:vAlign w:val="center"/>
            <w:hideMark/>
          </w:tcPr>
          <w:p w14:paraId="04014D7F"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-9,8</w:t>
            </w:r>
          </w:p>
        </w:tc>
        <w:tc>
          <w:tcPr>
            <w:tcW w:w="1559" w:type="dxa"/>
            <w:noWrap/>
            <w:vAlign w:val="center"/>
            <w:hideMark/>
          </w:tcPr>
          <w:p w14:paraId="4106AF25"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95,3</w:t>
            </w:r>
          </w:p>
        </w:tc>
      </w:tr>
      <w:tr w:rsidR="00A93036" w:rsidRPr="00C1770E" w14:paraId="4D4121E6" w14:textId="77777777" w:rsidTr="00905326">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77F1320"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2008</w:t>
            </w:r>
          </w:p>
        </w:tc>
        <w:tc>
          <w:tcPr>
            <w:tcW w:w="1080" w:type="dxa"/>
            <w:noWrap/>
            <w:vAlign w:val="center"/>
            <w:hideMark/>
          </w:tcPr>
          <w:p w14:paraId="210D8BDE"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239,9</w:t>
            </w:r>
          </w:p>
        </w:tc>
        <w:tc>
          <w:tcPr>
            <w:tcW w:w="1080" w:type="dxa"/>
            <w:noWrap/>
            <w:vAlign w:val="center"/>
            <w:hideMark/>
          </w:tcPr>
          <w:p w14:paraId="1FBB83F0"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218,5</w:t>
            </w:r>
          </w:p>
        </w:tc>
        <w:tc>
          <w:tcPr>
            <w:tcW w:w="2279" w:type="dxa"/>
            <w:noWrap/>
            <w:vAlign w:val="center"/>
            <w:hideMark/>
          </w:tcPr>
          <w:p w14:paraId="77C1622E"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-21,4</w:t>
            </w:r>
          </w:p>
        </w:tc>
        <w:tc>
          <w:tcPr>
            <w:tcW w:w="1559" w:type="dxa"/>
            <w:noWrap/>
            <w:vAlign w:val="center"/>
            <w:hideMark/>
          </w:tcPr>
          <w:p w14:paraId="50E0704D"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91,1</w:t>
            </w:r>
          </w:p>
        </w:tc>
      </w:tr>
      <w:tr w:rsidR="00A93036" w:rsidRPr="00C1770E" w14:paraId="0594149A" w14:textId="77777777" w:rsidTr="00905326">
        <w:trPr>
          <w:trHeight w:val="54"/>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6BE4BEC"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2009</w:t>
            </w:r>
          </w:p>
        </w:tc>
        <w:tc>
          <w:tcPr>
            <w:tcW w:w="1080" w:type="dxa"/>
            <w:noWrap/>
            <w:vAlign w:val="center"/>
            <w:hideMark/>
          </w:tcPr>
          <w:p w14:paraId="5D736EA1"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258,2</w:t>
            </w:r>
          </w:p>
        </w:tc>
        <w:tc>
          <w:tcPr>
            <w:tcW w:w="1080" w:type="dxa"/>
            <w:noWrap/>
            <w:vAlign w:val="center"/>
            <w:hideMark/>
          </w:tcPr>
          <w:p w14:paraId="306804C9"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209,9</w:t>
            </w:r>
          </w:p>
        </w:tc>
        <w:tc>
          <w:tcPr>
            <w:tcW w:w="2279" w:type="dxa"/>
            <w:noWrap/>
            <w:vAlign w:val="center"/>
            <w:hideMark/>
          </w:tcPr>
          <w:p w14:paraId="218C54E2"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-48,3</w:t>
            </w:r>
          </w:p>
        </w:tc>
        <w:tc>
          <w:tcPr>
            <w:tcW w:w="1559" w:type="dxa"/>
            <w:noWrap/>
            <w:vAlign w:val="center"/>
            <w:hideMark/>
          </w:tcPr>
          <w:p w14:paraId="1FA12EF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81,3</w:t>
            </w:r>
          </w:p>
        </w:tc>
      </w:tr>
      <w:tr w:rsidR="00A93036" w:rsidRPr="00C1770E" w14:paraId="0B919B7B" w14:textId="77777777" w:rsidTr="0090532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CE6FB04"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2010</w:t>
            </w:r>
          </w:p>
        </w:tc>
        <w:tc>
          <w:tcPr>
            <w:tcW w:w="1080" w:type="dxa"/>
            <w:noWrap/>
            <w:vAlign w:val="center"/>
            <w:hideMark/>
          </w:tcPr>
          <w:p w14:paraId="64387C3A"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199,1</w:t>
            </w:r>
          </w:p>
        </w:tc>
        <w:tc>
          <w:tcPr>
            <w:tcW w:w="1080" w:type="dxa"/>
            <w:noWrap/>
            <w:vAlign w:val="center"/>
            <w:hideMark/>
          </w:tcPr>
          <w:p w14:paraId="6602AA9D"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170,6</w:t>
            </w:r>
          </w:p>
        </w:tc>
        <w:tc>
          <w:tcPr>
            <w:tcW w:w="2279" w:type="dxa"/>
            <w:noWrap/>
            <w:vAlign w:val="center"/>
            <w:hideMark/>
          </w:tcPr>
          <w:p w14:paraId="0F58384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-28,5</w:t>
            </w:r>
          </w:p>
        </w:tc>
        <w:tc>
          <w:tcPr>
            <w:tcW w:w="1559" w:type="dxa"/>
            <w:noWrap/>
            <w:vAlign w:val="center"/>
            <w:hideMark/>
          </w:tcPr>
          <w:p w14:paraId="4674D80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85,7</w:t>
            </w:r>
          </w:p>
        </w:tc>
      </w:tr>
      <w:tr w:rsidR="00A93036" w:rsidRPr="00C1770E" w14:paraId="6CDABDAE" w14:textId="77777777" w:rsidTr="00905326">
        <w:trPr>
          <w:trHeight w:val="216"/>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C0683F7"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2011</w:t>
            </w:r>
          </w:p>
        </w:tc>
        <w:tc>
          <w:tcPr>
            <w:tcW w:w="1080" w:type="dxa"/>
            <w:noWrap/>
            <w:vAlign w:val="center"/>
            <w:hideMark/>
          </w:tcPr>
          <w:p w14:paraId="5101831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185,0</w:t>
            </w:r>
          </w:p>
        </w:tc>
        <w:tc>
          <w:tcPr>
            <w:tcW w:w="1080" w:type="dxa"/>
            <w:noWrap/>
            <w:vAlign w:val="center"/>
            <w:hideMark/>
          </w:tcPr>
          <w:p w14:paraId="420F7DB2"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185,1</w:t>
            </w:r>
          </w:p>
        </w:tc>
        <w:tc>
          <w:tcPr>
            <w:tcW w:w="2279" w:type="dxa"/>
            <w:noWrap/>
            <w:vAlign w:val="center"/>
            <w:hideMark/>
          </w:tcPr>
          <w:p w14:paraId="6755FC2A"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0,1</w:t>
            </w:r>
          </w:p>
        </w:tc>
        <w:tc>
          <w:tcPr>
            <w:tcW w:w="1559" w:type="dxa"/>
            <w:noWrap/>
            <w:vAlign w:val="center"/>
            <w:hideMark/>
          </w:tcPr>
          <w:p w14:paraId="68B7C3AD"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100,1</w:t>
            </w:r>
          </w:p>
        </w:tc>
      </w:tr>
      <w:tr w:rsidR="00A93036" w:rsidRPr="00C1770E" w14:paraId="6BFBA7B3" w14:textId="77777777" w:rsidTr="00905326">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EABA364"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2012</w:t>
            </w:r>
          </w:p>
        </w:tc>
        <w:tc>
          <w:tcPr>
            <w:tcW w:w="1080" w:type="dxa"/>
            <w:noWrap/>
            <w:vAlign w:val="center"/>
            <w:hideMark/>
          </w:tcPr>
          <w:p w14:paraId="39A7EB73"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197,6</w:t>
            </w:r>
          </w:p>
        </w:tc>
        <w:tc>
          <w:tcPr>
            <w:tcW w:w="1080" w:type="dxa"/>
            <w:noWrap/>
            <w:vAlign w:val="center"/>
            <w:hideMark/>
          </w:tcPr>
          <w:p w14:paraId="7A00767D"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220,1</w:t>
            </w:r>
          </w:p>
        </w:tc>
        <w:tc>
          <w:tcPr>
            <w:tcW w:w="2279" w:type="dxa"/>
            <w:noWrap/>
            <w:vAlign w:val="center"/>
            <w:hideMark/>
          </w:tcPr>
          <w:p w14:paraId="7ECE7FD5"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22,4</w:t>
            </w:r>
          </w:p>
        </w:tc>
        <w:tc>
          <w:tcPr>
            <w:tcW w:w="1559" w:type="dxa"/>
            <w:noWrap/>
            <w:vAlign w:val="center"/>
            <w:hideMark/>
          </w:tcPr>
          <w:p w14:paraId="530B1A45"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111,4</w:t>
            </w:r>
          </w:p>
        </w:tc>
      </w:tr>
      <w:tr w:rsidR="00A93036" w:rsidRPr="00C1770E" w14:paraId="00BC4088" w14:textId="77777777" w:rsidTr="00905326">
        <w:trPr>
          <w:trHeight w:val="11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05D67AD"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2013</w:t>
            </w:r>
          </w:p>
        </w:tc>
        <w:tc>
          <w:tcPr>
            <w:tcW w:w="1080" w:type="dxa"/>
            <w:noWrap/>
            <w:vAlign w:val="center"/>
            <w:hideMark/>
          </w:tcPr>
          <w:p w14:paraId="0A5F3630"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225,8</w:t>
            </w:r>
          </w:p>
        </w:tc>
        <w:tc>
          <w:tcPr>
            <w:tcW w:w="1080" w:type="dxa"/>
            <w:noWrap/>
            <w:vAlign w:val="center"/>
            <w:hideMark/>
          </w:tcPr>
          <w:p w14:paraId="01AE76D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267,3</w:t>
            </w:r>
          </w:p>
        </w:tc>
        <w:tc>
          <w:tcPr>
            <w:tcW w:w="2279" w:type="dxa"/>
            <w:noWrap/>
            <w:vAlign w:val="center"/>
            <w:hideMark/>
          </w:tcPr>
          <w:p w14:paraId="1D125181"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41,5</w:t>
            </w:r>
          </w:p>
        </w:tc>
        <w:tc>
          <w:tcPr>
            <w:tcW w:w="1559" w:type="dxa"/>
            <w:noWrap/>
            <w:vAlign w:val="center"/>
            <w:hideMark/>
          </w:tcPr>
          <w:p w14:paraId="62CD8034"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118,4</w:t>
            </w:r>
          </w:p>
        </w:tc>
      </w:tr>
      <w:tr w:rsidR="00A93036" w:rsidRPr="00C1770E" w14:paraId="0CDFF6D6" w14:textId="77777777" w:rsidTr="00905326">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1045BA0"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2014</w:t>
            </w:r>
          </w:p>
        </w:tc>
        <w:tc>
          <w:tcPr>
            <w:tcW w:w="1080" w:type="dxa"/>
            <w:noWrap/>
            <w:vAlign w:val="center"/>
            <w:hideMark/>
          </w:tcPr>
          <w:p w14:paraId="2F3BE823"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254,7</w:t>
            </w:r>
          </w:p>
        </w:tc>
        <w:tc>
          <w:tcPr>
            <w:tcW w:w="1080" w:type="dxa"/>
            <w:noWrap/>
            <w:vAlign w:val="center"/>
            <w:hideMark/>
          </w:tcPr>
          <w:p w14:paraId="284551F2"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284,4</w:t>
            </w:r>
          </w:p>
        </w:tc>
        <w:tc>
          <w:tcPr>
            <w:tcW w:w="2279" w:type="dxa"/>
            <w:noWrap/>
            <w:vAlign w:val="center"/>
            <w:hideMark/>
          </w:tcPr>
          <w:p w14:paraId="0665727B"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29,7</w:t>
            </w:r>
          </w:p>
        </w:tc>
        <w:tc>
          <w:tcPr>
            <w:tcW w:w="1559" w:type="dxa"/>
            <w:noWrap/>
            <w:vAlign w:val="center"/>
            <w:hideMark/>
          </w:tcPr>
          <w:p w14:paraId="7CE589A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111,7</w:t>
            </w:r>
          </w:p>
        </w:tc>
      </w:tr>
      <w:tr w:rsidR="00A93036" w:rsidRPr="00C1770E" w14:paraId="2FEC0C08"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70D37C1"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2015</w:t>
            </w:r>
          </w:p>
        </w:tc>
        <w:tc>
          <w:tcPr>
            <w:tcW w:w="1080" w:type="dxa"/>
            <w:noWrap/>
            <w:vAlign w:val="center"/>
            <w:hideMark/>
          </w:tcPr>
          <w:p w14:paraId="21208995"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284,5</w:t>
            </w:r>
          </w:p>
        </w:tc>
        <w:tc>
          <w:tcPr>
            <w:tcW w:w="1080" w:type="dxa"/>
            <w:noWrap/>
            <w:vAlign w:val="center"/>
            <w:hideMark/>
          </w:tcPr>
          <w:p w14:paraId="784AE1E2"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244,8</w:t>
            </w:r>
          </w:p>
        </w:tc>
        <w:tc>
          <w:tcPr>
            <w:tcW w:w="2279" w:type="dxa"/>
            <w:noWrap/>
            <w:vAlign w:val="center"/>
            <w:hideMark/>
          </w:tcPr>
          <w:p w14:paraId="6BC88340"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-39,7</w:t>
            </w:r>
          </w:p>
        </w:tc>
        <w:tc>
          <w:tcPr>
            <w:tcW w:w="1559" w:type="dxa"/>
            <w:noWrap/>
            <w:vAlign w:val="center"/>
            <w:hideMark/>
          </w:tcPr>
          <w:p w14:paraId="06601AAD"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86,1</w:t>
            </w:r>
          </w:p>
        </w:tc>
      </w:tr>
      <w:tr w:rsidR="00A93036" w:rsidRPr="00C1770E" w14:paraId="6F143560" w14:textId="77777777" w:rsidTr="00905326">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0D9656B1"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2016</w:t>
            </w:r>
          </w:p>
        </w:tc>
        <w:tc>
          <w:tcPr>
            <w:tcW w:w="1080" w:type="dxa"/>
            <w:noWrap/>
            <w:vAlign w:val="center"/>
          </w:tcPr>
          <w:p w14:paraId="5B88783A"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292,6</w:t>
            </w:r>
          </w:p>
        </w:tc>
        <w:tc>
          <w:tcPr>
            <w:tcW w:w="1080" w:type="dxa"/>
            <w:noWrap/>
            <w:vAlign w:val="center"/>
          </w:tcPr>
          <w:p w14:paraId="1D791E31"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258,0</w:t>
            </w:r>
          </w:p>
        </w:tc>
        <w:tc>
          <w:tcPr>
            <w:tcW w:w="2279" w:type="dxa"/>
            <w:noWrap/>
            <w:vAlign w:val="center"/>
          </w:tcPr>
          <w:p w14:paraId="4A87FE77"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-34,6</w:t>
            </w:r>
          </w:p>
        </w:tc>
        <w:tc>
          <w:tcPr>
            <w:tcW w:w="1559" w:type="dxa"/>
            <w:noWrap/>
            <w:vAlign w:val="center"/>
          </w:tcPr>
          <w:p w14:paraId="5E39EBB4"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88,2</w:t>
            </w:r>
          </w:p>
        </w:tc>
      </w:tr>
      <w:tr w:rsidR="00A93036" w:rsidRPr="00C1770E" w14:paraId="3EFC7684"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75508DAC" w14:textId="77777777" w:rsidR="00A93036" w:rsidRPr="00C1770E" w:rsidRDefault="00A93036" w:rsidP="006F69AD">
            <w:pPr>
              <w:jc w:val="center"/>
              <w:rPr>
                <w:rFonts w:cs="Times New Roman"/>
                <w:color w:val="000000"/>
                <w:sz w:val="22"/>
                <w:lang w:eastAsia="lv-LV"/>
              </w:rPr>
            </w:pPr>
            <w:r w:rsidRPr="00C1770E">
              <w:rPr>
                <w:rFonts w:cs="Times New Roman"/>
                <w:color w:val="000000"/>
                <w:sz w:val="22"/>
                <w:lang w:eastAsia="lv-LV"/>
              </w:rPr>
              <w:t>2017</w:t>
            </w:r>
          </w:p>
        </w:tc>
        <w:tc>
          <w:tcPr>
            <w:tcW w:w="1080" w:type="dxa"/>
            <w:noWrap/>
            <w:vAlign w:val="center"/>
          </w:tcPr>
          <w:p w14:paraId="2E57EB9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289,8</w:t>
            </w:r>
          </w:p>
        </w:tc>
        <w:tc>
          <w:tcPr>
            <w:tcW w:w="1080" w:type="dxa"/>
            <w:noWrap/>
            <w:vAlign w:val="center"/>
          </w:tcPr>
          <w:p w14:paraId="7DF67757"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223,3</w:t>
            </w:r>
          </w:p>
        </w:tc>
        <w:tc>
          <w:tcPr>
            <w:tcW w:w="2279" w:type="dxa"/>
            <w:noWrap/>
            <w:vAlign w:val="center"/>
          </w:tcPr>
          <w:p w14:paraId="734D433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-66,5</w:t>
            </w:r>
          </w:p>
        </w:tc>
        <w:tc>
          <w:tcPr>
            <w:tcW w:w="1559" w:type="dxa"/>
            <w:noWrap/>
            <w:vAlign w:val="center"/>
          </w:tcPr>
          <w:p w14:paraId="76192DBC"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77,1</w:t>
            </w:r>
          </w:p>
        </w:tc>
      </w:tr>
    </w:tbl>
    <w:p w14:paraId="765B6B1C" w14:textId="77777777" w:rsidR="00A93036" w:rsidRDefault="00A93036" w:rsidP="00A93036">
      <w:pPr>
        <w:spacing w:after="0" w:line="240" w:lineRule="auto"/>
        <w:jc w:val="both"/>
        <w:rPr>
          <w:rFonts w:ascii="Times New Roman" w:hAnsi="Times New Roman" w:cs="Times New Roman"/>
          <w:i/>
          <w:color w:val="000000"/>
          <w:sz w:val="20"/>
          <w:szCs w:val="20"/>
          <w:lang w:eastAsia="lv-LV"/>
        </w:rPr>
      </w:pPr>
    </w:p>
    <w:p w14:paraId="3C8F9897" w14:textId="5BFA7A9D" w:rsidR="00A93036" w:rsidRPr="0021366C" w:rsidRDefault="00A93036" w:rsidP="00953696">
      <w:pPr>
        <w:spacing w:after="0" w:line="240" w:lineRule="auto"/>
        <w:ind w:firstLine="709"/>
        <w:jc w:val="both"/>
        <w:rPr>
          <w:rFonts w:ascii="Times New Roman" w:eastAsiaTheme="minorHAnsi" w:hAnsi="Times New Roman"/>
          <w:sz w:val="24"/>
        </w:rPr>
      </w:pPr>
      <w:r>
        <w:rPr>
          <w:rFonts w:ascii="Times New Roman" w:eastAsiaTheme="minorHAnsi" w:hAnsi="Times New Roman"/>
          <w:sz w:val="24"/>
        </w:rPr>
        <w:t>Tā kā iemaksu apmērs ir saistīts ar IKP, pastāv korelācija starp novirzēm iemaksu apjomā un novirzēm IKP prognozēs. Var secināt, ka ekonomikas lejupslīdes gados pastāv tendence nenovērtēt ekonomikas sabremzēšanās tempu, bet ekonomikas augšupejas periodā nenovērtēt izaugsmes apmēru. Šie faktori</w:t>
      </w:r>
      <w:r w:rsidR="006D781C">
        <w:rPr>
          <w:rFonts w:ascii="Times New Roman" w:eastAsiaTheme="minorHAnsi" w:hAnsi="Times New Roman"/>
          <w:sz w:val="24"/>
        </w:rPr>
        <w:t xml:space="preserve"> daļēji</w:t>
      </w:r>
      <w:r>
        <w:rPr>
          <w:rFonts w:ascii="Times New Roman" w:eastAsiaTheme="minorHAnsi" w:hAnsi="Times New Roman"/>
          <w:sz w:val="24"/>
        </w:rPr>
        <w:t xml:space="preserve"> skaidro sistēmiskā rakstura novirzes iemaksu apjomā. Vienlaicīgi, tie  apstiprina pieņēmumu, ka ekonomikas cikla periodā fiskālais risks ir simetrisks. Līdz ar to tiek saglabāts pieņēmums, ka</w:t>
      </w:r>
      <w:r w:rsidRPr="0089209F">
        <w:rPr>
          <w:rFonts w:ascii="Times New Roman" w:eastAsiaTheme="minorHAnsi" w:hAnsi="Times New Roman"/>
          <w:sz w:val="24"/>
        </w:rPr>
        <w:t xml:space="preserve"> varbūtība kārtējie</w:t>
      </w:r>
      <w:r>
        <w:rPr>
          <w:rFonts w:ascii="Times New Roman" w:eastAsiaTheme="minorHAnsi" w:hAnsi="Times New Roman"/>
          <w:sz w:val="24"/>
        </w:rPr>
        <w:t>m</w:t>
      </w:r>
      <w:r w:rsidRPr="0089209F">
        <w:rPr>
          <w:rFonts w:ascii="Times New Roman" w:eastAsiaTheme="minorHAnsi" w:hAnsi="Times New Roman"/>
          <w:sz w:val="24"/>
        </w:rPr>
        <w:t xml:space="preserve"> maksājumi</w:t>
      </w:r>
      <w:r>
        <w:rPr>
          <w:rFonts w:ascii="Times New Roman" w:eastAsiaTheme="minorHAnsi" w:hAnsi="Times New Roman"/>
          <w:sz w:val="24"/>
        </w:rPr>
        <w:t>em</w:t>
      </w:r>
      <w:r w:rsidRPr="0089209F">
        <w:rPr>
          <w:rFonts w:ascii="Times New Roman" w:eastAsiaTheme="minorHAnsi" w:hAnsi="Times New Roman"/>
          <w:sz w:val="24"/>
        </w:rPr>
        <w:t xml:space="preserve"> bū</w:t>
      </w:r>
      <w:r>
        <w:rPr>
          <w:rFonts w:ascii="Times New Roman" w:eastAsiaTheme="minorHAnsi" w:hAnsi="Times New Roman"/>
          <w:sz w:val="24"/>
        </w:rPr>
        <w:t>t</w:t>
      </w:r>
      <w:r w:rsidRPr="0089209F">
        <w:rPr>
          <w:rFonts w:ascii="Times New Roman" w:eastAsiaTheme="minorHAnsi" w:hAnsi="Times New Roman"/>
          <w:sz w:val="24"/>
        </w:rPr>
        <w:t xml:space="preserve"> virs vai zem prognozētās vērtības, ir 50% un fiskālā ietekme ilgtermiņā ir </w:t>
      </w:r>
      <w:r>
        <w:rPr>
          <w:rFonts w:ascii="Times New Roman" w:eastAsiaTheme="minorHAnsi" w:hAnsi="Times New Roman"/>
          <w:sz w:val="24"/>
        </w:rPr>
        <w:t>tuva nullei</w:t>
      </w:r>
      <w:r w:rsidRPr="0089209F">
        <w:rPr>
          <w:rFonts w:ascii="Times New Roman" w:eastAsiaTheme="minorHAnsi" w:hAnsi="Times New Roman"/>
          <w:sz w:val="24"/>
        </w:rPr>
        <w:t>. Līdz ar to fiskālais risks, kas attiecas uz kārtējiem maksājumiem ES budžetā</w:t>
      </w:r>
      <w:r>
        <w:rPr>
          <w:rFonts w:ascii="Times New Roman" w:eastAsiaTheme="minorHAnsi" w:hAnsi="Times New Roman"/>
          <w:sz w:val="24"/>
        </w:rPr>
        <w:t>,</w:t>
      </w:r>
      <w:r w:rsidRPr="0089209F">
        <w:rPr>
          <w:rFonts w:ascii="Times New Roman" w:eastAsiaTheme="minorHAnsi" w:hAnsi="Times New Roman"/>
          <w:sz w:val="24"/>
        </w:rPr>
        <w:t xml:space="preserve"> netiek </w:t>
      </w:r>
      <w:r w:rsidRPr="0089209F">
        <w:rPr>
          <w:rFonts w:ascii="Times New Roman" w:eastAsiaTheme="minorHAnsi" w:hAnsi="Times New Roman" w:cs="Times New Roman"/>
          <w:sz w:val="24"/>
        </w:rPr>
        <w:t>ietverts fiskālās nodrošinājuma rezerves aprēķinā</w:t>
      </w:r>
      <w:r w:rsidR="00953696">
        <w:rPr>
          <w:rFonts w:ascii="Times New Roman" w:eastAsiaTheme="minorHAnsi" w:hAnsi="Times New Roman"/>
          <w:sz w:val="24"/>
        </w:rPr>
        <w:t>, bet Brexit efekts tiek iekļauts fiskālā nodrošinājuma minimālajā rezervē kā nekvantificējams risks.</w:t>
      </w:r>
    </w:p>
    <w:p w14:paraId="6BDD9A57" w14:textId="77777777" w:rsidR="00481389" w:rsidRPr="00481389" w:rsidRDefault="00481389" w:rsidP="00481389"/>
    <w:p w14:paraId="2F76F25E" w14:textId="77777777" w:rsidR="00822D84" w:rsidRPr="001A084E"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0" w:name="_Toc405371080"/>
      <w:bookmarkStart w:id="21" w:name="_Toc536626718"/>
      <w:r w:rsidRPr="001A084E">
        <w:rPr>
          <w:rFonts w:ascii="Times New Roman" w:hAnsi="Times New Roman" w:cs="Times New Roman"/>
          <w:color w:val="auto"/>
          <w:sz w:val="24"/>
          <w:szCs w:val="24"/>
        </w:rPr>
        <w:t>Eiropas Savienības politiku instrumentu un citu ārvalstu finanšu palīdzības programmas</w:t>
      </w:r>
      <w:bookmarkEnd w:id="20"/>
      <w:bookmarkEnd w:id="21"/>
    </w:p>
    <w:p w14:paraId="013CD63F" w14:textId="77777777" w:rsidR="00481389" w:rsidRDefault="00481389" w:rsidP="00DD6ACA">
      <w:pPr>
        <w:spacing w:after="0" w:line="240" w:lineRule="auto"/>
        <w:ind w:firstLine="567"/>
        <w:jc w:val="both"/>
        <w:rPr>
          <w:rFonts w:ascii="Times New Roman" w:eastAsiaTheme="majorEastAsia" w:hAnsi="Times New Roman"/>
          <w:sz w:val="24"/>
          <w:szCs w:val="24"/>
        </w:rPr>
      </w:pPr>
      <w:r w:rsidRPr="001A084E">
        <w:rPr>
          <w:rFonts w:ascii="Times New Roman" w:eastAsiaTheme="minorHAnsi" w:hAnsi="Times New Roman"/>
          <w:sz w:val="24"/>
        </w:rPr>
        <w:t>Fiskālais risks attiecas uz p</w:t>
      </w:r>
      <w:r w:rsidRPr="001A084E">
        <w:rPr>
          <w:rFonts w:ascii="Times New Roman" w:eastAsiaTheme="majorEastAsia" w:hAnsi="Times New Roman"/>
          <w:sz w:val="24"/>
          <w:szCs w:val="24"/>
        </w:rPr>
        <w:t>rojektu un pasākumu īstenošanai nepieciešamo un no attiecīgās programmas neatmaksājamo izdevumu pieaugumu tādām ES politiku instrumentu un citām ārvalstu finanšu palīdzības programmām, kurām netiek piemērota izdevumu izlīdzināšana. Atbilstoši FDL izdevumu izlīdzināšana tiek piemērota ES struktūrfondiem, Kohēzijas fondam, kopējās lauksaimniecības politikas un kopējās zivsaimniecības politikas izdevumiem.</w:t>
      </w:r>
      <w:r w:rsidRPr="00481389">
        <w:rPr>
          <w:rFonts w:ascii="Times New Roman" w:eastAsiaTheme="majorEastAsia" w:hAnsi="Times New Roman"/>
          <w:sz w:val="24"/>
          <w:szCs w:val="24"/>
        </w:rPr>
        <w:t xml:space="preserve"> </w:t>
      </w:r>
    </w:p>
    <w:p w14:paraId="15F3D70D" w14:textId="46ED07AC" w:rsidR="00561836" w:rsidRPr="0089209F" w:rsidRDefault="00561836" w:rsidP="00561836">
      <w:pPr>
        <w:spacing w:after="0" w:line="240" w:lineRule="auto"/>
        <w:ind w:firstLine="720"/>
        <w:jc w:val="both"/>
        <w:rPr>
          <w:rFonts w:ascii="Times New Roman" w:eastAsiaTheme="minorHAnsi" w:hAnsi="Times New Roman" w:cs="Times New Roman"/>
          <w:sz w:val="24"/>
        </w:rPr>
      </w:pPr>
      <w:r w:rsidRPr="0074632C">
        <w:rPr>
          <w:rFonts w:ascii="Times New Roman" w:eastAsiaTheme="minorHAnsi" w:hAnsi="Times New Roman" w:cs="Times New Roman"/>
          <w:sz w:val="24"/>
        </w:rPr>
        <w:t>Dati līdz 201</w:t>
      </w:r>
      <w:r w:rsidR="00753C04">
        <w:rPr>
          <w:rFonts w:ascii="Times New Roman" w:eastAsiaTheme="minorHAnsi" w:hAnsi="Times New Roman" w:cs="Times New Roman"/>
          <w:sz w:val="24"/>
        </w:rPr>
        <w:t>8</w:t>
      </w:r>
      <w:r w:rsidR="00FD7788">
        <w:rPr>
          <w:rFonts w:ascii="Times New Roman" w:eastAsiaTheme="minorHAnsi" w:hAnsi="Times New Roman" w:cs="Times New Roman"/>
          <w:sz w:val="24"/>
        </w:rPr>
        <w:t>.</w:t>
      </w:r>
      <w:r w:rsidRPr="0074632C">
        <w:rPr>
          <w:rFonts w:ascii="Times New Roman" w:eastAsiaTheme="minorHAnsi" w:hAnsi="Times New Roman" w:cs="Times New Roman"/>
          <w:sz w:val="24"/>
        </w:rPr>
        <w:t>gadam norāda, ka visām iepriekš minētajām ES politiku instrumentu un citu ārvalstu finanšu palīdzības programmām faktiskie izdevumi apskatāmajā laika periodā ir mazāki nekā plānotie. Ņemot vērā tabulā vērojamo tendenci, pašlaik fiskālais risks, ka izdevumi pārsniegs plānotos, ir zems un fiskālais risks netiek iekļauts fiskālās nodrošinājuma rezerves aprēķinā.</w:t>
      </w:r>
      <w:r w:rsidRPr="0089209F">
        <w:rPr>
          <w:rFonts w:ascii="Times New Roman" w:eastAsiaTheme="minorHAnsi" w:hAnsi="Times New Roman" w:cs="Times New Roman"/>
          <w:sz w:val="24"/>
        </w:rPr>
        <w:t xml:space="preserve"> </w:t>
      </w:r>
    </w:p>
    <w:p w14:paraId="468DCEFC" w14:textId="77777777" w:rsidR="00DD6ACA" w:rsidRPr="00481389" w:rsidRDefault="00DD6ACA" w:rsidP="00DD6ACA">
      <w:pPr>
        <w:spacing w:after="0" w:line="240" w:lineRule="auto"/>
        <w:ind w:firstLine="567"/>
        <w:jc w:val="both"/>
        <w:rPr>
          <w:rFonts w:ascii="Times New Roman" w:eastAsiaTheme="majorEastAsia" w:hAnsi="Times New Roman"/>
          <w:sz w:val="24"/>
          <w:szCs w:val="24"/>
        </w:rPr>
      </w:pPr>
    </w:p>
    <w:p w14:paraId="6DCA26B1" w14:textId="77777777" w:rsidR="00C1770E" w:rsidRDefault="00C1770E" w:rsidP="00481389">
      <w:pPr>
        <w:jc w:val="right"/>
        <w:rPr>
          <w:rFonts w:ascii="Times New Roman" w:eastAsiaTheme="minorHAnsi" w:hAnsi="Times New Roman"/>
          <w:b/>
          <w:color w:val="000000" w:themeColor="text1"/>
          <w:sz w:val="24"/>
        </w:rPr>
      </w:pPr>
    </w:p>
    <w:p w14:paraId="46EEB412" w14:textId="77777777" w:rsidR="00C1770E" w:rsidRDefault="00C1770E" w:rsidP="00481389">
      <w:pPr>
        <w:jc w:val="right"/>
        <w:rPr>
          <w:rFonts w:ascii="Times New Roman" w:eastAsiaTheme="minorHAnsi" w:hAnsi="Times New Roman"/>
          <w:b/>
          <w:color w:val="000000" w:themeColor="text1"/>
          <w:sz w:val="24"/>
        </w:rPr>
      </w:pPr>
    </w:p>
    <w:p w14:paraId="72BEB597" w14:textId="77777777" w:rsidR="00C1770E" w:rsidRDefault="00C1770E" w:rsidP="00481389">
      <w:pPr>
        <w:jc w:val="right"/>
        <w:rPr>
          <w:rFonts w:ascii="Times New Roman" w:eastAsiaTheme="minorHAnsi" w:hAnsi="Times New Roman"/>
          <w:b/>
          <w:color w:val="000000" w:themeColor="text1"/>
          <w:sz w:val="24"/>
        </w:rPr>
      </w:pPr>
    </w:p>
    <w:p w14:paraId="50AE43C8" w14:textId="77777777" w:rsidR="00C1770E" w:rsidRDefault="00C1770E" w:rsidP="00481389">
      <w:pPr>
        <w:jc w:val="right"/>
        <w:rPr>
          <w:rFonts w:ascii="Times New Roman" w:eastAsiaTheme="minorHAnsi" w:hAnsi="Times New Roman"/>
          <w:b/>
          <w:color w:val="000000" w:themeColor="text1"/>
          <w:sz w:val="24"/>
        </w:rPr>
      </w:pPr>
    </w:p>
    <w:p w14:paraId="48695AA2" w14:textId="77777777" w:rsidR="00C1770E" w:rsidRDefault="00C1770E" w:rsidP="00481389">
      <w:pPr>
        <w:jc w:val="right"/>
        <w:rPr>
          <w:rFonts w:ascii="Times New Roman" w:eastAsiaTheme="minorHAnsi" w:hAnsi="Times New Roman"/>
          <w:b/>
          <w:color w:val="000000" w:themeColor="text1"/>
          <w:sz w:val="24"/>
        </w:rPr>
      </w:pPr>
    </w:p>
    <w:p w14:paraId="41C7BAB2" w14:textId="77777777" w:rsidR="00C1770E" w:rsidRDefault="00C1770E" w:rsidP="00481389">
      <w:pPr>
        <w:jc w:val="right"/>
        <w:rPr>
          <w:rFonts w:ascii="Times New Roman" w:eastAsiaTheme="minorHAnsi" w:hAnsi="Times New Roman"/>
          <w:b/>
          <w:color w:val="000000" w:themeColor="text1"/>
          <w:sz w:val="24"/>
        </w:rPr>
      </w:pPr>
    </w:p>
    <w:p w14:paraId="3793071F" w14:textId="77777777" w:rsidR="00C1770E" w:rsidRDefault="00C1770E" w:rsidP="00481389">
      <w:pPr>
        <w:jc w:val="right"/>
        <w:rPr>
          <w:rFonts w:ascii="Times New Roman" w:eastAsiaTheme="minorHAnsi" w:hAnsi="Times New Roman"/>
          <w:b/>
          <w:color w:val="000000" w:themeColor="text1"/>
          <w:sz w:val="24"/>
        </w:rPr>
      </w:pPr>
    </w:p>
    <w:p w14:paraId="57F2AFAF" w14:textId="77777777" w:rsidR="00FD7788" w:rsidRDefault="00FD7788" w:rsidP="00481389">
      <w:pPr>
        <w:jc w:val="right"/>
        <w:rPr>
          <w:rFonts w:ascii="Times New Roman" w:eastAsiaTheme="minorHAnsi" w:hAnsi="Times New Roman"/>
          <w:b/>
          <w:color w:val="000000" w:themeColor="text1"/>
          <w:sz w:val="24"/>
        </w:rPr>
      </w:pPr>
    </w:p>
    <w:p w14:paraId="494A86E8" w14:textId="7806A41D" w:rsidR="00481389" w:rsidRPr="00A12337" w:rsidRDefault="00481389" w:rsidP="00481389">
      <w:pPr>
        <w:jc w:val="right"/>
        <w:rPr>
          <w:rFonts w:ascii="Times New Roman" w:eastAsiaTheme="minorHAnsi" w:hAnsi="Times New Roman"/>
          <w:b/>
          <w:i/>
          <w:color w:val="000000" w:themeColor="text1"/>
          <w:sz w:val="24"/>
        </w:rPr>
      </w:pPr>
      <w:r w:rsidRPr="00A12337">
        <w:rPr>
          <w:rFonts w:ascii="Times New Roman" w:eastAsiaTheme="minorHAnsi" w:hAnsi="Times New Roman"/>
          <w:b/>
          <w:color w:val="000000" w:themeColor="text1"/>
          <w:sz w:val="24"/>
        </w:rPr>
        <w:lastRenderedPageBreak/>
        <w:t>Tabula Nr.</w:t>
      </w:r>
      <w:r w:rsidR="00786453">
        <w:rPr>
          <w:rFonts w:ascii="Times New Roman" w:eastAsiaTheme="minorHAnsi" w:hAnsi="Times New Roman"/>
          <w:b/>
          <w:color w:val="000000" w:themeColor="text1"/>
          <w:sz w:val="24"/>
        </w:rPr>
        <w:t>6</w:t>
      </w:r>
      <w:r w:rsidRPr="00A12337">
        <w:rPr>
          <w:rFonts w:ascii="Times New Roman" w:eastAsiaTheme="minorHAnsi" w:hAnsi="Times New Roman"/>
          <w:b/>
          <w:color w:val="000000" w:themeColor="text1"/>
          <w:sz w:val="24"/>
        </w:rPr>
        <w:t xml:space="preserve"> ES politiku instrumentu un citu ārvalstu finanšu palīdzības programmu izdevumi, milj. </w:t>
      </w:r>
      <w:r w:rsidRPr="00A12337">
        <w:rPr>
          <w:rFonts w:ascii="Times New Roman" w:eastAsiaTheme="minorHAnsi" w:hAnsi="Times New Roman"/>
          <w:b/>
          <w:i/>
          <w:color w:val="000000" w:themeColor="text1"/>
          <w:sz w:val="24"/>
        </w:rPr>
        <w:t>euro</w:t>
      </w:r>
    </w:p>
    <w:p w14:paraId="4B263CE9" w14:textId="6CEC7611" w:rsidR="001A084E" w:rsidRDefault="00A3385D" w:rsidP="000E4882">
      <w:pPr>
        <w:spacing w:after="0" w:line="240" w:lineRule="auto"/>
        <w:jc w:val="both"/>
        <w:rPr>
          <w:rFonts w:ascii="Times New Roman" w:eastAsiaTheme="minorHAnsi" w:hAnsi="Times New Roman" w:cs="Times New Roman"/>
          <w:sz w:val="24"/>
        </w:rPr>
      </w:pPr>
      <w:r w:rsidRPr="00A3385D">
        <w:rPr>
          <w:noProof/>
          <w:lang w:eastAsia="lv-LV"/>
        </w:rPr>
        <w:drawing>
          <wp:inline distT="0" distB="0" distL="0" distR="0" wp14:anchorId="13F81E81" wp14:editId="087F21CB">
            <wp:extent cx="6120130" cy="5720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720557"/>
                    </a:xfrm>
                    <a:prstGeom prst="rect">
                      <a:avLst/>
                    </a:prstGeom>
                    <a:noFill/>
                    <a:ln>
                      <a:noFill/>
                    </a:ln>
                  </pic:spPr>
                </pic:pic>
              </a:graphicData>
            </a:graphic>
          </wp:inline>
        </w:drawing>
      </w:r>
    </w:p>
    <w:p w14:paraId="14FB8D31" w14:textId="77777777" w:rsidR="001A084E" w:rsidRDefault="001A084E" w:rsidP="001A084E">
      <w:pPr>
        <w:spacing w:after="0" w:line="240" w:lineRule="auto"/>
        <w:ind w:firstLine="720"/>
        <w:jc w:val="both"/>
        <w:rPr>
          <w:rFonts w:ascii="Times New Roman" w:eastAsiaTheme="minorHAnsi" w:hAnsi="Times New Roman" w:cs="Times New Roman"/>
          <w:sz w:val="24"/>
        </w:rPr>
      </w:pPr>
    </w:p>
    <w:p w14:paraId="714DC34D" w14:textId="77777777" w:rsidR="005C32F2" w:rsidRPr="000E71E5" w:rsidRDefault="005C32F2" w:rsidP="00481389">
      <w:pPr>
        <w:rPr>
          <w:sz w:val="4"/>
          <w:szCs w:val="4"/>
        </w:rPr>
      </w:pPr>
    </w:p>
    <w:p w14:paraId="4F4A5C4E" w14:textId="77777777" w:rsidR="00822D84" w:rsidRPr="008D7F0E"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sz w:val="24"/>
          <w:szCs w:val="24"/>
        </w:rPr>
      </w:pPr>
      <w:bookmarkStart w:id="22" w:name="_Toc405371083"/>
      <w:bookmarkStart w:id="23" w:name="_Toc536626719"/>
      <w:r w:rsidRPr="00521C35">
        <w:rPr>
          <w:rFonts w:ascii="Times New Roman" w:hAnsi="Times New Roman" w:cs="Times New Roman"/>
          <w:color w:val="auto"/>
          <w:sz w:val="24"/>
          <w:szCs w:val="24"/>
        </w:rPr>
        <w:t>Kapitāls uz pieprasījumu</w:t>
      </w:r>
      <w:bookmarkEnd w:id="22"/>
      <w:bookmarkEnd w:id="23"/>
    </w:p>
    <w:p w14:paraId="72C3F593" w14:textId="77777777" w:rsidR="001F3A40" w:rsidRPr="0089209F" w:rsidRDefault="001F3A40" w:rsidP="001F3A40">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Šis fiskālais risks var īstenoties, ja iestājas līgumā ar starptautisko institūciju, kurā Latvija ir kapitāla daļu turētājs, noteiktie apstākļi, kad var tikt pieprasīta kapitāla uz pieprasījumu apmaksa. Ar starptautiskajām institūcijām noslēgto līgumu nosacījumu analīze liecina, ka tie ir salīdzinoši </w:t>
      </w:r>
      <w:r>
        <w:rPr>
          <w:rFonts w:ascii="Times New Roman" w:eastAsiaTheme="minorHAnsi" w:hAnsi="Times New Roman" w:cs="Times New Roman"/>
          <w:sz w:val="24"/>
          <w:szCs w:val="20"/>
        </w:rPr>
        <w:t>vienveidīgi</w:t>
      </w:r>
      <w:r w:rsidRPr="0089209F">
        <w:rPr>
          <w:rFonts w:ascii="Times New Roman" w:eastAsiaTheme="minorHAnsi" w:hAnsi="Times New Roman" w:cs="Times New Roman"/>
          <w:sz w:val="24"/>
          <w:szCs w:val="20"/>
        </w:rPr>
        <w:t xml:space="preserve"> un nosaka to, ka organizācija var pieprasīt apmaksāt kapitālu uz pieprasījumu situācijā, kad organizācija</w:t>
      </w:r>
      <w:r w:rsidR="004275C9">
        <w:rPr>
          <w:rFonts w:ascii="Times New Roman" w:eastAsiaTheme="minorHAnsi" w:hAnsi="Times New Roman" w:cs="Times New Roman"/>
          <w:sz w:val="24"/>
          <w:szCs w:val="20"/>
        </w:rPr>
        <w:t>s rīcībā</w:t>
      </w:r>
      <w:r w:rsidRPr="0089209F">
        <w:rPr>
          <w:rFonts w:ascii="Times New Roman" w:eastAsiaTheme="minorHAnsi" w:hAnsi="Times New Roman" w:cs="Times New Roman"/>
          <w:sz w:val="24"/>
          <w:szCs w:val="20"/>
        </w:rPr>
        <w:t xml:space="preserve"> nav pietiekami finanšu resursi, lai nodrošinātu institūcijas mērķu izpildi straujas finanšu situācijas pasliktināšanās gadījumos. </w:t>
      </w:r>
      <w:r>
        <w:rPr>
          <w:rFonts w:ascii="Times New Roman" w:eastAsiaTheme="minorHAnsi" w:hAnsi="Times New Roman" w:cs="Times New Roman"/>
          <w:sz w:val="24"/>
          <w:szCs w:val="20"/>
        </w:rPr>
        <w:t xml:space="preserve">Situācija, kad organizācija pieprasa neapmaksātā reģistrētā kapitāla apmaksu, pati par sevi nenosaka, ka ir īstenojies fiskālais risks. Vispārīgā gadījumā šāds pieprasījums tiek uzskaitīts kā iespējamās saistības bez tiešas ietekmes uz budžeta deficītu (netieša ietekme rodas, ja valsts aizņemas finanšu resursus pieprasījuma izpildei, maksājamo aizņēmuma procentu apmērā, kā arī attiecīgi palielinās valsts parāds). Savukārt fiskālais risks iestājas tādos gadījumos, kad ar kapitālu uz pieprasījumu tiek segti ievērojami organizācijas finansiālās darbības zaudējumi (piemēram, organizācija noraksta izsniegto aizdevumu). </w:t>
      </w:r>
      <w:r w:rsidRPr="0089209F">
        <w:rPr>
          <w:rFonts w:ascii="Times New Roman" w:eastAsiaTheme="minorHAnsi" w:hAnsi="Times New Roman" w:cs="Times New Roman"/>
          <w:sz w:val="24"/>
          <w:szCs w:val="20"/>
        </w:rPr>
        <w:t>Valsts iespējamās saistības saskaņā ar pašreiz spēkā esošajiem līgumiem ir apkopotas Tabulā Nr.</w:t>
      </w:r>
      <w:r>
        <w:rPr>
          <w:rFonts w:ascii="Times New Roman" w:eastAsiaTheme="minorHAnsi" w:hAnsi="Times New Roman" w:cs="Times New Roman"/>
          <w:sz w:val="24"/>
          <w:szCs w:val="20"/>
        </w:rPr>
        <w:t>7</w:t>
      </w:r>
      <w:r w:rsidRPr="0089209F">
        <w:rPr>
          <w:rFonts w:ascii="Times New Roman" w:eastAsiaTheme="minorHAnsi" w:hAnsi="Times New Roman" w:cs="Times New Roman"/>
          <w:sz w:val="24"/>
          <w:szCs w:val="20"/>
        </w:rPr>
        <w:t>.</w:t>
      </w:r>
    </w:p>
    <w:p w14:paraId="38CFC03B" w14:textId="400E31E0" w:rsidR="001F3A40" w:rsidRDefault="001F3A40" w:rsidP="001F3A40">
      <w:pPr>
        <w:spacing w:after="240" w:line="240" w:lineRule="auto"/>
        <w:jc w:val="right"/>
        <w:rPr>
          <w:rFonts w:ascii="Times New Roman" w:eastAsiaTheme="minorHAnsi" w:hAnsi="Times New Roman" w:cs="Times New Roman"/>
          <w:b/>
          <w:sz w:val="24"/>
          <w:szCs w:val="20"/>
        </w:rPr>
      </w:pPr>
      <w:r w:rsidRPr="0089209F">
        <w:rPr>
          <w:rFonts w:ascii="Times New Roman" w:eastAsiaTheme="minorHAnsi" w:hAnsi="Times New Roman" w:cs="Times New Roman"/>
          <w:b/>
          <w:sz w:val="24"/>
          <w:szCs w:val="20"/>
        </w:rPr>
        <w:lastRenderedPageBreak/>
        <w:t xml:space="preserve">Tabula </w:t>
      </w:r>
      <w:r w:rsidRPr="00507D6B">
        <w:rPr>
          <w:rFonts w:ascii="Times New Roman" w:eastAsiaTheme="minorHAnsi" w:hAnsi="Times New Roman" w:cs="Times New Roman"/>
          <w:b/>
          <w:sz w:val="24"/>
          <w:szCs w:val="20"/>
        </w:rPr>
        <w:t>Nr.</w:t>
      </w:r>
      <w:r w:rsidR="00786453">
        <w:rPr>
          <w:rFonts w:ascii="Times New Roman" w:eastAsiaTheme="minorHAnsi" w:hAnsi="Times New Roman" w:cs="Times New Roman"/>
          <w:b/>
          <w:sz w:val="24"/>
          <w:szCs w:val="20"/>
        </w:rPr>
        <w:t>7</w:t>
      </w:r>
      <w:r w:rsidRPr="0089209F">
        <w:rPr>
          <w:rFonts w:ascii="Times New Roman" w:eastAsiaTheme="minorHAnsi" w:hAnsi="Times New Roman" w:cs="Times New Roman"/>
          <w:b/>
          <w:sz w:val="24"/>
          <w:szCs w:val="20"/>
        </w:rPr>
        <w:t xml:space="preserve"> Kapitāls uz pieprasījumu sadalījumā pa starptautiskajām institūcijām</w:t>
      </w:r>
    </w:p>
    <w:tbl>
      <w:tblPr>
        <w:tblW w:w="9629" w:type="dxa"/>
        <w:tblLook w:val="04A0" w:firstRow="1" w:lastRow="0" w:firstColumn="1" w:lastColumn="0" w:noHBand="0" w:noVBand="1"/>
      </w:tblPr>
      <w:tblGrid>
        <w:gridCol w:w="4385"/>
        <w:gridCol w:w="2126"/>
        <w:gridCol w:w="883"/>
        <w:gridCol w:w="2235"/>
      </w:tblGrid>
      <w:tr w:rsidR="001F3A40" w:rsidRPr="00C1770E" w14:paraId="66027D43" w14:textId="77777777" w:rsidTr="001F3A40">
        <w:trPr>
          <w:trHeight w:val="315"/>
        </w:trPr>
        <w:tc>
          <w:tcPr>
            <w:tcW w:w="9629" w:type="dxa"/>
            <w:gridSpan w:val="4"/>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150E709A" w14:textId="77777777" w:rsidR="001F3A40" w:rsidRPr="00C1770E" w:rsidRDefault="001F3A40" w:rsidP="001F3A40">
            <w:pPr>
              <w:spacing w:after="0" w:line="240" w:lineRule="auto"/>
              <w:jc w:val="both"/>
              <w:rPr>
                <w:rFonts w:ascii="Times New Roman" w:eastAsiaTheme="minorHAnsi" w:hAnsi="Times New Roman" w:cs="Times New Roman"/>
                <w:b/>
                <w:bCs/>
              </w:rPr>
            </w:pPr>
            <w:r w:rsidRPr="00C1770E">
              <w:rPr>
                <w:rFonts w:ascii="Times New Roman" w:eastAsiaTheme="minorHAnsi" w:hAnsi="Times New Roman" w:cs="Times New Roman"/>
                <w:b/>
                <w:bCs/>
              </w:rPr>
              <w:t>Kapitāls uz pieprasījumu sadalījumā pa starptautiskajām institūcijām</w:t>
            </w:r>
          </w:p>
        </w:tc>
      </w:tr>
      <w:tr w:rsidR="001F3A40" w:rsidRPr="00C1770E" w14:paraId="2EE5E0A7" w14:textId="77777777" w:rsidTr="001F3A40">
        <w:trPr>
          <w:trHeight w:val="315"/>
        </w:trPr>
        <w:tc>
          <w:tcPr>
            <w:tcW w:w="438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088C71D3" w14:textId="77777777" w:rsidR="001F3A40" w:rsidRPr="00C1770E" w:rsidRDefault="001F3A40" w:rsidP="001F3A40">
            <w:pPr>
              <w:spacing w:after="0" w:line="240" w:lineRule="auto"/>
              <w:jc w:val="both"/>
              <w:rPr>
                <w:rFonts w:ascii="Times New Roman" w:eastAsiaTheme="minorHAnsi" w:hAnsi="Times New Roman" w:cs="Times New Roman"/>
                <w:b/>
                <w:bCs/>
              </w:rPr>
            </w:pPr>
            <w:r w:rsidRPr="00C1770E">
              <w:rPr>
                <w:rFonts w:ascii="Times New Roman" w:eastAsiaTheme="minorHAnsi" w:hAnsi="Times New Roman" w:cs="Times New Roman"/>
                <w:b/>
                <w:bCs/>
              </w:rPr>
              <w:t>Starptautiskā institūcija</w:t>
            </w:r>
          </w:p>
        </w:tc>
        <w:tc>
          <w:tcPr>
            <w:tcW w:w="3009" w:type="dxa"/>
            <w:gridSpan w:val="2"/>
            <w:tcBorders>
              <w:top w:val="nil"/>
              <w:left w:val="nil"/>
              <w:bottom w:val="single" w:sz="8" w:space="0" w:color="95B3D7"/>
              <w:right w:val="single" w:sz="8" w:space="0" w:color="95B3D7"/>
            </w:tcBorders>
            <w:shd w:val="clear" w:color="auto" w:fill="auto"/>
            <w:vAlign w:val="center"/>
            <w:hideMark/>
          </w:tcPr>
          <w:p w14:paraId="0EF75025" w14:textId="77777777" w:rsidR="001F3A40" w:rsidRPr="00C1770E" w:rsidRDefault="001F3A40" w:rsidP="001F3A40">
            <w:pPr>
              <w:spacing w:after="0" w:line="240" w:lineRule="auto"/>
              <w:jc w:val="both"/>
              <w:rPr>
                <w:rFonts w:ascii="Times New Roman" w:eastAsiaTheme="minorHAnsi" w:hAnsi="Times New Roman" w:cs="Times New Roman"/>
                <w:b/>
                <w:bCs/>
              </w:rPr>
            </w:pPr>
            <w:r w:rsidRPr="00C1770E">
              <w:rPr>
                <w:rFonts w:ascii="Times New Roman" w:eastAsiaTheme="minorHAnsi" w:hAnsi="Times New Roman" w:cs="Times New Roman"/>
                <w:b/>
                <w:bCs/>
              </w:rPr>
              <w:t>Kapitāls uz pieprasījumu*</w:t>
            </w:r>
          </w:p>
        </w:tc>
        <w:tc>
          <w:tcPr>
            <w:tcW w:w="223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40CA6087" w14:textId="77777777" w:rsidR="001F3A40" w:rsidRPr="00C1770E" w:rsidRDefault="001F3A40" w:rsidP="001F3A40">
            <w:pPr>
              <w:spacing w:after="0" w:line="240" w:lineRule="auto"/>
              <w:jc w:val="center"/>
              <w:rPr>
                <w:rFonts w:ascii="Times New Roman" w:eastAsiaTheme="minorHAnsi" w:hAnsi="Times New Roman" w:cs="Times New Roman"/>
                <w:b/>
                <w:bCs/>
              </w:rPr>
            </w:pPr>
            <w:r w:rsidRPr="00C1770E">
              <w:rPr>
                <w:rFonts w:ascii="Times New Roman" w:eastAsiaTheme="minorHAnsi" w:hAnsi="Times New Roman" w:cs="Times New Roman"/>
                <w:b/>
                <w:bCs/>
                <w:i/>
              </w:rPr>
              <w:t>euro</w:t>
            </w:r>
            <w:r w:rsidRPr="00C1770E">
              <w:rPr>
                <w:rFonts w:ascii="Times New Roman" w:eastAsiaTheme="minorHAnsi" w:hAnsi="Times New Roman" w:cs="Times New Roman"/>
                <w:b/>
                <w:bCs/>
              </w:rPr>
              <w:t xml:space="preserve"> **</w:t>
            </w:r>
          </w:p>
        </w:tc>
      </w:tr>
      <w:tr w:rsidR="001F3A40" w:rsidRPr="00C1770E" w14:paraId="1FD7117F" w14:textId="77777777" w:rsidTr="001F3A40">
        <w:trPr>
          <w:trHeight w:val="315"/>
        </w:trPr>
        <w:tc>
          <w:tcPr>
            <w:tcW w:w="4385" w:type="dxa"/>
            <w:vMerge/>
            <w:tcBorders>
              <w:top w:val="nil"/>
              <w:left w:val="single" w:sz="8" w:space="0" w:color="95B3D7"/>
              <w:bottom w:val="single" w:sz="8" w:space="0" w:color="95B3D7"/>
              <w:right w:val="single" w:sz="8" w:space="0" w:color="95B3D7"/>
            </w:tcBorders>
            <w:vAlign w:val="center"/>
            <w:hideMark/>
          </w:tcPr>
          <w:p w14:paraId="43E836B1" w14:textId="77777777" w:rsidR="001F3A40" w:rsidRPr="00C1770E" w:rsidRDefault="001F3A40" w:rsidP="001F3A40">
            <w:pPr>
              <w:spacing w:after="0" w:line="240" w:lineRule="auto"/>
              <w:jc w:val="both"/>
              <w:rPr>
                <w:rFonts w:ascii="Times New Roman" w:eastAsiaTheme="minorHAnsi" w:hAnsi="Times New Roman" w:cs="Times New Roman"/>
                <w:b/>
                <w:bCs/>
              </w:rPr>
            </w:pPr>
          </w:p>
        </w:tc>
        <w:tc>
          <w:tcPr>
            <w:tcW w:w="2126" w:type="dxa"/>
            <w:tcBorders>
              <w:top w:val="nil"/>
              <w:left w:val="nil"/>
              <w:bottom w:val="single" w:sz="8" w:space="0" w:color="95B3D7"/>
              <w:right w:val="single" w:sz="8" w:space="0" w:color="95B3D7"/>
            </w:tcBorders>
            <w:shd w:val="clear" w:color="auto" w:fill="auto"/>
            <w:vAlign w:val="center"/>
            <w:hideMark/>
          </w:tcPr>
          <w:p w14:paraId="3E86FDD7" w14:textId="77777777" w:rsidR="001F3A40" w:rsidRPr="00C1770E" w:rsidRDefault="001F3A40" w:rsidP="001F3A40">
            <w:pPr>
              <w:spacing w:after="0" w:line="240" w:lineRule="auto"/>
              <w:jc w:val="both"/>
              <w:rPr>
                <w:rFonts w:ascii="Times New Roman" w:eastAsiaTheme="minorHAnsi" w:hAnsi="Times New Roman" w:cs="Times New Roman"/>
                <w:b/>
                <w:bCs/>
              </w:rPr>
            </w:pPr>
            <w:r w:rsidRPr="00C1770E">
              <w:rPr>
                <w:rFonts w:ascii="Times New Roman" w:eastAsiaTheme="minorHAnsi" w:hAnsi="Times New Roman" w:cs="Times New Roman"/>
                <w:b/>
                <w:bCs/>
              </w:rPr>
              <w:t>att.valūtas vienībās</w:t>
            </w:r>
          </w:p>
        </w:tc>
        <w:tc>
          <w:tcPr>
            <w:tcW w:w="883" w:type="dxa"/>
            <w:tcBorders>
              <w:top w:val="nil"/>
              <w:left w:val="nil"/>
              <w:bottom w:val="single" w:sz="8" w:space="0" w:color="95B3D7"/>
              <w:right w:val="single" w:sz="8" w:space="0" w:color="95B3D7"/>
            </w:tcBorders>
            <w:shd w:val="clear" w:color="auto" w:fill="auto"/>
            <w:vAlign w:val="center"/>
            <w:hideMark/>
          </w:tcPr>
          <w:p w14:paraId="5BC4FD44" w14:textId="77777777" w:rsidR="001F3A40" w:rsidRPr="00C1770E" w:rsidRDefault="001F3A40" w:rsidP="001F3A40">
            <w:pPr>
              <w:spacing w:after="0" w:line="240" w:lineRule="auto"/>
              <w:jc w:val="both"/>
              <w:rPr>
                <w:rFonts w:ascii="Times New Roman" w:eastAsiaTheme="minorHAnsi" w:hAnsi="Times New Roman" w:cs="Times New Roman"/>
                <w:b/>
                <w:bCs/>
                <w:i/>
                <w:iCs/>
              </w:rPr>
            </w:pPr>
            <w:r w:rsidRPr="00C1770E">
              <w:rPr>
                <w:rFonts w:ascii="Times New Roman" w:eastAsiaTheme="minorHAnsi" w:hAnsi="Times New Roman" w:cs="Times New Roman"/>
                <w:b/>
                <w:bCs/>
                <w:i/>
                <w:iCs/>
              </w:rPr>
              <w:t>Valūta</w:t>
            </w:r>
          </w:p>
        </w:tc>
        <w:tc>
          <w:tcPr>
            <w:tcW w:w="2235" w:type="dxa"/>
            <w:vMerge/>
            <w:tcBorders>
              <w:top w:val="nil"/>
              <w:left w:val="single" w:sz="8" w:space="0" w:color="95B3D7"/>
              <w:bottom w:val="single" w:sz="8" w:space="0" w:color="95B3D7"/>
              <w:right w:val="single" w:sz="8" w:space="0" w:color="95B3D7"/>
            </w:tcBorders>
            <w:vAlign w:val="center"/>
            <w:hideMark/>
          </w:tcPr>
          <w:p w14:paraId="2F350394" w14:textId="77777777" w:rsidR="001F3A40" w:rsidRPr="00C1770E" w:rsidRDefault="001F3A40" w:rsidP="001F3A40">
            <w:pPr>
              <w:spacing w:after="0" w:line="240" w:lineRule="auto"/>
              <w:jc w:val="both"/>
              <w:rPr>
                <w:rFonts w:ascii="Times New Roman" w:eastAsiaTheme="minorHAnsi" w:hAnsi="Times New Roman" w:cs="Times New Roman"/>
                <w:b/>
                <w:bCs/>
              </w:rPr>
            </w:pPr>
          </w:p>
        </w:tc>
      </w:tr>
      <w:tr w:rsidR="001F3A40" w:rsidRPr="00C1770E" w14:paraId="7C6F61DF"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18C6E89D"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Eiropas Padomes Attīstības banka</w:t>
            </w:r>
          </w:p>
        </w:tc>
        <w:tc>
          <w:tcPr>
            <w:tcW w:w="2126" w:type="dxa"/>
            <w:tcBorders>
              <w:top w:val="nil"/>
              <w:left w:val="nil"/>
              <w:bottom w:val="single" w:sz="8" w:space="0" w:color="95B3D7"/>
              <w:right w:val="single" w:sz="8" w:space="0" w:color="95B3D7"/>
            </w:tcBorders>
            <w:shd w:val="clear" w:color="000000" w:fill="DBE5F1"/>
            <w:vAlign w:val="center"/>
            <w:hideMark/>
          </w:tcPr>
          <w:p w14:paraId="21D6A0B6" w14:textId="77777777" w:rsidR="001F3A40" w:rsidRPr="00C1770E" w:rsidRDefault="00321C88" w:rsidP="00321C88">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12 80</w:t>
            </w:r>
            <w:r w:rsidR="001F3A40" w:rsidRPr="00C1770E">
              <w:rPr>
                <w:rFonts w:ascii="Times New Roman" w:eastAsiaTheme="minorHAnsi" w:hAnsi="Times New Roman" w:cs="Times New Roman"/>
              </w:rPr>
              <w:t>8</w:t>
            </w:r>
            <w:r w:rsidRPr="00C1770E">
              <w:rPr>
                <w:rFonts w:ascii="Times New Roman" w:eastAsiaTheme="minorHAnsi" w:hAnsi="Times New Roman" w:cs="Times New Roman"/>
              </w:rPr>
              <w:t> </w:t>
            </w:r>
            <w:r w:rsidR="001F3A40" w:rsidRPr="00C1770E">
              <w:rPr>
                <w:rFonts w:ascii="Times New Roman" w:eastAsiaTheme="minorHAnsi" w:hAnsi="Times New Roman" w:cs="Times New Roman"/>
              </w:rPr>
              <w:t xml:space="preserve">338,00 </w:t>
            </w:r>
          </w:p>
        </w:tc>
        <w:tc>
          <w:tcPr>
            <w:tcW w:w="883" w:type="dxa"/>
            <w:tcBorders>
              <w:top w:val="nil"/>
              <w:left w:val="nil"/>
              <w:bottom w:val="single" w:sz="8" w:space="0" w:color="95B3D7"/>
              <w:right w:val="single" w:sz="8" w:space="0" w:color="95B3D7"/>
            </w:tcBorders>
            <w:shd w:val="clear" w:color="000000" w:fill="DBE5F1"/>
            <w:vAlign w:val="center"/>
            <w:hideMark/>
          </w:tcPr>
          <w:p w14:paraId="41E01925"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4D316EAB"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12</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808</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3</w:t>
            </w:r>
            <w:r w:rsidR="001F3A40" w:rsidRPr="00C1770E">
              <w:rPr>
                <w:rFonts w:ascii="Times New Roman" w:eastAsiaTheme="minorHAnsi" w:hAnsi="Times New Roman" w:cs="Times New Roman"/>
              </w:rPr>
              <w:t xml:space="preserve">38,00 </w:t>
            </w:r>
          </w:p>
        </w:tc>
      </w:tr>
      <w:tr w:rsidR="001F3A40" w:rsidRPr="00C1770E" w14:paraId="5172C1BE"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580A9A5A"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Eiropas Rekonstrukcijas un Attīstības banka</w:t>
            </w:r>
          </w:p>
        </w:tc>
        <w:tc>
          <w:tcPr>
            <w:tcW w:w="2126" w:type="dxa"/>
            <w:tcBorders>
              <w:top w:val="nil"/>
              <w:left w:val="nil"/>
              <w:bottom w:val="single" w:sz="8" w:space="0" w:color="95B3D7"/>
              <w:right w:val="single" w:sz="8" w:space="0" w:color="95B3D7"/>
            </w:tcBorders>
            <w:shd w:val="clear" w:color="auto" w:fill="auto"/>
            <w:vAlign w:val="center"/>
            <w:hideMark/>
          </w:tcPr>
          <w:p w14:paraId="29D04FBB"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30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010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00,00 </w:t>
            </w:r>
          </w:p>
        </w:tc>
        <w:tc>
          <w:tcPr>
            <w:tcW w:w="883" w:type="dxa"/>
            <w:tcBorders>
              <w:top w:val="nil"/>
              <w:left w:val="nil"/>
              <w:bottom w:val="single" w:sz="8" w:space="0" w:color="95B3D7"/>
              <w:right w:val="single" w:sz="8" w:space="0" w:color="95B3D7"/>
            </w:tcBorders>
            <w:shd w:val="clear" w:color="auto" w:fill="auto"/>
            <w:vAlign w:val="center"/>
            <w:hideMark/>
          </w:tcPr>
          <w:p w14:paraId="378F7507"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15895AF2"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30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010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00,00 </w:t>
            </w:r>
          </w:p>
        </w:tc>
      </w:tr>
      <w:tr w:rsidR="001F3A40" w:rsidRPr="00C1770E" w14:paraId="68B3272D"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3A7F68F8"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Eiropas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44EACEDB"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224</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048</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00,00 </w:t>
            </w:r>
          </w:p>
        </w:tc>
        <w:tc>
          <w:tcPr>
            <w:tcW w:w="883" w:type="dxa"/>
            <w:tcBorders>
              <w:top w:val="nil"/>
              <w:left w:val="nil"/>
              <w:bottom w:val="single" w:sz="8" w:space="0" w:color="95B3D7"/>
              <w:right w:val="single" w:sz="8" w:space="0" w:color="95B3D7"/>
            </w:tcBorders>
            <w:shd w:val="clear" w:color="000000" w:fill="DBE5F1"/>
            <w:vAlign w:val="center"/>
            <w:hideMark/>
          </w:tcPr>
          <w:p w14:paraId="7F0E7C73"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9C94043"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224</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048</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00,00 </w:t>
            </w:r>
          </w:p>
        </w:tc>
      </w:tr>
      <w:tr w:rsidR="001F3A40" w:rsidRPr="00C1770E" w14:paraId="6F04AFD8"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3BF2C536"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Daudzpusējā Investīciju Garantiju aģentūra</w:t>
            </w:r>
          </w:p>
        </w:tc>
        <w:tc>
          <w:tcPr>
            <w:tcW w:w="2126" w:type="dxa"/>
            <w:tcBorders>
              <w:top w:val="nil"/>
              <w:left w:val="nil"/>
              <w:bottom w:val="single" w:sz="8" w:space="0" w:color="95B3D7"/>
              <w:right w:val="single" w:sz="8" w:space="0" w:color="95B3D7"/>
            </w:tcBorders>
            <w:shd w:val="clear" w:color="auto" w:fill="auto"/>
            <w:vAlign w:val="center"/>
            <w:hideMark/>
          </w:tcPr>
          <w:p w14:paraId="6B84769D"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850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2</w:t>
            </w:r>
            <w:r w:rsidR="001F3A40" w:rsidRPr="00C1770E">
              <w:rPr>
                <w:rFonts w:ascii="Times New Roman" w:eastAsiaTheme="minorHAnsi" w:hAnsi="Times New Roman" w:cs="Times New Roman"/>
              </w:rPr>
              <w:t xml:space="preserve">20,00 </w:t>
            </w:r>
          </w:p>
        </w:tc>
        <w:tc>
          <w:tcPr>
            <w:tcW w:w="883" w:type="dxa"/>
            <w:tcBorders>
              <w:top w:val="nil"/>
              <w:left w:val="nil"/>
              <w:bottom w:val="single" w:sz="8" w:space="0" w:color="95B3D7"/>
              <w:right w:val="single" w:sz="8" w:space="0" w:color="95B3D7"/>
            </w:tcBorders>
            <w:shd w:val="clear" w:color="auto" w:fill="auto"/>
            <w:vAlign w:val="center"/>
            <w:hideMark/>
          </w:tcPr>
          <w:p w14:paraId="53C7689C"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24050104"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805</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w:t>
            </w:r>
            <w:r w:rsidR="001F3A40" w:rsidRPr="00C1770E">
              <w:rPr>
                <w:rFonts w:ascii="Times New Roman" w:eastAsiaTheme="minorHAnsi" w:hAnsi="Times New Roman" w:cs="Times New Roman"/>
              </w:rPr>
              <w:t xml:space="preserve">14,72 </w:t>
            </w:r>
          </w:p>
        </w:tc>
      </w:tr>
      <w:tr w:rsidR="001F3A40" w:rsidRPr="00C1770E" w14:paraId="5A170427"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21DAF6EB"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Ziemeļu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683F5C2D"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82</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072</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7</w:t>
            </w:r>
            <w:r w:rsidR="001F3A40" w:rsidRPr="00C1770E">
              <w:rPr>
                <w:rFonts w:ascii="Times New Roman" w:eastAsiaTheme="minorHAnsi" w:hAnsi="Times New Roman" w:cs="Times New Roman"/>
              </w:rPr>
              <w:t xml:space="preserve">38,00 </w:t>
            </w:r>
          </w:p>
        </w:tc>
        <w:tc>
          <w:tcPr>
            <w:tcW w:w="883" w:type="dxa"/>
            <w:tcBorders>
              <w:top w:val="nil"/>
              <w:left w:val="nil"/>
              <w:bottom w:val="single" w:sz="8" w:space="0" w:color="95B3D7"/>
              <w:right w:val="single" w:sz="8" w:space="0" w:color="95B3D7"/>
            </w:tcBorders>
            <w:shd w:val="clear" w:color="000000" w:fill="DBE5F1"/>
            <w:vAlign w:val="center"/>
            <w:hideMark/>
          </w:tcPr>
          <w:p w14:paraId="61C01D23"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222AAC0C"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76</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479</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68,61 </w:t>
            </w:r>
          </w:p>
        </w:tc>
      </w:tr>
      <w:tr w:rsidR="001F3A40" w:rsidRPr="00C1770E" w14:paraId="0B62249C"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4007240F"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Starptautiskā Rekonstrukcijas un Attīstības banka (Pasaules Banka)</w:t>
            </w:r>
          </w:p>
        </w:tc>
        <w:tc>
          <w:tcPr>
            <w:tcW w:w="2126" w:type="dxa"/>
            <w:tcBorders>
              <w:top w:val="nil"/>
              <w:left w:val="nil"/>
              <w:bottom w:val="single" w:sz="8" w:space="0" w:color="95B3D7"/>
              <w:right w:val="single" w:sz="8" w:space="0" w:color="95B3D7"/>
            </w:tcBorders>
            <w:shd w:val="clear" w:color="auto" w:fill="auto"/>
            <w:vAlign w:val="center"/>
            <w:hideMark/>
          </w:tcPr>
          <w:p w14:paraId="6CFF2FC2"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211</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593</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7</w:t>
            </w:r>
            <w:r w:rsidR="001F3A40" w:rsidRPr="00C1770E">
              <w:rPr>
                <w:rFonts w:ascii="Times New Roman" w:eastAsiaTheme="minorHAnsi" w:hAnsi="Times New Roman" w:cs="Times New Roman"/>
              </w:rPr>
              <w:t xml:space="preserve">90,00 </w:t>
            </w:r>
          </w:p>
        </w:tc>
        <w:tc>
          <w:tcPr>
            <w:tcW w:w="883" w:type="dxa"/>
            <w:tcBorders>
              <w:top w:val="nil"/>
              <w:left w:val="nil"/>
              <w:bottom w:val="single" w:sz="8" w:space="0" w:color="95B3D7"/>
              <w:right w:val="single" w:sz="8" w:space="0" w:color="95B3D7"/>
            </w:tcBorders>
            <w:shd w:val="clear" w:color="auto" w:fill="auto"/>
            <w:vAlign w:val="center"/>
            <w:hideMark/>
          </w:tcPr>
          <w:p w14:paraId="14D81D4A"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41E86471"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206</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515</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5</w:t>
            </w:r>
            <w:r w:rsidR="001F3A40" w:rsidRPr="00C1770E">
              <w:rPr>
                <w:rFonts w:ascii="Times New Roman" w:eastAsiaTheme="minorHAnsi" w:hAnsi="Times New Roman" w:cs="Times New Roman"/>
              </w:rPr>
              <w:t xml:space="preserve">39,04 </w:t>
            </w:r>
          </w:p>
        </w:tc>
      </w:tr>
      <w:tr w:rsidR="001F3A40" w:rsidRPr="00C1770E" w14:paraId="1C850F73"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4F233B2E"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Starptautiskais Valūtas fonds</w:t>
            </w:r>
          </w:p>
        </w:tc>
        <w:tc>
          <w:tcPr>
            <w:tcW w:w="2126" w:type="dxa"/>
            <w:tcBorders>
              <w:top w:val="nil"/>
              <w:left w:val="nil"/>
              <w:bottom w:val="single" w:sz="8" w:space="0" w:color="95B3D7"/>
              <w:right w:val="single" w:sz="8" w:space="0" w:color="95B3D7"/>
            </w:tcBorders>
            <w:shd w:val="clear" w:color="000000" w:fill="DBE5F1"/>
            <w:vAlign w:val="center"/>
            <w:hideMark/>
          </w:tcPr>
          <w:p w14:paraId="15A22AA1"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332</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300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0</w:t>
            </w:r>
            <w:r w:rsidR="001F3A40" w:rsidRPr="00C1770E">
              <w:rPr>
                <w:rFonts w:ascii="Times New Roman" w:eastAsiaTheme="minorHAnsi" w:hAnsi="Times New Roman" w:cs="Times New Roman"/>
              </w:rPr>
              <w:t xml:space="preserve">00,00 </w:t>
            </w:r>
          </w:p>
        </w:tc>
        <w:tc>
          <w:tcPr>
            <w:tcW w:w="883" w:type="dxa"/>
            <w:tcBorders>
              <w:top w:val="nil"/>
              <w:left w:val="nil"/>
              <w:bottom w:val="single" w:sz="8" w:space="0" w:color="95B3D7"/>
              <w:right w:val="single" w:sz="8" w:space="0" w:color="95B3D7"/>
            </w:tcBorders>
            <w:shd w:val="clear" w:color="000000" w:fill="DBE5F1"/>
            <w:vAlign w:val="center"/>
            <w:hideMark/>
          </w:tcPr>
          <w:p w14:paraId="094A30F1"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XDR</w:t>
            </w:r>
          </w:p>
        </w:tc>
        <w:tc>
          <w:tcPr>
            <w:tcW w:w="2235" w:type="dxa"/>
            <w:tcBorders>
              <w:top w:val="nil"/>
              <w:left w:val="nil"/>
              <w:bottom w:val="single" w:sz="8" w:space="0" w:color="95B3D7"/>
              <w:right w:val="single" w:sz="8" w:space="0" w:color="95B3D7"/>
            </w:tcBorders>
            <w:shd w:val="clear" w:color="000000" w:fill="DBE5F1"/>
            <w:vAlign w:val="center"/>
            <w:hideMark/>
          </w:tcPr>
          <w:p w14:paraId="7E4447D7" w14:textId="77777777" w:rsidR="001F3A40" w:rsidRPr="00C1770E" w:rsidRDefault="00321C88"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430</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828</w:t>
            </w:r>
            <w:r w:rsidR="00A924C1" w:rsidRPr="00C1770E">
              <w:rPr>
                <w:rFonts w:ascii="Times New Roman" w:eastAsiaTheme="minorHAnsi" w:hAnsi="Times New Roman" w:cs="Times New Roman"/>
              </w:rPr>
              <w:t> </w:t>
            </w:r>
            <w:r w:rsidRPr="00C1770E">
              <w:rPr>
                <w:rFonts w:ascii="Times New Roman" w:eastAsiaTheme="minorHAnsi" w:hAnsi="Times New Roman" w:cs="Times New Roman"/>
              </w:rPr>
              <w:t>8</w:t>
            </w:r>
            <w:r w:rsidR="001F3A40" w:rsidRPr="00C1770E">
              <w:rPr>
                <w:rFonts w:ascii="Times New Roman" w:eastAsiaTheme="minorHAnsi" w:hAnsi="Times New Roman" w:cs="Times New Roman"/>
              </w:rPr>
              <w:t xml:space="preserve">30,15 </w:t>
            </w:r>
          </w:p>
        </w:tc>
      </w:tr>
      <w:tr w:rsidR="001F3A40" w:rsidRPr="00C1770E" w14:paraId="18F7375B" w14:textId="77777777" w:rsidTr="001F3A40">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37AE6A7F"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Eiropas Stabilitātes mehānisms</w:t>
            </w:r>
          </w:p>
        </w:tc>
        <w:tc>
          <w:tcPr>
            <w:tcW w:w="2126" w:type="dxa"/>
            <w:tcBorders>
              <w:top w:val="nil"/>
              <w:left w:val="nil"/>
              <w:bottom w:val="single" w:sz="8" w:space="0" w:color="95B3D7"/>
              <w:right w:val="single" w:sz="8" w:space="0" w:color="95B3D7"/>
            </w:tcBorders>
            <w:shd w:val="clear" w:color="auto" w:fill="auto"/>
            <w:vAlign w:val="center"/>
            <w:hideMark/>
          </w:tcPr>
          <w:p w14:paraId="39385B0F" w14:textId="77777777" w:rsidR="001F3A40" w:rsidRPr="00C1770E" w:rsidRDefault="00CC338A"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714</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100</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000</w:t>
            </w:r>
            <w:r w:rsidR="001F3A40" w:rsidRPr="00C1770E">
              <w:rPr>
                <w:rFonts w:ascii="Times New Roman" w:eastAsiaTheme="minorHAnsi" w:hAnsi="Times New Roman" w:cs="Times New Roman"/>
              </w:rPr>
              <w:t xml:space="preserve">,00 </w:t>
            </w:r>
          </w:p>
        </w:tc>
        <w:tc>
          <w:tcPr>
            <w:tcW w:w="883" w:type="dxa"/>
            <w:tcBorders>
              <w:top w:val="nil"/>
              <w:left w:val="nil"/>
              <w:bottom w:val="single" w:sz="8" w:space="0" w:color="95B3D7"/>
              <w:right w:val="single" w:sz="8" w:space="0" w:color="95B3D7"/>
            </w:tcBorders>
            <w:shd w:val="clear" w:color="auto" w:fill="auto"/>
            <w:vAlign w:val="center"/>
            <w:hideMark/>
          </w:tcPr>
          <w:p w14:paraId="420A2EE2"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1BB5652D" w14:textId="77777777" w:rsidR="001F3A40" w:rsidRPr="00C1770E" w:rsidRDefault="00CC338A"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rPr>
              <w:t>1</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714</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100</w:t>
            </w:r>
            <w:r w:rsidR="00FE4B9E" w:rsidRPr="00C1770E">
              <w:rPr>
                <w:rFonts w:ascii="Times New Roman" w:eastAsiaTheme="minorHAnsi" w:hAnsi="Times New Roman" w:cs="Times New Roman"/>
              </w:rPr>
              <w:t> </w:t>
            </w:r>
            <w:r w:rsidRPr="00C1770E">
              <w:rPr>
                <w:rFonts w:ascii="Times New Roman" w:eastAsiaTheme="minorHAnsi" w:hAnsi="Times New Roman" w:cs="Times New Roman"/>
              </w:rPr>
              <w:t>000</w:t>
            </w:r>
            <w:r w:rsidR="001F3A40" w:rsidRPr="00C1770E">
              <w:rPr>
                <w:rFonts w:ascii="Times New Roman" w:eastAsiaTheme="minorHAnsi" w:hAnsi="Times New Roman" w:cs="Times New Roman"/>
              </w:rPr>
              <w:t xml:space="preserve">,00 </w:t>
            </w:r>
          </w:p>
        </w:tc>
      </w:tr>
      <w:tr w:rsidR="001F3A40" w:rsidRPr="00C1770E" w14:paraId="05CC9948" w14:textId="77777777" w:rsidTr="001F3A40">
        <w:trPr>
          <w:trHeight w:val="315"/>
        </w:trPr>
        <w:tc>
          <w:tcPr>
            <w:tcW w:w="7394" w:type="dxa"/>
            <w:gridSpan w:val="3"/>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5F1366E3" w14:textId="77777777" w:rsidR="001F3A40" w:rsidRPr="00C1770E" w:rsidRDefault="001F3A40" w:rsidP="001E75CA">
            <w:pPr>
              <w:spacing w:after="0" w:line="240" w:lineRule="auto"/>
              <w:jc w:val="right"/>
              <w:rPr>
                <w:rFonts w:ascii="Times New Roman" w:eastAsiaTheme="minorHAnsi" w:hAnsi="Times New Roman" w:cs="Times New Roman"/>
                <w:b/>
                <w:bCs/>
              </w:rPr>
            </w:pPr>
            <w:r w:rsidRPr="00C1770E">
              <w:rPr>
                <w:rFonts w:ascii="Times New Roman" w:eastAsiaTheme="minorHAnsi" w:hAnsi="Times New Roman" w:cs="Times New Roman"/>
                <w:b/>
                <w:bCs/>
              </w:rPr>
              <w:t>Kopā</w:t>
            </w:r>
          </w:p>
        </w:tc>
        <w:tc>
          <w:tcPr>
            <w:tcW w:w="2235" w:type="dxa"/>
            <w:tcBorders>
              <w:top w:val="nil"/>
              <w:left w:val="nil"/>
              <w:bottom w:val="single" w:sz="8" w:space="0" w:color="95B3D7"/>
              <w:right w:val="single" w:sz="8" w:space="0" w:color="95B3D7"/>
            </w:tcBorders>
            <w:shd w:val="clear" w:color="000000" w:fill="DBE5F1"/>
            <w:vAlign w:val="center"/>
            <w:hideMark/>
          </w:tcPr>
          <w:p w14:paraId="065F0196" w14:textId="77777777" w:rsidR="001F3A40" w:rsidRPr="00C1770E" w:rsidRDefault="00A924C1" w:rsidP="001F3A40">
            <w:pPr>
              <w:spacing w:after="0" w:line="240" w:lineRule="auto"/>
              <w:jc w:val="both"/>
              <w:rPr>
                <w:rFonts w:ascii="Times New Roman" w:eastAsiaTheme="minorHAnsi" w:hAnsi="Times New Roman" w:cs="Times New Roman"/>
                <w:b/>
                <w:bCs/>
              </w:rPr>
            </w:pPr>
            <w:r w:rsidRPr="00C1770E">
              <w:rPr>
                <w:rFonts w:ascii="Times New Roman" w:eastAsiaTheme="minorHAnsi" w:hAnsi="Times New Roman" w:cs="Times New Roman"/>
                <w:b/>
                <w:bCs/>
              </w:rPr>
              <w:t>2</w:t>
            </w:r>
            <w:r w:rsidRPr="00C1770E">
              <w:rPr>
                <w:rFonts w:ascii="Times New Roman" w:eastAsiaTheme="minorHAnsi" w:hAnsi="Times New Roman" w:cs="Times New Roman"/>
              </w:rPr>
              <w:t> </w:t>
            </w:r>
            <w:r w:rsidRPr="00C1770E">
              <w:rPr>
                <w:rFonts w:ascii="Times New Roman" w:eastAsiaTheme="minorHAnsi" w:hAnsi="Times New Roman" w:cs="Times New Roman"/>
                <w:b/>
                <w:bCs/>
              </w:rPr>
              <w:t>917</w:t>
            </w:r>
            <w:r w:rsidRPr="00C1770E">
              <w:rPr>
                <w:rFonts w:ascii="Times New Roman" w:eastAsiaTheme="minorHAnsi" w:hAnsi="Times New Roman" w:cs="Times New Roman"/>
              </w:rPr>
              <w:t> </w:t>
            </w:r>
            <w:r w:rsidRPr="00C1770E">
              <w:rPr>
                <w:rFonts w:ascii="Times New Roman" w:eastAsiaTheme="minorHAnsi" w:hAnsi="Times New Roman" w:cs="Times New Roman"/>
                <w:b/>
                <w:bCs/>
              </w:rPr>
              <w:t>795</w:t>
            </w:r>
            <w:r w:rsidRPr="00C1770E">
              <w:rPr>
                <w:rFonts w:ascii="Times New Roman" w:eastAsiaTheme="minorHAnsi" w:hAnsi="Times New Roman" w:cs="Times New Roman"/>
              </w:rPr>
              <w:t> </w:t>
            </w:r>
            <w:r w:rsidRPr="00C1770E">
              <w:rPr>
                <w:rFonts w:ascii="Times New Roman" w:eastAsiaTheme="minorHAnsi" w:hAnsi="Times New Roman" w:cs="Times New Roman"/>
                <w:b/>
                <w:bCs/>
              </w:rPr>
              <w:t>5</w:t>
            </w:r>
            <w:r w:rsidR="001F3A40" w:rsidRPr="00C1770E">
              <w:rPr>
                <w:rFonts w:ascii="Times New Roman" w:eastAsiaTheme="minorHAnsi" w:hAnsi="Times New Roman" w:cs="Times New Roman"/>
                <w:b/>
                <w:bCs/>
              </w:rPr>
              <w:t xml:space="preserve">90,52 </w:t>
            </w:r>
          </w:p>
        </w:tc>
      </w:tr>
      <w:tr w:rsidR="001F3A40" w:rsidRPr="00C1770E" w14:paraId="3397C2B6" w14:textId="77777777" w:rsidTr="00321C88">
        <w:trPr>
          <w:trHeight w:val="300"/>
        </w:trPr>
        <w:tc>
          <w:tcPr>
            <w:tcW w:w="9629" w:type="dxa"/>
            <w:gridSpan w:val="4"/>
            <w:tcBorders>
              <w:top w:val="nil"/>
              <w:left w:val="nil"/>
              <w:bottom w:val="nil"/>
              <w:right w:val="nil"/>
            </w:tcBorders>
            <w:shd w:val="clear" w:color="auto" w:fill="auto"/>
            <w:noWrap/>
            <w:vAlign w:val="center"/>
            <w:hideMark/>
          </w:tcPr>
          <w:p w14:paraId="15212511" w14:textId="77777777" w:rsidR="001F3A40" w:rsidRPr="00C1770E" w:rsidRDefault="001F3A40" w:rsidP="001F3A40">
            <w:pPr>
              <w:spacing w:after="0" w:line="240" w:lineRule="auto"/>
              <w:jc w:val="both"/>
              <w:rPr>
                <w:rFonts w:ascii="Times New Roman" w:eastAsiaTheme="minorHAnsi" w:hAnsi="Times New Roman" w:cs="Times New Roman"/>
              </w:rPr>
            </w:pPr>
            <w:r w:rsidRPr="00C1770E">
              <w:rPr>
                <w:rFonts w:ascii="Times New Roman" w:eastAsiaTheme="minorHAnsi" w:hAnsi="Times New Roman" w:cs="Times New Roman"/>
                <w:i/>
                <w:iCs/>
              </w:rPr>
              <w:t>*saskaņā ar spēkā esošiem līgumiem</w:t>
            </w:r>
          </w:p>
        </w:tc>
      </w:tr>
      <w:tr w:rsidR="001F3A40" w:rsidRPr="00C1770E" w14:paraId="353C3AA5" w14:textId="77777777" w:rsidTr="00321C88">
        <w:trPr>
          <w:trHeight w:val="300"/>
        </w:trPr>
        <w:tc>
          <w:tcPr>
            <w:tcW w:w="9629" w:type="dxa"/>
            <w:gridSpan w:val="4"/>
            <w:tcBorders>
              <w:top w:val="nil"/>
              <w:left w:val="nil"/>
              <w:bottom w:val="nil"/>
              <w:right w:val="nil"/>
            </w:tcBorders>
            <w:shd w:val="clear" w:color="auto" w:fill="auto"/>
            <w:noWrap/>
            <w:vAlign w:val="center"/>
            <w:hideMark/>
          </w:tcPr>
          <w:p w14:paraId="6015892C" w14:textId="2CEEFF27" w:rsidR="001F3A40" w:rsidRPr="00C1770E" w:rsidRDefault="001F3A40" w:rsidP="001F3A40">
            <w:pPr>
              <w:spacing w:after="0" w:line="240" w:lineRule="auto"/>
              <w:jc w:val="both"/>
              <w:rPr>
                <w:rFonts w:ascii="Times New Roman" w:eastAsiaTheme="minorHAnsi" w:hAnsi="Times New Roman" w:cs="Times New Roman"/>
                <w:i/>
                <w:iCs/>
              </w:rPr>
            </w:pPr>
            <w:r w:rsidRPr="00C1770E">
              <w:rPr>
                <w:rFonts w:ascii="Times New Roman" w:eastAsiaTheme="minorHAnsi" w:hAnsi="Times New Roman" w:cs="Times New Roman"/>
                <w:i/>
                <w:iCs/>
              </w:rPr>
              <w:t>**aprēķinā izmantoti valsts budžeta pieprasījumu 2018.</w:t>
            </w:r>
            <w:r w:rsidR="000E71E5">
              <w:rPr>
                <w:rFonts w:ascii="Times New Roman" w:hAnsi="Times New Roman" w:cs="Times New Roman"/>
                <w:color w:val="000000"/>
                <w:sz w:val="24"/>
                <w:szCs w:val="24"/>
              </w:rPr>
              <w:t xml:space="preserve"> – </w:t>
            </w:r>
            <w:r w:rsidRPr="00C1770E">
              <w:rPr>
                <w:rFonts w:ascii="Times New Roman" w:eastAsiaTheme="minorHAnsi" w:hAnsi="Times New Roman" w:cs="Times New Roman"/>
                <w:i/>
                <w:iCs/>
              </w:rPr>
              <w:t>2020. gadam sagatavošanai izmantojamie ārvalstu valūtu maiņas kursi</w:t>
            </w:r>
          </w:p>
        </w:tc>
      </w:tr>
    </w:tbl>
    <w:p w14:paraId="62A2A7BA" w14:textId="77777777" w:rsidR="001F3A40" w:rsidRDefault="001F3A40" w:rsidP="0040451F">
      <w:pPr>
        <w:spacing w:after="0" w:line="240" w:lineRule="auto"/>
        <w:jc w:val="both"/>
        <w:rPr>
          <w:rFonts w:ascii="Times New Roman" w:eastAsiaTheme="minorHAnsi" w:hAnsi="Times New Roman" w:cs="Times New Roman"/>
          <w:sz w:val="24"/>
          <w:szCs w:val="20"/>
        </w:rPr>
      </w:pPr>
    </w:p>
    <w:p w14:paraId="150977F8" w14:textId="3D008DD7" w:rsidR="00D51B1B" w:rsidRDefault="00D51B1B" w:rsidP="00FE4B9E">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Līgumos paredzētā kapitāla uz pieprasījumu kopējā summa ir 2 </w:t>
      </w:r>
      <w:r>
        <w:rPr>
          <w:rFonts w:ascii="Times New Roman" w:eastAsiaTheme="minorHAnsi" w:hAnsi="Times New Roman" w:cs="Times New Roman"/>
          <w:sz w:val="24"/>
          <w:szCs w:val="20"/>
        </w:rPr>
        <w:t>917,8</w:t>
      </w:r>
      <w:r w:rsidRPr="0089209F">
        <w:rPr>
          <w:rFonts w:ascii="Times New Roman" w:eastAsiaTheme="minorHAnsi" w:hAnsi="Times New Roman" w:cs="Times New Roman"/>
          <w:sz w:val="24"/>
          <w:szCs w:val="20"/>
        </w:rPr>
        <w:t xml:space="preserve"> milj. </w:t>
      </w:r>
      <w:r w:rsidRPr="0089209F">
        <w:rPr>
          <w:rFonts w:ascii="Times New Roman" w:eastAsiaTheme="minorHAnsi" w:hAnsi="Times New Roman" w:cs="Times New Roman"/>
          <w:i/>
          <w:sz w:val="24"/>
          <w:szCs w:val="20"/>
        </w:rPr>
        <w:t>euro</w:t>
      </w:r>
      <w:r w:rsidRPr="0089209F">
        <w:rPr>
          <w:rFonts w:ascii="Times New Roman" w:eastAsiaTheme="minorHAnsi" w:hAnsi="Times New Roman" w:cs="Times New Roman"/>
          <w:sz w:val="24"/>
          <w:szCs w:val="20"/>
        </w:rPr>
        <w:t>. Līdzšinējā pieredze Latvijas dalībā starptautiskajās finanšu institūcijās rāda, ka situācija, kad jāveic maksājumu kapitālā uz pieprasījumu, kas palielina defic</w:t>
      </w:r>
      <w:r>
        <w:rPr>
          <w:rFonts w:ascii="Times New Roman" w:eastAsiaTheme="minorHAnsi" w:hAnsi="Times New Roman" w:cs="Times New Roman"/>
          <w:sz w:val="24"/>
          <w:szCs w:val="20"/>
        </w:rPr>
        <w:t>ītu, ir tuva nullei un līdz šim</w:t>
      </w:r>
      <w:r w:rsidRPr="0089209F">
        <w:rPr>
          <w:rFonts w:ascii="Times New Roman" w:eastAsiaTheme="minorHAnsi" w:hAnsi="Times New Roman" w:cs="Times New Roman"/>
          <w:sz w:val="24"/>
          <w:szCs w:val="20"/>
        </w:rPr>
        <w:t xml:space="preserve"> šādu maksājumu nepieciešamība nav bijusi. Jāatzīmē, ka kapitāla uz pieprasījuma jēga ir nodrošināt starptautiskās finanšu institūcijas augstu reitingu, lai varētu no starptautiskajiem finanšu tirgiem piesaistīt lētus finanšu resursus. Kapitāls uz pieprasījumu darbojas kā pēdējā garantija, ja finanšu institūcija cieš sistēmiskus zaudējumus, ko nav iespējams segt ar pašas finanšu institūcijas uzkrātajām rezervēm. Ņemot vērā zemo riska iestāšanās varbūtību, fiskālo risku nodrošinājuma reze</w:t>
      </w:r>
      <w:r>
        <w:rPr>
          <w:rFonts w:ascii="Times New Roman" w:eastAsiaTheme="minorHAnsi" w:hAnsi="Times New Roman" w:cs="Times New Roman"/>
          <w:sz w:val="24"/>
          <w:szCs w:val="20"/>
        </w:rPr>
        <w:t xml:space="preserve">rve šim riskam netiek veidota. </w:t>
      </w:r>
    </w:p>
    <w:p w14:paraId="61F2F214" w14:textId="3E396E34" w:rsidR="0030420E" w:rsidRPr="00F01C66" w:rsidRDefault="0030420E" w:rsidP="00F01C66">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4" w:name="_Toc405371086"/>
      <w:bookmarkStart w:id="25" w:name="_Toc536626720"/>
      <w:r w:rsidRPr="00F01C66">
        <w:rPr>
          <w:rFonts w:ascii="Times New Roman" w:hAnsi="Times New Roman" w:cs="Times New Roman"/>
          <w:color w:val="auto"/>
          <w:sz w:val="24"/>
          <w:szCs w:val="24"/>
        </w:rPr>
        <w:t>Valsts kapitālsabiedrības</w:t>
      </w:r>
      <w:bookmarkEnd w:id="24"/>
      <w:bookmarkEnd w:id="25"/>
    </w:p>
    <w:p w14:paraId="403DCD5F" w14:textId="77777777" w:rsidR="0030420E" w:rsidRPr="00847E01" w:rsidRDefault="0030420E" w:rsidP="0030420E">
      <w:pPr>
        <w:spacing w:after="0" w:line="240" w:lineRule="auto"/>
        <w:ind w:firstLine="567"/>
        <w:jc w:val="both"/>
        <w:rPr>
          <w:rFonts w:ascii="Times New Roman" w:eastAsiaTheme="minorHAnsi" w:hAnsi="Times New Roman" w:cs="Times New Roman"/>
          <w:sz w:val="24"/>
          <w:szCs w:val="20"/>
        </w:rPr>
      </w:pPr>
      <w:r w:rsidRPr="00847E01">
        <w:rPr>
          <w:rFonts w:ascii="Times New Roman" w:eastAsiaTheme="minorHAnsi" w:hAnsi="Times New Roman" w:cs="Times New Roman"/>
          <w:sz w:val="24"/>
          <w:szCs w:val="20"/>
        </w:rPr>
        <w:t>Šī specifiskā fiskālā riska avots attiecas uz valsts kapitālsabiedrīb</w:t>
      </w:r>
      <w:r>
        <w:rPr>
          <w:rFonts w:ascii="Times New Roman" w:eastAsiaTheme="minorHAnsi" w:hAnsi="Times New Roman" w:cs="Times New Roman"/>
          <w:sz w:val="24"/>
          <w:szCs w:val="20"/>
        </w:rPr>
        <w:t>ām</w:t>
      </w:r>
      <w:r w:rsidRPr="00847E01">
        <w:rPr>
          <w:rFonts w:ascii="Times New Roman" w:eastAsiaTheme="minorHAnsi" w:hAnsi="Times New Roman" w:cs="Times New Roman"/>
          <w:sz w:val="24"/>
          <w:szCs w:val="20"/>
        </w:rPr>
        <w:t xml:space="preserve">, kuras ir iekļautas vispārējās valdības sektorā (apakšsektors S130130 “Valsts struktūru kontrolēti un finansēti komersanti” un S130330 “Pašvaldību struktūru kontrolētas un finansētas komercsabiedrības”) ieņēmumu un izdevumu rezultātu un parādu atbilstoši EKS uzskaites metodoloģijai (turpmāk – saimnieciskās darbības rezultāts) attiecīgajā pārskata periodā. </w:t>
      </w:r>
      <w:r w:rsidRPr="00847E01">
        <w:rPr>
          <w:rFonts w:ascii="Times New Roman" w:eastAsiaTheme="minorHAnsi" w:hAnsi="Times New Roman" w:cs="Times New Roman"/>
          <w:sz w:val="24"/>
        </w:rPr>
        <w:t>Valsts un pašvaldību kapitālsabiedrības</w:t>
      </w:r>
      <w:r w:rsidRPr="00847E01">
        <w:rPr>
          <w:rFonts w:ascii="Times New Roman" w:eastAsiaTheme="minorHAnsi" w:hAnsi="Times New Roman"/>
          <w:sz w:val="24"/>
          <w:szCs w:val="24"/>
          <w:lang w:eastAsia="lv-LV"/>
        </w:rPr>
        <w:t xml:space="preserve"> tiek iekļautas </w:t>
      </w:r>
      <w:r w:rsidRPr="00847E01">
        <w:rPr>
          <w:rFonts w:ascii="Times New Roman" w:eastAsiaTheme="minorHAnsi" w:hAnsi="Times New Roman" w:cs="Times New Roman"/>
          <w:sz w:val="24"/>
          <w:szCs w:val="24"/>
          <w:lang w:eastAsia="lv-LV"/>
        </w:rPr>
        <w:t>vispārējās valdības sektorā, ja, atbilstoši EKS metodoloģiskajiem kritērijiem, tiek konstatēts, ka:</w:t>
      </w:r>
    </w:p>
    <w:p w14:paraId="1DFC82C4" w14:textId="77777777" w:rsidR="0030420E" w:rsidRPr="00847E01" w:rsidRDefault="0030420E" w:rsidP="0030420E">
      <w:pPr>
        <w:numPr>
          <w:ilvl w:val="0"/>
          <w:numId w:val="18"/>
        </w:numPr>
        <w:spacing w:after="0" w:line="240" w:lineRule="auto"/>
        <w:ind w:left="1134" w:firstLine="0"/>
        <w:jc w:val="both"/>
        <w:rPr>
          <w:rFonts w:ascii="Times New Roman" w:eastAsia="Calibri" w:hAnsi="Times New Roman" w:cs="Times New Roman"/>
          <w:sz w:val="24"/>
          <w:szCs w:val="24"/>
          <w:lang w:eastAsia="lv-LV"/>
        </w:rPr>
      </w:pPr>
      <w:r w:rsidRPr="00847E01">
        <w:rPr>
          <w:rFonts w:ascii="Times New Roman" w:eastAsia="Calibri" w:hAnsi="Times New Roman" w:cs="Times New Roman"/>
          <w:sz w:val="24"/>
          <w:szCs w:val="24"/>
          <w:lang w:eastAsia="lv-LV"/>
        </w:rPr>
        <w:t>valsts vai pašvaldības kontrolē komercsabiedrību;</w:t>
      </w:r>
    </w:p>
    <w:p w14:paraId="7B315717" w14:textId="77777777" w:rsidR="0030420E" w:rsidRPr="00847E01" w:rsidRDefault="0030420E" w:rsidP="0030420E">
      <w:pPr>
        <w:numPr>
          <w:ilvl w:val="0"/>
          <w:numId w:val="18"/>
        </w:numPr>
        <w:spacing w:after="0" w:line="240" w:lineRule="auto"/>
        <w:ind w:left="1418" w:hanging="284"/>
        <w:jc w:val="both"/>
        <w:rPr>
          <w:rFonts w:ascii="Times New Roman" w:eastAsia="Calibri" w:hAnsi="Times New Roman" w:cs="Times New Roman"/>
          <w:sz w:val="24"/>
          <w:szCs w:val="24"/>
          <w:lang w:eastAsia="lv-LV"/>
        </w:rPr>
      </w:pPr>
      <w:r w:rsidRPr="00847E01">
        <w:rPr>
          <w:rFonts w:ascii="Times New Roman" w:eastAsia="Calibri" w:hAnsi="Times New Roman" w:cs="Times New Roman"/>
          <w:sz w:val="24"/>
          <w:szCs w:val="24"/>
          <w:lang w:eastAsia="lv-LV"/>
        </w:rPr>
        <w:t>konkrētās kapitālsabiedrības neto apgrozījums mīnus saņemtie valsts vai pašvaldības budžeta asignējumi ir mazāki kā 50% no kapitālsabiedrības darbības izmaksām, vai ka pastāv citi tirgus konkurenci ierobežojoši apstākļi, kuru dēļ komersants ir uzskatāms par ārpus tirgus ražotāju.</w:t>
      </w:r>
    </w:p>
    <w:p w14:paraId="2EE70EE8" w14:textId="77777777" w:rsidR="0030420E" w:rsidRPr="00847E01" w:rsidRDefault="0030420E" w:rsidP="0030420E">
      <w:pPr>
        <w:spacing w:after="0" w:line="240" w:lineRule="auto"/>
        <w:ind w:firstLine="720"/>
        <w:jc w:val="both"/>
        <w:rPr>
          <w:rFonts w:ascii="Times New Roman" w:eastAsiaTheme="minorHAnsi" w:hAnsi="Times New Roman" w:cs="Times New Roman"/>
          <w:sz w:val="24"/>
          <w:szCs w:val="20"/>
        </w:rPr>
      </w:pPr>
      <w:r w:rsidRPr="00847E01">
        <w:rPr>
          <w:rFonts w:ascii="Times New Roman" w:eastAsiaTheme="minorHAnsi" w:hAnsi="Times New Roman" w:cs="Times New Roman"/>
          <w:sz w:val="24"/>
          <w:szCs w:val="20"/>
        </w:rPr>
        <w:t>Fiskālais risks iestājas gadījumā, kad saimnieciskās darbības rezultāts</w:t>
      </w:r>
      <w:r w:rsidRPr="00847E01" w:rsidDel="00A66465">
        <w:rPr>
          <w:rFonts w:ascii="Times New Roman" w:eastAsiaTheme="minorHAnsi" w:hAnsi="Times New Roman" w:cs="Times New Roman"/>
          <w:sz w:val="24"/>
          <w:szCs w:val="20"/>
        </w:rPr>
        <w:t xml:space="preserve"> </w:t>
      </w:r>
      <w:r w:rsidRPr="00847E01">
        <w:rPr>
          <w:rFonts w:ascii="Times New Roman" w:eastAsiaTheme="minorHAnsi" w:hAnsi="Times New Roman" w:cs="Times New Roman"/>
          <w:sz w:val="24"/>
          <w:szCs w:val="20"/>
        </w:rPr>
        <w:t>pārskata periodā negatīvi novirzās no vispārējās valdības budžeta prognozēs plānotā apmēra, tādējādi pasliktinot vispārējās valdības budžeta bilanci</w:t>
      </w:r>
      <w:r>
        <w:rPr>
          <w:rFonts w:ascii="Times New Roman" w:eastAsiaTheme="minorHAnsi" w:hAnsi="Times New Roman" w:cs="Times New Roman"/>
          <w:sz w:val="24"/>
          <w:szCs w:val="20"/>
        </w:rPr>
        <w:t xml:space="preserve"> un/vai parādu</w:t>
      </w:r>
      <w:r w:rsidRPr="00847E01">
        <w:rPr>
          <w:rFonts w:ascii="Times New Roman" w:eastAsiaTheme="minorHAnsi" w:hAnsi="Times New Roman" w:cs="Times New Roman"/>
          <w:sz w:val="24"/>
          <w:szCs w:val="20"/>
        </w:rPr>
        <w:t>.</w:t>
      </w:r>
      <w:r>
        <w:rPr>
          <w:rFonts w:ascii="Times New Roman" w:eastAsiaTheme="minorHAnsi" w:hAnsi="Times New Roman" w:cs="Times New Roman"/>
          <w:sz w:val="24"/>
          <w:szCs w:val="20"/>
        </w:rPr>
        <w:t xml:space="preserve"> Risks iestājas arī gadījumā, ja iepriekš vispārējās valdības sektorā neklasificēta kapitālsabiedrība tiek klasificēta vispārējās valdības sektorā un tās saimnieciskās darbības rezultāts (ņemot vērā konsolidācijas efektus sektora ietvaros) ir negatīvs.</w:t>
      </w:r>
    </w:p>
    <w:p w14:paraId="7133B65E" w14:textId="77777777" w:rsidR="0030420E" w:rsidRPr="00847E01" w:rsidRDefault="0030420E" w:rsidP="0030420E">
      <w:pPr>
        <w:spacing w:after="0" w:line="240" w:lineRule="auto"/>
        <w:jc w:val="both"/>
        <w:rPr>
          <w:rFonts w:ascii="Times New Roman" w:eastAsiaTheme="minorHAnsi" w:hAnsi="Times New Roman" w:cs="Times New Roman"/>
          <w:sz w:val="24"/>
        </w:rPr>
      </w:pPr>
      <w:r w:rsidRPr="00847E01">
        <w:rPr>
          <w:rFonts w:ascii="Times New Roman" w:eastAsiaTheme="minorHAnsi" w:hAnsi="Times New Roman" w:cs="Times New Roman"/>
          <w:sz w:val="24"/>
        </w:rPr>
        <w:tab/>
        <w:t xml:space="preserve">Sagatavojot vispārējās valdības budžeta prognozes, tiek ņemta vērā gan informācija par vispārējās valdības sektorā iekļauto kapitālsabiedrību </w:t>
      </w:r>
      <w:r w:rsidRPr="00847E01">
        <w:rPr>
          <w:rFonts w:ascii="Times New Roman" w:eastAsiaTheme="minorHAnsi" w:hAnsi="Times New Roman" w:cs="Times New Roman"/>
          <w:sz w:val="24"/>
          <w:szCs w:val="20"/>
        </w:rPr>
        <w:t xml:space="preserve">saimnieciskās darbības </w:t>
      </w:r>
      <w:r w:rsidRPr="00847E01">
        <w:rPr>
          <w:rFonts w:ascii="Times New Roman" w:eastAsiaTheme="minorHAnsi" w:hAnsi="Times New Roman" w:cs="Times New Roman"/>
          <w:sz w:val="24"/>
        </w:rPr>
        <w:t xml:space="preserve">vēsturiskajiem </w:t>
      </w:r>
      <w:r w:rsidRPr="00847E01">
        <w:rPr>
          <w:rFonts w:ascii="Times New Roman" w:eastAsiaTheme="minorHAnsi" w:hAnsi="Times New Roman" w:cs="Times New Roman"/>
          <w:sz w:val="24"/>
        </w:rPr>
        <w:lastRenderedPageBreak/>
        <w:t xml:space="preserve">rezultātiem no </w:t>
      </w:r>
      <w:r>
        <w:rPr>
          <w:rFonts w:ascii="Times New Roman" w:eastAsiaTheme="minorHAnsi" w:hAnsi="Times New Roman" w:cs="Times New Roman"/>
          <w:sz w:val="24"/>
        </w:rPr>
        <w:t>CSP</w:t>
      </w:r>
      <w:r w:rsidRPr="00847E01">
        <w:rPr>
          <w:rFonts w:ascii="Times New Roman" w:eastAsiaTheme="minorHAnsi" w:hAnsi="Times New Roman" w:cs="Times New Roman"/>
          <w:sz w:val="24"/>
        </w:rPr>
        <w:t xml:space="preserve"> valsts budžeta deficīta un parāda notifikācijas</w:t>
      </w:r>
      <w:r w:rsidRPr="00847E01">
        <w:rPr>
          <w:rFonts w:ascii="Times New Roman" w:eastAsiaTheme="minorHAnsi" w:hAnsi="Times New Roman"/>
          <w:sz w:val="24"/>
          <w:vertAlign w:val="superscript"/>
        </w:rPr>
        <w:footnoteReference w:id="7"/>
      </w:r>
      <w:r w:rsidRPr="00847E01">
        <w:rPr>
          <w:rFonts w:ascii="Times New Roman" w:eastAsiaTheme="minorHAnsi" w:hAnsi="Times New Roman" w:cs="Times New Roman"/>
          <w:sz w:val="24"/>
        </w:rPr>
        <w:t xml:space="preserve">, gan arī prognozes par turpmāko </w:t>
      </w:r>
      <w:r w:rsidRPr="00847E01">
        <w:rPr>
          <w:rFonts w:ascii="Times New Roman" w:eastAsiaTheme="minorHAnsi" w:hAnsi="Times New Roman" w:cs="Times New Roman"/>
          <w:sz w:val="24"/>
          <w:szCs w:val="20"/>
        </w:rPr>
        <w:t xml:space="preserve">saimnieciskās darbības </w:t>
      </w:r>
      <w:r w:rsidRPr="00847E01">
        <w:rPr>
          <w:rFonts w:ascii="Times New Roman" w:eastAsiaTheme="minorHAnsi" w:hAnsi="Times New Roman" w:cs="Times New Roman"/>
          <w:sz w:val="24"/>
        </w:rPr>
        <w:t xml:space="preserve">rezultātu, kas tiek sagatavotas veicot selektīvu kapitālsabiedrību aptauju. Jāatzīmē, ka vēsturisko tendenču kā vienīgā informācijas avota pielietošana, ekstrapolējot vēsturisko datu rindu uz nākotni, dod prognozes ar visai zemas ticamības pakāpi, jo kapitālsabiedrību </w:t>
      </w:r>
      <w:r w:rsidRPr="00847E01">
        <w:rPr>
          <w:rFonts w:ascii="Times New Roman" w:eastAsiaTheme="minorHAnsi" w:hAnsi="Times New Roman" w:cs="Times New Roman"/>
          <w:sz w:val="24"/>
          <w:szCs w:val="20"/>
        </w:rPr>
        <w:t>saimnieciskās darbības rezultātu</w:t>
      </w:r>
      <w:r w:rsidRPr="00847E01" w:rsidDel="00A66465">
        <w:rPr>
          <w:rFonts w:ascii="Times New Roman" w:eastAsiaTheme="minorHAnsi" w:hAnsi="Times New Roman" w:cs="Times New Roman"/>
          <w:sz w:val="24"/>
        </w:rPr>
        <w:t xml:space="preserve"> </w:t>
      </w:r>
      <w:r w:rsidRPr="00847E01">
        <w:rPr>
          <w:rFonts w:ascii="Times New Roman" w:eastAsiaTheme="minorHAnsi" w:hAnsi="Times New Roman" w:cs="Times New Roman"/>
          <w:sz w:val="24"/>
        </w:rPr>
        <w:t xml:space="preserve">būtiski ietekmē nākotnē plānotie investīciju projekti (atbilstoši EKS metodoloģijai, kapitālieguldījumi kā izdevumi tiek iegrāmatoti tajā laika periodā, kad </w:t>
      </w:r>
      <w:r>
        <w:rPr>
          <w:rFonts w:ascii="Times New Roman" w:eastAsiaTheme="minorHAnsi" w:hAnsi="Times New Roman" w:cs="Times New Roman"/>
          <w:sz w:val="24"/>
        </w:rPr>
        <w:t xml:space="preserve">faktiski tiek veikti izdevumi). </w:t>
      </w:r>
      <w:r w:rsidRPr="00847E01">
        <w:rPr>
          <w:rFonts w:ascii="Times New Roman" w:eastAsiaTheme="minorHAnsi" w:hAnsi="Times New Roman" w:cs="Times New Roman"/>
          <w:sz w:val="24"/>
        </w:rPr>
        <w:t xml:space="preserve">Tāpēc sākot ar 2013.gadu FM ir sākusi informācijas uzkrāšanu par kapitālsabiedrību pašu veiktajām </w:t>
      </w:r>
      <w:r w:rsidRPr="00847E01">
        <w:rPr>
          <w:rFonts w:ascii="Times New Roman" w:eastAsiaTheme="minorHAnsi" w:hAnsi="Times New Roman" w:cs="Times New Roman"/>
          <w:sz w:val="24"/>
          <w:szCs w:val="20"/>
        </w:rPr>
        <w:t>saimnieciskās darbības rezultātu</w:t>
      </w:r>
      <w:r w:rsidRPr="00847E01" w:rsidDel="00A66465">
        <w:rPr>
          <w:rFonts w:ascii="Times New Roman" w:eastAsiaTheme="minorHAnsi" w:hAnsi="Times New Roman" w:cs="Times New Roman"/>
          <w:sz w:val="24"/>
        </w:rPr>
        <w:t xml:space="preserve"> </w:t>
      </w:r>
      <w:r w:rsidRPr="00847E01">
        <w:rPr>
          <w:rFonts w:ascii="Times New Roman" w:eastAsiaTheme="minorHAnsi" w:hAnsi="Times New Roman" w:cs="Times New Roman"/>
          <w:sz w:val="24"/>
        </w:rPr>
        <w:t>prognozēm.</w:t>
      </w:r>
    </w:p>
    <w:p w14:paraId="67E8170D" w14:textId="77777777" w:rsidR="0030420E" w:rsidRPr="00847E01" w:rsidRDefault="0030420E" w:rsidP="0030420E">
      <w:pPr>
        <w:spacing w:after="0" w:line="240" w:lineRule="auto"/>
        <w:ind w:firstLine="720"/>
        <w:jc w:val="both"/>
        <w:rPr>
          <w:rFonts w:ascii="Times New Roman" w:eastAsiaTheme="minorHAnsi" w:hAnsi="Times New Roman" w:cs="Times New Roman"/>
          <w:sz w:val="24"/>
        </w:rPr>
      </w:pPr>
      <w:r w:rsidRPr="00847E01">
        <w:rPr>
          <w:rFonts w:ascii="Times New Roman" w:eastAsiaTheme="minorHAnsi" w:hAnsi="Times New Roman" w:cs="Times New Roman"/>
          <w:sz w:val="24"/>
        </w:rPr>
        <w:t xml:space="preserve">Pieredze rāda, ka ne vienmēr kapitālsabiedrību veiktās prognozes ir ticamas un faktiskais </w:t>
      </w:r>
      <w:r w:rsidRPr="00847E01">
        <w:rPr>
          <w:rFonts w:ascii="Times New Roman" w:eastAsiaTheme="minorHAnsi" w:hAnsi="Times New Roman" w:cs="Times New Roman"/>
          <w:sz w:val="24"/>
          <w:szCs w:val="20"/>
        </w:rPr>
        <w:t>saimnieciskās darbības rezultāts</w:t>
      </w:r>
      <w:r w:rsidRPr="00847E01" w:rsidDel="00A66465">
        <w:rPr>
          <w:rFonts w:ascii="Times New Roman" w:eastAsiaTheme="minorHAnsi" w:hAnsi="Times New Roman" w:cs="Times New Roman"/>
          <w:sz w:val="24"/>
        </w:rPr>
        <w:t xml:space="preserve"> </w:t>
      </w:r>
      <w:r w:rsidRPr="00847E01">
        <w:rPr>
          <w:rFonts w:ascii="Times New Roman" w:eastAsiaTheme="minorHAnsi" w:hAnsi="Times New Roman" w:cs="Times New Roman"/>
          <w:sz w:val="24"/>
        </w:rPr>
        <w:t xml:space="preserve">mēdz būtiski atšķirties no prognozētā. Līdz ar to turpmākā papildu rīcība fiskālā riska mazināšanai paredz nodrošināt pastiprinātu kvalitātes kontroli pār kapitālsabiedrību sagatavotajām </w:t>
      </w:r>
      <w:r w:rsidRPr="00847E01">
        <w:rPr>
          <w:rFonts w:ascii="Times New Roman" w:eastAsiaTheme="minorHAnsi" w:hAnsi="Times New Roman" w:cs="Times New Roman"/>
          <w:sz w:val="24"/>
          <w:szCs w:val="20"/>
        </w:rPr>
        <w:t xml:space="preserve">saimnieciskās darbības </w:t>
      </w:r>
      <w:r w:rsidRPr="00847E01">
        <w:rPr>
          <w:rFonts w:ascii="Times New Roman" w:eastAsiaTheme="minorHAnsi" w:hAnsi="Times New Roman" w:cs="Times New Roman"/>
          <w:sz w:val="24"/>
        </w:rPr>
        <w:t xml:space="preserve">prognozēm, paredzot, ka centrālajai valsts iestādei, kura ir kapitāldaļu turētāja konkrētajā kapitālsabiedrībā ir jāapzina, jāvada un jāanalizē </w:t>
      </w:r>
      <w:r w:rsidRPr="00847E01">
        <w:rPr>
          <w:rFonts w:ascii="Times New Roman" w:eastAsiaTheme="minorHAnsi" w:hAnsi="Times New Roman" w:cs="Times New Roman"/>
          <w:sz w:val="24"/>
          <w:szCs w:val="20"/>
        </w:rPr>
        <w:t xml:space="preserve">saimnieciskās darbības </w:t>
      </w:r>
      <w:r w:rsidRPr="00847E01">
        <w:rPr>
          <w:rFonts w:ascii="Times New Roman" w:eastAsiaTheme="minorHAnsi" w:hAnsi="Times New Roman" w:cs="Times New Roman"/>
          <w:sz w:val="24"/>
        </w:rPr>
        <w:t xml:space="preserve">rezultātu ietekmējošie riski turpmākajiem trim gadiem un jāsniedz vērtējums FM. </w:t>
      </w:r>
    </w:p>
    <w:p w14:paraId="4DC944EF" w14:textId="77777777" w:rsidR="0030420E" w:rsidRPr="00847E01" w:rsidRDefault="0030420E" w:rsidP="0030420E">
      <w:pPr>
        <w:spacing w:after="0" w:line="240" w:lineRule="auto"/>
        <w:ind w:firstLine="720"/>
        <w:jc w:val="both"/>
        <w:rPr>
          <w:rFonts w:ascii="Times New Roman" w:eastAsiaTheme="minorHAnsi" w:hAnsi="Times New Roman" w:cs="Times New Roman"/>
          <w:sz w:val="24"/>
        </w:rPr>
      </w:pPr>
      <w:r w:rsidRPr="00847E01">
        <w:rPr>
          <w:rFonts w:ascii="Times New Roman" w:eastAsiaTheme="minorHAnsi" w:hAnsi="Times New Roman" w:cs="Times New Roman"/>
          <w:sz w:val="24"/>
        </w:rPr>
        <w:t xml:space="preserve">Vienlaicīgi </w:t>
      </w:r>
      <w:r>
        <w:rPr>
          <w:rFonts w:ascii="Times New Roman" w:eastAsiaTheme="minorHAnsi" w:hAnsi="Times New Roman" w:cs="Times New Roman"/>
          <w:sz w:val="24"/>
        </w:rPr>
        <w:t>FM</w:t>
      </w:r>
      <w:r w:rsidRPr="00847E01">
        <w:rPr>
          <w:rFonts w:ascii="Times New Roman" w:eastAsiaTheme="minorHAnsi" w:hAnsi="Times New Roman" w:cs="Times New Roman"/>
          <w:sz w:val="24"/>
        </w:rPr>
        <w:t xml:space="preserve"> izstrādā grozījumus </w:t>
      </w:r>
      <w:r>
        <w:rPr>
          <w:rFonts w:ascii="Times New Roman" w:eastAsiaTheme="minorHAnsi" w:hAnsi="Times New Roman" w:cs="Times New Roman"/>
          <w:sz w:val="24"/>
        </w:rPr>
        <w:t>MK</w:t>
      </w:r>
      <w:r w:rsidRPr="00847E01">
        <w:rPr>
          <w:rFonts w:ascii="Times New Roman" w:eastAsiaTheme="minorHAnsi" w:hAnsi="Times New Roman" w:cs="Times New Roman"/>
          <w:sz w:val="24"/>
        </w:rPr>
        <w:t xml:space="preserve"> 2012.gada 25.septembra noteikumos Nr.643 “Kārtība kādā ministrijas un centrālās valsts iestādes, kā arī pašvaldības apkopo kapitālsabiedrību finanšu pārskatus un finanšu informāciju”, lai stiprinātu vispārējās valdības sektorā iekļauto valsts un pašvaldību kapitālsabiedrību iesniegto prognožu par saimniecisko darbību ticamību, kā arī sistematizētu minēto prognožu iesniegšanas kārtību. </w:t>
      </w:r>
    </w:p>
    <w:p w14:paraId="3D665E4A" w14:textId="77777777" w:rsidR="0030420E" w:rsidRPr="00847E01" w:rsidRDefault="0030420E" w:rsidP="0030420E">
      <w:pPr>
        <w:spacing w:after="0" w:line="240" w:lineRule="auto"/>
        <w:ind w:firstLine="720"/>
        <w:jc w:val="both"/>
        <w:rPr>
          <w:rFonts w:ascii="Times New Roman" w:eastAsiaTheme="minorHAnsi" w:hAnsi="Times New Roman" w:cs="Times New Roman"/>
          <w:sz w:val="24"/>
        </w:rPr>
      </w:pPr>
      <w:r w:rsidRPr="00847E01">
        <w:rPr>
          <w:rFonts w:ascii="Times New Roman" w:eastAsiaTheme="minorHAnsi" w:hAnsi="Times New Roman" w:cs="Times New Roman"/>
          <w:sz w:val="24"/>
        </w:rPr>
        <w:t xml:space="preserve">Savukārt, lai novērstu neplānotu vispārējās valdības sektorā klasificēto individuālo komercsabiedrību apjomīgo izdevumu, kas finansēti no aizņemtajiem līdzekļiem, negatīvo ietekmi uz budžeta bilanci </w:t>
      </w:r>
      <w:r>
        <w:rPr>
          <w:rFonts w:ascii="Times New Roman" w:eastAsiaTheme="minorHAnsi" w:hAnsi="Times New Roman" w:cs="Times New Roman"/>
          <w:sz w:val="24"/>
        </w:rPr>
        <w:t>FM</w:t>
      </w:r>
      <w:r w:rsidRPr="00847E01">
        <w:rPr>
          <w:rFonts w:ascii="Times New Roman" w:eastAsiaTheme="minorHAnsi" w:hAnsi="Times New Roman" w:cs="Times New Roman"/>
          <w:sz w:val="24"/>
        </w:rPr>
        <w:t xml:space="preserve"> plāno izstrādāt grozījumus </w:t>
      </w:r>
      <w:r>
        <w:rPr>
          <w:rFonts w:ascii="Times New Roman" w:eastAsiaTheme="minorHAnsi" w:hAnsi="Times New Roman" w:cs="Times New Roman"/>
          <w:sz w:val="24"/>
        </w:rPr>
        <w:t>FDL</w:t>
      </w:r>
      <w:r w:rsidRPr="00847E01">
        <w:rPr>
          <w:rFonts w:ascii="Times New Roman" w:eastAsiaTheme="minorHAnsi" w:hAnsi="Times New Roman" w:cs="Times New Roman"/>
          <w:sz w:val="24"/>
        </w:rPr>
        <w:t>. Grozījumi paredzētu, ka vispārējās valdības sektorā klasificētajām kapitālsabiedrībām būtu nepieciešams saņemt saskaņojumu par aizņēmumu veikšanu</w:t>
      </w:r>
      <w:r>
        <w:rPr>
          <w:rFonts w:ascii="Times New Roman" w:eastAsiaTheme="minorHAnsi" w:hAnsi="Times New Roman" w:cs="Times New Roman"/>
          <w:sz w:val="24"/>
        </w:rPr>
        <w:t>.</w:t>
      </w:r>
    </w:p>
    <w:p w14:paraId="1B3C1214" w14:textId="77777777" w:rsidR="0030420E" w:rsidRDefault="0030420E" w:rsidP="0030420E">
      <w:pPr>
        <w:spacing w:after="0" w:line="240" w:lineRule="auto"/>
        <w:ind w:firstLine="720"/>
        <w:jc w:val="both"/>
        <w:rPr>
          <w:rFonts w:ascii="Times New Roman" w:eastAsiaTheme="minorHAnsi" w:hAnsi="Times New Roman" w:cs="Times New Roman"/>
          <w:sz w:val="24"/>
        </w:rPr>
      </w:pPr>
      <w:r w:rsidRPr="00847E01">
        <w:rPr>
          <w:rFonts w:ascii="Times New Roman" w:eastAsiaTheme="minorHAnsi" w:hAnsi="Times New Roman" w:cs="Times New Roman"/>
          <w:sz w:val="24"/>
        </w:rPr>
        <w:t>Iepriekšminētie pasākumi nodrošinātu, ka novirzes starp vispārējās valdības sektorā klasificēto kapitālsabiedrību plānoto un faktisko saimnieciskās darbības rezultātu tiktu būtiski mazināta.</w:t>
      </w:r>
    </w:p>
    <w:p w14:paraId="6A8E50E5" w14:textId="77777777"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Savukārt attiecībā uz kapitālsabiedrībām, kuras Centrālā statistikas pārvalde pieklasificē vispārējās valdības sektorā notifikācijas sagatavošanas procesā, ir nošķirami divi gadījumi. Pirmajā gadījumā FM, pamatojoties uz tās rīcībā esošo informāciju par konkrētās kapitālsabiedrības darbību un savu novērtējumu par sabiedrības ietekmi uz vispārējās valdības sektora fiskālajiem rādītājiem, var gadskārtējā valsts budžeta likumprojekta un vidēja termiņa budžeta ietvara likumprojekta sagatavošanas procesā ietvert kapitālsabiedrības ietekmi fiskālajās prognozēs. Otrajā gadījumā, kad nav bijis iespējams paredzēt kādas kapitālsabiedrības klasificēšanu vispārējās valdības sektorā, tikai tās sabiedrības, kuru saimnieciskās darbības rezultāts (ņemot vērā konsolidācijas efektus sektora ietvaros) ir negatīvs, rada negatīvu fiskālo ietekmi. </w:t>
      </w:r>
    </w:p>
    <w:p w14:paraId="70C253E7" w14:textId="77777777"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Iepriekšminētā riska mazināšanai tiek īstenots aktīvs dialogs ar kompetentajām statistikas iestādēm (t.i. Centrālo statistikas pārvaldi un ES statistikas biroju </w:t>
      </w:r>
      <w:r w:rsidRPr="00112437">
        <w:rPr>
          <w:rFonts w:ascii="Times New Roman" w:eastAsiaTheme="minorHAnsi" w:hAnsi="Times New Roman" w:cs="Times New Roman"/>
          <w:i/>
          <w:sz w:val="24"/>
        </w:rPr>
        <w:t>Eurostat</w:t>
      </w:r>
      <w:r>
        <w:rPr>
          <w:rFonts w:ascii="Times New Roman" w:eastAsiaTheme="minorHAnsi" w:hAnsi="Times New Roman" w:cs="Times New Roman"/>
          <w:sz w:val="24"/>
        </w:rPr>
        <w:t>), lai iespējamie pieklasificēšanās gadījumi tiktu savlaicīgi apzināti.</w:t>
      </w:r>
    </w:p>
    <w:p w14:paraId="6A19C8A4" w14:textId="76F45BC6"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V</w:t>
      </w:r>
      <w:r w:rsidRPr="00847E01">
        <w:rPr>
          <w:rFonts w:ascii="Times New Roman" w:eastAsiaTheme="minorHAnsi" w:hAnsi="Times New Roman" w:cs="Times New Roman"/>
          <w:sz w:val="24"/>
        </w:rPr>
        <w:t xml:space="preserve">ēsturiskie dati norāda, ka </w:t>
      </w:r>
      <w:r>
        <w:rPr>
          <w:rFonts w:ascii="Times New Roman" w:eastAsiaTheme="minorHAnsi" w:hAnsi="Times New Roman" w:cs="Times New Roman"/>
          <w:sz w:val="24"/>
        </w:rPr>
        <w:t xml:space="preserve">vidējais </w:t>
      </w:r>
      <w:r w:rsidRPr="00847E01">
        <w:rPr>
          <w:rFonts w:ascii="Times New Roman" w:eastAsiaTheme="minorHAnsi" w:hAnsi="Times New Roman" w:cs="Times New Roman"/>
          <w:sz w:val="24"/>
        </w:rPr>
        <w:t xml:space="preserve">faktiskais kapitālsabiedrību deficīts ir zemāks par </w:t>
      </w:r>
      <w:r>
        <w:rPr>
          <w:rFonts w:ascii="Times New Roman" w:eastAsiaTheme="minorHAnsi" w:hAnsi="Times New Roman" w:cs="Times New Roman"/>
          <w:sz w:val="24"/>
        </w:rPr>
        <w:t xml:space="preserve">vidēji </w:t>
      </w:r>
      <w:r w:rsidRPr="00847E01">
        <w:rPr>
          <w:rFonts w:ascii="Times New Roman" w:eastAsiaTheme="minorHAnsi" w:hAnsi="Times New Roman" w:cs="Times New Roman"/>
          <w:sz w:val="24"/>
        </w:rPr>
        <w:t>plānoto</w:t>
      </w:r>
      <w:r>
        <w:rPr>
          <w:rFonts w:ascii="Times New Roman" w:eastAsiaTheme="minorHAnsi" w:hAnsi="Times New Roman" w:cs="Times New Roman"/>
          <w:sz w:val="24"/>
        </w:rPr>
        <w:t>. 2016.gada</w:t>
      </w:r>
      <w:r w:rsidRPr="00847E01">
        <w:rPr>
          <w:rFonts w:ascii="Times New Roman" w:eastAsiaTheme="minorHAnsi" w:hAnsi="Times New Roman" w:cs="Times New Roman"/>
          <w:sz w:val="24"/>
        </w:rPr>
        <w:t xml:space="preserve"> </w:t>
      </w:r>
      <w:r>
        <w:rPr>
          <w:rFonts w:ascii="Times New Roman" w:eastAsiaTheme="minorHAnsi" w:hAnsi="Times New Roman" w:cs="Times New Roman"/>
          <w:sz w:val="24"/>
        </w:rPr>
        <w:t>faktiskā izpilde rezultējās ar kapitālsabiedrību deficītu, salīdzinot ar to, ka sākotnēji kapitālsabiedrību pašu veiktās</w:t>
      </w:r>
      <w:r w:rsidRPr="00847E01">
        <w:rPr>
          <w:rFonts w:ascii="Times New Roman" w:eastAsiaTheme="minorHAnsi" w:hAnsi="Times New Roman" w:cs="Times New Roman"/>
          <w:sz w:val="24"/>
        </w:rPr>
        <w:t xml:space="preserve"> </w:t>
      </w:r>
      <w:r w:rsidRPr="00847E01">
        <w:rPr>
          <w:rFonts w:ascii="Times New Roman" w:eastAsiaTheme="minorHAnsi" w:hAnsi="Times New Roman" w:cs="Times New Roman"/>
          <w:sz w:val="24"/>
          <w:szCs w:val="20"/>
        </w:rPr>
        <w:t xml:space="preserve">saimnieciskās darbības rezultātu </w:t>
      </w:r>
      <w:r>
        <w:rPr>
          <w:rFonts w:ascii="Times New Roman" w:eastAsiaTheme="minorHAnsi" w:hAnsi="Times New Roman" w:cs="Times New Roman"/>
          <w:sz w:val="24"/>
        </w:rPr>
        <w:t>prognozes</w:t>
      </w:r>
      <w:r w:rsidRPr="00847E01">
        <w:rPr>
          <w:rFonts w:ascii="Times New Roman" w:eastAsiaTheme="minorHAnsi" w:hAnsi="Times New Roman" w:cs="Times New Roman"/>
          <w:sz w:val="24"/>
        </w:rPr>
        <w:t xml:space="preserve"> </w:t>
      </w:r>
      <w:r>
        <w:rPr>
          <w:rFonts w:ascii="Times New Roman" w:eastAsiaTheme="minorHAnsi" w:hAnsi="Times New Roman" w:cs="Times New Roman"/>
          <w:sz w:val="24"/>
        </w:rPr>
        <w:t>norādīja uz pozitīvu vispārējās valdības budžeta bilances ietekmi</w:t>
      </w:r>
      <w:r w:rsidRPr="00847E01">
        <w:rPr>
          <w:rFonts w:ascii="Times New Roman" w:eastAsiaTheme="minorHAnsi" w:hAnsi="Times New Roman" w:cs="Times New Roman"/>
          <w:sz w:val="24"/>
        </w:rPr>
        <w:t xml:space="preserve"> (sk. tabulu Nr.</w:t>
      </w:r>
      <w:r w:rsidR="008A0E37">
        <w:rPr>
          <w:rFonts w:ascii="Times New Roman" w:eastAsiaTheme="minorHAnsi" w:hAnsi="Times New Roman" w:cs="Times New Roman"/>
          <w:sz w:val="24"/>
        </w:rPr>
        <w:t>8</w:t>
      </w:r>
      <w:r w:rsidRPr="00847E01">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Savukārt 2017.gadā situācija ir uzlabojusies un ir tuva neitrālai ietekmei. </w:t>
      </w:r>
    </w:p>
    <w:p w14:paraId="7A332200" w14:textId="3DAF2C0E"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Ņemot vērā, ka dotais fiskālais risks atbilstoši vēsturiskajai laika rindai uzrāda pēc būtības simetriskumu, saglabājas pieņēmums, ka varbūtība vispārējās valdības sektorā klasificēto komercsabiedrību saimnieciskās darbības rezultātam būt virs vai zem prognozētās vērtības sadalās 50% pret 50% un vidējā termiņā nav paredzams, </w:t>
      </w:r>
      <w:r w:rsidR="00905326">
        <w:rPr>
          <w:rFonts w:ascii="Times New Roman" w:eastAsiaTheme="minorHAnsi" w:hAnsi="Times New Roman" w:cs="Times New Roman"/>
          <w:sz w:val="24"/>
        </w:rPr>
        <w:t>ka fiskālā ietekme būs negatīva</w:t>
      </w:r>
      <w:r>
        <w:rPr>
          <w:rFonts w:ascii="Times New Roman" w:eastAsiaTheme="minorHAnsi" w:hAnsi="Times New Roman" w:cs="Times New Roman"/>
          <w:sz w:val="24"/>
        </w:rPr>
        <w:t xml:space="preserve">. Tādējādi dotais risks netiek ietverts fiskālās nodrošinājuma rezerves aprēķinā.  </w:t>
      </w:r>
      <w:bookmarkStart w:id="26" w:name="_GoBack"/>
      <w:bookmarkEnd w:id="26"/>
    </w:p>
    <w:p w14:paraId="16AC65D2" w14:textId="77777777" w:rsidR="0030420E" w:rsidRDefault="0030420E" w:rsidP="0030420E">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6ECADAAA" w14:textId="6FE53CF6" w:rsidR="0030420E" w:rsidRPr="00847E01" w:rsidRDefault="0030420E" w:rsidP="00120DF9">
      <w:pPr>
        <w:autoSpaceDE w:val="0"/>
        <w:autoSpaceDN w:val="0"/>
        <w:adjustRightInd w:val="0"/>
        <w:spacing w:line="240" w:lineRule="auto"/>
        <w:jc w:val="right"/>
        <w:rPr>
          <w:rFonts w:ascii="Times New Roman" w:hAnsi="Times New Roman" w:cs="Times New Roman"/>
          <w:color w:val="000000"/>
          <w:sz w:val="24"/>
          <w:szCs w:val="24"/>
        </w:rPr>
      </w:pPr>
      <w:r w:rsidRPr="00847E01">
        <w:rPr>
          <w:rFonts w:ascii="Times New Roman" w:eastAsiaTheme="minorHAnsi" w:hAnsi="Times New Roman" w:cs="Times New Roman"/>
          <w:b/>
          <w:color w:val="000000"/>
          <w:sz w:val="24"/>
          <w:szCs w:val="20"/>
        </w:rPr>
        <w:t>Tabula Nr.</w:t>
      </w:r>
      <w:r w:rsidR="00C1770E">
        <w:rPr>
          <w:rFonts w:ascii="Times New Roman" w:eastAsiaTheme="minorHAnsi" w:hAnsi="Times New Roman" w:cs="Times New Roman"/>
          <w:b/>
          <w:color w:val="000000"/>
          <w:sz w:val="24"/>
          <w:szCs w:val="20"/>
        </w:rPr>
        <w:t>8</w:t>
      </w:r>
      <w:r w:rsidRPr="00847E01">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(milj. </w:t>
      </w:r>
      <w:r w:rsidRPr="00847E01">
        <w:rPr>
          <w:rFonts w:ascii="Times New Roman" w:eastAsiaTheme="minorHAnsi" w:hAnsi="Times New Roman" w:cs="Times New Roman"/>
          <w:b/>
          <w:i/>
          <w:color w:val="000000"/>
          <w:sz w:val="24"/>
          <w:szCs w:val="20"/>
        </w:rPr>
        <w:t>euro</w:t>
      </w:r>
      <w:r w:rsidRPr="00847E01">
        <w:rPr>
          <w:rFonts w:ascii="Times New Roman" w:eastAsiaTheme="minorHAnsi" w:hAnsi="Times New Roman" w:cs="Times New Roman"/>
          <w:b/>
          <w:color w:val="000000"/>
          <w:sz w:val="24"/>
          <w:szCs w:val="20"/>
        </w:rPr>
        <w:t>)</w:t>
      </w:r>
      <w:r>
        <w:rPr>
          <w:rFonts w:ascii="Times New Roman" w:eastAsiaTheme="minorHAnsi" w:hAnsi="Times New Roman" w:cs="Times New Roman"/>
          <w:b/>
          <w:color w:val="000000"/>
          <w:sz w:val="24"/>
          <w:szCs w:val="20"/>
        </w:rPr>
        <w:t>*</w:t>
      </w:r>
      <w:r w:rsidRPr="00847E01">
        <w:rPr>
          <w:rFonts w:ascii="Times New Roman" w:eastAsiaTheme="minorHAnsi" w:hAnsi="Times New Roman" w:cs="Times New Roman"/>
          <w:b/>
          <w:color w:val="000000"/>
          <w:sz w:val="24"/>
          <w:szCs w:val="20"/>
        </w:rPr>
        <w:t xml:space="preserve"> </w:t>
      </w:r>
    </w:p>
    <w:tbl>
      <w:tblPr>
        <w:tblStyle w:val="GridTable6Colorful-Accent11"/>
        <w:tblW w:w="9634" w:type="dxa"/>
        <w:jc w:val="center"/>
        <w:tblLayout w:type="fixed"/>
        <w:tblLook w:val="04A0" w:firstRow="1" w:lastRow="0" w:firstColumn="1" w:lastColumn="0" w:noHBand="0" w:noVBand="1"/>
      </w:tblPr>
      <w:tblGrid>
        <w:gridCol w:w="3397"/>
        <w:gridCol w:w="993"/>
        <w:gridCol w:w="1275"/>
        <w:gridCol w:w="1276"/>
        <w:gridCol w:w="1418"/>
        <w:gridCol w:w="1275"/>
      </w:tblGrid>
      <w:tr w:rsidR="0030420E" w:rsidRPr="00120DF9" w14:paraId="326B38D2" w14:textId="77777777" w:rsidTr="001957A2">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733A07E" w14:textId="77777777" w:rsidR="0030420E" w:rsidRPr="00120DF9" w:rsidRDefault="0030420E" w:rsidP="001957A2">
            <w:pPr>
              <w:jc w:val="center"/>
              <w:rPr>
                <w:rFonts w:eastAsia="Times New Roman" w:cs="Times New Roman"/>
                <w:bCs w:val="0"/>
                <w:color w:val="auto"/>
                <w:sz w:val="22"/>
                <w:lang w:eastAsia="lv-LV"/>
              </w:rPr>
            </w:pPr>
          </w:p>
        </w:tc>
        <w:tc>
          <w:tcPr>
            <w:tcW w:w="993" w:type="dxa"/>
            <w:vAlign w:val="center"/>
          </w:tcPr>
          <w:p w14:paraId="12A101FB"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2013</w:t>
            </w:r>
          </w:p>
        </w:tc>
        <w:tc>
          <w:tcPr>
            <w:tcW w:w="1275" w:type="dxa"/>
            <w:vAlign w:val="center"/>
          </w:tcPr>
          <w:p w14:paraId="45D5A591"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2014</w:t>
            </w:r>
          </w:p>
        </w:tc>
        <w:tc>
          <w:tcPr>
            <w:tcW w:w="1276" w:type="dxa"/>
            <w:vAlign w:val="center"/>
          </w:tcPr>
          <w:p w14:paraId="303D8C09"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2015</w:t>
            </w:r>
          </w:p>
        </w:tc>
        <w:tc>
          <w:tcPr>
            <w:tcW w:w="1418" w:type="dxa"/>
            <w:vAlign w:val="center"/>
          </w:tcPr>
          <w:p w14:paraId="4431FF60"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2016</w:t>
            </w:r>
          </w:p>
        </w:tc>
        <w:tc>
          <w:tcPr>
            <w:tcW w:w="1275" w:type="dxa"/>
          </w:tcPr>
          <w:p w14:paraId="4D1ED200"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highlight w:val="yellow"/>
                <w:lang w:eastAsia="lv-LV"/>
              </w:rPr>
            </w:pPr>
            <w:r w:rsidRPr="00120DF9">
              <w:rPr>
                <w:rFonts w:eastAsia="Times New Roman" w:cs="Times New Roman"/>
                <w:bCs w:val="0"/>
                <w:color w:val="auto"/>
                <w:sz w:val="22"/>
                <w:lang w:eastAsia="lv-LV"/>
              </w:rPr>
              <w:t>2017</w:t>
            </w:r>
          </w:p>
        </w:tc>
      </w:tr>
      <w:tr w:rsidR="0030420E" w:rsidRPr="00120DF9" w14:paraId="006E9984" w14:textId="77777777" w:rsidTr="001957A2">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3397" w:type="dxa"/>
            <w:hideMark/>
          </w:tcPr>
          <w:p w14:paraId="566F9C91" w14:textId="77777777" w:rsidR="0030420E" w:rsidRPr="00120DF9" w:rsidRDefault="0030420E" w:rsidP="001957A2">
            <w:pPr>
              <w:rPr>
                <w:rFonts w:eastAsia="Times New Roman" w:cs="Times New Roman"/>
                <w:b w:val="0"/>
                <w:color w:val="auto"/>
                <w:sz w:val="22"/>
                <w:lang w:eastAsia="lv-LV"/>
              </w:rPr>
            </w:pPr>
            <w:r w:rsidRPr="00120DF9">
              <w:rPr>
                <w:rFonts w:eastAsia="Times New Roman" w:cs="Times New Roman"/>
                <w:b w:val="0"/>
                <w:bCs w:val="0"/>
                <w:color w:val="auto"/>
                <w:sz w:val="22"/>
                <w:lang w:eastAsia="lv-LV"/>
              </w:rPr>
              <w:t>Vispārējās valdības sektorā klasificēto komercsabiedrību bilance (budžeta plāns)</w:t>
            </w:r>
          </w:p>
        </w:tc>
        <w:tc>
          <w:tcPr>
            <w:tcW w:w="993" w:type="dxa"/>
            <w:vAlign w:val="center"/>
          </w:tcPr>
          <w:p w14:paraId="12D63D12"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-69,6</w:t>
            </w:r>
          </w:p>
        </w:tc>
        <w:tc>
          <w:tcPr>
            <w:tcW w:w="1275" w:type="dxa"/>
            <w:vAlign w:val="center"/>
          </w:tcPr>
          <w:p w14:paraId="3FF19F93"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-36,0</w:t>
            </w:r>
          </w:p>
        </w:tc>
        <w:tc>
          <w:tcPr>
            <w:tcW w:w="1276" w:type="dxa"/>
            <w:vAlign w:val="center"/>
          </w:tcPr>
          <w:p w14:paraId="3383A18C"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-44,6</w:t>
            </w:r>
          </w:p>
        </w:tc>
        <w:tc>
          <w:tcPr>
            <w:tcW w:w="1418" w:type="dxa"/>
            <w:vAlign w:val="center"/>
          </w:tcPr>
          <w:p w14:paraId="5BD934DA"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+20,3</w:t>
            </w:r>
          </w:p>
        </w:tc>
        <w:tc>
          <w:tcPr>
            <w:tcW w:w="1275" w:type="dxa"/>
            <w:vAlign w:val="center"/>
          </w:tcPr>
          <w:p w14:paraId="36CD637E"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highlight w:val="yellow"/>
                <w:lang w:eastAsia="lv-LV"/>
              </w:rPr>
            </w:pPr>
            <w:r w:rsidRPr="00120DF9">
              <w:rPr>
                <w:rFonts w:eastAsia="Times New Roman" w:cs="Times New Roman"/>
                <w:color w:val="auto"/>
                <w:sz w:val="22"/>
                <w:lang w:eastAsia="lv-LV"/>
              </w:rPr>
              <w:t>+33,7</w:t>
            </w:r>
          </w:p>
        </w:tc>
      </w:tr>
      <w:tr w:rsidR="0030420E" w:rsidRPr="00120DF9" w14:paraId="0483997E" w14:textId="77777777" w:rsidTr="001957A2">
        <w:trPr>
          <w:trHeight w:val="315"/>
          <w:jc w:val="center"/>
        </w:trPr>
        <w:tc>
          <w:tcPr>
            <w:cnfStyle w:val="001000000000" w:firstRow="0" w:lastRow="0" w:firstColumn="1" w:lastColumn="0" w:oddVBand="0" w:evenVBand="0" w:oddHBand="0" w:evenHBand="0" w:firstRowFirstColumn="0" w:firstRowLastColumn="0" w:lastRowFirstColumn="0" w:lastRowLastColumn="0"/>
            <w:tcW w:w="3397" w:type="dxa"/>
          </w:tcPr>
          <w:p w14:paraId="2E040E08" w14:textId="77777777" w:rsidR="0030420E" w:rsidRPr="00120DF9" w:rsidRDefault="0030420E" w:rsidP="001957A2">
            <w:pPr>
              <w:rPr>
                <w:rFonts w:eastAsia="Times New Roman" w:cs="Times New Roman"/>
                <w:bCs w:val="0"/>
                <w:color w:val="auto"/>
                <w:sz w:val="22"/>
                <w:lang w:eastAsia="lv-LV"/>
              </w:rPr>
            </w:pPr>
            <w:r w:rsidRPr="00120DF9">
              <w:rPr>
                <w:rFonts w:eastAsia="Times New Roman" w:cs="Times New Roman"/>
                <w:b w:val="0"/>
                <w:bCs w:val="0"/>
                <w:color w:val="auto"/>
                <w:sz w:val="22"/>
                <w:lang w:eastAsia="lv-LV"/>
              </w:rPr>
              <w:t>Vispārējās valdības sektorā klasificēto komercsabiedrību bilance (izpilde)</w:t>
            </w:r>
          </w:p>
        </w:tc>
        <w:tc>
          <w:tcPr>
            <w:tcW w:w="993" w:type="dxa"/>
            <w:vAlign w:val="center"/>
          </w:tcPr>
          <w:p w14:paraId="6C9B21C5"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-80,3</w:t>
            </w:r>
          </w:p>
        </w:tc>
        <w:tc>
          <w:tcPr>
            <w:tcW w:w="1275" w:type="dxa"/>
            <w:vAlign w:val="center"/>
          </w:tcPr>
          <w:p w14:paraId="166B783F"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-17,1</w:t>
            </w:r>
          </w:p>
        </w:tc>
        <w:tc>
          <w:tcPr>
            <w:tcW w:w="1276" w:type="dxa"/>
            <w:vAlign w:val="center"/>
          </w:tcPr>
          <w:p w14:paraId="33F0B386"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-6,5</w:t>
            </w:r>
          </w:p>
        </w:tc>
        <w:tc>
          <w:tcPr>
            <w:tcW w:w="1418" w:type="dxa"/>
            <w:vAlign w:val="center"/>
          </w:tcPr>
          <w:p w14:paraId="3423DCB8"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-3,1</w:t>
            </w:r>
          </w:p>
        </w:tc>
        <w:tc>
          <w:tcPr>
            <w:tcW w:w="1275" w:type="dxa"/>
            <w:vAlign w:val="center"/>
          </w:tcPr>
          <w:p w14:paraId="5ED74BCB"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+30,5</w:t>
            </w:r>
          </w:p>
        </w:tc>
      </w:tr>
      <w:tr w:rsidR="0030420E" w:rsidRPr="00120DF9" w14:paraId="2C2AC9B1" w14:textId="77777777" w:rsidTr="001957A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7A43C15" w14:textId="77777777" w:rsidR="0030420E" w:rsidRPr="00120DF9" w:rsidRDefault="0030420E" w:rsidP="001957A2">
            <w:pPr>
              <w:rPr>
                <w:rFonts w:eastAsia="Times New Roman" w:cs="Times New Roman"/>
                <w:b w:val="0"/>
                <w:bCs w:val="0"/>
                <w:color w:val="auto"/>
                <w:sz w:val="22"/>
                <w:lang w:eastAsia="lv-LV"/>
              </w:rPr>
            </w:pPr>
            <w:r w:rsidRPr="00120DF9">
              <w:rPr>
                <w:rFonts w:eastAsia="Times New Roman" w:cs="Times New Roman"/>
                <w:b w:val="0"/>
                <w:bCs w:val="0"/>
                <w:color w:val="auto"/>
                <w:sz w:val="22"/>
                <w:lang w:eastAsia="lv-LV"/>
              </w:rPr>
              <w:t>Faktiskās bilances novirze no plāna</w:t>
            </w:r>
          </w:p>
        </w:tc>
        <w:tc>
          <w:tcPr>
            <w:tcW w:w="993" w:type="dxa"/>
            <w:vAlign w:val="bottom"/>
          </w:tcPr>
          <w:p w14:paraId="02A1CC25"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-10,7</w:t>
            </w:r>
          </w:p>
        </w:tc>
        <w:tc>
          <w:tcPr>
            <w:tcW w:w="1275" w:type="dxa"/>
            <w:vAlign w:val="bottom"/>
          </w:tcPr>
          <w:p w14:paraId="14216B1B"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+18,9</w:t>
            </w:r>
          </w:p>
        </w:tc>
        <w:tc>
          <w:tcPr>
            <w:tcW w:w="1276" w:type="dxa"/>
            <w:vAlign w:val="bottom"/>
          </w:tcPr>
          <w:p w14:paraId="61169F1C"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+38,1</w:t>
            </w:r>
          </w:p>
        </w:tc>
        <w:tc>
          <w:tcPr>
            <w:tcW w:w="1418" w:type="dxa"/>
            <w:vAlign w:val="bottom"/>
          </w:tcPr>
          <w:p w14:paraId="3BE2DDC6"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-23,4</w:t>
            </w:r>
          </w:p>
        </w:tc>
        <w:tc>
          <w:tcPr>
            <w:tcW w:w="1275" w:type="dxa"/>
            <w:vAlign w:val="bottom"/>
          </w:tcPr>
          <w:p w14:paraId="0962BE4A"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-3,2</w:t>
            </w:r>
          </w:p>
        </w:tc>
      </w:tr>
    </w:tbl>
    <w:p w14:paraId="0088569C" w14:textId="77777777" w:rsidR="0030420E" w:rsidRDefault="0030420E" w:rsidP="0030420E">
      <w:pPr>
        <w:spacing w:after="0" w:line="240" w:lineRule="auto"/>
        <w:ind w:firstLine="720"/>
        <w:jc w:val="both"/>
        <w:rPr>
          <w:rFonts w:ascii="Times New Roman" w:hAnsi="Times New Roman" w:cs="Times New Roman"/>
          <w:sz w:val="20"/>
          <w:szCs w:val="20"/>
        </w:rPr>
      </w:pPr>
      <w:r w:rsidRPr="000F5C49">
        <w:rPr>
          <w:rFonts w:ascii="Times New Roman" w:hAnsi="Times New Roman" w:cs="Times New Roman"/>
          <w:sz w:val="20"/>
          <w:szCs w:val="20"/>
        </w:rPr>
        <w:t xml:space="preserve">*Neskaitot </w:t>
      </w:r>
      <w:r>
        <w:rPr>
          <w:rFonts w:ascii="Times New Roman" w:hAnsi="Times New Roman" w:cs="Times New Roman"/>
          <w:sz w:val="20"/>
          <w:szCs w:val="20"/>
        </w:rPr>
        <w:t>a</w:t>
      </w:r>
      <w:r w:rsidRPr="0074389F">
        <w:rPr>
          <w:rFonts w:ascii="Times New Roman" w:hAnsi="Times New Roman" w:cs="Times New Roman"/>
          <w:sz w:val="20"/>
          <w:szCs w:val="20"/>
        </w:rPr>
        <w:t>kciju sabiedrība</w:t>
      </w:r>
      <w:r>
        <w:rPr>
          <w:rFonts w:ascii="Times New Roman" w:hAnsi="Times New Roman" w:cs="Times New Roman"/>
          <w:sz w:val="20"/>
          <w:szCs w:val="20"/>
        </w:rPr>
        <w:t>s</w:t>
      </w:r>
      <w:r w:rsidRPr="0074389F">
        <w:rPr>
          <w:rFonts w:ascii="Times New Roman" w:hAnsi="Times New Roman" w:cs="Times New Roman"/>
          <w:sz w:val="20"/>
          <w:szCs w:val="20"/>
        </w:rPr>
        <w:t xml:space="preserve"> “Enerģijas publiskais tirgotājs” (turpmāk – EPT)</w:t>
      </w:r>
      <w:r>
        <w:rPr>
          <w:rFonts w:ascii="Times New Roman" w:hAnsi="Times New Roman" w:cs="Times New Roman"/>
          <w:sz w:val="20"/>
          <w:szCs w:val="20"/>
        </w:rPr>
        <w:t xml:space="preserve"> ietekmi</w:t>
      </w:r>
      <w:r w:rsidRPr="0074389F">
        <w:rPr>
          <w:rFonts w:ascii="Times New Roman" w:hAnsi="Times New Roman" w:cs="Times New Roman"/>
          <w:sz w:val="20"/>
          <w:szCs w:val="20"/>
        </w:rPr>
        <w:t xml:space="preserve"> </w:t>
      </w:r>
    </w:p>
    <w:p w14:paraId="096F40D8" w14:textId="77777777" w:rsidR="0030420E" w:rsidRDefault="0030420E" w:rsidP="0030420E">
      <w:pPr>
        <w:spacing w:after="0" w:line="240" w:lineRule="auto"/>
        <w:ind w:firstLine="720"/>
        <w:jc w:val="both"/>
        <w:rPr>
          <w:rFonts w:ascii="Times New Roman" w:hAnsi="Times New Roman" w:cs="Times New Roman"/>
          <w:sz w:val="24"/>
          <w:szCs w:val="24"/>
        </w:rPr>
      </w:pPr>
    </w:p>
    <w:p w14:paraId="0C174B5B" w14:textId="31D09325" w:rsidR="0030420E" w:rsidRDefault="0030420E" w:rsidP="00304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Šīs </w:t>
      </w:r>
      <w:r w:rsidRPr="00112437">
        <w:rPr>
          <w:rFonts w:ascii="Times New Roman" w:hAnsi="Times New Roman" w:cs="Times New Roman"/>
          <w:sz w:val="24"/>
          <w:szCs w:val="24"/>
        </w:rPr>
        <w:t>fiskālo risku deklarācijas</w:t>
      </w:r>
      <w:r>
        <w:rPr>
          <w:rFonts w:ascii="Times New Roman" w:hAnsi="Times New Roman" w:cs="Times New Roman"/>
          <w:sz w:val="24"/>
          <w:szCs w:val="24"/>
        </w:rPr>
        <w:t xml:space="preserve"> izstrādes procesā tika veikta padziļināta analīze par vispārējās valdības sektorā klasificēto veselības aizsardzības kapitālsabiedrību faktiskās bilances novirzi no plānotā apmēra laika posmā no 2014. līdz 2017.gadam. Pamatojoties uz to, ka dotās kategorijas kapitālsabiedrībām periodiski tiek īstenoti pasākumi to finansiālā stāvokļa uzlabošanai/stabilizēšanai, tika izvirzīta hipotēze, ka šādu intervenču rezultātā kapitālsabiedrības pastāvīgi rada negatīvu ietekmi uz budžeta fiskālajiem rādītājiem. Atbilstoši iegūtajiem rezultātiem (sk. tabulu Nr.</w:t>
      </w:r>
      <w:r w:rsidR="00771E46">
        <w:rPr>
          <w:rFonts w:ascii="Times New Roman" w:hAnsi="Times New Roman" w:cs="Times New Roman"/>
          <w:sz w:val="24"/>
          <w:szCs w:val="24"/>
        </w:rPr>
        <w:t>9</w:t>
      </w:r>
      <w:r>
        <w:rPr>
          <w:rFonts w:ascii="Times New Roman" w:hAnsi="Times New Roman" w:cs="Times New Roman"/>
          <w:sz w:val="24"/>
          <w:szCs w:val="24"/>
        </w:rPr>
        <w:t>), kā arī ņemot vērā ierobežoto novērojumu skaitu, nav iespējams apstiprināt, ka veselības aizsardzības kapitālsabiedrības rada sistemātisku negatīvu fiskālo ietekmi uz budžeta deficītu un/vai parādu. Tādējādi arī uz šo kapitālsabiedrību apakšgrupas risku saglabājas simetriskuma princips un nav pamatojuma to ietvert fiskālās nodrošinājuma rezerves aprēķinā.</w:t>
      </w:r>
    </w:p>
    <w:p w14:paraId="74B29977" w14:textId="77777777" w:rsidR="0030420E" w:rsidRDefault="0030420E" w:rsidP="00304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Tālākā darbā pie kapitālsabiedrību saimnieciskās darbības riska mazināšanas Finanšu ministrija papildu pamata risku mazinošajiem pasākumiem ikgadēji plāno analizēt atsevišķo kapitālsabiedrību, kā arī to grupu, faktiskās saimnieciskās darbības novirzi no plānotā apmēra, lai identificētu iespējamās sistemātiskās novirzes. Identificēto problēmu gadījumā būs iespējams īstenot korektīvos pasākumus kopējā riska turpmākai mazināšanai.</w:t>
      </w:r>
    </w:p>
    <w:p w14:paraId="02B663A8" w14:textId="77777777" w:rsidR="0030420E" w:rsidRPr="00112437" w:rsidRDefault="0030420E" w:rsidP="0030420E">
      <w:pPr>
        <w:spacing w:after="0" w:line="240" w:lineRule="auto"/>
        <w:ind w:firstLine="720"/>
        <w:jc w:val="both"/>
        <w:rPr>
          <w:rFonts w:ascii="Times New Roman" w:hAnsi="Times New Roman" w:cs="Times New Roman"/>
          <w:sz w:val="24"/>
          <w:szCs w:val="24"/>
        </w:rPr>
      </w:pPr>
    </w:p>
    <w:p w14:paraId="2A19D1D0" w14:textId="655AABD7" w:rsidR="0030420E" w:rsidRPr="00847E01" w:rsidRDefault="0030420E" w:rsidP="00120DF9">
      <w:pPr>
        <w:autoSpaceDE w:val="0"/>
        <w:autoSpaceDN w:val="0"/>
        <w:adjustRightInd w:val="0"/>
        <w:spacing w:line="240" w:lineRule="auto"/>
        <w:jc w:val="right"/>
        <w:rPr>
          <w:rFonts w:ascii="Times New Roman" w:hAnsi="Times New Roman" w:cs="Times New Roman"/>
          <w:color w:val="000000"/>
          <w:sz w:val="24"/>
          <w:szCs w:val="24"/>
        </w:rPr>
      </w:pPr>
      <w:r>
        <w:rPr>
          <w:rFonts w:ascii="Times New Roman" w:eastAsiaTheme="minorHAnsi" w:hAnsi="Times New Roman" w:cs="Times New Roman"/>
          <w:b/>
          <w:color w:val="000000"/>
          <w:sz w:val="24"/>
          <w:szCs w:val="20"/>
        </w:rPr>
        <w:t>Tabula Nr.</w:t>
      </w:r>
      <w:r w:rsidR="00120DF9">
        <w:rPr>
          <w:rFonts w:ascii="Times New Roman" w:eastAsiaTheme="minorHAnsi" w:hAnsi="Times New Roman" w:cs="Times New Roman"/>
          <w:b/>
          <w:color w:val="000000"/>
          <w:sz w:val="24"/>
          <w:szCs w:val="20"/>
        </w:rPr>
        <w:t>9</w:t>
      </w:r>
      <w:r w:rsidRPr="00847E01">
        <w:rPr>
          <w:rFonts w:ascii="Times New Roman" w:eastAsiaTheme="minorHAnsi" w:hAnsi="Times New Roman" w:cs="Times New Roman"/>
          <w:b/>
          <w:color w:val="000000"/>
          <w:sz w:val="24"/>
          <w:szCs w:val="20"/>
        </w:rPr>
        <w:t xml:space="preserve"> Vispārējās valdības sektorā klasificēto </w:t>
      </w:r>
      <w:r w:rsidRPr="00112437">
        <w:rPr>
          <w:rFonts w:ascii="Times New Roman" w:eastAsiaTheme="minorHAnsi" w:hAnsi="Times New Roman" w:cs="Times New Roman"/>
          <w:b/>
          <w:color w:val="000000"/>
          <w:sz w:val="24"/>
          <w:szCs w:val="20"/>
        </w:rPr>
        <w:t>veselības aizsardzības</w:t>
      </w:r>
      <w:r>
        <w:rPr>
          <w:rFonts w:ascii="Times New Roman" w:hAnsi="Times New Roman" w:cs="Times New Roman"/>
          <w:sz w:val="24"/>
          <w:szCs w:val="24"/>
        </w:rPr>
        <w:t xml:space="preserve"> </w:t>
      </w:r>
      <w:r w:rsidRPr="00847E01">
        <w:rPr>
          <w:rFonts w:ascii="Times New Roman" w:eastAsiaTheme="minorHAnsi" w:hAnsi="Times New Roman" w:cs="Times New Roman"/>
          <w:b/>
          <w:color w:val="000000"/>
          <w:sz w:val="24"/>
          <w:szCs w:val="20"/>
        </w:rPr>
        <w:t xml:space="preserve">komercsabiedrību plānotā un faktiskā ietekme uz budžeta bilanci (milj. </w:t>
      </w:r>
      <w:r w:rsidRPr="00847E01">
        <w:rPr>
          <w:rFonts w:ascii="Times New Roman" w:eastAsiaTheme="minorHAnsi" w:hAnsi="Times New Roman" w:cs="Times New Roman"/>
          <w:b/>
          <w:i/>
          <w:color w:val="000000"/>
          <w:sz w:val="24"/>
          <w:szCs w:val="20"/>
        </w:rPr>
        <w:t>euro</w:t>
      </w:r>
      <w:r w:rsidRPr="00847E01">
        <w:rPr>
          <w:rFonts w:ascii="Times New Roman" w:eastAsiaTheme="minorHAnsi" w:hAnsi="Times New Roman" w:cs="Times New Roman"/>
          <w:b/>
          <w:color w:val="000000"/>
          <w:sz w:val="24"/>
          <w:szCs w:val="20"/>
        </w:rPr>
        <w:t xml:space="preserve">) </w:t>
      </w:r>
    </w:p>
    <w:tbl>
      <w:tblPr>
        <w:tblStyle w:val="GridTable6Colorful-Accent11"/>
        <w:tblW w:w="9493" w:type="dxa"/>
        <w:jc w:val="center"/>
        <w:tblLayout w:type="fixed"/>
        <w:tblLook w:val="04A0" w:firstRow="1" w:lastRow="0" w:firstColumn="1" w:lastColumn="0" w:noHBand="0" w:noVBand="1"/>
      </w:tblPr>
      <w:tblGrid>
        <w:gridCol w:w="3397"/>
        <w:gridCol w:w="1524"/>
        <w:gridCol w:w="1524"/>
        <w:gridCol w:w="1524"/>
        <w:gridCol w:w="1524"/>
      </w:tblGrid>
      <w:tr w:rsidR="0030420E" w:rsidRPr="00120DF9" w14:paraId="3EB5EE7C" w14:textId="77777777" w:rsidTr="001957A2">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B92F1BB" w14:textId="77777777" w:rsidR="0030420E" w:rsidRPr="00120DF9" w:rsidRDefault="0030420E" w:rsidP="001957A2">
            <w:pPr>
              <w:jc w:val="center"/>
              <w:rPr>
                <w:rFonts w:eastAsia="Times New Roman" w:cs="Times New Roman"/>
                <w:bCs w:val="0"/>
                <w:color w:val="auto"/>
                <w:sz w:val="22"/>
                <w:lang w:eastAsia="lv-LV"/>
              </w:rPr>
            </w:pPr>
          </w:p>
        </w:tc>
        <w:tc>
          <w:tcPr>
            <w:tcW w:w="1524" w:type="dxa"/>
            <w:vAlign w:val="center"/>
          </w:tcPr>
          <w:p w14:paraId="0F506343"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2014</w:t>
            </w:r>
          </w:p>
        </w:tc>
        <w:tc>
          <w:tcPr>
            <w:tcW w:w="1524" w:type="dxa"/>
            <w:vAlign w:val="center"/>
          </w:tcPr>
          <w:p w14:paraId="19FCAA07"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2015</w:t>
            </w:r>
          </w:p>
        </w:tc>
        <w:tc>
          <w:tcPr>
            <w:tcW w:w="1524" w:type="dxa"/>
            <w:vAlign w:val="center"/>
          </w:tcPr>
          <w:p w14:paraId="0D139A39"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2016</w:t>
            </w:r>
          </w:p>
        </w:tc>
        <w:tc>
          <w:tcPr>
            <w:tcW w:w="1524" w:type="dxa"/>
          </w:tcPr>
          <w:p w14:paraId="441041B7" w14:textId="77777777" w:rsidR="0030420E" w:rsidRPr="00120DF9" w:rsidRDefault="0030420E"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highlight w:val="yellow"/>
                <w:lang w:eastAsia="lv-LV"/>
              </w:rPr>
            </w:pPr>
            <w:r w:rsidRPr="00120DF9">
              <w:rPr>
                <w:rFonts w:eastAsia="Times New Roman" w:cs="Times New Roman"/>
                <w:bCs w:val="0"/>
                <w:color w:val="auto"/>
                <w:sz w:val="22"/>
                <w:lang w:eastAsia="lv-LV"/>
              </w:rPr>
              <w:t>2017</w:t>
            </w:r>
          </w:p>
        </w:tc>
      </w:tr>
      <w:tr w:rsidR="0030420E" w:rsidRPr="00120DF9" w14:paraId="28F6B245" w14:textId="77777777" w:rsidTr="001957A2">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397" w:type="dxa"/>
            <w:hideMark/>
          </w:tcPr>
          <w:p w14:paraId="648ADF30" w14:textId="77777777" w:rsidR="0030420E" w:rsidRPr="00120DF9" w:rsidRDefault="0030420E" w:rsidP="001957A2">
            <w:pPr>
              <w:rPr>
                <w:rFonts w:eastAsia="Times New Roman" w:cs="Times New Roman"/>
                <w:b w:val="0"/>
                <w:color w:val="auto"/>
                <w:sz w:val="22"/>
                <w:lang w:eastAsia="lv-LV"/>
              </w:rPr>
            </w:pPr>
            <w:r w:rsidRPr="00120DF9">
              <w:rPr>
                <w:rFonts w:eastAsia="Times New Roman" w:cs="Times New Roman"/>
                <w:b w:val="0"/>
                <w:bCs w:val="0"/>
                <w:color w:val="auto"/>
                <w:sz w:val="22"/>
                <w:lang w:eastAsia="lv-LV"/>
              </w:rPr>
              <w:t>Vispārējās valdības sektorā klasificēto veselības aizsardzības komercsabiedrību bilance (budžeta plāns)</w:t>
            </w:r>
          </w:p>
        </w:tc>
        <w:tc>
          <w:tcPr>
            <w:tcW w:w="1524" w:type="dxa"/>
            <w:vAlign w:val="center"/>
          </w:tcPr>
          <w:p w14:paraId="3EA133F7"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-10,5</w:t>
            </w:r>
          </w:p>
        </w:tc>
        <w:tc>
          <w:tcPr>
            <w:tcW w:w="1524" w:type="dxa"/>
            <w:vAlign w:val="center"/>
          </w:tcPr>
          <w:p w14:paraId="49536A6A"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-33,8</w:t>
            </w:r>
          </w:p>
        </w:tc>
        <w:tc>
          <w:tcPr>
            <w:tcW w:w="1524" w:type="dxa"/>
            <w:vAlign w:val="center"/>
          </w:tcPr>
          <w:p w14:paraId="20263CA0"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+5,7</w:t>
            </w:r>
          </w:p>
        </w:tc>
        <w:tc>
          <w:tcPr>
            <w:tcW w:w="1524" w:type="dxa"/>
            <w:vAlign w:val="center"/>
          </w:tcPr>
          <w:p w14:paraId="75F090FA"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highlight w:val="yellow"/>
                <w:lang w:eastAsia="lv-LV"/>
              </w:rPr>
            </w:pPr>
            <w:r w:rsidRPr="00120DF9">
              <w:rPr>
                <w:rFonts w:eastAsia="Times New Roman" w:cs="Times New Roman"/>
                <w:color w:val="000000" w:themeColor="text1"/>
                <w:sz w:val="22"/>
                <w:lang w:eastAsia="lv-LV"/>
              </w:rPr>
              <w:t>+15,5</w:t>
            </w:r>
          </w:p>
        </w:tc>
      </w:tr>
      <w:tr w:rsidR="0030420E" w:rsidRPr="00120DF9" w14:paraId="2D5E5CC0" w14:textId="77777777" w:rsidTr="001957A2">
        <w:trPr>
          <w:trHeight w:val="315"/>
          <w:jc w:val="center"/>
        </w:trPr>
        <w:tc>
          <w:tcPr>
            <w:cnfStyle w:val="001000000000" w:firstRow="0" w:lastRow="0" w:firstColumn="1" w:lastColumn="0" w:oddVBand="0" w:evenVBand="0" w:oddHBand="0" w:evenHBand="0" w:firstRowFirstColumn="0" w:firstRowLastColumn="0" w:lastRowFirstColumn="0" w:lastRowLastColumn="0"/>
            <w:tcW w:w="3397" w:type="dxa"/>
          </w:tcPr>
          <w:p w14:paraId="1B21C6D4" w14:textId="77777777" w:rsidR="0030420E" w:rsidRPr="00120DF9" w:rsidRDefault="0030420E" w:rsidP="001957A2">
            <w:pPr>
              <w:rPr>
                <w:rFonts w:eastAsia="Times New Roman" w:cs="Times New Roman"/>
                <w:bCs w:val="0"/>
                <w:color w:val="auto"/>
                <w:sz w:val="22"/>
                <w:lang w:eastAsia="lv-LV"/>
              </w:rPr>
            </w:pPr>
            <w:r w:rsidRPr="00120DF9">
              <w:rPr>
                <w:rFonts w:eastAsia="Times New Roman" w:cs="Times New Roman"/>
                <w:b w:val="0"/>
                <w:bCs w:val="0"/>
                <w:color w:val="auto"/>
                <w:sz w:val="22"/>
                <w:lang w:eastAsia="lv-LV"/>
              </w:rPr>
              <w:t>Vispārējās valdības sektorā klasificēto veselības aizsardzības komercsabiedrību bilance (izpilde)</w:t>
            </w:r>
          </w:p>
        </w:tc>
        <w:tc>
          <w:tcPr>
            <w:tcW w:w="1524" w:type="dxa"/>
            <w:vAlign w:val="center"/>
          </w:tcPr>
          <w:p w14:paraId="79D56A9C"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-15,2</w:t>
            </w:r>
          </w:p>
        </w:tc>
        <w:tc>
          <w:tcPr>
            <w:tcW w:w="1524" w:type="dxa"/>
            <w:vAlign w:val="center"/>
          </w:tcPr>
          <w:p w14:paraId="0B67DA56"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-5,0</w:t>
            </w:r>
          </w:p>
        </w:tc>
        <w:tc>
          <w:tcPr>
            <w:tcW w:w="1524" w:type="dxa"/>
            <w:vAlign w:val="center"/>
          </w:tcPr>
          <w:p w14:paraId="2A2FCBDE"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-29,4</w:t>
            </w:r>
          </w:p>
        </w:tc>
        <w:tc>
          <w:tcPr>
            <w:tcW w:w="1524" w:type="dxa"/>
            <w:vAlign w:val="center"/>
          </w:tcPr>
          <w:p w14:paraId="06ACC716" w14:textId="77777777" w:rsidR="0030420E" w:rsidRPr="00120DF9" w:rsidRDefault="0030420E" w:rsidP="001957A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+15,8</w:t>
            </w:r>
          </w:p>
        </w:tc>
      </w:tr>
      <w:tr w:rsidR="0030420E" w:rsidRPr="00120DF9" w14:paraId="56A8F3A7" w14:textId="77777777" w:rsidTr="001957A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8190FB6" w14:textId="77777777" w:rsidR="0030420E" w:rsidRPr="00120DF9" w:rsidRDefault="0030420E" w:rsidP="001957A2">
            <w:pPr>
              <w:rPr>
                <w:rFonts w:eastAsia="Times New Roman" w:cs="Times New Roman"/>
                <w:b w:val="0"/>
                <w:bCs w:val="0"/>
                <w:color w:val="auto"/>
                <w:sz w:val="22"/>
                <w:lang w:eastAsia="lv-LV"/>
              </w:rPr>
            </w:pPr>
            <w:r w:rsidRPr="00120DF9">
              <w:rPr>
                <w:rFonts w:eastAsia="Times New Roman" w:cs="Times New Roman"/>
                <w:b w:val="0"/>
                <w:bCs w:val="0"/>
                <w:color w:val="auto"/>
                <w:sz w:val="22"/>
                <w:lang w:eastAsia="lv-LV"/>
              </w:rPr>
              <w:t>Faktiskās bilances novirze no plāna</w:t>
            </w:r>
          </w:p>
        </w:tc>
        <w:tc>
          <w:tcPr>
            <w:tcW w:w="1524" w:type="dxa"/>
            <w:vAlign w:val="bottom"/>
          </w:tcPr>
          <w:p w14:paraId="147C8A6B"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-4,7</w:t>
            </w:r>
          </w:p>
        </w:tc>
        <w:tc>
          <w:tcPr>
            <w:tcW w:w="1524" w:type="dxa"/>
            <w:vAlign w:val="bottom"/>
          </w:tcPr>
          <w:p w14:paraId="08D6E16C"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+28,8</w:t>
            </w:r>
          </w:p>
        </w:tc>
        <w:tc>
          <w:tcPr>
            <w:tcW w:w="1524" w:type="dxa"/>
            <w:vAlign w:val="bottom"/>
          </w:tcPr>
          <w:p w14:paraId="3692A8B4"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-35,1</w:t>
            </w:r>
          </w:p>
        </w:tc>
        <w:tc>
          <w:tcPr>
            <w:tcW w:w="1524" w:type="dxa"/>
            <w:vAlign w:val="bottom"/>
          </w:tcPr>
          <w:p w14:paraId="335ECB45" w14:textId="77777777" w:rsidR="0030420E" w:rsidRPr="00120DF9" w:rsidRDefault="0030420E" w:rsidP="001957A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+0,3</w:t>
            </w:r>
          </w:p>
        </w:tc>
      </w:tr>
    </w:tbl>
    <w:p w14:paraId="2A98227D" w14:textId="77777777" w:rsidR="0030420E" w:rsidRPr="000F5C49" w:rsidRDefault="0030420E" w:rsidP="0030420E">
      <w:pPr>
        <w:spacing w:after="0" w:line="240" w:lineRule="auto"/>
        <w:ind w:firstLine="720"/>
        <w:jc w:val="both"/>
        <w:rPr>
          <w:rFonts w:ascii="Times New Roman" w:hAnsi="Times New Roman" w:cs="Times New Roman"/>
          <w:sz w:val="20"/>
          <w:szCs w:val="20"/>
        </w:rPr>
      </w:pPr>
    </w:p>
    <w:p w14:paraId="755801D1" w14:textId="458008A6" w:rsidR="00D731B7" w:rsidRDefault="00D731B7" w:rsidP="00D731B7">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2018.gadā pašvaldībām ir izsniegtas galvojumu atļaujas  savu kapitālsabiedrību aizņēmumiem (aizņēmumiem no Valsts kases), kas ņemti investīciju projektu īstenošanai, kopsummā 24 205 135 </w:t>
      </w:r>
      <w:r>
        <w:rPr>
          <w:rFonts w:ascii="Times New Roman" w:hAnsi="Times New Roman" w:cs="Times New Roman"/>
          <w:sz w:val="24"/>
          <w:szCs w:val="24"/>
          <w:lang w:eastAsia="lv-LV"/>
        </w:rPr>
        <w:t xml:space="preserve">EUR. Informācija par 2018.gadā faktiski noslēgto galvojuma līgumu apmēriem ir pieejama Valsts kasei. </w:t>
      </w:r>
    </w:p>
    <w:p w14:paraId="72D47D9F" w14:textId="24F38528" w:rsidR="0030420E" w:rsidRDefault="00D731B7" w:rsidP="003042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30420E" w:rsidRPr="00D71D04">
        <w:rPr>
          <w:rFonts w:ascii="Times New Roman" w:hAnsi="Times New Roman" w:cs="Times New Roman"/>
          <w:sz w:val="24"/>
          <w:szCs w:val="24"/>
        </w:rPr>
        <w:t xml:space="preserve">apitālsabiedrību vērtē aizdevējs. Pēdējos gados pašvaldību kapitālsabiedrības aizņēmumus ir ņēmušas tikai Valsts kasē. Atbilstoši Ministru kabineta 2015.gada 30.jūnija noteikumiem Nr.363 </w:t>
      </w:r>
      <w:r w:rsidR="0030420E" w:rsidRPr="00D71D04">
        <w:rPr>
          <w:rFonts w:ascii="Times New Roman" w:hAnsi="Times New Roman" w:cs="Times New Roman"/>
          <w:sz w:val="24"/>
          <w:szCs w:val="24"/>
          <w:lang w:eastAsia="lv-LV"/>
        </w:rPr>
        <w:t>“</w:t>
      </w:r>
      <w:hyperlink r:id="rId9" w:tgtFrame="_blank" w:history="1">
        <w:r w:rsidR="0030420E" w:rsidRPr="00AB6CE4">
          <w:rPr>
            <w:rStyle w:val="Hyperlink"/>
            <w:rFonts w:ascii="Times New Roman" w:hAnsi="Times New Roman" w:cs="Times New Roman"/>
            <w:i/>
            <w:color w:val="auto"/>
            <w:sz w:val="24"/>
            <w:szCs w:val="24"/>
            <w:u w:val="none"/>
            <w:lang w:eastAsia="lv-LV"/>
          </w:rPr>
          <w:t>Kārtība, kādā ministrijas un citas centrālās valsts iestādes iekļauj gadskārtējā valsts budžeta likumprojektā valsts aizdevumu pieprasījumus</w:t>
        </w:r>
      </w:hyperlink>
      <w:r w:rsidR="0030420E" w:rsidRPr="00D71D04">
        <w:rPr>
          <w:rFonts w:ascii="Times New Roman" w:hAnsi="Times New Roman" w:cs="Times New Roman"/>
          <w:sz w:val="24"/>
          <w:szCs w:val="24"/>
          <w:lang w:eastAsia="lv-LV"/>
        </w:rPr>
        <w:t xml:space="preserve">, un </w:t>
      </w:r>
      <w:hyperlink r:id="rId10" w:tgtFrame="_blank" w:history="1">
        <w:r w:rsidR="0030420E" w:rsidRPr="00AB6CE4">
          <w:rPr>
            <w:rStyle w:val="Hyperlink"/>
            <w:rFonts w:ascii="Times New Roman" w:hAnsi="Times New Roman" w:cs="Times New Roman"/>
            <w:i/>
            <w:color w:val="auto"/>
            <w:sz w:val="24"/>
            <w:szCs w:val="24"/>
            <w:u w:val="none"/>
            <w:lang w:eastAsia="lv-LV"/>
          </w:rPr>
          <w:t>valsts aizdevumu izsniegšanas un apkalpošanas kārtība</w:t>
        </w:r>
      </w:hyperlink>
      <w:r w:rsidR="0030420E" w:rsidRPr="00D71D04">
        <w:rPr>
          <w:rFonts w:ascii="Times New Roman" w:hAnsi="Times New Roman" w:cs="Times New Roman"/>
          <w:sz w:val="24"/>
          <w:szCs w:val="24"/>
          <w:lang w:eastAsia="lv-LV"/>
        </w:rPr>
        <w:t xml:space="preserve">”, </w:t>
      </w:r>
      <w:r w:rsidR="0030420E" w:rsidRPr="00D71D04">
        <w:rPr>
          <w:rFonts w:ascii="Times New Roman" w:hAnsi="Times New Roman" w:cs="Times New Roman"/>
          <w:sz w:val="24"/>
          <w:szCs w:val="24"/>
        </w:rPr>
        <w:t>kapitālsabiedrība</w:t>
      </w:r>
      <w:r w:rsidR="0030420E" w:rsidRPr="00D71D04">
        <w:rPr>
          <w:rFonts w:ascii="Times New Roman" w:hAnsi="Times New Roman" w:cs="Times New Roman"/>
          <w:sz w:val="24"/>
          <w:szCs w:val="24"/>
          <w:lang w:eastAsia="lv-LV"/>
        </w:rPr>
        <w:t xml:space="preserve">s iesniedz Valsts kasē pieprasījumu </w:t>
      </w:r>
      <w:r w:rsidR="0030420E" w:rsidRPr="00D71D04">
        <w:rPr>
          <w:rFonts w:ascii="Times New Roman" w:hAnsi="Times New Roman" w:cs="Times New Roman"/>
          <w:sz w:val="24"/>
          <w:szCs w:val="24"/>
        </w:rPr>
        <w:t xml:space="preserve">valsts budžeta aizdevuma saņemšanai. </w:t>
      </w:r>
      <w:r w:rsidR="0030420E" w:rsidRPr="00D71D04">
        <w:rPr>
          <w:rFonts w:ascii="Times New Roman" w:hAnsi="Times New Roman" w:cs="Times New Roman"/>
          <w:sz w:val="24"/>
          <w:szCs w:val="24"/>
          <w:lang w:eastAsia="lv-LV"/>
        </w:rPr>
        <w:lastRenderedPageBreak/>
        <w:t xml:space="preserve">Valsts kase </w:t>
      </w:r>
      <w:r w:rsidR="0030420E" w:rsidRPr="00D71D04">
        <w:rPr>
          <w:rFonts w:ascii="Times New Roman" w:hAnsi="Times New Roman" w:cs="Times New Roman"/>
          <w:sz w:val="24"/>
          <w:szCs w:val="24"/>
        </w:rPr>
        <w:t xml:space="preserve">vērtē iesniegtos dokumentus, līdz ar to jautājums par kapitālsabiedrību valsts budžeta aizņēmumiem ir Valsts kases kompetence. </w:t>
      </w:r>
    </w:p>
    <w:p w14:paraId="2D481B49" w14:textId="11F16432" w:rsidR="00591A2F" w:rsidRDefault="00591A2F" w:rsidP="0030420E">
      <w:pPr>
        <w:spacing w:after="0" w:line="240" w:lineRule="auto"/>
        <w:ind w:firstLine="720"/>
        <w:jc w:val="both"/>
        <w:rPr>
          <w:rFonts w:ascii="Times New Roman" w:hAnsi="Times New Roman" w:cs="Times New Roman"/>
          <w:sz w:val="24"/>
          <w:szCs w:val="24"/>
        </w:rPr>
      </w:pPr>
    </w:p>
    <w:p w14:paraId="41C019C3" w14:textId="542DEA72" w:rsidR="00591A2F" w:rsidRPr="0030420E" w:rsidRDefault="00591A2F" w:rsidP="00591A2F">
      <w:pPr>
        <w:pStyle w:val="Heading2"/>
        <w:numPr>
          <w:ilvl w:val="1"/>
          <w:numId w:val="4"/>
        </w:numPr>
        <w:tabs>
          <w:tab w:val="left" w:pos="3261"/>
        </w:tabs>
        <w:spacing w:before="120" w:after="120" w:line="240" w:lineRule="auto"/>
        <w:ind w:left="426"/>
        <w:jc w:val="center"/>
        <w:rPr>
          <w:rFonts w:ascii="Times New Roman" w:hAnsi="Times New Roman" w:cs="Times New Roman"/>
          <w:bCs w:val="0"/>
          <w:sz w:val="24"/>
          <w:szCs w:val="24"/>
        </w:rPr>
      </w:pPr>
      <w:bookmarkStart w:id="27" w:name="_Toc536626721"/>
      <w:r w:rsidRPr="0030420E">
        <w:rPr>
          <w:rFonts w:ascii="Times New Roman" w:hAnsi="Times New Roman" w:cs="Times New Roman"/>
          <w:bCs w:val="0"/>
          <w:sz w:val="24"/>
          <w:szCs w:val="24"/>
        </w:rPr>
        <w:t>Enerģijas publiskais tirgotājs</w:t>
      </w:r>
      <w:bookmarkEnd w:id="27"/>
    </w:p>
    <w:p w14:paraId="01A92596" w14:textId="77777777" w:rsidR="00591A2F" w:rsidRPr="00D71D04" w:rsidRDefault="00591A2F" w:rsidP="00591A2F">
      <w:pPr>
        <w:spacing w:after="0" w:line="240" w:lineRule="auto"/>
        <w:ind w:firstLine="709"/>
        <w:jc w:val="both"/>
        <w:rPr>
          <w:rFonts w:ascii="Times New Roman" w:hAnsi="Times New Roman" w:cs="Times New Roman"/>
          <w:sz w:val="24"/>
          <w:szCs w:val="24"/>
        </w:rPr>
      </w:pPr>
      <w:r w:rsidRPr="00D71D04">
        <w:rPr>
          <w:rFonts w:ascii="Times New Roman" w:hAnsi="Times New Roman" w:cs="Times New Roman"/>
          <w:sz w:val="24"/>
          <w:szCs w:val="24"/>
        </w:rPr>
        <w:t xml:space="preserve">Līdz 2018.gada 1.janvārim Elektroenerģijas tirgus likums paredzēja, ka elektroenerģijas </w:t>
      </w:r>
      <w:r>
        <w:rPr>
          <w:rFonts w:ascii="Times New Roman" w:hAnsi="Times New Roman" w:cs="Times New Roman"/>
          <w:sz w:val="24"/>
          <w:szCs w:val="24"/>
        </w:rPr>
        <w:t>obligātā iepirkuma (turpmāk</w:t>
      </w:r>
      <w:r w:rsidRPr="00B801D6">
        <w:rPr>
          <w:rFonts w:ascii="Times New Roman" w:hAnsi="Times New Roman" w:cs="Times New Roman"/>
          <w:sz w:val="24"/>
          <w:szCs w:val="24"/>
        </w:rPr>
        <w:t xml:space="preserve"> </w:t>
      </w:r>
      <w:r w:rsidRPr="00D71D04">
        <w:rPr>
          <w:rFonts w:ascii="Times New Roman" w:hAnsi="Times New Roman"/>
          <w:color w:val="000000"/>
          <w:sz w:val="24"/>
          <w:szCs w:val="24"/>
        </w:rPr>
        <w:t>–</w:t>
      </w:r>
      <w:r w:rsidRPr="00B801D6">
        <w:rPr>
          <w:rFonts w:ascii="Times New Roman" w:hAnsi="Times New Roman" w:cs="Times New Roman"/>
          <w:sz w:val="24"/>
          <w:szCs w:val="24"/>
        </w:rPr>
        <w:t xml:space="preserve"> OI)</w:t>
      </w:r>
      <w:r w:rsidRPr="00D71D04">
        <w:rPr>
          <w:rFonts w:ascii="Times New Roman" w:hAnsi="Times New Roman" w:cs="Times New Roman"/>
          <w:sz w:val="24"/>
          <w:szCs w:val="24"/>
        </w:rPr>
        <w:t xml:space="preserve"> izmaksas no elektrostacijām, kuras elektroenerģiju ražo koģenerācijā, un elektrostacijām, kuras elektroenerģiju ražo, izmantojot atjaunojamos energoresursus, kā arī garantēto maksu par elektrostacijā uzstādīto jaudu kompensē visi Latvijas elektroenerģijas galalietotāji proporcionāli savam elektroenerģijas patēriņam un uzstādītajai jaudai. Ar grozījumiem Elektroenerģijas tirgus likumā tika noteikts, ka, sākot ar 2018.gada 1.janvāri izmaksas, kas rodas no jaudas maksājumiem koģenerācijas elektrostacijām, tiek attiecinātas uz galalietotājiem proporcionāli to sistēmas pieslēguma parametriem, savukārt izmaksas par elektroenerģijas obligātā iepirkuma ietvaros iepirkto elektroenerģiju tiek sadalītas proporcionāli elektroenerģijas gala</w:t>
      </w:r>
      <w:r>
        <w:rPr>
          <w:rFonts w:ascii="Times New Roman" w:hAnsi="Times New Roman" w:cs="Times New Roman"/>
          <w:sz w:val="24"/>
          <w:szCs w:val="24"/>
        </w:rPr>
        <w:t xml:space="preserve"> </w:t>
      </w:r>
      <w:r w:rsidRPr="00D71D04">
        <w:rPr>
          <w:rFonts w:ascii="Times New Roman" w:hAnsi="Times New Roman" w:cs="Times New Roman"/>
          <w:sz w:val="24"/>
          <w:szCs w:val="24"/>
        </w:rPr>
        <w:t xml:space="preserve">patēriņam. </w:t>
      </w:r>
      <w:r w:rsidRPr="00B801D6">
        <w:rPr>
          <w:rFonts w:ascii="Times New Roman" w:hAnsi="Times New Roman" w:cs="Times New Roman"/>
          <w:sz w:val="24"/>
          <w:szCs w:val="24"/>
        </w:rPr>
        <w:t>Obligātā iepirkuma komponentes (turpmāk – OIK)</w:t>
      </w:r>
      <w:r w:rsidRPr="00D71D04">
        <w:rPr>
          <w:rFonts w:ascii="Times New Roman" w:hAnsi="Times New Roman" w:cs="Times New Roman"/>
          <w:sz w:val="24"/>
          <w:szCs w:val="24"/>
        </w:rPr>
        <w:t xml:space="preserve"> tiek iekļauta rēķinā, ko klienti maksā par patērēto elektroenerģiju un sistēmas pakalpojumiem. Pienākums iekasēt OIK ieņēmumus no klientiem ir </w:t>
      </w:r>
      <w:r w:rsidRPr="005D3CE0">
        <w:rPr>
          <w:rFonts w:ascii="Times New Roman" w:hAnsi="Times New Roman" w:cs="Times New Roman"/>
          <w:sz w:val="24"/>
          <w:szCs w:val="24"/>
        </w:rPr>
        <w:t>sadales un pārvades sistēmas operatoriem</w:t>
      </w:r>
      <w:r w:rsidRPr="005D3CE0">
        <w:rPr>
          <w:rStyle w:val="FootnoteReference"/>
          <w:rFonts w:ascii="Times New Roman" w:hAnsi="Times New Roman" w:cs="Times New Roman"/>
          <w:sz w:val="24"/>
          <w:szCs w:val="24"/>
        </w:rPr>
        <w:footnoteReference w:id="8"/>
      </w:r>
      <w:r w:rsidRPr="00D71D04">
        <w:rPr>
          <w:rFonts w:ascii="Times New Roman" w:hAnsi="Times New Roman" w:cs="Times New Roman"/>
          <w:sz w:val="24"/>
          <w:szCs w:val="24"/>
        </w:rPr>
        <w:t xml:space="preserve">, kas tālāk šos ieņēmumus pārskaita </w:t>
      </w:r>
      <w:r w:rsidRPr="00B801D6">
        <w:rPr>
          <w:rFonts w:ascii="Times New Roman" w:hAnsi="Times New Roman" w:cs="Times New Roman"/>
          <w:sz w:val="24"/>
          <w:szCs w:val="24"/>
        </w:rPr>
        <w:t>Akciju sabiedrība “</w:t>
      </w:r>
      <w:r>
        <w:rPr>
          <w:rFonts w:ascii="Times New Roman" w:hAnsi="Times New Roman" w:cs="Times New Roman"/>
          <w:sz w:val="24"/>
          <w:szCs w:val="24"/>
        </w:rPr>
        <w:t>Enerģijas publiskais tirgotājs”</w:t>
      </w:r>
      <w:r w:rsidRPr="00D71D04">
        <w:rPr>
          <w:rFonts w:ascii="Times New Roman" w:hAnsi="Times New Roman" w:cs="Times New Roman"/>
          <w:sz w:val="24"/>
          <w:szCs w:val="24"/>
        </w:rPr>
        <w:t>. OIK apmēru, kuru maksā gala patērētāji, ierobežo ar atsevišķiem tiesību aktiem (šobrīd vidēji 22,68 EUR/MWh), paredzot, ka visu to apjomu, ko nesedz gala lietotāju maksājumi, sedz budžeta līdzfinansējums.</w:t>
      </w:r>
    </w:p>
    <w:p w14:paraId="51139381" w14:textId="77777777" w:rsidR="00591A2F" w:rsidRPr="00D71D04" w:rsidRDefault="00591A2F" w:rsidP="00591A2F">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Ieņēmumi no OIK un OI izmaksas netiek atzīti peļņas vai zaudējumu aprēķinā, bet tos atzīst kā aktīvus vai saistības EPT pārskatā par finansiālo stāvokli, piemērojot aģenta uzskaites principu. EPT, pildot OI administrēšanas funkcijas, darbojas kā aģents, jo tai nav kontroles par OIK daļas iekļaušanu klientiem izrakstītos rēķinos, EPT nav tiesību pašai tieši vai netieši noteikt cenas, un EPT neuzņemas kredītrisku, kas rodas no pircēju debitoru parādiem. </w:t>
      </w:r>
    </w:p>
    <w:p w14:paraId="770E958D" w14:textId="77777777" w:rsidR="00591A2F" w:rsidRPr="00D71D04" w:rsidRDefault="00591A2F" w:rsidP="00591A2F">
      <w:pPr>
        <w:spacing w:after="0" w:line="240" w:lineRule="auto"/>
        <w:ind w:firstLine="567"/>
        <w:jc w:val="both"/>
        <w:rPr>
          <w:rFonts w:ascii="Times New Roman" w:hAnsi="Times New Roman"/>
          <w:color w:val="000000"/>
          <w:sz w:val="24"/>
          <w:szCs w:val="24"/>
        </w:rPr>
      </w:pPr>
      <w:r w:rsidRPr="00D71D04">
        <w:rPr>
          <w:rFonts w:ascii="Times New Roman" w:hAnsi="Times New Roman"/>
          <w:color w:val="000000"/>
          <w:sz w:val="24"/>
          <w:szCs w:val="24"/>
        </w:rPr>
        <w:t xml:space="preserve">EPT veic tirdzniecības darījumus elektroenerģijas </w:t>
      </w:r>
      <w:r w:rsidRPr="00D71D04">
        <w:rPr>
          <w:rFonts w:ascii="Times New Roman" w:hAnsi="Times New Roman"/>
          <w:i/>
          <w:color w:val="000000"/>
          <w:sz w:val="24"/>
          <w:szCs w:val="24"/>
        </w:rPr>
        <w:t xml:space="preserve">Nordpool </w:t>
      </w:r>
      <w:r w:rsidRPr="00D71D04">
        <w:rPr>
          <w:rFonts w:ascii="Times New Roman" w:hAnsi="Times New Roman"/>
          <w:color w:val="000000"/>
          <w:sz w:val="24"/>
          <w:szCs w:val="24"/>
        </w:rPr>
        <w:t>biržā, pārdodot tajā no ražotājiem iepirkto elektroenerģiju, tādēļ elektroenerģijas tirgus tendences un elektroenerģijas cena ietekmē EPT darbību, jo ieņēmumi no elektroenerģijas pārdošanas biržā ir vieni no EPT ienākumiem (ienākumu īpatsvars kopējos ienākumos 2017.gadā bija aptuveni 23%, 2018.gadā prognozēts – 30%).</w:t>
      </w:r>
    </w:p>
    <w:p w14:paraId="058C37CA" w14:textId="77777777" w:rsidR="00591A2F" w:rsidRPr="00D71D04" w:rsidRDefault="00591A2F" w:rsidP="00591A2F">
      <w:pPr>
        <w:spacing w:after="0" w:line="240" w:lineRule="auto"/>
        <w:ind w:firstLine="567"/>
        <w:jc w:val="both"/>
        <w:rPr>
          <w:rFonts w:ascii="Times New Roman" w:hAnsi="Times New Roman"/>
          <w:sz w:val="24"/>
          <w:szCs w:val="24"/>
        </w:rPr>
      </w:pPr>
      <w:r w:rsidRPr="00D71D04">
        <w:rPr>
          <w:rFonts w:ascii="Times New Roman" w:hAnsi="Times New Roman"/>
          <w:sz w:val="24"/>
          <w:szCs w:val="24"/>
        </w:rPr>
        <w:t>Vi</w:t>
      </w:r>
      <w:r>
        <w:rPr>
          <w:rFonts w:ascii="Times New Roman" w:hAnsi="Times New Roman"/>
          <w:sz w:val="24"/>
          <w:szCs w:val="24"/>
        </w:rPr>
        <w:t>dējai cenai samazinoties par 1%</w:t>
      </w:r>
      <w:r w:rsidRPr="00D71D04">
        <w:rPr>
          <w:rFonts w:ascii="Times New Roman" w:hAnsi="Times New Roman"/>
          <w:sz w:val="24"/>
          <w:szCs w:val="24"/>
        </w:rPr>
        <w:t>, ienākumi no elektroenerģijas pārdošanas biržā samazinātos par 0,6 milj.</w:t>
      </w:r>
      <w:r>
        <w:rPr>
          <w:rFonts w:ascii="Times New Roman" w:hAnsi="Times New Roman"/>
          <w:sz w:val="24"/>
          <w:szCs w:val="24"/>
        </w:rPr>
        <w:t xml:space="preserve"> </w:t>
      </w:r>
      <w:r w:rsidRPr="00D71D04">
        <w:rPr>
          <w:rFonts w:ascii="Times New Roman" w:hAnsi="Times New Roman"/>
          <w:sz w:val="24"/>
          <w:szCs w:val="24"/>
        </w:rPr>
        <w:t>EUR un attiecīgi par to summu pieaugtu nepieciešamā budžeta dotācija, un otrādi – pieaugot tirgus cenai, pieaug ienākumi, samazinās budžeta dotācija. Kopumā novērtējot visu obligātā iepirkuma portfeļa tirgus cenas svārstību risku efektu, tas sasniegtu aptuveni 25 milj. EUR / gadā, proti, tikai elektroenerģijas tirgus cena svārstības vien var atstāt 25 milj. EUR/gadā iespaidu uz budžeta dotāciju. Nesaņemtie OIK ieņēmumi EPT finanšu pārskatos 2018.gadā svārstās 80</w:t>
      </w:r>
      <w:r>
        <w:rPr>
          <w:rFonts w:ascii="Times New Roman" w:hAnsi="Times New Roman"/>
          <w:sz w:val="24"/>
          <w:szCs w:val="24"/>
        </w:rPr>
        <w:t xml:space="preserve"> </w:t>
      </w:r>
      <w:r w:rsidRPr="00D71D04">
        <w:rPr>
          <w:rFonts w:ascii="Times New Roman" w:hAnsi="Times New Roman"/>
          <w:color w:val="000000"/>
          <w:sz w:val="24"/>
          <w:szCs w:val="24"/>
        </w:rPr>
        <w:t>–</w:t>
      </w:r>
      <w:r>
        <w:rPr>
          <w:rFonts w:ascii="Times New Roman" w:hAnsi="Times New Roman"/>
          <w:color w:val="000000"/>
          <w:sz w:val="24"/>
          <w:szCs w:val="24"/>
        </w:rPr>
        <w:t xml:space="preserve"> </w:t>
      </w:r>
      <w:r w:rsidRPr="00D71D04">
        <w:rPr>
          <w:rFonts w:ascii="Times New Roman" w:hAnsi="Times New Roman"/>
          <w:sz w:val="24"/>
          <w:szCs w:val="24"/>
        </w:rPr>
        <w:t xml:space="preserve">100 milj. EUR apmērā. </w:t>
      </w:r>
    </w:p>
    <w:p w14:paraId="6F44F3B5" w14:textId="77777777" w:rsidR="00591A2F" w:rsidRPr="00D71D04" w:rsidRDefault="00591A2F" w:rsidP="00591A2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Samazinoties/</w:t>
      </w:r>
      <w:r w:rsidRPr="00D71D04">
        <w:rPr>
          <w:rFonts w:ascii="Times New Roman" w:hAnsi="Times New Roman"/>
          <w:color w:val="000000"/>
          <w:sz w:val="24"/>
          <w:szCs w:val="24"/>
        </w:rPr>
        <w:t>nepieaugot elektroenerģijas gala</w:t>
      </w:r>
      <w:r>
        <w:rPr>
          <w:rFonts w:ascii="Times New Roman" w:hAnsi="Times New Roman"/>
          <w:color w:val="000000"/>
          <w:sz w:val="24"/>
          <w:szCs w:val="24"/>
        </w:rPr>
        <w:t xml:space="preserve"> patēriņam Latvijā par 1</w:t>
      </w:r>
      <w:r w:rsidRPr="00D71D04">
        <w:rPr>
          <w:rFonts w:ascii="Times New Roman" w:hAnsi="Times New Roman"/>
          <w:color w:val="000000"/>
          <w:sz w:val="24"/>
          <w:szCs w:val="24"/>
        </w:rPr>
        <w:t>% (salīdzinot ar plānoto), attiecīgi aptuveni par 1,0 milj. EUR samazināsies OIK ienākumi, un palielinās budžeta dotācija.</w:t>
      </w:r>
    </w:p>
    <w:p w14:paraId="434650DA" w14:textId="77777777" w:rsidR="00591A2F" w:rsidRPr="00D71D04" w:rsidRDefault="00591A2F" w:rsidP="00591A2F">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2019.gadā plānotais OI izdevumu samazinājums </w:t>
      </w:r>
      <w:r w:rsidRPr="00544ECA">
        <w:rPr>
          <w:rFonts w:ascii="Times New Roman" w:hAnsi="Times New Roman"/>
          <w:sz w:val="24"/>
          <w:szCs w:val="24"/>
        </w:rPr>
        <w:t>cenas diferencēšanas koeficienta piemērošanas rezultātā</w:t>
      </w:r>
      <w:r w:rsidRPr="00544ECA">
        <w:rPr>
          <w:rStyle w:val="FootnoteReference"/>
          <w:rFonts w:ascii="Times New Roman" w:hAnsi="Times New Roman"/>
          <w:sz w:val="24"/>
          <w:szCs w:val="24"/>
        </w:rPr>
        <w:footnoteReference w:id="9"/>
      </w:r>
      <w:r w:rsidRPr="00D71D04">
        <w:rPr>
          <w:rFonts w:ascii="Times New Roman" w:hAnsi="Times New Roman"/>
          <w:sz w:val="24"/>
          <w:szCs w:val="24"/>
        </w:rPr>
        <w:t xml:space="preserve"> ir aptuveni 3,1</w:t>
      </w:r>
      <w:r>
        <w:rPr>
          <w:rFonts w:ascii="Times New Roman" w:hAnsi="Times New Roman"/>
          <w:sz w:val="24"/>
          <w:szCs w:val="24"/>
        </w:rPr>
        <w:t xml:space="preserve"> </w:t>
      </w:r>
      <w:r w:rsidRPr="00D71D04">
        <w:rPr>
          <w:rFonts w:ascii="Times New Roman" w:hAnsi="Times New Roman"/>
          <w:sz w:val="24"/>
          <w:szCs w:val="24"/>
        </w:rPr>
        <w:t>milj.</w:t>
      </w:r>
      <w:r>
        <w:rPr>
          <w:rFonts w:ascii="Times New Roman" w:hAnsi="Times New Roman"/>
          <w:sz w:val="24"/>
          <w:szCs w:val="24"/>
        </w:rPr>
        <w:t xml:space="preserve"> </w:t>
      </w:r>
      <w:r w:rsidRPr="00D71D04">
        <w:rPr>
          <w:rFonts w:ascii="Times New Roman" w:hAnsi="Times New Roman"/>
          <w:sz w:val="24"/>
          <w:szCs w:val="24"/>
        </w:rPr>
        <w:t>EUR, tomēr tā piemērošanas efekts 2019.gadā samazinās, jo 2018.gadā beidzas atbalsta periods vairākām koģenerācijas stacijām, kurām aprēķinātais koeficients ir zems, kā arī atsevišķi komersanti ir apstrīdējuši piemērotos diferencēšanas koeficientus un atbilstoši MK noteikumiem iesnieguši zvērinātu revidentu apstiprinātu kopējās iekšējās peļņas normas (IRR) aprēķinus.</w:t>
      </w:r>
    </w:p>
    <w:p w14:paraId="7B989CD3" w14:textId="77777777" w:rsidR="00591A2F" w:rsidRPr="00D71D04" w:rsidRDefault="00591A2F" w:rsidP="00591A2F">
      <w:pPr>
        <w:spacing w:after="0" w:line="240" w:lineRule="auto"/>
        <w:ind w:firstLine="567"/>
        <w:jc w:val="both"/>
        <w:rPr>
          <w:rFonts w:ascii="Times New Roman" w:hAnsi="Times New Roman"/>
          <w:sz w:val="24"/>
          <w:szCs w:val="24"/>
        </w:rPr>
      </w:pPr>
      <w:r w:rsidRPr="00D71D04">
        <w:rPr>
          <w:rFonts w:ascii="Times New Roman" w:hAnsi="Times New Roman"/>
          <w:sz w:val="24"/>
          <w:szCs w:val="24"/>
        </w:rPr>
        <w:lastRenderedPageBreak/>
        <w:t>OI ieņēmumus un izmaksas var ietekmēt arī citi riska faktori, t.sk., bet ne tikai atbalsta energoietilpīgiem apstrādes rūpniecības uzņēmumiem pieaugums, administratīva tālāka OIK līmeņa pazemināšana, OI atļauju turpmāka anulēšana vai atjaunošana pārsūdzības tiesā rezultātā u.c.</w:t>
      </w:r>
    </w:p>
    <w:p w14:paraId="28C53E7E" w14:textId="06124E16" w:rsidR="00591A2F" w:rsidRPr="00D71D04" w:rsidRDefault="00591A2F" w:rsidP="00272A20">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Atbilstoši pašreizējam juridiskajam regulējumam risku nav iespējams ierobežot citādi kā cenšoties veikt pēc iespējas ticamāku prognozēšanu, jo finanšu instrumentu izmantošanas izmaksas vai ieguvumus nevar iekļaut OIK aprēķinā. Tomēr pēc ekonomiskās būtības, atbilstoši paredzot to OIK metodikā, šo risku būtu iespējams ierobežot ar tirgū pieejamiem elektroenerģijas fiksētās cenas instrumentiem. Šobrīd OI ietvaros iepirkto elektroenerģiju EPT pārdod elektroenerģijas biržā par </w:t>
      </w:r>
      <w:bookmarkStart w:id="28" w:name="_Hlk522276273"/>
      <w:r w:rsidRPr="00D71D04">
        <w:rPr>
          <w:rFonts w:ascii="Times New Roman" w:hAnsi="Times New Roman"/>
          <w:i/>
          <w:sz w:val="24"/>
          <w:szCs w:val="24"/>
        </w:rPr>
        <w:t>Nord Pool Spot</w:t>
      </w:r>
      <w:r w:rsidRPr="00D71D04">
        <w:rPr>
          <w:rFonts w:ascii="Times New Roman" w:hAnsi="Times New Roman"/>
          <w:sz w:val="24"/>
          <w:szCs w:val="24"/>
        </w:rPr>
        <w:t xml:space="preserve"> </w:t>
      </w:r>
      <w:bookmarkEnd w:id="28"/>
      <w:r w:rsidRPr="00D71D04">
        <w:rPr>
          <w:rFonts w:ascii="Times New Roman" w:hAnsi="Times New Roman"/>
          <w:sz w:val="24"/>
          <w:szCs w:val="24"/>
        </w:rPr>
        <w:t>Latvijas tirdzniecības apgabala ik</w:t>
      </w:r>
      <w:r>
        <w:rPr>
          <w:rFonts w:ascii="Times New Roman" w:hAnsi="Times New Roman"/>
          <w:sz w:val="24"/>
          <w:szCs w:val="24"/>
        </w:rPr>
        <w:t xml:space="preserve"> </w:t>
      </w:r>
      <w:r w:rsidRPr="00D71D04">
        <w:rPr>
          <w:rFonts w:ascii="Times New Roman" w:hAnsi="Times New Roman"/>
          <w:sz w:val="24"/>
          <w:szCs w:val="24"/>
        </w:rPr>
        <w:t xml:space="preserve">stundas cenu, līdz ar to, </w:t>
      </w:r>
      <w:r w:rsidRPr="00D71D04">
        <w:rPr>
          <w:rFonts w:ascii="Times New Roman" w:hAnsi="Times New Roman"/>
          <w:i/>
          <w:sz w:val="24"/>
          <w:szCs w:val="24"/>
        </w:rPr>
        <w:t>Nord Pool Spot</w:t>
      </w:r>
      <w:r w:rsidRPr="00D71D04">
        <w:rPr>
          <w:rFonts w:ascii="Times New Roman" w:hAnsi="Times New Roman"/>
          <w:sz w:val="24"/>
          <w:szCs w:val="24"/>
        </w:rPr>
        <w:t xml:space="preserve"> cenai pieaugot, neto OIK izdevumi samazinās un otrādi. Lai mazinātu riskus, būtu iespējams veikt fiksēto instrumentu izsoles Baltijas elektroenerģijas tirgū, tādejādi fiksējot OI ietvaros iepirktās elektroenerģijas pārdošanas cenu zināmu laika periodu uz priekšu. Tā kā tirgū ir vērojams šādu instrumentu deficīts, tad būtu sagaidāms tirgus uzcenojums šādiem darījumiem, palielinot EPT ienākumus, un tas arī dotu pozitīvu pienesumu elektroenerģijas tirgus attīstībai Baltijā. No otras puses, ņemot vērā riska ierobežošanas pasākumu dabu, ir jāapzinās, ka fiksējot pārdošanas cenu, tiktu samazinātas iespējas izmantot ieguvumus, ko dotu labvēlīgas svārstības tirgū.</w:t>
      </w:r>
      <w:r w:rsidR="00272A20">
        <w:rPr>
          <w:rFonts w:ascii="Times New Roman" w:hAnsi="Times New Roman"/>
          <w:sz w:val="24"/>
          <w:szCs w:val="24"/>
        </w:rPr>
        <w:t xml:space="preserve"> Vienlaicīgi jāņem vērā, ka atbilstoši Eiropas Kontu sistēmas metodoloģijai dotais fiskālā riska ierobežošanas pasākums ļaus potenciāli mazināt obligātā iepirkuma ietekmi uz vispārējās valdības sektora parādu, savukārt attiecībā uz vispārējās valdības budžeta bilanci šādu instrumentu ietekme tiek neitralizēta, kā rezultātā pārdotās elektroenerģijas cenas svārstības joprojām radīs ietekmi uz vispārējās valdības budžeta deficītu.</w:t>
      </w:r>
    </w:p>
    <w:p w14:paraId="31FB3AB8" w14:textId="77777777" w:rsidR="00591A2F" w:rsidRPr="00D71D04" w:rsidRDefault="00591A2F" w:rsidP="00591A2F">
      <w:pPr>
        <w:spacing w:after="0" w:line="240" w:lineRule="auto"/>
        <w:ind w:firstLine="567"/>
        <w:jc w:val="both"/>
        <w:rPr>
          <w:rFonts w:ascii="Times New Roman" w:hAnsi="Times New Roman"/>
          <w:sz w:val="24"/>
          <w:szCs w:val="24"/>
        </w:rPr>
      </w:pPr>
      <w:r w:rsidRPr="00D71D04">
        <w:rPr>
          <w:rFonts w:ascii="Times New Roman" w:hAnsi="Times New Roman"/>
          <w:sz w:val="24"/>
          <w:szCs w:val="24"/>
        </w:rPr>
        <w:t>Lai veidotu pēc iespējas ticamākas prognozes par pārējo ar OI sistēmu saistīto fiskālo risku ietekmi un šos riskus vadītu, tiek monitorēti un regulāri apzināti riskus ietekmējošie faktori, uzturēta komunikācija ar iesaistītajām pusēm un uzturēti dažādi aprēķinu modeļi, tomēr riska faktoru ietekmes ierobežošana lielā mērā ir ārpus kontroles.</w:t>
      </w:r>
    </w:p>
    <w:p w14:paraId="0E08819C" w14:textId="77777777" w:rsidR="00591A2F" w:rsidRDefault="00591A2F" w:rsidP="00591A2F">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7760EC33" w14:textId="04BAD003" w:rsidR="00591A2F" w:rsidRPr="00154BD7" w:rsidRDefault="00591A2F" w:rsidP="00591A2F">
      <w:pPr>
        <w:autoSpaceDE w:val="0"/>
        <w:autoSpaceDN w:val="0"/>
        <w:adjustRightInd w:val="0"/>
        <w:spacing w:line="240" w:lineRule="auto"/>
        <w:jc w:val="right"/>
        <w:rPr>
          <w:rFonts w:ascii="Times New Roman" w:hAnsi="Times New Roman" w:cs="Times New Roman"/>
          <w:color w:val="000000"/>
          <w:sz w:val="24"/>
          <w:szCs w:val="24"/>
        </w:rPr>
      </w:pPr>
      <w:r w:rsidRPr="00154BD7">
        <w:rPr>
          <w:rFonts w:ascii="Times New Roman" w:eastAsiaTheme="minorHAnsi" w:hAnsi="Times New Roman" w:cs="Times New Roman"/>
          <w:b/>
          <w:color w:val="000000"/>
          <w:sz w:val="24"/>
          <w:szCs w:val="20"/>
        </w:rPr>
        <w:t>Tabula Nr.1</w:t>
      </w:r>
      <w:r w:rsidR="006259C6">
        <w:rPr>
          <w:rFonts w:ascii="Times New Roman" w:eastAsiaTheme="minorHAnsi" w:hAnsi="Times New Roman" w:cs="Times New Roman"/>
          <w:b/>
          <w:color w:val="000000"/>
          <w:sz w:val="24"/>
          <w:szCs w:val="20"/>
        </w:rPr>
        <w:t>0</w:t>
      </w:r>
      <w:r w:rsidRPr="00154BD7">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ar EPT (milj. </w:t>
      </w:r>
      <w:r w:rsidRPr="00154BD7">
        <w:rPr>
          <w:rFonts w:ascii="Times New Roman" w:eastAsiaTheme="minorHAnsi" w:hAnsi="Times New Roman" w:cs="Times New Roman"/>
          <w:b/>
          <w:i/>
          <w:color w:val="000000"/>
          <w:sz w:val="24"/>
          <w:szCs w:val="20"/>
        </w:rPr>
        <w:t>euro</w:t>
      </w:r>
      <w:r w:rsidRPr="00154BD7">
        <w:rPr>
          <w:rFonts w:ascii="Times New Roman" w:eastAsiaTheme="minorHAnsi" w:hAnsi="Times New Roman" w:cs="Times New Roman"/>
          <w:b/>
          <w:color w:val="000000"/>
          <w:sz w:val="24"/>
          <w:szCs w:val="20"/>
        </w:rPr>
        <w:t xml:space="preserve">) </w:t>
      </w:r>
    </w:p>
    <w:tbl>
      <w:tblPr>
        <w:tblStyle w:val="GridTable6Colorful-Accent11"/>
        <w:tblW w:w="9634" w:type="dxa"/>
        <w:jc w:val="center"/>
        <w:tblLayout w:type="fixed"/>
        <w:tblLook w:val="04A0" w:firstRow="1" w:lastRow="0" w:firstColumn="1" w:lastColumn="0" w:noHBand="0" w:noVBand="1"/>
      </w:tblPr>
      <w:tblGrid>
        <w:gridCol w:w="3397"/>
        <w:gridCol w:w="993"/>
        <w:gridCol w:w="1275"/>
        <w:gridCol w:w="1276"/>
        <w:gridCol w:w="1418"/>
        <w:gridCol w:w="1275"/>
      </w:tblGrid>
      <w:tr w:rsidR="00591A2F" w:rsidRPr="00120DF9" w14:paraId="5E441AAC" w14:textId="77777777" w:rsidTr="00591A2F">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C525903" w14:textId="77777777" w:rsidR="00591A2F" w:rsidRPr="00120DF9" w:rsidRDefault="00591A2F" w:rsidP="00591A2F">
            <w:pPr>
              <w:jc w:val="center"/>
              <w:rPr>
                <w:rFonts w:eastAsia="Times New Roman" w:cs="Times New Roman"/>
                <w:bCs w:val="0"/>
                <w:color w:val="auto"/>
                <w:sz w:val="22"/>
                <w:lang w:eastAsia="lv-LV"/>
              </w:rPr>
            </w:pPr>
          </w:p>
        </w:tc>
        <w:tc>
          <w:tcPr>
            <w:tcW w:w="993" w:type="dxa"/>
            <w:vAlign w:val="center"/>
          </w:tcPr>
          <w:p w14:paraId="5E2DA4ED" w14:textId="77777777" w:rsidR="00591A2F" w:rsidRPr="00120DF9" w:rsidRDefault="00591A2F" w:rsidP="00591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2013</w:t>
            </w:r>
          </w:p>
        </w:tc>
        <w:tc>
          <w:tcPr>
            <w:tcW w:w="1275" w:type="dxa"/>
            <w:vAlign w:val="center"/>
          </w:tcPr>
          <w:p w14:paraId="181CF3F6" w14:textId="77777777" w:rsidR="00591A2F" w:rsidRPr="00120DF9" w:rsidRDefault="00591A2F" w:rsidP="00591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2014</w:t>
            </w:r>
          </w:p>
        </w:tc>
        <w:tc>
          <w:tcPr>
            <w:tcW w:w="1276" w:type="dxa"/>
            <w:vAlign w:val="center"/>
          </w:tcPr>
          <w:p w14:paraId="29C7F25F" w14:textId="77777777" w:rsidR="00591A2F" w:rsidRPr="00120DF9" w:rsidRDefault="00591A2F" w:rsidP="00591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2015</w:t>
            </w:r>
          </w:p>
        </w:tc>
        <w:tc>
          <w:tcPr>
            <w:tcW w:w="1418" w:type="dxa"/>
            <w:vAlign w:val="center"/>
          </w:tcPr>
          <w:p w14:paraId="76A9DD5B" w14:textId="77777777" w:rsidR="00591A2F" w:rsidRPr="00120DF9" w:rsidRDefault="00591A2F" w:rsidP="00591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2016</w:t>
            </w:r>
          </w:p>
        </w:tc>
        <w:tc>
          <w:tcPr>
            <w:tcW w:w="1275" w:type="dxa"/>
          </w:tcPr>
          <w:p w14:paraId="6D9DEAC3" w14:textId="77777777" w:rsidR="00591A2F" w:rsidRPr="00120DF9" w:rsidRDefault="00591A2F" w:rsidP="00591A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120DF9">
              <w:rPr>
                <w:rFonts w:eastAsia="Times New Roman" w:cs="Times New Roman"/>
                <w:bCs w:val="0"/>
                <w:color w:val="auto"/>
                <w:sz w:val="22"/>
                <w:lang w:eastAsia="lv-LV"/>
              </w:rPr>
              <w:t>2017</w:t>
            </w:r>
          </w:p>
        </w:tc>
      </w:tr>
      <w:tr w:rsidR="00591A2F" w:rsidRPr="00120DF9" w14:paraId="4A240A6B" w14:textId="77777777" w:rsidTr="00591A2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5C01E9C" w14:textId="77777777" w:rsidR="00591A2F" w:rsidRPr="00120DF9" w:rsidRDefault="00591A2F" w:rsidP="00591A2F">
            <w:pPr>
              <w:jc w:val="right"/>
              <w:rPr>
                <w:rFonts w:eastAsia="Times New Roman" w:cs="Times New Roman"/>
                <w:b w:val="0"/>
                <w:bCs w:val="0"/>
                <w:color w:val="auto"/>
                <w:sz w:val="22"/>
                <w:lang w:eastAsia="lv-LV"/>
              </w:rPr>
            </w:pPr>
          </w:p>
        </w:tc>
        <w:tc>
          <w:tcPr>
            <w:tcW w:w="993" w:type="dxa"/>
            <w:vAlign w:val="bottom"/>
          </w:tcPr>
          <w:p w14:paraId="6663369D"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p>
        </w:tc>
        <w:tc>
          <w:tcPr>
            <w:tcW w:w="1275" w:type="dxa"/>
            <w:vAlign w:val="bottom"/>
          </w:tcPr>
          <w:p w14:paraId="07330D44"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p>
        </w:tc>
        <w:tc>
          <w:tcPr>
            <w:tcW w:w="1276" w:type="dxa"/>
            <w:vAlign w:val="bottom"/>
          </w:tcPr>
          <w:p w14:paraId="4C909037"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p>
        </w:tc>
        <w:tc>
          <w:tcPr>
            <w:tcW w:w="1418" w:type="dxa"/>
            <w:vAlign w:val="bottom"/>
          </w:tcPr>
          <w:p w14:paraId="60F975C1"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p>
        </w:tc>
        <w:tc>
          <w:tcPr>
            <w:tcW w:w="1275" w:type="dxa"/>
            <w:vAlign w:val="bottom"/>
          </w:tcPr>
          <w:p w14:paraId="5D275CE8"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p>
        </w:tc>
      </w:tr>
      <w:tr w:rsidR="00591A2F" w:rsidRPr="00120DF9" w14:paraId="40C90662" w14:textId="77777777" w:rsidTr="00591A2F">
        <w:trPr>
          <w:trHeight w:val="315"/>
          <w:jc w:val="center"/>
        </w:trPr>
        <w:tc>
          <w:tcPr>
            <w:cnfStyle w:val="001000000000" w:firstRow="0" w:lastRow="0" w:firstColumn="1" w:lastColumn="0" w:oddVBand="0" w:evenVBand="0" w:oddHBand="0" w:evenHBand="0" w:firstRowFirstColumn="0" w:firstRowLastColumn="0" w:lastRowFirstColumn="0" w:lastRowLastColumn="0"/>
            <w:tcW w:w="3397" w:type="dxa"/>
          </w:tcPr>
          <w:p w14:paraId="63B0986A" w14:textId="77777777" w:rsidR="00591A2F" w:rsidRPr="00120DF9" w:rsidRDefault="00591A2F" w:rsidP="00591A2F">
            <w:pPr>
              <w:jc w:val="right"/>
              <w:rPr>
                <w:rFonts w:eastAsia="Times New Roman" w:cs="Times New Roman"/>
                <w:b w:val="0"/>
                <w:bCs w:val="0"/>
                <w:sz w:val="22"/>
                <w:lang w:eastAsia="lv-LV"/>
              </w:rPr>
            </w:pPr>
            <w:r w:rsidRPr="00120DF9">
              <w:rPr>
                <w:rFonts w:eastAsia="Times New Roman" w:cs="Times New Roman"/>
                <w:b w:val="0"/>
                <w:bCs w:val="0"/>
                <w:color w:val="auto"/>
                <w:sz w:val="22"/>
                <w:lang w:eastAsia="lv-LV"/>
              </w:rPr>
              <w:t>Vispārējās valdības sektora klasificēto komercsabiedrību bilance (izpilde)</w:t>
            </w:r>
          </w:p>
        </w:tc>
        <w:tc>
          <w:tcPr>
            <w:tcW w:w="993" w:type="dxa"/>
            <w:vAlign w:val="center"/>
          </w:tcPr>
          <w:p w14:paraId="08D409C8" w14:textId="77777777" w:rsidR="00591A2F" w:rsidRPr="00120DF9" w:rsidRDefault="00591A2F" w:rsidP="00591A2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-80,3</w:t>
            </w:r>
          </w:p>
        </w:tc>
        <w:tc>
          <w:tcPr>
            <w:tcW w:w="1275" w:type="dxa"/>
            <w:vAlign w:val="center"/>
          </w:tcPr>
          <w:p w14:paraId="4987E704" w14:textId="77777777" w:rsidR="00591A2F" w:rsidRPr="00120DF9" w:rsidRDefault="00591A2F" w:rsidP="00591A2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-80,5</w:t>
            </w:r>
          </w:p>
        </w:tc>
        <w:tc>
          <w:tcPr>
            <w:tcW w:w="1276" w:type="dxa"/>
            <w:vAlign w:val="center"/>
          </w:tcPr>
          <w:p w14:paraId="7DB6687B" w14:textId="77777777" w:rsidR="00591A2F" w:rsidRPr="00120DF9" w:rsidRDefault="00591A2F" w:rsidP="00591A2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-39,2</w:t>
            </w:r>
          </w:p>
        </w:tc>
        <w:tc>
          <w:tcPr>
            <w:tcW w:w="1418" w:type="dxa"/>
            <w:vAlign w:val="center"/>
          </w:tcPr>
          <w:p w14:paraId="59D32354" w14:textId="77777777" w:rsidR="00591A2F" w:rsidRPr="00120DF9" w:rsidRDefault="00591A2F" w:rsidP="00591A2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-4,2</w:t>
            </w:r>
          </w:p>
        </w:tc>
        <w:tc>
          <w:tcPr>
            <w:tcW w:w="1275" w:type="dxa"/>
            <w:vAlign w:val="center"/>
          </w:tcPr>
          <w:p w14:paraId="13FF360B" w14:textId="77777777" w:rsidR="00591A2F" w:rsidRPr="00120DF9" w:rsidRDefault="00591A2F" w:rsidP="00591A2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-131,8</w:t>
            </w:r>
          </w:p>
        </w:tc>
      </w:tr>
      <w:tr w:rsidR="00591A2F" w:rsidRPr="00120DF9" w14:paraId="257A3D08" w14:textId="77777777" w:rsidTr="00591A2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B06B4E4" w14:textId="77777777" w:rsidR="00591A2F" w:rsidRPr="00120DF9" w:rsidRDefault="00591A2F" w:rsidP="00591A2F">
            <w:pPr>
              <w:jc w:val="right"/>
              <w:rPr>
                <w:rFonts w:eastAsia="Times New Roman" w:cs="Times New Roman"/>
                <w:sz w:val="22"/>
                <w:lang w:eastAsia="lv-LV"/>
              </w:rPr>
            </w:pPr>
            <w:r w:rsidRPr="00120DF9">
              <w:rPr>
                <w:rFonts w:eastAsia="Times New Roman" w:cs="Times New Roman"/>
                <w:b w:val="0"/>
                <w:bCs w:val="0"/>
                <w:color w:val="auto"/>
                <w:sz w:val="22"/>
                <w:lang w:eastAsia="lv-LV"/>
              </w:rPr>
              <w:t>t.sk. EPT bilance</w:t>
            </w:r>
          </w:p>
        </w:tc>
        <w:tc>
          <w:tcPr>
            <w:tcW w:w="993" w:type="dxa"/>
            <w:vAlign w:val="bottom"/>
          </w:tcPr>
          <w:p w14:paraId="4B56801F" w14:textId="77777777"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p>
        </w:tc>
        <w:tc>
          <w:tcPr>
            <w:tcW w:w="1275" w:type="dxa"/>
            <w:vAlign w:val="bottom"/>
          </w:tcPr>
          <w:p w14:paraId="507DF150" w14:textId="5C8B8D74"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Pr>
                <w:color w:val="000000"/>
              </w:rPr>
              <w:t>-63,3</w:t>
            </w:r>
          </w:p>
        </w:tc>
        <w:tc>
          <w:tcPr>
            <w:tcW w:w="1276" w:type="dxa"/>
            <w:vAlign w:val="bottom"/>
          </w:tcPr>
          <w:p w14:paraId="0A9F71EB" w14:textId="5A465D0E"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Pr>
                <w:color w:val="000000"/>
              </w:rPr>
              <w:t>-32,8</w:t>
            </w:r>
          </w:p>
        </w:tc>
        <w:tc>
          <w:tcPr>
            <w:tcW w:w="1418" w:type="dxa"/>
            <w:vAlign w:val="bottom"/>
          </w:tcPr>
          <w:p w14:paraId="21E1EE68" w14:textId="6032B098"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Pr>
                <w:color w:val="000000"/>
              </w:rPr>
              <w:t>-1,1</w:t>
            </w:r>
          </w:p>
        </w:tc>
        <w:tc>
          <w:tcPr>
            <w:tcW w:w="1275" w:type="dxa"/>
            <w:vAlign w:val="bottom"/>
          </w:tcPr>
          <w:p w14:paraId="7383E1CC" w14:textId="05F5EEDD" w:rsidR="00591A2F" w:rsidRPr="00120DF9" w:rsidRDefault="00591A2F" w:rsidP="00591A2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Pr>
                <w:color w:val="000000"/>
              </w:rPr>
              <w:t>-22,2</w:t>
            </w:r>
          </w:p>
        </w:tc>
      </w:tr>
    </w:tbl>
    <w:p w14:paraId="749D84D0" w14:textId="77777777" w:rsidR="00591A2F" w:rsidRDefault="00591A2F" w:rsidP="0030420E">
      <w:pPr>
        <w:spacing w:after="0" w:line="240" w:lineRule="auto"/>
        <w:ind w:firstLine="720"/>
        <w:jc w:val="both"/>
        <w:rPr>
          <w:rFonts w:ascii="Times New Roman" w:hAnsi="Times New Roman" w:cs="Times New Roman"/>
          <w:sz w:val="24"/>
          <w:szCs w:val="24"/>
        </w:rPr>
      </w:pPr>
    </w:p>
    <w:p w14:paraId="274C2010" w14:textId="12098734" w:rsidR="00A9144F" w:rsidRDefault="0093112F" w:rsidP="0093112F">
      <w:pPr>
        <w:spacing w:after="0" w:line="240" w:lineRule="auto"/>
        <w:ind w:firstLine="720"/>
        <w:jc w:val="both"/>
        <w:rPr>
          <w:rFonts w:ascii="Times New Roman" w:eastAsiaTheme="minorHAnsi" w:hAnsi="Times New Roman"/>
          <w:sz w:val="24"/>
        </w:rPr>
      </w:pPr>
      <w:r w:rsidRPr="0093112F">
        <w:rPr>
          <w:rFonts w:ascii="Times New Roman" w:eastAsiaTheme="minorHAnsi" w:hAnsi="Times New Roman"/>
          <w:sz w:val="24"/>
        </w:rPr>
        <w:t xml:space="preserve">Atbilstoši vidējam EPT bilances aprēķinam, katru gadu būtu nepieciešams veidot 30 milj. </w:t>
      </w:r>
      <w:r w:rsidRPr="0093112F">
        <w:rPr>
          <w:rFonts w:ascii="Times New Roman" w:eastAsiaTheme="minorHAnsi" w:hAnsi="Times New Roman"/>
          <w:i/>
          <w:sz w:val="24"/>
        </w:rPr>
        <w:t>euro</w:t>
      </w:r>
      <w:r w:rsidRPr="0093112F">
        <w:rPr>
          <w:rFonts w:ascii="Times New Roman" w:eastAsiaTheme="minorHAnsi" w:hAnsi="Times New Roman"/>
          <w:sz w:val="24"/>
        </w:rPr>
        <w:t xml:space="preserve"> lielu rezervi. Pašlaik šis risks tiek iekļauts fiskālo nodrošinājuma rezervē kā nekvantificējams riks, jo nav pabeigta analīze par iemesliem, kāpēc EPT bilance pēdējos četrus gadus ir bijusi negatīva. Svarīgi, ka tikai no 2018.gada EPT ir iekļauts vispārējās valdības sektorā un tikai no šī brīža publisko finanšu aspektā nozīmi iegūst EPT prognozētās un faktiskās bilances atšķirības. Teorētiski fiskālajam riskam būtu jābūt simetriskam, jo cenu un elektroenerģijas lietotāju skaita prognozēm būtu jāģenerē simetrisks fiskālais risks.</w:t>
      </w:r>
    </w:p>
    <w:p w14:paraId="12949BF4" w14:textId="77777777" w:rsidR="00A9144F" w:rsidRDefault="00A9144F">
      <w:pPr>
        <w:rPr>
          <w:rFonts w:ascii="Times New Roman" w:eastAsiaTheme="minorHAnsi" w:hAnsi="Times New Roman"/>
          <w:sz w:val="24"/>
        </w:rPr>
      </w:pPr>
      <w:r>
        <w:rPr>
          <w:rFonts w:ascii="Times New Roman" w:eastAsiaTheme="minorHAnsi" w:hAnsi="Times New Roman"/>
          <w:sz w:val="24"/>
        </w:rPr>
        <w:br w:type="page"/>
      </w:r>
    </w:p>
    <w:p w14:paraId="2E76DDC8" w14:textId="77777777" w:rsidR="008F58C9" w:rsidRDefault="008F58C9" w:rsidP="0030420E">
      <w:pPr>
        <w:pStyle w:val="Heading1"/>
        <w:numPr>
          <w:ilvl w:val="0"/>
          <w:numId w:val="4"/>
        </w:numPr>
        <w:jc w:val="right"/>
        <w:rPr>
          <w:rFonts w:ascii="Times New Roman" w:hAnsi="Times New Roman" w:cs="Times New Roman"/>
          <w:sz w:val="32"/>
        </w:rPr>
      </w:pPr>
      <w:bookmarkStart w:id="29" w:name="_Toc536626722"/>
      <w:r w:rsidRPr="008F58C9">
        <w:rPr>
          <w:rFonts w:ascii="Times New Roman" w:hAnsi="Times New Roman" w:cs="Times New Roman"/>
          <w:sz w:val="32"/>
        </w:rPr>
        <w:t>Nekvantificējamie fiskālie riski</w:t>
      </w:r>
      <w:bookmarkEnd w:id="29"/>
    </w:p>
    <w:p w14:paraId="2126FE93" w14:textId="5D9A96A6" w:rsidR="00D34CF9" w:rsidRPr="0030420E" w:rsidRDefault="006D6B80" w:rsidP="0030420E">
      <w:pPr>
        <w:pStyle w:val="Heading2"/>
        <w:numPr>
          <w:ilvl w:val="1"/>
          <w:numId w:val="4"/>
        </w:numPr>
        <w:tabs>
          <w:tab w:val="left" w:pos="3261"/>
        </w:tabs>
        <w:spacing w:before="120" w:after="120" w:line="240" w:lineRule="auto"/>
        <w:ind w:left="426"/>
        <w:jc w:val="center"/>
        <w:rPr>
          <w:rFonts w:ascii="Times New Roman" w:hAnsi="Times New Roman"/>
          <w:bCs w:val="0"/>
          <w:sz w:val="24"/>
          <w:szCs w:val="24"/>
        </w:rPr>
      </w:pPr>
      <w:bookmarkStart w:id="30" w:name="_Toc487013245"/>
      <w:bookmarkStart w:id="31" w:name="_Toc405371085"/>
      <w:bookmarkStart w:id="32" w:name="_Toc490732581"/>
      <w:bookmarkStart w:id="33" w:name="_Toc536626723"/>
      <w:r w:rsidRPr="0030420E">
        <w:rPr>
          <w:rFonts w:ascii="Times New Roman" w:hAnsi="Times New Roman" w:cs="Times New Roman"/>
          <w:sz w:val="24"/>
          <w:szCs w:val="24"/>
        </w:rPr>
        <w:t>P</w:t>
      </w:r>
      <w:r w:rsidR="00D34CF9" w:rsidRPr="0030420E">
        <w:rPr>
          <w:rFonts w:ascii="Times New Roman" w:hAnsi="Times New Roman" w:cs="Times New Roman"/>
          <w:sz w:val="24"/>
          <w:szCs w:val="24"/>
        </w:rPr>
        <w:t>ubliskās</w:t>
      </w:r>
      <w:r w:rsidR="00D34CF9" w:rsidRPr="0030420E">
        <w:rPr>
          <w:rFonts w:ascii="Times New Roman" w:hAnsi="Times New Roman" w:cs="Times New Roman"/>
          <w:bCs w:val="0"/>
          <w:sz w:val="24"/>
          <w:szCs w:val="24"/>
        </w:rPr>
        <w:t xml:space="preserve"> un privātās partnerības (t.sk. koncesijas</w:t>
      </w:r>
      <w:bookmarkEnd w:id="30"/>
      <w:r w:rsidR="00D34CF9" w:rsidRPr="0030420E">
        <w:rPr>
          <w:rFonts w:ascii="Times New Roman" w:hAnsi="Times New Roman" w:cs="Times New Roman"/>
          <w:bCs w:val="0"/>
          <w:sz w:val="24"/>
          <w:szCs w:val="24"/>
        </w:rPr>
        <w:t>) projekti</w:t>
      </w:r>
      <w:bookmarkEnd w:id="31"/>
      <w:bookmarkEnd w:id="32"/>
      <w:bookmarkEnd w:id="33"/>
    </w:p>
    <w:p w14:paraId="0603A32F" w14:textId="77777777" w:rsidR="00660767" w:rsidRPr="00822D84" w:rsidRDefault="00D34CF9" w:rsidP="00660767">
      <w:pPr>
        <w:spacing w:after="0" w:line="240" w:lineRule="auto"/>
        <w:jc w:val="both"/>
        <w:rPr>
          <w:rFonts w:ascii="Times New Roman" w:eastAsiaTheme="minorHAnsi" w:hAnsi="Times New Roman" w:cs="Times New Roman"/>
          <w:sz w:val="24"/>
          <w:szCs w:val="20"/>
        </w:rPr>
      </w:pPr>
      <w:r w:rsidRPr="00822D84">
        <w:rPr>
          <w:rFonts w:ascii="Times New Roman" w:eastAsiaTheme="minorHAnsi" w:hAnsi="Times New Roman"/>
          <w:sz w:val="24"/>
        </w:rPr>
        <w:tab/>
      </w:r>
      <w:r w:rsidR="00660767">
        <w:rPr>
          <w:rFonts w:ascii="Times New Roman" w:eastAsiaTheme="minorHAnsi" w:hAnsi="Times New Roman"/>
          <w:sz w:val="24"/>
        </w:rPr>
        <w:t>Publiskā un privātā partnerība (turpmāk – PPP)</w:t>
      </w:r>
      <w:r w:rsidR="00660767" w:rsidRPr="00822D84">
        <w:rPr>
          <w:rFonts w:ascii="Times New Roman" w:eastAsiaTheme="minorHAnsi" w:hAnsi="Times New Roman"/>
          <w:sz w:val="24"/>
        </w:rPr>
        <w:t xml:space="preserve"> ir sadarbības forma starp publisko un privāto sektoru</w:t>
      </w:r>
      <w:r w:rsidR="00660767">
        <w:rPr>
          <w:rFonts w:ascii="Times New Roman" w:eastAsiaTheme="minorHAnsi" w:hAnsi="Times New Roman"/>
          <w:sz w:val="24"/>
        </w:rPr>
        <w:t xml:space="preserve">, ar mērķi </w:t>
      </w:r>
      <w:r w:rsidR="00660767" w:rsidRPr="00822D84">
        <w:rPr>
          <w:rFonts w:ascii="Times New Roman" w:eastAsiaTheme="minorHAnsi" w:hAnsi="Times New Roman"/>
          <w:sz w:val="24"/>
        </w:rPr>
        <w:t xml:space="preserve">īstenot nozīmīgus un izmaksu ziņā apjomīgus ekonomiskās un sociālās infrastruktūras projektus. Publiskā partnera ieinteresētību šādas sadarbības formas īstenošanā pamatā </w:t>
      </w:r>
      <w:r w:rsidR="00660767">
        <w:rPr>
          <w:rFonts w:ascii="Times New Roman" w:eastAsiaTheme="minorHAnsi" w:hAnsi="Times New Roman"/>
          <w:sz w:val="24"/>
        </w:rPr>
        <w:t>balstās uz to, ka</w:t>
      </w:r>
      <w:r w:rsidR="00660767" w:rsidRPr="00822D84">
        <w:rPr>
          <w:rFonts w:ascii="Times New Roman" w:eastAsiaTheme="minorHAnsi" w:hAnsi="Times New Roman"/>
          <w:sz w:val="24"/>
        </w:rPr>
        <w:t xml:space="preserve"> </w:t>
      </w:r>
      <w:r w:rsidR="00660767">
        <w:rPr>
          <w:rFonts w:ascii="Times New Roman" w:eastAsiaTheme="minorHAnsi" w:hAnsi="Times New Roman"/>
          <w:sz w:val="24"/>
        </w:rPr>
        <w:t>privātais partneris varētu sniegt pakalpojumus iedzīvotājiem efektīvāk kā to darītu publiskais partneris, kā arī tas, ka publiskā partnera</w:t>
      </w:r>
      <w:r w:rsidR="00660767" w:rsidRPr="00822D84">
        <w:rPr>
          <w:rFonts w:ascii="Times New Roman" w:eastAsiaTheme="minorHAnsi" w:hAnsi="Times New Roman"/>
          <w:sz w:val="24"/>
        </w:rPr>
        <w:t xml:space="preserve"> budžeta izdevumu apmērs tiek sadalīts visā projekta īstenošanas laikā</w:t>
      </w:r>
      <w:r w:rsidR="00660767">
        <w:rPr>
          <w:rFonts w:ascii="Times New Roman" w:eastAsiaTheme="minorHAnsi" w:hAnsi="Times New Roman"/>
          <w:sz w:val="24"/>
        </w:rPr>
        <w:t xml:space="preserve"> (ne tikai kapitālieguldījumu veikšanas laikā)</w:t>
      </w:r>
      <w:r w:rsidR="00660767" w:rsidRPr="00822D84">
        <w:rPr>
          <w:rFonts w:ascii="Times New Roman" w:eastAsiaTheme="minorHAnsi" w:hAnsi="Times New Roman"/>
          <w:sz w:val="24"/>
        </w:rPr>
        <w:t xml:space="preserve">, ļaujot izvairīties no būtiskas ietekmes uz budžetu atsevišķos gados. </w:t>
      </w:r>
      <w:r w:rsidR="00660767">
        <w:rPr>
          <w:rFonts w:ascii="Times New Roman" w:eastAsiaTheme="minorHAnsi" w:hAnsi="Times New Roman"/>
          <w:sz w:val="24"/>
        </w:rPr>
        <w:t xml:space="preserve">Lielāko daļu </w:t>
      </w:r>
      <w:r w:rsidR="00660767">
        <w:rPr>
          <w:rFonts w:ascii="Times New Roman" w:eastAsiaTheme="minorHAnsi" w:hAnsi="Times New Roman" w:cs="Times New Roman"/>
          <w:sz w:val="24"/>
          <w:szCs w:val="20"/>
        </w:rPr>
        <w:t>r</w:t>
      </w:r>
      <w:r w:rsidR="00660767" w:rsidRPr="00822D84">
        <w:rPr>
          <w:rFonts w:ascii="Times New Roman" w:eastAsiaTheme="minorHAnsi" w:hAnsi="Times New Roman" w:cs="Times New Roman"/>
          <w:sz w:val="24"/>
          <w:szCs w:val="20"/>
        </w:rPr>
        <w:t>isk</w:t>
      </w:r>
      <w:r w:rsidR="00660767">
        <w:rPr>
          <w:rFonts w:ascii="Times New Roman" w:eastAsiaTheme="minorHAnsi" w:hAnsi="Times New Roman" w:cs="Times New Roman"/>
          <w:sz w:val="24"/>
          <w:szCs w:val="20"/>
        </w:rPr>
        <w:t>u un ieguvumu</w:t>
      </w:r>
      <w:r w:rsidR="00660767" w:rsidRPr="00822D84">
        <w:rPr>
          <w:rFonts w:ascii="Times New Roman" w:eastAsiaTheme="minorHAnsi" w:hAnsi="Times New Roman" w:cs="Times New Roman"/>
          <w:sz w:val="24"/>
          <w:szCs w:val="20"/>
        </w:rPr>
        <w:t xml:space="preserve"> </w:t>
      </w:r>
      <w:r w:rsidR="00660767">
        <w:rPr>
          <w:rFonts w:ascii="Times New Roman" w:eastAsiaTheme="minorHAnsi" w:hAnsi="Times New Roman" w:cs="Times New Roman"/>
          <w:sz w:val="24"/>
          <w:szCs w:val="20"/>
        </w:rPr>
        <w:t>partnerības iepirkuma</w:t>
      </w:r>
      <w:r w:rsidR="00660767" w:rsidRPr="00822D84">
        <w:rPr>
          <w:rFonts w:ascii="Times New Roman" w:eastAsiaTheme="minorHAnsi" w:hAnsi="Times New Roman" w:cs="Times New Roman"/>
          <w:sz w:val="24"/>
          <w:szCs w:val="20"/>
        </w:rPr>
        <w:t xml:space="preserve"> projektā </w:t>
      </w:r>
      <w:r w:rsidR="00660767">
        <w:rPr>
          <w:rFonts w:ascii="Times New Roman" w:eastAsiaTheme="minorHAnsi" w:hAnsi="Times New Roman" w:cs="Times New Roman"/>
          <w:sz w:val="24"/>
          <w:szCs w:val="20"/>
        </w:rPr>
        <w:t>jāuzņemas</w:t>
      </w:r>
      <w:r w:rsidR="00660767" w:rsidRPr="00822D84">
        <w:rPr>
          <w:rFonts w:ascii="Times New Roman" w:eastAsiaTheme="minorHAnsi" w:hAnsi="Times New Roman" w:cs="Times New Roman"/>
          <w:sz w:val="24"/>
          <w:szCs w:val="20"/>
        </w:rPr>
        <w:t xml:space="preserve"> privāt</w:t>
      </w:r>
      <w:r w:rsidR="00660767">
        <w:rPr>
          <w:rFonts w:ascii="Times New Roman" w:eastAsiaTheme="minorHAnsi" w:hAnsi="Times New Roman" w:cs="Times New Roman"/>
          <w:sz w:val="24"/>
          <w:szCs w:val="20"/>
        </w:rPr>
        <w:t>ajam</w:t>
      </w:r>
      <w:r w:rsidR="00660767" w:rsidRPr="00822D84">
        <w:rPr>
          <w:rFonts w:ascii="Times New Roman" w:eastAsiaTheme="minorHAnsi" w:hAnsi="Times New Roman" w:cs="Times New Roman"/>
          <w:sz w:val="24"/>
          <w:szCs w:val="20"/>
        </w:rPr>
        <w:t xml:space="preserve"> partneri</w:t>
      </w:r>
      <w:r w:rsidR="00660767">
        <w:rPr>
          <w:rFonts w:ascii="Times New Roman" w:eastAsiaTheme="minorHAnsi" w:hAnsi="Times New Roman" w:cs="Times New Roman"/>
          <w:sz w:val="24"/>
          <w:szCs w:val="20"/>
        </w:rPr>
        <w:t>m</w:t>
      </w:r>
      <w:r w:rsidR="00660767" w:rsidRPr="00822D84">
        <w:rPr>
          <w:rFonts w:ascii="Times New Roman" w:eastAsiaTheme="minorHAnsi" w:hAnsi="Times New Roman" w:cs="Times New Roman"/>
          <w:sz w:val="24"/>
          <w:szCs w:val="20"/>
        </w:rPr>
        <w:t>.</w:t>
      </w:r>
      <w:r w:rsidR="00660767">
        <w:rPr>
          <w:rFonts w:ascii="Times New Roman" w:eastAsiaTheme="minorHAnsi" w:hAnsi="Times New Roman" w:cs="Times New Roman"/>
          <w:sz w:val="24"/>
          <w:szCs w:val="20"/>
        </w:rPr>
        <w:t xml:space="preserve"> Šādi paši principi ir attiecināmi arī uz koncesijas projektiem, bet atšķirībā no partnerības iepirkumu projektiem, kur lielāko daļu no privātā partnera ieņēmumiem veido </w:t>
      </w:r>
      <w:r w:rsidR="00660767">
        <w:rPr>
          <w:rFonts w:ascii="Times New Roman" w:eastAsiaTheme="minorHAnsi" w:hAnsi="Times New Roman" w:cs="Times New Roman"/>
          <w:sz w:val="24"/>
          <w:szCs w:val="20"/>
        </w:rPr>
        <w:lastRenderedPageBreak/>
        <w:t>vispārējās valdības sektora maksājumi par pakalpojumiem, koncesijas gadījumā lielākā daļa ieņēmumu tiek gūta no galalietotājiem (t.i. mājsaimniecībām, uzņēmumiem u.c.).</w:t>
      </w:r>
    </w:p>
    <w:p w14:paraId="5497FADE" w14:textId="77777777" w:rsidR="00660767" w:rsidRPr="00822D84" w:rsidRDefault="00660767" w:rsidP="00660767">
      <w:pPr>
        <w:spacing w:after="0" w:line="240" w:lineRule="auto"/>
        <w:ind w:firstLine="720"/>
        <w:jc w:val="both"/>
        <w:rPr>
          <w:rFonts w:ascii="Times New Roman" w:eastAsiaTheme="minorHAnsi" w:hAnsi="Times New Roman" w:cs="Times New Roman"/>
          <w:sz w:val="24"/>
          <w:szCs w:val="20"/>
        </w:rPr>
      </w:pPr>
      <w:r w:rsidRPr="00822D84">
        <w:rPr>
          <w:rFonts w:ascii="Times New Roman" w:eastAsiaTheme="minorHAnsi" w:hAnsi="Times New Roman" w:cs="Times New Roman"/>
          <w:sz w:val="24"/>
          <w:szCs w:val="20"/>
        </w:rPr>
        <w:t>Eiropas Kontu sistēmas (turpmāk – EKS) metodoloģijā, atbilstoši kurai tiek koriģēti arī Latvijas valsts konsolidētā kopbudžeta radītāji, no statistiskās klasifikācijas aspekta katra PPP</w:t>
      </w:r>
      <w:r>
        <w:rPr>
          <w:rFonts w:ascii="Times New Roman" w:eastAsiaTheme="minorHAnsi" w:hAnsi="Times New Roman" w:cs="Times New Roman"/>
          <w:sz w:val="24"/>
          <w:szCs w:val="20"/>
        </w:rPr>
        <w:t xml:space="preserve"> (t.sk. koncesijas) </w:t>
      </w:r>
      <w:r w:rsidRPr="00822D84">
        <w:rPr>
          <w:rFonts w:ascii="Times New Roman" w:eastAsiaTheme="minorHAnsi" w:hAnsi="Times New Roman" w:cs="Times New Roman"/>
          <w:sz w:val="24"/>
          <w:szCs w:val="20"/>
        </w:rPr>
        <w:t xml:space="preserve"> projekta gadījumā ir ļoti svarīgi noskaidrot, kura partnera – publiskā vai privātā </w:t>
      </w:r>
      <w:r>
        <w:rPr>
          <w:rFonts w:ascii="Times New Roman" w:eastAsiaTheme="minorHAnsi" w:hAnsi="Times New Roman" w:cs="Times New Roman"/>
          <w:sz w:val="24"/>
          <w:szCs w:val="20"/>
        </w:rPr>
        <w:t xml:space="preserve">– aktīvu </w:t>
      </w:r>
      <w:r w:rsidRPr="00822D84">
        <w:rPr>
          <w:rFonts w:ascii="Times New Roman" w:eastAsiaTheme="minorHAnsi" w:hAnsi="Times New Roman" w:cs="Times New Roman"/>
          <w:sz w:val="24"/>
          <w:szCs w:val="20"/>
        </w:rPr>
        <w:t>bilancē tiks uzskaitīt</w:t>
      </w:r>
      <w:r>
        <w:rPr>
          <w:rFonts w:ascii="Times New Roman" w:eastAsiaTheme="minorHAnsi" w:hAnsi="Times New Roman" w:cs="Times New Roman"/>
          <w:sz w:val="24"/>
          <w:szCs w:val="20"/>
        </w:rPr>
        <w:t>s</w:t>
      </w:r>
      <w:r w:rsidRPr="00822D84">
        <w:rPr>
          <w:rFonts w:ascii="Times New Roman" w:eastAsiaTheme="minorHAnsi" w:hAnsi="Times New Roman" w:cs="Times New Roman"/>
          <w:sz w:val="24"/>
          <w:szCs w:val="20"/>
        </w:rPr>
        <w:t xml:space="preserve"> konkrēt</w:t>
      </w:r>
      <w:r>
        <w:rPr>
          <w:rFonts w:ascii="Times New Roman" w:eastAsiaTheme="minorHAnsi" w:hAnsi="Times New Roman" w:cs="Times New Roman"/>
          <w:sz w:val="24"/>
          <w:szCs w:val="20"/>
        </w:rPr>
        <w:t>ais projekts</w:t>
      </w:r>
      <w:r w:rsidRPr="00822D84">
        <w:rPr>
          <w:rFonts w:ascii="Times New Roman" w:eastAsiaTheme="minorHAnsi" w:hAnsi="Times New Roman" w:cs="Times New Roman"/>
          <w:sz w:val="24"/>
          <w:szCs w:val="20"/>
        </w:rPr>
        <w:t xml:space="preserve">. Ja atbilstoši </w:t>
      </w:r>
      <w:r>
        <w:rPr>
          <w:rFonts w:ascii="Times New Roman" w:eastAsiaTheme="minorHAnsi" w:hAnsi="Times New Roman" w:cs="Times New Roman"/>
          <w:sz w:val="24"/>
          <w:szCs w:val="20"/>
        </w:rPr>
        <w:t>risku un ieguvumu sadales</w:t>
      </w:r>
      <w:r w:rsidRPr="00822D84">
        <w:rPr>
          <w:rFonts w:ascii="Times New Roman" w:eastAsiaTheme="minorHAnsi" w:hAnsi="Times New Roman" w:cs="Times New Roman"/>
          <w:sz w:val="24"/>
          <w:szCs w:val="20"/>
        </w:rPr>
        <w:t xml:space="preserve"> analīzei tiek novērtēts, ka </w:t>
      </w:r>
      <w:r>
        <w:rPr>
          <w:rFonts w:ascii="Times New Roman" w:eastAsiaTheme="minorHAnsi" w:hAnsi="Times New Roman" w:cs="Times New Roman"/>
          <w:sz w:val="24"/>
          <w:szCs w:val="20"/>
        </w:rPr>
        <w:t xml:space="preserve">projekta </w:t>
      </w:r>
      <w:r w:rsidRPr="00822D84">
        <w:rPr>
          <w:rFonts w:ascii="Times New Roman" w:eastAsiaTheme="minorHAnsi" w:hAnsi="Times New Roman" w:cs="Times New Roman"/>
          <w:sz w:val="24"/>
          <w:szCs w:val="20"/>
        </w:rPr>
        <w:t>aktīvi ir jāuzskaita privātā partnera</w:t>
      </w:r>
      <w:r>
        <w:rPr>
          <w:rFonts w:ascii="Times New Roman" w:eastAsiaTheme="minorHAnsi" w:hAnsi="Times New Roman" w:cs="Times New Roman"/>
          <w:sz w:val="24"/>
          <w:szCs w:val="20"/>
        </w:rPr>
        <w:t xml:space="preserve"> aktīvu</w:t>
      </w:r>
      <w:r w:rsidRPr="00822D84">
        <w:rPr>
          <w:rFonts w:ascii="Times New Roman" w:eastAsiaTheme="minorHAnsi" w:hAnsi="Times New Roman" w:cs="Times New Roman"/>
          <w:sz w:val="24"/>
          <w:szCs w:val="20"/>
        </w:rPr>
        <w:t xml:space="preserve"> bilancē, tad saglabājās </w:t>
      </w:r>
      <w:r>
        <w:rPr>
          <w:rFonts w:ascii="Times New Roman" w:eastAsiaTheme="minorHAnsi" w:hAnsi="Times New Roman" w:cs="Times New Roman"/>
          <w:sz w:val="24"/>
          <w:szCs w:val="20"/>
        </w:rPr>
        <w:t>partnerības modeļa</w:t>
      </w:r>
      <w:r w:rsidRPr="00822D84">
        <w:rPr>
          <w:rFonts w:ascii="Times New Roman" w:eastAsiaTheme="minorHAnsi" w:hAnsi="Times New Roman" w:cs="Times New Roman"/>
          <w:sz w:val="24"/>
          <w:szCs w:val="20"/>
        </w:rPr>
        <w:t xml:space="preserve"> pamatprincips, kas ļauj sadalīt </w:t>
      </w:r>
      <w:r>
        <w:rPr>
          <w:rFonts w:ascii="Times New Roman" w:eastAsiaTheme="minorHAnsi" w:hAnsi="Times New Roman" w:cs="Times New Roman"/>
          <w:sz w:val="24"/>
          <w:szCs w:val="20"/>
        </w:rPr>
        <w:t>vispārējās valdības budžeta</w:t>
      </w:r>
      <w:r w:rsidRPr="00822D84">
        <w:rPr>
          <w:rFonts w:ascii="Times New Roman" w:eastAsiaTheme="minorHAnsi" w:hAnsi="Times New Roman" w:cs="Times New Roman"/>
          <w:sz w:val="24"/>
          <w:szCs w:val="20"/>
        </w:rPr>
        <w:t xml:space="preserve"> izdevumus pakāpeniski projekta īstenošanas laika periodā</w:t>
      </w:r>
      <w:r>
        <w:rPr>
          <w:rFonts w:ascii="Times New Roman" w:eastAsiaTheme="minorHAnsi" w:hAnsi="Times New Roman" w:cs="Times New Roman"/>
          <w:sz w:val="24"/>
          <w:szCs w:val="20"/>
        </w:rPr>
        <w:t xml:space="preserve"> – attiecīgi ikgadējo maksājumu apmērā, ko publiskais partneris maksā privātajam partnerim par sniegtajiem pakalpojumiem (koncesijas gadījumā var tikt paredzēts, ka visi ieņēmumi tiek saņemti no galalietotājiem un tādējādi publiskā partnera maksājumi netiek paredzēti)</w:t>
      </w:r>
      <w:r w:rsidRPr="00822D84">
        <w:rPr>
          <w:rFonts w:ascii="Times New Roman" w:eastAsiaTheme="minorHAnsi" w:hAnsi="Times New Roman" w:cs="Times New Roman"/>
          <w:sz w:val="24"/>
          <w:szCs w:val="20"/>
        </w:rPr>
        <w:t xml:space="preserve">. Savukārt, ja atbilstoši </w:t>
      </w:r>
      <w:r>
        <w:rPr>
          <w:rFonts w:ascii="Times New Roman" w:eastAsiaTheme="minorHAnsi" w:hAnsi="Times New Roman" w:cs="Times New Roman"/>
          <w:sz w:val="24"/>
          <w:szCs w:val="20"/>
        </w:rPr>
        <w:t xml:space="preserve">EKS </w:t>
      </w:r>
      <w:r w:rsidRPr="00822D84">
        <w:rPr>
          <w:rFonts w:ascii="Times New Roman" w:eastAsiaTheme="minorHAnsi" w:hAnsi="Times New Roman" w:cs="Times New Roman"/>
          <w:sz w:val="24"/>
          <w:szCs w:val="20"/>
        </w:rPr>
        <w:t xml:space="preserve">metodoloģiskajam novērtējumam aktīvus ir nepieciešams uzskaitīt publiskā partnera bilancē, tad situācija būtiski mainās, jo šajā gadījumā </w:t>
      </w:r>
      <w:r>
        <w:rPr>
          <w:rFonts w:ascii="Times New Roman" w:eastAsiaTheme="minorHAnsi" w:hAnsi="Times New Roman" w:cs="Times New Roman"/>
          <w:sz w:val="24"/>
          <w:szCs w:val="20"/>
        </w:rPr>
        <w:t>salīdzinoši nelielā laika posmā, parasti projekta būvniecības gados, tiks koncentrēts viss ieguldīto kapitālo investīciju fiskālās ietekmes apmērs.</w:t>
      </w:r>
    </w:p>
    <w:p w14:paraId="65800AB6" w14:textId="77777777" w:rsidR="00660767" w:rsidRPr="00822D84" w:rsidRDefault="00660767" w:rsidP="00660767">
      <w:pPr>
        <w:spacing w:after="0" w:line="240" w:lineRule="auto"/>
        <w:jc w:val="both"/>
        <w:rPr>
          <w:rFonts w:ascii="Times New Roman" w:eastAsiaTheme="minorHAnsi" w:hAnsi="Times New Roman" w:cs="Times New Roman"/>
          <w:sz w:val="24"/>
          <w:szCs w:val="20"/>
        </w:rPr>
      </w:pPr>
      <w:r w:rsidRPr="00822D84">
        <w:rPr>
          <w:rFonts w:ascii="Times New Roman" w:eastAsiaTheme="minorHAnsi" w:hAnsi="Times New Roman" w:cs="Times New Roman"/>
          <w:sz w:val="24"/>
          <w:szCs w:val="20"/>
        </w:rPr>
        <w:t xml:space="preserve"> </w:t>
      </w:r>
      <w:r w:rsidRPr="00822D84">
        <w:rPr>
          <w:rFonts w:ascii="Times New Roman" w:eastAsiaTheme="minorHAnsi" w:hAnsi="Times New Roman" w:cs="Times New Roman"/>
          <w:sz w:val="24"/>
          <w:szCs w:val="20"/>
        </w:rPr>
        <w:tab/>
        <w:t xml:space="preserve">Līdz ar to fiskālais risks šādas sadarbības formas gadījumā var īstenoties situācijā, ja atbilstoši EKS metodoloģijai privātais partneris vairs neuzņemas lielāko daļu ar projekta īstenošanu saistītos riskus (t.i. būvniecības, pieejamības un pieprasījuma riskus, kā arī riskus, kas saistīti ar finansēšanu vai iespējamo galvojumu izsniegšanu u.c.) vai arī </w:t>
      </w:r>
      <w:r>
        <w:rPr>
          <w:rFonts w:ascii="Times New Roman" w:eastAsiaTheme="minorHAnsi" w:hAnsi="Times New Roman" w:cs="Times New Roman"/>
          <w:sz w:val="24"/>
          <w:szCs w:val="20"/>
        </w:rPr>
        <w:t xml:space="preserve">negūst ar projekta īstenošanu saistītus ieguvumus, </w:t>
      </w:r>
      <w:r w:rsidRPr="00822D84">
        <w:rPr>
          <w:rFonts w:ascii="Times New Roman" w:eastAsiaTheme="minorHAnsi" w:hAnsi="Times New Roman" w:cs="Times New Roman"/>
          <w:sz w:val="24"/>
          <w:szCs w:val="20"/>
        </w:rPr>
        <w:t>nespēj pildīt iepriekš uzņemtās saistības politisko vai ekonomisko apstākļu dēļ, kā arī maksātnespējas gadījumā</w:t>
      </w:r>
      <w:r w:rsidRPr="00822D84">
        <w:rPr>
          <w:rFonts w:ascii="Times New Roman" w:eastAsiaTheme="minorHAnsi" w:hAnsi="Times New Roman" w:cs="Times New Roman"/>
          <w:i/>
          <w:sz w:val="24"/>
          <w:szCs w:val="20"/>
        </w:rPr>
        <w:t>.</w:t>
      </w:r>
      <w:r w:rsidRPr="00822D84">
        <w:rPr>
          <w:rFonts w:ascii="Times New Roman" w:eastAsiaTheme="minorHAnsi" w:hAnsi="Times New Roman" w:cs="Times New Roman"/>
          <w:sz w:val="24"/>
          <w:szCs w:val="20"/>
        </w:rPr>
        <w:t xml:space="preserve"> Šajā gadījumā projekta izmaksas var tikt attiecinātas uz vispārējās valdības sektoru, tādējādi būtiski pasliktinot </w:t>
      </w:r>
      <w:r>
        <w:rPr>
          <w:rFonts w:ascii="Times New Roman" w:eastAsiaTheme="minorHAnsi" w:hAnsi="Times New Roman" w:cs="Times New Roman"/>
          <w:sz w:val="24"/>
          <w:szCs w:val="20"/>
        </w:rPr>
        <w:t xml:space="preserve">iepriekš plānoto </w:t>
      </w:r>
      <w:r w:rsidRPr="00822D84">
        <w:rPr>
          <w:rFonts w:ascii="Times New Roman" w:eastAsiaTheme="minorHAnsi" w:hAnsi="Times New Roman" w:cs="Times New Roman"/>
          <w:sz w:val="24"/>
          <w:szCs w:val="20"/>
        </w:rPr>
        <w:t>vispārējās valdības budžeta bilanci</w:t>
      </w:r>
      <w:r>
        <w:rPr>
          <w:rFonts w:ascii="Times New Roman" w:eastAsiaTheme="minorHAnsi" w:hAnsi="Times New Roman" w:cs="Times New Roman"/>
          <w:sz w:val="24"/>
          <w:szCs w:val="20"/>
        </w:rPr>
        <w:t xml:space="preserve"> un parādu</w:t>
      </w:r>
      <w:r w:rsidRPr="00822D84">
        <w:rPr>
          <w:rFonts w:ascii="Times New Roman" w:eastAsiaTheme="minorHAnsi" w:hAnsi="Times New Roman" w:cs="Times New Roman"/>
          <w:sz w:val="24"/>
          <w:szCs w:val="20"/>
        </w:rPr>
        <w:t>.</w:t>
      </w:r>
    </w:p>
    <w:p w14:paraId="7C27CFD1" w14:textId="77777777" w:rsidR="00660767" w:rsidRPr="00507D6B" w:rsidRDefault="00660767" w:rsidP="00660767">
      <w:pPr>
        <w:spacing w:after="0" w:line="240" w:lineRule="auto"/>
        <w:jc w:val="both"/>
        <w:rPr>
          <w:rFonts w:ascii="Times New Roman" w:eastAsiaTheme="minorHAnsi" w:hAnsi="Times New Roman" w:cs="Times New Roman"/>
          <w:sz w:val="24"/>
        </w:rPr>
      </w:pPr>
      <w:r w:rsidRPr="00822D84">
        <w:rPr>
          <w:rFonts w:ascii="Times New Roman" w:eastAsiaTheme="minorHAnsi" w:hAnsi="Times New Roman" w:cs="Times New Roman"/>
          <w:sz w:val="24"/>
          <w:szCs w:val="20"/>
        </w:rPr>
        <w:tab/>
        <w:t>2009.gada 1.oktobrī stājās spēkā Publiskās un privātās partnerības likums, kas nosaka PPP</w:t>
      </w:r>
      <w:r>
        <w:rPr>
          <w:rFonts w:ascii="Times New Roman" w:eastAsiaTheme="minorHAnsi" w:hAnsi="Times New Roman" w:cs="Times New Roman"/>
          <w:sz w:val="24"/>
          <w:szCs w:val="20"/>
        </w:rPr>
        <w:t xml:space="preserve"> </w:t>
      </w:r>
      <w:r w:rsidRPr="00822D84">
        <w:rPr>
          <w:rFonts w:ascii="Times New Roman" w:eastAsiaTheme="minorHAnsi" w:hAnsi="Times New Roman" w:cs="Times New Roman"/>
          <w:sz w:val="24"/>
          <w:szCs w:val="20"/>
        </w:rPr>
        <w:t xml:space="preserve">procesa pamatprincipus. Šī likuma svarīgs elements ir sākotnējā risku vadība, jo tiek izvērtēti projektu finanšu un ekonomiskie aprēķini, kas tiek saskaņoti ar atbildīgajām iestādēm. Vienlaikus uz šī likuma pamata tika izstrādāti </w:t>
      </w:r>
      <w:r w:rsidRPr="00E45E26">
        <w:rPr>
          <w:rFonts w:ascii="Times New Roman" w:eastAsiaTheme="minorHAnsi" w:hAnsi="Times New Roman" w:cs="Times New Roman"/>
          <w:sz w:val="24"/>
          <w:szCs w:val="20"/>
        </w:rPr>
        <w:t>M</w:t>
      </w:r>
      <w:r>
        <w:rPr>
          <w:rFonts w:ascii="Times New Roman" w:eastAsiaTheme="minorHAnsi" w:hAnsi="Times New Roman" w:cs="Times New Roman"/>
          <w:sz w:val="24"/>
          <w:szCs w:val="20"/>
        </w:rPr>
        <w:t>inistru kabineta</w:t>
      </w:r>
      <w:r w:rsidRPr="00822D84">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2009.gada 20.oktobra </w:t>
      </w:r>
      <w:r w:rsidRPr="00822D84">
        <w:rPr>
          <w:rFonts w:ascii="Times New Roman" w:eastAsiaTheme="minorHAnsi" w:hAnsi="Times New Roman" w:cs="Times New Roman"/>
          <w:sz w:val="24"/>
          <w:szCs w:val="20"/>
        </w:rPr>
        <w:t>noteikumi</w:t>
      </w:r>
      <w:r>
        <w:rPr>
          <w:rFonts w:ascii="Times New Roman" w:eastAsiaTheme="minorHAnsi" w:hAnsi="Times New Roman" w:cs="Times New Roman"/>
          <w:sz w:val="24"/>
        </w:rPr>
        <w:t xml:space="preserve"> Nr.</w:t>
      </w:r>
      <w:r w:rsidRPr="00822D84">
        <w:rPr>
          <w:rFonts w:ascii="Times New Roman" w:eastAsiaTheme="minorHAnsi" w:hAnsi="Times New Roman" w:cs="Times New Roman"/>
          <w:sz w:val="24"/>
        </w:rPr>
        <w:t xml:space="preserve">1216 „Noteikumi par uzraudzības institūcijas darbību un publiskā partnera vai tā pārstāvja līguma izpildes pārskata sniegšanu”, kas nosaka, ka publiskais partneris vai tā pārstāvis noteiktā termiņā sniedz </w:t>
      </w:r>
      <w:r>
        <w:rPr>
          <w:rFonts w:ascii="Times New Roman" w:eastAsiaTheme="minorHAnsi" w:hAnsi="Times New Roman" w:cs="Times New Roman"/>
          <w:sz w:val="24"/>
        </w:rPr>
        <w:t>publiskās un privātās partnerības</w:t>
      </w:r>
      <w:r w:rsidRPr="00822D84">
        <w:rPr>
          <w:rFonts w:ascii="Times New Roman" w:eastAsiaTheme="minorHAnsi" w:hAnsi="Times New Roman" w:cs="Times New Roman"/>
          <w:sz w:val="24"/>
        </w:rPr>
        <w:t xml:space="preserve"> līguma izpildes pārskatu uzraudzības institūcijai informāciju par projekta ieviešanu, publiskā partnera veiktajiem maksājumiem privātajam partnerim, problēmām projekta ieviešanas laikā. Pēc pārskata saņemšanas uzraudzības institūcija sagatavo atzinumu par konkrēto projektu, izvērtējot veikto būvdarbu vai pakalpojumu atbilstību </w:t>
      </w:r>
      <w:r>
        <w:rPr>
          <w:rFonts w:ascii="Times New Roman" w:eastAsiaTheme="minorHAnsi" w:hAnsi="Times New Roman" w:cs="Times New Roman"/>
          <w:sz w:val="24"/>
        </w:rPr>
        <w:t xml:space="preserve">partnerības iepirkuma un koncesijas </w:t>
      </w:r>
      <w:r w:rsidRPr="00822D84">
        <w:rPr>
          <w:rFonts w:ascii="Times New Roman" w:eastAsiaTheme="minorHAnsi" w:hAnsi="Times New Roman" w:cs="Times New Roman"/>
          <w:sz w:val="24"/>
        </w:rPr>
        <w:t xml:space="preserve">līgumam un PPP aktīvu uzskaites nosacījumu ievērošanu, tas ir, vai līgums nerada nevēlamu ietekmi uz </w:t>
      </w:r>
      <w:r>
        <w:rPr>
          <w:rFonts w:ascii="Times New Roman" w:eastAsiaTheme="minorHAnsi" w:hAnsi="Times New Roman" w:cs="Times New Roman"/>
          <w:sz w:val="24"/>
        </w:rPr>
        <w:t>vispārējās valdības budžeta bilanci un</w:t>
      </w:r>
      <w:r w:rsidRPr="00822D84">
        <w:rPr>
          <w:rFonts w:ascii="Times New Roman" w:eastAsiaTheme="minorHAnsi" w:hAnsi="Times New Roman" w:cs="Times New Roman"/>
          <w:sz w:val="24"/>
        </w:rPr>
        <w:t xml:space="preserve"> parādu.</w:t>
      </w:r>
    </w:p>
    <w:p w14:paraId="1E5C6DC1" w14:textId="77777777" w:rsidR="00660767" w:rsidRPr="00507D6B"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Šim fiskālajam riskam pašreiz ir iespējams tikai daļēji novērtēt potenciālo negatīvo fiskālo ietekmi. FM pēc Uzņēmuma reģistrā pieejamajiem datiem 2011.gadā apkopoja informāciju par noslēgtajiem partnerības iepirkumu un koncesiju līgumiem. Lielākā daļa no tiem ir koncesiju līgumi, kuri galvenokārt ir slēgti par sabiedriskā transporta pakalpojumu sniegšanu, tādu pakalpojumu nodrošināšanu kā apsaimniekošana, ēdināšana, siltumapgāde, kā arī ar būvniecību saistītiem pakalpojumiem. Attiecībā uz īstenotajiem koncesiju projektiem, jāņem vērā, ka pirms 2009.gada netika veikta centralizēta līgumu uzskaite, līdz ar to arī nav zināmi noslēgto līgumu specifiskie nosacījumi, pašreizējā situācija un kopējās līgumsummas. Ņemot vērā, ka ir būtisks informācijas trūkums par vēsturiskajiem koncesijas līgumiem, tad tālākā rīcība paredzētu noteikt atbildīgo institūciju, kas veiktu šo līgumu izpēti, apzinot gadījumus, kuros var iestāties dotais risks attiecībā uz vispārējās valdības budžetu, kā arī veiktu riska gadījumu iestāšanas varbūtības novērtējumu.</w:t>
      </w:r>
    </w:p>
    <w:p w14:paraId="5AEB3D15" w14:textId="77777777" w:rsidR="00660767"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 xml:space="preserve">Vienlaicīgi informācijas apkopošanas rezultātā tika identificēts, ka no 70 uzskaitītajiem līgumiem, tikai divi bija partnerības iepirkuma līgumi. Attiecībā uz partnerības iepirkuma un koncesijas projektiem pirms Publiskās un privātās partnerības likuma pieņemšanas pastāvēja nepilnīgs jomas regulējums, kas neļāva efektīvi identificēt, novērtēt un uzskaitīt projektus atbilstoši EKS metodoloģijas izpratnei. Kā rezultātā 2016.gadā pēc ES statistikas biroja </w:t>
      </w:r>
      <w:r w:rsidRPr="00112437">
        <w:rPr>
          <w:rFonts w:ascii="Times New Roman" w:eastAsiaTheme="minorHAnsi" w:hAnsi="Times New Roman" w:cs="Times New Roman"/>
          <w:i/>
          <w:sz w:val="24"/>
        </w:rPr>
        <w:t>Eurostat</w:t>
      </w:r>
      <w:r w:rsidRPr="00507D6B">
        <w:rPr>
          <w:rFonts w:ascii="Times New Roman" w:eastAsiaTheme="minorHAnsi" w:hAnsi="Times New Roman" w:cs="Times New Roman"/>
          <w:sz w:val="24"/>
        </w:rPr>
        <w:t xml:space="preserve"> iniciatīvas tika identificēts viens iepriekš neuzskaitīts PPP projekts, kurš bija attiecināms vispārējas valdības aktīvu bilancē, palielinot 2015.gada budžeta deficītu par 0,3% no IKP.</w:t>
      </w:r>
    </w:p>
    <w:p w14:paraId="0D9342C5" w14:textId="77777777" w:rsidR="00660767" w:rsidRPr="00507D6B" w:rsidRDefault="00660767" w:rsidP="00660767">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szCs w:val="20"/>
        </w:rPr>
        <w:lastRenderedPageBreak/>
        <w:t xml:space="preserve">2016.gadā </w:t>
      </w:r>
      <w:r w:rsidRPr="00E45E26">
        <w:rPr>
          <w:rFonts w:ascii="Times New Roman" w:eastAsiaTheme="minorHAnsi" w:hAnsi="Times New Roman" w:cs="Times New Roman"/>
          <w:sz w:val="24"/>
          <w:szCs w:val="20"/>
        </w:rPr>
        <w:t>CSP</w:t>
      </w:r>
      <w:r>
        <w:rPr>
          <w:rFonts w:ascii="Times New Roman" w:eastAsiaTheme="minorHAnsi" w:hAnsi="Times New Roman" w:cs="Times New Roman"/>
          <w:sz w:val="24"/>
          <w:szCs w:val="20"/>
        </w:rPr>
        <w:t xml:space="preserve"> veica aptauju par līgumiem, kas noslēgti pirms </w:t>
      </w:r>
      <w:r w:rsidRPr="00822D84">
        <w:rPr>
          <w:rFonts w:ascii="Times New Roman" w:eastAsiaTheme="minorHAnsi" w:hAnsi="Times New Roman" w:cs="Times New Roman"/>
          <w:sz w:val="24"/>
          <w:szCs w:val="20"/>
        </w:rPr>
        <w:t>Publiskā</w:t>
      </w:r>
      <w:r>
        <w:rPr>
          <w:rFonts w:ascii="Times New Roman" w:eastAsiaTheme="minorHAnsi" w:hAnsi="Times New Roman" w:cs="Times New Roman"/>
          <w:sz w:val="24"/>
          <w:szCs w:val="20"/>
        </w:rPr>
        <w:t xml:space="preserve">s un privātās partnerības likuma stāšanās spēkā un atbilstu PPP projektu pazīmēm, lai identificētu potenciāli iepriekš neuzskaitītus PPP projektus. Šīs aptaujas rezultātā netika iegūta informācija, kas norādītu, ka pastāvētu līdz šim neuzskaitīti partnerības iepirkuma projekti. Tādējādi nav pamata uzskatīt, ka nākotnē varētu tikt atklāts kāds līdz šim neuzskaitīts publiskā partnera aktīvu bilancē attiecināms projekts. Vienlaicīgi jāņem vērā, ka, ja eksistētu neuzskaitīti projekti, kuri varētu radīt būtisku fiskālo ietekmi uz vispārējās valdības budžeta bilanci un parādu, tie ar lielu varbūtību tiktu atklāti esošā fiskālās pārraudzības, kā arī vispārējās valdības budžeta bilances un parāda notifikācijas sagatavošanas procesā. Tādējādi iespējams secināt, ka iepriekš neuzskaitītu PPP projektu fiskālā riska iestāšanās varbūtības un ietekmes apmērs ir tuvs nullei. </w:t>
      </w:r>
    </w:p>
    <w:p w14:paraId="657547DF" w14:textId="6352682C" w:rsidR="00660767" w:rsidRPr="00507D6B"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Savukārt attiecībā uz pašlaik vienīgo ārpus vispārējās valdības aktīvu bilances esošo partnerības iepirkuma projektu FM ir veikusi novērtējumu</w:t>
      </w:r>
      <w:r w:rsidRPr="00112437">
        <w:rPr>
          <w:rFonts w:ascii="Times New Roman" w:hAnsi="Times New Roman" w:cs="Times New Roman"/>
          <w:sz w:val="24"/>
          <w:szCs w:val="24"/>
          <w:vertAlign w:val="superscript"/>
        </w:rPr>
        <w:footnoteReference w:id="10"/>
      </w:r>
      <w:r w:rsidRPr="00344584">
        <w:rPr>
          <w:rFonts w:ascii="Times New Roman" w:eastAsiaTheme="minorHAnsi" w:hAnsi="Times New Roman" w:cs="Times New Roman"/>
          <w:sz w:val="24"/>
          <w:szCs w:val="24"/>
        </w:rPr>
        <w:t xml:space="preserve"> </w:t>
      </w:r>
      <w:r w:rsidRPr="00507D6B">
        <w:rPr>
          <w:rFonts w:ascii="Times New Roman" w:eastAsiaTheme="minorHAnsi" w:hAnsi="Times New Roman" w:cs="Times New Roman"/>
          <w:sz w:val="24"/>
        </w:rPr>
        <w:t>par tā iespējamo ietekmi uz vispārējās valdības budžeta bilanci un valsts parādu, ja tas pilnā apmērā kādā no attiecīgajiem gadiem tiktu uzskaitīts publiskā partnera bilancē (sk. tabulu Nr.</w:t>
      </w:r>
      <w:r w:rsidR="00771E46">
        <w:rPr>
          <w:rFonts w:ascii="Times New Roman" w:eastAsiaTheme="minorHAnsi" w:hAnsi="Times New Roman" w:cs="Times New Roman"/>
          <w:sz w:val="24"/>
        </w:rPr>
        <w:t>1</w:t>
      </w:r>
      <w:r w:rsidR="006259C6">
        <w:rPr>
          <w:rFonts w:ascii="Times New Roman" w:eastAsiaTheme="minorHAnsi" w:hAnsi="Times New Roman" w:cs="Times New Roman"/>
          <w:sz w:val="24"/>
        </w:rPr>
        <w:t>1</w:t>
      </w:r>
      <w:r w:rsidRPr="00507D6B">
        <w:rPr>
          <w:rFonts w:ascii="Times New Roman" w:eastAsiaTheme="minorHAnsi" w:hAnsi="Times New Roman" w:cs="Times New Roman"/>
          <w:sz w:val="24"/>
        </w:rPr>
        <w:t xml:space="preserve">). </w:t>
      </w:r>
    </w:p>
    <w:p w14:paraId="49F4B37B" w14:textId="4DF3334B" w:rsidR="00D34CF9" w:rsidRDefault="00D34CF9" w:rsidP="00660767">
      <w:pPr>
        <w:spacing w:after="0" w:line="240" w:lineRule="auto"/>
        <w:jc w:val="both"/>
        <w:rPr>
          <w:rFonts w:ascii="Times New Roman" w:eastAsiaTheme="minorHAnsi" w:hAnsi="Times New Roman" w:cs="Times New Roman"/>
          <w:sz w:val="24"/>
          <w:szCs w:val="20"/>
        </w:rPr>
      </w:pPr>
    </w:p>
    <w:p w14:paraId="4B964721" w14:textId="2473A071" w:rsidR="00D34CF9" w:rsidRPr="009C5F1D" w:rsidRDefault="00D34CF9" w:rsidP="00D34CF9">
      <w:pPr>
        <w:pStyle w:val="Default"/>
        <w:jc w:val="right"/>
        <w:rPr>
          <w:rFonts w:ascii="Times New Roman" w:hAnsi="Times New Roman" w:cs="Times New Roman"/>
        </w:rPr>
      </w:pPr>
      <w:r w:rsidRPr="009C5F1D">
        <w:rPr>
          <w:rFonts w:ascii="Times New Roman" w:eastAsiaTheme="minorHAnsi" w:hAnsi="Times New Roman" w:cs="Times New Roman"/>
          <w:b/>
          <w:szCs w:val="20"/>
        </w:rPr>
        <w:t xml:space="preserve"> </w:t>
      </w:r>
      <w:r>
        <w:rPr>
          <w:rFonts w:ascii="Times New Roman" w:eastAsiaTheme="minorHAnsi" w:hAnsi="Times New Roman" w:cs="Times New Roman"/>
          <w:b/>
          <w:szCs w:val="20"/>
        </w:rPr>
        <w:t>Tabula Nr.</w:t>
      </w:r>
      <w:r w:rsidR="00120DF9">
        <w:rPr>
          <w:rFonts w:ascii="Times New Roman" w:eastAsiaTheme="minorHAnsi" w:hAnsi="Times New Roman" w:cs="Times New Roman"/>
          <w:b/>
          <w:szCs w:val="20"/>
        </w:rPr>
        <w:t>1</w:t>
      </w:r>
      <w:r w:rsidR="006259C6">
        <w:rPr>
          <w:rFonts w:ascii="Times New Roman" w:eastAsiaTheme="minorHAnsi" w:hAnsi="Times New Roman" w:cs="Times New Roman"/>
          <w:b/>
          <w:szCs w:val="20"/>
        </w:rPr>
        <w:t>1</w:t>
      </w:r>
      <w:r>
        <w:rPr>
          <w:rFonts w:ascii="Times New Roman" w:eastAsiaTheme="minorHAnsi" w:hAnsi="Times New Roman" w:cs="Times New Roman"/>
          <w:b/>
          <w:szCs w:val="20"/>
        </w:rPr>
        <w:t xml:space="preserve"> </w:t>
      </w:r>
      <w:r w:rsidRPr="009C5F1D">
        <w:rPr>
          <w:rFonts w:ascii="Times New Roman" w:hAnsi="Times New Roman" w:cs="Times New Roman"/>
          <w:b/>
          <w:bCs/>
          <w:sz w:val="23"/>
          <w:szCs w:val="23"/>
        </w:rPr>
        <w:t>Ārpusbilances publisko un pri</w:t>
      </w:r>
      <w:r>
        <w:rPr>
          <w:rFonts w:ascii="Times New Roman" w:hAnsi="Times New Roman" w:cs="Times New Roman"/>
          <w:b/>
          <w:bCs/>
          <w:sz w:val="23"/>
          <w:szCs w:val="23"/>
        </w:rPr>
        <w:t>vāto partnerību iespējamā ietekme uz vispārējās valdības budžeta bilanci un valsts parādu</w:t>
      </w:r>
      <w:r>
        <w:rPr>
          <w:rStyle w:val="FootnoteReference"/>
          <w:rFonts w:eastAsia="Times New Roman" w:cs="Times New Roman"/>
          <w:b/>
          <w:bCs/>
          <w:lang w:eastAsia="lv-LV"/>
        </w:rPr>
        <w:footnoteReference w:id="11"/>
      </w:r>
      <w:r>
        <w:rPr>
          <w:rFonts w:ascii="Times New Roman" w:hAnsi="Times New Roman" w:cs="Times New Roman"/>
          <w:b/>
          <w:bCs/>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509"/>
      </w:tblGrid>
      <w:tr w:rsidR="00D34CF9" w:rsidRPr="009C5F1D" w14:paraId="5BBA9754" w14:textId="77777777" w:rsidTr="00507D6B">
        <w:trPr>
          <w:trHeight w:val="119"/>
        </w:trPr>
        <w:tc>
          <w:tcPr>
            <w:tcW w:w="6509" w:type="dxa"/>
          </w:tcPr>
          <w:p w14:paraId="5F33A7D6" w14:textId="77777777" w:rsidR="00D34CF9" w:rsidRPr="009C5F1D" w:rsidRDefault="00D34CF9" w:rsidP="00507D6B">
            <w:pPr>
              <w:autoSpaceDE w:val="0"/>
              <w:autoSpaceDN w:val="0"/>
              <w:adjustRightInd w:val="0"/>
              <w:spacing w:after="0" w:line="240" w:lineRule="auto"/>
              <w:rPr>
                <w:rFonts w:ascii="Times New Roman" w:hAnsi="Times New Roman" w:cs="Times New Roman"/>
                <w:color w:val="000000"/>
                <w:sz w:val="16"/>
                <w:szCs w:val="16"/>
              </w:rPr>
            </w:pPr>
            <w:r w:rsidRPr="009C5F1D">
              <w:rPr>
                <w:rFonts w:ascii="Times New Roman" w:hAnsi="Times New Roman" w:cs="Times New Roman"/>
                <w:color w:val="000000"/>
                <w:sz w:val="24"/>
                <w:szCs w:val="24"/>
              </w:rPr>
              <w:t xml:space="preserve"> </w:t>
            </w:r>
          </w:p>
        </w:tc>
      </w:tr>
    </w:tbl>
    <w:tbl>
      <w:tblPr>
        <w:tblStyle w:val="GridTable6Colorful-Accent11"/>
        <w:tblW w:w="9581" w:type="dxa"/>
        <w:jc w:val="center"/>
        <w:tblLayout w:type="fixed"/>
        <w:tblLook w:val="04A0" w:firstRow="1" w:lastRow="0" w:firstColumn="1" w:lastColumn="0" w:noHBand="0" w:noVBand="1"/>
      </w:tblPr>
      <w:tblGrid>
        <w:gridCol w:w="1980"/>
        <w:gridCol w:w="1126"/>
        <w:gridCol w:w="1295"/>
        <w:gridCol w:w="1295"/>
        <w:gridCol w:w="1295"/>
        <w:gridCol w:w="1295"/>
        <w:gridCol w:w="1295"/>
      </w:tblGrid>
      <w:tr w:rsidR="00D34CF9" w:rsidRPr="00120DF9" w14:paraId="2040B68A" w14:textId="77777777" w:rsidTr="0080335E">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14:paraId="204C6282" w14:textId="77777777" w:rsidR="00D34CF9" w:rsidRPr="00120DF9" w:rsidRDefault="00D34CF9" w:rsidP="00507D6B">
            <w:pPr>
              <w:jc w:val="center"/>
              <w:rPr>
                <w:rFonts w:eastAsia="Times New Roman" w:cs="Times New Roman"/>
                <w:color w:val="auto"/>
                <w:sz w:val="22"/>
                <w:lang w:eastAsia="lv-LV"/>
              </w:rPr>
            </w:pPr>
            <w:r w:rsidRPr="00120DF9">
              <w:rPr>
                <w:rFonts w:eastAsia="Times New Roman" w:cs="Times New Roman"/>
                <w:color w:val="auto"/>
                <w:sz w:val="22"/>
                <w:lang w:eastAsia="lv-LV"/>
              </w:rPr>
              <w:t>PPP projekts</w:t>
            </w:r>
          </w:p>
        </w:tc>
        <w:tc>
          <w:tcPr>
            <w:tcW w:w="7601" w:type="dxa"/>
            <w:gridSpan w:val="6"/>
          </w:tcPr>
          <w:p w14:paraId="2D6BEBC5" w14:textId="77777777" w:rsidR="00D34CF9" w:rsidRPr="00120DF9" w:rsidRDefault="00D34CF9" w:rsidP="00507D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Potenciālā ietekme</w:t>
            </w:r>
            <w:r w:rsidRPr="00120DF9">
              <w:rPr>
                <w:rFonts w:eastAsia="Times New Roman" w:cs="Times New Roman"/>
                <w:i/>
                <w:color w:val="auto"/>
                <w:sz w:val="22"/>
                <w:lang w:eastAsia="lv-LV"/>
              </w:rPr>
              <w:t>*</w:t>
            </w:r>
            <w:r w:rsidRPr="00120DF9">
              <w:rPr>
                <w:rFonts w:eastAsia="Times New Roman" w:cs="Times New Roman"/>
                <w:color w:val="auto"/>
                <w:sz w:val="22"/>
                <w:lang w:eastAsia="lv-LV"/>
              </w:rPr>
              <w:t xml:space="preserve"> (milj. </w:t>
            </w:r>
            <w:r w:rsidRPr="00120DF9">
              <w:rPr>
                <w:rFonts w:eastAsia="Times New Roman" w:cs="Times New Roman"/>
                <w:i/>
                <w:color w:val="auto"/>
                <w:sz w:val="22"/>
                <w:lang w:eastAsia="lv-LV"/>
              </w:rPr>
              <w:t>euro</w:t>
            </w:r>
            <w:r w:rsidRPr="00120DF9">
              <w:rPr>
                <w:rFonts w:eastAsia="Times New Roman" w:cs="Times New Roman"/>
                <w:color w:val="auto"/>
                <w:sz w:val="22"/>
                <w:lang w:eastAsia="lv-LV"/>
              </w:rPr>
              <w:t>)</w:t>
            </w:r>
          </w:p>
        </w:tc>
      </w:tr>
      <w:tr w:rsidR="00D34CF9" w:rsidRPr="00120DF9" w14:paraId="42AF1157" w14:textId="77777777" w:rsidTr="0080335E">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6DA79B08" w14:textId="77777777" w:rsidR="00D34CF9" w:rsidRPr="00120DF9" w:rsidRDefault="00D34CF9" w:rsidP="00507D6B">
            <w:pPr>
              <w:jc w:val="center"/>
              <w:rPr>
                <w:rFonts w:eastAsia="Times New Roman" w:cs="Times New Roman"/>
                <w:b w:val="0"/>
                <w:color w:val="auto"/>
                <w:sz w:val="22"/>
                <w:lang w:eastAsia="lv-LV"/>
              </w:rPr>
            </w:pPr>
          </w:p>
        </w:tc>
        <w:tc>
          <w:tcPr>
            <w:tcW w:w="1126" w:type="dxa"/>
            <w:vAlign w:val="center"/>
          </w:tcPr>
          <w:p w14:paraId="51F36602"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2016</w:t>
            </w:r>
          </w:p>
        </w:tc>
        <w:tc>
          <w:tcPr>
            <w:tcW w:w="1295" w:type="dxa"/>
            <w:vAlign w:val="center"/>
          </w:tcPr>
          <w:p w14:paraId="019D4E58"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2017</w:t>
            </w:r>
          </w:p>
        </w:tc>
        <w:tc>
          <w:tcPr>
            <w:tcW w:w="1295" w:type="dxa"/>
            <w:vAlign w:val="center"/>
          </w:tcPr>
          <w:p w14:paraId="0AD343DD"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2018</w:t>
            </w:r>
          </w:p>
        </w:tc>
        <w:tc>
          <w:tcPr>
            <w:tcW w:w="1295" w:type="dxa"/>
            <w:vAlign w:val="center"/>
          </w:tcPr>
          <w:p w14:paraId="65DF2A1C"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bCs/>
                <w:color w:val="auto"/>
                <w:sz w:val="22"/>
                <w:lang w:eastAsia="lv-LV"/>
              </w:rPr>
              <w:t>2019</w:t>
            </w:r>
          </w:p>
        </w:tc>
        <w:tc>
          <w:tcPr>
            <w:tcW w:w="1295" w:type="dxa"/>
          </w:tcPr>
          <w:p w14:paraId="3D5F5BB0"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lang w:eastAsia="lv-LV"/>
              </w:rPr>
            </w:pPr>
            <w:r w:rsidRPr="00120DF9">
              <w:rPr>
                <w:rFonts w:eastAsia="Times New Roman" w:cs="Times New Roman"/>
                <w:b/>
                <w:bCs/>
                <w:color w:val="auto"/>
                <w:sz w:val="22"/>
                <w:lang w:eastAsia="lv-LV"/>
              </w:rPr>
              <w:t>2020</w:t>
            </w:r>
          </w:p>
        </w:tc>
        <w:tc>
          <w:tcPr>
            <w:tcW w:w="1295" w:type="dxa"/>
          </w:tcPr>
          <w:p w14:paraId="0E4D3320" w14:textId="77777777" w:rsidR="00D34CF9" w:rsidRPr="00120DF9" w:rsidRDefault="00D34CF9" w:rsidP="00507D6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lang w:eastAsia="lv-LV"/>
              </w:rPr>
            </w:pPr>
            <w:r w:rsidRPr="00120DF9">
              <w:rPr>
                <w:rFonts w:eastAsia="Times New Roman" w:cs="Times New Roman"/>
                <w:b/>
                <w:bCs/>
                <w:color w:val="auto"/>
                <w:sz w:val="22"/>
                <w:lang w:eastAsia="lv-LV"/>
              </w:rPr>
              <w:t>2021</w:t>
            </w:r>
          </w:p>
        </w:tc>
      </w:tr>
      <w:tr w:rsidR="00D34CF9" w:rsidRPr="00120DF9" w14:paraId="16BC3074" w14:textId="77777777" w:rsidTr="0080335E">
        <w:trPr>
          <w:trHeight w:val="314"/>
          <w:jc w:val="center"/>
        </w:trPr>
        <w:tc>
          <w:tcPr>
            <w:cnfStyle w:val="001000000000" w:firstRow="0" w:lastRow="0" w:firstColumn="1" w:lastColumn="0" w:oddVBand="0" w:evenVBand="0" w:oddHBand="0" w:evenHBand="0" w:firstRowFirstColumn="0" w:firstRowLastColumn="0" w:lastRowFirstColumn="0" w:lastRowLastColumn="0"/>
            <w:tcW w:w="1980" w:type="dxa"/>
            <w:hideMark/>
          </w:tcPr>
          <w:p w14:paraId="513911B8" w14:textId="77777777" w:rsidR="00D34CF9" w:rsidRPr="00120DF9" w:rsidRDefault="00D34CF9" w:rsidP="00507D6B">
            <w:pPr>
              <w:rPr>
                <w:rFonts w:eastAsia="Times New Roman" w:cs="Times New Roman"/>
                <w:b w:val="0"/>
                <w:color w:val="auto"/>
                <w:sz w:val="22"/>
                <w:lang w:eastAsia="lv-LV"/>
              </w:rPr>
            </w:pPr>
            <w:r w:rsidRPr="00120DF9">
              <w:rPr>
                <w:rFonts w:cs="Times New Roman"/>
                <w:b w:val="0"/>
                <w:color w:val="auto"/>
                <w:sz w:val="22"/>
              </w:rPr>
              <w:t>Pirmsskolas izglītības iestāžu būvniecība un apsaimniekošana</w:t>
            </w:r>
          </w:p>
        </w:tc>
        <w:tc>
          <w:tcPr>
            <w:tcW w:w="1126" w:type="dxa"/>
            <w:vAlign w:val="center"/>
          </w:tcPr>
          <w:p w14:paraId="156994E4"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5,5</w:t>
            </w:r>
          </w:p>
        </w:tc>
        <w:tc>
          <w:tcPr>
            <w:tcW w:w="1295" w:type="dxa"/>
            <w:vAlign w:val="center"/>
          </w:tcPr>
          <w:p w14:paraId="0E81A887"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5,1</w:t>
            </w:r>
          </w:p>
        </w:tc>
        <w:tc>
          <w:tcPr>
            <w:tcW w:w="1295" w:type="dxa"/>
            <w:vAlign w:val="center"/>
          </w:tcPr>
          <w:p w14:paraId="1F2AF147"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4,6</w:t>
            </w:r>
          </w:p>
        </w:tc>
        <w:tc>
          <w:tcPr>
            <w:tcW w:w="1295" w:type="dxa"/>
            <w:vAlign w:val="center"/>
          </w:tcPr>
          <w:p w14:paraId="4D76E70A"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4,2</w:t>
            </w:r>
          </w:p>
        </w:tc>
        <w:tc>
          <w:tcPr>
            <w:tcW w:w="1295" w:type="dxa"/>
            <w:vAlign w:val="center"/>
          </w:tcPr>
          <w:p w14:paraId="658A57F4"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3,8</w:t>
            </w:r>
          </w:p>
        </w:tc>
        <w:tc>
          <w:tcPr>
            <w:tcW w:w="1295" w:type="dxa"/>
            <w:vAlign w:val="center"/>
          </w:tcPr>
          <w:p w14:paraId="075D0602"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3,3</w:t>
            </w:r>
          </w:p>
        </w:tc>
      </w:tr>
    </w:tbl>
    <w:p w14:paraId="4C9B8EAF" w14:textId="77777777" w:rsidR="00D34CF9" w:rsidRPr="003D687B" w:rsidRDefault="00D34CF9" w:rsidP="00D34CF9">
      <w:pPr>
        <w:jc w:val="both"/>
        <w:rPr>
          <w:rFonts w:ascii="Times New Roman" w:eastAsiaTheme="minorHAnsi" w:hAnsi="Times New Roman"/>
          <w:i/>
          <w:sz w:val="20"/>
          <w:szCs w:val="20"/>
        </w:rPr>
      </w:pPr>
      <w:r w:rsidRPr="002C55B5">
        <w:rPr>
          <w:rFonts w:ascii="Times New Roman" w:eastAsiaTheme="minorHAnsi" w:hAnsi="Times New Roman"/>
          <w:i/>
          <w:sz w:val="20"/>
          <w:szCs w:val="20"/>
        </w:rPr>
        <w:t>*</w:t>
      </w:r>
      <w:r>
        <w:rPr>
          <w:rFonts w:ascii="Times New Roman" w:eastAsiaTheme="minorHAnsi" w:hAnsi="Times New Roman"/>
          <w:i/>
          <w:sz w:val="20"/>
          <w:szCs w:val="20"/>
        </w:rPr>
        <w:t xml:space="preserve"> Novērtētā ietekme norāda negatīvo fiskālo ietekmi, kas potenciāli rastos, ja projekts pilnā apmērā tiktu attiecināts publiskā partnera bilancē kādā no attiecīgajiem gadiem.</w:t>
      </w:r>
    </w:p>
    <w:p w14:paraId="00B87DB6" w14:textId="1C9242B4" w:rsidR="00660767" w:rsidRPr="00671C7F" w:rsidRDefault="00660767" w:rsidP="00771E46">
      <w:pPr>
        <w:spacing w:after="0" w:line="240" w:lineRule="auto"/>
        <w:ind w:firstLine="720"/>
        <w:jc w:val="both"/>
        <w:rPr>
          <w:rFonts w:ascii="Times New Roman" w:eastAsiaTheme="minorHAnsi" w:hAnsi="Times New Roman" w:cs="Times New Roman"/>
          <w:sz w:val="24"/>
          <w:szCs w:val="20"/>
        </w:rPr>
      </w:pPr>
      <w:r w:rsidRPr="003F0171">
        <w:rPr>
          <w:rFonts w:ascii="Times New Roman" w:eastAsiaTheme="minorHAnsi" w:hAnsi="Times New Roman" w:cs="Times New Roman"/>
          <w:sz w:val="24"/>
          <w:szCs w:val="20"/>
        </w:rPr>
        <w:t xml:space="preserve">Lai gan pēc jaunā Publiskās un privātās partnerības likuma spēkā stāšanās, pagaidām nav ticis noslēgts neviens </w:t>
      </w:r>
      <w:r>
        <w:rPr>
          <w:rFonts w:ascii="Times New Roman" w:eastAsiaTheme="minorHAnsi" w:hAnsi="Times New Roman" w:cs="Times New Roman"/>
          <w:sz w:val="24"/>
          <w:szCs w:val="20"/>
        </w:rPr>
        <w:t>partnerības iepirkuma</w:t>
      </w:r>
      <w:r w:rsidRPr="003F0171">
        <w:rPr>
          <w:rFonts w:ascii="Times New Roman" w:eastAsiaTheme="minorHAnsi" w:hAnsi="Times New Roman" w:cs="Times New Roman"/>
          <w:sz w:val="24"/>
          <w:szCs w:val="20"/>
        </w:rPr>
        <w:t xml:space="preserve"> līgums, </w:t>
      </w:r>
      <w:r>
        <w:rPr>
          <w:rFonts w:ascii="Times New Roman" w:eastAsiaTheme="minorHAnsi" w:hAnsi="Times New Roman" w:cs="Times New Roman"/>
          <w:sz w:val="24"/>
          <w:szCs w:val="20"/>
        </w:rPr>
        <w:t xml:space="preserve">2018.gada decembrī VAS Latvijas valsts ceļi ir </w:t>
      </w:r>
      <w:r w:rsidRPr="00671C7F">
        <w:rPr>
          <w:rFonts w:ascii="Times New Roman" w:eastAsiaTheme="minorHAnsi" w:hAnsi="Times New Roman" w:cs="Times New Roman"/>
          <w:sz w:val="24"/>
          <w:szCs w:val="20"/>
        </w:rPr>
        <w:t>izsludinā</w:t>
      </w:r>
      <w:r>
        <w:rPr>
          <w:rFonts w:ascii="Times New Roman" w:eastAsiaTheme="minorHAnsi" w:hAnsi="Times New Roman" w:cs="Times New Roman"/>
          <w:sz w:val="24"/>
          <w:szCs w:val="20"/>
        </w:rPr>
        <w:t>jusi</w:t>
      </w:r>
      <w:r w:rsidRPr="00671C7F">
        <w:rPr>
          <w:rFonts w:ascii="Times New Roman" w:eastAsiaTheme="minorHAnsi" w:hAnsi="Times New Roman" w:cs="Times New Roman"/>
          <w:sz w:val="24"/>
          <w:szCs w:val="20"/>
        </w:rPr>
        <w:t xml:space="preserve"> iepirkumu</w:t>
      </w:r>
      <w:r w:rsidRPr="003F0171">
        <w:rPr>
          <w:rFonts w:ascii="Times New Roman" w:eastAsiaTheme="minorHAnsi" w:hAnsi="Times New Roman" w:cs="Times New Roman"/>
          <w:sz w:val="24"/>
          <w:szCs w:val="20"/>
        </w:rPr>
        <w:t xml:space="preserve"> </w:t>
      </w:r>
      <w:r w:rsidRPr="00112437">
        <w:rPr>
          <w:rFonts w:ascii="Times New Roman" w:eastAsiaTheme="minorHAnsi" w:hAnsi="Times New Roman" w:cs="Times New Roman"/>
          <w:sz w:val="24"/>
          <w:szCs w:val="20"/>
        </w:rPr>
        <w:t>publisk</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s un priv</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t</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s partner</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bas l</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gumam par E67 / A7 R</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 xml:space="preserve">ga </w:t>
      </w:r>
      <w:r w:rsidRPr="00112437">
        <w:rPr>
          <w:rFonts w:ascii="Times New Roman" w:eastAsiaTheme="minorHAnsi" w:hAnsi="Times New Roman" w:cs="Times New Roman" w:hint="eastAsia"/>
          <w:sz w:val="24"/>
          <w:szCs w:val="20"/>
        </w:rPr>
        <w:t>–</w:t>
      </w:r>
      <w:r w:rsidRPr="00112437">
        <w:rPr>
          <w:rFonts w:ascii="Times New Roman" w:eastAsiaTheme="minorHAnsi" w:hAnsi="Times New Roman" w:cs="Times New Roman"/>
          <w:sz w:val="24"/>
          <w:szCs w:val="20"/>
        </w:rPr>
        <w:t xml:space="preserve"> Bauska </w:t>
      </w:r>
      <w:r w:rsidRPr="00112437">
        <w:rPr>
          <w:rFonts w:ascii="Times New Roman" w:eastAsiaTheme="minorHAnsi" w:hAnsi="Times New Roman" w:cs="Times New Roman" w:hint="eastAsia"/>
          <w:sz w:val="24"/>
          <w:szCs w:val="20"/>
        </w:rPr>
        <w:t>–</w:t>
      </w:r>
      <w:r w:rsidRPr="00112437">
        <w:rPr>
          <w:rFonts w:ascii="Times New Roman" w:eastAsiaTheme="minorHAnsi" w:hAnsi="Times New Roman" w:cs="Times New Roman"/>
          <w:sz w:val="24"/>
          <w:szCs w:val="20"/>
        </w:rPr>
        <w:t xml:space="preserve"> Lietuv</w:t>
      </w:r>
      <w:r w:rsidRPr="00344584">
        <w:rPr>
          <w:rFonts w:ascii="Times New Roman" w:eastAsiaTheme="minorHAnsi" w:hAnsi="Times New Roman" w:cs="Times New Roman"/>
          <w:sz w:val="24"/>
          <w:szCs w:val="20"/>
        </w:rPr>
        <w:t>as robeža (Grenctāle) posma 7,9</w:t>
      </w:r>
      <w:r w:rsidR="00771E46">
        <w:rPr>
          <w:rFonts w:ascii="Times New Roman" w:eastAsiaTheme="minorHAnsi" w:hAnsi="Times New Roman" w:cs="Times New Roman"/>
          <w:sz w:val="24"/>
          <w:szCs w:val="20"/>
        </w:rPr>
        <w:t xml:space="preserve"> </w:t>
      </w:r>
      <w:r w:rsidR="00771E46">
        <w:rPr>
          <w:rFonts w:ascii="Times New Roman" w:hAnsi="Times New Roman" w:cs="Times New Roman"/>
          <w:color w:val="000000"/>
          <w:sz w:val="24"/>
          <w:szCs w:val="24"/>
        </w:rPr>
        <w:t xml:space="preserve">– </w:t>
      </w:r>
      <w:r w:rsidRPr="00112437">
        <w:rPr>
          <w:rFonts w:ascii="Times New Roman" w:eastAsiaTheme="minorHAnsi" w:hAnsi="Times New Roman" w:cs="Times New Roman"/>
          <w:sz w:val="24"/>
          <w:szCs w:val="20"/>
        </w:rPr>
        <w:t>25,0 km (</w:t>
      </w:r>
      <w:r w:rsidRPr="00112437">
        <w:rPr>
          <w:rFonts w:ascii="Times New Roman" w:eastAsiaTheme="minorHAnsi" w:hAnsi="Times New Roman" w:cs="Times New Roman" w:hint="eastAsia"/>
          <w:sz w:val="24"/>
          <w:szCs w:val="20"/>
        </w:rPr>
        <w:t>Ķ</w:t>
      </w:r>
      <w:r w:rsidRPr="00112437">
        <w:rPr>
          <w:rFonts w:ascii="Times New Roman" w:eastAsiaTheme="minorHAnsi" w:hAnsi="Times New Roman" w:cs="Times New Roman"/>
          <w:sz w:val="24"/>
          <w:szCs w:val="20"/>
        </w:rPr>
        <w:t>ekavas apvedce</w:t>
      </w:r>
      <w:r w:rsidRPr="00112437">
        <w:rPr>
          <w:rFonts w:ascii="Times New Roman" w:eastAsiaTheme="minorHAnsi" w:hAnsi="Times New Roman" w:cs="Times New Roman" w:hint="eastAsia"/>
          <w:sz w:val="24"/>
          <w:szCs w:val="20"/>
        </w:rPr>
        <w:t>ļ</w:t>
      </w:r>
      <w:r w:rsidRPr="00112437">
        <w:rPr>
          <w:rFonts w:ascii="Times New Roman" w:eastAsiaTheme="minorHAnsi" w:hAnsi="Times New Roman" w:cs="Times New Roman"/>
          <w:sz w:val="24"/>
          <w:szCs w:val="20"/>
        </w:rPr>
        <w:t>a) projekt</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 b</w:t>
      </w:r>
      <w:r w:rsidRPr="00112437">
        <w:rPr>
          <w:rFonts w:ascii="Times New Roman" w:eastAsiaTheme="minorHAnsi" w:hAnsi="Times New Roman" w:cs="Times New Roman" w:hint="eastAsia"/>
          <w:sz w:val="24"/>
          <w:szCs w:val="20"/>
        </w:rPr>
        <w:t>ū</w:t>
      </w:r>
      <w:r w:rsidRPr="00112437">
        <w:rPr>
          <w:rFonts w:ascii="Times New Roman" w:eastAsiaTheme="minorHAnsi" w:hAnsi="Times New Roman" w:cs="Times New Roman"/>
          <w:sz w:val="24"/>
          <w:szCs w:val="20"/>
        </w:rPr>
        <w:t>vniec</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bu, finans</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 un uztur</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w:t>
      </w:r>
      <w:r w:rsidRPr="003F0171">
        <w:rPr>
          <w:rFonts w:ascii="Times New Roman" w:eastAsiaTheme="minorHAnsi" w:hAnsi="Times New Roman" w:cs="Times New Roman"/>
          <w:sz w:val="24"/>
          <w:szCs w:val="20"/>
        </w:rPr>
        <w:t>. Jāatzīmē, ka līguma projekt</w:t>
      </w:r>
      <w:r w:rsidRPr="00671C7F">
        <w:rPr>
          <w:rFonts w:ascii="Times New Roman" w:eastAsiaTheme="minorHAnsi" w:hAnsi="Times New Roman" w:cs="Times New Roman"/>
          <w:sz w:val="24"/>
          <w:szCs w:val="20"/>
        </w:rPr>
        <w:t xml:space="preserve">a ietvars ir saskaņots ar </w:t>
      </w:r>
      <w:r w:rsidRPr="003F0171">
        <w:rPr>
          <w:rFonts w:ascii="Times New Roman" w:eastAsiaTheme="minorHAnsi" w:hAnsi="Times New Roman" w:cs="Times New Roman"/>
          <w:sz w:val="24"/>
          <w:szCs w:val="20"/>
        </w:rPr>
        <w:t xml:space="preserve">ES Statistikas biroju </w:t>
      </w:r>
      <w:r w:rsidRPr="003F0171">
        <w:rPr>
          <w:rFonts w:ascii="Times New Roman" w:eastAsiaTheme="minorHAnsi" w:hAnsi="Times New Roman" w:cs="Times New Roman"/>
          <w:i/>
          <w:sz w:val="24"/>
          <w:szCs w:val="20"/>
        </w:rPr>
        <w:t>Eurostat</w:t>
      </w:r>
      <w:r>
        <w:rPr>
          <w:rFonts w:ascii="Times New Roman" w:eastAsiaTheme="minorHAnsi" w:hAnsi="Times New Roman" w:cs="Times New Roman"/>
          <w:i/>
          <w:sz w:val="24"/>
          <w:szCs w:val="20"/>
        </w:rPr>
        <w:t>,</w:t>
      </w:r>
      <w:r w:rsidRPr="00111A66">
        <w:rPr>
          <w:rFonts w:ascii="Times New Roman" w:hAnsi="Times New Roman"/>
          <w:i/>
          <w:sz w:val="24"/>
        </w:rPr>
        <w:t xml:space="preserve"> </w:t>
      </w:r>
      <w:r w:rsidRPr="00671C7F">
        <w:rPr>
          <w:rFonts w:ascii="Times New Roman" w:eastAsiaTheme="minorHAnsi" w:hAnsi="Times New Roman" w:cs="Times New Roman"/>
          <w:sz w:val="24"/>
          <w:szCs w:val="20"/>
        </w:rPr>
        <w:t>secinot, ka</w:t>
      </w:r>
      <w:r>
        <w:rPr>
          <w:rFonts w:ascii="Times New Roman" w:eastAsiaTheme="minorHAnsi" w:hAnsi="Times New Roman" w:cs="Times New Roman"/>
          <w:sz w:val="24"/>
          <w:szCs w:val="20"/>
        </w:rPr>
        <w:t xml:space="preserve"> provizoriski aktīvi ir uzskaitāmi privātā partnera aktīvu bilancē</w:t>
      </w:r>
      <w:r w:rsidRPr="00111A66">
        <w:rPr>
          <w:rFonts w:ascii="Times New Roman" w:hAnsi="Times New Roman"/>
          <w:i/>
          <w:sz w:val="24"/>
        </w:rPr>
        <w:t>.</w:t>
      </w:r>
      <w:r>
        <w:rPr>
          <w:rFonts w:ascii="Times New Roman" w:hAnsi="Times New Roman"/>
          <w:i/>
          <w:sz w:val="24"/>
        </w:rPr>
        <w:t xml:space="preserve"> </w:t>
      </w:r>
      <w:r>
        <w:rPr>
          <w:rFonts w:ascii="Times New Roman" w:hAnsi="Times New Roman"/>
          <w:sz w:val="24"/>
        </w:rPr>
        <w:t>Turklāt līguma projekts tālākā saskaņošanas procesā ar privāto partneri ir izstrādājams tā, lai atbilstoši risku un ieguvumu sadalījumam līguma aktīvi tiktu uzskaitīti privātā partnera aktīvu bilancē</w:t>
      </w:r>
      <w:r>
        <w:rPr>
          <w:rFonts w:ascii="Times New Roman" w:eastAsiaTheme="minorHAnsi" w:hAnsi="Times New Roman" w:cs="Times New Roman"/>
          <w:sz w:val="24"/>
          <w:szCs w:val="20"/>
        </w:rPr>
        <w:t>. Par parakstītā</w:t>
      </w:r>
      <w:r w:rsidRPr="00671C7F">
        <w:rPr>
          <w:rFonts w:ascii="Times New Roman" w:eastAsiaTheme="minorHAnsi" w:hAnsi="Times New Roman" w:cs="Times New Roman"/>
          <w:sz w:val="24"/>
          <w:szCs w:val="20"/>
        </w:rPr>
        <w:t xml:space="preserve"> l</w:t>
      </w:r>
      <w:r w:rsidRPr="003F0171">
        <w:rPr>
          <w:rFonts w:ascii="Times New Roman" w:eastAsiaTheme="minorHAnsi" w:hAnsi="Times New Roman" w:cs="Times New Roman"/>
          <w:sz w:val="24"/>
          <w:szCs w:val="20"/>
        </w:rPr>
        <w:t>īguma nosac</w:t>
      </w:r>
      <w:r>
        <w:rPr>
          <w:rFonts w:ascii="Times New Roman" w:eastAsiaTheme="minorHAnsi" w:hAnsi="Times New Roman" w:cs="Times New Roman"/>
          <w:sz w:val="24"/>
          <w:szCs w:val="20"/>
        </w:rPr>
        <w:t xml:space="preserve">ījumu izmaiņām attiecībā uz risku un ieguvumu sadali </w:t>
      </w:r>
      <w:r w:rsidRPr="00671C7F">
        <w:rPr>
          <w:rFonts w:ascii="Times New Roman" w:eastAsiaTheme="minorHAnsi" w:hAnsi="Times New Roman" w:cs="Times New Roman"/>
          <w:sz w:val="24"/>
          <w:szCs w:val="20"/>
        </w:rPr>
        <w:t xml:space="preserve">atkārtoti tiks informēts </w:t>
      </w:r>
      <w:r w:rsidRPr="00671C7F">
        <w:rPr>
          <w:rFonts w:ascii="Times New Roman" w:eastAsiaTheme="minorHAnsi" w:hAnsi="Times New Roman" w:cs="Times New Roman"/>
          <w:i/>
          <w:sz w:val="24"/>
          <w:szCs w:val="20"/>
        </w:rPr>
        <w:t xml:space="preserve">Eurostat </w:t>
      </w:r>
      <w:r w:rsidRPr="00671C7F">
        <w:rPr>
          <w:rFonts w:ascii="Times New Roman" w:eastAsiaTheme="minorHAnsi" w:hAnsi="Times New Roman" w:cs="Times New Roman"/>
          <w:sz w:val="24"/>
          <w:szCs w:val="20"/>
        </w:rPr>
        <w:t xml:space="preserve">gala lēmuma izteikšanai par aktīvu statistisko uzskaiti un sekojoši ietekmi uz vispārējās valdības budžeta bilanci un parādu. </w:t>
      </w:r>
    </w:p>
    <w:p w14:paraId="40BB5B66" w14:textId="77777777" w:rsidR="00660767" w:rsidRDefault="00660767" w:rsidP="00660767">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Savukārt koncesiju jomā ir sniegts pozitīvs atzinums par finanšu un ekonomiskajiem aprēķiniem par Rīgas pilsētas sadzīves atkritumu apsaimniekošanas sistēmas attīstību, paredzot, ka projekts nerada negatīvu ietekmi uz vispārējās valdības budžeta bilanci un parādu. Šā gada augustā Rīgas pašvaldība ir izsludinājusi koncesijas procedūru </w:t>
      </w:r>
      <w:r w:rsidRPr="00344584">
        <w:rPr>
          <w:rFonts w:ascii="Times New Roman" w:eastAsiaTheme="minorHAnsi" w:hAnsi="Times New Roman" w:cs="Times New Roman"/>
          <w:sz w:val="24"/>
          <w:szCs w:val="20"/>
        </w:rPr>
        <w:t>p</w:t>
      </w:r>
      <w:r w:rsidRPr="00112437">
        <w:rPr>
          <w:rFonts w:ascii="Times New Roman" w:eastAsiaTheme="minorHAnsi" w:hAnsi="Times New Roman" w:cs="Times New Roman"/>
          <w:sz w:val="24"/>
          <w:szCs w:val="20"/>
        </w:rPr>
        <w:t>rivātā partnera izvēle</w:t>
      </w:r>
      <w:r>
        <w:rPr>
          <w:rFonts w:ascii="Times New Roman" w:eastAsiaTheme="minorHAnsi" w:hAnsi="Times New Roman" w:cs="Times New Roman"/>
          <w:sz w:val="24"/>
          <w:szCs w:val="20"/>
        </w:rPr>
        <w:t>i</w:t>
      </w:r>
      <w:r w:rsidRPr="00344584">
        <w:rPr>
          <w:rFonts w:ascii="Times New Roman" w:eastAsiaTheme="minorHAnsi" w:hAnsi="Times New Roman" w:cs="Times New Roman"/>
          <w:sz w:val="24"/>
          <w:szCs w:val="20"/>
        </w:rPr>
        <w:t xml:space="preserve"> Rīgas sadz</w:t>
      </w:r>
      <w:r>
        <w:rPr>
          <w:rFonts w:ascii="Times New Roman" w:eastAsiaTheme="minorHAnsi" w:hAnsi="Times New Roman" w:cs="Times New Roman"/>
          <w:sz w:val="24"/>
          <w:szCs w:val="20"/>
        </w:rPr>
        <w:t xml:space="preserve">īves atkritumu apsaimniekošanas sistēmas </w:t>
      </w:r>
      <w:r w:rsidRPr="00112437">
        <w:rPr>
          <w:rFonts w:ascii="Times New Roman" w:eastAsiaTheme="minorHAnsi" w:hAnsi="Times New Roman" w:cs="Times New Roman"/>
          <w:sz w:val="24"/>
          <w:szCs w:val="20"/>
        </w:rPr>
        <w:t>nodrošināšanai</w:t>
      </w:r>
      <w:r w:rsidRPr="00344584">
        <w:rPr>
          <w:rFonts w:ascii="Times New Roman" w:eastAsiaTheme="minorHAnsi" w:hAnsi="Times New Roman" w:cs="Times New Roman"/>
          <w:sz w:val="24"/>
          <w:szCs w:val="20"/>
        </w:rPr>
        <w:t>.</w:t>
      </w:r>
    </w:p>
    <w:p w14:paraId="6EAE3F4E" w14:textId="77777777" w:rsidR="00660767" w:rsidRDefault="00660767" w:rsidP="00660767">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Ņemot vērā, ka līdz šim neapzināto potenciālo PPP (t.sk. koncesijas) projektu fiskālā riska ietekme un iestāšanas iespējamība ir tuva nullei, kā arī projektu efektīvo uzraudzības procesu un  </w:t>
      </w:r>
      <w:r>
        <w:rPr>
          <w:rFonts w:ascii="Times New Roman" w:eastAsiaTheme="minorHAnsi" w:hAnsi="Times New Roman" w:cs="Times New Roman"/>
          <w:sz w:val="24"/>
          <w:szCs w:val="20"/>
        </w:rPr>
        <w:lastRenderedPageBreak/>
        <w:t>vēsturiskās laika rindas nelielo garumu</w:t>
      </w:r>
      <w:r w:rsidRPr="00254256">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partnerības iepirkumu un koncesiju projektu </w:t>
      </w:r>
      <w:r w:rsidRPr="00254256">
        <w:rPr>
          <w:rFonts w:ascii="Times New Roman" w:eastAsiaTheme="minorHAnsi" w:hAnsi="Times New Roman" w:cs="Times New Roman"/>
          <w:sz w:val="24"/>
          <w:szCs w:val="20"/>
        </w:rPr>
        <w:t>risk</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netiek kvantificēt</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un netiek iekļaut</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fiskālā nodrošinājuma rezerves aprēķinā.</w:t>
      </w:r>
      <w:r>
        <w:rPr>
          <w:rFonts w:ascii="Times New Roman" w:eastAsiaTheme="minorHAnsi" w:hAnsi="Times New Roman" w:cs="Times New Roman"/>
          <w:sz w:val="24"/>
          <w:szCs w:val="20"/>
        </w:rPr>
        <w:t xml:space="preserve"> </w:t>
      </w:r>
    </w:p>
    <w:p w14:paraId="7A955C51" w14:textId="3D7B9C3E" w:rsidR="00B801D6" w:rsidRDefault="00822D84" w:rsidP="00FE5F87">
      <w:pPr>
        <w:spacing w:after="0" w:line="240" w:lineRule="auto"/>
        <w:jc w:val="both"/>
        <w:rPr>
          <w:rFonts w:ascii="Times New Roman" w:eastAsiaTheme="minorHAnsi" w:hAnsi="Times New Roman"/>
          <w:sz w:val="24"/>
        </w:rPr>
      </w:pPr>
      <w:r w:rsidRPr="00822D84">
        <w:rPr>
          <w:rFonts w:ascii="Times New Roman" w:eastAsiaTheme="minorHAnsi" w:hAnsi="Times New Roman"/>
          <w:sz w:val="24"/>
        </w:rPr>
        <w:tab/>
      </w:r>
      <w:bookmarkStart w:id="34" w:name="_Toc405371087"/>
    </w:p>
    <w:p w14:paraId="4A25D1DC" w14:textId="77777777" w:rsidR="00FE5F87" w:rsidRPr="00D71D04" w:rsidRDefault="00FE5F87" w:rsidP="00FE5F87">
      <w:pPr>
        <w:spacing w:after="0" w:line="240" w:lineRule="auto"/>
        <w:jc w:val="both"/>
        <w:rPr>
          <w:rFonts w:ascii="Times New Roman" w:hAnsi="Times New Roman" w:cs="Times New Roman"/>
          <w:sz w:val="24"/>
          <w:szCs w:val="24"/>
        </w:rPr>
      </w:pPr>
    </w:p>
    <w:p w14:paraId="047EFBB3" w14:textId="04E8234E" w:rsidR="00822D84" w:rsidRDefault="00822D84"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35" w:name="_Toc536626724"/>
      <w:r w:rsidRPr="00521C35">
        <w:rPr>
          <w:rFonts w:ascii="Times New Roman" w:hAnsi="Times New Roman" w:cs="Times New Roman"/>
          <w:bCs w:val="0"/>
          <w:color w:val="auto"/>
          <w:sz w:val="24"/>
          <w:szCs w:val="24"/>
        </w:rPr>
        <w:t>Starptautisko tiesu un Satversmes tiesas spriedumu izpilde</w:t>
      </w:r>
      <w:bookmarkEnd w:id="34"/>
      <w:bookmarkEnd w:id="35"/>
    </w:p>
    <w:p w14:paraId="168AC730" w14:textId="77777777" w:rsidR="00626E14" w:rsidRDefault="00626E14" w:rsidP="00626E14">
      <w:pPr>
        <w:spacing w:after="0"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Fiskālā riska avots šajā gadījumā ir tiesas procesa rezultāts, kas ir saistīts ar valsts budžeta izdevumu pieaugumu un līdz ar to pasliktina vispārējās valdības budžeta bilanci. Tomēr vēsturiskā pieredze liecina, ka atsevišķos gadījumos Eiropas Komisija šos izdevumus uzskata par vienreizējiem pasākumiem, kas līdz ar to ietekmē vispārējās valdības nominālo budžeta bilanci, bet neietekmē vispārējās valdības strukturālo budžeta bilanci. Tiesvedības procesi skar atšķirīgus jautājumus, tāpēc to vienota uzskaite ir grūti īstenojama. Vienlaikus šim specifisko risku kopumam nevar novērtēt iestāšanās varbūtību un fiskālo ietekmi, to var mēģināt novērtēt tikai atsevišķiem tiesvedības procesiem.</w:t>
      </w:r>
    </w:p>
    <w:p w14:paraId="65084903" w14:textId="570EB30E" w:rsidR="00626E14" w:rsidRPr="00626E14" w:rsidRDefault="00626E14" w:rsidP="00626E14">
      <w:pPr>
        <w:spacing w:after="0" w:line="240" w:lineRule="auto"/>
        <w:ind w:firstLine="720"/>
        <w:jc w:val="both"/>
        <w:rPr>
          <w:rFonts w:ascii="Times New Roman" w:eastAsiaTheme="minorHAnsi" w:hAnsi="Times New Roman" w:cs="Times New Roman"/>
          <w:sz w:val="24"/>
          <w:szCs w:val="24"/>
        </w:rPr>
      </w:pPr>
      <w:r w:rsidRPr="00E74087">
        <w:rPr>
          <w:rFonts w:ascii="Times New Roman" w:eastAsiaTheme="minorHAnsi" w:hAnsi="Times New Roman" w:cs="Times New Roman"/>
          <w:sz w:val="24"/>
          <w:szCs w:val="24"/>
        </w:rPr>
        <w:t>Attiecībā uz tiesvedībām ES Tiesā, ja tiek pieņemts tiesas lēmums, kas ir nelabvēlīgs Latvijai, tas nenosaka finansiālās sankcijas, bet gan pienākumu pārkāpumu novērst. Gadījumā, ja pārkāpums netiek novērsts, tad tiek uzsākts jauns tiesvedības process, kurā tiek lemts par finansiālo sankciju piemērošanu. Par šādiem gadījumiem Tieslietu ministrija informē MK par konkrētas tiesvedības sekām un iespējamo finansiālo ietekmi. Atbilstoši MK 2011.gada 12.jūlija noteikumu Nr.550 „Noteikumi par institūciju sadarbību Līguma par Eiropas Savienības darbību pārkāpuma procedūras ietvaros un pirms pārkāpuma procedūras ierosināšanas” 6.2.apakšpunktā noteiktajam, šādu informāciju Tieslietu ministrija iesniedz MK divas reizes gadā. 201</w:t>
      </w:r>
      <w:r w:rsidR="00E74087" w:rsidRPr="00E74087">
        <w:rPr>
          <w:rFonts w:ascii="Times New Roman" w:eastAsiaTheme="minorHAnsi" w:hAnsi="Times New Roman" w:cs="Times New Roman"/>
          <w:sz w:val="24"/>
          <w:szCs w:val="24"/>
        </w:rPr>
        <w:t>8</w:t>
      </w:r>
      <w:r w:rsidRPr="00E74087">
        <w:rPr>
          <w:rFonts w:ascii="Times New Roman" w:eastAsiaTheme="minorHAnsi" w:hAnsi="Times New Roman" w:cs="Times New Roman"/>
          <w:sz w:val="24"/>
          <w:szCs w:val="24"/>
        </w:rPr>
        <w:t xml:space="preserve">.gada </w:t>
      </w:r>
      <w:r w:rsidR="00E74087" w:rsidRPr="00E74087">
        <w:rPr>
          <w:rFonts w:ascii="Times New Roman" w:eastAsiaTheme="minorHAnsi" w:hAnsi="Times New Roman" w:cs="Times New Roman"/>
          <w:sz w:val="24"/>
          <w:szCs w:val="24"/>
        </w:rPr>
        <w:t>18</w:t>
      </w:r>
      <w:r w:rsidRPr="00E74087">
        <w:rPr>
          <w:rFonts w:ascii="Times New Roman" w:eastAsiaTheme="minorHAnsi" w:hAnsi="Times New Roman" w:cs="Times New Roman"/>
          <w:sz w:val="24"/>
          <w:szCs w:val="24"/>
        </w:rPr>
        <w:t>.</w:t>
      </w:r>
      <w:r w:rsidR="00E74087" w:rsidRPr="00E74087">
        <w:rPr>
          <w:rFonts w:ascii="Times New Roman" w:eastAsiaTheme="minorHAnsi" w:hAnsi="Times New Roman" w:cs="Times New Roman"/>
          <w:sz w:val="24"/>
          <w:szCs w:val="24"/>
        </w:rPr>
        <w:t>decembrī</w:t>
      </w:r>
      <w:r w:rsidRPr="00E74087">
        <w:rPr>
          <w:rFonts w:ascii="Times New Roman" w:eastAsiaTheme="minorHAnsi" w:hAnsi="Times New Roman" w:cs="Times New Roman"/>
          <w:sz w:val="24"/>
          <w:szCs w:val="24"/>
        </w:rPr>
        <w:t xml:space="preserve"> MK tika izskatīts informatīvais ziņojums </w:t>
      </w:r>
      <w:r w:rsidR="00E74087" w:rsidRPr="00E74087">
        <w:rPr>
          <w:rFonts w:ascii="Times New Roman" w:eastAsiaTheme="minorHAnsi" w:hAnsi="Times New Roman" w:cs="Times New Roman"/>
          <w:sz w:val="24"/>
          <w:szCs w:val="24"/>
        </w:rPr>
        <w:t>"Par Latvijas kā Eiropas Savienības dalībvalsts saistību izpildi laika periodā līdz 2019.gada 31.augustam un par ierosinātajām (turpinātajām) pārkāpuma procedūru lietām pret Latviju laika periodā līdz 2018.gada 31.augustam"</w:t>
      </w:r>
      <w:r w:rsidRPr="00E74087">
        <w:rPr>
          <w:rFonts w:ascii="Times New Roman" w:eastAsiaTheme="minorHAnsi" w:hAnsi="Times New Roman" w:cs="Times New Roman"/>
          <w:sz w:val="24"/>
          <w:szCs w:val="24"/>
        </w:rPr>
        <w:t xml:space="preserve">, kurā ir izvērsta analīze par pārkāpuma procedūrām, kas ierosinātas pret Latviju un norādīti riski iespējamībai atsevišķām pārkāpuma procedūrām turpināties tiesvedības stadijā ES Tiesā. Jāatzīmē, ka </w:t>
      </w:r>
      <w:r w:rsidRPr="00E74087">
        <w:rPr>
          <w:rFonts w:eastAsiaTheme="minorHAnsi"/>
        </w:rPr>
        <w:t>l</w:t>
      </w:r>
      <w:r w:rsidRPr="00E74087">
        <w:rPr>
          <w:rFonts w:ascii="Times New Roman" w:eastAsiaTheme="minorHAnsi" w:hAnsi="Times New Roman" w:cs="Times New Roman"/>
          <w:sz w:val="24"/>
          <w:szCs w:val="24"/>
        </w:rPr>
        <w:t>īdz 2014.gadam Latvija bija vienīgā ES dalībvalsts, kuru Eiropas Komisija vispār nav iesūdzējusi ES Tiesā.</w:t>
      </w:r>
    </w:p>
    <w:p w14:paraId="19E4665F" w14:textId="77777777" w:rsidR="00120DF9" w:rsidRDefault="00626E14" w:rsidP="00120DF9">
      <w:pPr>
        <w:spacing w:line="240" w:lineRule="auto"/>
        <w:jc w:val="both"/>
        <w:rPr>
          <w:rFonts w:ascii="Times New Roman" w:eastAsiaTheme="minorHAnsi" w:hAnsi="Times New Roman" w:cs="Times New Roman"/>
          <w:b/>
          <w:sz w:val="24"/>
          <w:szCs w:val="24"/>
        </w:rPr>
      </w:pPr>
      <w:r w:rsidRPr="00626E14">
        <w:rPr>
          <w:rFonts w:ascii="Times New Roman" w:eastAsiaTheme="minorHAnsi" w:hAnsi="Times New Roman" w:cs="Times New Roman"/>
          <w:sz w:val="24"/>
          <w:szCs w:val="24"/>
        </w:rPr>
        <w:tab/>
        <w:t>Eiropas Cilvēktiesību tiesa ir starptautiska tiesa, kas skata fizisku vai juridisku personu vai, atsevišķos gadījumos, valstu iesniegumus, ja valsts ir pārkāpusi Eiropas Cilvēktiesību un pamatbrīvību konvencijā noteiktās tiesības. Latvijā Eiropas Cilvēktiesību un pamatbrīvību konvencija ir spēkā kopš 1997.gada 27.jūnija. Zemāk tabulā ir apkopots piešķirtais finansējums Eiropas Cilvēktiesību tiesas spriedumu izpildei laika periodā no 2006. līdz 201</w:t>
      </w:r>
      <w:r w:rsidR="00C416CD">
        <w:rPr>
          <w:rFonts w:ascii="Times New Roman" w:eastAsiaTheme="minorHAnsi" w:hAnsi="Times New Roman" w:cs="Times New Roman"/>
          <w:sz w:val="24"/>
          <w:szCs w:val="24"/>
        </w:rPr>
        <w:t>8</w:t>
      </w:r>
      <w:r w:rsidRPr="00626E14">
        <w:rPr>
          <w:rFonts w:ascii="Times New Roman" w:eastAsiaTheme="minorHAnsi" w:hAnsi="Times New Roman" w:cs="Times New Roman"/>
          <w:sz w:val="24"/>
          <w:szCs w:val="24"/>
        </w:rPr>
        <w:t xml:space="preserve">.gadam, kas norāda, ka kopumā piešķirtā finansējuma apjoms tiesas spriedumu izpildei ir palielinājies. Finansējums tiesu spriedumu izpildei tiek piešķirts no ieplānotā finansējuma budžeta programmā "Līdzekļi neparedzētiem gadījumiem", </w:t>
      </w:r>
      <w:r w:rsidRPr="00626E14">
        <w:rPr>
          <w:rFonts w:ascii="Times New Roman" w:hAnsi="Times New Roman" w:cs="Times New Roman"/>
          <w:sz w:val="24"/>
          <w:szCs w:val="24"/>
        </w:rPr>
        <w:t>kas nepasliktina vispārējās valdības budžeta bilanci</w:t>
      </w:r>
      <w:r w:rsidRPr="00626E14">
        <w:rPr>
          <w:rFonts w:ascii="Times New Roman" w:eastAsiaTheme="minorHAnsi" w:hAnsi="Times New Roman" w:cs="Times New Roman"/>
          <w:sz w:val="24"/>
          <w:szCs w:val="24"/>
        </w:rPr>
        <w:t>.</w:t>
      </w:r>
    </w:p>
    <w:p w14:paraId="5B1F2ACE" w14:textId="77777777" w:rsidR="00FE5F87" w:rsidRDefault="00FE5F87" w:rsidP="00120DF9">
      <w:pPr>
        <w:spacing w:line="240" w:lineRule="auto"/>
        <w:jc w:val="right"/>
        <w:rPr>
          <w:rFonts w:ascii="Times New Roman" w:eastAsiaTheme="minorHAnsi" w:hAnsi="Times New Roman" w:cs="Times New Roman"/>
          <w:b/>
          <w:sz w:val="24"/>
          <w:szCs w:val="24"/>
        </w:rPr>
      </w:pPr>
    </w:p>
    <w:p w14:paraId="6F4A9A7A" w14:textId="77777777" w:rsidR="00FE5F87" w:rsidRDefault="00FE5F87" w:rsidP="00120DF9">
      <w:pPr>
        <w:spacing w:line="240" w:lineRule="auto"/>
        <w:jc w:val="right"/>
        <w:rPr>
          <w:rFonts w:ascii="Times New Roman" w:eastAsiaTheme="minorHAnsi" w:hAnsi="Times New Roman" w:cs="Times New Roman"/>
          <w:b/>
          <w:sz w:val="24"/>
          <w:szCs w:val="24"/>
        </w:rPr>
      </w:pPr>
    </w:p>
    <w:p w14:paraId="7B7FEF18" w14:textId="2054C65D" w:rsidR="00626E14" w:rsidRPr="00626E14" w:rsidRDefault="00626E14" w:rsidP="00120DF9">
      <w:pPr>
        <w:spacing w:line="240" w:lineRule="auto"/>
        <w:jc w:val="right"/>
        <w:rPr>
          <w:rFonts w:ascii="Times New Roman" w:eastAsiaTheme="minorHAnsi" w:hAnsi="Times New Roman" w:cs="Times New Roman"/>
          <w:b/>
          <w:sz w:val="24"/>
          <w:szCs w:val="24"/>
        </w:rPr>
      </w:pPr>
      <w:r w:rsidRPr="00626E14">
        <w:rPr>
          <w:rFonts w:ascii="Times New Roman" w:eastAsiaTheme="minorHAnsi" w:hAnsi="Times New Roman" w:cs="Times New Roman"/>
          <w:b/>
          <w:sz w:val="24"/>
          <w:szCs w:val="24"/>
        </w:rPr>
        <w:t>Tabula Nr. 1</w:t>
      </w:r>
      <w:r w:rsidR="00786453">
        <w:rPr>
          <w:rFonts w:ascii="Times New Roman" w:eastAsiaTheme="minorHAnsi" w:hAnsi="Times New Roman" w:cs="Times New Roman"/>
          <w:b/>
          <w:sz w:val="24"/>
          <w:szCs w:val="24"/>
        </w:rPr>
        <w:t>2</w:t>
      </w:r>
      <w:r w:rsidRPr="00626E14">
        <w:rPr>
          <w:rFonts w:ascii="Times New Roman" w:eastAsiaTheme="minorHAnsi" w:hAnsi="Times New Roman" w:cs="Times New Roman"/>
          <w:b/>
          <w:sz w:val="24"/>
          <w:szCs w:val="24"/>
        </w:rPr>
        <w:t>. Piešķirtais finansējums Eiropas Cilvēktiesību tiesas spriedumu izpildei 2006.</w:t>
      </w:r>
      <w:r w:rsidR="00771E46" w:rsidRPr="00771E46">
        <w:rPr>
          <w:rFonts w:ascii="Times New Roman" w:hAnsi="Times New Roman" w:cs="Times New Roman"/>
          <w:color w:val="000000"/>
          <w:sz w:val="24"/>
          <w:szCs w:val="24"/>
        </w:rPr>
        <w:t xml:space="preserve"> </w:t>
      </w:r>
      <w:r w:rsidR="00771E46">
        <w:rPr>
          <w:rFonts w:ascii="Times New Roman" w:hAnsi="Times New Roman" w:cs="Times New Roman"/>
          <w:color w:val="000000"/>
          <w:sz w:val="24"/>
          <w:szCs w:val="24"/>
        </w:rPr>
        <w:t>–</w:t>
      </w:r>
      <w:r w:rsidRPr="00626E14">
        <w:rPr>
          <w:rFonts w:ascii="Times New Roman" w:eastAsiaTheme="minorHAnsi" w:hAnsi="Times New Roman" w:cs="Times New Roman"/>
          <w:b/>
          <w:sz w:val="24"/>
          <w:szCs w:val="24"/>
        </w:rPr>
        <w:t>201</w:t>
      </w:r>
      <w:r w:rsidR="00C416CD">
        <w:rPr>
          <w:rFonts w:ascii="Times New Roman" w:eastAsiaTheme="minorHAnsi" w:hAnsi="Times New Roman" w:cs="Times New Roman"/>
          <w:b/>
          <w:sz w:val="24"/>
          <w:szCs w:val="24"/>
        </w:rPr>
        <w:t>8</w:t>
      </w:r>
      <w:r w:rsidRPr="00626E14">
        <w:rPr>
          <w:rFonts w:ascii="Times New Roman" w:eastAsiaTheme="minorHAnsi" w:hAnsi="Times New Roman" w:cs="Times New Roman"/>
          <w:b/>
          <w:sz w:val="24"/>
          <w:szCs w:val="24"/>
        </w:rPr>
        <w:t xml:space="preserve">.gadā, </w:t>
      </w:r>
      <w:r w:rsidRPr="00626E14">
        <w:rPr>
          <w:rFonts w:ascii="Times New Roman" w:eastAsiaTheme="minorHAnsi"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372"/>
        <w:gridCol w:w="3209"/>
        <w:gridCol w:w="3209"/>
      </w:tblGrid>
      <w:tr w:rsidR="00626E14" w:rsidRPr="00120DF9" w14:paraId="2F784E7E" w14:textId="77777777" w:rsidTr="00C64A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76046759"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Gads</w:t>
            </w:r>
          </w:p>
        </w:tc>
        <w:tc>
          <w:tcPr>
            <w:tcW w:w="3209" w:type="dxa"/>
            <w:vAlign w:val="center"/>
          </w:tcPr>
          <w:p w14:paraId="21FDB672" w14:textId="77777777" w:rsidR="00626E14" w:rsidRPr="00120DF9"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Piešķirtais finansējums</w:t>
            </w:r>
          </w:p>
        </w:tc>
        <w:tc>
          <w:tcPr>
            <w:tcW w:w="3209" w:type="dxa"/>
            <w:vAlign w:val="center"/>
          </w:tcPr>
          <w:p w14:paraId="1D4D09A9" w14:textId="77777777" w:rsidR="00626E14" w:rsidRPr="00120DF9"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Tiesas spriedumu skaits</w:t>
            </w:r>
          </w:p>
        </w:tc>
      </w:tr>
      <w:tr w:rsidR="00626E14" w:rsidRPr="00120DF9" w14:paraId="036E6AC0"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5681728"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2006</w:t>
            </w:r>
          </w:p>
        </w:tc>
        <w:tc>
          <w:tcPr>
            <w:tcW w:w="3209" w:type="dxa"/>
          </w:tcPr>
          <w:p w14:paraId="754D3C22"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25</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418</w:t>
            </w:r>
          </w:p>
        </w:tc>
        <w:tc>
          <w:tcPr>
            <w:tcW w:w="3209" w:type="dxa"/>
          </w:tcPr>
          <w:p w14:paraId="2F08E60E"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5</w:t>
            </w:r>
          </w:p>
        </w:tc>
      </w:tr>
      <w:tr w:rsidR="00626E14" w:rsidRPr="00120DF9" w14:paraId="0591E5F8"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3E01FC0D"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2007</w:t>
            </w:r>
          </w:p>
        </w:tc>
        <w:tc>
          <w:tcPr>
            <w:tcW w:w="3209" w:type="dxa"/>
          </w:tcPr>
          <w:p w14:paraId="6D2F5051"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45</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991</w:t>
            </w:r>
          </w:p>
        </w:tc>
        <w:tc>
          <w:tcPr>
            <w:tcW w:w="3209" w:type="dxa"/>
          </w:tcPr>
          <w:p w14:paraId="4B292C36"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8</w:t>
            </w:r>
          </w:p>
        </w:tc>
      </w:tr>
      <w:tr w:rsidR="00626E14" w:rsidRPr="00120DF9" w14:paraId="2D4D1D5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4930001C"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2008</w:t>
            </w:r>
          </w:p>
        </w:tc>
        <w:tc>
          <w:tcPr>
            <w:tcW w:w="3209" w:type="dxa"/>
          </w:tcPr>
          <w:p w14:paraId="518101AC"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42</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798</w:t>
            </w:r>
          </w:p>
        </w:tc>
        <w:tc>
          <w:tcPr>
            <w:tcW w:w="3209" w:type="dxa"/>
          </w:tcPr>
          <w:p w14:paraId="5D29F29B"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17</w:t>
            </w:r>
          </w:p>
        </w:tc>
      </w:tr>
      <w:tr w:rsidR="00626E14" w:rsidRPr="00120DF9" w14:paraId="438F263A"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26A93AE"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2009</w:t>
            </w:r>
          </w:p>
        </w:tc>
        <w:tc>
          <w:tcPr>
            <w:tcW w:w="3209" w:type="dxa"/>
          </w:tcPr>
          <w:p w14:paraId="4DB0393A"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91</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512</w:t>
            </w:r>
          </w:p>
        </w:tc>
        <w:tc>
          <w:tcPr>
            <w:tcW w:w="3209" w:type="dxa"/>
          </w:tcPr>
          <w:p w14:paraId="7C9036B1"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13</w:t>
            </w:r>
          </w:p>
        </w:tc>
      </w:tr>
      <w:tr w:rsidR="00626E14" w:rsidRPr="00120DF9" w14:paraId="678CFCE8"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65BA57B5"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2010</w:t>
            </w:r>
          </w:p>
        </w:tc>
        <w:tc>
          <w:tcPr>
            <w:tcW w:w="3209" w:type="dxa"/>
          </w:tcPr>
          <w:p w14:paraId="38C3B663"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56</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961</w:t>
            </w:r>
          </w:p>
        </w:tc>
        <w:tc>
          <w:tcPr>
            <w:tcW w:w="3209" w:type="dxa"/>
          </w:tcPr>
          <w:p w14:paraId="4738C291"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10</w:t>
            </w:r>
          </w:p>
        </w:tc>
      </w:tr>
      <w:tr w:rsidR="00626E14" w:rsidRPr="00120DF9" w14:paraId="482E90D3"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26CF2E05"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2011</w:t>
            </w:r>
          </w:p>
        </w:tc>
        <w:tc>
          <w:tcPr>
            <w:tcW w:w="3209" w:type="dxa"/>
          </w:tcPr>
          <w:p w14:paraId="75253235"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102</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181</w:t>
            </w:r>
          </w:p>
        </w:tc>
        <w:tc>
          <w:tcPr>
            <w:tcW w:w="3209" w:type="dxa"/>
          </w:tcPr>
          <w:p w14:paraId="2F040488"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10</w:t>
            </w:r>
          </w:p>
        </w:tc>
      </w:tr>
      <w:tr w:rsidR="00626E14" w:rsidRPr="00120DF9" w14:paraId="433E2A5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D76CA11"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2012</w:t>
            </w:r>
          </w:p>
        </w:tc>
        <w:tc>
          <w:tcPr>
            <w:tcW w:w="3209" w:type="dxa"/>
          </w:tcPr>
          <w:p w14:paraId="1132B8BC"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48</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006</w:t>
            </w:r>
          </w:p>
        </w:tc>
        <w:tc>
          <w:tcPr>
            <w:tcW w:w="3209" w:type="dxa"/>
          </w:tcPr>
          <w:p w14:paraId="61E5AD81"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6</w:t>
            </w:r>
          </w:p>
        </w:tc>
      </w:tr>
      <w:tr w:rsidR="00626E14" w:rsidRPr="00120DF9" w14:paraId="21D6B121"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2EA5A50"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2013</w:t>
            </w:r>
          </w:p>
        </w:tc>
        <w:tc>
          <w:tcPr>
            <w:tcW w:w="3209" w:type="dxa"/>
          </w:tcPr>
          <w:p w14:paraId="339796B0"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112</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513</w:t>
            </w:r>
          </w:p>
        </w:tc>
        <w:tc>
          <w:tcPr>
            <w:tcW w:w="3209" w:type="dxa"/>
          </w:tcPr>
          <w:p w14:paraId="597CBFCB"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15</w:t>
            </w:r>
          </w:p>
        </w:tc>
      </w:tr>
      <w:tr w:rsidR="00626E14" w:rsidRPr="00120DF9" w14:paraId="7FC83338"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4456056C"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2014</w:t>
            </w:r>
          </w:p>
        </w:tc>
        <w:tc>
          <w:tcPr>
            <w:tcW w:w="3209" w:type="dxa"/>
          </w:tcPr>
          <w:p w14:paraId="331AD02F"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306</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073</w:t>
            </w:r>
          </w:p>
        </w:tc>
        <w:tc>
          <w:tcPr>
            <w:tcW w:w="3209" w:type="dxa"/>
          </w:tcPr>
          <w:p w14:paraId="26B16DA6"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13</w:t>
            </w:r>
          </w:p>
        </w:tc>
      </w:tr>
      <w:tr w:rsidR="00626E14" w:rsidRPr="00120DF9" w14:paraId="73CDAFB6"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3E61FB35"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lastRenderedPageBreak/>
              <w:t>2015</w:t>
            </w:r>
          </w:p>
        </w:tc>
        <w:tc>
          <w:tcPr>
            <w:tcW w:w="3209" w:type="dxa"/>
          </w:tcPr>
          <w:p w14:paraId="4FEEF080"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93</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597</w:t>
            </w:r>
          </w:p>
        </w:tc>
        <w:tc>
          <w:tcPr>
            <w:tcW w:w="3209" w:type="dxa"/>
          </w:tcPr>
          <w:p w14:paraId="1C8D4CF2"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13</w:t>
            </w:r>
          </w:p>
        </w:tc>
      </w:tr>
      <w:tr w:rsidR="00626E14" w:rsidRPr="00120DF9" w14:paraId="2974E0D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4DAC41E"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2016</w:t>
            </w:r>
          </w:p>
        </w:tc>
        <w:tc>
          <w:tcPr>
            <w:tcW w:w="3209" w:type="dxa"/>
          </w:tcPr>
          <w:p w14:paraId="47A2750F"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34</w:t>
            </w:r>
            <w:r w:rsidR="007D5F07" w:rsidRPr="00120DF9">
              <w:rPr>
                <w:rFonts w:ascii="Times New Roman" w:hAnsi="Times New Roman" w:cs="Times New Roman"/>
                <w:color w:val="000000" w:themeColor="text1"/>
              </w:rPr>
              <w:t> </w:t>
            </w:r>
            <w:r w:rsidRPr="00120DF9">
              <w:rPr>
                <w:rFonts w:ascii="Times New Roman" w:hAnsi="Times New Roman" w:cs="Times New Roman"/>
                <w:color w:val="000000" w:themeColor="text1"/>
              </w:rPr>
              <w:t>246</w:t>
            </w:r>
          </w:p>
        </w:tc>
        <w:tc>
          <w:tcPr>
            <w:tcW w:w="3209" w:type="dxa"/>
          </w:tcPr>
          <w:p w14:paraId="3E71A933"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9</w:t>
            </w:r>
          </w:p>
        </w:tc>
      </w:tr>
      <w:tr w:rsidR="00626E14" w:rsidRPr="00120DF9" w14:paraId="09A025E6"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3E1A339"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2017</w:t>
            </w:r>
          </w:p>
        </w:tc>
        <w:tc>
          <w:tcPr>
            <w:tcW w:w="3209" w:type="dxa"/>
          </w:tcPr>
          <w:p w14:paraId="023F6766" w14:textId="77777777" w:rsidR="00626E14" w:rsidRPr="00120DF9" w:rsidRDefault="007446AD"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147 184</w:t>
            </w:r>
          </w:p>
        </w:tc>
        <w:tc>
          <w:tcPr>
            <w:tcW w:w="3209" w:type="dxa"/>
          </w:tcPr>
          <w:p w14:paraId="556E758B" w14:textId="77777777" w:rsidR="00626E14" w:rsidRPr="00120DF9" w:rsidRDefault="007446AD"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7</w:t>
            </w:r>
          </w:p>
        </w:tc>
      </w:tr>
      <w:tr w:rsidR="00C416CD" w:rsidRPr="00120DF9" w14:paraId="33687A53"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AD88E9A" w14:textId="21BB0CAC" w:rsidR="00C416CD" w:rsidRPr="00120DF9" w:rsidRDefault="00C416CD"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2018</w:t>
            </w:r>
          </w:p>
        </w:tc>
        <w:tc>
          <w:tcPr>
            <w:tcW w:w="3209" w:type="dxa"/>
          </w:tcPr>
          <w:p w14:paraId="20E3710F" w14:textId="568C7298" w:rsidR="00C416CD" w:rsidRPr="00120DF9" w:rsidRDefault="00C416CD"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15 910</w:t>
            </w:r>
          </w:p>
        </w:tc>
        <w:tc>
          <w:tcPr>
            <w:tcW w:w="3209" w:type="dxa"/>
          </w:tcPr>
          <w:p w14:paraId="5074FF06" w14:textId="6F5797BD" w:rsidR="00C416CD" w:rsidRPr="00120DF9" w:rsidRDefault="00C416CD"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w:t>
            </w:r>
          </w:p>
        </w:tc>
      </w:tr>
    </w:tbl>
    <w:p w14:paraId="5FDAAF36" w14:textId="77777777" w:rsidR="00626E14" w:rsidRPr="00626E14" w:rsidRDefault="00626E14" w:rsidP="00626E14">
      <w:pPr>
        <w:spacing w:line="240" w:lineRule="auto"/>
        <w:jc w:val="both"/>
        <w:rPr>
          <w:rFonts w:ascii="Times New Roman" w:eastAsiaTheme="minorHAnsi" w:hAnsi="Times New Roman" w:cs="Times New Roman"/>
          <w:sz w:val="24"/>
          <w:szCs w:val="24"/>
        </w:rPr>
      </w:pPr>
    </w:p>
    <w:p w14:paraId="63808F78" w14:textId="77777777" w:rsidR="00626E14" w:rsidRPr="00626E14" w:rsidRDefault="00626E14" w:rsidP="00626E14">
      <w:pPr>
        <w:spacing w:after="0" w:line="240" w:lineRule="auto"/>
        <w:jc w:val="both"/>
        <w:rPr>
          <w:rFonts w:ascii="Times New Roman" w:hAnsi="Times New Roman" w:cs="Times New Roman"/>
          <w:sz w:val="24"/>
          <w:szCs w:val="24"/>
        </w:rPr>
      </w:pPr>
      <w:r w:rsidRPr="00626E14">
        <w:rPr>
          <w:rFonts w:ascii="Times New Roman" w:hAnsi="Times New Roman" w:cs="Times New Roman"/>
          <w:sz w:val="24"/>
          <w:szCs w:val="24"/>
        </w:rPr>
        <w:tab/>
        <w:t xml:space="preserve">Satversmes tiesa ir neatkarīga tiesu varas institūcija, kas izskata lietas par likumu un citu normatīvo aktu atbilstību Satversmei, kā arī citas ar likumu tās kompetencē nodotās lietas. Satversmes tiesas spriedumam, ar kuru tiek atzīta par spēkā neesošu </w:t>
      </w:r>
      <w:r>
        <w:rPr>
          <w:rFonts w:ascii="Times New Roman" w:hAnsi="Times New Roman" w:cs="Times New Roman"/>
          <w:sz w:val="24"/>
          <w:szCs w:val="24"/>
        </w:rPr>
        <w:t>tiesību norma vai tiesību</w:t>
      </w:r>
      <w:r w:rsidRPr="00626E14">
        <w:rPr>
          <w:rFonts w:ascii="Times New Roman" w:hAnsi="Times New Roman" w:cs="Times New Roman"/>
          <w:sz w:val="24"/>
          <w:szCs w:val="24"/>
        </w:rPr>
        <w:t xml:space="preserve"> akts, var būt ietekme uz budžetu, ja grozījumi tiesību aktos ietekmē kādas grupas tiesību apjomu, ko tās var saņemt no valsts. Satversmes tiesas praksē daudzkārt bija princips, ka attiecībā uz pieteicēju prettiesiskā tiesību norma tiek atzīta par spēkā neesošu ar atpakaļejošu datumu (tātad uz pieteicēju prettiesiskā norma nav piemērojama), tajā pašā laikā attiecībā uz citām personām tiesību norma var tikt atzīta par spēkā neesošu gan no sprieduma spēkā stāšanās, gan ar atpakaļejošu datumu vai no kāda cita tiesas noteikta datuma nākotnē, vadoties no lietas materiāliem. Piemēram, Satversmes tiesa 2010.gadā atzina </w:t>
      </w:r>
      <w:hyperlink r:id="rId11" w:tgtFrame="_blank" w:history="1">
        <w:r w:rsidRPr="00626E14">
          <w:rPr>
            <w:rFonts w:ascii="Times New Roman" w:hAnsi="Times New Roman" w:cs="Times New Roman"/>
            <w:sz w:val="24"/>
            <w:szCs w:val="24"/>
          </w:rPr>
          <w:t>Prokuroru izdienas pensiju likuma</w:t>
        </w:r>
      </w:hyperlink>
      <w:r w:rsidRPr="00626E14">
        <w:rPr>
          <w:rFonts w:ascii="Times New Roman" w:hAnsi="Times New Roman" w:cs="Times New Roman"/>
          <w:sz w:val="24"/>
          <w:szCs w:val="24"/>
        </w:rPr>
        <w:t xml:space="preserve"> pārejas noteikumu </w:t>
      </w:r>
      <w:hyperlink r:id="rId12" w:anchor="p8" w:tgtFrame="_blank" w:history="1">
        <w:r w:rsidRPr="00626E14">
          <w:rPr>
            <w:rFonts w:ascii="Times New Roman" w:hAnsi="Times New Roman" w:cs="Times New Roman"/>
            <w:sz w:val="24"/>
            <w:szCs w:val="24"/>
          </w:rPr>
          <w:t>8.punktu</w:t>
        </w:r>
      </w:hyperlink>
      <w:r w:rsidRPr="00626E14">
        <w:rPr>
          <w:rStyle w:val="FootnoteReference"/>
          <w:rFonts w:ascii="Times New Roman" w:hAnsi="Times New Roman" w:cs="Times New Roman"/>
          <w:sz w:val="24"/>
          <w:szCs w:val="24"/>
        </w:rPr>
        <w:footnoteReference w:id="12"/>
      </w:r>
      <w:r w:rsidRPr="00626E14">
        <w:rPr>
          <w:rFonts w:ascii="Times New Roman" w:hAnsi="Times New Roman" w:cs="Times New Roman"/>
          <w:sz w:val="24"/>
          <w:szCs w:val="24"/>
        </w:rPr>
        <w:t xml:space="preserve"> par neatbilstošu Satversmei un spēkā neesošu no pieņemšanas brīža. Vienlaikus Satversmes tiesa nolēma, ka jāizstrādā kārtība, kādā atlīdzināmi ieturējumi, kas veikti, pamatojoties normatīvā akta konkrēto punktu, jo tūlītēja sprieduma izpilde varētu radīt nelabvēlīgas sekas visai sabiedrībai. Ja Satversmes tiesa neizlemtu ar šā sprieduma izpildi saistītos jautājumus, proti, nenoteiktu brīdi, kad apstrīdētā norma zaudē savu spēku, tad veidotos tāda situācija, kas varētu apdraudēt valsts budžeta stabilitāti, turklāt rastos neskaidrība par to, kad tieši uzsākama, cik ilgi un kādā kārtībā veicama uz apstrīdētās normas pamata ieturētās pensijas daļas izmaksāšana. </w:t>
      </w:r>
    </w:p>
    <w:p w14:paraId="560CDB2A" w14:textId="76B90B47" w:rsidR="00626E14" w:rsidRPr="00626E14" w:rsidRDefault="00626E14" w:rsidP="00626E14">
      <w:pPr>
        <w:spacing w:line="240" w:lineRule="auto"/>
        <w:ind w:firstLine="720"/>
        <w:jc w:val="both"/>
        <w:rPr>
          <w:rFonts w:ascii="Times New Roman" w:eastAsiaTheme="minorHAnsi" w:hAnsi="Times New Roman" w:cs="Times New Roman"/>
          <w:sz w:val="24"/>
          <w:szCs w:val="24"/>
        </w:rPr>
      </w:pPr>
      <w:r w:rsidRPr="00626E14">
        <w:rPr>
          <w:rFonts w:ascii="Times New Roman" w:hAnsi="Times New Roman" w:cs="Times New Roman"/>
          <w:sz w:val="24"/>
          <w:szCs w:val="24"/>
        </w:rPr>
        <w:t xml:space="preserve">Līdz ar to Satversmes tiesa, pieņemot spriedumu, apzinās un vērtē, ka tiesību normas atzīšana par spēkā neesošu rada ietekmi uz budžetu, sabiedrību un administratīvajām procedūrām, tāpēc spriedumā arī norāda „pāreju” uz jauno regulējumu. Zemāk tabulā </w:t>
      </w:r>
      <w:r w:rsidRPr="00626E14">
        <w:rPr>
          <w:rFonts w:ascii="Times New Roman" w:eastAsiaTheme="minorHAnsi" w:hAnsi="Times New Roman" w:cs="Times New Roman"/>
          <w:sz w:val="24"/>
          <w:szCs w:val="24"/>
        </w:rPr>
        <w:t xml:space="preserve">ir apkopots piešķirtais finansējums Satversmes tiesas spriedumu izpildei, kas norāda, ka 10 gadu laikā piecos atsevišķos gados ir bijuši tiesas spriedumu izpildes gadījumi. Ja fiskālā ietekme ir neliela, finansējums tiesu spriedumu izpildei tiek piešķirts no budžeta programmas "Līdzekļi neparedzētiem gadījumiem", </w:t>
      </w:r>
      <w:r w:rsidRPr="00626E14">
        <w:rPr>
          <w:rFonts w:ascii="Times New Roman" w:hAnsi="Times New Roman" w:cs="Times New Roman"/>
          <w:sz w:val="24"/>
          <w:szCs w:val="24"/>
        </w:rPr>
        <w:t>kas nepasliktina vispārējās valdības budžeta bilanci</w:t>
      </w:r>
      <w:r w:rsidRPr="00626E14">
        <w:rPr>
          <w:rFonts w:ascii="Times New Roman" w:eastAsiaTheme="minorHAnsi" w:hAnsi="Times New Roman" w:cs="Times New Roman"/>
          <w:sz w:val="24"/>
          <w:szCs w:val="24"/>
        </w:rPr>
        <w:t>. Pēdējo reizi šāda ne</w:t>
      </w:r>
      <w:r w:rsidR="00771E46">
        <w:rPr>
          <w:rFonts w:ascii="Times New Roman" w:eastAsiaTheme="minorHAnsi" w:hAnsi="Times New Roman" w:cs="Times New Roman"/>
          <w:sz w:val="24"/>
          <w:szCs w:val="24"/>
        </w:rPr>
        <w:t>pieciešamība bija 2012.</w:t>
      </w:r>
      <w:r w:rsidRPr="00626E14">
        <w:rPr>
          <w:rFonts w:ascii="Times New Roman" w:eastAsiaTheme="minorHAnsi" w:hAnsi="Times New Roman" w:cs="Times New Roman"/>
          <w:sz w:val="24"/>
          <w:szCs w:val="24"/>
        </w:rPr>
        <w:t>gadā. Šajā gadījumā tas nav uzskatāms par fiskālo risku šīs deklarācijas izpratnē.</w:t>
      </w:r>
    </w:p>
    <w:p w14:paraId="1ACCD506" w14:textId="77777777" w:rsidR="00771E46" w:rsidRDefault="00771E46" w:rsidP="00626E14">
      <w:pPr>
        <w:spacing w:line="240" w:lineRule="auto"/>
        <w:jc w:val="right"/>
        <w:rPr>
          <w:rFonts w:ascii="Times New Roman" w:hAnsi="Times New Roman" w:cs="Times New Roman"/>
          <w:b/>
          <w:sz w:val="24"/>
          <w:szCs w:val="24"/>
        </w:rPr>
      </w:pPr>
    </w:p>
    <w:p w14:paraId="35EFD47F" w14:textId="77777777" w:rsidR="00FE5F87" w:rsidRDefault="00FE5F87" w:rsidP="00626E14">
      <w:pPr>
        <w:spacing w:line="240" w:lineRule="auto"/>
        <w:jc w:val="right"/>
        <w:rPr>
          <w:rFonts w:ascii="Times New Roman" w:hAnsi="Times New Roman" w:cs="Times New Roman"/>
          <w:b/>
          <w:sz w:val="24"/>
          <w:szCs w:val="24"/>
        </w:rPr>
      </w:pPr>
    </w:p>
    <w:p w14:paraId="4640BBAA" w14:textId="6A2F5C2B" w:rsidR="00626E14" w:rsidRPr="00626E14" w:rsidRDefault="00626E14" w:rsidP="00626E14">
      <w:pPr>
        <w:spacing w:line="240" w:lineRule="auto"/>
        <w:jc w:val="right"/>
        <w:rPr>
          <w:rFonts w:ascii="Times New Roman" w:hAnsi="Times New Roman" w:cs="Times New Roman"/>
          <w:b/>
          <w:sz w:val="24"/>
          <w:szCs w:val="24"/>
        </w:rPr>
      </w:pPr>
      <w:r w:rsidRPr="00DA695E">
        <w:rPr>
          <w:rFonts w:ascii="Times New Roman" w:hAnsi="Times New Roman" w:cs="Times New Roman"/>
          <w:b/>
          <w:sz w:val="24"/>
          <w:szCs w:val="24"/>
        </w:rPr>
        <w:t>Tabula Nr. 1</w:t>
      </w:r>
      <w:r w:rsidR="00786453">
        <w:rPr>
          <w:rFonts w:ascii="Times New Roman" w:hAnsi="Times New Roman" w:cs="Times New Roman"/>
          <w:b/>
          <w:sz w:val="24"/>
          <w:szCs w:val="24"/>
        </w:rPr>
        <w:t>3</w:t>
      </w:r>
      <w:r w:rsidRPr="00DA695E">
        <w:rPr>
          <w:rFonts w:ascii="Times New Roman" w:hAnsi="Times New Roman" w:cs="Times New Roman"/>
          <w:b/>
          <w:sz w:val="24"/>
          <w:szCs w:val="24"/>
        </w:rPr>
        <w:t xml:space="preserve">. Piešķirtais finansējums Satversmes tiesu spriedumu izpildei, </w:t>
      </w:r>
      <w:r w:rsidRPr="00DA695E">
        <w:rPr>
          <w:rFonts w:ascii="Times New Roman"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564"/>
        <w:gridCol w:w="2689"/>
        <w:gridCol w:w="2689"/>
      </w:tblGrid>
      <w:tr w:rsidR="00626E14" w:rsidRPr="00120DF9" w14:paraId="08B25E61" w14:textId="77777777" w:rsidTr="006B7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C6C47B1"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Gads</w:t>
            </w:r>
          </w:p>
        </w:tc>
        <w:tc>
          <w:tcPr>
            <w:tcW w:w="2689" w:type="dxa"/>
          </w:tcPr>
          <w:p w14:paraId="21073076" w14:textId="77777777" w:rsidR="00626E14" w:rsidRPr="00120DF9"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Piešķirtais finansējums</w:t>
            </w:r>
          </w:p>
        </w:tc>
        <w:tc>
          <w:tcPr>
            <w:tcW w:w="2689" w:type="dxa"/>
          </w:tcPr>
          <w:p w14:paraId="2BDAEC92" w14:textId="77777777" w:rsidR="00626E14" w:rsidRPr="00120DF9"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Tiesas spriedumu skaits</w:t>
            </w:r>
          </w:p>
        </w:tc>
      </w:tr>
      <w:tr w:rsidR="00626E14" w:rsidRPr="00120DF9" w14:paraId="7508C9BA"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DDB71B3"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2006</w:t>
            </w:r>
          </w:p>
        </w:tc>
        <w:tc>
          <w:tcPr>
            <w:tcW w:w="2689" w:type="dxa"/>
          </w:tcPr>
          <w:p w14:paraId="26A5BE4A"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227 372</w:t>
            </w:r>
          </w:p>
        </w:tc>
        <w:tc>
          <w:tcPr>
            <w:tcW w:w="2689" w:type="dxa"/>
          </w:tcPr>
          <w:p w14:paraId="3F81E3B1"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w:t>
            </w:r>
          </w:p>
        </w:tc>
      </w:tr>
      <w:tr w:rsidR="00626E14" w:rsidRPr="00120DF9" w14:paraId="5D6E21CC"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6D2FC8E6"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2009</w:t>
            </w:r>
          </w:p>
        </w:tc>
        <w:tc>
          <w:tcPr>
            <w:tcW w:w="2689" w:type="dxa"/>
          </w:tcPr>
          <w:p w14:paraId="5D3B01C9"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3 780 529</w:t>
            </w:r>
          </w:p>
        </w:tc>
        <w:tc>
          <w:tcPr>
            <w:tcW w:w="2689" w:type="dxa"/>
          </w:tcPr>
          <w:p w14:paraId="3BC05AF4"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w:t>
            </w:r>
          </w:p>
        </w:tc>
      </w:tr>
      <w:tr w:rsidR="00626E14" w:rsidRPr="00120DF9" w14:paraId="602AC750"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6513832C"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2010</w:t>
            </w:r>
          </w:p>
        </w:tc>
        <w:tc>
          <w:tcPr>
            <w:tcW w:w="2689" w:type="dxa"/>
          </w:tcPr>
          <w:p w14:paraId="389C16B0"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565 954</w:t>
            </w:r>
          </w:p>
        </w:tc>
        <w:tc>
          <w:tcPr>
            <w:tcW w:w="2689" w:type="dxa"/>
          </w:tcPr>
          <w:p w14:paraId="571F2066"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w:t>
            </w:r>
          </w:p>
        </w:tc>
      </w:tr>
      <w:tr w:rsidR="00626E14" w:rsidRPr="00120DF9" w14:paraId="25D9316D"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642D353B"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2012</w:t>
            </w:r>
          </w:p>
        </w:tc>
        <w:tc>
          <w:tcPr>
            <w:tcW w:w="2689" w:type="dxa"/>
          </w:tcPr>
          <w:p w14:paraId="35600B3A"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44 618</w:t>
            </w:r>
          </w:p>
        </w:tc>
        <w:tc>
          <w:tcPr>
            <w:tcW w:w="2689" w:type="dxa"/>
          </w:tcPr>
          <w:p w14:paraId="409B6E09"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w:t>
            </w:r>
          </w:p>
        </w:tc>
      </w:tr>
    </w:tbl>
    <w:p w14:paraId="1849FA7E" w14:textId="77777777" w:rsidR="00626E14" w:rsidRDefault="00626E14" w:rsidP="00626E14">
      <w:pPr>
        <w:spacing w:line="240" w:lineRule="auto"/>
        <w:jc w:val="both"/>
        <w:rPr>
          <w:rFonts w:ascii="Times New Roman" w:eastAsiaTheme="minorHAnsi" w:hAnsi="Times New Roman" w:cs="Times New Roman"/>
          <w:sz w:val="24"/>
          <w:szCs w:val="24"/>
        </w:rPr>
      </w:pPr>
    </w:p>
    <w:p w14:paraId="691B69B8" w14:textId="77777777" w:rsidR="00626E14" w:rsidRDefault="00626E14" w:rsidP="00626E14">
      <w:pPr>
        <w:spacing w:after="0"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 xml:space="preserve">Fiskālais risks ir saistīts ar tādiem Satversmes tiesas spriedumiem, kam ir būtiska fiskālā ietekme, jo tad to nevar segt no budžeta programmas "Līdzekļi neparedzētiem gadījumiem". Tomēr, kā tika atzīmēts iepriekš, parasti Satversmes tiesa dod iespēju valstij sagatavoties papildu izdevumu nodrošināšanai. Tādā gadījumā tos iespējams plānot nākamajā Ietvara likumā. Arī šajā gadījumā tas nav fiskālais risks. Fiskālais risks būtu vienīgi tajā gadījumā, ja Satversmes tiesas spriedums izraisītu </w:t>
      </w:r>
      <w:r w:rsidRPr="00626E14">
        <w:rPr>
          <w:rFonts w:ascii="Times New Roman" w:eastAsiaTheme="minorHAnsi" w:hAnsi="Times New Roman" w:cs="Times New Roman"/>
          <w:sz w:val="24"/>
          <w:szCs w:val="24"/>
        </w:rPr>
        <w:lastRenderedPageBreak/>
        <w:t xml:space="preserve">nekavējošu nepieciešamību segt fiskāli nozīmīgus izdevumus. Pašlaik nav gadījumi, kur šāds fiskālais risks būtu materializējies. </w:t>
      </w:r>
    </w:p>
    <w:p w14:paraId="7D815150" w14:textId="7718DA03" w:rsidR="00C64A7F" w:rsidRDefault="00626E14" w:rsidP="00C64A7F">
      <w:pPr>
        <w:spacing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 xml:space="preserve">Kopumā fiskālajam riskam par starptautisko tiesu un Satversmes tiesas spriedumu izpildi papildus nepieciešamo pasākumu ietvaros fiskālā riska seku mazināšanai ir svarīgi veikt savlaicīgu analīzi par tiesvedībām, vērtējot valstij nelabvēlīga lēmuma iespējamību un fiskālo ietekmi. </w:t>
      </w:r>
    </w:p>
    <w:p w14:paraId="0F709A5B" w14:textId="77777777" w:rsidR="00A9144F" w:rsidRDefault="00A9144F" w:rsidP="00C64A7F">
      <w:pPr>
        <w:spacing w:line="240" w:lineRule="auto"/>
        <w:ind w:firstLine="720"/>
        <w:jc w:val="both"/>
        <w:rPr>
          <w:rFonts w:ascii="Times New Roman" w:eastAsiaTheme="minorHAnsi" w:hAnsi="Times New Roman" w:cs="Times New Roman"/>
          <w:sz w:val="24"/>
          <w:szCs w:val="24"/>
        </w:rPr>
      </w:pPr>
    </w:p>
    <w:p w14:paraId="52F6968A" w14:textId="77777777" w:rsidR="0004105F" w:rsidRDefault="004D24C1"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36" w:name="_Toc536626726"/>
      <w:bookmarkStart w:id="37" w:name="_Toc405371088"/>
      <w:r w:rsidRPr="00521C35">
        <w:rPr>
          <w:rFonts w:ascii="Times New Roman" w:hAnsi="Times New Roman" w:cs="Times New Roman"/>
          <w:bCs w:val="0"/>
          <w:color w:val="auto"/>
          <w:sz w:val="24"/>
          <w:szCs w:val="24"/>
        </w:rPr>
        <w:t>F</w:t>
      </w:r>
      <w:r w:rsidR="0004105F" w:rsidRPr="00521C35">
        <w:rPr>
          <w:rFonts w:ascii="Times New Roman" w:hAnsi="Times New Roman" w:cs="Times New Roman"/>
          <w:bCs w:val="0"/>
          <w:color w:val="auto"/>
          <w:sz w:val="24"/>
          <w:szCs w:val="24"/>
        </w:rPr>
        <w:t>inanšu sektor</w:t>
      </w:r>
      <w:r w:rsidRPr="00521C35">
        <w:rPr>
          <w:rFonts w:ascii="Times New Roman" w:hAnsi="Times New Roman" w:cs="Times New Roman"/>
          <w:bCs w:val="0"/>
          <w:color w:val="auto"/>
          <w:sz w:val="24"/>
          <w:szCs w:val="24"/>
        </w:rPr>
        <w:t>s</w:t>
      </w:r>
      <w:bookmarkEnd w:id="36"/>
    </w:p>
    <w:p w14:paraId="58FA1D20" w14:textId="77777777" w:rsidR="00AB5BFA" w:rsidRP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Nesenā globālā finanšu krīze būtiski ietekmēja ES finanšu sistēmas stabilitāti un uzticēšanos tai, kā arī parādīja šādu notikumu negatīvos pārneses efektus uz publiskajām finansēm, kā rezultātā vairākām ES dalībvalstīm, tai skaitā Latvijai nācās lūgt finansiālo palīdzību starptautiskajiem partneriem. </w:t>
      </w:r>
    </w:p>
    <w:p w14:paraId="0E3C2B2C" w14:textId="77777777" w:rsidR="00AB5BFA" w:rsidRP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Lai mazinātu iespējamu līdzīgu notikumu atkārtošanos nākotnē, bija nepieciešams veikt būtiskus ES līmeņa uzlabojumus banku darbības regulējumā un uzraudzībā, kā arī mazināt banku sektora un publiskā sektora savstarpējo atkarību. </w:t>
      </w:r>
    </w:p>
    <w:p w14:paraId="3550E298" w14:textId="60863872" w:rsidR="00AB5BFA" w:rsidRP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Tādejādi ES līmenī ir izveidota Banku Savienība </w:t>
      </w:r>
      <w:r w:rsidR="00974C98" w:rsidRPr="00AB5BFA">
        <w:rPr>
          <w:rFonts w:ascii="Times New Roman" w:hAnsi="Times New Roman"/>
          <w:sz w:val="24"/>
          <w:szCs w:val="24"/>
        </w:rPr>
        <w:t>–</w:t>
      </w:r>
      <w:r w:rsidRPr="00AB5BFA">
        <w:rPr>
          <w:rFonts w:ascii="Times New Roman" w:hAnsi="Times New Roman"/>
          <w:sz w:val="24"/>
          <w:szCs w:val="24"/>
        </w:rPr>
        <w:t xml:space="preserve"> uzraudzības un noregulējuma sistēma ar mērķi nodrošināt, ka banku sektors ir drošs un ka kredītiestādes tiek noregulētas, neizmantojot nodokļu maksātāju naudu un pēc iespējas mazāk radot negatīvo ietekmi uz ekonomiku. </w:t>
      </w:r>
    </w:p>
    <w:p w14:paraId="7B11B01D" w14:textId="2004008D" w:rsid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Viens no Banku Savienības veidojošajiem elementiem ir </w:t>
      </w:r>
      <w:r w:rsidRPr="00974C98">
        <w:rPr>
          <w:rFonts w:ascii="Times New Roman" w:hAnsi="Times New Roman"/>
          <w:b/>
          <w:sz w:val="24"/>
          <w:szCs w:val="24"/>
        </w:rPr>
        <w:t>Vienotais noregulējuma mehānisms</w:t>
      </w:r>
      <w:r w:rsidRPr="00AB5BFA">
        <w:rPr>
          <w:rFonts w:ascii="Times New Roman" w:hAnsi="Times New Roman"/>
          <w:sz w:val="24"/>
          <w:szCs w:val="24"/>
        </w:rPr>
        <w:t xml:space="preserve">, kas sastāv no Vienotā noregulējuma valdes un Vienotā noregulējuma fonda. Vienotā noregulējuma fonda mērķis ir nodrošināt papildus atbalstu finansiālās problēmās nonākušu banku reorganizācijai un plānveida noregulējumam, kad banku akcionāru un kreditoru dzēsto prasījumu </w:t>
      </w:r>
      <w:r w:rsidRPr="00AB5BFA">
        <w:rPr>
          <w:rFonts w:ascii="Times New Roman" w:hAnsi="Times New Roman"/>
          <w:sz w:val="24"/>
          <w:szCs w:val="24"/>
        </w:rPr>
        <w:lastRenderedPageBreak/>
        <w:t>apmērs nav pietiekams, lai novērstu tās maksātnespēju. Vienotais noregulējuma fonds ir izveidots un tā darbība pilnā apmērā notiks pēc 8 gadu pārejas perioda beigām. Pārejas perioda be</w:t>
      </w:r>
      <w:r w:rsidR="00903CE1">
        <w:rPr>
          <w:rFonts w:ascii="Times New Roman" w:hAnsi="Times New Roman"/>
          <w:sz w:val="24"/>
          <w:szCs w:val="24"/>
        </w:rPr>
        <w:t>igās tam ir jāsasniedz vismaz 1</w:t>
      </w:r>
      <w:r w:rsidRPr="00AB5BFA">
        <w:rPr>
          <w:rFonts w:ascii="Times New Roman" w:hAnsi="Times New Roman"/>
          <w:sz w:val="24"/>
          <w:szCs w:val="24"/>
        </w:rPr>
        <w:t xml:space="preserve">% no visu kredītiestāžu segto noguldījumu summas, t.i. apmēram </w:t>
      </w:r>
      <w:r w:rsidR="00820CDD">
        <w:rPr>
          <w:rFonts w:ascii="Times New Roman" w:hAnsi="Times New Roman"/>
          <w:sz w:val="24"/>
          <w:szCs w:val="24"/>
        </w:rPr>
        <w:t>60</w:t>
      </w:r>
      <w:r w:rsidR="00903CE1">
        <w:rPr>
          <w:rFonts w:ascii="Times New Roman" w:hAnsi="Times New Roman"/>
          <w:sz w:val="24"/>
          <w:szCs w:val="24"/>
        </w:rPr>
        <w:t xml:space="preserve"> m</w:t>
      </w:r>
      <w:r w:rsidRPr="00AB5BFA">
        <w:rPr>
          <w:rFonts w:ascii="Times New Roman" w:hAnsi="Times New Roman"/>
          <w:sz w:val="24"/>
          <w:szCs w:val="24"/>
        </w:rPr>
        <w:t>lj</w:t>
      </w:r>
      <w:r w:rsidR="00903CE1">
        <w:rPr>
          <w:rFonts w:ascii="Times New Roman" w:hAnsi="Times New Roman"/>
          <w:sz w:val="24"/>
          <w:szCs w:val="24"/>
        </w:rPr>
        <w:t>rd.</w:t>
      </w:r>
      <w:r w:rsidRPr="00AB5BFA">
        <w:rPr>
          <w:rFonts w:ascii="Times New Roman" w:hAnsi="Times New Roman"/>
          <w:sz w:val="24"/>
          <w:szCs w:val="24"/>
        </w:rPr>
        <w:t xml:space="preserve"> </w:t>
      </w:r>
      <w:r w:rsidRPr="00AB5BFA">
        <w:rPr>
          <w:rFonts w:ascii="Times New Roman" w:hAnsi="Times New Roman"/>
          <w:i/>
          <w:sz w:val="24"/>
          <w:szCs w:val="24"/>
        </w:rPr>
        <w:t>euro</w:t>
      </w:r>
      <w:r w:rsidRPr="00AB5BFA">
        <w:rPr>
          <w:rFonts w:ascii="Times New Roman" w:hAnsi="Times New Roman"/>
          <w:sz w:val="24"/>
          <w:szCs w:val="24"/>
        </w:rPr>
        <w:t>. Lai izvairītos no situācijas, kad kredītiestādes noregulējumam ir nepieciešami līdzekļi no Vienotā noregulējuma fonda, bet iemaksātie līdzekļi nav pietiekami, ir izveidots pagaidu mehānisms – aizdevums Vienotā noregulējuma valdei no valsts budžeta līdzekļiem. Līdz ar to, gadījumā, ja kāda no Latvijas kredītiestādēm nonāks finansiālās grūtībās un Vienotā noregulējuma valde lems, ka šai kredītiestādei ir jāpiemēro noregulējums, bet Vienotajā noregulējuma fondā nebūs pietiekami līdzekļi, tad iztrūkstošo finansējumu Vienotajai noregulējuma valdei aizdos Latvijas Republika. Vienotais noregulējuma fonds tam aizdotos līdzekļus atmaksās, līdz ar to šis aizdevums būs fiskāli neitrāls.</w:t>
      </w:r>
    </w:p>
    <w:p w14:paraId="1E53204C" w14:textId="77777777" w:rsidR="00820CDD" w:rsidRPr="00324326" w:rsidRDefault="00820CDD" w:rsidP="008542B8">
      <w:pPr>
        <w:pStyle w:val="ListParagraph"/>
        <w:shd w:val="clear" w:color="auto" w:fill="FFFFFF" w:themeFill="background1"/>
        <w:ind w:left="0" w:firstLine="720"/>
        <w:rPr>
          <w:rFonts w:ascii="Times New Roman" w:hAnsi="Times New Roman"/>
          <w:sz w:val="24"/>
          <w:szCs w:val="24"/>
        </w:rPr>
      </w:pPr>
      <w:r>
        <w:rPr>
          <w:rFonts w:ascii="Times New Roman" w:hAnsi="Times New Roman"/>
          <w:sz w:val="24"/>
          <w:szCs w:val="24"/>
        </w:rPr>
        <w:t xml:space="preserve">Papildus tiek izveidots pastāvīgs mehānisms situācijai, kad </w:t>
      </w:r>
      <w:r w:rsidRPr="00AB5BFA">
        <w:rPr>
          <w:rFonts w:ascii="Times New Roman" w:hAnsi="Times New Roman"/>
          <w:sz w:val="24"/>
          <w:szCs w:val="24"/>
        </w:rPr>
        <w:t>iemaksātie līdzekļi nav pietiekami</w:t>
      </w:r>
      <w:r>
        <w:rPr>
          <w:rFonts w:ascii="Times New Roman" w:hAnsi="Times New Roman"/>
          <w:sz w:val="24"/>
          <w:szCs w:val="24"/>
        </w:rPr>
        <w:t xml:space="preserve"> – publiskā atbalsta mehānisms. 2018.gadā </w:t>
      </w:r>
      <w:r w:rsidRPr="00324326">
        <w:rPr>
          <w:rFonts w:ascii="Times New Roman" w:hAnsi="Times New Roman"/>
          <w:i/>
          <w:sz w:val="24"/>
          <w:szCs w:val="24"/>
        </w:rPr>
        <w:t>Euro</w:t>
      </w:r>
      <w:r w:rsidRPr="00324326">
        <w:rPr>
          <w:rFonts w:ascii="Times New Roman" w:hAnsi="Times New Roman"/>
          <w:sz w:val="24"/>
          <w:szCs w:val="24"/>
        </w:rPr>
        <w:t xml:space="preserve"> sammita sanāksmē</w:t>
      </w:r>
      <w:r>
        <w:rPr>
          <w:rFonts w:ascii="Times New Roman" w:hAnsi="Times New Roman"/>
          <w:sz w:val="24"/>
          <w:szCs w:val="24"/>
        </w:rPr>
        <w:t>s</w:t>
      </w:r>
      <w:r w:rsidRPr="00324326">
        <w:rPr>
          <w:rFonts w:ascii="Times New Roman" w:hAnsi="Times New Roman"/>
          <w:sz w:val="24"/>
          <w:szCs w:val="24"/>
        </w:rPr>
        <w:t xml:space="preserve"> tika panākta vienošanās, ka publiskā atbalsta sniedzējs ir ESM, sniedzot rekurentu</w:t>
      </w:r>
      <w:r w:rsidRPr="00324326">
        <w:rPr>
          <w:rStyle w:val="FootnoteReference"/>
          <w:rFonts w:ascii="Times New Roman" w:hAnsi="Times New Roman"/>
          <w:sz w:val="24"/>
          <w:szCs w:val="24"/>
        </w:rPr>
        <w:footnoteReference w:id="13"/>
      </w:r>
      <w:r w:rsidRPr="00324326">
        <w:rPr>
          <w:rFonts w:ascii="Times New Roman" w:hAnsi="Times New Roman"/>
          <w:sz w:val="24"/>
          <w:szCs w:val="24"/>
        </w:rPr>
        <w:t xml:space="preserve"> kredītlīniju</w:t>
      </w:r>
      <w:r w:rsidRPr="00666BB9">
        <w:t xml:space="preserve"> </w:t>
      </w:r>
      <w:r>
        <w:rPr>
          <w:rFonts w:ascii="Times New Roman" w:hAnsi="Times New Roman"/>
          <w:sz w:val="24"/>
          <w:szCs w:val="24"/>
        </w:rPr>
        <w:t>Vienotajam noregulējuma fondam</w:t>
      </w:r>
      <w:r w:rsidRPr="00324326">
        <w:rPr>
          <w:rFonts w:ascii="Times New Roman" w:hAnsi="Times New Roman"/>
          <w:sz w:val="24"/>
          <w:szCs w:val="24"/>
        </w:rPr>
        <w:t xml:space="preserve">. </w:t>
      </w:r>
      <w:r>
        <w:rPr>
          <w:rFonts w:ascii="Times New Roman" w:hAnsi="Times New Roman"/>
          <w:sz w:val="24"/>
          <w:szCs w:val="24"/>
        </w:rPr>
        <w:t>Tāpat vienojās par detalizētāku publiskā atbalsta dizainu, piemēram, kredītlīnijas piešķiršanas nosacījumiem. Attiecīgi l</w:t>
      </w:r>
      <w:r w:rsidRPr="00324326">
        <w:rPr>
          <w:rFonts w:ascii="Times New Roman" w:hAnsi="Times New Roman"/>
          <w:sz w:val="24"/>
          <w:szCs w:val="24"/>
        </w:rPr>
        <w:t>īdz 2019.gada jūnijam ir jāizstrādā grozījumi ESM Līgumā, ņemot vērā vienošanos par publisko atbalsta mehānismu</w:t>
      </w:r>
      <w:r>
        <w:rPr>
          <w:rFonts w:ascii="Times New Roman" w:hAnsi="Times New Roman"/>
          <w:sz w:val="24"/>
          <w:szCs w:val="24"/>
        </w:rPr>
        <w:t xml:space="preserve">. </w:t>
      </w:r>
    </w:p>
    <w:p w14:paraId="709E5300" w14:textId="4FF228F0" w:rsidR="00AB5BFA" w:rsidRPr="00AB5BFA" w:rsidRDefault="00974C98" w:rsidP="00AB5BFA">
      <w:pPr>
        <w:spacing w:after="0"/>
        <w:ind w:firstLine="720"/>
        <w:jc w:val="both"/>
        <w:rPr>
          <w:rFonts w:ascii="Times New Roman" w:hAnsi="Times New Roman"/>
          <w:sz w:val="24"/>
          <w:szCs w:val="24"/>
        </w:rPr>
      </w:pPr>
      <w:r>
        <w:rPr>
          <w:rFonts w:ascii="Times New Roman" w:hAnsi="Times New Roman"/>
          <w:sz w:val="24"/>
          <w:szCs w:val="24"/>
        </w:rPr>
        <w:t>Ņemot vērā, ka</w:t>
      </w:r>
      <w:r w:rsidR="00AB5BFA" w:rsidRPr="00AB5BFA">
        <w:rPr>
          <w:rFonts w:ascii="Times New Roman" w:hAnsi="Times New Roman"/>
          <w:sz w:val="24"/>
          <w:szCs w:val="24"/>
        </w:rPr>
        <w:t xml:space="preserve"> Banku Savienība</w:t>
      </w:r>
      <w:r w:rsidR="005E20B5">
        <w:rPr>
          <w:rFonts w:ascii="Times New Roman" w:hAnsi="Times New Roman"/>
          <w:sz w:val="24"/>
          <w:szCs w:val="24"/>
        </w:rPr>
        <w:t xml:space="preserve"> ir izveidota</w:t>
      </w:r>
      <w:r w:rsidR="00AB5BFA" w:rsidRPr="00AB5BFA">
        <w:rPr>
          <w:rFonts w:ascii="Times New Roman" w:hAnsi="Times New Roman"/>
          <w:sz w:val="24"/>
          <w:szCs w:val="24"/>
        </w:rPr>
        <w:t xml:space="preserve"> ar mērķi mazināt risku, ka banku noregulēšanās būs jāizmanto publiskais finansējums, ar finanšu sektoru saistītie fiskālie riski nākotnē ir vērtējami kā zemi un līdz ar to pašlaik nav pamata šī fiskālā riska kvantificēšanai.</w:t>
      </w:r>
    </w:p>
    <w:p w14:paraId="04E31A9E" w14:textId="77777777" w:rsidR="00AB5BFA" w:rsidRPr="00AB5BFA" w:rsidRDefault="006D30DF" w:rsidP="000E4882">
      <w:pPr>
        <w:spacing w:after="0"/>
        <w:ind w:firstLine="720"/>
        <w:jc w:val="both"/>
        <w:rPr>
          <w:rFonts w:ascii="Times New Roman" w:hAnsi="Times New Roman"/>
          <w:sz w:val="24"/>
          <w:szCs w:val="24"/>
        </w:rPr>
      </w:pPr>
      <w:r>
        <w:rPr>
          <w:rFonts w:ascii="Times New Roman" w:hAnsi="Times New Roman"/>
          <w:sz w:val="24"/>
          <w:szCs w:val="24"/>
        </w:rPr>
        <w:t>2017.</w:t>
      </w:r>
      <w:r w:rsidR="00AB5BFA" w:rsidRPr="00AB5BFA">
        <w:rPr>
          <w:rFonts w:ascii="Times New Roman" w:hAnsi="Times New Roman"/>
          <w:sz w:val="24"/>
          <w:szCs w:val="24"/>
        </w:rPr>
        <w:t xml:space="preserve">gada dialoga vizītes laikā ES statistikas birojs </w:t>
      </w:r>
      <w:r w:rsidR="00AB5BFA" w:rsidRPr="00AB5BFA">
        <w:rPr>
          <w:rFonts w:ascii="Times New Roman" w:hAnsi="Times New Roman"/>
          <w:i/>
          <w:sz w:val="24"/>
          <w:szCs w:val="24"/>
        </w:rPr>
        <w:t xml:space="preserve">Eurostat </w:t>
      </w:r>
      <w:r w:rsidR="00AB5BFA" w:rsidRPr="00AB5BFA">
        <w:rPr>
          <w:rFonts w:ascii="Times New Roman" w:hAnsi="Times New Roman"/>
          <w:sz w:val="24"/>
          <w:szCs w:val="24"/>
        </w:rPr>
        <w:t>iekļāva jautājumu par AS “</w:t>
      </w:r>
      <w:r w:rsidR="00AB5BFA" w:rsidRPr="00974C98">
        <w:rPr>
          <w:rFonts w:ascii="Times New Roman" w:hAnsi="Times New Roman"/>
          <w:b/>
          <w:sz w:val="24"/>
          <w:szCs w:val="24"/>
        </w:rPr>
        <w:t>Reverta</w:t>
      </w:r>
      <w:r w:rsidR="00AB5BFA" w:rsidRPr="00AB5BFA">
        <w:rPr>
          <w:rFonts w:ascii="Times New Roman" w:hAnsi="Times New Roman"/>
          <w:sz w:val="24"/>
          <w:szCs w:val="24"/>
        </w:rPr>
        <w:t xml:space="preserve">” plānotās neatmaksātās valsts aizdevuma daļas iespējamo ietekmi uz vispārējās valdības budžeta bilanci un parādu. Diskusiju gaitā </w:t>
      </w:r>
      <w:r w:rsidR="00AB5BFA" w:rsidRPr="00AB5BFA">
        <w:rPr>
          <w:rFonts w:ascii="Times New Roman" w:hAnsi="Times New Roman"/>
          <w:i/>
          <w:sz w:val="24"/>
          <w:szCs w:val="24"/>
        </w:rPr>
        <w:t>Eurostat</w:t>
      </w:r>
      <w:r w:rsidR="00AB5BFA" w:rsidRPr="00AB5BFA">
        <w:rPr>
          <w:rFonts w:ascii="Times New Roman" w:hAnsi="Times New Roman"/>
          <w:sz w:val="24"/>
          <w:szCs w:val="24"/>
        </w:rPr>
        <w:t xml:space="preserve"> secināja, ka, lai gan aktīvu kvalitāte tika jau novērtēta 2009. un 2010.gadā, un valsts aizdevums jau tika attiecīgā apmērā norakstīts izdevumos, šis apjoms no šodienas pozīcijām raugoties, nav bijis pietiekams. Tādējādi ir jāveic valsts aizdevuma papildus norakstīšana izdevumos un tam ir ietekme uz vispārējās valdības budžeta deficītu gadā, kad AS “Reverta” tika klasificēta vispārējās valdības sektorā (t.i. 2010.gadā). </w:t>
      </w:r>
    </w:p>
    <w:p w14:paraId="5BE36D7B" w14:textId="4D371A69" w:rsidR="00974C98" w:rsidRDefault="00974C98" w:rsidP="00974C98">
      <w:pPr>
        <w:spacing w:after="0"/>
        <w:ind w:firstLine="720"/>
        <w:jc w:val="both"/>
        <w:rPr>
          <w:rFonts w:ascii="Times New Roman" w:hAnsi="Times New Roman"/>
          <w:sz w:val="24"/>
          <w:szCs w:val="24"/>
        </w:rPr>
      </w:pPr>
      <w:r w:rsidRPr="002411FE">
        <w:rPr>
          <w:rFonts w:ascii="Times New Roman" w:hAnsi="Times New Roman"/>
          <w:b/>
          <w:sz w:val="24"/>
          <w:szCs w:val="24"/>
        </w:rPr>
        <w:t>Latvijas Noguldījumu garantiju fonds</w:t>
      </w:r>
      <w:r w:rsidRPr="002411FE">
        <w:rPr>
          <w:rFonts w:ascii="Times New Roman" w:hAnsi="Times New Roman"/>
          <w:sz w:val="24"/>
          <w:szCs w:val="24"/>
        </w:rPr>
        <w:t xml:space="preserve"> ir izveidots un darbojas, pamatojoties </w:t>
      </w:r>
      <w:r w:rsidRPr="0053734D">
        <w:rPr>
          <w:rFonts w:ascii="Times New Roman" w:hAnsi="Times New Roman"/>
          <w:sz w:val="24"/>
          <w:szCs w:val="24"/>
        </w:rPr>
        <w:t>uz Noguldījumu garantiju likumu</w:t>
      </w:r>
      <w:r>
        <w:rPr>
          <w:rFonts w:ascii="Times New Roman" w:hAnsi="Times New Roman"/>
          <w:sz w:val="24"/>
          <w:szCs w:val="24"/>
        </w:rPr>
        <w:t xml:space="preserve"> (turpmāk – NGL)</w:t>
      </w:r>
      <w:r w:rsidRPr="002411FE">
        <w:rPr>
          <w:rFonts w:ascii="Times New Roman" w:hAnsi="Times New Roman"/>
          <w:sz w:val="24"/>
          <w:szCs w:val="24"/>
        </w:rPr>
        <w:t>.</w:t>
      </w:r>
      <w:r>
        <w:rPr>
          <w:rFonts w:ascii="Times New Roman" w:hAnsi="Times New Roman"/>
          <w:sz w:val="24"/>
          <w:szCs w:val="24"/>
        </w:rPr>
        <w:t xml:space="preserve"> NGL stājās spēkā 1998.gada 1.oktobrī un atbilstoši tam j</w:t>
      </w:r>
      <w:r w:rsidRPr="002411FE">
        <w:rPr>
          <w:rFonts w:ascii="Times New Roman" w:hAnsi="Times New Roman"/>
          <w:sz w:val="24"/>
          <w:szCs w:val="24"/>
        </w:rPr>
        <w:t>ebkuram Latvijas banku un krājaizdevu</w:t>
      </w:r>
      <w:r w:rsidR="001E18C7">
        <w:rPr>
          <w:rFonts w:ascii="Times New Roman" w:hAnsi="Times New Roman"/>
          <w:sz w:val="24"/>
          <w:szCs w:val="24"/>
        </w:rPr>
        <w:t>mu</w:t>
      </w:r>
      <w:r w:rsidRPr="002411FE">
        <w:rPr>
          <w:rFonts w:ascii="Times New Roman" w:hAnsi="Times New Roman"/>
          <w:sz w:val="24"/>
          <w:szCs w:val="24"/>
        </w:rPr>
        <w:t xml:space="preserve"> sabiedrību klientam tiek nodrošināta atlīdzības izmaksa par visu veidu noguldījumiem visās valūtās līdz 100</w:t>
      </w:r>
      <w:r w:rsidR="00FD692A">
        <w:rPr>
          <w:rFonts w:ascii="Times New Roman" w:hAnsi="Times New Roman"/>
          <w:sz w:val="24"/>
          <w:szCs w:val="24"/>
        </w:rPr>
        <w:t> </w:t>
      </w:r>
      <w:r w:rsidRPr="002411FE">
        <w:rPr>
          <w:rFonts w:ascii="Times New Roman" w:hAnsi="Times New Roman"/>
          <w:sz w:val="24"/>
          <w:szCs w:val="24"/>
        </w:rPr>
        <w:t xml:space="preserve">000 </w:t>
      </w:r>
      <w:r w:rsidRPr="002411FE">
        <w:rPr>
          <w:rFonts w:ascii="Times New Roman" w:hAnsi="Times New Roman"/>
          <w:i/>
          <w:sz w:val="24"/>
          <w:szCs w:val="24"/>
        </w:rPr>
        <w:t>euro</w:t>
      </w:r>
      <w:r w:rsidRPr="002411FE">
        <w:rPr>
          <w:rFonts w:ascii="Times New Roman" w:hAnsi="Times New Roman"/>
          <w:sz w:val="24"/>
          <w:szCs w:val="24"/>
        </w:rPr>
        <w:t xml:space="preserve"> katrā bankā vai krājaizdevu</w:t>
      </w:r>
      <w:r w:rsidR="001E18C7">
        <w:rPr>
          <w:rFonts w:ascii="Times New Roman" w:hAnsi="Times New Roman"/>
          <w:sz w:val="24"/>
          <w:szCs w:val="24"/>
        </w:rPr>
        <w:t>mu</w:t>
      </w:r>
      <w:r w:rsidRPr="002411FE">
        <w:rPr>
          <w:rFonts w:ascii="Times New Roman" w:hAnsi="Times New Roman"/>
          <w:sz w:val="24"/>
          <w:szCs w:val="24"/>
        </w:rPr>
        <w:t xml:space="preserve"> sabiedrībā</w:t>
      </w:r>
      <w:r>
        <w:rPr>
          <w:rFonts w:ascii="Times New Roman" w:hAnsi="Times New Roman"/>
          <w:sz w:val="24"/>
          <w:szCs w:val="24"/>
        </w:rPr>
        <w:t>, ja ir iestājusies šo līdzekļu nepieejamība. Līdzekļu nepieejamība iestājas gadījumos</w:t>
      </w:r>
      <w:r w:rsidRPr="00B40A4E">
        <w:rPr>
          <w:rFonts w:ascii="Times New Roman" w:hAnsi="Times New Roman"/>
          <w:sz w:val="24"/>
          <w:szCs w:val="24"/>
        </w:rPr>
        <w:t xml:space="preserve">, kad noguldījumu garantiju sistēmas dalībnieks nespēj klientam izmaksāt viņa noguldījumu un </w:t>
      </w:r>
      <w:r>
        <w:rPr>
          <w:rFonts w:ascii="Times New Roman" w:hAnsi="Times New Roman"/>
          <w:sz w:val="24"/>
          <w:szCs w:val="24"/>
        </w:rPr>
        <w:t>FKTK</w:t>
      </w:r>
      <w:r w:rsidRPr="00B40A4E">
        <w:rPr>
          <w:rFonts w:ascii="Times New Roman" w:hAnsi="Times New Roman"/>
          <w:sz w:val="24"/>
          <w:szCs w:val="24"/>
        </w:rPr>
        <w:t xml:space="preserve"> noguldījumu piesaistītājam anulējusi licenci vai tiesa pasludinājusi to par maksātnespējīgu, vai citā gadījumā, kad </w:t>
      </w:r>
      <w:r>
        <w:rPr>
          <w:rFonts w:ascii="Times New Roman" w:hAnsi="Times New Roman"/>
          <w:sz w:val="24"/>
          <w:szCs w:val="24"/>
        </w:rPr>
        <w:t>FKTK</w:t>
      </w:r>
      <w:r w:rsidRPr="00B40A4E">
        <w:rPr>
          <w:rFonts w:ascii="Times New Roman" w:hAnsi="Times New Roman"/>
          <w:sz w:val="24"/>
          <w:szCs w:val="24"/>
        </w:rPr>
        <w:t xml:space="preserve"> ir konstatējusi, ka noguldījumu piesaistītā</w:t>
      </w:r>
      <w:r w:rsidR="00FD692A">
        <w:rPr>
          <w:rFonts w:ascii="Times New Roman" w:hAnsi="Times New Roman"/>
          <w:sz w:val="24"/>
          <w:szCs w:val="24"/>
        </w:rPr>
        <w:t>js nespēj izmaksāt noguldītājam</w:t>
      </w:r>
      <w:r w:rsidRPr="00B40A4E">
        <w:rPr>
          <w:rFonts w:ascii="Times New Roman" w:hAnsi="Times New Roman"/>
          <w:sz w:val="24"/>
          <w:szCs w:val="24"/>
        </w:rPr>
        <w:t xml:space="preserve"> noguldījumu, un pieņēmusi lēmumu par noguldījumu nepieejamības iestāšanos</w:t>
      </w:r>
      <w:r>
        <w:rPr>
          <w:rFonts w:ascii="Times New Roman" w:hAnsi="Times New Roman"/>
          <w:sz w:val="24"/>
          <w:szCs w:val="24"/>
        </w:rPr>
        <w:t>.</w:t>
      </w:r>
    </w:p>
    <w:p w14:paraId="3EEBEE8F" w14:textId="140BB45A" w:rsidR="00974C98" w:rsidRDefault="00974C98" w:rsidP="00974C98">
      <w:pPr>
        <w:spacing w:after="0"/>
        <w:ind w:firstLine="720"/>
        <w:jc w:val="both"/>
        <w:rPr>
          <w:rFonts w:ascii="Times New Roman" w:hAnsi="Times New Roman"/>
          <w:sz w:val="24"/>
          <w:szCs w:val="24"/>
        </w:rPr>
      </w:pPr>
      <w:r>
        <w:rPr>
          <w:rFonts w:ascii="Times New Roman" w:hAnsi="Times New Roman"/>
          <w:sz w:val="24"/>
          <w:szCs w:val="24"/>
        </w:rPr>
        <w:t xml:space="preserve">2017.gadā saistībā ar metodoloģiskajām izmaiņām CSP, pamatojoties uz ES statistikas biroja </w:t>
      </w:r>
      <w:r w:rsidRPr="002411FE">
        <w:rPr>
          <w:rFonts w:ascii="Times New Roman" w:hAnsi="Times New Roman"/>
          <w:i/>
          <w:sz w:val="24"/>
          <w:szCs w:val="24"/>
        </w:rPr>
        <w:t>Eurostat</w:t>
      </w:r>
      <w:r>
        <w:rPr>
          <w:rFonts w:ascii="Times New Roman" w:hAnsi="Times New Roman"/>
          <w:sz w:val="24"/>
          <w:szCs w:val="24"/>
        </w:rPr>
        <w:t xml:space="preserve"> ieteikumu, attiecināja Noguldījumu garantiju fonda darbības plūsmas uz vispārējās valdības sektoru. Izmaiņu rezultātā noguldījumu garantiju fonda saņemtie ikgadējie maksājumi no noguldītāju piesaistītāju (t.i. banku un krājaizdevu</w:t>
      </w:r>
      <w:r w:rsidR="001E18C7">
        <w:rPr>
          <w:rFonts w:ascii="Times New Roman" w:hAnsi="Times New Roman"/>
          <w:sz w:val="24"/>
          <w:szCs w:val="24"/>
        </w:rPr>
        <w:t>mu</w:t>
      </w:r>
      <w:r>
        <w:rPr>
          <w:rFonts w:ascii="Times New Roman" w:hAnsi="Times New Roman"/>
          <w:sz w:val="24"/>
          <w:szCs w:val="24"/>
        </w:rPr>
        <w:t xml:space="preserve"> sabiedrību) maksājumiem un līdzekļu pārvaldīšanā gūtajiem ienākumiem tiek uzskaitīti kā vispārējās valdības ieņēmumi. Savukārt gadījumos, kuros fonds atzīst neatgūstamās prasības, par attiecīgo summu tiek uzskaitīti vispārējās valdības izdevumi. Tā piemēram, 2011.gadā saistībā ar Latvijas Krājbankas maksātnespēju un sekojošo likvidāciju ir atzīti neatgūstamie līdzekļi 213 936 530 </w:t>
      </w:r>
      <w:r w:rsidRPr="002411FE">
        <w:rPr>
          <w:rFonts w:ascii="Times New Roman" w:hAnsi="Times New Roman"/>
          <w:i/>
          <w:sz w:val="24"/>
          <w:szCs w:val="24"/>
        </w:rPr>
        <w:t>euro</w:t>
      </w:r>
      <w:r>
        <w:rPr>
          <w:rFonts w:ascii="Times New Roman" w:hAnsi="Times New Roman"/>
          <w:i/>
          <w:sz w:val="24"/>
          <w:szCs w:val="24"/>
        </w:rPr>
        <w:t xml:space="preserve"> </w:t>
      </w:r>
      <w:r w:rsidRPr="002411FE">
        <w:rPr>
          <w:rFonts w:ascii="Times New Roman" w:hAnsi="Times New Roman"/>
          <w:sz w:val="24"/>
          <w:szCs w:val="24"/>
        </w:rPr>
        <w:t xml:space="preserve">apmērā, kas </w:t>
      </w:r>
      <w:r>
        <w:rPr>
          <w:rFonts w:ascii="Times New Roman" w:hAnsi="Times New Roman"/>
          <w:sz w:val="24"/>
          <w:szCs w:val="24"/>
        </w:rPr>
        <w:t>pasliktina attiecīgā gada</w:t>
      </w:r>
      <w:r w:rsidRPr="002411FE">
        <w:rPr>
          <w:rFonts w:ascii="Times New Roman" w:hAnsi="Times New Roman"/>
          <w:sz w:val="24"/>
          <w:szCs w:val="24"/>
        </w:rPr>
        <w:t xml:space="preserve"> </w:t>
      </w:r>
      <w:r>
        <w:rPr>
          <w:rFonts w:ascii="Times New Roman" w:hAnsi="Times New Roman"/>
          <w:sz w:val="24"/>
          <w:szCs w:val="24"/>
        </w:rPr>
        <w:t xml:space="preserve">vispārējās valdības budžeta bilanci. </w:t>
      </w:r>
    </w:p>
    <w:p w14:paraId="7C2BCCD8" w14:textId="77777777" w:rsidR="00974C98" w:rsidRPr="0080082A" w:rsidRDefault="00974C98" w:rsidP="00974C98">
      <w:pPr>
        <w:spacing w:after="0"/>
        <w:ind w:firstLine="720"/>
        <w:jc w:val="both"/>
        <w:rPr>
          <w:rFonts w:ascii="Times New Roman" w:hAnsi="Times New Roman"/>
          <w:sz w:val="24"/>
          <w:szCs w:val="24"/>
        </w:rPr>
      </w:pPr>
    </w:p>
    <w:p w14:paraId="375E8610" w14:textId="208C79FB" w:rsidR="00974C98" w:rsidRPr="00626E14" w:rsidRDefault="00974C98" w:rsidP="00974C98">
      <w:pPr>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Tabula Nr. 1</w:t>
      </w:r>
      <w:r w:rsidR="00786453">
        <w:rPr>
          <w:rFonts w:ascii="Times New Roman" w:hAnsi="Times New Roman" w:cs="Times New Roman"/>
          <w:b/>
          <w:sz w:val="24"/>
          <w:szCs w:val="24"/>
        </w:rPr>
        <w:t>4</w:t>
      </w:r>
      <w:r w:rsidRPr="00DA695E">
        <w:rPr>
          <w:rFonts w:ascii="Times New Roman" w:hAnsi="Times New Roman" w:cs="Times New Roman"/>
          <w:b/>
          <w:sz w:val="24"/>
          <w:szCs w:val="24"/>
        </w:rPr>
        <w:t xml:space="preserve">. </w:t>
      </w:r>
      <w:r>
        <w:rPr>
          <w:rFonts w:ascii="Times New Roman" w:hAnsi="Times New Roman" w:cs="Times New Roman"/>
          <w:b/>
          <w:sz w:val="24"/>
          <w:szCs w:val="24"/>
        </w:rPr>
        <w:t>Noguldījumu garantiju fonda ietekme uz vispārējās valdības sektoru</w:t>
      </w:r>
      <w:r w:rsidRPr="00DA695E">
        <w:rPr>
          <w:rFonts w:ascii="Times New Roman" w:hAnsi="Times New Roman" w:cs="Times New Roman"/>
          <w:b/>
          <w:sz w:val="24"/>
          <w:szCs w:val="24"/>
        </w:rPr>
        <w:t xml:space="preserve">, </w:t>
      </w:r>
      <w:r>
        <w:rPr>
          <w:rFonts w:ascii="Times New Roman" w:hAnsi="Times New Roman" w:cs="Times New Roman"/>
          <w:b/>
          <w:sz w:val="24"/>
          <w:szCs w:val="24"/>
        </w:rPr>
        <w:t xml:space="preserve">milj. </w:t>
      </w:r>
      <w:r w:rsidRPr="00DA695E">
        <w:rPr>
          <w:rFonts w:ascii="Times New Roman" w:hAnsi="Times New Roman" w:cs="Times New Roman"/>
          <w:b/>
          <w:i/>
          <w:sz w:val="24"/>
          <w:szCs w:val="24"/>
        </w:rPr>
        <w:t>euro</w:t>
      </w:r>
    </w:p>
    <w:tbl>
      <w:tblPr>
        <w:tblStyle w:val="GridTable6Colorful-Accent1"/>
        <w:tblW w:w="0" w:type="auto"/>
        <w:jc w:val="center"/>
        <w:tblLook w:val="04A0" w:firstRow="1" w:lastRow="0" w:firstColumn="1" w:lastColumn="0" w:noHBand="0" w:noVBand="1"/>
      </w:tblPr>
      <w:tblGrid>
        <w:gridCol w:w="1256"/>
        <w:gridCol w:w="1304"/>
        <w:gridCol w:w="1304"/>
        <w:gridCol w:w="1199"/>
        <w:gridCol w:w="1199"/>
        <w:gridCol w:w="1199"/>
        <w:gridCol w:w="1126"/>
      </w:tblGrid>
      <w:tr w:rsidR="00154BD7" w:rsidRPr="00120DF9" w14:paraId="3A9C004F" w14:textId="77777777" w:rsidTr="00F938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6" w:type="dxa"/>
          </w:tcPr>
          <w:p w14:paraId="4049D693" w14:textId="77777777" w:rsidR="00974C98" w:rsidRPr="00120DF9" w:rsidRDefault="00974C98" w:rsidP="00F938AA">
            <w:pPr>
              <w:jc w:val="both"/>
              <w:rPr>
                <w:rFonts w:ascii="Times New Roman" w:hAnsi="Times New Roman" w:cs="Times New Roman"/>
                <w:color w:val="000000" w:themeColor="text1"/>
              </w:rPr>
            </w:pPr>
          </w:p>
        </w:tc>
        <w:tc>
          <w:tcPr>
            <w:tcW w:w="1304" w:type="dxa"/>
          </w:tcPr>
          <w:p w14:paraId="6BB9992B"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2001</w:t>
            </w:r>
          </w:p>
        </w:tc>
        <w:tc>
          <w:tcPr>
            <w:tcW w:w="1304" w:type="dxa"/>
          </w:tcPr>
          <w:p w14:paraId="4A3609AC"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2002</w:t>
            </w:r>
          </w:p>
        </w:tc>
        <w:tc>
          <w:tcPr>
            <w:tcW w:w="1199" w:type="dxa"/>
          </w:tcPr>
          <w:p w14:paraId="161DD97D"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2003</w:t>
            </w:r>
          </w:p>
        </w:tc>
        <w:tc>
          <w:tcPr>
            <w:tcW w:w="1199" w:type="dxa"/>
          </w:tcPr>
          <w:p w14:paraId="122D4743"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2004</w:t>
            </w:r>
          </w:p>
        </w:tc>
        <w:tc>
          <w:tcPr>
            <w:tcW w:w="1199" w:type="dxa"/>
          </w:tcPr>
          <w:p w14:paraId="6E138751"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2005</w:t>
            </w:r>
          </w:p>
        </w:tc>
        <w:tc>
          <w:tcPr>
            <w:tcW w:w="1126" w:type="dxa"/>
          </w:tcPr>
          <w:p w14:paraId="7E3B0E2E" w14:textId="77777777" w:rsidR="00974C98" w:rsidRPr="00120DF9" w:rsidRDefault="00974C98" w:rsidP="00F938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2006</w:t>
            </w:r>
          </w:p>
        </w:tc>
      </w:tr>
      <w:tr w:rsidR="00154BD7" w:rsidRPr="00120DF9" w14:paraId="1C634FF5" w14:textId="77777777" w:rsidTr="00F93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6" w:type="dxa"/>
          </w:tcPr>
          <w:p w14:paraId="0DC4AB72" w14:textId="77777777" w:rsidR="00974C98" w:rsidRPr="00120DF9" w:rsidRDefault="00974C98" w:rsidP="00F938AA">
            <w:pPr>
              <w:rPr>
                <w:rFonts w:ascii="Times New Roman" w:hAnsi="Times New Roman" w:cs="Times New Roman"/>
                <w:color w:val="000000" w:themeColor="text1"/>
              </w:rPr>
            </w:pPr>
            <w:r w:rsidRPr="00120DF9">
              <w:rPr>
                <w:rFonts w:ascii="Times New Roman" w:hAnsi="Times New Roman" w:cs="Times New Roman"/>
                <w:color w:val="000000" w:themeColor="text1"/>
              </w:rPr>
              <w:t>Ietekme uz B.9</w:t>
            </w:r>
          </w:p>
        </w:tc>
        <w:tc>
          <w:tcPr>
            <w:tcW w:w="1304" w:type="dxa"/>
            <w:vAlign w:val="center"/>
          </w:tcPr>
          <w:p w14:paraId="4CF1F899"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1,518</w:t>
            </w:r>
          </w:p>
        </w:tc>
        <w:tc>
          <w:tcPr>
            <w:tcW w:w="1304" w:type="dxa"/>
            <w:vAlign w:val="center"/>
          </w:tcPr>
          <w:p w14:paraId="79DAEAA8"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3,622</w:t>
            </w:r>
          </w:p>
        </w:tc>
        <w:tc>
          <w:tcPr>
            <w:tcW w:w="1199" w:type="dxa"/>
            <w:vAlign w:val="center"/>
          </w:tcPr>
          <w:p w14:paraId="5E693081"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9,485</w:t>
            </w:r>
          </w:p>
        </w:tc>
        <w:tc>
          <w:tcPr>
            <w:tcW w:w="1199" w:type="dxa"/>
            <w:vAlign w:val="center"/>
          </w:tcPr>
          <w:p w14:paraId="0476C046"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12,714</w:t>
            </w:r>
          </w:p>
        </w:tc>
        <w:tc>
          <w:tcPr>
            <w:tcW w:w="1199" w:type="dxa"/>
            <w:vAlign w:val="center"/>
          </w:tcPr>
          <w:p w14:paraId="5ABAF720"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15,999</w:t>
            </w:r>
          </w:p>
        </w:tc>
        <w:tc>
          <w:tcPr>
            <w:tcW w:w="1126" w:type="dxa"/>
            <w:vAlign w:val="center"/>
          </w:tcPr>
          <w:p w14:paraId="51A75B38"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20,038</w:t>
            </w:r>
          </w:p>
        </w:tc>
      </w:tr>
      <w:tr w:rsidR="00154BD7" w:rsidRPr="00120DF9" w14:paraId="1D67ED52" w14:textId="77777777" w:rsidTr="00F938AA">
        <w:trPr>
          <w:jc w:val="center"/>
        </w:trPr>
        <w:tc>
          <w:tcPr>
            <w:cnfStyle w:val="001000000000" w:firstRow="0" w:lastRow="0" w:firstColumn="1" w:lastColumn="0" w:oddVBand="0" w:evenVBand="0" w:oddHBand="0" w:evenHBand="0" w:firstRowFirstColumn="0" w:firstRowLastColumn="0" w:lastRowFirstColumn="0" w:lastRowLastColumn="0"/>
            <w:tcW w:w="1256" w:type="dxa"/>
          </w:tcPr>
          <w:p w14:paraId="28FF30F6" w14:textId="77777777" w:rsidR="00974C98" w:rsidRPr="00120DF9" w:rsidRDefault="00974C98" w:rsidP="00F938AA">
            <w:pPr>
              <w:jc w:val="both"/>
              <w:rPr>
                <w:rFonts w:ascii="Times New Roman" w:hAnsi="Times New Roman" w:cs="Times New Roman"/>
                <w:color w:val="000000" w:themeColor="text1"/>
              </w:rPr>
            </w:pPr>
          </w:p>
        </w:tc>
        <w:tc>
          <w:tcPr>
            <w:tcW w:w="1304" w:type="dxa"/>
          </w:tcPr>
          <w:p w14:paraId="610627BB"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2007</w:t>
            </w:r>
          </w:p>
        </w:tc>
        <w:tc>
          <w:tcPr>
            <w:tcW w:w="1304" w:type="dxa"/>
          </w:tcPr>
          <w:p w14:paraId="442F0D05"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2008</w:t>
            </w:r>
          </w:p>
        </w:tc>
        <w:tc>
          <w:tcPr>
            <w:tcW w:w="1199" w:type="dxa"/>
          </w:tcPr>
          <w:p w14:paraId="5C135BB8"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2009</w:t>
            </w:r>
          </w:p>
        </w:tc>
        <w:tc>
          <w:tcPr>
            <w:tcW w:w="1199" w:type="dxa"/>
          </w:tcPr>
          <w:p w14:paraId="6DB2990D"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2010</w:t>
            </w:r>
          </w:p>
        </w:tc>
        <w:tc>
          <w:tcPr>
            <w:tcW w:w="1199" w:type="dxa"/>
          </w:tcPr>
          <w:p w14:paraId="77A6878C"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2011</w:t>
            </w:r>
          </w:p>
        </w:tc>
        <w:tc>
          <w:tcPr>
            <w:tcW w:w="1126" w:type="dxa"/>
          </w:tcPr>
          <w:p w14:paraId="4AAB0191"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2012</w:t>
            </w:r>
          </w:p>
        </w:tc>
      </w:tr>
      <w:tr w:rsidR="00154BD7" w:rsidRPr="00120DF9" w14:paraId="3EC2C3C3" w14:textId="77777777" w:rsidTr="00F93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6" w:type="dxa"/>
          </w:tcPr>
          <w:p w14:paraId="37082DDE" w14:textId="77777777" w:rsidR="00974C98" w:rsidRPr="00120DF9" w:rsidRDefault="00974C98" w:rsidP="00F938AA">
            <w:pPr>
              <w:rPr>
                <w:rFonts w:ascii="Times New Roman" w:hAnsi="Times New Roman" w:cs="Times New Roman"/>
                <w:color w:val="000000" w:themeColor="text1"/>
              </w:rPr>
            </w:pPr>
            <w:r w:rsidRPr="00120DF9">
              <w:rPr>
                <w:rFonts w:ascii="Times New Roman" w:hAnsi="Times New Roman" w:cs="Times New Roman"/>
                <w:color w:val="000000" w:themeColor="text1"/>
              </w:rPr>
              <w:t>Ietekme uz B.9</w:t>
            </w:r>
          </w:p>
        </w:tc>
        <w:tc>
          <w:tcPr>
            <w:tcW w:w="1304" w:type="dxa"/>
            <w:vAlign w:val="center"/>
          </w:tcPr>
          <w:p w14:paraId="4FD477A3"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25,614</w:t>
            </w:r>
          </w:p>
        </w:tc>
        <w:tc>
          <w:tcPr>
            <w:tcW w:w="1304" w:type="dxa"/>
            <w:vAlign w:val="center"/>
          </w:tcPr>
          <w:p w14:paraId="24FE87D3"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29,927</w:t>
            </w:r>
          </w:p>
        </w:tc>
        <w:tc>
          <w:tcPr>
            <w:tcW w:w="1199" w:type="dxa"/>
            <w:vAlign w:val="center"/>
          </w:tcPr>
          <w:p w14:paraId="53AD7ACC"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29,502</w:t>
            </w:r>
          </w:p>
        </w:tc>
        <w:tc>
          <w:tcPr>
            <w:tcW w:w="1199" w:type="dxa"/>
            <w:vAlign w:val="center"/>
          </w:tcPr>
          <w:p w14:paraId="414CD973"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35,248</w:t>
            </w:r>
          </w:p>
        </w:tc>
        <w:tc>
          <w:tcPr>
            <w:tcW w:w="1199" w:type="dxa"/>
            <w:vAlign w:val="center"/>
          </w:tcPr>
          <w:p w14:paraId="3C3ED57D"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-182,031</w:t>
            </w:r>
          </w:p>
        </w:tc>
        <w:tc>
          <w:tcPr>
            <w:tcW w:w="1126" w:type="dxa"/>
            <w:vAlign w:val="center"/>
          </w:tcPr>
          <w:p w14:paraId="5190E58A"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40,507</w:t>
            </w:r>
          </w:p>
        </w:tc>
      </w:tr>
      <w:tr w:rsidR="00154BD7" w:rsidRPr="00120DF9" w14:paraId="5C6573E8" w14:textId="77777777" w:rsidTr="00F938AA">
        <w:trPr>
          <w:jc w:val="center"/>
        </w:trPr>
        <w:tc>
          <w:tcPr>
            <w:cnfStyle w:val="001000000000" w:firstRow="0" w:lastRow="0" w:firstColumn="1" w:lastColumn="0" w:oddVBand="0" w:evenVBand="0" w:oddHBand="0" w:evenHBand="0" w:firstRowFirstColumn="0" w:firstRowLastColumn="0" w:lastRowFirstColumn="0" w:lastRowLastColumn="0"/>
            <w:tcW w:w="1256" w:type="dxa"/>
          </w:tcPr>
          <w:p w14:paraId="50DCE781" w14:textId="77777777" w:rsidR="00974C98" w:rsidRPr="00120DF9" w:rsidRDefault="00974C98" w:rsidP="00F938AA">
            <w:pPr>
              <w:rPr>
                <w:rFonts w:ascii="Times New Roman" w:hAnsi="Times New Roman" w:cs="Times New Roman"/>
                <w:color w:val="000000" w:themeColor="text1"/>
              </w:rPr>
            </w:pPr>
          </w:p>
        </w:tc>
        <w:tc>
          <w:tcPr>
            <w:tcW w:w="1304" w:type="dxa"/>
          </w:tcPr>
          <w:p w14:paraId="45AA2DA2"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2013</w:t>
            </w:r>
          </w:p>
        </w:tc>
        <w:tc>
          <w:tcPr>
            <w:tcW w:w="1304" w:type="dxa"/>
          </w:tcPr>
          <w:p w14:paraId="2CA57DAA"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2014</w:t>
            </w:r>
          </w:p>
        </w:tc>
        <w:tc>
          <w:tcPr>
            <w:tcW w:w="1199" w:type="dxa"/>
          </w:tcPr>
          <w:p w14:paraId="63D2A61E"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2015</w:t>
            </w:r>
          </w:p>
        </w:tc>
        <w:tc>
          <w:tcPr>
            <w:tcW w:w="1199" w:type="dxa"/>
          </w:tcPr>
          <w:p w14:paraId="233BB20E"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2016</w:t>
            </w:r>
          </w:p>
        </w:tc>
        <w:tc>
          <w:tcPr>
            <w:tcW w:w="1199" w:type="dxa"/>
          </w:tcPr>
          <w:p w14:paraId="442A7ECE"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rPr>
            </w:pPr>
            <w:r w:rsidRPr="00120DF9">
              <w:rPr>
                <w:rFonts w:ascii="Times New Roman" w:hAnsi="Times New Roman" w:cs="Times New Roman"/>
                <w:b/>
                <w:bCs/>
                <w:color w:val="000000" w:themeColor="text1"/>
              </w:rPr>
              <w:t>2017</w:t>
            </w:r>
          </w:p>
        </w:tc>
        <w:tc>
          <w:tcPr>
            <w:tcW w:w="1126" w:type="dxa"/>
            <w:vMerge w:val="restart"/>
          </w:tcPr>
          <w:p w14:paraId="2D4F75C3" w14:textId="77777777" w:rsidR="00974C98" w:rsidRPr="00120DF9" w:rsidRDefault="00974C98" w:rsidP="00F938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154BD7" w:rsidRPr="00120DF9" w14:paraId="4E28DA93" w14:textId="77777777" w:rsidTr="00F938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6" w:type="dxa"/>
          </w:tcPr>
          <w:p w14:paraId="3B1C82B8" w14:textId="77777777" w:rsidR="00974C98" w:rsidRPr="00120DF9" w:rsidRDefault="00974C98" w:rsidP="00F938AA">
            <w:pPr>
              <w:rPr>
                <w:rFonts w:ascii="Times New Roman" w:hAnsi="Times New Roman" w:cs="Times New Roman"/>
                <w:color w:val="000000" w:themeColor="text1"/>
              </w:rPr>
            </w:pPr>
            <w:r w:rsidRPr="00120DF9">
              <w:rPr>
                <w:rFonts w:ascii="Times New Roman" w:hAnsi="Times New Roman" w:cs="Times New Roman"/>
                <w:color w:val="000000" w:themeColor="text1"/>
              </w:rPr>
              <w:t>Ietekme uz B.9</w:t>
            </w:r>
          </w:p>
        </w:tc>
        <w:tc>
          <w:tcPr>
            <w:tcW w:w="1304" w:type="dxa"/>
            <w:vAlign w:val="center"/>
          </w:tcPr>
          <w:p w14:paraId="4FCF94D9"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31,735</w:t>
            </w:r>
          </w:p>
        </w:tc>
        <w:tc>
          <w:tcPr>
            <w:tcW w:w="1304" w:type="dxa"/>
            <w:vAlign w:val="center"/>
          </w:tcPr>
          <w:p w14:paraId="698E3806"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34,475</w:t>
            </w:r>
          </w:p>
        </w:tc>
        <w:tc>
          <w:tcPr>
            <w:tcW w:w="1199" w:type="dxa"/>
            <w:vAlign w:val="center"/>
          </w:tcPr>
          <w:p w14:paraId="10082D4D"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27,542</w:t>
            </w:r>
          </w:p>
        </w:tc>
        <w:tc>
          <w:tcPr>
            <w:tcW w:w="1199" w:type="dxa"/>
            <w:vAlign w:val="center"/>
          </w:tcPr>
          <w:p w14:paraId="24BEA4C3"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15,634</w:t>
            </w:r>
          </w:p>
        </w:tc>
        <w:tc>
          <w:tcPr>
            <w:tcW w:w="1199" w:type="dxa"/>
            <w:vAlign w:val="center"/>
          </w:tcPr>
          <w:p w14:paraId="40C392C0"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16,739</w:t>
            </w:r>
          </w:p>
        </w:tc>
        <w:tc>
          <w:tcPr>
            <w:tcW w:w="1126" w:type="dxa"/>
            <w:vMerge/>
          </w:tcPr>
          <w:p w14:paraId="29E19549" w14:textId="77777777" w:rsidR="00974C98" w:rsidRPr="00120DF9" w:rsidRDefault="00974C98" w:rsidP="00F938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10561711" w14:textId="77777777" w:rsidR="00974C98" w:rsidRDefault="00974C98" w:rsidP="00974C98">
      <w:pPr>
        <w:spacing w:after="0"/>
        <w:ind w:firstLine="720"/>
        <w:jc w:val="both"/>
        <w:rPr>
          <w:rFonts w:ascii="Times New Roman" w:hAnsi="Times New Roman"/>
          <w:sz w:val="24"/>
          <w:szCs w:val="24"/>
        </w:rPr>
      </w:pPr>
    </w:p>
    <w:p w14:paraId="45B91AF1" w14:textId="457DC7CD" w:rsidR="00334442" w:rsidRPr="009A521C" w:rsidRDefault="00B839BC" w:rsidP="00974C98">
      <w:pPr>
        <w:pStyle w:val="Heading1"/>
        <w:numPr>
          <w:ilvl w:val="0"/>
          <w:numId w:val="0"/>
        </w:numPr>
        <w:ind w:left="360"/>
        <w:jc w:val="center"/>
      </w:pPr>
      <w:r w:rsidRPr="009A521C">
        <w:br w:type="page"/>
      </w:r>
      <w:bookmarkStart w:id="38" w:name="_Toc457318329"/>
      <w:bookmarkStart w:id="39" w:name="_Toc536626727"/>
      <w:r w:rsidR="00974C98">
        <w:lastRenderedPageBreak/>
        <w:t xml:space="preserve">4. </w:t>
      </w:r>
      <w:r w:rsidR="00334442" w:rsidRPr="009A521C">
        <w:rPr>
          <w:rFonts w:ascii="Times New Roman" w:hAnsi="Times New Roman" w:cs="Times New Roman"/>
          <w:sz w:val="32"/>
        </w:rPr>
        <w:t>Iepriekšējā laika perioda fiskālo rādītāju iznākumu un prognožu salīdzinājums</w:t>
      </w:r>
      <w:bookmarkEnd w:id="38"/>
      <w:bookmarkEnd w:id="39"/>
    </w:p>
    <w:p w14:paraId="694B6771" w14:textId="77777777" w:rsidR="00CD680F" w:rsidRPr="00931EF1" w:rsidRDefault="00CD680F" w:rsidP="00CD680F">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 xml:space="preserve">Lai vērtētu fiskālo risku vadības sistēmas efektivitāti, nepieciešams novērtēt, cik lielā mērā fiskālo rādītāju iznākums atšķiras no to prognozēm. Būtisks faktors šo atšķirību veidošanā ir faktisko makroekonomisko rādītāju novirzēm no to prognozētajām vērtībām.  </w:t>
      </w:r>
    </w:p>
    <w:p w14:paraId="0CCC365E" w14:textId="77777777" w:rsidR="00CD680F" w:rsidRPr="00931EF1" w:rsidRDefault="00CD680F" w:rsidP="00CD680F">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Fiskālo risku vadības mērķis ir nodrošināt fiskālo rādītāju (plānotā vispārējās valdības budžeta strukturālā bilance, plānotā vispārējās valdības budžeta bilance, prognozētie valsts budžeta ieņēmumi un koriģētie maksimāli pieļaujamie valsts budžeta izdevumi) stabilitāti vidējā termiņā.</w:t>
      </w:r>
    </w:p>
    <w:p w14:paraId="114E5F3C" w14:textId="77777777" w:rsidR="00CD680F" w:rsidRPr="00931EF1" w:rsidRDefault="00CD680F" w:rsidP="00CD680F">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Būtiskākie fiskālie rādītāji ir vispārējās valdības budžeta strukturālā bilance un vispārējās valdības budžeta bilance.</w:t>
      </w:r>
    </w:p>
    <w:p w14:paraId="06A84549" w14:textId="77777777" w:rsidR="00CD680F" w:rsidRPr="00951B61" w:rsidRDefault="00CD680F" w:rsidP="00CD680F">
      <w:pPr>
        <w:spacing w:after="0" w:line="240" w:lineRule="auto"/>
        <w:ind w:firstLine="720"/>
        <w:jc w:val="both"/>
        <w:rPr>
          <w:rFonts w:ascii="Times New Roman" w:hAnsi="Times New Roman" w:cs="Times New Roman"/>
          <w:bCs/>
          <w:sz w:val="24"/>
          <w:szCs w:val="24"/>
        </w:rPr>
      </w:pPr>
      <w:r w:rsidRPr="00951B61">
        <w:rPr>
          <w:rFonts w:ascii="Times New Roman" w:hAnsi="Times New Roman" w:cs="Times New Roman"/>
          <w:b/>
          <w:bCs/>
          <w:sz w:val="24"/>
          <w:szCs w:val="24"/>
        </w:rPr>
        <w:t>Vispārējās valdības budžeta strukturālais deficīts</w:t>
      </w:r>
      <w:r w:rsidRPr="00951B61">
        <w:rPr>
          <w:rFonts w:ascii="Times New Roman" w:hAnsi="Times New Roman" w:cs="Times New Roman"/>
          <w:bCs/>
          <w:sz w:val="24"/>
          <w:szCs w:val="24"/>
        </w:rPr>
        <w:t xml:space="preserve"> pēdējos gados ir bijis mazāks</w:t>
      </w:r>
      <w:r>
        <w:rPr>
          <w:rFonts w:ascii="Times New Roman" w:hAnsi="Times New Roman" w:cs="Times New Roman"/>
          <w:bCs/>
          <w:sz w:val="24"/>
          <w:szCs w:val="24"/>
        </w:rPr>
        <w:t xml:space="preserve"> ne</w:t>
      </w:r>
      <w:r w:rsidRPr="00951B61">
        <w:rPr>
          <w:rFonts w:ascii="Times New Roman" w:hAnsi="Times New Roman" w:cs="Times New Roman"/>
          <w:bCs/>
          <w:sz w:val="24"/>
          <w:szCs w:val="24"/>
        </w:rPr>
        <w:t xml:space="preserve">kā strukturālā deficīta mērķis </w:t>
      </w:r>
      <w:r>
        <w:rPr>
          <w:rFonts w:ascii="Times New Roman" w:hAnsi="Times New Roman" w:cs="Times New Roman"/>
          <w:bCs/>
          <w:sz w:val="24"/>
          <w:szCs w:val="24"/>
        </w:rPr>
        <w:t>Vidēja termiņa budžeta i</w:t>
      </w:r>
      <w:r w:rsidRPr="00951B61">
        <w:rPr>
          <w:rFonts w:ascii="Times New Roman" w:hAnsi="Times New Roman" w:cs="Times New Roman"/>
          <w:bCs/>
          <w:sz w:val="24"/>
          <w:szCs w:val="24"/>
        </w:rPr>
        <w:t>etvara likum</w:t>
      </w:r>
      <w:r>
        <w:rPr>
          <w:rFonts w:ascii="Times New Roman" w:hAnsi="Times New Roman" w:cs="Times New Roman"/>
          <w:bCs/>
          <w:sz w:val="24"/>
          <w:szCs w:val="24"/>
        </w:rPr>
        <w:t xml:space="preserve">ā (turpmāk tekstā Ietvara likums, </w:t>
      </w:r>
      <w:r w:rsidR="00AB5BFA">
        <w:rPr>
          <w:rFonts w:ascii="Times New Roman" w:hAnsi="Times New Roman" w:cs="Times New Roman"/>
          <w:bCs/>
          <w:sz w:val="24"/>
          <w:szCs w:val="24"/>
        </w:rPr>
        <w:t>skat. tabulu Nr.12).</w:t>
      </w:r>
    </w:p>
    <w:p w14:paraId="0076B5C0" w14:textId="1566D953" w:rsidR="00CD680F" w:rsidRPr="00951B61" w:rsidRDefault="00CD680F" w:rsidP="00CD680F">
      <w:pPr>
        <w:spacing w:before="240"/>
        <w:jc w:val="right"/>
        <w:rPr>
          <w:rFonts w:ascii="Times New Roman" w:hAnsi="Times New Roman" w:cs="Times New Roman"/>
          <w:b/>
          <w:sz w:val="24"/>
          <w:szCs w:val="24"/>
        </w:rPr>
      </w:pPr>
      <w:r w:rsidRPr="00951B61">
        <w:rPr>
          <w:rFonts w:ascii="Times New Roman" w:hAnsi="Times New Roman" w:cs="Times New Roman"/>
          <w:b/>
          <w:sz w:val="24"/>
          <w:szCs w:val="24"/>
        </w:rPr>
        <w:t>Tabula Nr.1</w:t>
      </w:r>
      <w:r w:rsidR="00786453">
        <w:rPr>
          <w:rFonts w:ascii="Times New Roman" w:hAnsi="Times New Roman" w:cs="Times New Roman"/>
          <w:b/>
          <w:sz w:val="24"/>
          <w:szCs w:val="24"/>
        </w:rPr>
        <w:t>5</w:t>
      </w:r>
      <w:r w:rsidRPr="00951B61">
        <w:rPr>
          <w:rFonts w:ascii="Times New Roman" w:hAnsi="Times New Roman" w:cs="Times New Roman"/>
          <w:b/>
          <w:sz w:val="24"/>
          <w:szCs w:val="24"/>
        </w:rPr>
        <w:t xml:space="preserve"> Vispārējās valdības budžeta strukturālā bilance, % no IKP</w:t>
      </w:r>
    </w:p>
    <w:tbl>
      <w:tblPr>
        <w:tblStyle w:val="GridTable6Colorful-Accent1"/>
        <w:tblW w:w="9493" w:type="dxa"/>
        <w:jc w:val="center"/>
        <w:tblLayout w:type="fixed"/>
        <w:tblLook w:val="04A0" w:firstRow="1" w:lastRow="0" w:firstColumn="1" w:lastColumn="0" w:noHBand="0" w:noVBand="1"/>
      </w:tblPr>
      <w:tblGrid>
        <w:gridCol w:w="2263"/>
        <w:gridCol w:w="1276"/>
        <w:gridCol w:w="992"/>
        <w:gridCol w:w="1429"/>
        <w:gridCol w:w="992"/>
        <w:gridCol w:w="840"/>
        <w:gridCol w:w="850"/>
        <w:gridCol w:w="851"/>
      </w:tblGrid>
      <w:tr w:rsidR="0065289B" w:rsidRPr="0065289B" w14:paraId="40C53003" w14:textId="77777777" w:rsidTr="00CD680F">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63" w:type="dxa"/>
            <w:vMerge w:val="restart"/>
            <w:hideMark/>
          </w:tcPr>
          <w:p w14:paraId="65272B03" w14:textId="6F898F4E" w:rsidR="0065289B" w:rsidRPr="0065289B" w:rsidRDefault="0065289B" w:rsidP="0065289B">
            <w:pPr>
              <w:jc w:val="both"/>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 </w:t>
            </w:r>
          </w:p>
        </w:tc>
        <w:tc>
          <w:tcPr>
            <w:tcW w:w="2268" w:type="dxa"/>
            <w:gridSpan w:val="2"/>
            <w:vAlign w:val="center"/>
            <w:hideMark/>
          </w:tcPr>
          <w:p w14:paraId="2AAA0F00" w14:textId="6E5DC76E" w:rsidR="0065289B" w:rsidRPr="0065289B" w:rsidRDefault="0065289B" w:rsidP="00652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2016</w:t>
            </w:r>
          </w:p>
        </w:tc>
        <w:tc>
          <w:tcPr>
            <w:tcW w:w="2421" w:type="dxa"/>
            <w:gridSpan w:val="2"/>
            <w:vAlign w:val="center"/>
            <w:hideMark/>
          </w:tcPr>
          <w:p w14:paraId="590E2A12" w14:textId="31478D62" w:rsidR="0065289B" w:rsidRPr="0065289B" w:rsidRDefault="0065289B" w:rsidP="00652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2017</w:t>
            </w:r>
          </w:p>
        </w:tc>
        <w:tc>
          <w:tcPr>
            <w:tcW w:w="840" w:type="dxa"/>
            <w:vAlign w:val="center"/>
            <w:hideMark/>
          </w:tcPr>
          <w:p w14:paraId="0F70E1CA" w14:textId="4053EAE3" w:rsidR="0065289B" w:rsidRPr="0065289B" w:rsidRDefault="0065289B" w:rsidP="00652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2018</w:t>
            </w:r>
          </w:p>
        </w:tc>
        <w:tc>
          <w:tcPr>
            <w:tcW w:w="850" w:type="dxa"/>
            <w:vAlign w:val="center"/>
            <w:hideMark/>
          </w:tcPr>
          <w:p w14:paraId="7892AF69" w14:textId="7E1C2675" w:rsidR="0065289B" w:rsidRPr="0065289B" w:rsidRDefault="0065289B" w:rsidP="00652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2019</w:t>
            </w:r>
          </w:p>
        </w:tc>
        <w:tc>
          <w:tcPr>
            <w:tcW w:w="851" w:type="dxa"/>
            <w:vAlign w:val="center"/>
          </w:tcPr>
          <w:p w14:paraId="2E6055B8" w14:textId="24382843" w:rsidR="0065289B" w:rsidRPr="0065289B" w:rsidRDefault="0065289B" w:rsidP="00652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2020</w:t>
            </w:r>
          </w:p>
        </w:tc>
      </w:tr>
      <w:tr w:rsidR="0065289B" w:rsidRPr="0065289B" w14:paraId="4F591049" w14:textId="77777777" w:rsidTr="00CD680F">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263" w:type="dxa"/>
            <w:vMerge/>
            <w:hideMark/>
          </w:tcPr>
          <w:p w14:paraId="67CFB775" w14:textId="77777777" w:rsidR="0065289B" w:rsidRPr="0065289B" w:rsidRDefault="0065289B" w:rsidP="0065289B">
            <w:pPr>
              <w:jc w:val="both"/>
              <w:rPr>
                <w:rFonts w:ascii="Times New Roman" w:hAnsi="Times New Roman" w:cs="Times New Roman"/>
                <w:b w:val="0"/>
                <w:bCs w:val="0"/>
                <w:color w:val="000000" w:themeColor="text1"/>
                <w:highlight w:val="yellow"/>
              </w:rPr>
            </w:pPr>
          </w:p>
        </w:tc>
        <w:tc>
          <w:tcPr>
            <w:tcW w:w="1276" w:type="dxa"/>
            <w:vAlign w:val="center"/>
            <w:hideMark/>
          </w:tcPr>
          <w:p w14:paraId="26BDF193" w14:textId="10FF4A62" w:rsidR="0065289B" w:rsidRPr="0065289B" w:rsidRDefault="0065289B" w:rsidP="00652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VTBIL noteiktais mērķis</w:t>
            </w:r>
          </w:p>
        </w:tc>
        <w:tc>
          <w:tcPr>
            <w:tcW w:w="992" w:type="dxa"/>
            <w:vAlign w:val="center"/>
            <w:hideMark/>
          </w:tcPr>
          <w:p w14:paraId="5FE967B9" w14:textId="0FAAA0B4" w:rsidR="0065289B" w:rsidRPr="0065289B" w:rsidRDefault="0065289B" w:rsidP="00652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Fakts*</w:t>
            </w:r>
          </w:p>
        </w:tc>
        <w:tc>
          <w:tcPr>
            <w:tcW w:w="1429" w:type="dxa"/>
            <w:vAlign w:val="center"/>
            <w:hideMark/>
          </w:tcPr>
          <w:p w14:paraId="183CFD73" w14:textId="0367B91B" w:rsidR="0065289B" w:rsidRPr="0065289B" w:rsidRDefault="0065289B" w:rsidP="00652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VTBIL noteiktais mērķis</w:t>
            </w:r>
          </w:p>
        </w:tc>
        <w:tc>
          <w:tcPr>
            <w:tcW w:w="992" w:type="dxa"/>
            <w:vAlign w:val="center"/>
          </w:tcPr>
          <w:p w14:paraId="76D3E510" w14:textId="33C8C37A" w:rsidR="0065289B" w:rsidRPr="0065289B" w:rsidRDefault="0065289B" w:rsidP="00652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Fakts*</w:t>
            </w:r>
          </w:p>
        </w:tc>
        <w:tc>
          <w:tcPr>
            <w:tcW w:w="2541" w:type="dxa"/>
            <w:gridSpan w:val="3"/>
            <w:vAlign w:val="center"/>
          </w:tcPr>
          <w:p w14:paraId="3A07912C" w14:textId="707C9D48" w:rsidR="0065289B" w:rsidRPr="0065289B" w:rsidRDefault="0065289B" w:rsidP="00652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VTBIL noteiktais mērķis</w:t>
            </w:r>
          </w:p>
        </w:tc>
      </w:tr>
      <w:tr w:rsidR="0065289B" w:rsidRPr="0065289B" w14:paraId="15C2A52E" w14:textId="77777777" w:rsidTr="00CD680F">
        <w:trPr>
          <w:trHeight w:val="484"/>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26D2AF6A" w14:textId="2688B9E4" w:rsidR="0065289B" w:rsidRPr="0065289B" w:rsidRDefault="0065289B" w:rsidP="0065289B">
            <w:pPr>
              <w:jc w:val="both"/>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VTBIL 2016</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2018</w:t>
            </w:r>
          </w:p>
        </w:tc>
        <w:tc>
          <w:tcPr>
            <w:tcW w:w="1276" w:type="dxa"/>
            <w:vAlign w:val="center"/>
            <w:hideMark/>
          </w:tcPr>
          <w:p w14:paraId="7BA048C0" w14:textId="3476CDBA"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-0,9</w:t>
            </w:r>
          </w:p>
        </w:tc>
        <w:tc>
          <w:tcPr>
            <w:tcW w:w="992" w:type="dxa"/>
            <w:vAlign w:val="center"/>
            <w:hideMark/>
          </w:tcPr>
          <w:p w14:paraId="4F13E662" w14:textId="5B827465"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0,2</w:t>
            </w:r>
          </w:p>
        </w:tc>
        <w:tc>
          <w:tcPr>
            <w:tcW w:w="1429" w:type="dxa"/>
            <w:vAlign w:val="center"/>
          </w:tcPr>
          <w:p w14:paraId="497A2886" w14:textId="54F502D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-1,0</w:t>
            </w:r>
          </w:p>
        </w:tc>
        <w:tc>
          <w:tcPr>
            <w:tcW w:w="992" w:type="dxa"/>
            <w:vAlign w:val="center"/>
          </w:tcPr>
          <w:p w14:paraId="6E717E3C"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840" w:type="dxa"/>
            <w:vAlign w:val="center"/>
            <w:hideMark/>
          </w:tcPr>
          <w:p w14:paraId="1304B0AC" w14:textId="3F78F9E3"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-0,8</w:t>
            </w:r>
          </w:p>
        </w:tc>
        <w:tc>
          <w:tcPr>
            <w:tcW w:w="850" w:type="dxa"/>
            <w:vAlign w:val="center"/>
            <w:hideMark/>
          </w:tcPr>
          <w:p w14:paraId="35FA671D"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 </w:t>
            </w:r>
          </w:p>
        </w:tc>
        <w:tc>
          <w:tcPr>
            <w:tcW w:w="851" w:type="dxa"/>
          </w:tcPr>
          <w:p w14:paraId="625298F4"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65289B" w:rsidRPr="0065289B" w14:paraId="2AB34B38" w14:textId="77777777" w:rsidTr="00CD680F">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63" w:type="dxa"/>
            <w:hideMark/>
          </w:tcPr>
          <w:p w14:paraId="674795B3" w14:textId="09CD1DF9" w:rsidR="0065289B" w:rsidRPr="0065289B" w:rsidRDefault="0065289B" w:rsidP="0065289B">
            <w:pPr>
              <w:jc w:val="both"/>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VTBIL 2017</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2019</w:t>
            </w:r>
          </w:p>
        </w:tc>
        <w:tc>
          <w:tcPr>
            <w:tcW w:w="1276" w:type="dxa"/>
            <w:vAlign w:val="center"/>
            <w:hideMark/>
          </w:tcPr>
          <w:p w14:paraId="4046D283" w14:textId="12EBC4E2"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 </w:t>
            </w:r>
          </w:p>
        </w:tc>
        <w:tc>
          <w:tcPr>
            <w:tcW w:w="992" w:type="dxa"/>
            <w:vAlign w:val="center"/>
            <w:hideMark/>
          </w:tcPr>
          <w:p w14:paraId="7806C74D" w14:textId="0C6FE46A"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 </w:t>
            </w:r>
          </w:p>
        </w:tc>
        <w:tc>
          <w:tcPr>
            <w:tcW w:w="1429" w:type="dxa"/>
            <w:vAlign w:val="center"/>
          </w:tcPr>
          <w:p w14:paraId="3718BB67" w14:textId="2DE0BA38"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-1,0</w:t>
            </w:r>
          </w:p>
        </w:tc>
        <w:tc>
          <w:tcPr>
            <w:tcW w:w="992" w:type="dxa"/>
            <w:vAlign w:val="center"/>
          </w:tcPr>
          <w:p w14:paraId="4ADA1D95" w14:textId="4DB22D86"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-0,8</w:t>
            </w:r>
          </w:p>
        </w:tc>
        <w:tc>
          <w:tcPr>
            <w:tcW w:w="840" w:type="dxa"/>
            <w:vAlign w:val="center"/>
            <w:hideMark/>
          </w:tcPr>
          <w:p w14:paraId="2CADBBB1" w14:textId="766D234C"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-1,1</w:t>
            </w:r>
          </w:p>
        </w:tc>
        <w:tc>
          <w:tcPr>
            <w:tcW w:w="850" w:type="dxa"/>
            <w:vAlign w:val="center"/>
            <w:hideMark/>
          </w:tcPr>
          <w:p w14:paraId="2006319F" w14:textId="77777777"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-1,0</w:t>
            </w:r>
          </w:p>
        </w:tc>
        <w:tc>
          <w:tcPr>
            <w:tcW w:w="851" w:type="dxa"/>
          </w:tcPr>
          <w:p w14:paraId="28AA5CB5" w14:textId="77777777" w:rsidR="0065289B" w:rsidRPr="0065289B" w:rsidRDefault="0065289B" w:rsidP="0065289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65289B" w:rsidRPr="0065289B" w14:paraId="2558088D" w14:textId="77777777" w:rsidTr="00CD680F">
        <w:trPr>
          <w:trHeight w:val="392"/>
          <w:jc w:val="center"/>
        </w:trPr>
        <w:tc>
          <w:tcPr>
            <w:cnfStyle w:val="001000000000" w:firstRow="0" w:lastRow="0" w:firstColumn="1" w:lastColumn="0" w:oddVBand="0" w:evenVBand="0" w:oddHBand="0" w:evenHBand="0" w:firstRowFirstColumn="0" w:firstRowLastColumn="0" w:lastRowFirstColumn="0" w:lastRowLastColumn="0"/>
            <w:tcW w:w="2263" w:type="dxa"/>
          </w:tcPr>
          <w:p w14:paraId="3B59776A" w14:textId="726B3213" w:rsidR="0065289B" w:rsidRPr="0065289B" w:rsidRDefault="0065289B" w:rsidP="0065289B">
            <w:pPr>
              <w:jc w:val="both"/>
              <w:rPr>
                <w:rFonts w:ascii="Times New Roman" w:hAnsi="Times New Roman" w:cs="Times New Roman"/>
                <w:color w:val="000000" w:themeColor="text1"/>
              </w:rPr>
            </w:pPr>
            <w:r w:rsidRPr="0065289B">
              <w:rPr>
                <w:rFonts w:ascii="Times New Roman" w:hAnsi="Times New Roman" w:cs="Times New Roman"/>
                <w:color w:val="000000" w:themeColor="text1"/>
                <w:szCs w:val="24"/>
              </w:rPr>
              <w:t>VTBIL 2018</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2020</w:t>
            </w:r>
          </w:p>
        </w:tc>
        <w:tc>
          <w:tcPr>
            <w:tcW w:w="1276" w:type="dxa"/>
            <w:vAlign w:val="center"/>
          </w:tcPr>
          <w:p w14:paraId="7246EFB4"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992" w:type="dxa"/>
            <w:vAlign w:val="center"/>
          </w:tcPr>
          <w:p w14:paraId="2666B032"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1429" w:type="dxa"/>
            <w:vAlign w:val="center"/>
          </w:tcPr>
          <w:p w14:paraId="4C8245E8"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992" w:type="dxa"/>
            <w:vAlign w:val="center"/>
          </w:tcPr>
          <w:p w14:paraId="3CC0A3A8"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840" w:type="dxa"/>
            <w:vAlign w:val="center"/>
          </w:tcPr>
          <w:p w14:paraId="45533DB8" w14:textId="0C8C1E9E"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-1,2</w:t>
            </w:r>
          </w:p>
        </w:tc>
        <w:tc>
          <w:tcPr>
            <w:tcW w:w="850" w:type="dxa"/>
            <w:vAlign w:val="center"/>
          </w:tcPr>
          <w:p w14:paraId="2573A5F2"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-0,6</w:t>
            </w:r>
          </w:p>
        </w:tc>
        <w:tc>
          <w:tcPr>
            <w:tcW w:w="851" w:type="dxa"/>
            <w:vAlign w:val="center"/>
          </w:tcPr>
          <w:p w14:paraId="60B1F02E" w14:textId="77777777" w:rsidR="0065289B" w:rsidRPr="0065289B" w:rsidRDefault="0065289B" w:rsidP="0065289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-0,4</w:t>
            </w:r>
          </w:p>
        </w:tc>
      </w:tr>
    </w:tbl>
    <w:p w14:paraId="3D4CDC05" w14:textId="2C9086BA" w:rsidR="00CD680F" w:rsidRPr="00931EF1" w:rsidRDefault="00CD680F" w:rsidP="0056690D">
      <w:pPr>
        <w:ind w:firstLine="720"/>
        <w:jc w:val="both"/>
        <w:rPr>
          <w:rFonts w:ascii="Times New Roman" w:hAnsi="Times New Roman" w:cs="Times New Roman"/>
          <w:bCs/>
          <w:i/>
          <w:sz w:val="20"/>
          <w:szCs w:val="24"/>
        </w:rPr>
      </w:pPr>
      <w:r w:rsidRPr="00931EF1">
        <w:rPr>
          <w:rFonts w:ascii="Times New Roman" w:hAnsi="Times New Roman" w:cs="Times New Roman"/>
          <w:i/>
          <w:sz w:val="20"/>
          <w:szCs w:val="24"/>
        </w:rPr>
        <w:t xml:space="preserve">*saskaņā ar aktuālajām </w:t>
      </w:r>
      <w:r w:rsidRPr="00931EF1">
        <w:rPr>
          <w:rFonts w:ascii="Times New Roman" w:hAnsi="Times New Roman" w:cs="Times New Roman"/>
          <w:bCs/>
          <w:i/>
          <w:sz w:val="20"/>
          <w:szCs w:val="24"/>
        </w:rPr>
        <w:t>vispārējās valdības budžeta bilances prognozēm</w:t>
      </w:r>
    </w:p>
    <w:p w14:paraId="48A17AA4"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Analizējot atšķirības starp plānotajiem un faktiskajiem strukturālās budžeta bilances rādītājiem, jāsecina, ka budžeta bilances cikliskās komponentes ietekme arvien vairāk pieaug. Ja, salīdzinot 2017.gada Ietvara likuma prognozi ar faktisko izpildi, budžeta bilances cikliskās komponente palielinājās par 0,3 procentpunktiem no IKP, tad 2018.gadā, salīdzinot Ietvara likuma prognozi ar aktuālo 2018.gada novērtējumu, budžeta bilances cikliskās komponente ir palielinājusies par 0,4 procentpunktiem no IKP. Budžeta bilances cikliskās komponentes izmaiņas liecina, ka gan 2017.gadā, gan 2018.gadā faktiskā un potenciālā IKP starpība laika gaitā starp plānu un faktisko izpildi palielinājusies. </w:t>
      </w:r>
    </w:p>
    <w:p w14:paraId="75EAC2B6" w14:textId="77777777" w:rsidR="00CD680F" w:rsidRPr="001C4DDC"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2017. gadā faktiskā </w:t>
      </w:r>
      <w:r w:rsidRPr="001C4DDC">
        <w:rPr>
          <w:rFonts w:ascii="Times New Roman" w:hAnsi="Times New Roman" w:cs="Times New Roman"/>
          <w:b/>
          <w:bCs/>
          <w:sz w:val="24"/>
          <w:szCs w:val="24"/>
        </w:rPr>
        <w:t xml:space="preserve">vispārējās valdības budžeta deficīts </w:t>
      </w:r>
      <w:r>
        <w:rPr>
          <w:rFonts w:ascii="Times New Roman" w:hAnsi="Times New Roman" w:cs="Times New Roman"/>
          <w:b/>
          <w:bCs/>
          <w:sz w:val="24"/>
          <w:szCs w:val="24"/>
        </w:rPr>
        <w:t>bija</w:t>
      </w:r>
      <w:r w:rsidRPr="001C4DDC">
        <w:rPr>
          <w:rFonts w:ascii="Times New Roman" w:hAnsi="Times New Roman" w:cs="Times New Roman"/>
          <w:b/>
          <w:bCs/>
          <w:sz w:val="24"/>
          <w:szCs w:val="24"/>
        </w:rPr>
        <w:t xml:space="preserve"> 0,</w:t>
      </w:r>
      <w:r>
        <w:rPr>
          <w:rFonts w:ascii="Times New Roman" w:hAnsi="Times New Roman" w:cs="Times New Roman"/>
          <w:b/>
          <w:bCs/>
          <w:sz w:val="24"/>
          <w:szCs w:val="24"/>
        </w:rPr>
        <w:t>6</w:t>
      </w:r>
      <w:r w:rsidRPr="001C4DDC">
        <w:rPr>
          <w:rFonts w:ascii="Times New Roman" w:hAnsi="Times New Roman" w:cs="Times New Roman"/>
          <w:b/>
          <w:bCs/>
          <w:sz w:val="24"/>
          <w:szCs w:val="24"/>
        </w:rPr>
        <w:t>% no IKP, savukārt p</w:t>
      </w:r>
      <w:r>
        <w:rPr>
          <w:rFonts w:ascii="Times New Roman" w:hAnsi="Times New Roman" w:cs="Times New Roman"/>
          <w:b/>
          <w:bCs/>
          <w:sz w:val="24"/>
          <w:szCs w:val="24"/>
        </w:rPr>
        <w:t>lānotais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 xml:space="preserve">pieļaujamais vispārējās valdības </w:t>
      </w:r>
      <w:r w:rsidRPr="001C4DDC">
        <w:rPr>
          <w:rFonts w:ascii="Times New Roman" w:hAnsi="Times New Roman" w:cs="Times New Roman"/>
          <w:b/>
          <w:bCs/>
          <w:sz w:val="24"/>
          <w:szCs w:val="24"/>
        </w:rPr>
        <w:t xml:space="preserve">budžeta </w:t>
      </w:r>
      <w:r>
        <w:rPr>
          <w:rFonts w:ascii="Times New Roman" w:hAnsi="Times New Roman" w:cs="Times New Roman"/>
          <w:b/>
          <w:bCs/>
          <w:sz w:val="24"/>
          <w:szCs w:val="24"/>
        </w:rPr>
        <w:t>deficīts</w:t>
      </w:r>
      <w:r w:rsidRPr="001C4DDC">
        <w:rPr>
          <w:rFonts w:ascii="Times New Roman" w:hAnsi="Times New Roman" w:cs="Times New Roman"/>
          <w:b/>
          <w:bCs/>
          <w:sz w:val="24"/>
          <w:szCs w:val="24"/>
        </w:rPr>
        <w:t xml:space="preserve"> bija </w:t>
      </w:r>
      <w:r w:rsidRPr="00931EF1">
        <w:rPr>
          <w:rFonts w:ascii="Times New Roman" w:hAnsi="Times New Roman" w:cs="Times New Roman"/>
          <w:b/>
          <w:bCs/>
          <w:color w:val="000000" w:themeColor="text1"/>
          <w:sz w:val="24"/>
          <w:szCs w:val="24"/>
        </w:rPr>
        <w:t>1,1</w:t>
      </w:r>
      <w:r w:rsidRPr="001C4DDC">
        <w:rPr>
          <w:rFonts w:ascii="Times New Roman" w:hAnsi="Times New Roman" w:cs="Times New Roman"/>
          <w:b/>
          <w:bCs/>
          <w:sz w:val="24"/>
          <w:szCs w:val="24"/>
        </w:rPr>
        <w:t>% no IKP</w:t>
      </w:r>
      <w:r>
        <w:rPr>
          <w:rFonts w:ascii="Times New Roman" w:hAnsi="Times New Roman" w:cs="Times New Roman"/>
          <w:bCs/>
          <w:sz w:val="24"/>
          <w:szCs w:val="24"/>
        </w:rPr>
        <w:t>, tādējādi novirzi veidojot +0,5% no IKP apmērā.</w:t>
      </w:r>
    </w:p>
    <w:p w14:paraId="4A3CB7DA" w14:textId="77777777" w:rsidR="00CD680F" w:rsidRDefault="00CD680F" w:rsidP="00CD680F">
      <w:pPr>
        <w:rPr>
          <w:rFonts w:ascii="Times New Roman" w:hAnsi="Times New Roman" w:cs="Times New Roman"/>
          <w:b/>
          <w:bCs/>
          <w:sz w:val="24"/>
          <w:szCs w:val="24"/>
        </w:rPr>
      </w:pPr>
      <w:r>
        <w:rPr>
          <w:rFonts w:ascii="Times New Roman" w:hAnsi="Times New Roman" w:cs="Times New Roman"/>
          <w:b/>
          <w:bCs/>
          <w:sz w:val="24"/>
          <w:szCs w:val="24"/>
        </w:rPr>
        <w:br w:type="page"/>
      </w:r>
    </w:p>
    <w:p w14:paraId="16660A3A" w14:textId="3AE0F21F" w:rsidR="00CD680F" w:rsidRPr="00B2021F" w:rsidRDefault="00CD680F" w:rsidP="00CD680F">
      <w:pPr>
        <w:jc w:val="right"/>
        <w:rPr>
          <w:rFonts w:ascii="Times New Roman" w:hAnsi="Times New Roman" w:cs="Times New Roman"/>
          <w:b/>
          <w:bCs/>
          <w:sz w:val="24"/>
          <w:szCs w:val="24"/>
        </w:rPr>
      </w:pPr>
      <w:r w:rsidRPr="00B2021F">
        <w:rPr>
          <w:rFonts w:ascii="Times New Roman" w:hAnsi="Times New Roman" w:cs="Times New Roman"/>
          <w:b/>
          <w:bCs/>
          <w:sz w:val="24"/>
          <w:szCs w:val="24"/>
        </w:rPr>
        <w:lastRenderedPageBreak/>
        <w:t>Tabula Nr.</w:t>
      </w:r>
      <w:r>
        <w:rPr>
          <w:rFonts w:ascii="Times New Roman" w:hAnsi="Times New Roman" w:cs="Times New Roman"/>
          <w:b/>
          <w:bCs/>
          <w:sz w:val="24"/>
          <w:szCs w:val="24"/>
        </w:rPr>
        <w:t>1</w:t>
      </w:r>
      <w:r w:rsidR="00786453">
        <w:rPr>
          <w:rFonts w:ascii="Times New Roman" w:hAnsi="Times New Roman" w:cs="Times New Roman"/>
          <w:b/>
          <w:bCs/>
          <w:sz w:val="24"/>
          <w:szCs w:val="24"/>
        </w:rPr>
        <w:t>6</w:t>
      </w:r>
      <w:r w:rsidRPr="00B2021F">
        <w:rPr>
          <w:rFonts w:ascii="Times New Roman" w:hAnsi="Times New Roman" w:cs="Times New Roman"/>
          <w:b/>
          <w:bCs/>
          <w:sz w:val="24"/>
          <w:szCs w:val="24"/>
        </w:rPr>
        <w:t xml:space="preserve"> Izmaiņas vispārējās valdības sektora fiskālajā bilancē</w:t>
      </w:r>
      <w:r>
        <w:rPr>
          <w:rFonts w:ascii="Times New Roman" w:hAnsi="Times New Roman" w:cs="Times New Roman"/>
          <w:b/>
          <w:bCs/>
          <w:sz w:val="24"/>
          <w:szCs w:val="24"/>
        </w:rPr>
        <w:t xml:space="preserve"> 2017.gadam</w:t>
      </w:r>
      <w:r w:rsidRPr="00B2021F">
        <w:rPr>
          <w:rFonts w:ascii="Times New Roman" w:hAnsi="Times New Roman" w:cs="Times New Roman"/>
          <w:b/>
          <w:bCs/>
          <w:sz w:val="24"/>
          <w:szCs w:val="24"/>
        </w:rPr>
        <w:t>,</w:t>
      </w:r>
      <w:r>
        <w:rPr>
          <w:rFonts w:ascii="Times New Roman" w:hAnsi="Times New Roman" w:cs="Times New Roman"/>
          <w:b/>
          <w:bCs/>
          <w:sz w:val="24"/>
          <w:szCs w:val="24"/>
        </w:rPr>
        <w:t xml:space="preserve"> </w:t>
      </w:r>
      <w:r w:rsidRPr="00B2021F">
        <w:rPr>
          <w:rFonts w:ascii="Times New Roman" w:hAnsi="Times New Roman" w:cs="Times New Roman"/>
          <w:b/>
          <w:bCs/>
          <w:sz w:val="24"/>
          <w:szCs w:val="24"/>
        </w:rPr>
        <w:t>% no IKP</w:t>
      </w:r>
      <w:r>
        <w:rPr>
          <w:rFonts w:ascii="Times New Roman" w:hAnsi="Times New Roman" w:cs="Times New Roman"/>
          <w:b/>
          <w:bCs/>
          <w:sz w:val="24"/>
          <w:szCs w:val="24"/>
        </w:rPr>
        <w:t xml:space="preserve"> </w:t>
      </w:r>
    </w:p>
    <w:tbl>
      <w:tblPr>
        <w:tblStyle w:val="GridTable6Colorful-Accent11"/>
        <w:tblW w:w="9634" w:type="dxa"/>
        <w:tblLook w:val="04A0" w:firstRow="1" w:lastRow="0" w:firstColumn="1" w:lastColumn="0" w:noHBand="0" w:noVBand="1"/>
      </w:tblPr>
      <w:tblGrid>
        <w:gridCol w:w="1271"/>
        <w:gridCol w:w="7229"/>
        <w:gridCol w:w="1134"/>
      </w:tblGrid>
      <w:tr w:rsidR="00CD680F" w:rsidRPr="00120DF9" w14:paraId="56B05F3B" w14:textId="77777777" w:rsidTr="00CD680F">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3A3195A"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7229" w:type="dxa"/>
            <w:noWrap/>
            <w:hideMark/>
          </w:tcPr>
          <w:p w14:paraId="03107A13"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134" w:type="dxa"/>
            <w:noWrap/>
            <w:hideMark/>
          </w:tcPr>
          <w:p w14:paraId="2A27DF5B"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2017</w:t>
            </w:r>
          </w:p>
        </w:tc>
      </w:tr>
      <w:tr w:rsidR="00CD680F" w:rsidRPr="00120DF9" w14:paraId="1437A4D7" w14:textId="77777777" w:rsidTr="00CD680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7423B9E"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Ietvara likums 2017-2019</w:t>
            </w:r>
          </w:p>
        </w:tc>
        <w:tc>
          <w:tcPr>
            <w:tcW w:w="7229" w:type="dxa"/>
            <w:noWrap/>
            <w:hideMark/>
          </w:tcPr>
          <w:p w14:paraId="52F5E66D" w14:textId="77777777" w:rsidR="00CD680F" w:rsidRPr="00120DF9"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134" w:type="dxa"/>
            <w:noWrap/>
            <w:hideMark/>
          </w:tcPr>
          <w:p w14:paraId="3E95CF1F"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-1,1</w:t>
            </w:r>
          </w:p>
        </w:tc>
      </w:tr>
      <w:tr w:rsidR="00CD680F" w:rsidRPr="00120DF9" w14:paraId="27BF5572" w14:textId="77777777" w:rsidTr="00CD680F">
        <w:trPr>
          <w:trHeight w:val="219"/>
        </w:trPr>
        <w:tc>
          <w:tcPr>
            <w:cnfStyle w:val="001000000000" w:firstRow="0" w:lastRow="0" w:firstColumn="1" w:lastColumn="0" w:oddVBand="0" w:evenVBand="0" w:oddHBand="0" w:evenHBand="0" w:firstRowFirstColumn="0" w:firstRowLastColumn="0" w:lastRowFirstColumn="0" w:lastRowLastColumn="0"/>
            <w:tcW w:w="1271" w:type="dxa"/>
            <w:vMerge w:val="restart"/>
            <w:hideMark/>
          </w:tcPr>
          <w:p w14:paraId="35BB9802" w14:textId="77777777" w:rsidR="00CD680F" w:rsidRPr="00120DF9" w:rsidRDefault="00CD680F" w:rsidP="001A084E">
            <w:pPr>
              <w:jc w:val="center"/>
              <w:rPr>
                <w:rFonts w:eastAsia="Times New Roman" w:cs="Times New Roman"/>
                <w:color w:val="000000"/>
                <w:sz w:val="22"/>
                <w:lang w:eastAsia="lv-LV"/>
              </w:rPr>
            </w:pPr>
          </w:p>
          <w:p w14:paraId="78C35EA3" w14:textId="77777777" w:rsidR="00CD680F" w:rsidRPr="00120DF9" w:rsidRDefault="00CD680F" w:rsidP="001A084E">
            <w:pPr>
              <w:jc w:val="center"/>
              <w:rPr>
                <w:rFonts w:eastAsia="Times New Roman" w:cs="Times New Roman"/>
                <w:color w:val="000000"/>
                <w:sz w:val="22"/>
                <w:lang w:eastAsia="lv-LV"/>
              </w:rPr>
            </w:pPr>
          </w:p>
          <w:p w14:paraId="7A129237" w14:textId="77777777" w:rsidR="00CD680F" w:rsidRPr="00120DF9" w:rsidRDefault="00CD680F" w:rsidP="001A084E">
            <w:pPr>
              <w:jc w:val="center"/>
              <w:rPr>
                <w:rFonts w:eastAsia="Times New Roman" w:cs="Times New Roman"/>
                <w:color w:val="000000"/>
                <w:sz w:val="22"/>
                <w:lang w:eastAsia="lv-LV"/>
              </w:rPr>
            </w:pPr>
          </w:p>
          <w:p w14:paraId="358043B0" w14:textId="77777777" w:rsidR="00CD680F" w:rsidRPr="00120DF9" w:rsidRDefault="00CD680F" w:rsidP="001A084E">
            <w:pPr>
              <w:jc w:val="center"/>
              <w:rPr>
                <w:rFonts w:eastAsia="Times New Roman" w:cs="Times New Roman"/>
                <w:color w:val="000000"/>
                <w:sz w:val="22"/>
                <w:lang w:eastAsia="lv-LV"/>
              </w:rPr>
            </w:pPr>
          </w:p>
          <w:p w14:paraId="14B18C95" w14:textId="77777777" w:rsidR="00CD680F" w:rsidRPr="00120DF9" w:rsidRDefault="00CD680F" w:rsidP="001A084E">
            <w:pPr>
              <w:jc w:val="center"/>
              <w:rPr>
                <w:rFonts w:eastAsia="Times New Roman" w:cs="Times New Roman"/>
                <w:color w:val="000000"/>
                <w:sz w:val="22"/>
                <w:lang w:eastAsia="lv-LV"/>
              </w:rPr>
            </w:pPr>
          </w:p>
          <w:p w14:paraId="7A6AFB34"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7229" w:type="dxa"/>
            <w:noWrap/>
            <w:hideMark/>
          </w:tcPr>
          <w:p w14:paraId="7533FA3D"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134" w:type="dxa"/>
            <w:noWrap/>
            <w:hideMark/>
          </w:tcPr>
          <w:p w14:paraId="6613FC34"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0,47</w:t>
            </w:r>
          </w:p>
        </w:tc>
      </w:tr>
      <w:tr w:rsidR="00CD680F" w:rsidRPr="00120DF9" w14:paraId="2CC56F0C" w14:textId="77777777" w:rsidTr="00CD680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23DC83C"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47378D1F"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134" w:type="dxa"/>
            <w:noWrap/>
            <w:hideMark/>
          </w:tcPr>
          <w:p w14:paraId="392DCAAF"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0,14</w:t>
            </w:r>
          </w:p>
        </w:tc>
      </w:tr>
      <w:tr w:rsidR="00CD680F" w:rsidRPr="00120DF9" w14:paraId="3E9F4DDF" w14:textId="77777777" w:rsidTr="00CD680F">
        <w:trPr>
          <w:trHeight w:val="255"/>
        </w:trPr>
        <w:tc>
          <w:tcPr>
            <w:cnfStyle w:val="001000000000" w:firstRow="0" w:lastRow="0" w:firstColumn="1" w:lastColumn="0" w:oddVBand="0" w:evenVBand="0" w:oddHBand="0" w:evenHBand="0" w:firstRowFirstColumn="0" w:firstRowLastColumn="0" w:lastRowFirstColumn="0" w:lastRowLastColumn="0"/>
            <w:tcW w:w="1271" w:type="dxa"/>
            <w:vMerge/>
            <w:hideMark/>
          </w:tcPr>
          <w:p w14:paraId="2D41E02C"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5341D665"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134" w:type="dxa"/>
            <w:noWrap/>
            <w:hideMark/>
          </w:tcPr>
          <w:p w14:paraId="1FCAB570"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0,04</w:t>
            </w:r>
          </w:p>
        </w:tc>
      </w:tr>
      <w:tr w:rsidR="00CD680F" w:rsidRPr="00120DF9" w14:paraId="424CCAC6" w14:textId="77777777" w:rsidTr="00CD680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271" w:type="dxa"/>
            <w:vMerge/>
            <w:hideMark/>
          </w:tcPr>
          <w:p w14:paraId="007B4918"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14AFD279"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134" w:type="dxa"/>
            <w:noWrap/>
            <w:hideMark/>
          </w:tcPr>
          <w:p w14:paraId="382A1AA4"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0,35</w:t>
            </w:r>
          </w:p>
        </w:tc>
      </w:tr>
      <w:tr w:rsidR="00CD680F" w:rsidRPr="00120DF9" w14:paraId="761CD3CA" w14:textId="77777777" w:rsidTr="00CD680F">
        <w:trPr>
          <w:trHeight w:val="185"/>
        </w:trPr>
        <w:tc>
          <w:tcPr>
            <w:cnfStyle w:val="001000000000" w:firstRow="0" w:lastRow="0" w:firstColumn="1" w:lastColumn="0" w:oddVBand="0" w:evenVBand="0" w:oddHBand="0" w:evenHBand="0" w:firstRowFirstColumn="0" w:firstRowLastColumn="0" w:lastRowFirstColumn="0" w:lastRowLastColumn="0"/>
            <w:tcW w:w="1271" w:type="dxa"/>
            <w:vMerge/>
            <w:hideMark/>
          </w:tcPr>
          <w:p w14:paraId="170BF123"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402E9213"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134" w:type="dxa"/>
            <w:noWrap/>
            <w:hideMark/>
          </w:tcPr>
          <w:p w14:paraId="55A6ABE2"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0,12</w:t>
            </w:r>
          </w:p>
        </w:tc>
      </w:tr>
      <w:tr w:rsidR="00CD680F" w:rsidRPr="00120DF9" w14:paraId="00976AF5" w14:textId="77777777" w:rsidTr="00CD680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71" w:type="dxa"/>
            <w:vMerge/>
            <w:hideMark/>
          </w:tcPr>
          <w:p w14:paraId="4AF5F2A7"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586ADDB0"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134" w:type="dxa"/>
            <w:noWrap/>
            <w:hideMark/>
          </w:tcPr>
          <w:p w14:paraId="16C78DCB"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-0,26</w:t>
            </w:r>
          </w:p>
        </w:tc>
      </w:tr>
      <w:tr w:rsidR="00CD680F" w:rsidRPr="00120DF9" w14:paraId="76CC62B1" w14:textId="77777777" w:rsidTr="00CD680F">
        <w:trPr>
          <w:trHeight w:val="222"/>
        </w:trPr>
        <w:tc>
          <w:tcPr>
            <w:cnfStyle w:val="001000000000" w:firstRow="0" w:lastRow="0" w:firstColumn="1" w:lastColumn="0" w:oddVBand="0" w:evenVBand="0" w:oddHBand="0" w:evenHBand="0" w:firstRowFirstColumn="0" w:firstRowLastColumn="0" w:lastRowFirstColumn="0" w:lastRowLastColumn="0"/>
            <w:tcW w:w="1271" w:type="dxa"/>
            <w:vMerge/>
            <w:hideMark/>
          </w:tcPr>
          <w:p w14:paraId="4BEEF40C"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29154F4C"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134" w:type="dxa"/>
            <w:noWrap/>
            <w:hideMark/>
          </w:tcPr>
          <w:p w14:paraId="318FDADF"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0,05</w:t>
            </w:r>
          </w:p>
        </w:tc>
      </w:tr>
      <w:tr w:rsidR="00CD680F" w:rsidRPr="00120DF9" w14:paraId="1097284F" w14:textId="77777777" w:rsidTr="00CD680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71" w:type="dxa"/>
            <w:vMerge/>
          </w:tcPr>
          <w:p w14:paraId="19F31DA9" w14:textId="77777777" w:rsidR="00CD680F" w:rsidRPr="00120DF9" w:rsidRDefault="00CD680F" w:rsidP="001A084E">
            <w:pPr>
              <w:rPr>
                <w:rFonts w:eastAsia="Times New Roman" w:cs="Times New Roman"/>
                <w:color w:val="000000"/>
                <w:sz w:val="22"/>
                <w:lang w:eastAsia="lv-LV"/>
              </w:rPr>
            </w:pPr>
          </w:p>
        </w:tc>
        <w:tc>
          <w:tcPr>
            <w:tcW w:w="7229" w:type="dxa"/>
            <w:noWrap/>
          </w:tcPr>
          <w:p w14:paraId="1EC58B87"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134" w:type="dxa"/>
            <w:noWrap/>
          </w:tcPr>
          <w:p w14:paraId="1B867730"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-0,05</w:t>
            </w:r>
          </w:p>
        </w:tc>
      </w:tr>
      <w:tr w:rsidR="00CD680F" w:rsidRPr="00120DF9" w14:paraId="422ABC11" w14:textId="77777777" w:rsidTr="00CD680F">
        <w:trPr>
          <w:trHeight w:val="112"/>
        </w:trPr>
        <w:tc>
          <w:tcPr>
            <w:cnfStyle w:val="001000000000" w:firstRow="0" w:lastRow="0" w:firstColumn="1" w:lastColumn="0" w:oddVBand="0" w:evenVBand="0" w:oddHBand="0" w:evenHBand="0" w:firstRowFirstColumn="0" w:firstRowLastColumn="0" w:lastRowFirstColumn="0" w:lastRowLastColumn="0"/>
            <w:tcW w:w="1271" w:type="dxa"/>
            <w:vMerge/>
            <w:hideMark/>
          </w:tcPr>
          <w:p w14:paraId="11F21733"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0F70B15C"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134" w:type="dxa"/>
            <w:noWrap/>
            <w:hideMark/>
          </w:tcPr>
          <w:p w14:paraId="7150C1E1"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-0,62</w:t>
            </w:r>
          </w:p>
        </w:tc>
      </w:tr>
      <w:tr w:rsidR="00CD680F" w:rsidRPr="00120DF9" w14:paraId="7A53DFF6" w14:textId="77777777" w:rsidTr="00CD680F">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C7D9E3B"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7A2C3744"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134" w:type="dxa"/>
            <w:noWrap/>
            <w:hideMark/>
          </w:tcPr>
          <w:p w14:paraId="0D511308"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-0,08</w:t>
            </w:r>
          </w:p>
        </w:tc>
      </w:tr>
      <w:tr w:rsidR="00CD680F" w:rsidRPr="00120DF9" w14:paraId="0C01C0DF" w14:textId="77777777" w:rsidTr="00CD680F">
        <w:trPr>
          <w:trHeight w:val="166"/>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EC3DA32" w14:textId="77777777" w:rsidR="00CD680F" w:rsidRPr="00120DF9" w:rsidRDefault="00CD680F" w:rsidP="001A084E">
            <w:pPr>
              <w:rPr>
                <w:rFonts w:eastAsia="Times New Roman" w:cs="Times New Roman"/>
                <w:color w:val="000000"/>
                <w:sz w:val="22"/>
                <w:lang w:eastAsia="lv-LV"/>
              </w:rPr>
            </w:pPr>
          </w:p>
        </w:tc>
        <w:tc>
          <w:tcPr>
            <w:tcW w:w="7229" w:type="dxa"/>
            <w:noWrap/>
            <w:hideMark/>
          </w:tcPr>
          <w:p w14:paraId="3A96BDDB"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134" w:type="dxa"/>
            <w:noWrap/>
            <w:hideMark/>
          </w:tcPr>
          <w:p w14:paraId="43FE409E"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0,34</w:t>
            </w:r>
          </w:p>
        </w:tc>
      </w:tr>
      <w:tr w:rsidR="00CD680F" w:rsidRPr="00120DF9" w14:paraId="2FAA0023" w14:textId="77777777" w:rsidTr="00CD680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A50EBD3"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2017.gada izpilde</w:t>
            </w:r>
          </w:p>
        </w:tc>
        <w:tc>
          <w:tcPr>
            <w:tcW w:w="7229" w:type="dxa"/>
            <w:noWrap/>
            <w:hideMark/>
          </w:tcPr>
          <w:p w14:paraId="4D73DC10" w14:textId="77777777" w:rsidR="00CD680F" w:rsidRPr="00120DF9"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134" w:type="dxa"/>
            <w:noWrap/>
            <w:hideMark/>
          </w:tcPr>
          <w:p w14:paraId="70CE268E"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-0,6</w:t>
            </w:r>
          </w:p>
        </w:tc>
      </w:tr>
    </w:tbl>
    <w:p w14:paraId="27D3FD95" w14:textId="77777777" w:rsidR="00CD680F" w:rsidRDefault="00CD680F" w:rsidP="00CD680F">
      <w:pPr>
        <w:spacing w:after="0" w:line="240" w:lineRule="auto"/>
        <w:ind w:firstLine="720"/>
        <w:jc w:val="both"/>
        <w:rPr>
          <w:rFonts w:ascii="Times New Roman" w:hAnsi="Times New Roman" w:cs="Times New Roman"/>
          <w:bCs/>
          <w:sz w:val="24"/>
          <w:szCs w:val="24"/>
        </w:rPr>
      </w:pPr>
    </w:p>
    <w:p w14:paraId="0AB3FFD2" w14:textId="642AD520" w:rsidR="00CD680F" w:rsidRPr="00D25EF5" w:rsidRDefault="00CD680F" w:rsidP="00CD680F">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kļu ieņēmumi un nenodokļu ieņēmumi bija par 0,47% un 0,14% no IKP lielāki kā plānots budžeta likumā 2017.gadam. Būtiski nodokļu pieaugumu nodrošināja iedzīvotāju ienākuma nodokļa pieaugums (IIN) un pievienotās vērtības nodokļa pieaugums (PVN), ko veicināja norises ekonomi</w:t>
      </w:r>
      <w:r w:rsidR="001E18C7">
        <w:rPr>
          <w:rFonts w:ascii="Times New Roman" w:hAnsi="Times New Roman" w:cs="Times New Roman"/>
          <w:bCs/>
          <w:sz w:val="24"/>
          <w:szCs w:val="24"/>
        </w:rPr>
        <w:t>kā. IKP faktiskajās cenās 2017.</w:t>
      </w:r>
      <w:r>
        <w:rPr>
          <w:rFonts w:ascii="Times New Roman" w:hAnsi="Times New Roman" w:cs="Times New Roman"/>
          <w:bCs/>
          <w:sz w:val="24"/>
          <w:szCs w:val="24"/>
        </w:rPr>
        <w:t>gadā pieauga par 8%, kas ir par 2,7 procentpunktiem vairāk kā bija prognozēts. Darba tirgus attīstība 2017.gadā izrādījās straujāka kā sākotnēji prognozēts, tautsaimniecībā nodarbināto mēneša vidējā bruto darba samaksa apsteidza prognozēto par 2,3 procentpunktiem. Nenodokļu ieņēmumu pieaugumu, salīdzinot pret plānoto, galvenokārt nodrošināja papildus ieņēmumi no zemes un īpašumu pārdošanas pašvaldību budžetā.</w:t>
      </w:r>
    </w:p>
    <w:p w14:paraId="3669C1BA"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Pamatbudžeta pamatfunkciju primārie izdevumi bija zemāki kā sākotnēji plānots, kā rezultātā vispārējā valdības budžeta bilancē veidojas ietaupījums 0,35% apmērā no IKP. Ietaupījumu 0,26% un 0,16% apmērā no IKP nodrošināja iemaksu ES budžetā samazinājums un zemāki izdevumi precēm un pakalpojumiem. Savukārt kapitālie izdevumi pamatbudžetā pieauga par 0,08% no IKP. Speciālā budžeta izdevumi bija zemāki kā sākotnēji plānots, kā rezultātā vispārējā valdības budžeta bilancē veidojas ietaupījums 0,12% apmērā no IKP, ko nodrošināja zemākas sociālo pabalstu izmaksas. Pretēji tendencēm valsts pamatbudžetā un speciālajā budžetā, pašvaldību budžeta pamatfunkciju primārie izdevumi bija par 0,26% no IKP augstāki kā plānots. Būtiski pieaugumu veicināja pamatfunkciju kapitālie izdevumi, kas pieauga par 0,43% no IKP, savukārt zemāki izdevumi precēm un pakalpojumiem veicināja kopējo uzturēšanas izdevumu samazinājumu par 0,16% no IKP. </w:t>
      </w:r>
    </w:p>
    <w:p w14:paraId="1239DD61"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vispārējās valdības pieklasificēto komersantu bilances pasliktinājums par 0,62% no IKP, kas skaidrojams ar AS “Enerģijas publiskais tirgotājs” vienreizējo diskontēto atlīdzības maksājumu par uzstādītajām elektroenerģijas jaudām 0,52% apmērā no IKP. Pateicoties šim darījumam vidējā termiņā tiks ietaupīti valsts budžeta līdzekļi, kā arī tiek nodrošināta iespēja samazināt obligātās iepirkuma komponentes apmēru elektroenerģijas gala lietotājiem.  </w:t>
      </w:r>
    </w:p>
    <w:p w14:paraId="50EE9FCA"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Pārējās izmaiņas uzlaboja vispārējās valdības budžeta bilanci par 0,34% no IKP, tostarp jāizceļ iemaksas Noguldījumu garantiju fondā, kuras atbilstoši EKS metodoloģiskajām izmaiņām pirmo reizi tika iekļautas vispārējās valdības budžeta ieņēmumos 2017.gada beigās. Atbilstoši metodoloģiskajām izmaiņām iemaksas Noguldījumu garantiju fondā palielināja vispārējās valdības budžeta ieņēmumus par 0,06% no IKP. Debitoru/kreditoru neto plūsmas ietekme uzlaboja vispārējās valdības budžeta bilanci par 0,14% no IKP. Kā arī fiskālā nodrošinājuma rezerve kalpoja savam sākotnējam mērķim, nodrošinot ietaupījumu 0,1% apmērā no IKP. Citas ieņēmumu, izdevumu un EKS korekciju izmaiņas nepārsniedza 0,06% no IKP. </w:t>
      </w:r>
    </w:p>
    <w:p w14:paraId="1C8632BA" w14:textId="77777777" w:rsidR="0036300A" w:rsidRPr="00564D59" w:rsidRDefault="0036300A" w:rsidP="0036300A">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Ja salīdzinām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.gada </w:t>
      </w:r>
      <w:r w:rsidRPr="00564D59">
        <w:rPr>
          <w:rFonts w:ascii="Times New Roman" w:hAnsi="Times New Roman" w:cs="Times New Roman"/>
          <w:b/>
          <w:bCs/>
          <w:sz w:val="24"/>
          <w:szCs w:val="24"/>
        </w:rPr>
        <w:t>vispārējās valdības budžeta bilances</w:t>
      </w:r>
      <w:r w:rsidRPr="00564D59">
        <w:rPr>
          <w:rFonts w:ascii="Times New Roman" w:hAnsi="Times New Roman" w:cs="Times New Roman"/>
          <w:bCs/>
          <w:sz w:val="24"/>
          <w:szCs w:val="24"/>
        </w:rPr>
        <w:t xml:space="preserve"> prognozes, kas ir par pamatu 201</w:t>
      </w:r>
      <w:r>
        <w:rPr>
          <w:rFonts w:ascii="Times New Roman" w:hAnsi="Times New Roman" w:cs="Times New Roman"/>
          <w:bCs/>
          <w:sz w:val="24"/>
          <w:szCs w:val="24"/>
        </w:rPr>
        <w:t>8</w:t>
      </w:r>
      <w:r w:rsidRPr="00564D59">
        <w:rPr>
          <w:rFonts w:ascii="Times New Roman" w:hAnsi="Times New Roman" w:cs="Times New Roman"/>
          <w:bCs/>
          <w:sz w:val="24"/>
          <w:szCs w:val="24"/>
        </w:rPr>
        <w:t>.gada valsts budžetam, un pašreizējo novērtējumu par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.gada fiskālo rādītāju </w:t>
      </w:r>
      <w:r>
        <w:rPr>
          <w:rFonts w:ascii="Times New Roman" w:hAnsi="Times New Roman" w:cs="Times New Roman"/>
          <w:bCs/>
          <w:sz w:val="24"/>
          <w:szCs w:val="24"/>
        </w:rPr>
        <w:t>rezultātiem</w:t>
      </w:r>
      <w:r w:rsidRPr="00564D59">
        <w:rPr>
          <w:rFonts w:ascii="Times New Roman" w:hAnsi="Times New Roman" w:cs="Times New Roman"/>
          <w:bCs/>
          <w:sz w:val="24"/>
          <w:szCs w:val="24"/>
        </w:rPr>
        <w:t>, var secināt, ka atšķirības izriet gan no izmaiņām makroekonomiskajā scenārijā, gan fiskālajā scenārijā.</w:t>
      </w:r>
    </w:p>
    <w:p w14:paraId="6354C570" w14:textId="77777777" w:rsidR="0036300A" w:rsidRPr="00564D59" w:rsidRDefault="0036300A" w:rsidP="0036300A">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 xml:space="preserve">Vērtējot izmaiņas starp </w:t>
      </w:r>
      <w:r>
        <w:rPr>
          <w:rFonts w:ascii="Times New Roman" w:hAnsi="Times New Roman" w:cs="Times New Roman"/>
          <w:bCs/>
          <w:sz w:val="24"/>
          <w:szCs w:val="24"/>
        </w:rPr>
        <w:t>plānoto</w:t>
      </w:r>
      <w:r w:rsidRPr="00564D59">
        <w:rPr>
          <w:rFonts w:ascii="Times New Roman" w:hAnsi="Times New Roman" w:cs="Times New Roman"/>
          <w:bCs/>
          <w:sz w:val="24"/>
          <w:szCs w:val="24"/>
        </w:rPr>
        <w:t xml:space="preserve"> makroekonomisko scenāriju un pašreizējo novērtējumu, var secināt, ka izmaiņas ir vērojamas visos būtiskākajos elementos, kas raksturo ekonomisko aktivitāti valstī un ietekmē fiskālos rādītājus, proti, iekšzemes patēriņš, investīcijas, ārējās tirdzniecības rādītāji, atalgojuma līmeņa izmaiņas, nodarbinātības rādītāji u.c. Kopumā ekonomiskā izaugsme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.gadā pašreizējā novērtējumā ir </w:t>
      </w:r>
      <w:r>
        <w:rPr>
          <w:rFonts w:ascii="Times New Roman" w:hAnsi="Times New Roman" w:cs="Times New Roman"/>
          <w:bCs/>
          <w:sz w:val="24"/>
          <w:szCs w:val="24"/>
        </w:rPr>
        <w:t>augstāka kā bija prognozēts</w:t>
      </w:r>
      <w:r w:rsidRPr="00564D59">
        <w:rPr>
          <w:rFonts w:ascii="Times New Roman" w:hAnsi="Times New Roman" w:cs="Times New Roman"/>
          <w:bCs/>
          <w:sz w:val="24"/>
          <w:szCs w:val="24"/>
        </w:rPr>
        <w:t xml:space="preserve">. </w:t>
      </w:r>
      <w:r w:rsidRPr="001F1AD1">
        <w:rPr>
          <w:rFonts w:ascii="Times New Roman" w:hAnsi="Times New Roman" w:cs="Times New Roman"/>
          <w:bCs/>
          <w:sz w:val="24"/>
          <w:szCs w:val="24"/>
        </w:rPr>
        <w:t>Straujāku nekā iepriekš prognozēts IKP pieaugumu notei</w:t>
      </w:r>
      <w:r>
        <w:rPr>
          <w:rFonts w:ascii="Times New Roman" w:hAnsi="Times New Roman" w:cs="Times New Roman"/>
          <w:bCs/>
          <w:sz w:val="24"/>
          <w:szCs w:val="24"/>
        </w:rPr>
        <w:t>ca</w:t>
      </w:r>
      <w:r w:rsidRPr="001F1AD1">
        <w:rPr>
          <w:rFonts w:ascii="Times New Roman" w:hAnsi="Times New Roman" w:cs="Times New Roman"/>
          <w:bCs/>
          <w:sz w:val="24"/>
          <w:szCs w:val="24"/>
        </w:rPr>
        <w:t xml:space="preserve"> augstākas investīcijas</w:t>
      </w:r>
      <w:r>
        <w:rPr>
          <w:rFonts w:ascii="Times New Roman" w:hAnsi="Times New Roman" w:cs="Times New Roman"/>
          <w:bCs/>
          <w:sz w:val="24"/>
          <w:szCs w:val="24"/>
        </w:rPr>
        <w:t>,</w:t>
      </w:r>
      <w:r w:rsidRPr="001F1AD1">
        <w:rPr>
          <w:rFonts w:ascii="Times New Roman" w:hAnsi="Times New Roman" w:cs="Times New Roman"/>
          <w:bCs/>
          <w:sz w:val="24"/>
          <w:szCs w:val="24"/>
        </w:rPr>
        <w:t xml:space="preserve"> kā arī straujāks privātā patēriņa kāpums. Turklāt labvēlīgā ārējā vide nodrošinās ārējā pieprasījuma pieaugumu, kas pozitīvi ietekmē</w:t>
      </w:r>
      <w:r>
        <w:rPr>
          <w:rFonts w:ascii="Times New Roman" w:hAnsi="Times New Roman" w:cs="Times New Roman"/>
          <w:bCs/>
          <w:sz w:val="24"/>
          <w:szCs w:val="24"/>
        </w:rPr>
        <w:t>ja</w:t>
      </w:r>
      <w:r w:rsidRPr="001F1AD1">
        <w:rPr>
          <w:rFonts w:ascii="Times New Roman" w:hAnsi="Times New Roman" w:cs="Times New Roman"/>
          <w:bCs/>
          <w:sz w:val="24"/>
          <w:szCs w:val="24"/>
        </w:rPr>
        <w:t xml:space="preserve"> eksportu un Latvijas ekonomisko izaugsmi kopumā. </w:t>
      </w:r>
      <w:r>
        <w:rPr>
          <w:rFonts w:ascii="Times New Roman" w:hAnsi="Times New Roman" w:cs="Times New Roman"/>
          <w:bCs/>
          <w:sz w:val="24"/>
          <w:szCs w:val="24"/>
        </w:rPr>
        <w:t xml:space="preserve"> </w:t>
      </w:r>
    </w:p>
    <w:p w14:paraId="08DED6D1" w14:textId="251F9422" w:rsidR="00CD680F" w:rsidRDefault="00CD680F" w:rsidP="00CD680F">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Nr.1</w:t>
      </w:r>
      <w:r w:rsidR="00786453">
        <w:rPr>
          <w:rFonts w:ascii="Times New Roman" w:hAnsi="Times New Roman" w:cs="Times New Roman"/>
          <w:b/>
          <w:bCs/>
          <w:sz w:val="24"/>
          <w:szCs w:val="24"/>
        </w:rPr>
        <w:t>7</w:t>
      </w:r>
      <w:r w:rsidRPr="000E5816">
        <w:rPr>
          <w:rFonts w:ascii="Times New Roman" w:hAnsi="Times New Roman" w:cs="Times New Roman"/>
          <w:b/>
          <w:bCs/>
          <w:sz w:val="24"/>
          <w:szCs w:val="24"/>
        </w:rPr>
        <w:t xml:space="preserve"> Izmaiņas vispārējās valdības sektora fiskālajā bilancē 201</w:t>
      </w:r>
      <w:r>
        <w:rPr>
          <w:rFonts w:ascii="Times New Roman" w:hAnsi="Times New Roman" w:cs="Times New Roman"/>
          <w:b/>
          <w:bCs/>
          <w:sz w:val="24"/>
          <w:szCs w:val="24"/>
        </w:rPr>
        <w:t>8</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1413"/>
        <w:gridCol w:w="7087"/>
        <w:gridCol w:w="1134"/>
      </w:tblGrid>
      <w:tr w:rsidR="00CD680F" w:rsidRPr="00120DF9" w14:paraId="53348707" w14:textId="77777777" w:rsidTr="00CD680F">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7E3BE61"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7087" w:type="dxa"/>
            <w:noWrap/>
            <w:hideMark/>
          </w:tcPr>
          <w:p w14:paraId="270B80C2"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1134" w:type="dxa"/>
            <w:noWrap/>
            <w:hideMark/>
          </w:tcPr>
          <w:p w14:paraId="7F574D11"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2018</w:t>
            </w:r>
          </w:p>
        </w:tc>
      </w:tr>
      <w:tr w:rsidR="00CD680F" w:rsidRPr="00120DF9" w14:paraId="399E0C36" w14:textId="77777777" w:rsidTr="00CD680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12CE924"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Ietvara likums 2018-2020</w:t>
            </w:r>
          </w:p>
        </w:tc>
        <w:tc>
          <w:tcPr>
            <w:tcW w:w="7087" w:type="dxa"/>
            <w:noWrap/>
            <w:hideMark/>
          </w:tcPr>
          <w:p w14:paraId="52F8DC80" w14:textId="77777777" w:rsidR="00CD680F" w:rsidRPr="00120DF9"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134" w:type="dxa"/>
            <w:noWrap/>
            <w:hideMark/>
          </w:tcPr>
          <w:p w14:paraId="302FECD9"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-1,0</w:t>
            </w:r>
          </w:p>
        </w:tc>
      </w:tr>
      <w:tr w:rsidR="0036300A" w:rsidRPr="00120DF9" w14:paraId="623C95D0" w14:textId="77777777" w:rsidTr="00CD680F">
        <w:trPr>
          <w:trHeight w:val="219"/>
        </w:trPr>
        <w:tc>
          <w:tcPr>
            <w:cnfStyle w:val="001000000000" w:firstRow="0" w:lastRow="0" w:firstColumn="1" w:lastColumn="0" w:oddVBand="0" w:evenVBand="0" w:oddHBand="0" w:evenHBand="0" w:firstRowFirstColumn="0" w:firstRowLastColumn="0" w:lastRowFirstColumn="0" w:lastRowLastColumn="0"/>
            <w:tcW w:w="1413" w:type="dxa"/>
            <w:vMerge w:val="restart"/>
            <w:hideMark/>
          </w:tcPr>
          <w:p w14:paraId="7F47431D" w14:textId="77777777" w:rsidR="0036300A" w:rsidRPr="00120DF9" w:rsidRDefault="0036300A" w:rsidP="0036300A">
            <w:pPr>
              <w:jc w:val="center"/>
              <w:rPr>
                <w:rFonts w:eastAsia="Times New Roman" w:cs="Times New Roman"/>
                <w:color w:val="000000"/>
                <w:sz w:val="22"/>
                <w:lang w:eastAsia="lv-LV"/>
              </w:rPr>
            </w:pPr>
          </w:p>
          <w:p w14:paraId="6BE6A505" w14:textId="77777777" w:rsidR="0036300A" w:rsidRPr="00120DF9" w:rsidRDefault="0036300A" w:rsidP="0036300A">
            <w:pPr>
              <w:jc w:val="center"/>
              <w:rPr>
                <w:rFonts w:eastAsia="Times New Roman" w:cs="Times New Roman"/>
                <w:color w:val="000000"/>
                <w:sz w:val="22"/>
                <w:lang w:eastAsia="lv-LV"/>
              </w:rPr>
            </w:pPr>
          </w:p>
          <w:p w14:paraId="0A55A9D4" w14:textId="77777777" w:rsidR="0036300A" w:rsidRPr="00120DF9" w:rsidRDefault="0036300A" w:rsidP="0036300A">
            <w:pPr>
              <w:jc w:val="center"/>
              <w:rPr>
                <w:rFonts w:eastAsia="Times New Roman" w:cs="Times New Roman"/>
                <w:color w:val="000000"/>
                <w:sz w:val="22"/>
                <w:lang w:eastAsia="lv-LV"/>
              </w:rPr>
            </w:pPr>
          </w:p>
          <w:p w14:paraId="1360EAFB" w14:textId="77777777" w:rsidR="0036300A" w:rsidRPr="00120DF9" w:rsidRDefault="0036300A" w:rsidP="0036300A">
            <w:pPr>
              <w:jc w:val="center"/>
              <w:rPr>
                <w:rFonts w:eastAsia="Times New Roman" w:cs="Times New Roman"/>
                <w:color w:val="000000"/>
                <w:sz w:val="22"/>
                <w:lang w:eastAsia="lv-LV"/>
              </w:rPr>
            </w:pPr>
          </w:p>
          <w:p w14:paraId="0823652C" w14:textId="77777777" w:rsidR="0036300A" w:rsidRPr="00120DF9" w:rsidRDefault="0036300A" w:rsidP="0036300A">
            <w:pPr>
              <w:jc w:val="center"/>
              <w:rPr>
                <w:rFonts w:eastAsia="Times New Roman" w:cs="Times New Roman"/>
                <w:color w:val="000000"/>
                <w:sz w:val="22"/>
                <w:lang w:eastAsia="lv-LV"/>
              </w:rPr>
            </w:pPr>
          </w:p>
          <w:p w14:paraId="50ECEF1F" w14:textId="77777777" w:rsidR="0036300A" w:rsidRPr="00120DF9" w:rsidRDefault="0036300A" w:rsidP="0036300A">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7087" w:type="dxa"/>
            <w:noWrap/>
            <w:hideMark/>
          </w:tcPr>
          <w:p w14:paraId="2C9E638F"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1134" w:type="dxa"/>
            <w:noWrap/>
            <w:hideMark/>
          </w:tcPr>
          <w:p w14:paraId="535E42FC" w14:textId="0AF6BDF4"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0,38</w:t>
            </w:r>
          </w:p>
        </w:tc>
      </w:tr>
      <w:tr w:rsidR="0036300A" w:rsidRPr="00120DF9" w14:paraId="0F6310C7" w14:textId="77777777" w:rsidTr="00CD680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413" w:type="dxa"/>
            <w:vMerge/>
            <w:hideMark/>
          </w:tcPr>
          <w:p w14:paraId="494C255A"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0941D0E7" w14:textId="77777777" w:rsidR="0036300A" w:rsidRPr="00120DF9"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Nenodokļu ieņēmumi</w:t>
            </w:r>
          </w:p>
        </w:tc>
        <w:tc>
          <w:tcPr>
            <w:tcW w:w="1134" w:type="dxa"/>
            <w:noWrap/>
            <w:hideMark/>
          </w:tcPr>
          <w:p w14:paraId="3CF7F447" w14:textId="141EABE7"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0,20</w:t>
            </w:r>
          </w:p>
        </w:tc>
      </w:tr>
      <w:tr w:rsidR="0036300A" w:rsidRPr="00120DF9" w14:paraId="74ADA801" w14:textId="77777777" w:rsidTr="00CD680F">
        <w:trPr>
          <w:trHeight w:val="25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6687529F"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70797DAB"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1134" w:type="dxa"/>
            <w:noWrap/>
            <w:hideMark/>
          </w:tcPr>
          <w:p w14:paraId="7FD6F623" w14:textId="0632A98A"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0,11</w:t>
            </w:r>
          </w:p>
        </w:tc>
      </w:tr>
      <w:tr w:rsidR="0036300A" w:rsidRPr="00120DF9" w14:paraId="1DA33443" w14:textId="77777777" w:rsidTr="00CD680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413" w:type="dxa"/>
            <w:vMerge/>
            <w:hideMark/>
          </w:tcPr>
          <w:p w14:paraId="451321FA"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0A0B5827" w14:textId="77777777" w:rsidR="0036300A" w:rsidRPr="00120DF9"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Pamatbudžeta pamatfunkciju primārie izdevumi (izņemot transfertus)</w:t>
            </w:r>
          </w:p>
        </w:tc>
        <w:tc>
          <w:tcPr>
            <w:tcW w:w="1134" w:type="dxa"/>
            <w:noWrap/>
            <w:hideMark/>
          </w:tcPr>
          <w:p w14:paraId="70418BF5" w14:textId="47DF8D34"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0,11</w:t>
            </w:r>
          </w:p>
        </w:tc>
      </w:tr>
      <w:tr w:rsidR="0036300A" w:rsidRPr="00120DF9" w14:paraId="2D795394" w14:textId="77777777" w:rsidTr="00CD680F">
        <w:trPr>
          <w:trHeight w:val="185"/>
        </w:trPr>
        <w:tc>
          <w:tcPr>
            <w:cnfStyle w:val="001000000000" w:firstRow="0" w:lastRow="0" w:firstColumn="1" w:lastColumn="0" w:oddVBand="0" w:evenVBand="0" w:oddHBand="0" w:evenHBand="0" w:firstRowFirstColumn="0" w:firstRowLastColumn="0" w:lastRowFirstColumn="0" w:lastRowLastColumn="0"/>
            <w:tcW w:w="1413" w:type="dxa"/>
            <w:vMerge/>
            <w:hideMark/>
          </w:tcPr>
          <w:p w14:paraId="1918A45E"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61665C33"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Speciālā budžeta izdevumi (izņemot transfertus)</w:t>
            </w:r>
          </w:p>
        </w:tc>
        <w:tc>
          <w:tcPr>
            <w:tcW w:w="1134" w:type="dxa"/>
            <w:noWrap/>
            <w:hideMark/>
          </w:tcPr>
          <w:p w14:paraId="2EEBF741" w14:textId="2F235AA8"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0,24</w:t>
            </w:r>
          </w:p>
        </w:tc>
      </w:tr>
      <w:tr w:rsidR="0036300A" w:rsidRPr="00120DF9" w14:paraId="5C79E9EF" w14:textId="77777777" w:rsidTr="00CD680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13" w:type="dxa"/>
            <w:vMerge/>
            <w:hideMark/>
          </w:tcPr>
          <w:p w14:paraId="22881BE0"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5AA22250" w14:textId="77777777" w:rsidR="0036300A" w:rsidRPr="00120DF9"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Pašvaldību budžeta pamatfunkciju primārie izdevumi (izņemot transfertus)</w:t>
            </w:r>
          </w:p>
        </w:tc>
        <w:tc>
          <w:tcPr>
            <w:tcW w:w="1134" w:type="dxa"/>
            <w:noWrap/>
            <w:hideMark/>
          </w:tcPr>
          <w:p w14:paraId="190B2AE9" w14:textId="5F5B1194"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-0,40</w:t>
            </w:r>
          </w:p>
        </w:tc>
      </w:tr>
      <w:tr w:rsidR="0036300A" w:rsidRPr="00120DF9" w14:paraId="08AEF659" w14:textId="77777777" w:rsidTr="00CD680F">
        <w:trPr>
          <w:trHeight w:val="222"/>
        </w:trPr>
        <w:tc>
          <w:tcPr>
            <w:cnfStyle w:val="001000000000" w:firstRow="0" w:lastRow="0" w:firstColumn="1" w:lastColumn="0" w:oddVBand="0" w:evenVBand="0" w:oddHBand="0" w:evenHBand="0" w:firstRowFirstColumn="0" w:firstRowLastColumn="0" w:lastRowFirstColumn="0" w:lastRowLastColumn="0"/>
            <w:tcW w:w="1413" w:type="dxa"/>
            <w:vMerge/>
            <w:hideMark/>
          </w:tcPr>
          <w:p w14:paraId="4C1065FE"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2C2597E4"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Atvasināto publisko personu izdevumi (izņemot transfertus)</w:t>
            </w:r>
          </w:p>
        </w:tc>
        <w:tc>
          <w:tcPr>
            <w:tcW w:w="1134" w:type="dxa"/>
            <w:noWrap/>
            <w:hideMark/>
          </w:tcPr>
          <w:p w14:paraId="3940DEC5" w14:textId="7556548F"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0,04</w:t>
            </w:r>
          </w:p>
        </w:tc>
      </w:tr>
      <w:tr w:rsidR="0036300A" w:rsidRPr="00120DF9" w14:paraId="0F1B7770" w14:textId="77777777" w:rsidTr="00CD680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413" w:type="dxa"/>
            <w:vMerge/>
          </w:tcPr>
          <w:p w14:paraId="3B2D7273" w14:textId="77777777" w:rsidR="0036300A" w:rsidRPr="00120DF9" w:rsidRDefault="0036300A" w:rsidP="0036300A">
            <w:pPr>
              <w:rPr>
                <w:rFonts w:eastAsia="Times New Roman" w:cs="Times New Roman"/>
                <w:color w:val="000000"/>
                <w:sz w:val="22"/>
                <w:lang w:eastAsia="lv-LV"/>
              </w:rPr>
            </w:pPr>
          </w:p>
        </w:tc>
        <w:tc>
          <w:tcPr>
            <w:tcW w:w="7087" w:type="dxa"/>
            <w:noWrap/>
          </w:tcPr>
          <w:p w14:paraId="598C6F81" w14:textId="77777777" w:rsidR="0036300A" w:rsidRPr="00120DF9"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1134" w:type="dxa"/>
            <w:noWrap/>
          </w:tcPr>
          <w:p w14:paraId="7B9E9DDF" w14:textId="1CF0C5B1"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0,01</w:t>
            </w:r>
          </w:p>
        </w:tc>
      </w:tr>
      <w:tr w:rsidR="0036300A" w:rsidRPr="00120DF9" w14:paraId="6F7D1DDF" w14:textId="77777777" w:rsidTr="00CD680F">
        <w:trPr>
          <w:trHeight w:val="112"/>
        </w:trPr>
        <w:tc>
          <w:tcPr>
            <w:cnfStyle w:val="001000000000" w:firstRow="0" w:lastRow="0" w:firstColumn="1" w:lastColumn="0" w:oddVBand="0" w:evenVBand="0" w:oddHBand="0" w:evenHBand="0" w:firstRowFirstColumn="0" w:firstRowLastColumn="0" w:lastRowFirstColumn="0" w:lastRowLastColumn="0"/>
            <w:tcW w:w="1413" w:type="dxa"/>
            <w:vMerge/>
            <w:hideMark/>
          </w:tcPr>
          <w:p w14:paraId="2BC1CE3E"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4511F019"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1134" w:type="dxa"/>
            <w:noWrap/>
            <w:hideMark/>
          </w:tcPr>
          <w:p w14:paraId="5C34C52C" w14:textId="42644E8F"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-0,05</w:t>
            </w:r>
          </w:p>
        </w:tc>
      </w:tr>
      <w:tr w:rsidR="0036300A" w:rsidRPr="00120DF9" w14:paraId="447CA00F" w14:textId="77777777" w:rsidTr="00CD680F">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13" w:type="dxa"/>
            <w:vMerge/>
            <w:hideMark/>
          </w:tcPr>
          <w:p w14:paraId="2DEFDBA4"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65C9DE25" w14:textId="77777777" w:rsidR="0036300A" w:rsidRPr="00120DF9"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1134" w:type="dxa"/>
            <w:noWrap/>
            <w:hideMark/>
          </w:tcPr>
          <w:p w14:paraId="0C5C1ACB" w14:textId="6AE25E2F"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-0,53</w:t>
            </w:r>
          </w:p>
        </w:tc>
      </w:tr>
      <w:tr w:rsidR="0036300A" w:rsidRPr="00120DF9" w14:paraId="647E402A" w14:textId="77777777" w:rsidTr="00CD680F">
        <w:trPr>
          <w:trHeight w:val="166"/>
        </w:trPr>
        <w:tc>
          <w:tcPr>
            <w:cnfStyle w:val="001000000000" w:firstRow="0" w:lastRow="0" w:firstColumn="1" w:lastColumn="0" w:oddVBand="0" w:evenVBand="0" w:oddHBand="0" w:evenHBand="0" w:firstRowFirstColumn="0" w:firstRowLastColumn="0" w:lastRowFirstColumn="0" w:lastRowLastColumn="0"/>
            <w:tcW w:w="1413" w:type="dxa"/>
            <w:vMerge/>
            <w:hideMark/>
          </w:tcPr>
          <w:p w14:paraId="7C152FC5" w14:textId="77777777" w:rsidR="0036300A" w:rsidRPr="00120DF9" w:rsidRDefault="0036300A" w:rsidP="0036300A">
            <w:pPr>
              <w:rPr>
                <w:rFonts w:eastAsia="Times New Roman" w:cs="Times New Roman"/>
                <w:color w:val="000000"/>
                <w:sz w:val="22"/>
                <w:lang w:eastAsia="lv-LV"/>
              </w:rPr>
            </w:pPr>
          </w:p>
        </w:tc>
        <w:tc>
          <w:tcPr>
            <w:tcW w:w="7087" w:type="dxa"/>
            <w:noWrap/>
            <w:hideMark/>
          </w:tcPr>
          <w:p w14:paraId="53D68DFA" w14:textId="77777777" w:rsidR="0036300A" w:rsidRPr="00120DF9"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1134" w:type="dxa"/>
            <w:noWrap/>
            <w:hideMark/>
          </w:tcPr>
          <w:p w14:paraId="6911A1EF" w14:textId="183D214E" w:rsidR="0036300A" w:rsidRPr="0036300A" w:rsidRDefault="0036300A" w:rsidP="0036300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0,13</w:t>
            </w:r>
          </w:p>
        </w:tc>
      </w:tr>
      <w:tr w:rsidR="0036300A" w:rsidRPr="00120DF9" w14:paraId="1EFB3027" w14:textId="77777777" w:rsidTr="00CD680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A706C24" w14:textId="77777777" w:rsidR="0036300A" w:rsidRPr="00120DF9" w:rsidRDefault="0036300A" w:rsidP="0036300A">
            <w:pPr>
              <w:jc w:val="center"/>
              <w:rPr>
                <w:rFonts w:eastAsia="Times New Roman" w:cs="Times New Roman"/>
                <w:color w:val="000000"/>
                <w:sz w:val="22"/>
                <w:lang w:eastAsia="lv-LV"/>
              </w:rPr>
            </w:pPr>
            <w:r w:rsidRPr="00120DF9">
              <w:rPr>
                <w:rFonts w:eastAsia="Times New Roman" w:cs="Times New Roman"/>
                <w:color w:val="000000"/>
                <w:sz w:val="22"/>
                <w:lang w:eastAsia="lv-LV"/>
              </w:rPr>
              <w:t>2018.gada novērtējums</w:t>
            </w:r>
          </w:p>
        </w:tc>
        <w:tc>
          <w:tcPr>
            <w:tcW w:w="7087" w:type="dxa"/>
            <w:noWrap/>
            <w:hideMark/>
          </w:tcPr>
          <w:p w14:paraId="25F17599" w14:textId="77777777" w:rsidR="0036300A" w:rsidRPr="00120DF9" w:rsidRDefault="0036300A" w:rsidP="0036300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1134" w:type="dxa"/>
            <w:noWrap/>
            <w:hideMark/>
          </w:tcPr>
          <w:p w14:paraId="3B39443A" w14:textId="5A357BCF" w:rsidR="0036300A" w:rsidRPr="0036300A" w:rsidRDefault="0036300A" w:rsidP="0036300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-0,7</w:t>
            </w:r>
          </w:p>
        </w:tc>
      </w:tr>
    </w:tbl>
    <w:p w14:paraId="203B0B0B" w14:textId="77777777" w:rsidR="0036300A" w:rsidRDefault="0036300A" w:rsidP="0036300A">
      <w:pPr>
        <w:spacing w:before="120" w:after="0" w:line="240" w:lineRule="auto"/>
        <w:ind w:firstLine="720"/>
        <w:jc w:val="both"/>
        <w:rPr>
          <w:rFonts w:ascii="Times New Roman" w:hAnsi="Times New Roman" w:cs="Times New Roman"/>
          <w:bCs/>
          <w:sz w:val="24"/>
          <w:szCs w:val="24"/>
        </w:rPr>
      </w:pPr>
    </w:p>
    <w:p w14:paraId="45577D23" w14:textId="204C0A7C" w:rsidR="0036300A" w:rsidRPr="00107589" w:rsidRDefault="0036300A" w:rsidP="0036300A">
      <w:pPr>
        <w:spacing w:before="120"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Atbilstoši aktuālajam novērtējumam </w:t>
      </w:r>
      <w:r w:rsidRPr="00107589">
        <w:rPr>
          <w:rFonts w:ascii="Times New Roman" w:hAnsi="Times New Roman" w:cs="Times New Roman"/>
          <w:b/>
          <w:bCs/>
          <w:sz w:val="24"/>
          <w:szCs w:val="24"/>
        </w:rPr>
        <w:t>2018.gada vispārējās valdības budžeta deficīts tiek prognozēts 0,</w:t>
      </w:r>
      <w:r>
        <w:rPr>
          <w:rFonts w:ascii="Times New Roman" w:hAnsi="Times New Roman" w:cs="Times New Roman"/>
          <w:b/>
          <w:bCs/>
          <w:sz w:val="24"/>
          <w:szCs w:val="24"/>
        </w:rPr>
        <w:t>7</w:t>
      </w:r>
      <w:r w:rsidRPr="00107589">
        <w:rPr>
          <w:rFonts w:ascii="Times New Roman" w:hAnsi="Times New Roman" w:cs="Times New Roman"/>
          <w:b/>
          <w:bCs/>
          <w:sz w:val="24"/>
          <w:szCs w:val="24"/>
        </w:rPr>
        <w:t xml:space="preserve">% no IKP apjomā, </w:t>
      </w:r>
      <w:r w:rsidRPr="001C4DDC">
        <w:rPr>
          <w:rFonts w:ascii="Times New Roman" w:hAnsi="Times New Roman" w:cs="Times New Roman"/>
          <w:b/>
          <w:bCs/>
          <w:sz w:val="24"/>
          <w:szCs w:val="24"/>
        </w:rPr>
        <w:t>savukārt likumā</w:t>
      </w:r>
      <w:r>
        <w:rPr>
          <w:rFonts w:ascii="Times New Roman" w:hAnsi="Times New Roman" w:cs="Times New Roman"/>
          <w:b/>
          <w:bCs/>
          <w:sz w:val="24"/>
          <w:szCs w:val="24"/>
        </w:rPr>
        <w:t xml:space="preserve"> plānotais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pieļaujamais vispārējās valdības</w:t>
      </w:r>
      <w:r w:rsidRPr="001C4DDC">
        <w:rPr>
          <w:rFonts w:ascii="Times New Roman" w:hAnsi="Times New Roman" w:cs="Times New Roman"/>
          <w:b/>
          <w:bCs/>
          <w:sz w:val="24"/>
          <w:szCs w:val="24"/>
        </w:rPr>
        <w:t xml:space="preserve"> budžeta </w:t>
      </w:r>
      <w:r>
        <w:rPr>
          <w:rFonts w:ascii="Times New Roman" w:hAnsi="Times New Roman" w:cs="Times New Roman"/>
          <w:b/>
          <w:bCs/>
          <w:sz w:val="24"/>
          <w:szCs w:val="24"/>
        </w:rPr>
        <w:t>deficīts</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tika noteiks 1,0</w:t>
      </w:r>
      <w:r w:rsidRPr="001C4DDC">
        <w:rPr>
          <w:rFonts w:ascii="Times New Roman" w:hAnsi="Times New Roman" w:cs="Times New Roman"/>
          <w:b/>
          <w:bCs/>
          <w:sz w:val="24"/>
          <w:szCs w:val="24"/>
        </w:rPr>
        <w:t>% no IKP</w:t>
      </w:r>
      <w:r>
        <w:rPr>
          <w:rFonts w:ascii="Times New Roman" w:hAnsi="Times New Roman" w:cs="Times New Roman"/>
          <w:bCs/>
          <w:sz w:val="24"/>
          <w:szCs w:val="24"/>
        </w:rPr>
        <w:t>, tādējādi novirzi veidojot +0,3% no IKP apmērā.</w:t>
      </w:r>
    </w:p>
    <w:p w14:paraId="48686F6C" w14:textId="3872CB3E" w:rsidR="0036300A" w:rsidRDefault="0036300A" w:rsidP="0036300A">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nenodokļu ieņēmumi ir par 0,38% un 0,20% no IKP lielāki kā plānots budžeta likumā 2018.gadam. Būtisku nodokļu pieaugumu nodrošināja uzņēmumu ienākuma nodoklis (UIN), kura faktiskā izpilde ir par 0,25% no IKP augstāka kā budžeta likumā prognozētā. UIN pieauguši ņemot vērā strauju iemaksu kāpumu pēc deklarāciju par 2017.gadu iesniegšanas. Atbilstoši uzņēmumu iesniegtajām deklarācijām uzņēmumu saimnieciskās darbības rādītāji bija labāki kā iepriekš prognozēts. Savukārt nenodokļu izpilde ir augstāka kā prognozēts ņemot vērā AS “Latvenergo” virspeļņas dividendes 0,21% apmērā no IKP. Jāpiebilst, </w:t>
      </w:r>
      <w:r w:rsidRPr="00BA6351">
        <w:rPr>
          <w:rFonts w:ascii="Times New Roman" w:hAnsi="Times New Roman" w:cs="Times New Roman"/>
          <w:bCs/>
          <w:sz w:val="24"/>
          <w:szCs w:val="24"/>
        </w:rPr>
        <w:t xml:space="preserve">ka virspeļņas dividendēm būs neitrāla ietekme uz vispārējās valdības budžeta bilanci, jo tiks </w:t>
      </w:r>
      <w:r w:rsidRPr="00BA6351">
        <w:rPr>
          <w:rFonts w:ascii="Times New Roman" w:hAnsi="Times New Roman" w:cs="Times New Roman"/>
          <w:sz w:val="24"/>
          <w:szCs w:val="24"/>
        </w:rPr>
        <w:t xml:space="preserve">atzīti atbilstoši izdevumi, lai mazinātu </w:t>
      </w:r>
      <w:r w:rsidR="00CE038A">
        <w:rPr>
          <w:rFonts w:ascii="Times New Roman" w:hAnsi="Times New Roman" w:cs="Times New Roman"/>
          <w:sz w:val="24"/>
          <w:szCs w:val="24"/>
        </w:rPr>
        <w:t>OIK</w:t>
      </w:r>
      <w:r w:rsidRPr="00BA6351">
        <w:rPr>
          <w:rFonts w:ascii="Times New Roman" w:hAnsi="Times New Roman" w:cs="Times New Roman"/>
          <w:sz w:val="24"/>
          <w:szCs w:val="24"/>
        </w:rPr>
        <w:t xml:space="preserve"> apjomu elektroenerģijas gala lietotājiem</w:t>
      </w:r>
      <w:r>
        <w:rPr>
          <w:rFonts w:ascii="Times New Roman" w:hAnsi="Times New Roman" w:cs="Times New Roman"/>
          <w:sz w:val="24"/>
          <w:szCs w:val="24"/>
        </w:rPr>
        <w:t xml:space="preserve"> (atbilstoši izdevumi ir atzīti pieklasificēto uzņēmumu bilancē</w:t>
      </w:r>
      <w:r>
        <w:rPr>
          <w:rFonts w:ascii="Times New Roman" w:hAnsi="Times New Roman" w:cs="Times New Roman"/>
          <w:bCs/>
          <w:sz w:val="24"/>
          <w:szCs w:val="24"/>
        </w:rPr>
        <w:t>).</w:t>
      </w:r>
      <w:r>
        <w:rPr>
          <w:rFonts w:ascii="Times New Roman" w:hAnsi="Times New Roman" w:cs="Times New Roman"/>
          <w:sz w:val="24"/>
          <w:szCs w:val="24"/>
        </w:rPr>
        <w:t xml:space="preserve"> </w:t>
      </w:r>
    </w:p>
    <w:p w14:paraId="6987558D" w14:textId="77777777" w:rsidR="0036300A" w:rsidRDefault="0036300A" w:rsidP="003630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Pamatbudžeta pamatfunkciju primārie izdevumi ir zemākā apjomā kā sākotnēji plānots, kā rezultātā vispārējā valdības budžeta bilancē veidojas ietaupījums 0,19% apmērā no IKP. Ietaupījumu 0,08% nodrošināja iemaksu ES budžetā samazinājums. Speciālā budžeta izdevumi ir zemāki kā sākotnēji plānots, kā rezultātā vispārējā valdības budžeta bilancē veidojas ietaupījums 0,24% apmērā no IKP, ko nodrošina zemākas sociālo pabalstu izmaksas (0,19%) un zemāki izdevumi pensijām (0,06%).</w:t>
      </w:r>
    </w:p>
    <w:p w14:paraId="07EA01D4" w14:textId="77777777" w:rsidR="0036300A" w:rsidRDefault="0036300A" w:rsidP="003630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Pašvaldību budžeta pamatfunkciju primārie izdevumi ir par 0,40% no IKP augstāki kā plānots. Būtiski pieaugumu nodrošina pamatfunkciju kapitālie izdevumi, kas pieauga par 0,32% no IKP, savukārt zemāki izdevumi precēm un pakalpojumiem veicina kopējo uzturēšanas izdevumu samazinājumu par 0,08% no IKP. </w:t>
      </w:r>
    </w:p>
    <w:p w14:paraId="3754E24E" w14:textId="77777777" w:rsidR="0036300A" w:rsidRDefault="0036300A" w:rsidP="003630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atbilstoši jaunākajam 2018.gada novērtējumam, veidoja lielāki nacionālie līdzfinansējuma izdevumi ārvalstu finanšu palīdzības (ĀFP) projektu realizācijai, tostarp ES fondu projektu realizācijai. Izdevumi ĀFP projektiem pieaug gan valsts pamatbudžetā, pašvaldību budžetā. </w:t>
      </w:r>
    </w:p>
    <w:p w14:paraId="4E7A9E54" w14:textId="77777777" w:rsidR="0036300A" w:rsidRDefault="0036300A" w:rsidP="0036300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Pārējās izmaiņas veidoja 0,1% no IKP, kas skaidrojams ar to, ka arī 2018.gadā, atbilstoši aktuālajam novērtējumam, fiskālā nodrošinājuma rezerve netika izmantota.</w:t>
      </w:r>
    </w:p>
    <w:p w14:paraId="4BF2FF73" w14:textId="77777777" w:rsidR="00CD680F" w:rsidRDefault="00CD680F" w:rsidP="00CD680F">
      <w:pPr>
        <w:spacing w:after="0" w:line="240" w:lineRule="auto"/>
        <w:ind w:firstLine="720"/>
        <w:jc w:val="both"/>
        <w:rPr>
          <w:rFonts w:ascii="Times New Roman" w:hAnsi="Times New Roman" w:cs="Times New Roman"/>
          <w:sz w:val="24"/>
          <w:szCs w:val="24"/>
        </w:rPr>
      </w:pPr>
    </w:p>
    <w:p w14:paraId="443EB745" w14:textId="77777777" w:rsidR="00334442" w:rsidRDefault="00334442">
      <w:pPr>
        <w:rPr>
          <w:rFonts w:ascii="Times New Roman" w:eastAsiaTheme="majorEastAsia" w:hAnsi="Times New Roman" w:cs="Times New Roman"/>
          <w:b/>
          <w:bCs/>
          <w:smallCaps/>
          <w:color w:val="000000" w:themeColor="text1"/>
          <w:sz w:val="32"/>
          <w:szCs w:val="36"/>
        </w:rPr>
      </w:pPr>
      <w:r>
        <w:rPr>
          <w:rFonts w:ascii="Times New Roman" w:hAnsi="Times New Roman" w:cs="Times New Roman"/>
          <w:sz w:val="32"/>
        </w:rPr>
        <w:br w:type="page"/>
      </w:r>
    </w:p>
    <w:p w14:paraId="35099966" w14:textId="2B42CBFA" w:rsidR="00B95E92" w:rsidRPr="00B95E92" w:rsidRDefault="007924D4" w:rsidP="007924D4">
      <w:pPr>
        <w:pStyle w:val="Heading1"/>
        <w:numPr>
          <w:ilvl w:val="0"/>
          <w:numId w:val="0"/>
        </w:numPr>
        <w:jc w:val="center"/>
        <w:rPr>
          <w:rFonts w:ascii="Times New Roman" w:hAnsi="Times New Roman" w:cs="Times New Roman"/>
          <w:sz w:val="32"/>
        </w:rPr>
      </w:pPr>
      <w:bookmarkStart w:id="40" w:name="_Toc536626728"/>
      <w:r>
        <w:rPr>
          <w:rFonts w:ascii="Times New Roman" w:hAnsi="Times New Roman" w:cs="Times New Roman"/>
          <w:sz w:val="32"/>
        </w:rPr>
        <w:t xml:space="preserve">5. </w:t>
      </w:r>
      <w:r w:rsidR="00B95E92" w:rsidRPr="00B95E92">
        <w:rPr>
          <w:rFonts w:ascii="Times New Roman" w:hAnsi="Times New Roman" w:cs="Times New Roman"/>
          <w:sz w:val="32"/>
        </w:rPr>
        <w:t>Fiskālā nodrošinājuma rezerves aprēķins</w:t>
      </w:r>
      <w:bookmarkEnd w:id="37"/>
      <w:bookmarkEnd w:id="40"/>
    </w:p>
    <w:p w14:paraId="4C4EB4E5" w14:textId="77777777" w:rsidR="00E36452" w:rsidRDefault="00E36452" w:rsidP="00E36452">
      <w:pPr>
        <w:spacing w:after="0" w:line="240" w:lineRule="auto"/>
        <w:ind w:firstLine="720"/>
        <w:jc w:val="both"/>
        <w:rPr>
          <w:rFonts w:ascii="Times New Roman" w:hAnsi="Times New Roman" w:cs="Times New Roman"/>
          <w:sz w:val="24"/>
          <w:szCs w:val="24"/>
        </w:rPr>
      </w:pPr>
      <w:r w:rsidRPr="009543AE">
        <w:rPr>
          <w:rFonts w:ascii="Times New Roman" w:hAnsi="Times New Roman" w:cs="Times New Roman"/>
          <w:sz w:val="24"/>
          <w:szCs w:val="24"/>
        </w:rPr>
        <w:t>Fiskālās nodrošinājuma rezerves aprēķina metodoloģiju nosaka MK noteikumi Nr.229. Nosakot fiskālās nodrošinājuma rezerves apjomu, nekvantificējamie fiskālie riski netiek iekļauti šajos aprēķinos. Tāpat aprēķini neiekļauj fiskālos riskus ar iestāšanās varbūtību 1 un 5. Fiskālajiem riskiem ar zemu varbūtību tiek izmantota minimālā fiskālā nodrošinājuma rezerve 0,1% no IKP, bet fiskālos riskus ar augstu varbūtību (ar iestāšanās varbūtību 5) fiskālajās prognozēs ņem vērā kā notikumus, kas attiecīgajā periodā notiks, respektīvi, to fiskālo ietekmi iekļauj izdevumu vai ieņēmumu prognozēs, sagatavojot vispārējās valdības budžeta finansiālās bilances aprēķinus. Fiskālā nodrošinājumu rezerve tiek aprēķināta fiskālajiem riskiem ar iestāšanās varbūtību 2, 3 un 4. Fiskālā nodrošinājuma rezerves apjomu aprēķina, summējot visus kvantificējamo fiskālos riskus, kuriem:</w:t>
      </w:r>
    </w:p>
    <w:p w14:paraId="027EA30A" w14:textId="77777777" w:rsidR="00E36452" w:rsidRPr="009543AE" w:rsidRDefault="00E36452" w:rsidP="00E36452">
      <w:pPr>
        <w:pStyle w:val="ListParagraph"/>
        <w:numPr>
          <w:ilvl w:val="0"/>
          <w:numId w:val="6"/>
        </w:numPr>
        <w:ind w:left="1434" w:hanging="357"/>
        <w:contextualSpacing w:val="0"/>
        <w:rPr>
          <w:rFonts w:ascii="Times New Roman" w:hAnsi="Times New Roman"/>
          <w:sz w:val="24"/>
          <w:szCs w:val="24"/>
        </w:rPr>
      </w:pPr>
      <w:r w:rsidRPr="009543AE">
        <w:rPr>
          <w:rFonts w:ascii="Times New Roman" w:hAnsi="Times New Roman"/>
          <w:sz w:val="24"/>
          <w:szCs w:val="24"/>
        </w:rPr>
        <w:t>iestāšanās varbūtība novērtēta ar 2, fiskālo ietekmi procentos no IKP reizinot ar koeficientu 0,1;</w:t>
      </w:r>
    </w:p>
    <w:p w14:paraId="4F41750C" w14:textId="77777777" w:rsidR="00E36452" w:rsidRPr="009543AE" w:rsidRDefault="00E36452" w:rsidP="00E36452">
      <w:pPr>
        <w:pStyle w:val="ListParagraph"/>
        <w:numPr>
          <w:ilvl w:val="0"/>
          <w:numId w:val="6"/>
        </w:numPr>
        <w:ind w:left="1434" w:hanging="357"/>
        <w:rPr>
          <w:rFonts w:ascii="Times New Roman" w:hAnsi="Times New Roman"/>
          <w:sz w:val="24"/>
          <w:szCs w:val="24"/>
        </w:rPr>
      </w:pPr>
      <w:r w:rsidRPr="009543AE">
        <w:rPr>
          <w:rFonts w:ascii="Times New Roman" w:hAnsi="Times New Roman"/>
          <w:sz w:val="24"/>
          <w:szCs w:val="24"/>
        </w:rPr>
        <w:t>iestāšanās varbūtība novērtēta ar 3, fiskālo ietekmi procentos no IKP reizinot ar koeficientu 0,3;</w:t>
      </w:r>
    </w:p>
    <w:p w14:paraId="1D3432F8" w14:textId="77777777" w:rsidR="00E36452" w:rsidRDefault="00E36452" w:rsidP="00E36452">
      <w:pPr>
        <w:pStyle w:val="ListParagraph"/>
        <w:numPr>
          <w:ilvl w:val="0"/>
          <w:numId w:val="6"/>
        </w:numPr>
        <w:ind w:left="1434" w:hanging="357"/>
        <w:rPr>
          <w:rFonts w:ascii="Times New Roman" w:hAnsi="Times New Roman"/>
          <w:sz w:val="24"/>
          <w:szCs w:val="24"/>
        </w:rPr>
      </w:pPr>
      <w:r w:rsidRPr="009543AE">
        <w:rPr>
          <w:rFonts w:ascii="Times New Roman" w:hAnsi="Times New Roman"/>
          <w:sz w:val="24"/>
          <w:szCs w:val="24"/>
        </w:rPr>
        <w:t>iestāšanās varbūtība novērtēta ar 4, fiskālo ietekmi procentos no IKP reizinot ar koeficientu 0,6.</w:t>
      </w:r>
    </w:p>
    <w:p w14:paraId="2766640D" w14:textId="756B1F9F" w:rsidR="00E36452" w:rsidRDefault="00123748" w:rsidP="00E364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E36452" w:rsidRPr="00F02020">
        <w:rPr>
          <w:rFonts w:ascii="Times New Roman" w:hAnsi="Times New Roman" w:cs="Times New Roman"/>
          <w:sz w:val="24"/>
          <w:szCs w:val="24"/>
        </w:rPr>
        <w:t>iskālā nodrošinājuma rezerve tiek aprēķināta ņemot vērā šādus galvenos šīs deklarācijas secinājumus:</w:t>
      </w:r>
    </w:p>
    <w:p w14:paraId="1E1903F1" w14:textId="77777777" w:rsidR="00E36452" w:rsidRPr="00F02020" w:rsidRDefault="00E36452" w:rsidP="00E36452">
      <w:pPr>
        <w:pStyle w:val="ListParagraph"/>
        <w:numPr>
          <w:ilvl w:val="0"/>
          <w:numId w:val="7"/>
        </w:numPr>
        <w:rPr>
          <w:rFonts w:ascii="Times New Roman" w:hAnsi="Times New Roman"/>
          <w:b/>
          <w:sz w:val="24"/>
          <w:szCs w:val="24"/>
        </w:rPr>
      </w:pPr>
      <w:r w:rsidRPr="00F02020">
        <w:rPr>
          <w:rFonts w:ascii="Times New Roman" w:hAnsi="Times New Roman"/>
          <w:sz w:val="24"/>
          <w:szCs w:val="24"/>
        </w:rPr>
        <w:t>Kvantificējamie nesimetriskie fiskālie riski ir ar zemu fiskālo ietekmi, kas kopā nepārsniedz 0,1% no IKP.</w:t>
      </w:r>
    </w:p>
    <w:p w14:paraId="40B8F763" w14:textId="77777777" w:rsidR="00E36452" w:rsidRPr="00F02020" w:rsidRDefault="00E36452" w:rsidP="00E36452">
      <w:pPr>
        <w:pStyle w:val="ListParagraph"/>
        <w:numPr>
          <w:ilvl w:val="0"/>
          <w:numId w:val="7"/>
        </w:numPr>
        <w:rPr>
          <w:rFonts w:ascii="Times New Roman" w:hAnsi="Times New Roman"/>
          <w:b/>
          <w:sz w:val="24"/>
          <w:szCs w:val="24"/>
        </w:rPr>
      </w:pPr>
      <w:r w:rsidRPr="00F02020">
        <w:rPr>
          <w:rFonts w:ascii="Times New Roman" w:hAnsi="Times New Roman"/>
          <w:sz w:val="24"/>
          <w:szCs w:val="24"/>
        </w:rPr>
        <w:t>Liela daļa no kvantificējamiem fiskālajiem riskiem ir simetriski fiskālie riski un tāpēc fiskālā nodrošinājuma rezerve šiem riskiem netiek veidota;</w:t>
      </w:r>
    </w:p>
    <w:p w14:paraId="12F76BB5" w14:textId="77777777" w:rsidR="00E36452" w:rsidRDefault="00E36452" w:rsidP="00E36452">
      <w:pPr>
        <w:pStyle w:val="ListParagraph"/>
        <w:numPr>
          <w:ilvl w:val="0"/>
          <w:numId w:val="7"/>
        </w:numPr>
        <w:rPr>
          <w:rFonts w:ascii="Times New Roman" w:hAnsi="Times New Roman"/>
          <w:sz w:val="24"/>
          <w:szCs w:val="24"/>
        </w:rPr>
      </w:pPr>
      <w:r w:rsidRPr="00F02020">
        <w:rPr>
          <w:rFonts w:ascii="Times New Roman" w:hAnsi="Times New Roman"/>
          <w:sz w:val="24"/>
          <w:szCs w:val="24"/>
        </w:rPr>
        <w:t>Kvantificējamais fiskālais risks par valsts sociālās apdrošināšanas speciālā budžeta izdevumu pieaugumu tiek atzīts par simetrisku risku, pieņemot, ka sabiedrības uzvedības modeļa maiņa ir adekvāti ņemta vērā prognozēs. Tas, vai pieņēmums ir patiess, būs skaidrs tikai pēc vairākiem gadiem. Šis apstāklis norāda uz to, ka FDL paredzētā minimālā fiskālā nodrošinājuma rezerve nav vērtējama kā formāla prasība, bet ir pamatota ar identificētajiem riskiem.</w:t>
      </w:r>
    </w:p>
    <w:p w14:paraId="38EBB0F5" w14:textId="214BC7D7" w:rsidR="00E36452" w:rsidRPr="004F7E06" w:rsidRDefault="00E36452" w:rsidP="00E36452">
      <w:pPr>
        <w:pStyle w:val="ListParagraph"/>
        <w:numPr>
          <w:ilvl w:val="0"/>
          <w:numId w:val="7"/>
        </w:numPr>
        <w:rPr>
          <w:rFonts w:ascii="Times New Roman" w:hAnsi="Times New Roman"/>
          <w:sz w:val="24"/>
          <w:szCs w:val="24"/>
        </w:rPr>
      </w:pPr>
      <w:r w:rsidRPr="004F7E06">
        <w:rPr>
          <w:rFonts w:ascii="Times New Roman" w:hAnsi="Times New Roman"/>
          <w:sz w:val="24"/>
          <w:szCs w:val="24"/>
        </w:rPr>
        <w:t>Valsts kapitālsabiedrību 2016.</w:t>
      </w:r>
      <w:r w:rsidR="004F7E06" w:rsidRPr="004F7E06">
        <w:rPr>
          <w:rFonts w:ascii="Times New Roman" w:hAnsi="Times New Roman"/>
          <w:sz w:val="24"/>
          <w:szCs w:val="24"/>
        </w:rPr>
        <w:t xml:space="preserve"> un 2017.</w:t>
      </w:r>
      <w:r w:rsidRPr="004F7E06">
        <w:rPr>
          <w:rFonts w:ascii="Times New Roman" w:hAnsi="Times New Roman"/>
          <w:sz w:val="24"/>
          <w:szCs w:val="24"/>
        </w:rPr>
        <w:t xml:space="preserve">gada saimnieciskās darbības faktiskā izpilde salīdzinājumā ar plānoto ir rezultējusies lejupvērstā virzienā, tomēr </w:t>
      </w:r>
      <w:r w:rsidRPr="004F7E06">
        <w:rPr>
          <w:rFonts w:ascii="Times New Roman" w:eastAsiaTheme="minorHAnsi" w:hAnsi="Times New Roman"/>
          <w:sz w:val="24"/>
        </w:rPr>
        <w:t xml:space="preserve">novērojumu nepietiekamā skaita dēļ pēc </w:t>
      </w:r>
      <w:r w:rsidRPr="004F7E06">
        <w:rPr>
          <w:rFonts w:ascii="Times New Roman" w:eastAsiaTheme="minorHAnsi" w:hAnsi="Times New Roman"/>
          <w:sz w:val="24"/>
          <w:szCs w:val="20"/>
        </w:rPr>
        <w:t>saimnieciskās darbības rezultātu</w:t>
      </w:r>
      <w:r w:rsidRPr="004F7E06" w:rsidDel="00A66465">
        <w:rPr>
          <w:rFonts w:ascii="Times New Roman" w:eastAsiaTheme="minorHAnsi" w:hAnsi="Times New Roman"/>
          <w:sz w:val="24"/>
        </w:rPr>
        <w:t xml:space="preserve"> </w:t>
      </w:r>
      <w:r w:rsidRPr="004F7E06">
        <w:rPr>
          <w:rFonts w:ascii="Times New Roman" w:eastAsiaTheme="minorHAnsi" w:hAnsi="Times New Roman"/>
          <w:sz w:val="24"/>
        </w:rPr>
        <w:t xml:space="preserve">prognozēšanas metodoloģijas izmaiņām </w:t>
      </w:r>
      <w:r w:rsidRPr="004F7E06">
        <w:rPr>
          <w:rFonts w:ascii="Times New Roman" w:hAnsi="Times New Roman"/>
          <w:sz w:val="24"/>
          <w:szCs w:val="24"/>
        </w:rPr>
        <w:t xml:space="preserve">vēl ir pāragri spriest par sistemātiskām novirzēm. </w:t>
      </w:r>
    </w:p>
    <w:p w14:paraId="44F0754E" w14:textId="64FD0538" w:rsidR="00E36452" w:rsidRPr="00B40D49" w:rsidRDefault="00E36452" w:rsidP="00E36452">
      <w:pPr>
        <w:spacing w:after="0" w:line="240" w:lineRule="auto"/>
        <w:ind w:firstLine="720"/>
        <w:jc w:val="both"/>
        <w:rPr>
          <w:rFonts w:ascii="Times New Roman" w:hAnsi="Times New Roman"/>
          <w:b/>
          <w:sz w:val="24"/>
          <w:szCs w:val="24"/>
        </w:rPr>
      </w:pPr>
      <w:r w:rsidRPr="004F7E06">
        <w:rPr>
          <w:rFonts w:ascii="Times New Roman" w:hAnsi="Times New Roman"/>
          <w:b/>
          <w:sz w:val="24"/>
          <w:szCs w:val="24"/>
        </w:rPr>
        <w:t>Ņemot vērā minēto, no šīs fiskālo risku deklarācijas izriet, ka fiskālā nodrošinājuma rezerve 201</w:t>
      </w:r>
      <w:r w:rsidR="004F7E06" w:rsidRPr="004F7E06">
        <w:rPr>
          <w:rFonts w:ascii="Times New Roman" w:hAnsi="Times New Roman"/>
          <w:b/>
          <w:sz w:val="24"/>
          <w:szCs w:val="24"/>
        </w:rPr>
        <w:t>9</w:t>
      </w:r>
      <w:r w:rsidRPr="004F7E06">
        <w:rPr>
          <w:rFonts w:ascii="Times New Roman" w:hAnsi="Times New Roman"/>
          <w:b/>
          <w:sz w:val="24"/>
          <w:szCs w:val="24"/>
        </w:rPr>
        <w:t xml:space="preserve">., </w:t>
      </w:r>
      <w:r w:rsidR="00123748">
        <w:rPr>
          <w:rFonts w:ascii="Times New Roman" w:hAnsi="Times New Roman"/>
          <w:b/>
          <w:sz w:val="24"/>
          <w:szCs w:val="24"/>
        </w:rPr>
        <w:t xml:space="preserve">2020. un </w:t>
      </w:r>
      <w:r w:rsidRPr="004F7E06">
        <w:rPr>
          <w:rFonts w:ascii="Times New Roman" w:hAnsi="Times New Roman"/>
          <w:b/>
          <w:sz w:val="24"/>
          <w:szCs w:val="24"/>
        </w:rPr>
        <w:t>202</w:t>
      </w:r>
      <w:r w:rsidR="004F7E06" w:rsidRPr="004F7E06">
        <w:rPr>
          <w:rFonts w:ascii="Times New Roman" w:hAnsi="Times New Roman"/>
          <w:b/>
          <w:sz w:val="24"/>
          <w:szCs w:val="24"/>
        </w:rPr>
        <w:t>1</w:t>
      </w:r>
      <w:r w:rsidRPr="004F7E06">
        <w:rPr>
          <w:rFonts w:ascii="Times New Roman" w:hAnsi="Times New Roman"/>
          <w:b/>
          <w:sz w:val="24"/>
          <w:szCs w:val="24"/>
        </w:rPr>
        <w:t>.gadā</w:t>
      </w:r>
      <w:r w:rsidR="004F7E06" w:rsidRPr="004F7E06">
        <w:rPr>
          <w:rFonts w:ascii="Times New Roman" w:hAnsi="Times New Roman"/>
          <w:b/>
          <w:sz w:val="24"/>
          <w:szCs w:val="24"/>
        </w:rPr>
        <w:t xml:space="preserve"> ir jāveido 0,1% no IKP apmērā.</w:t>
      </w:r>
    </w:p>
    <w:p w14:paraId="57D1040E" w14:textId="77777777" w:rsidR="0040451F" w:rsidRDefault="0040451F" w:rsidP="00AF78B3">
      <w:pPr>
        <w:spacing w:after="0"/>
        <w:jc w:val="both"/>
        <w:rPr>
          <w:rFonts w:ascii="Times New Roman" w:hAnsi="Times New Roman" w:cs="Times New Roman"/>
          <w:sz w:val="24"/>
          <w:szCs w:val="24"/>
        </w:rPr>
      </w:pPr>
    </w:p>
    <w:p w14:paraId="40F1A07C" w14:textId="77777777" w:rsidR="0040451F" w:rsidRDefault="0040451F" w:rsidP="00AF78B3">
      <w:pPr>
        <w:spacing w:after="0"/>
        <w:jc w:val="both"/>
        <w:rPr>
          <w:rFonts w:ascii="Times New Roman" w:hAnsi="Times New Roman" w:cs="Times New Roman"/>
          <w:sz w:val="24"/>
          <w:szCs w:val="24"/>
        </w:rPr>
      </w:pPr>
    </w:p>
    <w:p w14:paraId="10A69B2D" w14:textId="0C150929" w:rsidR="0040451F" w:rsidRDefault="0040451F" w:rsidP="00AF78B3">
      <w:pPr>
        <w:spacing w:after="0"/>
        <w:jc w:val="both"/>
        <w:rPr>
          <w:rFonts w:ascii="Times New Roman" w:hAnsi="Times New Roman" w:cs="Times New Roman"/>
          <w:sz w:val="24"/>
          <w:szCs w:val="24"/>
        </w:rPr>
      </w:pPr>
    </w:p>
    <w:p w14:paraId="1E0D1A13" w14:textId="2EFF0936" w:rsidR="00123748" w:rsidRDefault="00123748" w:rsidP="00AF78B3">
      <w:pPr>
        <w:spacing w:after="0"/>
        <w:jc w:val="both"/>
        <w:rPr>
          <w:rFonts w:ascii="Times New Roman" w:hAnsi="Times New Roman" w:cs="Times New Roman"/>
          <w:sz w:val="24"/>
          <w:szCs w:val="24"/>
        </w:rPr>
      </w:pPr>
    </w:p>
    <w:p w14:paraId="09111CE9" w14:textId="77777777" w:rsidR="00123748" w:rsidRDefault="00123748" w:rsidP="00AF78B3">
      <w:pPr>
        <w:spacing w:after="0"/>
        <w:jc w:val="both"/>
        <w:rPr>
          <w:rFonts w:ascii="Times New Roman" w:hAnsi="Times New Roman" w:cs="Times New Roman"/>
          <w:sz w:val="24"/>
          <w:szCs w:val="24"/>
        </w:rPr>
      </w:pPr>
    </w:p>
    <w:p w14:paraId="629BD6ED" w14:textId="6F72FEFE" w:rsidR="00A7020A" w:rsidRDefault="003510C2" w:rsidP="00AF78B3">
      <w:pPr>
        <w:spacing w:after="0"/>
        <w:jc w:val="both"/>
        <w:rPr>
          <w:rFonts w:ascii="Times New Roman" w:hAnsi="Times New Roman" w:cs="Times New Roman"/>
          <w:sz w:val="24"/>
          <w:szCs w:val="24"/>
        </w:rPr>
      </w:pPr>
      <w:r>
        <w:rPr>
          <w:rFonts w:ascii="Times New Roman" w:hAnsi="Times New Roman" w:cs="Times New Roman"/>
          <w:sz w:val="24"/>
          <w:szCs w:val="24"/>
        </w:rPr>
        <w:t>Finanšu ministrs</w:t>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123748">
        <w:rPr>
          <w:rFonts w:ascii="Times New Roman" w:hAnsi="Times New Roman" w:cs="Times New Roman"/>
          <w:sz w:val="24"/>
          <w:szCs w:val="24"/>
        </w:rPr>
        <w:tab/>
      </w:r>
      <w:r w:rsidR="00123748">
        <w:rPr>
          <w:rFonts w:ascii="Times New Roman" w:hAnsi="Times New Roman" w:cs="Times New Roman"/>
          <w:sz w:val="24"/>
          <w:szCs w:val="24"/>
        </w:rPr>
        <w:tab/>
        <w:t xml:space="preserve">    </w:t>
      </w:r>
      <w:r>
        <w:rPr>
          <w:rFonts w:ascii="Times New Roman" w:hAnsi="Times New Roman" w:cs="Times New Roman"/>
          <w:sz w:val="24"/>
          <w:szCs w:val="24"/>
        </w:rPr>
        <w:t>J. Reirs</w:t>
      </w:r>
    </w:p>
    <w:p w14:paraId="4F0BBF49" w14:textId="4284A3BF" w:rsidR="007F2B6B" w:rsidRPr="0016240A" w:rsidRDefault="007F2B6B" w:rsidP="00AF78B3">
      <w:pPr>
        <w:spacing w:after="0"/>
        <w:jc w:val="both"/>
        <w:rPr>
          <w:rFonts w:ascii="Times New Roman" w:hAnsi="Times New Roman" w:cs="Times New Roman"/>
          <w:sz w:val="24"/>
          <w:szCs w:val="24"/>
        </w:rPr>
      </w:pPr>
    </w:p>
    <w:sectPr w:rsidR="007F2B6B" w:rsidRPr="0016240A" w:rsidSect="00444AD7">
      <w:headerReference w:type="default" r:id="rId13"/>
      <w:foot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06F9" w14:textId="77777777" w:rsidR="00A9144F" w:rsidRDefault="00A9144F" w:rsidP="00B95E92">
      <w:pPr>
        <w:spacing w:after="0" w:line="240" w:lineRule="auto"/>
      </w:pPr>
      <w:r>
        <w:separator/>
      </w:r>
    </w:p>
  </w:endnote>
  <w:endnote w:type="continuationSeparator" w:id="0">
    <w:p w14:paraId="78EE1346" w14:textId="77777777" w:rsidR="00A9144F" w:rsidRDefault="00A9144F" w:rsidP="00B9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822F" w14:textId="77777777" w:rsidR="00A9144F" w:rsidRPr="00444AD7" w:rsidRDefault="00A9144F">
    <w:pPr>
      <w:pStyle w:val="Footer"/>
      <w:jc w:val="right"/>
      <w:rPr>
        <w:rFonts w:ascii="Times New Roman" w:hAnsi="Times New Roman" w:cs="Times New Roman"/>
        <w:sz w:val="24"/>
      </w:rPr>
    </w:pPr>
  </w:p>
  <w:p w14:paraId="0E3D25CF" w14:textId="5D362A7C" w:rsidR="00A9144F" w:rsidRPr="00D50D85" w:rsidRDefault="00A9144F">
    <w:pPr>
      <w:pStyle w:val="Footer"/>
      <w:rPr>
        <w:rFonts w:ascii="Times New Roman" w:hAnsi="Times New Roman" w:cs="Times New Roman"/>
        <w:sz w:val="20"/>
      </w:rPr>
    </w:pPr>
    <w:r w:rsidRPr="00235415">
      <w:rPr>
        <w:rFonts w:ascii="Times New Roman" w:hAnsi="Times New Roman" w:cs="Times New Roman"/>
        <w:sz w:val="20"/>
      </w:rPr>
      <w:t>FMzin_01022019_FRDekl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0117" w14:textId="77777777" w:rsidR="00A9144F" w:rsidRDefault="00A9144F" w:rsidP="00B95E92">
      <w:pPr>
        <w:spacing w:after="0" w:line="240" w:lineRule="auto"/>
      </w:pPr>
      <w:r>
        <w:separator/>
      </w:r>
    </w:p>
  </w:footnote>
  <w:footnote w:type="continuationSeparator" w:id="0">
    <w:p w14:paraId="2D293CC9" w14:textId="77777777" w:rsidR="00A9144F" w:rsidRDefault="00A9144F" w:rsidP="00B95E92">
      <w:pPr>
        <w:spacing w:after="0" w:line="240" w:lineRule="auto"/>
      </w:pPr>
      <w:r>
        <w:continuationSeparator/>
      </w:r>
    </w:p>
  </w:footnote>
  <w:footnote w:id="1">
    <w:p w14:paraId="7FD078D2" w14:textId="77777777" w:rsidR="00A9144F" w:rsidRDefault="00A9144F" w:rsidP="005C32F2">
      <w:pPr>
        <w:pStyle w:val="FootnoteText"/>
        <w:jc w:val="both"/>
      </w:pPr>
      <w:r>
        <w:rPr>
          <w:rStyle w:val="FootnoteReference"/>
        </w:rPr>
        <w:footnoteRef/>
      </w:r>
      <w:r>
        <w:t xml:space="preserve"> Saskaņā ar Starptautiskās Standartu organizācijas izstrādāto standartu risku vadībā ISO Guide 73:2009 risks tiek definēts kā nenoteiktības ietekme uz mērķiem (</w:t>
      </w:r>
      <w:r>
        <w:rPr>
          <w:i/>
          <w:lang w:val="en-US"/>
        </w:rPr>
        <w:t>effect of uncertainity on objectives</w:t>
      </w:r>
      <w:r>
        <w:t xml:space="preserve"> – angļu valodā).</w:t>
      </w:r>
    </w:p>
  </w:footnote>
  <w:footnote w:id="2">
    <w:p w14:paraId="2C3189E8" w14:textId="77777777" w:rsidR="00A9144F" w:rsidRDefault="00A9144F" w:rsidP="00BF5645">
      <w:pPr>
        <w:pStyle w:val="FootnoteText"/>
      </w:pPr>
      <w:r>
        <w:rPr>
          <w:rStyle w:val="FootnoteReference"/>
        </w:rPr>
        <w:footnoteRef/>
      </w:r>
      <w:r>
        <w:t xml:space="preserve"> Norādītā summa nesatur informāciju par valsts galvoto studiju un studējošo kredītu summām.</w:t>
      </w:r>
    </w:p>
  </w:footnote>
  <w:footnote w:id="3">
    <w:p w14:paraId="038462D3" w14:textId="77777777" w:rsidR="00A9144F" w:rsidRPr="0076162F" w:rsidRDefault="00A9144F" w:rsidP="00BF5645">
      <w:pPr>
        <w:pStyle w:val="FootnoteText"/>
        <w:jc w:val="both"/>
      </w:pPr>
      <w:r w:rsidRPr="00460559">
        <w:rPr>
          <w:rStyle w:val="FootnoteReference"/>
        </w:rPr>
        <w:footnoteRef/>
      </w:r>
      <w:r w:rsidRPr="00460559">
        <w:t xml:space="preserve"> Šajā aprēķinā nav iekļauti tie valsts galvotie aizdevumi, kuru kredītspēja tiek vērtēta kā „spēcīga” saskaņā ar Valsts kases iekšējiem noteikumiem, kā arī valsts galvotie aizdevumi Latvijas Olimpiskajai Komitejai un ārstniecības iestādēm, jo, saskaņā ar likuma “Par valsts budžetu 2018.gadam” 11.pielikumu, minēto valsts galvoto aizdevumu ņēmēju saistības ir iekļautas valsts budžeta ilgtermiņa saistībās, paredzot valsts budžeta dotāciju to izpildei.</w:t>
      </w:r>
    </w:p>
  </w:footnote>
  <w:footnote w:id="4">
    <w:p w14:paraId="63D86FE4" w14:textId="3F073814" w:rsidR="00A9144F" w:rsidRDefault="00A9144F" w:rsidP="002C5729">
      <w:pPr>
        <w:pStyle w:val="FootnoteText"/>
        <w:jc w:val="both"/>
      </w:pPr>
      <w:r>
        <w:rPr>
          <w:rStyle w:val="FootnoteReference"/>
        </w:rPr>
        <w:footnoteRef/>
      </w:r>
      <w:r>
        <w:t xml:space="preserve"> Atbilstoši maksājumu grafikam 2019.gadā plānotās pamatsummas un procentu summas valsts galvotā aizņēmuma ņēmējiem, kuri klasificējas ārpus vispārējās valdības sektora un kuru kredītspēja nav noteikta kā “spēcīga”.</w:t>
      </w:r>
    </w:p>
  </w:footnote>
  <w:footnote w:id="5">
    <w:p w14:paraId="08CFEE74" w14:textId="77777777" w:rsidR="00A9144F" w:rsidRDefault="00A9144F" w:rsidP="00BF5645">
      <w:pPr>
        <w:pStyle w:val="FootnoteText"/>
        <w:jc w:val="both"/>
      </w:pPr>
      <w:r w:rsidRPr="0076162F">
        <w:rPr>
          <w:rStyle w:val="FootnoteReference"/>
        </w:rPr>
        <w:footnoteRef/>
      </w:r>
      <w:r w:rsidRPr="0076162F">
        <w:t xml:space="preserve"> Saskaņā ar FM 2018.gada oktobrī aktualizētajām</w:t>
      </w:r>
      <w:r w:rsidRPr="006B0EDF">
        <w:t xml:space="preserve"> IKP prognoz</w:t>
      </w:r>
      <w:r>
        <w:t>ēm.</w:t>
      </w:r>
    </w:p>
  </w:footnote>
  <w:footnote w:id="6">
    <w:p w14:paraId="2A866E39" w14:textId="77777777" w:rsidR="00A9144F" w:rsidRDefault="00A9144F" w:rsidP="00BF5645">
      <w:pPr>
        <w:pStyle w:val="FootnoteText"/>
        <w:jc w:val="both"/>
      </w:pPr>
      <w:r>
        <w:rPr>
          <w:rStyle w:val="FootnoteReference"/>
        </w:rPr>
        <w:footnoteRef/>
      </w:r>
      <w:r>
        <w:t xml:space="preserve"> Šajā aprēķinā nav iekļauti tie valsts aizdevumi, kuru kredītspēja tiek vērtēta kā „spēcīga” saskaņā ar Valsts kases iekšējiem noteikumiem, kā arī tie aizdevumi, kuru saistības ir pilnībā nodrošinātas ar pašvaldības galvojumu.</w:t>
      </w:r>
    </w:p>
  </w:footnote>
  <w:footnote w:id="7">
    <w:p w14:paraId="3A82475F" w14:textId="77777777" w:rsidR="00A9144F" w:rsidRDefault="00A9144F" w:rsidP="0030420E">
      <w:pPr>
        <w:pStyle w:val="FootnoteText"/>
        <w:jc w:val="both"/>
      </w:pPr>
      <w:r>
        <w:rPr>
          <w:rStyle w:val="FootnoteReference"/>
        </w:rPr>
        <w:footnoteRef/>
      </w:r>
      <w:r>
        <w:t xml:space="preserve"> CSP,</w:t>
      </w:r>
      <w:r w:rsidRPr="00EA2806">
        <w:rPr>
          <w:rFonts w:cs="Times New Roman"/>
        </w:rPr>
        <w:t xml:space="preserve"> </w:t>
      </w:r>
      <w:r w:rsidRPr="007C38A8">
        <w:rPr>
          <w:rFonts w:cs="Times New Roman"/>
        </w:rPr>
        <w:t>https://www.csb.gov.lv/lv/statistika/statistikas-temas/ekonomika/valdibas-finanses/notifikacija</w:t>
      </w:r>
      <w:r w:rsidRPr="007C38A8" w:rsidDel="007C38A8">
        <w:rPr>
          <w:rFonts w:cs="Times New Roman"/>
        </w:rPr>
        <w:t xml:space="preserve"> </w:t>
      </w:r>
      <w:r w:rsidRPr="006F5CF1" w:rsidDel="00A75D0D">
        <w:rPr>
          <w:rFonts w:cs="Times New Roman"/>
        </w:rPr>
        <w:t xml:space="preserve"> </w:t>
      </w:r>
    </w:p>
  </w:footnote>
  <w:footnote w:id="8">
    <w:p w14:paraId="5D84215D" w14:textId="77777777" w:rsidR="00A9144F" w:rsidRPr="00544ECA" w:rsidRDefault="00A9144F" w:rsidP="00591A2F">
      <w:pPr>
        <w:pStyle w:val="FootnoteText"/>
        <w:jc w:val="both"/>
      </w:pPr>
      <w:r w:rsidRPr="00544ECA">
        <w:footnoteRef/>
      </w:r>
      <w:r w:rsidRPr="00544ECA">
        <w:t xml:space="preserve"> Atbilstoši </w:t>
      </w:r>
      <w:hyperlink r:id="rId1" w:tgtFrame="_blank" w:history="1">
        <w:r w:rsidRPr="00544ECA">
          <w:t>Ministru kabineta noteikumiem Nr.262  no 2010.gada 16.marta Noteikumi par elektroenerģijas ražošanu, izmantojot atjaunojamos energoresursus</w:t>
        </w:r>
      </w:hyperlink>
      <w:r w:rsidRPr="00544ECA">
        <w:t>, 59.4. punktam – “sistēmas operatori uzskaita to sistēmām pieslēgto galalietotāju – tirgus dalībnieku – elektroenerģijas patēriņam atbilstošo obligātā iepirkuma komponenti katrā norēķinu periodā, sniedz nepieciešamo informāciju publiskajam tirgotājam norēķinu veikšanai un norēķinās ar publisko tirgotāju par to sistēmām pieslēgto galalietotāju – tirgus dalībnieku – elektroenerģijas patēriņam atbilstošo komponenti.”</w:t>
      </w:r>
    </w:p>
  </w:footnote>
  <w:footnote w:id="9">
    <w:p w14:paraId="3100D53D" w14:textId="77777777" w:rsidR="00A9144F" w:rsidRPr="00544ECA" w:rsidRDefault="00A9144F" w:rsidP="00591A2F">
      <w:pPr>
        <w:pStyle w:val="FootnoteText"/>
      </w:pPr>
      <w:r w:rsidRPr="00544ECA">
        <w:rPr>
          <w:rStyle w:val="FootnoteReference"/>
        </w:rPr>
        <w:footnoteRef/>
      </w:r>
      <w:r w:rsidRPr="00544ECA">
        <w:t xml:space="preserve"> </w:t>
      </w:r>
      <w:r w:rsidRPr="00544ECA">
        <w:rPr>
          <w:rFonts w:cs="Times New Roman"/>
          <w:color w:val="000000" w:themeColor="text1"/>
        </w:rPr>
        <w:t>finansiālais rezultāts paredzot pasākumus OI elektrostaciju pārkompensācijas riska novēršanai</w:t>
      </w:r>
    </w:p>
  </w:footnote>
  <w:footnote w:id="10">
    <w:p w14:paraId="5F531AB7" w14:textId="77777777" w:rsidR="00A9144F" w:rsidRDefault="00A9144F" w:rsidP="00660767">
      <w:pPr>
        <w:pStyle w:val="FootnoteText"/>
        <w:jc w:val="both"/>
      </w:pPr>
      <w:r>
        <w:rPr>
          <w:rStyle w:val="FootnoteReference"/>
        </w:rPr>
        <w:footnoteRef/>
      </w:r>
      <w:r>
        <w:t xml:space="preserve"> FM novērtējums, </w:t>
      </w:r>
      <w:r w:rsidRPr="001D279F">
        <w:t>http://www.fm.gov.lv/files/</w:t>
      </w:r>
      <w:r>
        <w:t>files</w:t>
      </w:r>
      <w:r w:rsidRPr="00774B81">
        <w:t>/PPP.</w:t>
      </w:r>
      <w:r>
        <w:t>xlsx</w:t>
      </w:r>
    </w:p>
  </w:footnote>
  <w:footnote w:id="11">
    <w:p w14:paraId="3CDFF53B" w14:textId="77777777" w:rsidR="00A9144F" w:rsidRDefault="00A9144F" w:rsidP="00D34CF9">
      <w:pPr>
        <w:pStyle w:val="FootnoteText"/>
        <w:jc w:val="both"/>
      </w:pPr>
      <w:r>
        <w:rPr>
          <w:rStyle w:val="FootnoteReference"/>
        </w:rPr>
        <w:footnoteRef/>
      </w:r>
      <w:r>
        <w:t xml:space="preserve"> Novērtējumā nav ņemta vērā Ķekavas apvedceļu autoceļa E67/A7 posma PPP projekta potenciālā ietekme, jo līgums starp privāto un publisko partneri uz FRD izstrādes brīdi nav noslēgts. Atbilstoši Ministru kabineta 2016.gada 10.marta rīkojuma </w:t>
      </w:r>
      <w:r w:rsidRPr="00671C7F">
        <w:t>"Par valsts galvenā autoceļa projekta "E67/A7 Ķekavas apvedceļš" publiskās un privātās partnerības iepirkuma procedūras uzsākšanu"</w:t>
      </w:r>
      <w:r>
        <w:t xml:space="preserve"> anotācijā uzrādītajai informācijai potenciālā negatīvā ietekme provizoriski veidotu 2020.gadā  15 524 718 </w:t>
      </w:r>
      <w:r w:rsidRPr="00671C7F">
        <w:rPr>
          <w:i/>
        </w:rPr>
        <w:t>euro</w:t>
      </w:r>
      <w:r>
        <w:t xml:space="preserve">, 2021.gadā </w:t>
      </w:r>
      <w:r w:rsidRPr="00671C7F">
        <w:t>31 049</w:t>
      </w:r>
      <w:r>
        <w:t> </w:t>
      </w:r>
      <w:r w:rsidRPr="00671C7F">
        <w:t>435</w:t>
      </w:r>
      <w:r>
        <w:t xml:space="preserve"> </w:t>
      </w:r>
      <w:r w:rsidRPr="00671C7F">
        <w:rPr>
          <w:i/>
        </w:rPr>
        <w:t>euro</w:t>
      </w:r>
      <w:r>
        <w:t xml:space="preserve"> un 2022.gadā </w:t>
      </w:r>
      <w:r w:rsidRPr="00671C7F">
        <w:t xml:space="preserve">31 049 435 </w:t>
      </w:r>
      <w:r w:rsidRPr="00671C7F">
        <w:rPr>
          <w:i/>
        </w:rPr>
        <w:t>euro</w:t>
      </w:r>
      <w:r>
        <w:rPr>
          <w:i/>
        </w:rPr>
        <w:t xml:space="preserve"> </w:t>
      </w:r>
      <w:r>
        <w:t xml:space="preserve">jeb kopā 77 623 588 </w:t>
      </w:r>
      <w:r w:rsidRPr="00671C7F">
        <w:rPr>
          <w:i/>
        </w:rPr>
        <w:t>euro</w:t>
      </w:r>
      <w:r w:rsidRPr="00671C7F">
        <w:t xml:space="preserve">. </w:t>
      </w:r>
    </w:p>
  </w:footnote>
  <w:footnote w:id="12">
    <w:p w14:paraId="2A14E5E7" w14:textId="77777777" w:rsidR="00A9144F" w:rsidRPr="00C05E9A" w:rsidRDefault="00A9144F" w:rsidP="00626E14">
      <w:pPr>
        <w:pStyle w:val="FootnoteText"/>
        <w:jc w:val="both"/>
      </w:pPr>
      <w:r w:rsidRPr="00C05E9A">
        <w:rPr>
          <w:rStyle w:val="FootnoteReference"/>
        </w:rPr>
        <w:footnoteRef/>
      </w:r>
      <w:r w:rsidRPr="00C05E9A">
        <w:t xml:space="preserve"> </w:t>
      </w:r>
      <w:r w:rsidRPr="00C05E9A">
        <w:rPr>
          <w:rFonts w:cs="Times New Roman"/>
          <w:shd w:val="clear" w:color="auto" w:fill="FFFFFF"/>
        </w:rPr>
        <w:t>"No 2009. gada 1. jūlija līdz 2012. gada 31. decembrim izdienas pensijas saņēmējam, kurš 2009. gada 1. jūlijā ir obligāti sociāli apdrošinātā persona (darba ņēmējs vai pašnodarbinātais), izdienas pensiju pārrēķina un samazina par 70% no aprēķinātā izdienas pensijas apmēra. Izdienas pensijas apmērs atjaunojams ar tā mēneša pirmo datumu, kas seko mēnesim, kurā zaudēts obligāti sociāli apdrošinātās personas statuss."</w:t>
      </w:r>
    </w:p>
  </w:footnote>
  <w:footnote w:id="13">
    <w:p w14:paraId="760ABEE0" w14:textId="77777777" w:rsidR="00A9144F" w:rsidRPr="008874A0" w:rsidRDefault="00A9144F" w:rsidP="00820CDD">
      <w:pPr>
        <w:pStyle w:val="FootnoteText"/>
        <w:ind w:left="-851"/>
      </w:pPr>
      <w:r>
        <w:rPr>
          <w:rStyle w:val="FootnoteReference"/>
        </w:rPr>
        <w:footnoteRef/>
      </w:r>
      <w:r>
        <w:t xml:space="preserve"> </w:t>
      </w:r>
      <w:r w:rsidRPr="008874A0">
        <w:t>atjaunojamā kredītlīnija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8602"/>
      <w:docPartObj>
        <w:docPartGallery w:val="Page Numbers (Top of Page)"/>
        <w:docPartUnique/>
      </w:docPartObj>
    </w:sdtPr>
    <w:sdtEndPr>
      <w:rPr>
        <w:noProof/>
      </w:rPr>
    </w:sdtEndPr>
    <w:sdtContent>
      <w:p w14:paraId="52D090F1" w14:textId="4AE917CA" w:rsidR="00A9144F" w:rsidRDefault="00A9144F" w:rsidP="003669E3">
        <w:pPr>
          <w:pStyle w:val="Header"/>
          <w:jc w:val="right"/>
        </w:pPr>
        <w:r w:rsidRPr="003669E3">
          <w:rPr>
            <w:rFonts w:ascii="Times New Roman" w:hAnsi="Times New Roman" w:cs="Times New Roman"/>
            <w:sz w:val="24"/>
          </w:rPr>
          <w:fldChar w:fldCharType="begin"/>
        </w:r>
        <w:r w:rsidRPr="003669E3">
          <w:rPr>
            <w:rFonts w:ascii="Times New Roman" w:hAnsi="Times New Roman" w:cs="Times New Roman"/>
            <w:sz w:val="24"/>
          </w:rPr>
          <w:instrText xml:space="preserve"> PAGE   \* MERGEFORMAT </w:instrText>
        </w:r>
        <w:r w:rsidRPr="003669E3">
          <w:rPr>
            <w:rFonts w:ascii="Times New Roman" w:hAnsi="Times New Roman" w:cs="Times New Roman"/>
            <w:sz w:val="24"/>
          </w:rPr>
          <w:fldChar w:fldCharType="separate"/>
        </w:r>
        <w:r w:rsidR="00905326">
          <w:rPr>
            <w:rFonts w:ascii="Times New Roman" w:hAnsi="Times New Roman" w:cs="Times New Roman"/>
            <w:noProof/>
            <w:sz w:val="24"/>
          </w:rPr>
          <w:t>28</w:t>
        </w:r>
        <w:r w:rsidRPr="003669E3">
          <w:rPr>
            <w:rFonts w:ascii="Times New Roman" w:hAnsi="Times New Roman" w:cs="Times New Roman"/>
            <w:noProof/>
            <w:sz w:val="24"/>
          </w:rPr>
          <w:fldChar w:fldCharType="end"/>
        </w:r>
      </w:p>
    </w:sdtContent>
  </w:sdt>
  <w:p w14:paraId="2655436C" w14:textId="77777777" w:rsidR="00A9144F" w:rsidRDefault="00A91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70"/>
    <w:multiLevelType w:val="hybridMultilevel"/>
    <w:tmpl w:val="3AAE7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2F0E05"/>
    <w:multiLevelType w:val="multilevel"/>
    <w:tmpl w:val="12F0018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2A9211F"/>
    <w:multiLevelType w:val="hybridMultilevel"/>
    <w:tmpl w:val="A79A59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D33D2F"/>
    <w:multiLevelType w:val="hybridMultilevel"/>
    <w:tmpl w:val="0CDC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82775B"/>
    <w:multiLevelType w:val="multilevel"/>
    <w:tmpl w:val="2854AB18"/>
    <w:lvl w:ilvl="0">
      <w:start w:val="1"/>
      <w:numFmt w:val="decimal"/>
      <w:pStyle w:val="Heading1"/>
      <w:lvlText w:val="%1."/>
      <w:lvlJc w:val="left"/>
      <w:pPr>
        <w:ind w:left="432" w:hanging="432"/>
      </w:pPr>
      <w:rPr>
        <w:b/>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47A0AED"/>
    <w:multiLevelType w:val="hybridMultilevel"/>
    <w:tmpl w:val="A11C1B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5B96695"/>
    <w:multiLevelType w:val="hybridMultilevel"/>
    <w:tmpl w:val="44607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6193EE1"/>
    <w:multiLevelType w:val="hybridMultilevel"/>
    <w:tmpl w:val="AF8E55DE"/>
    <w:lvl w:ilvl="0" w:tplc="9DE4BB5A">
      <w:start w:val="1"/>
      <w:numFmt w:val="decimal"/>
      <w:lvlText w:val="%1."/>
      <w:lvlJc w:val="left"/>
      <w:pPr>
        <w:ind w:left="1503" w:hanging="360"/>
      </w:pPr>
      <w:rPr>
        <w:b w:val="0"/>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9" w15:restartNumberingAfterBreak="0">
    <w:nsid w:val="29777F40"/>
    <w:multiLevelType w:val="multilevel"/>
    <w:tmpl w:val="334E9FFA"/>
    <w:lvl w:ilvl="0">
      <w:start w:val="3"/>
      <w:numFmt w:val="decimal"/>
      <w:lvlText w:val="%1."/>
      <w:lvlJc w:val="left"/>
      <w:pPr>
        <w:ind w:left="360" w:hanging="360"/>
      </w:pPr>
      <w:rPr>
        <w:rFonts w:cs="Times New Roman" w:hint="default"/>
        <w:color w:val="auto"/>
      </w:rPr>
    </w:lvl>
    <w:lvl w:ilvl="1">
      <w:start w:val="1"/>
      <w:numFmt w:val="decimal"/>
      <w:lvlText w:val="%1.%2."/>
      <w:lvlJc w:val="left"/>
      <w:pPr>
        <w:ind w:left="3479" w:hanging="360"/>
      </w:pPr>
      <w:rPr>
        <w:rFonts w:cs="Times New Roman" w:hint="default"/>
        <w:color w:val="auto"/>
      </w:rPr>
    </w:lvl>
    <w:lvl w:ilvl="2">
      <w:start w:val="1"/>
      <w:numFmt w:val="decimal"/>
      <w:lvlText w:val="%1.%2.%3."/>
      <w:lvlJc w:val="left"/>
      <w:pPr>
        <w:ind w:left="6958" w:hanging="720"/>
      </w:pPr>
      <w:rPr>
        <w:rFonts w:cs="Times New Roman" w:hint="default"/>
        <w:color w:val="auto"/>
      </w:rPr>
    </w:lvl>
    <w:lvl w:ilvl="3">
      <w:start w:val="1"/>
      <w:numFmt w:val="decimal"/>
      <w:lvlText w:val="%1.%2.%3.%4."/>
      <w:lvlJc w:val="left"/>
      <w:pPr>
        <w:ind w:left="10077" w:hanging="720"/>
      </w:pPr>
      <w:rPr>
        <w:rFonts w:cs="Times New Roman" w:hint="default"/>
        <w:color w:val="auto"/>
      </w:rPr>
    </w:lvl>
    <w:lvl w:ilvl="4">
      <w:start w:val="1"/>
      <w:numFmt w:val="decimal"/>
      <w:lvlText w:val="%1.%2.%3.%4.%5."/>
      <w:lvlJc w:val="left"/>
      <w:pPr>
        <w:ind w:left="13556" w:hanging="1080"/>
      </w:pPr>
      <w:rPr>
        <w:rFonts w:cs="Times New Roman" w:hint="default"/>
        <w:color w:val="auto"/>
      </w:rPr>
    </w:lvl>
    <w:lvl w:ilvl="5">
      <w:start w:val="1"/>
      <w:numFmt w:val="decimal"/>
      <w:lvlText w:val="%1.%2.%3.%4.%5.%6."/>
      <w:lvlJc w:val="left"/>
      <w:pPr>
        <w:ind w:left="16675" w:hanging="1080"/>
      </w:pPr>
      <w:rPr>
        <w:rFonts w:cs="Times New Roman" w:hint="default"/>
        <w:color w:val="auto"/>
      </w:rPr>
    </w:lvl>
    <w:lvl w:ilvl="6">
      <w:start w:val="1"/>
      <w:numFmt w:val="decimal"/>
      <w:lvlText w:val="%1.%2.%3.%4.%5.%6.%7."/>
      <w:lvlJc w:val="left"/>
      <w:pPr>
        <w:ind w:left="20154" w:hanging="1440"/>
      </w:pPr>
      <w:rPr>
        <w:rFonts w:cs="Times New Roman" w:hint="default"/>
        <w:color w:val="auto"/>
      </w:rPr>
    </w:lvl>
    <w:lvl w:ilvl="7">
      <w:start w:val="1"/>
      <w:numFmt w:val="decimal"/>
      <w:lvlText w:val="%1.%2.%3.%4.%5.%6.%7.%8."/>
      <w:lvlJc w:val="left"/>
      <w:pPr>
        <w:ind w:left="23273" w:hanging="1440"/>
      </w:pPr>
      <w:rPr>
        <w:rFonts w:cs="Times New Roman" w:hint="default"/>
        <w:color w:val="auto"/>
      </w:rPr>
    </w:lvl>
    <w:lvl w:ilvl="8">
      <w:start w:val="1"/>
      <w:numFmt w:val="decimal"/>
      <w:lvlText w:val="%1.%2.%3.%4.%5.%6.%7.%8.%9."/>
      <w:lvlJc w:val="left"/>
      <w:pPr>
        <w:ind w:left="26752" w:hanging="1800"/>
      </w:pPr>
      <w:rPr>
        <w:rFonts w:cs="Times New Roman" w:hint="default"/>
        <w:color w:val="auto"/>
      </w:rPr>
    </w:lvl>
  </w:abstractNum>
  <w:abstractNum w:abstractNumId="10" w15:restartNumberingAfterBreak="0">
    <w:nsid w:val="3A8B25F3"/>
    <w:multiLevelType w:val="hybridMultilevel"/>
    <w:tmpl w:val="348404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BFB498D"/>
    <w:multiLevelType w:val="hybridMultilevel"/>
    <w:tmpl w:val="F1BC5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F31404"/>
    <w:multiLevelType w:val="hybridMultilevel"/>
    <w:tmpl w:val="EB98DF8C"/>
    <w:lvl w:ilvl="0" w:tplc="0B5889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07A2C8F"/>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4" w15:restartNumberingAfterBreak="0">
    <w:nsid w:val="53890486"/>
    <w:multiLevelType w:val="multilevel"/>
    <w:tmpl w:val="6A803874"/>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5" w15:restartNumberingAfterBreak="0">
    <w:nsid w:val="57C3225E"/>
    <w:multiLevelType w:val="hybridMultilevel"/>
    <w:tmpl w:val="580AF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9732055"/>
    <w:multiLevelType w:val="hybridMultilevel"/>
    <w:tmpl w:val="96B89AB8"/>
    <w:lvl w:ilvl="0" w:tplc="06BCCE8A">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A963C97"/>
    <w:multiLevelType w:val="hybridMultilevel"/>
    <w:tmpl w:val="FE34C968"/>
    <w:lvl w:ilvl="0" w:tplc="CD721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9C4912"/>
    <w:multiLevelType w:val="hybridMultilevel"/>
    <w:tmpl w:val="FEFE0D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4"/>
  </w:num>
  <w:num w:numId="4">
    <w:abstractNumId w:val="13"/>
  </w:num>
  <w:num w:numId="5">
    <w:abstractNumId w:val="9"/>
  </w:num>
  <w:num w:numId="6">
    <w:abstractNumId w:val="6"/>
  </w:num>
  <w:num w:numId="7">
    <w:abstractNumId w:val="8"/>
  </w:num>
  <w:num w:numId="8">
    <w:abstractNumId w:val="3"/>
  </w:num>
  <w:num w:numId="9">
    <w:abstractNumId w:val="18"/>
  </w:num>
  <w:num w:numId="10">
    <w:abstractNumId w:val="10"/>
  </w:num>
  <w:num w:numId="11">
    <w:abstractNumId w:val="11"/>
  </w:num>
  <w:num w:numId="12">
    <w:abstractNumId w:val="7"/>
  </w:num>
  <w:num w:numId="13">
    <w:abstractNumId w:val="15"/>
  </w:num>
  <w:num w:numId="14">
    <w:abstractNumId w:val="4"/>
  </w:num>
  <w:num w:numId="15">
    <w:abstractNumId w:val="12"/>
  </w:num>
  <w:num w:numId="16">
    <w:abstractNumId w:val="2"/>
  </w:num>
  <w:num w:numId="17">
    <w:abstractNumId w:val="17"/>
  </w:num>
  <w:num w:numId="18">
    <w:abstractNumId w:val="0"/>
  </w:num>
  <w:num w:numId="19">
    <w:abstractNumId w:val="5"/>
  </w:num>
  <w:num w:numId="20">
    <w:abstractNumId w:val="1"/>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9"/>
    <w:rsid w:val="000037EC"/>
    <w:rsid w:val="000063AD"/>
    <w:rsid w:val="00010CB9"/>
    <w:rsid w:val="000117DF"/>
    <w:rsid w:val="00011AB2"/>
    <w:rsid w:val="0002227C"/>
    <w:rsid w:val="0002686B"/>
    <w:rsid w:val="00031FA9"/>
    <w:rsid w:val="00032287"/>
    <w:rsid w:val="000345BD"/>
    <w:rsid w:val="000346E6"/>
    <w:rsid w:val="00037266"/>
    <w:rsid w:val="00037638"/>
    <w:rsid w:val="00037E3F"/>
    <w:rsid w:val="00041038"/>
    <w:rsid w:val="0004105F"/>
    <w:rsid w:val="00044F5F"/>
    <w:rsid w:val="00060ECC"/>
    <w:rsid w:val="00062F18"/>
    <w:rsid w:val="00072E73"/>
    <w:rsid w:val="00077218"/>
    <w:rsid w:val="00077C41"/>
    <w:rsid w:val="00081CDD"/>
    <w:rsid w:val="00086E69"/>
    <w:rsid w:val="000872F0"/>
    <w:rsid w:val="00087359"/>
    <w:rsid w:val="00096EFD"/>
    <w:rsid w:val="000A5968"/>
    <w:rsid w:val="000A5A62"/>
    <w:rsid w:val="000A6F7E"/>
    <w:rsid w:val="000B423D"/>
    <w:rsid w:val="000B6D14"/>
    <w:rsid w:val="000C41AB"/>
    <w:rsid w:val="000C4B44"/>
    <w:rsid w:val="000D02B5"/>
    <w:rsid w:val="000D2BB7"/>
    <w:rsid w:val="000D2BCD"/>
    <w:rsid w:val="000E4882"/>
    <w:rsid w:val="000E651E"/>
    <w:rsid w:val="000E6BBA"/>
    <w:rsid w:val="000E6C3B"/>
    <w:rsid w:val="000E71E5"/>
    <w:rsid w:val="000E7D3B"/>
    <w:rsid w:val="000F0F4C"/>
    <w:rsid w:val="000F409C"/>
    <w:rsid w:val="000F5C49"/>
    <w:rsid w:val="000F5FC1"/>
    <w:rsid w:val="000F6B7C"/>
    <w:rsid w:val="000F7CA1"/>
    <w:rsid w:val="00102966"/>
    <w:rsid w:val="00103B4E"/>
    <w:rsid w:val="001069C4"/>
    <w:rsid w:val="001105FD"/>
    <w:rsid w:val="001124C6"/>
    <w:rsid w:val="00112715"/>
    <w:rsid w:val="0011793A"/>
    <w:rsid w:val="00120DF9"/>
    <w:rsid w:val="0012130A"/>
    <w:rsid w:val="0012299B"/>
    <w:rsid w:val="001231CE"/>
    <w:rsid w:val="00123748"/>
    <w:rsid w:val="00124CCB"/>
    <w:rsid w:val="00132967"/>
    <w:rsid w:val="001359AB"/>
    <w:rsid w:val="00136163"/>
    <w:rsid w:val="001410F4"/>
    <w:rsid w:val="001425FA"/>
    <w:rsid w:val="00143CD3"/>
    <w:rsid w:val="00154BD7"/>
    <w:rsid w:val="0016240A"/>
    <w:rsid w:val="00162C5A"/>
    <w:rsid w:val="00163032"/>
    <w:rsid w:val="0016312E"/>
    <w:rsid w:val="00167534"/>
    <w:rsid w:val="00171509"/>
    <w:rsid w:val="001727FB"/>
    <w:rsid w:val="00173DE3"/>
    <w:rsid w:val="001745E0"/>
    <w:rsid w:val="00175F80"/>
    <w:rsid w:val="00176702"/>
    <w:rsid w:val="001857E2"/>
    <w:rsid w:val="00187FFB"/>
    <w:rsid w:val="0019574C"/>
    <w:rsid w:val="001957A2"/>
    <w:rsid w:val="001A084E"/>
    <w:rsid w:val="001A4D1D"/>
    <w:rsid w:val="001A570B"/>
    <w:rsid w:val="001A6001"/>
    <w:rsid w:val="001A797E"/>
    <w:rsid w:val="001B0DBB"/>
    <w:rsid w:val="001B5567"/>
    <w:rsid w:val="001C04F8"/>
    <w:rsid w:val="001C0916"/>
    <w:rsid w:val="001C1909"/>
    <w:rsid w:val="001C2256"/>
    <w:rsid w:val="001C50B5"/>
    <w:rsid w:val="001C620E"/>
    <w:rsid w:val="001C7DA3"/>
    <w:rsid w:val="001D2FBC"/>
    <w:rsid w:val="001E18C7"/>
    <w:rsid w:val="001E2E7A"/>
    <w:rsid w:val="001E417B"/>
    <w:rsid w:val="001E5AD2"/>
    <w:rsid w:val="001E6DD9"/>
    <w:rsid w:val="001E75CA"/>
    <w:rsid w:val="001F21DD"/>
    <w:rsid w:val="001F3A40"/>
    <w:rsid w:val="001F503E"/>
    <w:rsid w:val="001F60A9"/>
    <w:rsid w:val="001F6311"/>
    <w:rsid w:val="00201F62"/>
    <w:rsid w:val="00205574"/>
    <w:rsid w:val="00205D2B"/>
    <w:rsid w:val="00206039"/>
    <w:rsid w:val="0021366C"/>
    <w:rsid w:val="002137CC"/>
    <w:rsid w:val="00215AA4"/>
    <w:rsid w:val="00221131"/>
    <w:rsid w:val="002230F0"/>
    <w:rsid w:val="00223451"/>
    <w:rsid w:val="00230581"/>
    <w:rsid w:val="002326A0"/>
    <w:rsid w:val="0023293C"/>
    <w:rsid w:val="00235415"/>
    <w:rsid w:val="0024025D"/>
    <w:rsid w:val="00243EFC"/>
    <w:rsid w:val="002448DD"/>
    <w:rsid w:val="00246660"/>
    <w:rsid w:val="00250E1F"/>
    <w:rsid w:val="00254256"/>
    <w:rsid w:val="0025582B"/>
    <w:rsid w:val="00257BC9"/>
    <w:rsid w:val="00262E78"/>
    <w:rsid w:val="0026406E"/>
    <w:rsid w:val="0026504B"/>
    <w:rsid w:val="00265927"/>
    <w:rsid w:val="00270792"/>
    <w:rsid w:val="00272A20"/>
    <w:rsid w:val="00274A0D"/>
    <w:rsid w:val="00276921"/>
    <w:rsid w:val="00276946"/>
    <w:rsid w:val="00282AD0"/>
    <w:rsid w:val="00283027"/>
    <w:rsid w:val="0028499C"/>
    <w:rsid w:val="00285381"/>
    <w:rsid w:val="0028771E"/>
    <w:rsid w:val="002A13D2"/>
    <w:rsid w:val="002A186B"/>
    <w:rsid w:val="002A19A2"/>
    <w:rsid w:val="002A71DF"/>
    <w:rsid w:val="002B20ED"/>
    <w:rsid w:val="002C121E"/>
    <w:rsid w:val="002C55B5"/>
    <w:rsid w:val="002C5729"/>
    <w:rsid w:val="002D15E2"/>
    <w:rsid w:val="002D2055"/>
    <w:rsid w:val="002D286B"/>
    <w:rsid w:val="002D3189"/>
    <w:rsid w:val="002D4668"/>
    <w:rsid w:val="002E0915"/>
    <w:rsid w:val="002E0D65"/>
    <w:rsid w:val="002E19F1"/>
    <w:rsid w:val="002E1ADC"/>
    <w:rsid w:val="002E1FCE"/>
    <w:rsid w:val="002E23DD"/>
    <w:rsid w:val="002E39BA"/>
    <w:rsid w:val="002F17DB"/>
    <w:rsid w:val="002F184B"/>
    <w:rsid w:val="002F633C"/>
    <w:rsid w:val="002F65F2"/>
    <w:rsid w:val="00300229"/>
    <w:rsid w:val="0030420E"/>
    <w:rsid w:val="0030738B"/>
    <w:rsid w:val="00307A76"/>
    <w:rsid w:val="0031064A"/>
    <w:rsid w:val="00313846"/>
    <w:rsid w:val="003146F5"/>
    <w:rsid w:val="00316C22"/>
    <w:rsid w:val="00316DE1"/>
    <w:rsid w:val="00317242"/>
    <w:rsid w:val="003177EC"/>
    <w:rsid w:val="0031782C"/>
    <w:rsid w:val="00320B9B"/>
    <w:rsid w:val="00321325"/>
    <w:rsid w:val="00321C88"/>
    <w:rsid w:val="00323730"/>
    <w:rsid w:val="003258EA"/>
    <w:rsid w:val="003262DF"/>
    <w:rsid w:val="00334442"/>
    <w:rsid w:val="003359F0"/>
    <w:rsid w:val="003378B7"/>
    <w:rsid w:val="00342D69"/>
    <w:rsid w:val="00344510"/>
    <w:rsid w:val="0035070B"/>
    <w:rsid w:val="003510C2"/>
    <w:rsid w:val="00351B08"/>
    <w:rsid w:val="00355617"/>
    <w:rsid w:val="00356144"/>
    <w:rsid w:val="003577EC"/>
    <w:rsid w:val="00361120"/>
    <w:rsid w:val="0036300A"/>
    <w:rsid w:val="00365267"/>
    <w:rsid w:val="003654D2"/>
    <w:rsid w:val="003669E3"/>
    <w:rsid w:val="00374039"/>
    <w:rsid w:val="003769F3"/>
    <w:rsid w:val="003823E5"/>
    <w:rsid w:val="00382C42"/>
    <w:rsid w:val="0038650C"/>
    <w:rsid w:val="00386C3A"/>
    <w:rsid w:val="00386C90"/>
    <w:rsid w:val="00393298"/>
    <w:rsid w:val="003A79E2"/>
    <w:rsid w:val="003B1798"/>
    <w:rsid w:val="003B1E53"/>
    <w:rsid w:val="003B232B"/>
    <w:rsid w:val="003B45F0"/>
    <w:rsid w:val="003B6A84"/>
    <w:rsid w:val="003B6B9C"/>
    <w:rsid w:val="003C2081"/>
    <w:rsid w:val="003C270C"/>
    <w:rsid w:val="003D649F"/>
    <w:rsid w:val="003D687B"/>
    <w:rsid w:val="003E4D73"/>
    <w:rsid w:val="003E71B1"/>
    <w:rsid w:val="003F03B9"/>
    <w:rsid w:val="003F3E80"/>
    <w:rsid w:val="003F5516"/>
    <w:rsid w:val="003F606C"/>
    <w:rsid w:val="003F6D9C"/>
    <w:rsid w:val="003F78A2"/>
    <w:rsid w:val="00400648"/>
    <w:rsid w:val="00401330"/>
    <w:rsid w:val="004015DF"/>
    <w:rsid w:val="00401AA5"/>
    <w:rsid w:val="00402952"/>
    <w:rsid w:val="00403940"/>
    <w:rsid w:val="0040451F"/>
    <w:rsid w:val="004077BA"/>
    <w:rsid w:val="00410E2D"/>
    <w:rsid w:val="00416FF8"/>
    <w:rsid w:val="00422551"/>
    <w:rsid w:val="00425D01"/>
    <w:rsid w:val="004275C9"/>
    <w:rsid w:val="00432BBD"/>
    <w:rsid w:val="00433B72"/>
    <w:rsid w:val="004344A6"/>
    <w:rsid w:val="004349E2"/>
    <w:rsid w:val="004352E7"/>
    <w:rsid w:val="00436799"/>
    <w:rsid w:val="00444AD7"/>
    <w:rsid w:val="00446232"/>
    <w:rsid w:val="00450275"/>
    <w:rsid w:val="004542C5"/>
    <w:rsid w:val="00454396"/>
    <w:rsid w:val="00455301"/>
    <w:rsid w:val="00455402"/>
    <w:rsid w:val="00456059"/>
    <w:rsid w:val="00457509"/>
    <w:rsid w:val="00457F02"/>
    <w:rsid w:val="00461EB2"/>
    <w:rsid w:val="00461FF0"/>
    <w:rsid w:val="004679F1"/>
    <w:rsid w:val="00470DF0"/>
    <w:rsid w:val="00471C8A"/>
    <w:rsid w:val="0047311B"/>
    <w:rsid w:val="00477008"/>
    <w:rsid w:val="00481389"/>
    <w:rsid w:val="00481548"/>
    <w:rsid w:val="00483559"/>
    <w:rsid w:val="00484631"/>
    <w:rsid w:val="0048717B"/>
    <w:rsid w:val="00487693"/>
    <w:rsid w:val="0049019B"/>
    <w:rsid w:val="004926B7"/>
    <w:rsid w:val="00493B40"/>
    <w:rsid w:val="00497337"/>
    <w:rsid w:val="004A48D3"/>
    <w:rsid w:val="004A5C7C"/>
    <w:rsid w:val="004A6489"/>
    <w:rsid w:val="004B2518"/>
    <w:rsid w:val="004B358F"/>
    <w:rsid w:val="004B37ED"/>
    <w:rsid w:val="004B46D0"/>
    <w:rsid w:val="004C0AF4"/>
    <w:rsid w:val="004C2D32"/>
    <w:rsid w:val="004D1ACE"/>
    <w:rsid w:val="004D1CDD"/>
    <w:rsid w:val="004D1D28"/>
    <w:rsid w:val="004D24C1"/>
    <w:rsid w:val="004D4119"/>
    <w:rsid w:val="004D4CD0"/>
    <w:rsid w:val="004E03BE"/>
    <w:rsid w:val="004E5728"/>
    <w:rsid w:val="004F15B1"/>
    <w:rsid w:val="004F7E06"/>
    <w:rsid w:val="004F7FEA"/>
    <w:rsid w:val="00503177"/>
    <w:rsid w:val="00505D68"/>
    <w:rsid w:val="00507D6B"/>
    <w:rsid w:val="00510F52"/>
    <w:rsid w:val="00511DEF"/>
    <w:rsid w:val="00512132"/>
    <w:rsid w:val="0051256C"/>
    <w:rsid w:val="00514576"/>
    <w:rsid w:val="00514958"/>
    <w:rsid w:val="00521C35"/>
    <w:rsid w:val="00522263"/>
    <w:rsid w:val="00522675"/>
    <w:rsid w:val="00522B25"/>
    <w:rsid w:val="005232A4"/>
    <w:rsid w:val="00525585"/>
    <w:rsid w:val="00525BD8"/>
    <w:rsid w:val="00527A2B"/>
    <w:rsid w:val="00527C9E"/>
    <w:rsid w:val="005300EF"/>
    <w:rsid w:val="00530C46"/>
    <w:rsid w:val="00531D44"/>
    <w:rsid w:val="00531D8E"/>
    <w:rsid w:val="0053511E"/>
    <w:rsid w:val="00541CC5"/>
    <w:rsid w:val="00541CFD"/>
    <w:rsid w:val="00542F18"/>
    <w:rsid w:val="00544ECA"/>
    <w:rsid w:val="00556DBF"/>
    <w:rsid w:val="005603AD"/>
    <w:rsid w:val="00561836"/>
    <w:rsid w:val="00565749"/>
    <w:rsid w:val="0056690D"/>
    <w:rsid w:val="00570435"/>
    <w:rsid w:val="00570D3D"/>
    <w:rsid w:val="00573DF1"/>
    <w:rsid w:val="00574D74"/>
    <w:rsid w:val="0058023B"/>
    <w:rsid w:val="0058085C"/>
    <w:rsid w:val="005826E0"/>
    <w:rsid w:val="00584719"/>
    <w:rsid w:val="0058777B"/>
    <w:rsid w:val="00590A19"/>
    <w:rsid w:val="00591A2F"/>
    <w:rsid w:val="005921A4"/>
    <w:rsid w:val="00593167"/>
    <w:rsid w:val="00593997"/>
    <w:rsid w:val="00595FDC"/>
    <w:rsid w:val="0059787A"/>
    <w:rsid w:val="005A027C"/>
    <w:rsid w:val="005A1ED9"/>
    <w:rsid w:val="005A3C71"/>
    <w:rsid w:val="005B2018"/>
    <w:rsid w:val="005B24CD"/>
    <w:rsid w:val="005B358D"/>
    <w:rsid w:val="005B3BD8"/>
    <w:rsid w:val="005B7C4C"/>
    <w:rsid w:val="005C162D"/>
    <w:rsid w:val="005C1F3A"/>
    <w:rsid w:val="005C318D"/>
    <w:rsid w:val="005C32F2"/>
    <w:rsid w:val="005C6E14"/>
    <w:rsid w:val="005D02C6"/>
    <w:rsid w:val="005D1E82"/>
    <w:rsid w:val="005D1E97"/>
    <w:rsid w:val="005D1EC5"/>
    <w:rsid w:val="005D3CE0"/>
    <w:rsid w:val="005D3F2E"/>
    <w:rsid w:val="005D45EA"/>
    <w:rsid w:val="005E0244"/>
    <w:rsid w:val="005E20B5"/>
    <w:rsid w:val="005E35D8"/>
    <w:rsid w:val="005E3AA9"/>
    <w:rsid w:val="005E5C4B"/>
    <w:rsid w:val="005E772B"/>
    <w:rsid w:val="005F14BA"/>
    <w:rsid w:val="005F533F"/>
    <w:rsid w:val="005F5540"/>
    <w:rsid w:val="00601AF4"/>
    <w:rsid w:val="006021D1"/>
    <w:rsid w:val="0060420D"/>
    <w:rsid w:val="0060483B"/>
    <w:rsid w:val="006055FF"/>
    <w:rsid w:val="00611056"/>
    <w:rsid w:val="00615B17"/>
    <w:rsid w:val="006241B4"/>
    <w:rsid w:val="00624225"/>
    <w:rsid w:val="006259C6"/>
    <w:rsid w:val="00626E14"/>
    <w:rsid w:val="00627917"/>
    <w:rsid w:val="00630530"/>
    <w:rsid w:val="0063620B"/>
    <w:rsid w:val="00642667"/>
    <w:rsid w:val="0064491F"/>
    <w:rsid w:val="006462D5"/>
    <w:rsid w:val="00651B21"/>
    <w:rsid w:val="0065289B"/>
    <w:rsid w:val="006551E7"/>
    <w:rsid w:val="006577F9"/>
    <w:rsid w:val="006604A7"/>
    <w:rsid w:val="00660767"/>
    <w:rsid w:val="006621C1"/>
    <w:rsid w:val="0066392B"/>
    <w:rsid w:val="006656CF"/>
    <w:rsid w:val="006705B6"/>
    <w:rsid w:val="00671EC2"/>
    <w:rsid w:val="00676CDA"/>
    <w:rsid w:val="0067745A"/>
    <w:rsid w:val="00680720"/>
    <w:rsid w:val="00681F5B"/>
    <w:rsid w:val="00682D5F"/>
    <w:rsid w:val="00691AF3"/>
    <w:rsid w:val="006947EC"/>
    <w:rsid w:val="00696704"/>
    <w:rsid w:val="006A11E7"/>
    <w:rsid w:val="006A562C"/>
    <w:rsid w:val="006A72D5"/>
    <w:rsid w:val="006B1663"/>
    <w:rsid w:val="006B5E3D"/>
    <w:rsid w:val="006B6649"/>
    <w:rsid w:val="006B73E8"/>
    <w:rsid w:val="006B7DB7"/>
    <w:rsid w:val="006C0346"/>
    <w:rsid w:val="006C3FE9"/>
    <w:rsid w:val="006C4B94"/>
    <w:rsid w:val="006C6FFB"/>
    <w:rsid w:val="006C7C57"/>
    <w:rsid w:val="006D30DF"/>
    <w:rsid w:val="006D585E"/>
    <w:rsid w:val="006D6B80"/>
    <w:rsid w:val="006D781C"/>
    <w:rsid w:val="006E52CB"/>
    <w:rsid w:val="006F2193"/>
    <w:rsid w:val="006F2A8E"/>
    <w:rsid w:val="006F3964"/>
    <w:rsid w:val="006F6272"/>
    <w:rsid w:val="006F69AD"/>
    <w:rsid w:val="007016C5"/>
    <w:rsid w:val="00704FB4"/>
    <w:rsid w:val="007052DF"/>
    <w:rsid w:val="0070547C"/>
    <w:rsid w:val="007057B3"/>
    <w:rsid w:val="00711C13"/>
    <w:rsid w:val="007236C7"/>
    <w:rsid w:val="0072485B"/>
    <w:rsid w:val="00725108"/>
    <w:rsid w:val="007304BC"/>
    <w:rsid w:val="00734563"/>
    <w:rsid w:val="0073648A"/>
    <w:rsid w:val="00736F74"/>
    <w:rsid w:val="0074389F"/>
    <w:rsid w:val="007446AD"/>
    <w:rsid w:val="0074632C"/>
    <w:rsid w:val="00746564"/>
    <w:rsid w:val="00746B11"/>
    <w:rsid w:val="0074712F"/>
    <w:rsid w:val="00753C04"/>
    <w:rsid w:val="00754B5F"/>
    <w:rsid w:val="00771E46"/>
    <w:rsid w:val="0077321B"/>
    <w:rsid w:val="00774B81"/>
    <w:rsid w:val="00776B1B"/>
    <w:rsid w:val="00776E18"/>
    <w:rsid w:val="00776E8B"/>
    <w:rsid w:val="0077768D"/>
    <w:rsid w:val="00780E4B"/>
    <w:rsid w:val="00786453"/>
    <w:rsid w:val="00790D0A"/>
    <w:rsid w:val="007919D2"/>
    <w:rsid w:val="007924D4"/>
    <w:rsid w:val="007967E4"/>
    <w:rsid w:val="007A57B5"/>
    <w:rsid w:val="007A7FE3"/>
    <w:rsid w:val="007B0F29"/>
    <w:rsid w:val="007B1DB7"/>
    <w:rsid w:val="007B29F1"/>
    <w:rsid w:val="007B4264"/>
    <w:rsid w:val="007B7965"/>
    <w:rsid w:val="007C461A"/>
    <w:rsid w:val="007C66DC"/>
    <w:rsid w:val="007C7DE3"/>
    <w:rsid w:val="007D3266"/>
    <w:rsid w:val="007D32D8"/>
    <w:rsid w:val="007D4205"/>
    <w:rsid w:val="007D5019"/>
    <w:rsid w:val="007D5F07"/>
    <w:rsid w:val="007D7BD0"/>
    <w:rsid w:val="007D7DF3"/>
    <w:rsid w:val="007E1B93"/>
    <w:rsid w:val="007E24DF"/>
    <w:rsid w:val="007E3056"/>
    <w:rsid w:val="007E3416"/>
    <w:rsid w:val="007E4062"/>
    <w:rsid w:val="007E7347"/>
    <w:rsid w:val="007F0894"/>
    <w:rsid w:val="007F0D1A"/>
    <w:rsid w:val="007F1144"/>
    <w:rsid w:val="007F1742"/>
    <w:rsid w:val="007F2B6B"/>
    <w:rsid w:val="007F3E85"/>
    <w:rsid w:val="007F67D5"/>
    <w:rsid w:val="0080335E"/>
    <w:rsid w:val="0080574E"/>
    <w:rsid w:val="0081462F"/>
    <w:rsid w:val="00814BC4"/>
    <w:rsid w:val="00817084"/>
    <w:rsid w:val="00817414"/>
    <w:rsid w:val="00820CDD"/>
    <w:rsid w:val="0082171D"/>
    <w:rsid w:val="00822D84"/>
    <w:rsid w:val="00824247"/>
    <w:rsid w:val="008270F2"/>
    <w:rsid w:val="00827F06"/>
    <w:rsid w:val="00832871"/>
    <w:rsid w:val="00837945"/>
    <w:rsid w:val="00843E83"/>
    <w:rsid w:val="00844981"/>
    <w:rsid w:val="008459C9"/>
    <w:rsid w:val="00847E01"/>
    <w:rsid w:val="00851820"/>
    <w:rsid w:val="00852E10"/>
    <w:rsid w:val="008542B8"/>
    <w:rsid w:val="00860071"/>
    <w:rsid w:val="0086212F"/>
    <w:rsid w:val="00863387"/>
    <w:rsid w:val="00863D14"/>
    <w:rsid w:val="00865F8F"/>
    <w:rsid w:val="00870627"/>
    <w:rsid w:val="008755E9"/>
    <w:rsid w:val="00880284"/>
    <w:rsid w:val="008809B6"/>
    <w:rsid w:val="00883DD8"/>
    <w:rsid w:val="008866FD"/>
    <w:rsid w:val="0088727C"/>
    <w:rsid w:val="008874DF"/>
    <w:rsid w:val="0089147A"/>
    <w:rsid w:val="0089209F"/>
    <w:rsid w:val="00892EB2"/>
    <w:rsid w:val="008A0E37"/>
    <w:rsid w:val="008A250A"/>
    <w:rsid w:val="008B1C9F"/>
    <w:rsid w:val="008B5801"/>
    <w:rsid w:val="008B60EB"/>
    <w:rsid w:val="008C0513"/>
    <w:rsid w:val="008C07FB"/>
    <w:rsid w:val="008C1BBC"/>
    <w:rsid w:val="008C227E"/>
    <w:rsid w:val="008C2E59"/>
    <w:rsid w:val="008C322A"/>
    <w:rsid w:val="008C3CE0"/>
    <w:rsid w:val="008C4858"/>
    <w:rsid w:val="008D1C9D"/>
    <w:rsid w:val="008D23A0"/>
    <w:rsid w:val="008D777C"/>
    <w:rsid w:val="008D7F0E"/>
    <w:rsid w:val="008E072E"/>
    <w:rsid w:val="008E074C"/>
    <w:rsid w:val="008E101D"/>
    <w:rsid w:val="008E1EF1"/>
    <w:rsid w:val="008E4364"/>
    <w:rsid w:val="008E47D3"/>
    <w:rsid w:val="008F042D"/>
    <w:rsid w:val="008F2789"/>
    <w:rsid w:val="008F45F9"/>
    <w:rsid w:val="008F58C9"/>
    <w:rsid w:val="008F6408"/>
    <w:rsid w:val="008F7460"/>
    <w:rsid w:val="008F7BED"/>
    <w:rsid w:val="00900F6E"/>
    <w:rsid w:val="009018AE"/>
    <w:rsid w:val="00903CE1"/>
    <w:rsid w:val="009043FB"/>
    <w:rsid w:val="00905326"/>
    <w:rsid w:val="0090634D"/>
    <w:rsid w:val="009063D2"/>
    <w:rsid w:val="00910CEB"/>
    <w:rsid w:val="009218B7"/>
    <w:rsid w:val="00924C96"/>
    <w:rsid w:val="00927018"/>
    <w:rsid w:val="0092783D"/>
    <w:rsid w:val="0093112F"/>
    <w:rsid w:val="0093158F"/>
    <w:rsid w:val="00934F21"/>
    <w:rsid w:val="0093543E"/>
    <w:rsid w:val="00935882"/>
    <w:rsid w:val="00936903"/>
    <w:rsid w:val="0094153F"/>
    <w:rsid w:val="009441BF"/>
    <w:rsid w:val="00947544"/>
    <w:rsid w:val="00953696"/>
    <w:rsid w:val="009543AE"/>
    <w:rsid w:val="0095688B"/>
    <w:rsid w:val="00960A9B"/>
    <w:rsid w:val="00965165"/>
    <w:rsid w:val="00965931"/>
    <w:rsid w:val="009662D2"/>
    <w:rsid w:val="009676AF"/>
    <w:rsid w:val="00967BC6"/>
    <w:rsid w:val="00973C2D"/>
    <w:rsid w:val="00974C98"/>
    <w:rsid w:val="00975310"/>
    <w:rsid w:val="00977578"/>
    <w:rsid w:val="009830F3"/>
    <w:rsid w:val="0098645B"/>
    <w:rsid w:val="00992E08"/>
    <w:rsid w:val="0099629F"/>
    <w:rsid w:val="00996340"/>
    <w:rsid w:val="00997A14"/>
    <w:rsid w:val="009A15DD"/>
    <w:rsid w:val="009A1A54"/>
    <w:rsid w:val="009A521C"/>
    <w:rsid w:val="009A608C"/>
    <w:rsid w:val="009A6322"/>
    <w:rsid w:val="009A7E57"/>
    <w:rsid w:val="009B79CD"/>
    <w:rsid w:val="009C22F9"/>
    <w:rsid w:val="009C5F1D"/>
    <w:rsid w:val="009D092F"/>
    <w:rsid w:val="009D0BA6"/>
    <w:rsid w:val="009D4461"/>
    <w:rsid w:val="009D588B"/>
    <w:rsid w:val="009D6109"/>
    <w:rsid w:val="009D6E50"/>
    <w:rsid w:val="009E012E"/>
    <w:rsid w:val="009E048B"/>
    <w:rsid w:val="009F30CD"/>
    <w:rsid w:val="009F3877"/>
    <w:rsid w:val="009F67EE"/>
    <w:rsid w:val="009F74C9"/>
    <w:rsid w:val="00A0078E"/>
    <w:rsid w:val="00A01A8F"/>
    <w:rsid w:val="00A02F0D"/>
    <w:rsid w:val="00A0379B"/>
    <w:rsid w:val="00A0648F"/>
    <w:rsid w:val="00A07269"/>
    <w:rsid w:val="00A12337"/>
    <w:rsid w:val="00A14A4C"/>
    <w:rsid w:val="00A14DB3"/>
    <w:rsid w:val="00A21D7F"/>
    <w:rsid w:val="00A21DC3"/>
    <w:rsid w:val="00A235ED"/>
    <w:rsid w:val="00A2529C"/>
    <w:rsid w:val="00A300C2"/>
    <w:rsid w:val="00A30149"/>
    <w:rsid w:val="00A306A8"/>
    <w:rsid w:val="00A31745"/>
    <w:rsid w:val="00A3385D"/>
    <w:rsid w:val="00A33D1B"/>
    <w:rsid w:val="00A35521"/>
    <w:rsid w:val="00A3568A"/>
    <w:rsid w:val="00A363B4"/>
    <w:rsid w:val="00A37C56"/>
    <w:rsid w:val="00A42B83"/>
    <w:rsid w:val="00A43F4A"/>
    <w:rsid w:val="00A4529B"/>
    <w:rsid w:val="00A452BD"/>
    <w:rsid w:val="00A46CCB"/>
    <w:rsid w:val="00A50D90"/>
    <w:rsid w:val="00A54794"/>
    <w:rsid w:val="00A573FF"/>
    <w:rsid w:val="00A57A07"/>
    <w:rsid w:val="00A63B7B"/>
    <w:rsid w:val="00A66343"/>
    <w:rsid w:val="00A7020A"/>
    <w:rsid w:val="00A71A27"/>
    <w:rsid w:val="00A7283D"/>
    <w:rsid w:val="00A74FFF"/>
    <w:rsid w:val="00A77BBE"/>
    <w:rsid w:val="00A8032A"/>
    <w:rsid w:val="00A83F55"/>
    <w:rsid w:val="00A9144F"/>
    <w:rsid w:val="00A924C1"/>
    <w:rsid w:val="00A93036"/>
    <w:rsid w:val="00A9540C"/>
    <w:rsid w:val="00A97675"/>
    <w:rsid w:val="00A97F9C"/>
    <w:rsid w:val="00AA3111"/>
    <w:rsid w:val="00AA5791"/>
    <w:rsid w:val="00AA5EF1"/>
    <w:rsid w:val="00AB0828"/>
    <w:rsid w:val="00AB3EF3"/>
    <w:rsid w:val="00AB464D"/>
    <w:rsid w:val="00AB5BFA"/>
    <w:rsid w:val="00AB64D5"/>
    <w:rsid w:val="00AB6CE4"/>
    <w:rsid w:val="00AB7799"/>
    <w:rsid w:val="00AC08BA"/>
    <w:rsid w:val="00AC79F1"/>
    <w:rsid w:val="00AC7C4E"/>
    <w:rsid w:val="00AC7FAC"/>
    <w:rsid w:val="00AD17C6"/>
    <w:rsid w:val="00AD1DCC"/>
    <w:rsid w:val="00AD60BF"/>
    <w:rsid w:val="00AE3298"/>
    <w:rsid w:val="00AE51E7"/>
    <w:rsid w:val="00AE63C8"/>
    <w:rsid w:val="00AF2D82"/>
    <w:rsid w:val="00AF68D4"/>
    <w:rsid w:val="00AF78B3"/>
    <w:rsid w:val="00B03314"/>
    <w:rsid w:val="00B045CD"/>
    <w:rsid w:val="00B05962"/>
    <w:rsid w:val="00B07527"/>
    <w:rsid w:val="00B1763A"/>
    <w:rsid w:val="00B17BD0"/>
    <w:rsid w:val="00B205AA"/>
    <w:rsid w:val="00B209ED"/>
    <w:rsid w:val="00B2482A"/>
    <w:rsid w:val="00B26009"/>
    <w:rsid w:val="00B26246"/>
    <w:rsid w:val="00B2693B"/>
    <w:rsid w:val="00B31ABC"/>
    <w:rsid w:val="00B34475"/>
    <w:rsid w:val="00B37A5A"/>
    <w:rsid w:val="00B40D49"/>
    <w:rsid w:val="00B427E2"/>
    <w:rsid w:val="00B456EA"/>
    <w:rsid w:val="00B47E57"/>
    <w:rsid w:val="00B508A1"/>
    <w:rsid w:val="00B52D05"/>
    <w:rsid w:val="00B53419"/>
    <w:rsid w:val="00B53F6E"/>
    <w:rsid w:val="00B5470B"/>
    <w:rsid w:val="00B6043A"/>
    <w:rsid w:val="00B62B87"/>
    <w:rsid w:val="00B63333"/>
    <w:rsid w:val="00B67C8E"/>
    <w:rsid w:val="00B70EB4"/>
    <w:rsid w:val="00B713CF"/>
    <w:rsid w:val="00B721CF"/>
    <w:rsid w:val="00B747F6"/>
    <w:rsid w:val="00B7756F"/>
    <w:rsid w:val="00B801D6"/>
    <w:rsid w:val="00B806AF"/>
    <w:rsid w:val="00B8251C"/>
    <w:rsid w:val="00B839BC"/>
    <w:rsid w:val="00B84C19"/>
    <w:rsid w:val="00B87F1A"/>
    <w:rsid w:val="00B90F59"/>
    <w:rsid w:val="00B913A7"/>
    <w:rsid w:val="00B93841"/>
    <w:rsid w:val="00B95E92"/>
    <w:rsid w:val="00BA0795"/>
    <w:rsid w:val="00BA390C"/>
    <w:rsid w:val="00BA498A"/>
    <w:rsid w:val="00BA687C"/>
    <w:rsid w:val="00BB456D"/>
    <w:rsid w:val="00BC0250"/>
    <w:rsid w:val="00BC1619"/>
    <w:rsid w:val="00BC43DF"/>
    <w:rsid w:val="00BC534C"/>
    <w:rsid w:val="00BC5814"/>
    <w:rsid w:val="00BD186B"/>
    <w:rsid w:val="00BD28AC"/>
    <w:rsid w:val="00BD35C6"/>
    <w:rsid w:val="00BD4CC5"/>
    <w:rsid w:val="00BD6F45"/>
    <w:rsid w:val="00BD7506"/>
    <w:rsid w:val="00BE39A5"/>
    <w:rsid w:val="00BE3C97"/>
    <w:rsid w:val="00BE5C71"/>
    <w:rsid w:val="00BE628E"/>
    <w:rsid w:val="00BF1EBB"/>
    <w:rsid w:val="00BF52DC"/>
    <w:rsid w:val="00BF5645"/>
    <w:rsid w:val="00C00AAD"/>
    <w:rsid w:val="00C01296"/>
    <w:rsid w:val="00C02E6C"/>
    <w:rsid w:val="00C05E9A"/>
    <w:rsid w:val="00C11728"/>
    <w:rsid w:val="00C12447"/>
    <w:rsid w:val="00C14897"/>
    <w:rsid w:val="00C1770E"/>
    <w:rsid w:val="00C23DD1"/>
    <w:rsid w:val="00C23E9F"/>
    <w:rsid w:val="00C24F28"/>
    <w:rsid w:val="00C2515E"/>
    <w:rsid w:val="00C30E28"/>
    <w:rsid w:val="00C320DC"/>
    <w:rsid w:val="00C32318"/>
    <w:rsid w:val="00C34529"/>
    <w:rsid w:val="00C364CC"/>
    <w:rsid w:val="00C416CD"/>
    <w:rsid w:val="00C473CB"/>
    <w:rsid w:val="00C476E7"/>
    <w:rsid w:val="00C507C1"/>
    <w:rsid w:val="00C55937"/>
    <w:rsid w:val="00C559FC"/>
    <w:rsid w:val="00C5680F"/>
    <w:rsid w:val="00C6014A"/>
    <w:rsid w:val="00C62EB0"/>
    <w:rsid w:val="00C64233"/>
    <w:rsid w:val="00C64A7F"/>
    <w:rsid w:val="00C6620D"/>
    <w:rsid w:val="00C66291"/>
    <w:rsid w:val="00C66A62"/>
    <w:rsid w:val="00C66BAE"/>
    <w:rsid w:val="00C700BF"/>
    <w:rsid w:val="00C706E5"/>
    <w:rsid w:val="00C7523E"/>
    <w:rsid w:val="00C76279"/>
    <w:rsid w:val="00C8033F"/>
    <w:rsid w:val="00C80B9E"/>
    <w:rsid w:val="00C8182C"/>
    <w:rsid w:val="00C82114"/>
    <w:rsid w:val="00C84543"/>
    <w:rsid w:val="00C87802"/>
    <w:rsid w:val="00C91AB0"/>
    <w:rsid w:val="00C925CD"/>
    <w:rsid w:val="00C9279C"/>
    <w:rsid w:val="00C94324"/>
    <w:rsid w:val="00C95B44"/>
    <w:rsid w:val="00CA4255"/>
    <w:rsid w:val="00CA5514"/>
    <w:rsid w:val="00CA758B"/>
    <w:rsid w:val="00CB0805"/>
    <w:rsid w:val="00CB29DA"/>
    <w:rsid w:val="00CB50A4"/>
    <w:rsid w:val="00CB612C"/>
    <w:rsid w:val="00CB674E"/>
    <w:rsid w:val="00CC334E"/>
    <w:rsid w:val="00CC338A"/>
    <w:rsid w:val="00CC4E10"/>
    <w:rsid w:val="00CC5F57"/>
    <w:rsid w:val="00CD0B79"/>
    <w:rsid w:val="00CD2C04"/>
    <w:rsid w:val="00CD63D4"/>
    <w:rsid w:val="00CD678E"/>
    <w:rsid w:val="00CD680F"/>
    <w:rsid w:val="00CE038A"/>
    <w:rsid w:val="00CE26E9"/>
    <w:rsid w:val="00CE593B"/>
    <w:rsid w:val="00CF005F"/>
    <w:rsid w:val="00CF010A"/>
    <w:rsid w:val="00CF28A8"/>
    <w:rsid w:val="00CF57DC"/>
    <w:rsid w:val="00CF5B4E"/>
    <w:rsid w:val="00CF5C33"/>
    <w:rsid w:val="00D0023A"/>
    <w:rsid w:val="00D0412B"/>
    <w:rsid w:val="00D0605E"/>
    <w:rsid w:val="00D0685B"/>
    <w:rsid w:val="00D108D5"/>
    <w:rsid w:val="00D12DA5"/>
    <w:rsid w:val="00D13E16"/>
    <w:rsid w:val="00D15EB0"/>
    <w:rsid w:val="00D17810"/>
    <w:rsid w:val="00D21477"/>
    <w:rsid w:val="00D21FDF"/>
    <w:rsid w:val="00D3004E"/>
    <w:rsid w:val="00D303EB"/>
    <w:rsid w:val="00D31946"/>
    <w:rsid w:val="00D34CF9"/>
    <w:rsid w:val="00D408D5"/>
    <w:rsid w:val="00D43296"/>
    <w:rsid w:val="00D438A7"/>
    <w:rsid w:val="00D439EF"/>
    <w:rsid w:val="00D451EF"/>
    <w:rsid w:val="00D50D85"/>
    <w:rsid w:val="00D51B1B"/>
    <w:rsid w:val="00D535FD"/>
    <w:rsid w:val="00D61BE5"/>
    <w:rsid w:val="00D64478"/>
    <w:rsid w:val="00D6671B"/>
    <w:rsid w:val="00D71D04"/>
    <w:rsid w:val="00D731B7"/>
    <w:rsid w:val="00D73C00"/>
    <w:rsid w:val="00D76E0D"/>
    <w:rsid w:val="00D851BE"/>
    <w:rsid w:val="00D869EB"/>
    <w:rsid w:val="00D86B10"/>
    <w:rsid w:val="00D92EFF"/>
    <w:rsid w:val="00D9436E"/>
    <w:rsid w:val="00D9799A"/>
    <w:rsid w:val="00DA0336"/>
    <w:rsid w:val="00DA169D"/>
    <w:rsid w:val="00DA198B"/>
    <w:rsid w:val="00DA332E"/>
    <w:rsid w:val="00DA695E"/>
    <w:rsid w:val="00DB6B35"/>
    <w:rsid w:val="00DB7207"/>
    <w:rsid w:val="00DC02FB"/>
    <w:rsid w:val="00DC3D6F"/>
    <w:rsid w:val="00DC6820"/>
    <w:rsid w:val="00DD0968"/>
    <w:rsid w:val="00DD0A0D"/>
    <w:rsid w:val="00DD51E4"/>
    <w:rsid w:val="00DD6ACA"/>
    <w:rsid w:val="00DE47F7"/>
    <w:rsid w:val="00DE4F1F"/>
    <w:rsid w:val="00DE530C"/>
    <w:rsid w:val="00DF06C4"/>
    <w:rsid w:val="00E002EB"/>
    <w:rsid w:val="00E00C76"/>
    <w:rsid w:val="00E024EE"/>
    <w:rsid w:val="00E02C27"/>
    <w:rsid w:val="00E038BE"/>
    <w:rsid w:val="00E04847"/>
    <w:rsid w:val="00E05437"/>
    <w:rsid w:val="00E05760"/>
    <w:rsid w:val="00E05E31"/>
    <w:rsid w:val="00E10FF2"/>
    <w:rsid w:val="00E22505"/>
    <w:rsid w:val="00E2528C"/>
    <w:rsid w:val="00E30A5B"/>
    <w:rsid w:val="00E31D06"/>
    <w:rsid w:val="00E337CC"/>
    <w:rsid w:val="00E36452"/>
    <w:rsid w:val="00E3792D"/>
    <w:rsid w:val="00E40713"/>
    <w:rsid w:val="00E420F9"/>
    <w:rsid w:val="00E45781"/>
    <w:rsid w:val="00E458B7"/>
    <w:rsid w:val="00E45DE6"/>
    <w:rsid w:val="00E5101D"/>
    <w:rsid w:val="00E53813"/>
    <w:rsid w:val="00E54255"/>
    <w:rsid w:val="00E54467"/>
    <w:rsid w:val="00E5797C"/>
    <w:rsid w:val="00E57F5D"/>
    <w:rsid w:val="00E63FF6"/>
    <w:rsid w:val="00E65AEF"/>
    <w:rsid w:val="00E65F80"/>
    <w:rsid w:val="00E677E6"/>
    <w:rsid w:val="00E70621"/>
    <w:rsid w:val="00E70DE3"/>
    <w:rsid w:val="00E71AC9"/>
    <w:rsid w:val="00E73FAC"/>
    <w:rsid w:val="00E74087"/>
    <w:rsid w:val="00E74A17"/>
    <w:rsid w:val="00E81060"/>
    <w:rsid w:val="00E85F80"/>
    <w:rsid w:val="00E90DD0"/>
    <w:rsid w:val="00E90F81"/>
    <w:rsid w:val="00E97DD3"/>
    <w:rsid w:val="00EA147C"/>
    <w:rsid w:val="00EA33CE"/>
    <w:rsid w:val="00EA5B8C"/>
    <w:rsid w:val="00EB2AF8"/>
    <w:rsid w:val="00EB49FB"/>
    <w:rsid w:val="00EC07BA"/>
    <w:rsid w:val="00EC127F"/>
    <w:rsid w:val="00EC3027"/>
    <w:rsid w:val="00EC3963"/>
    <w:rsid w:val="00ED0AAB"/>
    <w:rsid w:val="00ED2BC4"/>
    <w:rsid w:val="00ED304F"/>
    <w:rsid w:val="00ED354D"/>
    <w:rsid w:val="00ED699C"/>
    <w:rsid w:val="00EE0BED"/>
    <w:rsid w:val="00EF1067"/>
    <w:rsid w:val="00EF270A"/>
    <w:rsid w:val="00F000A1"/>
    <w:rsid w:val="00F016A7"/>
    <w:rsid w:val="00F01C66"/>
    <w:rsid w:val="00F02020"/>
    <w:rsid w:val="00F04D6E"/>
    <w:rsid w:val="00F0738E"/>
    <w:rsid w:val="00F07EAC"/>
    <w:rsid w:val="00F10446"/>
    <w:rsid w:val="00F119E9"/>
    <w:rsid w:val="00F20701"/>
    <w:rsid w:val="00F20E9A"/>
    <w:rsid w:val="00F2424D"/>
    <w:rsid w:val="00F24813"/>
    <w:rsid w:val="00F25460"/>
    <w:rsid w:val="00F265DE"/>
    <w:rsid w:val="00F35FF1"/>
    <w:rsid w:val="00F36F18"/>
    <w:rsid w:val="00F37BF9"/>
    <w:rsid w:val="00F40EC3"/>
    <w:rsid w:val="00F41A67"/>
    <w:rsid w:val="00F41BD5"/>
    <w:rsid w:val="00F450F9"/>
    <w:rsid w:val="00F457E5"/>
    <w:rsid w:val="00F45F39"/>
    <w:rsid w:val="00F50BBF"/>
    <w:rsid w:val="00F518C5"/>
    <w:rsid w:val="00F53597"/>
    <w:rsid w:val="00F53AF0"/>
    <w:rsid w:val="00F60E00"/>
    <w:rsid w:val="00F641E8"/>
    <w:rsid w:val="00F660D3"/>
    <w:rsid w:val="00F660F5"/>
    <w:rsid w:val="00F71C43"/>
    <w:rsid w:val="00F74355"/>
    <w:rsid w:val="00F75676"/>
    <w:rsid w:val="00F77032"/>
    <w:rsid w:val="00F82D7B"/>
    <w:rsid w:val="00F83955"/>
    <w:rsid w:val="00F84BBB"/>
    <w:rsid w:val="00F8593D"/>
    <w:rsid w:val="00F872AC"/>
    <w:rsid w:val="00F901FB"/>
    <w:rsid w:val="00F938AA"/>
    <w:rsid w:val="00FA09F9"/>
    <w:rsid w:val="00FA10ED"/>
    <w:rsid w:val="00FA60D8"/>
    <w:rsid w:val="00FA76E0"/>
    <w:rsid w:val="00FB126D"/>
    <w:rsid w:val="00FB1C90"/>
    <w:rsid w:val="00FB791D"/>
    <w:rsid w:val="00FC097B"/>
    <w:rsid w:val="00FC15AC"/>
    <w:rsid w:val="00FC2E37"/>
    <w:rsid w:val="00FC4496"/>
    <w:rsid w:val="00FC6F14"/>
    <w:rsid w:val="00FD000A"/>
    <w:rsid w:val="00FD0361"/>
    <w:rsid w:val="00FD0A6B"/>
    <w:rsid w:val="00FD15BD"/>
    <w:rsid w:val="00FD17BC"/>
    <w:rsid w:val="00FD17F5"/>
    <w:rsid w:val="00FD614C"/>
    <w:rsid w:val="00FD692A"/>
    <w:rsid w:val="00FD7788"/>
    <w:rsid w:val="00FD792E"/>
    <w:rsid w:val="00FE0F35"/>
    <w:rsid w:val="00FE3393"/>
    <w:rsid w:val="00FE3778"/>
    <w:rsid w:val="00FE4B9E"/>
    <w:rsid w:val="00FE4EB1"/>
    <w:rsid w:val="00FE5F87"/>
    <w:rsid w:val="00FE6B21"/>
    <w:rsid w:val="00FF0F17"/>
    <w:rsid w:val="00FF3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212E"/>
  <w15:docId w15:val="{53F9671F-8FCE-46AA-9E57-D278849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C9"/>
  </w:style>
  <w:style w:type="paragraph" w:styleId="Heading1">
    <w:name w:val="heading 1"/>
    <w:basedOn w:val="Normal"/>
    <w:next w:val="Normal"/>
    <w:link w:val="Heading1Char"/>
    <w:uiPriority w:val="9"/>
    <w:qFormat/>
    <w:rsid w:val="008F58C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F58C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F58C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F58C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F58C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F58C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F5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C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F58C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F58C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F58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F58C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F58C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F58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8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8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F58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F58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F58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F58C9"/>
    <w:rPr>
      <w:color w:val="5A5A5A" w:themeColor="text1" w:themeTint="A5"/>
      <w:spacing w:val="10"/>
    </w:rPr>
  </w:style>
  <w:style w:type="character" w:styleId="Strong">
    <w:name w:val="Strong"/>
    <w:basedOn w:val="DefaultParagraphFont"/>
    <w:uiPriority w:val="22"/>
    <w:qFormat/>
    <w:rsid w:val="008F58C9"/>
    <w:rPr>
      <w:b/>
      <w:bCs/>
      <w:color w:val="000000" w:themeColor="text1"/>
    </w:rPr>
  </w:style>
  <w:style w:type="character" w:styleId="Emphasis">
    <w:name w:val="Emphasis"/>
    <w:basedOn w:val="DefaultParagraphFont"/>
    <w:uiPriority w:val="20"/>
    <w:qFormat/>
    <w:rsid w:val="008F58C9"/>
    <w:rPr>
      <w:i/>
      <w:iCs/>
      <w:color w:val="auto"/>
    </w:rPr>
  </w:style>
  <w:style w:type="paragraph" w:styleId="NoSpacing">
    <w:name w:val="No Spacing"/>
    <w:link w:val="NoSpacingChar"/>
    <w:uiPriority w:val="1"/>
    <w:qFormat/>
    <w:rsid w:val="008F58C9"/>
    <w:pPr>
      <w:spacing w:after="0" w:line="240" w:lineRule="auto"/>
    </w:pPr>
  </w:style>
  <w:style w:type="paragraph" w:styleId="Quote">
    <w:name w:val="Quote"/>
    <w:basedOn w:val="Normal"/>
    <w:next w:val="Normal"/>
    <w:link w:val="QuoteChar"/>
    <w:uiPriority w:val="29"/>
    <w:qFormat/>
    <w:rsid w:val="008F58C9"/>
    <w:pPr>
      <w:spacing w:before="160"/>
      <w:ind w:left="720" w:right="720"/>
    </w:pPr>
    <w:rPr>
      <w:i/>
      <w:iCs/>
      <w:color w:val="000000" w:themeColor="text1"/>
    </w:rPr>
  </w:style>
  <w:style w:type="character" w:customStyle="1" w:styleId="QuoteChar">
    <w:name w:val="Quote Char"/>
    <w:basedOn w:val="DefaultParagraphFont"/>
    <w:link w:val="Quote"/>
    <w:uiPriority w:val="29"/>
    <w:rsid w:val="008F58C9"/>
    <w:rPr>
      <w:i/>
      <w:iCs/>
      <w:color w:val="000000" w:themeColor="text1"/>
    </w:rPr>
  </w:style>
  <w:style w:type="paragraph" w:styleId="IntenseQuote">
    <w:name w:val="Intense Quote"/>
    <w:basedOn w:val="Normal"/>
    <w:next w:val="Normal"/>
    <w:link w:val="IntenseQuoteChar"/>
    <w:uiPriority w:val="30"/>
    <w:qFormat/>
    <w:rsid w:val="008F58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F58C9"/>
    <w:rPr>
      <w:color w:val="000000" w:themeColor="text1"/>
      <w:shd w:val="clear" w:color="auto" w:fill="F2F2F2" w:themeFill="background1" w:themeFillShade="F2"/>
    </w:rPr>
  </w:style>
  <w:style w:type="character" w:styleId="SubtleEmphasis">
    <w:name w:val="Subtle Emphasis"/>
    <w:basedOn w:val="DefaultParagraphFont"/>
    <w:uiPriority w:val="19"/>
    <w:qFormat/>
    <w:rsid w:val="008F58C9"/>
    <w:rPr>
      <w:i/>
      <w:iCs/>
      <w:color w:val="404040" w:themeColor="text1" w:themeTint="BF"/>
    </w:rPr>
  </w:style>
  <w:style w:type="character" w:styleId="IntenseEmphasis">
    <w:name w:val="Intense Emphasis"/>
    <w:basedOn w:val="DefaultParagraphFont"/>
    <w:uiPriority w:val="21"/>
    <w:qFormat/>
    <w:rsid w:val="008F58C9"/>
    <w:rPr>
      <w:b/>
      <w:bCs/>
      <w:i/>
      <w:iCs/>
      <w:caps/>
    </w:rPr>
  </w:style>
  <w:style w:type="character" w:styleId="SubtleReference">
    <w:name w:val="Subtle Reference"/>
    <w:basedOn w:val="DefaultParagraphFont"/>
    <w:uiPriority w:val="31"/>
    <w:qFormat/>
    <w:rsid w:val="008F58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C9"/>
    <w:rPr>
      <w:b/>
      <w:bCs/>
      <w:smallCaps/>
      <w:u w:val="single"/>
    </w:rPr>
  </w:style>
  <w:style w:type="character" w:styleId="BookTitle">
    <w:name w:val="Book Title"/>
    <w:basedOn w:val="DefaultParagraphFont"/>
    <w:uiPriority w:val="33"/>
    <w:qFormat/>
    <w:rsid w:val="008F58C9"/>
    <w:rPr>
      <w:b w:val="0"/>
      <w:bCs w:val="0"/>
      <w:smallCaps/>
      <w:spacing w:val="5"/>
    </w:rPr>
  </w:style>
  <w:style w:type="paragraph" w:styleId="TOCHeading">
    <w:name w:val="TOC Heading"/>
    <w:basedOn w:val="Heading1"/>
    <w:next w:val="Normal"/>
    <w:uiPriority w:val="39"/>
    <w:unhideWhenUsed/>
    <w:qFormat/>
    <w:rsid w:val="008F58C9"/>
    <w:pPr>
      <w:outlineLvl w:val="9"/>
    </w:pPr>
  </w:style>
  <w:style w:type="paragraph" w:styleId="TOC1">
    <w:name w:val="toc 1"/>
    <w:basedOn w:val="Normal"/>
    <w:next w:val="Normal"/>
    <w:autoRedefine/>
    <w:uiPriority w:val="39"/>
    <w:unhideWhenUsed/>
    <w:rsid w:val="00B95E92"/>
    <w:pPr>
      <w:tabs>
        <w:tab w:val="left" w:pos="440"/>
        <w:tab w:val="right" w:leader="dot" w:pos="9628"/>
      </w:tabs>
      <w:spacing w:after="100"/>
    </w:pPr>
  </w:style>
  <w:style w:type="character" w:styleId="Hyperlink">
    <w:name w:val="Hyperlink"/>
    <w:basedOn w:val="DefaultParagraphFont"/>
    <w:uiPriority w:val="99"/>
    <w:unhideWhenUsed/>
    <w:rsid w:val="002A186B"/>
    <w:rPr>
      <w:color w:val="0563C1" w:themeColor="hyperlink"/>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A4529B"/>
    <w:pPr>
      <w:spacing w:after="0" w:line="240" w:lineRule="auto"/>
      <w:ind w:left="720"/>
      <w:contextualSpacing/>
      <w:jc w:val="both"/>
    </w:pPr>
    <w:rPr>
      <w:rFonts w:ascii="Calibri" w:eastAsia="Calibri" w:hAnsi="Calibri" w:cs="Times New Roman"/>
    </w:rPr>
  </w:style>
  <w:style w:type="paragraph" w:styleId="FootnoteText">
    <w:name w:val="footnote text"/>
    <w:aliases w:val=" Char,Footnote,Fußnote,Footnote Text Char1,Footnote Text Char2 Char,Footnote Text Char1 Char Char,Footnote Text Char2 Char Char Char,Footnote Text Char1 Char Char Char Char,Footnote Text Char2 Char Char Char Char Char,ft,f"/>
    <w:basedOn w:val="Normal"/>
    <w:link w:val="FootnoteTextChar"/>
    <w:uiPriority w:val="99"/>
    <w:unhideWhenUsed/>
    <w:qFormat/>
    <w:rsid w:val="00B95E92"/>
    <w:pPr>
      <w:spacing w:after="0" w:line="240" w:lineRule="auto"/>
    </w:pPr>
    <w:rPr>
      <w:rFonts w:ascii="Times New Roman" w:eastAsiaTheme="minorHAnsi" w:hAnsi="Times New Roman"/>
      <w:sz w:val="20"/>
      <w:szCs w:val="20"/>
    </w:rPr>
  </w:style>
  <w:style w:type="character" w:customStyle="1" w:styleId="FootnoteTextChar">
    <w:name w:val="Footnote Text Char"/>
    <w:aliases w:val=" Char Char,Footnote Char,Fußnote Char,Footnote Text Char1 Char,Footnote Text Char2 Char Char,Footnote Text Char1 Char Char Char,Footnote Text Char2 Char Char Char Char,Footnote Text Char1 Char Char Char Char Char,ft Char,f Char"/>
    <w:basedOn w:val="DefaultParagraphFont"/>
    <w:link w:val="FootnoteText"/>
    <w:uiPriority w:val="99"/>
    <w:rsid w:val="00B95E92"/>
    <w:rPr>
      <w:rFonts w:ascii="Times New Roman" w:eastAsiaTheme="minorHAnsi" w:hAnsi="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95E92"/>
    <w:rPr>
      <w:vertAlign w:val="superscript"/>
    </w:rPr>
  </w:style>
  <w:style w:type="paragraph" w:styleId="BodyTextIndent2">
    <w:name w:val="Body Text Indent 2"/>
    <w:basedOn w:val="Normal"/>
    <w:link w:val="BodyTextIndent2Char"/>
    <w:semiHidden/>
    <w:rsid w:val="00B95E92"/>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B95E92"/>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B95E9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7283D"/>
    <w:pPr>
      <w:tabs>
        <w:tab w:val="left" w:pos="880"/>
        <w:tab w:val="right" w:leader="dot" w:pos="9628"/>
      </w:tabs>
      <w:spacing w:after="100"/>
      <w:ind w:left="220"/>
    </w:pPr>
  </w:style>
  <w:style w:type="paragraph" w:styleId="BalloonText">
    <w:name w:val="Balloon Text"/>
    <w:basedOn w:val="Normal"/>
    <w:link w:val="BalloonTextChar"/>
    <w:uiPriority w:val="99"/>
    <w:semiHidden/>
    <w:unhideWhenUsed/>
    <w:rsid w:val="0016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34"/>
    <w:rPr>
      <w:rFonts w:ascii="Segoe UI" w:hAnsi="Segoe UI" w:cs="Segoe UI"/>
      <w:sz w:val="18"/>
      <w:szCs w:val="18"/>
    </w:rPr>
  </w:style>
  <w:style w:type="table" w:customStyle="1" w:styleId="GridTable6Colorful-Accent11">
    <w:name w:val="Grid Table 6 Colorful - Accent 11"/>
    <w:basedOn w:val="TableNormal"/>
    <w:uiPriority w:val="51"/>
    <w:rsid w:val="0089209F"/>
    <w:pPr>
      <w:spacing w:after="0" w:line="240" w:lineRule="auto"/>
    </w:pPr>
    <w:rPr>
      <w:rFonts w:ascii="Times New Roman" w:eastAsiaTheme="minorHAnsi" w:hAnsi="Times New Roman"/>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F7CA1"/>
    <w:pPr>
      <w:spacing w:after="0" w:line="240" w:lineRule="auto"/>
    </w:pPr>
  </w:style>
  <w:style w:type="character" w:styleId="CommentReference">
    <w:name w:val="annotation reference"/>
    <w:basedOn w:val="DefaultParagraphFont"/>
    <w:uiPriority w:val="99"/>
    <w:semiHidden/>
    <w:unhideWhenUsed/>
    <w:rsid w:val="00822D84"/>
    <w:rPr>
      <w:sz w:val="16"/>
      <w:szCs w:val="16"/>
    </w:rPr>
  </w:style>
  <w:style w:type="paragraph" w:styleId="CommentText">
    <w:name w:val="annotation text"/>
    <w:basedOn w:val="Normal"/>
    <w:link w:val="CommentTextChar"/>
    <w:uiPriority w:val="99"/>
    <w:unhideWhenUsed/>
    <w:rsid w:val="00822D84"/>
    <w:pPr>
      <w:spacing w:line="240" w:lineRule="auto"/>
    </w:pPr>
    <w:rPr>
      <w:sz w:val="20"/>
      <w:szCs w:val="20"/>
    </w:rPr>
  </w:style>
  <w:style w:type="character" w:customStyle="1" w:styleId="CommentTextChar">
    <w:name w:val="Comment Text Char"/>
    <w:basedOn w:val="DefaultParagraphFont"/>
    <w:link w:val="CommentText"/>
    <w:uiPriority w:val="99"/>
    <w:rsid w:val="00822D84"/>
    <w:rPr>
      <w:sz w:val="20"/>
      <w:szCs w:val="20"/>
    </w:rPr>
  </w:style>
  <w:style w:type="paragraph" w:styleId="CommentSubject">
    <w:name w:val="annotation subject"/>
    <w:basedOn w:val="CommentText"/>
    <w:next w:val="CommentText"/>
    <w:link w:val="CommentSubjectChar"/>
    <w:uiPriority w:val="99"/>
    <w:semiHidden/>
    <w:unhideWhenUsed/>
    <w:rsid w:val="00822D84"/>
    <w:rPr>
      <w:b/>
      <w:bCs/>
    </w:rPr>
  </w:style>
  <w:style w:type="character" w:customStyle="1" w:styleId="CommentSubjectChar">
    <w:name w:val="Comment Subject Char"/>
    <w:basedOn w:val="CommentTextChar"/>
    <w:link w:val="CommentSubject"/>
    <w:uiPriority w:val="99"/>
    <w:semiHidden/>
    <w:rsid w:val="00822D84"/>
    <w:rPr>
      <w:b/>
      <w:bCs/>
      <w:sz w:val="20"/>
      <w:szCs w:val="20"/>
    </w:rPr>
  </w:style>
  <w:style w:type="paragraph" w:styleId="TOC3">
    <w:name w:val="toc 3"/>
    <w:basedOn w:val="Normal"/>
    <w:next w:val="Normal"/>
    <w:autoRedefine/>
    <w:uiPriority w:val="39"/>
    <w:unhideWhenUsed/>
    <w:rsid w:val="00AB64D5"/>
    <w:pPr>
      <w:spacing w:after="100"/>
      <w:ind w:left="440"/>
    </w:pPr>
  </w:style>
  <w:style w:type="paragraph" w:customStyle="1" w:styleId="Default">
    <w:name w:val="Default"/>
    <w:rsid w:val="009C5F1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444AD7"/>
  </w:style>
  <w:style w:type="paragraph" w:styleId="Header">
    <w:name w:val="header"/>
    <w:basedOn w:val="Normal"/>
    <w:link w:val="HeaderChar"/>
    <w:uiPriority w:val="99"/>
    <w:unhideWhenUsed/>
    <w:rsid w:val="00444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D7"/>
  </w:style>
  <w:style w:type="paragraph" w:styleId="Footer">
    <w:name w:val="footer"/>
    <w:basedOn w:val="Normal"/>
    <w:link w:val="FooterChar"/>
    <w:uiPriority w:val="99"/>
    <w:unhideWhenUsed/>
    <w:rsid w:val="00444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AD7"/>
  </w:style>
  <w:style w:type="character" w:styleId="FollowedHyperlink">
    <w:name w:val="FollowedHyperlink"/>
    <w:basedOn w:val="DefaultParagraphFont"/>
    <w:uiPriority w:val="99"/>
    <w:semiHidden/>
    <w:unhideWhenUsed/>
    <w:rsid w:val="00D21477"/>
    <w:rPr>
      <w:color w:val="954F72" w:themeColor="followedHyperlink"/>
      <w:u w:val="single"/>
    </w:rPr>
  </w:style>
  <w:style w:type="table" w:styleId="GridTable6Colorful-Accent1">
    <w:name w:val="Grid Table 6 Colorful Accent 1"/>
    <w:basedOn w:val="TableNormal"/>
    <w:uiPriority w:val="51"/>
    <w:rsid w:val="00527C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5D45EA"/>
  </w:style>
  <w:style w:type="paragraph" w:customStyle="1" w:styleId="liknoteik">
    <w:name w:val="lik_noteik"/>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410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haretitle">
    <w:name w:val="share_title"/>
    <w:basedOn w:val="DefaultParagraphFont"/>
    <w:rsid w:val="00044F5F"/>
  </w:style>
  <w:style w:type="paragraph" w:styleId="BodyText">
    <w:name w:val="Body Text"/>
    <w:basedOn w:val="Normal"/>
    <w:link w:val="BodyTextChar"/>
    <w:uiPriority w:val="99"/>
    <w:semiHidden/>
    <w:unhideWhenUsed/>
    <w:rsid w:val="00C559FC"/>
    <w:pPr>
      <w:spacing w:after="120"/>
    </w:pPr>
  </w:style>
  <w:style w:type="character" w:customStyle="1" w:styleId="BodyTextChar">
    <w:name w:val="Body Text Char"/>
    <w:basedOn w:val="DefaultParagraphFont"/>
    <w:link w:val="BodyText"/>
    <w:uiPriority w:val="99"/>
    <w:semiHidden/>
    <w:rsid w:val="00C559FC"/>
  </w:style>
  <w:style w:type="table" w:styleId="GridTable1Light-Accent1">
    <w:name w:val="Grid Table 1 Light Accent 1"/>
    <w:basedOn w:val="TableNormal"/>
    <w:uiPriority w:val="46"/>
    <w:rsid w:val="001B0D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B0D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1B0D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20CDD"/>
    <w:rPr>
      <w:rFonts w:ascii="Calibri" w:eastAsia="Calibri" w:hAnsi="Calibri" w:cs="Times New Roma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20CDD"/>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387">
      <w:bodyDiv w:val="1"/>
      <w:marLeft w:val="0"/>
      <w:marRight w:val="0"/>
      <w:marTop w:val="0"/>
      <w:marBottom w:val="0"/>
      <w:divBdr>
        <w:top w:val="none" w:sz="0" w:space="0" w:color="auto"/>
        <w:left w:val="none" w:sz="0" w:space="0" w:color="auto"/>
        <w:bottom w:val="none" w:sz="0" w:space="0" w:color="auto"/>
        <w:right w:val="none" w:sz="0" w:space="0" w:color="auto"/>
      </w:divBdr>
    </w:div>
    <w:div w:id="56099463">
      <w:bodyDiv w:val="1"/>
      <w:marLeft w:val="0"/>
      <w:marRight w:val="0"/>
      <w:marTop w:val="0"/>
      <w:marBottom w:val="0"/>
      <w:divBdr>
        <w:top w:val="none" w:sz="0" w:space="0" w:color="auto"/>
        <w:left w:val="none" w:sz="0" w:space="0" w:color="auto"/>
        <w:bottom w:val="none" w:sz="0" w:space="0" w:color="auto"/>
        <w:right w:val="none" w:sz="0" w:space="0" w:color="auto"/>
      </w:divBdr>
    </w:div>
    <w:div w:id="75789148">
      <w:bodyDiv w:val="1"/>
      <w:marLeft w:val="0"/>
      <w:marRight w:val="0"/>
      <w:marTop w:val="0"/>
      <w:marBottom w:val="0"/>
      <w:divBdr>
        <w:top w:val="none" w:sz="0" w:space="0" w:color="auto"/>
        <w:left w:val="none" w:sz="0" w:space="0" w:color="auto"/>
        <w:bottom w:val="none" w:sz="0" w:space="0" w:color="auto"/>
        <w:right w:val="none" w:sz="0" w:space="0" w:color="auto"/>
      </w:divBdr>
    </w:div>
    <w:div w:id="98722229">
      <w:bodyDiv w:val="1"/>
      <w:marLeft w:val="0"/>
      <w:marRight w:val="0"/>
      <w:marTop w:val="0"/>
      <w:marBottom w:val="0"/>
      <w:divBdr>
        <w:top w:val="none" w:sz="0" w:space="0" w:color="auto"/>
        <w:left w:val="none" w:sz="0" w:space="0" w:color="auto"/>
        <w:bottom w:val="none" w:sz="0" w:space="0" w:color="auto"/>
        <w:right w:val="none" w:sz="0" w:space="0" w:color="auto"/>
      </w:divBdr>
    </w:div>
    <w:div w:id="116218290">
      <w:bodyDiv w:val="1"/>
      <w:marLeft w:val="0"/>
      <w:marRight w:val="0"/>
      <w:marTop w:val="0"/>
      <w:marBottom w:val="0"/>
      <w:divBdr>
        <w:top w:val="none" w:sz="0" w:space="0" w:color="auto"/>
        <w:left w:val="none" w:sz="0" w:space="0" w:color="auto"/>
        <w:bottom w:val="none" w:sz="0" w:space="0" w:color="auto"/>
        <w:right w:val="none" w:sz="0" w:space="0" w:color="auto"/>
      </w:divBdr>
    </w:div>
    <w:div w:id="123930589">
      <w:bodyDiv w:val="1"/>
      <w:marLeft w:val="0"/>
      <w:marRight w:val="0"/>
      <w:marTop w:val="0"/>
      <w:marBottom w:val="0"/>
      <w:divBdr>
        <w:top w:val="none" w:sz="0" w:space="0" w:color="auto"/>
        <w:left w:val="none" w:sz="0" w:space="0" w:color="auto"/>
        <w:bottom w:val="none" w:sz="0" w:space="0" w:color="auto"/>
        <w:right w:val="none" w:sz="0" w:space="0" w:color="auto"/>
      </w:divBdr>
    </w:div>
    <w:div w:id="133447176">
      <w:bodyDiv w:val="1"/>
      <w:marLeft w:val="0"/>
      <w:marRight w:val="0"/>
      <w:marTop w:val="0"/>
      <w:marBottom w:val="0"/>
      <w:divBdr>
        <w:top w:val="none" w:sz="0" w:space="0" w:color="auto"/>
        <w:left w:val="none" w:sz="0" w:space="0" w:color="auto"/>
        <w:bottom w:val="none" w:sz="0" w:space="0" w:color="auto"/>
        <w:right w:val="none" w:sz="0" w:space="0" w:color="auto"/>
      </w:divBdr>
    </w:div>
    <w:div w:id="138811425">
      <w:bodyDiv w:val="1"/>
      <w:marLeft w:val="0"/>
      <w:marRight w:val="0"/>
      <w:marTop w:val="0"/>
      <w:marBottom w:val="0"/>
      <w:divBdr>
        <w:top w:val="none" w:sz="0" w:space="0" w:color="auto"/>
        <w:left w:val="none" w:sz="0" w:space="0" w:color="auto"/>
        <w:bottom w:val="none" w:sz="0" w:space="0" w:color="auto"/>
        <w:right w:val="none" w:sz="0" w:space="0" w:color="auto"/>
      </w:divBdr>
    </w:div>
    <w:div w:id="139855241">
      <w:bodyDiv w:val="1"/>
      <w:marLeft w:val="0"/>
      <w:marRight w:val="0"/>
      <w:marTop w:val="0"/>
      <w:marBottom w:val="0"/>
      <w:divBdr>
        <w:top w:val="none" w:sz="0" w:space="0" w:color="auto"/>
        <w:left w:val="none" w:sz="0" w:space="0" w:color="auto"/>
        <w:bottom w:val="none" w:sz="0" w:space="0" w:color="auto"/>
        <w:right w:val="none" w:sz="0" w:space="0" w:color="auto"/>
      </w:divBdr>
    </w:div>
    <w:div w:id="155849978">
      <w:bodyDiv w:val="1"/>
      <w:marLeft w:val="0"/>
      <w:marRight w:val="0"/>
      <w:marTop w:val="0"/>
      <w:marBottom w:val="0"/>
      <w:divBdr>
        <w:top w:val="none" w:sz="0" w:space="0" w:color="auto"/>
        <w:left w:val="none" w:sz="0" w:space="0" w:color="auto"/>
        <w:bottom w:val="none" w:sz="0" w:space="0" w:color="auto"/>
        <w:right w:val="none" w:sz="0" w:space="0" w:color="auto"/>
      </w:divBdr>
    </w:div>
    <w:div w:id="174195614">
      <w:bodyDiv w:val="1"/>
      <w:marLeft w:val="0"/>
      <w:marRight w:val="0"/>
      <w:marTop w:val="0"/>
      <w:marBottom w:val="0"/>
      <w:divBdr>
        <w:top w:val="none" w:sz="0" w:space="0" w:color="auto"/>
        <w:left w:val="none" w:sz="0" w:space="0" w:color="auto"/>
        <w:bottom w:val="none" w:sz="0" w:space="0" w:color="auto"/>
        <w:right w:val="none" w:sz="0" w:space="0" w:color="auto"/>
      </w:divBdr>
    </w:div>
    <w:div w:id="265963867">
      <w:bodyDiv w:val="1"/>
      <w:marLeft w:val="0"/>
      <w:marRight w:val="0"/>
      <w:marTop w:val="0"/>
      <w:marBottom w:val="0"/>
      <w:divBdr>
        <w:top w:val="none" w:sz="0" w:space="0" w:color="auto"/>
        <w:left w:val="none" w:sz="0" w:space="0" w:color="auto"/>
        <w:bottom w:val="none" w:sz="0" w:space="0" w:color="auto"/>
        <w:right w:val="none" w:sz="0" w:space="0" w:color="auto"/>
      </w:divBdr>
    </w:div>
    <w:div w:id="319508195">
      <w:bodyDiv w:val="1"/>
      <w:marLeft w:val="0"/>
      <w:marRight w:val="0"/>
      <w:marTop w:val="0"/>
      <w:marBottom w:val="0"/>
      <w:divBdr>
        <w:top w:val="none" w:sz="0" w:space="0" w:color="auto"/>
        <w:left w:val="none" w:sz="0" w:space="0" w:color="auto"/>
        <w:bottom w:val="none" w:sz="0" w:space="0" w:color="auto"/>
        <w:right w:val="none" w:sz="0" w:space="0" w:color="auto"/>
      </w:divBdr>
    </w:div>
    <w:div w:id="362176480">
      <w:bodyDiv w:val="1"/>
      <w:marLeft w:val="0"/>
      <w:marRight w:val="0"/>
      <w:marTop w:val="0"/>
      <w:marBottom w:val="0"/>
      <w:divBdr>
        <w:top w:val="none" w:sz="0" w:space="0" w:color="auto"/>
        <w:left w:val="none" w:sz="0" w:space="0" w:color="auto"/>
        <w:bottom w:val="none" w:sz="0" w:space="0" w:color="auto"/>
        <w:right w:val="none" w:sz="0" w:space="0" w:color="auto"/>
      </w:divBdr>
    </w:div>
    <w:div w:id="383217162">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11466361">
      <w:bodyDiv w:val="1"/>
      <w:marLeft w:val="0"/>
      <w:marRight w:val="0"/>
      <w:marTop w:val="0"/>
      <w:marBottom w:val="0"/>
      <w:divBdr>
        <w:top w:val="none" w:sz="0" w:space="0" w:color="auto"/>
        <w:left w:val="none" w:sz="0" w:space="0" w:color="auto"/>
        <w:bottom w:val="none" w:sz="0" w:space="0" w:color="auto"/>
        <w:right w:val="none" w:sz="0" w:space="0" w:color="auto"/>
      </w:divBdr>
    </w:div>
    <w:div w:id="424114931">
      <w:bodyDiv w:val="1"/>
      <w:marLeft w:val="0"/>
      <w:marRight w:val="0"/>
      <w:marTop w:val="0"/>
      <w:marBottom w:val="0"/>
      <w:divBdr>
        <w:top w:val="none" w:sz="0" w:space="0" w:color="auto"/>
        <w:left w:val="none" w:sz="0" w:space="0" w:color="auto"/>
        <w:bottom w:val="none" w:sz="0" w:space="0" w:color="auto"/>
        <w:right w:val="none" w:sz="0" w:space="0" w:color="auto"/>
      </w:divBdr>
    </w:div>
    <w:div w:id="443547988">
      <w:bodyDiv w:val="1"/>
      <w:marLeft w:val="0"/>
      <w:marRight w:val="0"/>
      <w:marTop w:val="0"/>
      <w:marBottom w:val="0"/>
      <w:divBdr>
        <w:top w:val="none" w:sz="0" w:space="0" w:color="auto"/>
        <w:left w:val="none" w:sz="0" w:space="0" w:color="auto"/>
        <w:bottom w:val="none" w:sz="0" w:space="0" w:color="auto"/>
        <w:right w:val="none" w:sz="0" w:space="0" w:color="auto"/>
      </w:divBdr>
    </w:div>
    <w:div w:id="454838871">
      <w:bodyDiv w:val="1"/>
      <w:marLeft w:val="0"/>
      <w:marRight w:val="0"/>
      <w:marTop w:val="0"/>
      <w:marBottom w:val="0"/>
      <w:divBdr>
        <w:top w:val="none" w:sz="0" w:space="0" w:color="auto"/>
        <w:left w:val="none" w:sz="0" w:space="0" w:color="auto"/>
        <w:bottom w:val="none" w:sz="0" w:space="0" w:color="auto"/>
        <w:right w:val="none" w:sz="0" w:space="0" w:color="auto"/>
      </w:divBdr>
    </w:div>
    <w:div w:id="461462811">
      <w:bodyDiv w:val="1"/>
      <w:marLeft w:val="0"/>
      <w:marRight w:val="0"/>
      <w:marTop w:val="0"/>
      <w:marBottom w:val="0"/>
      <w:divBdr>
        <w:top w:val="none" w:sz="0" w:space="0" w:color="auto"/>
        <w:left w:val="none" w:sz="0" w:space="0" w:color="auto"/>
        <w:bottom w:val="none" w:sz="0" w:space="0" w:color="auto"/>
        <w:right w:val="none" w:sz="0" w:space="0" w:color="auto"/>
      </w:divBdr>
    </w:div>
    <w:div w:id="480269472">
      <w:bodyDiv w:val="1"/>
      <w:marLeft w:val="0"/>
      <w:marRight w:val="0"/>
      <w:marTop w:val="0"/>
      <w:marBottom w:val="0"/>
      <w:divBdr>
        <w:top w:val="none" w:sz="0" w:space="0" w:color="auto"/>
        <w:left w:val="none" w:sz="0" w:space="0" w:color="auto"/>
        <w:bottom w:val="none" w:sz="0" w:space="0" w:color="auto"/>
        <w:right w:val="none" w:sz="0" w:space="0" w:color="auto"/>
      </w:divBdr>
    </w:div>
    <w:div w:id="505708505">
      <w:bodyDiv w:val="1"/>
      <w:marLeft w:val="0"/>
      <w:marRight w:val="0"/>
      <w:marTop w:val="0"/>
      <w:marBottom w:val="0"/>
      <w:divBdr>
        <w:top w:val="none" w:sz="0" w:space="0" w:color="auto"/>
        <w:left w:val="none" w:sz="0" w:space="0" w:color="auto"/>
        <w:bottom w:val="none" w:sz="0" w:space="0" w:color="auto"/>
        <w:right w:val="none" w:sz="0" w:space="0" w:color="auto"/>
      </w:divBdr>
    </w:div>
    <w:div w:id="511796535">
      <w:bodyDiv w:val="1"/>
      <w:marLeft w:val="0"/>
      <w:marRight w:val="0"/>
      <w:marTop w:val="0"/>
      <w:marBottom w:val="0"/>
      <w:divBdr>
        <w:top w:val="none" w:sz="0" w:space="0" w:color="auto"/>
        <w:left w:val="none" w:sz="0" w:space="0" w:color="auto"/>
        <w:bottom w:val="none" w:sz="0" w:space="0" w:color="auto"/>
        <w:right w:val="none" w:sz="0" w:space="0" w:color="auto"/>
      </w:divBdr>
    </w:div>
    <w:div w:id="516192978">
      <w:bodyDiv w:val="1"/>
      <w:marLeft w:val="0"/>
      <w:marRight w:val="0"/>
      <w:marTop w:val="0"/>
      <w:marBottom w:val="0"/>
      <w:divBdr>
        <w:top w:val="none" w:sz="0" w:space="0" w:color="auto"/>
        <w:left w:val="none" w:sz="0" w:space="0" w:color="auto"/>
        <w:bottom w:val="none" w:sz="0" w:space="0" w:color="auto"/>
        <w:right w:val="none" w:sz="0" w:space="0" w:color="auto"/>
      </w:divBdr>
    </w:div>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82448450">
      <w:bodyDiv w:val="1"/>
      <w:marLeft w:val="0"/>
      <w:marRight w:val="0"/>
      <w:marTop w:val="0"/>
      <w:marBottom w:val="0"/>
      <w:divBdr>
        <w:top w:val="none" w:sz="0" w:space="0" w:color="auto"/>
        <w:left w:val="none" w:sz="0" w:space="0" w:color="auto"/>
        <w:bottom w:val="none" w:sz="0" w:space="0" w:color="auto"/>
        <w:right w:val="none" w:sz="0" w:space="0" w:color="auto"/>
      </w:divBdr>
    </w:div>
    <w:div w:id="589313611">
      <w:bodyDiv w:val="1"/>
      <w:marLeft w:val="0"/>
      <w:marRight w:val="0"/>
      <w:marTop w:val="0"/>
      <w:marBottom w:val="0"/>
      <w:divBdr>
        <w:top w:val="none" w:sz="0" w:space="0" w:color="auto"/>
        <w:left w:val="none" w:sz="0" w:space="0" w:color="auto"/>
        <w:bottom w:val="none" w:sz="0" w:space="0" w:color="auto"/>
        <w:right w:val="none" w:sz="0" w:space="0" w:color="auto"/>
      </w:divBdr>
    </w:div>
    <w:div w:id="594442953">
      <w:bodyDiv w:val="1"/>
      <w:marLeft w:val="0"/>
      <w:marRight w:val="0"/>
      <w:marTop w:val="0"/>
      <w:marBottom w:val="0"/>
      <w:divBdr>
        <w:top w:val="none" w:sz="0" w:space="0" w:color="auto"/>
        <w:left w:val="none" w:sz="0" w:space="0" w:color="auto"/>
        <w:bottom w:val="none" w:sz="0" w:space="0" w:color="auto"/>
        <w:right w:val="none" w:sz="0" w:space="0" w:color="auto"/>
      </w:divBdr>
    </w:div>
    <w:div w:id="595329652">
      <w:bodyDiv w:val="1"/>
      <w:marLeft w:val="0"/>
      <w:marRight w:val="0"/>
      <w:marTop w:val="0"/>
      <w:marBottom w:val="0"/>
      <w:divBdr>
        <w:top w:val="none" w:sz="0" w:space="0" w:color="auto"/>
        <w:left w:val="none" w:sz="0" w:space="0" w:color="auto"/>
        <w:bottom w:val="none" w:sz="0" w:space="0" w:color="auto"/>
        <w:right w:val="none" w:sz="0" w:space="0" w:color="auto"/>
      </w:divBdr>
    </w:div>
    <w:div w:id="622924270">
      <w:bodyDiv w:val="1"/>
      <w:marLeft w:val="0"/>
      <w:marRight w:val="0"/>
      <w:marTop w:val="0"/>
      <w:marBottom w:val="0"/>
      <w:divBdr>
        <w:top w:val="none" w:sz="0" w:space="0" w:color="auto"/>
        <w:left w:val="none" w:sz="0" w:space="0" w:color="auto"/>
        <w:bottom w:val="none" w:sz="0" w:space="0" w:color="auto"/>
        <w:right w:val="none" w:sz="0" w:space="0" w:color="auto"/>
      </w:divBdr>
    </w:div>
    <w:div w:id="644512342">
      <w:bodyDiv w:val="1"/>
      <w:marLeft w:val="0"/>
      <w:marRight w:val="0"/>
      <w:marTop w:val="0"/>
      <w:marBottom w:val="0"/>
      <w:divBdr>
        <w:top w:val="none" w:sz="0" w:space="0" w:color="auto"/>
        <w:left w:val="none" w:sz="0" w:space="0" w:color="auto"/>
        <w:bottom w:val="none" w:sz="0" w:space="0" w:color="auto"/>
        <w:right w:val="none" w:sz="0" w:space="0" w:color="auto"/>
      </w:divBdr>
      <w:divsChild>
        <w:div w:id="2100372016">
          <w:marLeft w:val="0"/>
          <w:marRight w:val="0"/>
          <w:marTop w:val="0"/>
          <w:marBottom w:val="0"/>
          <w:divBdr>
            <w:top w:val="none" w:sz="0" w:space="0" w:color="auto"/>
            <w:left w:val="none" w:sz="0" w:space="0" w:color="auto"/>
            <w:bottom w:val="none" w:sz="0" w:space="0" w:color="auto"/>
            <w:right w:val="none" w:sz="0" w:space="0" w:color="auto"/>
          </w:divBdr>
          <w:divsChild>
            <w:div w:id="180435178">
              <w:marLeft w:val="0"/>
              <w:marRight w:val="0"/>
              <w:marTop w:val="0"/>
              <w:marBottom w:val="0"/>
              <w:divBdr>
                <w:top w:val="none" w:sz="0" w:space="0" w:color="auto"/>
                <w:left w:val="none" w:sz="0" w:space="0" w:color="auto"/>
                <w:bottom w:val="none" w:sz="0" w:space="0" w:color="auto"/>
                <w:right w:val="none" w:sz="0" w:space="0" w:color="auto"/>
              </w:divBdr>
              <w:divsChild>
                <w:div w:id="560679101">
                  <w:marLeft w:val="0"/>
                  <w:marRight w:val="0"/>
                  <w:marTop w:val="0"/>
                  <w:marBottom w:val="0"/>
                  <w:divBdr>
                    <w:top w:val="none" w:sz="0" w:space="0" w:color="auto"/>
                    <w:left w:val="none" w:sz="0" w:space="0" w:color="auto"/>
                    <w:bottom w:val="none" w:sz="0" w:space="0" w:color="auto"/>
                    <w:right w:val="none" w:sz="0" w:space="0" w:color="auto"/>
                  </w:divBdr>
                  <w:divsChild>
                    <w:div w:id="1582565554">
                      <w:marLeft w:val="0"/>
                      <w:marRight w:val="0"/>
                      <w:marTop w:val="0"/>
                      <w:marBottom w:val="0"/>
                      <w:divBdr>
                        <w:top w:val="none" w:sz="0" w:space="0" w:color="auto"/>
                        <w:left w:val="none" w:sz="0" w:space="0" w:color="auto"/>
                        <w:bottom w:val="none" w:sz="0" w:space="0" w:color="auto"/>
                        <w:right w:val="none" w:sz="0" w:space="0" w:color="auto"/>
                      </w:divBdr>
                      <w:divsChild>
                        <w:div w:id="52581364">
                          <w:marLeft w:val="0"/>
                          <w:marRight w:val="0"/>
                          <w:marTop w:val="0"/>
                          <w:marBottom w:val="0"/>
                          <w:divBdr>
                            <w:top w:val="none" w:sz="0" w:space="0" w:color="auto"/>
                            <w:left w:val="none" w:sz="0" w:space="0" w:color="auto"/>
                            <w:bottom w:val="none" w:sz="0" w:space="0" w:color="auto"/>
                            <w:right w:val="none" w:sz="0" w:space="0" w:color="auto"/>
                          </w:divBdr>
                          <w:divsChild>
                            <w:div w:id="1461268847">
                              <w:marLeft w:val="0"/>
                              <w:marRight w:val="0"/>
                              <w:marTop w:val="0"/>
                              <w:marBottom w:val="0"/>
                              <w:divBdr>
                                <w:top w:val="none" w:sz="0" w:space="0" w:color="auto"/>
                                <w:left w:val="none" w:sz="0" w:space="0" w:color="auto"/>
                                <w:bottom w:val="none" w:sz="0" w:space="0" w:color="auto"/>
                                <w:right w:val="none" w:sz="0" w:space="0" w:color="auto"/>
                              </w:divBdr>
                              <w:divsChild>
                                <w:div w:id="558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91065">
      <w:bodyDiv w:val="1"/>
      <w:marLeft w:val="0"/>
      <w:marRight w:val="0"/>
      <w:marTop w:val="0"/>
      <w:marBottom w:val="0"/>
      <w:divBdr>
        <w:top w:val="none" w:sz="0" w:space="0" w:color="auto"/>
        <w:left w:val="none" w:sz="0" w:space="0" w:color="auto"/>
        <w:bottom w:val="none" w:sz="0" w:space="0" w:color="auto"/>
        <w:right w:val="none" w:sz="0" w:space="0" w:color="auto"/>
      </w:divBdr>
    </w:div>
    <w:div w:id="663778288">
      <w:bodyDiv w:val="1"/>
      <w:marLeft w:val="0"/>
      <w:marRight w:val="0"/>
      <w:marTop w:val="0"/>
      <w:marBottom w:val="0"/>
      <w:divBdr>
        <w:top w:val="none" w:sz="0" w:space="0" w:color="auto"/>
        <w:left w:val="none" w:sz="0" w:space="0" w:color="auto"/>
        <w:bottom w:val="none" w:sz="0" w:space="0" w:color="auto"/>
        <w:right w:val="none" w:sz="0" w:space="0" w:color="auto"/>
      </w:divBdr>
    </w:div>
    <w:div w:id="681667961">
      <w:bodyDiv w:val="1"/>
      <w:marLeft w:val="0"/>
      <w:marRight w:val="0"/>
      <w:marTop w:val="0"/>
      <w:marBottom w:val="0"/>
      <w:divBdr>
        <w:top w:val="none" w:sz="0" w:space="0" w:color="auto"/>
        <w:left w:val="none" w:sz="0" w:space="0" w:color="auto"/>
        <w:bottom w:val="none" w:sz="0" w:space="0" w:color="auto"/>
        <w:right w:val="none" w:sz="0" w:space="0" w:color="auto"/>
      </w:divBdr>
    </w:div>
    <w:div w:id="683824598">
      <w:bodyDiv w:val="1"/>
      <w:marLeft w:val="0"/>
      <w:marRight w:val="0"/>
      <w:marTop w:val="0"/>
      <w:marBottom w:val="0"/>
      <w:divBdr>
        <w:top w:val="none" w:sz="0" w:space="0" w:color="auto"/>
        <w:left w:val="none" w:sz="0" w:space="0" w:color="auto"/>
        <w:bottom w:val="none" w:sz="0" w:space="0" w:color="auto"/>
        <w:right w:val="none" w:sz="0" w:space="0" w:color="auto"/>
      </w:divBdr>
    </w:div>
    <w:div w:id="723676261">
      <w:bodyDiv w:val="1"/>
      <w:marLeft w:val="0"/>
      <w:marRight w:val="0"/>
      <w:marTop w:val="0"/>
      <w:marBottom w:val="0"/>
      <w:divBdr>
        <w:top w:val="none" w:sz="0" w:space="0" w:color="auto"/>
        <w:left w:val="none" w:sz="0" w:space="0" w:color="auto"/>
        <w:bottom w:val="none" w:sz="0" w:space="0" w:color="auto"/>
        <w:right w:val="none" w:sz="0" w:space="0" w:color="auto"/>
      </w:divBdr>
    </w:div>
    <w:div w:id="728500785">
      <w:bodyDiv w:val="1"/>
      <w:marLeft w:val="0"/>
      <w:marRight w:val="0"/>
      <w:marTop w:val="0"/>
      <w:marBottom w:val="0"/>
      <w:divBdr>
        <w:top w:val="none" w:sz="0" w:space="0" w:color="auto"/>
        <w:left w:val="none" w:sz="0" w:space="0" w:color="auto"/>
        <w:bottom w:val="none" w:sz="0" w:space="0" w:color="auto"/>
        <w:right w:val="none" w:sz="0" w:space="0" w:color="auto"/>
      </w:divBdr>
    </w:div>
    <w:div w:id="728919776">
      <w:bodyDiv w:val="1"/>
      <w:marLeft w:val="0"/>
      <w:marRight w:val="0"/>
      <w:marTop w:val="0"/>
      <w:marBottom w:val="0"/>
      <w:divBdr>
        <w:top w:val="none" w:sz="0" w:space="0" w:color="auto"/>
        <w:left w:val="none" w:sz="0" w:space="0" w:color="auto"/>
        <w:bottom w:val="none" w:sz="0" w:space="0" w:color="auto"/>
        <w:right w:val="none" w:sz="0" w:space="0" w:color="auto"/>
      </w:divBdr>
    </w:div>
    <w:div w:id="750278471">
      <w:bodyDiv w:val="1"/>
      <w:marLeft w:val="0"/>
      <w:marRight w:val="0"/>
      <w:marTop w:val="0"/>
      <w:marBottom w:val="0"/>
      <w:divBdr>
        <w:top w:val="none" w:sz="0" w:space="0" w:color="auto"/>
        <w:left w:val="none" w:sz="0" w:space="0" w:color="auto"/>
        <w:bottom w:val="none" w:sz="0" w:space="0" w:color="auto"/>
        <w:right w:val="none" w:sz="0" w:space="0" w:color="auto"/>
      </w:divBdr>
    </w:div>
    <w:div w:id="774982034">
      <w:bodyDiv w:val="1"/>
      <w:marLeft w:val="0"/>
      <w:marRight w:val="0"/>
      <w:marTop w:val="0"/>
      <w:marBottom w:val="0"/>
      <w:divBdr>
        <w:top w:val="none" w:sz="0" w:space="0" w:color="auto"/>
        <w:left w:val="none" w:sz="0" w:space="0" w:color="auto"/>
        <w:bottom w:val="none" w:sz="0" w:space="0" w:color="auto"/>
        <w:right w:val="none" w:sz="0" w:space="0" w:color="auto"/>
      </w:divBdr>
    </w:div>
    <w:div w:id="775439929">
      <w:bodyDiv w:val="1"/>
      <w:marLeft w:val="0"/>
      <w:marRight w:val="0"/>
      <w:marTop w:val="0"/>
      <w:marBottom w:val="0"/>
      <w:divBdr>
        <w:top w:val="none" w:sz="0" w:space="0" w:color="auto"/>
        <w:left w:val="none" w:sz="0" w:space="0" w:color="auto"/>
        <w:bottom w:val="none" w:sz="0" w:space="0" w:color="auto"/>
        <w:right w:val="none" w:sz="0" w:space="0" w:color="auto"/>
      </w:divBdr>
    </w:div>
    <w:div w:id="785153767">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90435011">
      <w:bodyDiv w:val="1"/>
      <w:marLeft w:val="0"/>
      <w:marRight w:val="0"/>
      <w:marTop w:val="0"/>
      <w:marBottom w:val="0"/>
      <w:divBdr>
        <w:top w:val="none" w:sz="0" w:space="0" w:color="auto"/>
        <w:left w:val="none" w:sz="0" w:space="0" w:color="auto"/>
        <w:bottom w:val="none" w:sz="0" w:space="0" w:color="auto"/>
        <w:right w:val="none" w:sz="0" w:space="0" w:color="auto"/>
      </w:divBdr>
    </w:div>
    <w:div w:id="831485735">
      <w:bodyDiv w:val="1"/>
      <w:marLeft w:val="0"/>
      <w:marRight w:val="0"/>
      <w:marTop w:val="0"/>
      <w:marBottom w:val="0"/>
      <w:divBdr>
        <w:top w:val="none" w:sz="0" w:space="0" w:color="auto"/>
        <w:left w:val="none" w:sz="0" w:space="0" w:color="auto"/>
        <w:bottom w:val="none" w:sz="0" w:space="0" w:color="auto"/>
        <w:right w:val="none" w:sz="0" w:space="0" w:color="auto"/>
      </w:divBdr>
    </w:div>
    <w:div w:id="837691701">
      <w:bodyDiv w:val="1"/>
      <w:marLeft w:val="0"/>
      <w:marRight w:val="0"/>
      <w:marTop w:val="0"/>
      <w:marBottom w:val="0"/>
      <w:divBdr>
        <w:top w:val="none" w:sz="0" w:space="0" w:color="auto"/>
        <w:left w:val="none" w:sz="0" w:space="0" w:color="auto"/>
        <w:bottom w:val="none" w:sz="0" w:space="0" w:color="auto"/>
        <w:right w:val="none" w:sz="0" w:space="0" w:color="auto"/>
      </w:divBdr>
    </w:div>
    <w:div w:id="860358359">
      <w:bodyDiv w:val="1"/>
      <w:marLeft w:val="0"/>
      <w:marRight w:val="0"/>
      <w:marTop w:val="0"/>
      <w:marBottom w:val="0"/>
      <w:divBdr>
        <w:top w:val="none" w:sz="0" w:space="0" w:color="auto"/>
        <w:left w:val="none" w:sz="0" w:space="0" w:color="auto"/>
        <w:bottom w:val="none" w:sz="0" w:space="0" w:color="auto"/>
        <w:right w:val="none" w:sz="0" w:space="0" w:color="auto"/>
      </w:divBdr>
    </w:div>
    <w:div w:id="862326062">
      <w:bodyDiv w:val="1"/>
      <w:marLeft w:val="0"/>
      <w:marRight w:val="0"/>
      <w:marTop w:val="0"/>
      <w:marBottom w:val="0"/>
      <w:divBdr>
        <w:top w:val="none" w:sz="0" w:space="0" w:color="auto"/>
        <w:left w:val="none" w:sz="0" w:space="0" w:color="auto"/>
        <w:bottom w:val="none" w:sz="0" w:space="0" w:color="auto"/>
        <w:right w:val="none" w:sz="0" w:space="0" w:color="auto"/>
      </w:divBdr>
    </w:div>
    <w:div w:id="892736513">
      <w:bodyDiv w:val="1"/>
      <w:marLeft w:val="0"/>
      <w:marRight w:val="0"/>
      <w:marTop w:val="0"/>
      <w:marBottom w:val="0"/>
      <w:divBdr>
        <w:top w:val="none" w:sz="0" w:space="0" w:color="auto"/>
        <w:left w:val="none" w:sz="0" w:space="0" w:color="auto"/>
        <w:bottom w:val="none" w:sz="0" w:space="0" w:color="auto"/>
        <w:right w:val="none" w:sz="0" w:space="0" w:color="auto"/>
      </w:divBdr>
    </w:div>
    <w:div w:id="894391967">
      <w:bodyDiv w:val="1"/>
      <w:marLeft w:val="0"/>
      <w:marRight w:val="0"/>
      <w:marTop w:val="0"/>
      <w:marBottom w:val="0"/>
      <w:divBdr>
        <w:top w:val="none" w:sz="0" w:space="0" w:color="auto"/>
        <w:left w:val="none" w:sz="0" w:space="0" w:color="auto"/>
        <w:bottom w:val="none" w:sz="0" w:space="0" w:color="auto"/>
        <w:right w:val="none" w:sz="0" w:space="0" w:color="auto"/>
      </w:divBdr>
    </w:div>
    <w:div w:id="924800944">
      <w:bodyDiv w:val="1"/>
      <w:marLeft w:val="0"/>
      <w:marRight w:val="0"/>
      <w:marTop w:val="0"/>
      <w:marBottom w:val="0"/>
      <w:divBdr>
        <w:top w:val="none" w:sz="0" w:space="0" w:color="auto"/>
        <w:left w:val="none" w:sz="0" w:space="0" w:color="auto"/>
        <w:bottom w:val="none" w:sz="0" w:space="0" w:color="auto"/>
        <w:right w:val="none" w:sz="0" w:space="0" w:color="auto"/>
      </w:divBdr>
    </w:div>
    <w:div w:id="932398016">
      <w:bodyDiv w:val="1"/>
      <w:marLeft w:val="0"/>
      <w:marRight w:val="0"/>
      <w:marTop w:val="0"/>
      <w:marBottom w:val="0"/>
      <w:divBdr>
        <w:top w:val="none" w:sz="0" w:space="0" w:color="auto"/>
        <w:left w:val="none" w:sz="0" w:space="0" w:color="auto"/>
        <w:bottom w:val="none" w:sz="0" w:space="0" w:color="auto"/>
        <w:right w:val="none" w:sz="0" w:space="0" w:color="auto"/>
      </w:divBdr>
    </w:div>
    <w:div w:id="945691540">
      <w:bodyDiv w:val="1"/>
      <w:marLeft w:val="0"/>
      <w:marRight w:val="0"/>
      <w:marTop w:val="0"/>
      <w:marBottom w:val="0"/>
      <w:divBdr>
        <w:top w:val="none" w:sz="0" w:space="0" w:color="auto"/>
        <w:left w:val="none" w:sz="0" w:space="0" w:color="auto"/>
        <w:bottom w:val="none" w:sz="0" w:space="0" w:color="auto"/>
        <w:right w:val="none" w:sz="0" w:space="0" w:color="auto"/>
      </w:divBdr>
    </w:div>
    <w:div w:id="957490238">
      <w:bodyDiv w:val="1"/>
      <w:marLeft w:val="0"/>
      <w:marRight w:val="0"/>
      <w:marTop w:val="0"/>
      <w:marBottom w:val="0"/>
      <w:divBdr>
        <w:top w:val="none" w:sz="0" w:space="0" w:color="auto"/>
        <w:left w:val="none" w:sz="0" w:space="0" w:color="auto"/>
        <w:bottom w:val="none" w:sz="0" w:space="0" w:color="auto"/>
        <w:right w:val="none" w:sz="0" w:space="0" w:color="auto"/>
      </w:divBdr>
    </w:div>
    <w:div w:id="969551542">
      <w:bodyDiv w:val="1"/>
      <w:marLeft w:val="0"/>
      <w:marRight w:val="0"/>
      <w:marTop w:val="0"/>
      <w:marBottom w:val="0"/>
      <w:divBdr>
        <w:top w:val="none" w:sz="0" w:space="0" w:color="auto"/>
        <w:left w:val="none" w:sz="0" w:space="0" w:color="auto"/>
        <w:bottom w:val="none" w:sz="0" w:space="0" w:color="auto"/>
        <w:right w:val="none" w:sz="0" w:space="0" w:color="auto"/>
      </w:divBdr>
    </w:div>
    <w:div w:id="999969876">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59867131">
      <w:bodyDiv w:val="1"/>
      <w:marLeft w:val="0"/>
      <w:marRight w:val="0"/>
      <w:marTop w:val="0"/>
      <w:marBottom w:val="0"/>
      <w:divBdr>
        <w:top w:val="none" w:sz="0" w:space="0" w:color="auto"/>
        <w:left w:val="none" w:sz="0" w:space="0" w:color="auto"/>
        <w:bottom w:val="none" w:sz="0" w:space="0" w:color="auto"/>
        <w:right w:val="none" w:sz="0" w:space="0" w:color="auto"/>
      </w:divBdr>
    </w:div>
    <w:div w:id="1077367379">
      <w:bodyDiv w:val="1"/>
      <w:marLeft w:val="0"/>
      <w:marRight w:val="0"/>
      <w:marTop w:val="0"/>
      <w:marBottom w:val="0"/>
      <w:divBdr>
        <w:top w:val="none" w:sz="0" w:space="0" w:color="auto"/>
        <w:left w:val="none" w:sz="0" w:space="0" w:color="auto"/>
        <w:bottom w:val="none" w:sz="0" w:space="0" w:color="auto"/>
        <w:right w:val="none" w:sz="0" w:space="0" w:color="auto"/>
      </w:divBdr>
    </w:div>
    <w:div w:id="1115443391">
      <w:bodyDiv w:val="1"/>
      <w:marLeft w:val="0"/>
      <w:marRight w:val="0"/>
      <w:marTop w:val="0"/>
      <w:marBottom w:val="0"/>
      <w:divBdr>
        <w:top w:val="none" w:sz="0" w:space="0" w:color="auto"/>
        <w:left w:val="none" w:sz="0" w:space="0" w:color="auto"/>
        <w:bottom w:val="none" w:sz="0" w:space="0" w:color="auto"/>
        <w:right w:val="none" w:sz="0" w:space="0" w:color="auto"/>
      </w:divBdr>
    </w:div>
    <w:div w:id="1159886239">
      <w:bodyDiv w:val="1"/>
      <w:marLeft w:val="0"/>
      <w:marRight w:val="0"/>
      <w:marTop w:val="0"/>
      <w:marBottom w:val="0"/>
      <w:divBdr>
        <w:top w:val="none" w:sz="0" w:space="0" w:color="auto"/>
        <w:left w:val="none" w:sz="0" w:space="0" w:color="auto"/>
        <w:bottom w:val="none" w:sz="0" w:space="0" w:color="auto"/>
        <w:right w:val="none" w:sz="0" w:space="0" w:color="auto"/>
      </w:divBdr>
    </w:div>
    <w:div w:id="1187795742">
      <w:bodyDiv w:val="1"/>
      <w:marLeft w:val="0"/>
      <w:marRight w:val="0"/>
      <w:marTop w:val="0"/>
      <w:marBottom w:val="0"/>
      <w:divBdr>
        <w:top w:val="none" w:sz="0" w:space="0" w:color="auto"/>
        <w:left w:val="none" w:sz="0" w:space="0" w:color="auto"/>
        <w:bottom w:val="none" w:sz="0" w:space="0" w:color="auto"/>
        <w:right w:val="none" w:sz="0" w:space="0" w:color="auto"/>
      </w:divBdr>
    </w:div>
    <w:div w:id="1200781851">
      <w:bodyDiv w:val="1"/>
      <w:marLeft w:val="0"/>
      <w:marRight w:val="0"/>
      <w:marTop w:val="0"/>
      <w:marBottom w:val="0"/>
      <w:divBdr>
        <w:top w:val="none" w:sz="0" w:space="0" w:color="auto"/>
        <w:left w:val="none" w:sz="0" w:space="0" w:color="auto"/>
        <w:bottom w:val="none" w:sz="0" w:space="0" w:color="auto"/>
        <w:right w:val="none" w:sz="0" w:space="0" w:color="auto"/>
      </w:divBdr>
    </w:div>
    <w:div w:id="1220902264">
      <w:bodyDiv w:val="1"/>
      <w:marLeft w:val="0"/>
      <w:marRight w:val="0"/>
      <w:marTop w:val="0"/>
      <w:marBottom w:val="0"/>
      <w:divBdr>
        <w:top w:val="none" w:sz="0" w:space="0" w:color="auto"/>
        <w:left w:val="none" w:sz="0" w:space="0" w:color="auto"/>
        <w:bottom w:val="none" w:sz="0" w:space="0" w:color="auto"/>
        <w:right w:val="none" w:sz="0" w:space="0" w:color="auto"/>
      </w:divBdr>
    </w:div>
    <w:div w:id="1238827782">
      <w:bodyDiv w:val="1"/>
      <w:marLeft w:val="0"/>
      <w:marRight w:val="0"/>
      <w:marTop w:val="0"/>
      <w:marBottom w:val="0"/>
      <w:divBdr>
        <w:top w:val="none" w:sz="0" w:space="0" w:color="auto"/>
        <w:left w:val="none" w:sz="0" w:space="0" w:color="auto"/>
        <w:bottom w:val="none" w:sz="0" w:space="0" w:color="auto"/>
        <w:right w:val="none" w:sz="0" w:space="0" w:color="auto"/>
      </w:divBdr>
    </w:div>
    <w:div w:id="1239318265">
      <w:bodyDiv w:val="1"/>
      <w:marLeft w:val="0"/>
      <w:marRight w:val="0"/>
      <w:marTop w:val="0"/>
      <w:marBottom w:val="0"/>
      <w:divBdr>
        <w:top w:val="none" w:sz="0" w:space="0" w:color="auto"/>
        <w:left w:val="none" w:sz="0" w:space="0" w:color="auto"/>
        <w:bottom w:val="none" w:sz="0" w:space="0" w:color="auto"/>
        <w:right w:val="none" w:sz="0" w:space="0" w:color="auto"/>
      </w:divBdr>
    </w:div>
    <w:div w:id="1253856032">
      <w:bodyDiv w:val="1"/>
      <w:marLeft w:val="0"/>
      <w:marRight w:val="0"/>
      <w:marTop w:val="0"/>
      <w:marBottom w:val="0"/>
      <w:divBdr>
        <w:top w:val="none" w:sz="0" w:space="0" w:color="auto"/>
        <w:left w:val="none" w:sz="0" w:space="0" w:color="auto"/>
        <w:bottom w:val="none" w:sz="0" w:space="0" w:color="auto"/>
        <w:right w:val="none" w:sz="0" w:space="0" w:color="auto"/>
      </w:divBdr>
    </w:div>
    <w:div w:id="1283148266">
      <w:bodyDiv w:val="1"/>
      <w:marLeft w:val="0"/>
      <w:marRight w:val="0"/>
      <w:marTop w:val="0"/>
      <w:marBottom w:val="0"/>
      <w:divBdr>
        <w:top w:val="none" w:sz="0" w:space="0" w:color="auto"/>
        <w:left w:val="none" w:sz="0" w:space="0" w:color="auto"/>
        <w:bottom w:val="none" w:sz="0" w:space="0" w:color="auto"/>
        <w:right w:val="none" w:sz="0" w:space="0" w:color="auto"/>
      </w:divBdr>
    </w:div>
    <w:div w:id="1302227230">
      <w:bodyDiv w:val="1"/>
      <w:marLeft w:val="0"/>
      <w:marRight w:val="0"/>
      <w:marTop w:val="0"/>
      <w:marBottom w:val="0"/>
      <w:divBdr>
        <w:top w:val="none" w:sz="0" w:space="0" w:color="auto"/>
        <w:left w:val="none" w:sz="0" w:space="0" w:color="auto"/>
        <w:bottom w:val="none" w:sz="0" w:space="0" w:color="auto"/>
        <w:right w:val="none" w:sz="0" w:space="0" w:color="auto"/>
      </w:divBdr>
    </w:div>
    <w:div w:id="1305574850">
      <w:bodyDiv w:val="1"/>
      <w:marLeft w:val="0"/>
      <w:marRight w:val="0"/>
      <w:marTop w:val="0"/>
      <w:marBottom w:val="0"/>
      <w:divBdr>
        <w:top w:val="none" w:sz="0" w:space="0" w:color="auto"/>
        <w:left w:val="none" w:sz="0" w:space="0" w:color="auto"/>
        <w:bottom w:val="none" w:sz="0" w:space="0" w:color="auto"/>
        <w:right w:val="none" w:sz="0" w:space="0" w:color="auto"/>
      </w:divBdr>
    </w:div>
    <w:div w:id="1376851357">
      <w:bodyDiv w:val="1"/>
      <w:marLeft w:val="0"/>
      <w:marRight w:val="0"/>
      <w:marTop w:val="0"/>
      <w:marBottom w:val="0"/>
      <w:divBdr>
        <w:top w:val="none" w:sz="0" w:space="0" w:color="auto"/>
        <w:left w:val="none" w:sz="0" w:space="0" w:color="auto"/>
        <w:bottom w:val="none" w:sz="0" w:space="0" w:color="auto"/>
        <w:right w:val="none" w:sz="0" w:space="0" w:color="auto"/>
      </w:divBdr>
    </w:div>
    <w:div w:id="1469859314">
      <w:bodyDiv w:val="1"/>
      <w:marLeft w:val="0"/>
      <w:marRight w:val="0"/>
      <w:marTop w:val="0"/>
      <w:marBottom w:val="0"/>
      <w:divBdr>
        <w:top w:val="none" w:sz="0" w:space="0" w:color="auto"/>
        <w:left w:val="none" w:sz="0" w:space="0" w:color="auto"/>
        <w:bottom w:val="none" w:sz="0" w:space="0" w:color="auto"/>
        <w:right w:val="none" w:sz="0" w:space="0" w:color="auto"/>
      </w:divBdr>
    </w:div>
    <w:div w:id="1586258991">
      <w:bodyDiv w:val="1"/>
      <w:marLeft w:val="0"/>
      <w:marRight w:val="0"/>
      <w:marTop w:val="0"/>
      <w:marBottom w:val="0"/>
      <w:divBdr>
        <w:top w:val="none" w:sz="0" w:space="0" w:color="auto"/>
        <w:left w:val="none" w:sz="0" w:space="0" w:color="auto"/>
        <w:bottom w:val="none" w:sz="0" w:space="0" w:color="auto"/>
        <w:right w:val="none" w:sz="0" w:space="0" w:color="auto"/>
      </w:divBdr>
      <w:divsChild>
        <w:div w:id="41751442">
          <w:marLeft w:val="0"/>
          <w:marRight w:val="0"/>
          <w:marTop w:val="0"/>
          <w:marBottom w:val="0"/>
          <w:divBdr>
            <w:top w:val="none" w:sz="0" w:space="0" w:color="auto"/>
            <w:left w:val="none" w:sz="0" w:space="0" w:color="auto"/>
            <w:bottom w:val="none" w:sz="0" w:space="0" w:color="auto"/>
            <w:right w:val="none" w:sz="0" w:space="0" w:color="auto"/>
          </w:divBdr>
          <w:divsChild>
            <w:div w:id="1211579600">
              <w:marLeft w:val="0"/>
              <w:marRight w:val="0"/>
              <w:marTop w:val="0"/>
              <w:marBottom w:val="0"/>
              <w:divBdr>
                <w:top w:val="none" w:sz="0" w:space="0" w:color="auto"/>
                <w:left w:val="none" w:sz="0" w:space="0" w:color="auto"/>
                <w:bottom w:val="none" w:sz="0" w:space="0" w:color="auto"/>
                <w:right w:val="none" w:sz="0" w:space="0" w:color="auto"/>
              </w:divBdr>
              <w:divsChild>
                <w:div w:id="1609504631">
                  <w:marLeft w:val="0"/>
                  <w:marRight w:val="0"/>
                  <w:marTop w:val="0"/>
                  <w:marBottom w:val="0"/>
                  <w:divBdr>
                    <w:top w:val="none" w:sz="0" w:space="0" w:color="auto"/>
                    <w:left w:val="none" w:sz="0" w:space="0" w:color="auto"/>
                    <w:bottom w:val="none" w:sz="0" w:space="0" w:color="auto"/>
                    <w:right w:val="none" w:sz="0" w:space="0" w:color="auto"/>
                  </w:divBdr>
                  <w:divsChild>
                    <w:div w:id="1518814419">
                      <w:marLeft w:val="0"/>
                      <w:marRight w:val="0"/>
                      <w:marTop w:val="0"/>
                      <w:marBottom w:val="0"/>
                      <w:divBdr>
                        <w:top w:val="none" w:sz="0" w:space="0" w:color="auto"/>
                        <w:left w:val="none" w:sz="0" w:space="0" w:color="auto"/>
                        <w:bottom w:val="none" w:sz="0" w:space="0" w:color="auto"/>
                        <w:right w:val="none" w:sz="0" w:space="0" w:color="auto"/>
                      </w:divBdr>
                      <w:divsChild>
                        <w:div w:id="1687054292">
                          <w:marLeft w:val="0"/>
                          <w:marRight w:val="0"/>
                          <w:marTop w:val="0"/>
                          <w:marBottom w:val="0"/>
                          <w:divBdr>
                            <w:top w:val="none" w:sz="0" w:space="0" w:color="auto"/>
                            <w:left w:val="none" w:sz="0" w:space="0" w:color="auto"/>
                            <w:bottom w:val="none" w:sz="0" w:space="0" w:color="auto"/>
                            <w:right w:val="none" w:sz="0" w:space="0" w:color="auto"/>
                          </w:divBdr>
                          <w:divsChild>
                            <w:div w:id="483549437">
                              <w:marLeft w:val="0"/>
                              <w:marRight w:val="0"/>
                              <w:marTop w:val="0"/>
                              <w:marBottom w:val="0"/>
                              <w:divBdr>
                                <w:top w:val="none" w:sz="0" w:space="0" w:color="auto"/>
                                <w:left w:val="none" w:sz="0" w:space="0" w:color="auto"/>
                                <w:bottom w:val="none" w:sz="0" w:space="0" w:color="auto"/>
                                <w:right w:val="none" w:sz="0" w:space="0" w:color="auto"/>
                              </w:divBdr>
                              <w:divsChild>
                                <w:div w:id="188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598515417">
      <w:bodyDiv w:val="1"/>
      <w:marLeft w:val="0"/>
      <w:marRight w:val="0"/>
      <w:marTop w:val="0"/>
      <w:marBottom w:val="0"/>
      <w:divBdr>
        <w:top w:val="none" w:sz="0" w:space="0" w:color="auto"/>
        <w:left w:val="none" w:sz="0" w:space="0" w:color="auto"/>
        <w:bottom w:val="none" w:sz="0" w:space="0" w:color="auto"/>
        <w:right w:val="none" w:sz="0" w:space="0" w:color="auto"/>
      </w:divBdr>
    </w:div>
    <w:div w:id="1612198682">
      <w:bodyDiv w:val="1"/>
      <w:marLeft w:val="0"/>
      <w:marRight w:val="0"/>
      <w:marTop w:val="0"/>
      <w:marBottom w:val="0"/>
      <w:divBdr>
        <w:top w:val="none" w:sz="0" w:space="0" w:color="auto"/>
        <w:left w:val="none" w:sz="0" w:space="0" w:color="auto"/>
        <w:bottom w:val="none" w:sz="0" w:space="0" w:color="auto"/>
        <w:right w:val="none" w:sz="0" w:space="0" w:color="auto"/>
      </w:divBdr>
    </w:div>
    <w:div w:id="1612973703">
      <w:bodyDiv w:val="1"/>
      <w:marLeft w:val="0"/>
      <w:marRight w:val="0"/>
      <w:marTop w:val="0"/>
      <w:marBottom w:val="0"/>
      <w:divBdr>
        <w:top w:val="none" w:sz="0" w:space="0" w:color="auto"/>
        <w:left w:val="none" w:sz="0" w:space="0" w:color="auto"/>
        <w:bottom w:val="none" w:sz="0" w:space="0" w:color="auto"/>
        <w:right w:val="none" w:sz="0" w:space="0" w:color="auto"/>
      </w:divBdr>
    </w:div>
    <w:div w:id="1668089853">
      <w:bodyDiv w:val="1"/>
      <w:marLeft w:val="0"/>
      <w:marRight w:val="0"/>
      <w:marTop w:val="0"/>
      <w:marBottom w:val="0"/>
      <w:divBdr>
        <w:top w:val="none" w:sz="0" w:space="0" w:color="auto"/>
        <w:left w:val="none" w:sz="0" w:space="0" w:color="auto"/>
        <w:bottom w:val="none" w:sz="0" w:space="0" w:color="auto"/>
        <w:right w:val="none" w:sz="0" w:space="0" w:color="auto"/>
      </w:divBdr>
    </w:div>
    <w:div w:id="1709792048">
      <w:bodyDiv w:val="1"/>
      <w:marLeft w:val="0"/>
      <w:marRight w:val="0"/>
      <w:marTop w:val="0"/>
      <w:marBottom w:val="0"/>
      <w:divBdr>
        <w:top w:val="none" w:sz="0" w:space="0" w:color="auto"/>
        <w:left w:val="none" w:sz="0" w:space="0" w:color="auto"/>
        <w:bottom w:val="none" w:sz="0" w:space="0" w:color="auto"/>
        <w:right w:val="none" w:sz="0" w:space="0" w:color="auto"/>
      </w:divBdr>
    </w:div>
    <w:div w:id="1713069802">
      <w:bodyDiv w:val="1"/>
      <w:marLeft w:val="0"/>
      <w:marRight w:val="0"/>
      <w:marTop w:val="0"/>
      <w:marBottom w:val="0"/>
      <w:divBdr>
        <w:top w:val="none" w:sz="0" w:space="0" w:color="auto"/>
        <w:left w:val="none" w:sz="0" w:space="0" w:color="auto"/>
        <w:bottom w:val="none" w:sz="0" w:space="0" w:color="auto"/>
        <w:right w:val="none" w:sz="0" w:space="0" w:color="auto"/>
      </w:divBdr>
    </w:div>
    <w:div w:id="1716807746">
      <w:bodyDiv w:val="1"/>
      <w:marLeft w:val="0"/>
      <w:marRight w:val="0"/>
      <w:marTop w:val="0"/>
      <w:marBottom w:val="0"/>
      <w:divBdr>
        <w:top w:val="none" w:sz="0" w:space="0" w:color="auto"/>
        <w:left w:val="none" w:sz="0" w:space="0" w:color="auto"/>
        <w:bottom w:val="none" w:sz="0" w:space="0" w:color="auto"/>
        <w:right w:val="none" w:sz="0" w:space="0" w:color="auto"/>
      </w:divBdr>
    </w:div>
    <w:div w:id="1771001793">
      <w:bodyDiv w:val="1"/>
      <w:marLeft w:val="0"/>
      <w:marRight w:val="0"/>
      <w:marTop w:val="0"/>
      <w:marBottom w:val="0"/>
      <w:divBdr>
        <w:top w:val="none" w:sz="0" w:space="0" w:color="auto"/>
        <w:left w:val="none" w:sz="0" w:space="0" w:color="auto"/>
        <w:bottom w:val="none" w:sz="0" w:space="0" w:color="auto"/>
        <w:right w:val="none" w:sz="0" w:space="0" w:color="auto"/>
      </w:divBdr>
    </w:div>
    <w:div w:id="1797093932">
      <w:bodyDiv w:val="1"/>
      <w:marLeft w:val="0"/>
      <w:marRight w:val="0"/>
      <w:marTop w:val="0"/>
      <w:marBottom w:val="0"/>
      <w:divBdr>
        <w:top w:val="none" w:sz="0" w:space="0" w:color="auto"/>
        <w:left w:val="none" w:sz="0" w:space="0" w:color="auto"/>
        <w:bottom w:val="none" w:sz="0" w:space="0" w:color="auto"/>
        <w:right w:val="none" w:sz="0" w:space="0" w:color="auto"/>
      </w:divBdr>
    </w:div>
    <w:div w:id="1801067709">
      <w:bodyDiv w:val="1"/>
      <w:marLeft w:val="0"/>
      <w:marRight w:val="0"/>
      <w:marTop w:val="0"/>
      <w:marBottom w:val="0"/>
      <w:divBdr>
        <w:top w:val="none" w:sz="0" w:space="0" w:color="auto"/>
        <w:left w:val="none" w:sz="0" w:space="0" w:color="auto"/>
        <w:bottom w:val="none" w:sz="0" w:space="0" w:color="auto"/>
        <w:right w:val="none" w:sz="0" w:space="0" w:color="auto"/>
      </w:divBdr>
    </w:div>
    <w:div w:id="1810509673">
      <w:bodyDiv w:val="1"/>
      <w:marLeft w:val="0"/>
      <w:marRight w:val="0"/>
      <w:marTop w:val="0"/>
      <w:marBottom w:val="0"/>
      <w:divBdr>
        <w:top w:val="none" w:sz="0" w:space="0" w:color="auto"/>
        <w:left w:val="none" w:sz="0" w:space="0" w:color="auto"/>
        <w:bottom w:val="none" w:sz="0" w:space="0" w:color="auto"/>
        <w:right w:val="none" w:sz="0" w:space="0" w:color="auto"/>
      </w:divBdr>
    </w:div>
    <w:div w:id="1812819746">
      <w:bodyDiv w:val="1"/>
      <w:marLeft w:val="0"/>
      <w:marRight w:val="0"/>
      <w:marTop w:val="0"/>
      <w:marBottom w:val="0"/>
      <w:divBdr>
        <w:top w:val="none" w:sz="0" w:space="0" w:color="auto"/>
        <w:left w:val="none" w:sz="0" w:space="0" w:color="auto"/>
        <w:bottom w:val="none" w:sz="0" w:space="0" w:color="auto"/>
        <w:right w:val="none" w:sz="0" w:space="0" w:color="auto"/>
      </w:divBdr>
    </w:div>
    <w:div w:id="1853956584">
      <w:bodyDiv w:val="1"/>
      <w:marLeft w:val="0"/>
      <w:marRight w:val="0"/>
      <w:marTop w:val="0"/>
      <w:marBottom w:val="0"/>
      <w:divBdr>
        <w:top w:val="none" w:sz="0" w:space="0" w:color="auto"/>
        <w:left w:val="none" w:sz="0" w:space="0" w:color="auto"/>
        <w:bottom w:val="none" w:sz="0" w:space="0" w:color="auto"/>
        <w:right w:val="none" w:sz="0" w:space="0" w:color="auto"/>
      </w:divBdr>
    </w:div>
    <w:div w:id="1862009535">
      <w:bodyDiv w:val="1"/>
      <w:marLeft w:val="0"/>
      <w:marRight w:val="0"/>
      <w:marTop w:val="0"/>
      <w:marBottom w:val="0"/>
      <w:divBdr>
        <w:top w:val="none" w:sz="0" w:space="0" w:color="auto"/>
        <w:left w:val="none" w:sz="0" w:space="0" w:color="auto"/>
        <w:bottom w:val="none" w:sz="0" w:space="0" w:color="auto"/>
        <w:right w:val="none" w:sz="0" w:space="0" w:color="auto"/>
      </w:divBdr>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
    <w:div w:id="1994136480">
      <w:bodyDiv w:val="1"/>
      <w:marLeft w:val="0"/>
      <w:marRight w:val="0"/>
      <w:marTop w:val="0"/>
      <w:marBottom w:val="0"/>
      <w:divBdr>
        <w:top w:val="none" w:sz="0" w:space="0" w:color="auto"/>
        <w:left w:val="none" w:sz="0" w:space="0" w:color="auto"/>
        <w:bottom w:val="none" w:sz="0" w:space="0" w:color="auto"/>
        <w:right w:val="none" w:sz="0" w:space="0" w:color="auto"/>
      </w:divBdr>
    </w:div>
    <w:div w:id="2021354369">
      <w:bodyDiv w:val="1"/>
      <w:marLeft w:val="0"/>
      <w:marRight w:val="0"/>
      <w:marTop w:val="0"/>
      <w:marBottom w:val="0"/>
      <w:divBdr>
        <w:top w:val="none" w:sz="0" w:space="0" w:color="auto"/>
        <w:left w:val="none" w:sz="0" w:space="0" w:color="auto"/>
        <w:bottom w:val="none" w:sz="0" w:space="0" w:color="auto"/>
        <w:right w:val="none" w:sz="0" w:space="0" w:color="auto"/>
      </w:divBdr>
    </w:div>
    <w:div w:id="2080396362">
      <w:bodyDiv w:val="1"/>
      <w:marLeft w:val="0"/>
      <w:marRight w:val="0"/>
      <w:marTop w:val="0"/>
      <w:marBottom w:val="0"/>
      <w:divBdr>
        <w:top w:val="none" w:sz="0" w:space="0" w:color="auto"/>
        <w:left w:val="none" w:sz="0" w:space="0" w:color="auto"/>
        <w:bottom w:val="none" w:sz="0" w:space="0" w:color="auto"/>
        <w:right w:val="none" w:sz="0" w:space="0" w:color="auto"/>
      </w:divBdr>
    </w:div>
    <w:div w:id="2088114412">
      <w:bodyDiv w:val="1"/>
      <w:marLeft w:val="0"/>
      <w:marRight w:val="0"/>
      <w:marTop w:val="0"/>
      <w:marBottom w:val="0"/>
      <w:divBdr>
        <w:top w:val="none" w:sz="0" w:space="0" w:color="auto"/>
        <w:left w:val="none" w:sz="0" w:space="0" w:color="auto"/>
        <w:bottom w:val="none" w:sz="0" w:space="0" w:color="auto"/>
        <w:right w:val="none" w:sz="0" w:space="0" w:color="auto"/>
      </w:divBdr>
    </w:div>
    <w:div w:id="2105761696">
      <w:bodyDiv w:val="1"/>
      <w:marLeft w:val="0"/>
      <w:marRight w:val="0"/>
      <w:marTop w:val="0"/>
      <w:marBottom w:val="0"/>
      <w:divBdr>
        <w:top w:val="none" w:sz="0" w:space="0" w:color="auto"/>
        <w:left w:val="none" w:sz="0" w:space="0" w:color="auto"/>
        <w:bottom w:val="none" w:sz="0" w:space="0" w:color="auto"/>
        <w:right w:val="none" w:sz="0" w:space="0" w:color="auto"/>
      </w:divBdr>
    </w:div>
    <w:div w:id="2115831197">
      <w:bodyDiv w:val="1"/>
      <w:marLeft w:val="0"/>
      <w:marRight w:val="0"/>
      <w:marTop w:val="0"/>
      <w:marBottom w:val="0"/>
      <w:divBdr>
        <w:top w:val="none" w:sz="0" w:space="0" w:color="auto"/>
        <w:left w:val="none" w:sz="0" w:space="0" w:color="auto"/>
        <w:bottom w:val="none" w:sz="0" w:space="0" w:color="auto"/>
        <w:right w:val="none" w:sz="0" w:space="0" w:color="auto"/>
      </w:divBdr>
    </w:div>
    <w:div w:id="2119833655">
      <w:bodyDiv w:val="1"/>
      <w:marLeft w:val="0"/>
      <w:marRight w:val="0"/>
      <w:marTop w:val="0"/>
      <w:marBottom w:val="0"/>
      <w:divBdr>
        <w:top w:val="none" w:sz="0" w:space="0" w:color="auto"/>
        <w:left w:val="none" w:sz="0" w:space="0" w:color="auto"/>
        <w:bottom w:val="none" w:sz="0" w:space="0" w:color="auto"/>
        <w:right w:val="none" w:sz="0" w:space="0" w:color="auto"/>
      </w:divBdr>
    </w:div>
    <w:div w:id="2122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96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6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4199-valsts-aizdevumu-izsniegsanas-un-apkalposanas-kartiba" TargetMode="External"/><Relationship Id="rId4" Type="http://schemas.openxmlformats.org/officeDocument/2006/relationships/settings" Target="settings.xml"/><Relationship Id="rId9" Type="http://schemas.openxmlformats.org/officeDocument/2006/relationships/hyperlink" Target="https://likumi.lv/ta/id/249097-kartiba-kada-ministrijas-un-citas-centralas-valsts-iestades-ieklauj-gadskarteja-valsts-budzeta-likumprojekta-valsts-aizdevumu-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62007-noteikumi-par-elektroenergijas-razosanu-izmantojot-atjaunojamos-energoresur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7370-906A-4E4C-8B4E-245A1FBA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31</Pages>
  <Words>60340</Words>
  <Characters>34395</Characters>
  <Application>Microsoft Office Word</Application>
  <DocSecurity>0</DocSecurity>
  <Lines>286</Lines>
  <Paragraphs>189</Paragraphs>
  <ScaleCrop>false</ScaleCrop>
  <HeadingPairs>
    <vt:vector size="2" baseType="variant">
      <vt:variant>
        <vt:lpstr>Title</vt:lpstr>
      </vt:variant>
      <vt:variant>
        <vt:i4>1</vt:i4>
      </vt:variant>
    </vt:vector>
  </HeadingPairs>
  <TitlesOfParts>
    <vt:vector size="1" baseType="lpstr">
      <vt:lpstr>Fiskālo risku deklarācija</vt:lpstr>
    </vt:vector>
  </TitlesOfParts>
  <Company>Finanšu ministrija</Company>
  <LinksUpToDate>false</LinksUpToDate>
  <CharactersWithSpaces>94546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Fiskālo risku deklarācija</dc:title>
  <dc:subject>Informatīvais ziņojums</dc:subject>
  <dc:creator>Elīna Gusāre</dc:creator>
  <cp:keywords/>
  <dc:description>Elina.Gusare@fm.gov.lv, 67083911</dc:description>
  <cp:lastModifiedBy>Elīna Gusāre</cp:lastModifiedBy>
  <cp:revision>180</cp:revision>
  <cp:lastPrinted>2019-01-21T13:06:00Z</cp:lastPrinted>
  <dcterms:created xsi:type="dcterms:W3CDTF">2018-11-05T09:21:00Z</dcterms:created>
  <dcterms:modified xsi:type="dcterms:W3CDTF">2019-02-01T07:04:00Z</dcterms:modified>
</cp:coreProperties>
</file>