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EE" w:rsidRPr="00712B66" w:rsidRDefault="001C34EE" w:rsidP="001C34EE">
      <w:pPr>
        <w:pStyle w:val="naisnod"/>
        <w:spacing w:before="0" w:after="0"/>
        <w:ind w:firstLine="720"/>
        <w:rPr>
          <w:sz w:val="28"/>
          <w:szCs w:val="28"/>
        </w:rPr>
      </w:pPr>
      <w:r w:rsidRPr="00712B66">
        <w:rPr>
          <w:sz w:val="28"/>
          <w:szCs w:val="28"/>
        </w:rPr>
        <w:t>Izziņa par atzinumos sniegtajiem iebildumiem</w:t>
      </w:r>
    </w:p>
    <w:p w:rsidR="001C34EE" w:rsidRPr="008A36C9" w:rsidRDefault="001C34EE" w:rsidP="001C34EE">
      <w:pPr>
        <w:pStyle w:val="naisf"/>
        <w:spacing w:before="0" w:after="0"/>
        <w:ind w:firstLine="720"/>
      </w:pPr>
    </w:p>
    <w:tbl>
      <w:tblPr>
        <w:tblW w:w="0" w:type="auto"/>
        <w:jc w:val="center"/>
        <w:tblLook w:val="00A0" w:firstRow="1" w:lastRow="0" w:firstColumn="1" w:lastColumn="0" w:noHBand="0" w:noVBand="0"/>
      </w:tblPr>
      <w:tblGrid>
        <w:gridCol w:w="10188"/>
      </w:tblGrid>
      <w:tr w:rsidR="001C34EE" w:rsidRPr="00712B66" w:rsidTr="00B23D8B">
        <w:trPr>
          <w:jc w:val="center"/>
        </w:trPr>
        <w:tc>
          <w:tcPr>
            <w:tcW w:w="10188" w:type="dxa"/>
            <w:tcBorders>
              <w:bottom w:val="single" w:sz="6" w:space="0" w:color="000000"/>
            </w:tcBorders>
          </w:tcPr>
          <w:p w:rsidR="00C660BC" w:rsidRPr="00C660BC" w:rsidRDefault="00C660BC" w:rsidP="00C660BC">
            <w:pPr>
              <w:jc w:val="center"/>
              <w:rPr>
                <w:bCs/>
              </w:rPr>
            </w:pPr>
            <w:r w:rsidRPr="00C660BC">
              <w:rPr>
                <w:bCs/>
              </w:rPr>
              <w:t>Grozījumi Ministru kabineta 2017. gada 3. 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w:t>
            </w:r>
          </w:p>
          <w:p w:rsidR="001C34EE" w:rsidRPr="00712B66" w:rsidRDefault="001C34EE" w:rsidP="007D28EF">
            <w:pPr>
              <w:ind w:firstLine="720"/>
              <w:jc w:val="center"/>
            </w:pPr>
          </w:p>
        </w:tc>
      </w:tr>
    </w:tbl>
    <w:p w:rsidR="001C34EE" w:rsidRPr="00712B66" w:rsidRDefault="001C34EE" w:rsidP="001C34EE">
      <w:pPr>
        <w:pStyle w:val="naisc"/>
        <w:spacing w:before="0" w:after="0"/>
        <w:ind w:firstLine="1080"/>
      </w:pPr>
      <w:r w:rsidRPr="00712B66">
        <w:t>(dokumenta veids un nosaukums)</w:t>
      </w:r>
    </w:p>
    <w:p w:rsidR="001C34EE" w:rsidRPr="00712B66" w:rsidRDefault="001C34EE" w:rsidP="001C34EE">
      <w:pPr>
        <w:pStyle w:val="naisf"/>
        <w:spacing w:before="0" w:after="0"/>
        <w:ind w:firstLine="720"/>
      </w:pPr>
    </w:p>
    <w:p w:rsidR="001C34EE" w:rsidRPr="00712B66" w:rsidRDefault="001C34EE" w:rsidP="001C34EE">
      <w:pPr>
        <w:pStyle w:val="naisf"/>
        <w:spacing w:before="0" w:after="0"/>
        <w:ind w:firstLine="0"/>
        <w:jc w:val="center"/>
        <w:rPr>
          <w:b/>
        </w:rPr>
      </w:pPr>
      <w:r w:rsidRPr="00712B66">
        <w:rPr>
          <w:b/>
        </w:rPr>
        <w:t>I. Jautājumi, par kuriem saskaņošanā vienošanās nav panākta</w:t>
      </w:r>
    </w:p>
    <w:p w:rsidR="001C34EE" w:rsidRPr="00712B66" w:rsidRDefault="001C34EE" w:rsidP="001C34EE">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27"/>
        <w:gridCol w:w="3969"/>
        <w:gridCol w:w="4110"/>
        <w:gridCol w:w="2268"/>
        <w:gridCol w:w="1686"/>
      </w:tblGrid>
      <w:tr w:rsidR="001C34EE" w:rsidRPr="00712B66" w:rsidTr="006C2EF7">
        <w:tc>
          <w:tcPr>
            <w:tcW w:w="708"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pPr>
            <w:r w:rsidRPr="00712B66">
              <w:t>Nr. p.</w:t>
            </w:r>
            <w:r>
              <w:t> </w:t>
            </w:r>
            <w:r w:rsidRPr="00712B66">
              <w:t>k.</w:t>
            </w:r>
          </w:p>
        </w:tc>
        <w:tc>
          <w:tcPr>
            <w:tcW w:w="1527"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firstLine="12"/>
            </w:pPr>
            <w:r w:rsidRPr="00712B66">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firstLine="21"/>
            </w:pPr>
            <w:r w:rsidRPr="00712B66">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1C34EE" w:rsidRPr="00712B66" w:rsidRDefault="001C34EE" w:rsidP="00B23D8B">
            <w:pPr>
              <w:jc w:val="center"/>
            </w:pPr>
            <w:r w:rsidRPr="00712B66">
              <w:t>Atzinuma sniedzēja uzturētais iebildums, ja tas atšķiras no atzinumā norādītā iebilduma pamatojuma</w:t>
            </w:r>
          </w:p>
        </w:tc>
        <w:tc>
          <w:tcPr>
            <w:tcW w:w="1686" w:type="dxa"/>
            <w:tcBorders>
              <w:top w:val="single" w:sz="4" w:space="0" w:color="auto"/>
              <w:left w:val="single" w:sz="4" w:space="0" w:color="auto"/>
              <w:bottom w:val="single" w:sz="4" w:space="0" w:color="auto"/>
            </w:tcBorders>
            <w:vAlign w:val="center"/>
          </w:tcPr>
          <w:p w:rsidR="001C34EE" w:rsidRPr="00712B66" w:rsidRDefault="001C34EE" w:rsidP="00B23D8B">
            <w:pPr>
              <w:jc w:val="center"/>
            </w:pPr>
            <w:r w:rsidRPr="00712B66">
              <w:t>Projekta attiecīgā punkta (panta) galīgā redakcija</w:t>
            </w:r>
          </w:p>
        </w:tc>
      </w:tr>
      <w:tr w:rsidR="000F3630" w:rsidRPr="00712B66" w:rsidTr="006C2EF7">
        <w:tc>
          <w:tcPr>
            <w:tcW w:w="708" w:type="dxa"/>
            <w:tcBorders>
              <w:top w:val="single" w:sz="6" w:space="0" w:color="000000"/>
              <w:left w:val="single" w:sz="6" w:space="0" w:color="000000"/>
              <w:bottom w:val="single" w:sz="6" w:space="0" w:color="000000"/>
              <w:right w:val="single" w:sz="6" w:space="0" w:color="000000"/>
            </w:tcBorders>
            <w:vAlign w:val="center"/>
          </w:tcPr>
          <w:p w:rsidR="000F3630" w:rsidRPr="00712B66" w:rsidRDefault="000F3630" w:rsidP="00B23D8B">
            <w:pPr>
              <w:pStyle w:val="naisc"/>
              <w:spacing w:before="0" w:after="0"/>
            </w:pPr>
          </w:p>
        </w:tc>
        <w:tc>
          <w:tcPr>
            <w:tcW w:w="1527" w:type="dxa"/>
            <w:tcBorders>
              <w:top w:val="single" w:sz="6" w:space="0" w:color="000000"/>
              <w:left w:val="single" w:sz="6" w:space="0" w:color="000000"/>
              <w:bottom w:val="single" w:sz="6" w:space="0" w:color="000000"/>
              <w:right w:val="single" w:sz="6" w:space="0" w:color="000000"/>
            </w:tcBorders>
            <w:vAlign w:val="center"/>
          </w:tcPr>
          <w:p w:rsidR="000F3630" w:rsidRPr="00712B66" w:rsidRDefault="000F3630" w:rsidP="00B23D8B">
            <w:pPr>
              <w:pStyle w:val="naisc"/>
              <w:spacing w:before="0" w:after="0"/>
              <w:ind w:firstLine="12"/>
            </w:pPr>
          </w:p>
        </w:tc>
        <w:tc>
          <w:tcPr>
            <w:tcW w:w="3969" w:type="dxa"/>
            <w:tcBorders>
              <w:top w:val="single" w:sz="6" w:space="0" w:color="000000"/>
              <w:left w:val="single" w:sz="6" w:space="0" w:color="000000"/>
              <w:bottom w:val="single" w:sz="6" w:space="0" w:color="000000"/>
              <w:right w:val="single" w:sz="6" w:space="0" w:color="000000"/>
            </w:tcBorders>
            <w:vAlign w:val="center"/>
          </w:tcPr>
          <w:p w:rsidR="000F3630" w:rsidRPr="00712B66" w:rsidRDefault="000F3630" w:rsidP="00B23D8B">
            <w:pPr>
              <w:pStyle w:val="naisc"/>
              <w:spacing w:before="0" w:after="0"/>
              <w:ind w:right="3"/>
            </w:pPr>
          </w:p>
        </w:tc>
        <w:tc>
          <w:tcPr>
            <w:tcW w:w="4110" w:type="dxa"/>
            <w:tcBorders>
              <w:top w:val="single" w:sz="6" w:space="0" w:color="000000"/>
              <w:left w:val="single" w:sz="6" w:space="0" w:color="000000"/>
              <w:bottom w:val="single" w:sz="6" w:space="0" w:color="000000"/>
              <w:right w:val="single" w:sz="6" w:space="0" w:color="000000"/>
            </w:tcBorders>
            <w:vAlign w:val="center"/>
          </w:tcPr>
          <w:p w:rsidR="000F3630" w:rsidRPr="00712B66" w:rsidRDefault="000F3630" w:rsidP="00B23D8B">
            <w:pPr>
              <w:pStyle w:val="naisc"/>
              <w:spacing w:before="0" w:after="0"/>
              <w:ind w:firstLine="21"/>
            </w:pPr>
          </w:p>
        </w:tc>
        <w:tc>
          <w:tcPr>
            <w:tcW w:w="2268" w:type="dxa"/>
            <w:tcBorders>
              <w:top w:val="single" w:sz="4" w:space="0" w:color="auto"/>
              <w:left w:val="single" w:sz="4" w:space="0" w:color="auto"/>
              <w:bottom w:val="single" w:sz="4" w:space="0" w:color="auto"/>
              <w:right w:val="single" w:sz="4" w:space="0" w:color="auto"/>
            </w:tcBorders>
            <w:vAlign w:val="center"/>
          </w:tcPr>
          <w:p w:rsidR="000F3630" w:rsidRPr="00712B66" w:rsidRDefault="000F3630" w:rsidP="00B23D8B">
            <w:pPr>
              <w:jc w:val="center"/>
            </w:pPr>
          </w:p>
        </w:tc>
        <w:tc>
          <w:tcPr>
            <w:tcW w:w="1686" w:type="dxa"/>
            <w:tcBorders>
              <w:top w:val="single" w:sz="4" w:space="0" w:color="auto"/>
              <w:left w:val="single" w:sz="4" w:space="0" w:color="auto"/>
              <w:bottom w:val="single" w:sz="4" w:space="0" w:color="auto"/>
            </w:tcBorders>
            <w:vAlign w:val="center"/>
          </w:tcPr>
          <w:p w:rsidR="000F3630" w:rsidRPr="00712B66" w:rsidRDefault="000F3630" w:rsidP="00B23D8B">
            <w:pPr>
              <w:jc w:val="center"/>
            </w:pPr>
          </w:p>
        </w:tc>
      </w:tr>
    </w:tbl>
    <w:p w:rsidR="001C34EE" w:rsidRPr="00712B66" w:rsidRDefault="001C34EE" w:rsidP="001C34EE">
      <w:pPr>
        <w:pStyle w:val="naisf"/>
        <w:spacing w:before="0" w:after="0"/>
        <w:ind w:firstLine="0"/>
      </w:pPr>
    </w:p>
    <w:p w:rsidR="001C34EE" w:rsidRPr="00712B66" w:rsidRDefault="001C34EE" w:rsidP="001C34EE">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1C34EE" w:rsidRPr="00712B66" w:rsidRDefault="001C34EE" w:rsidP="001C34EE">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1C34EE" w:rsidRPr="00712B66" w:rsidTr="00B23D8B">
        <w:tc>
          <w:tcPr>
            <w:tcW w:w="6345" w:type="dxa"/>
          </w:tcPr>
          <w:p w:rsidR="001C34EE" w:rsidRPr="00712B66" w:rsidRDefault="001C34EE" w:rsidP="00B23D8B">
            <w:pPr>
              <w:pStyle w:val="naisf"/>
              <w:spacing w:before="0" w:after="0"/>
              <w:ind w:firstLine="0"/>
            </w:pPr>
            <w:r w:rsidRPr="00712B66">
              <w:t>Datums</w:t>
            </w:r>
          </w:p>
        </w:tc>
        <w:tc>
          <w:tcPr>
            <w:tcW w:w="6237" w:type="dxa"/>
            <w:gridSpan w:val="2"/>
            <w:tcBorders>
              <w:bottom w:val="single" w:sz="4" w:space="0" w:color="auto"/>
            </w:tcBorders>
          </w:tcPr>
          <w:p w:rsidR="00F65EBC" w:rsidRPr="00712B66" w:rsidRDefault="00C660BC" w:rsidP="00B23D8B">
            <w:pPr>
              <w:pStyle w:val="NormalWeb"/>
              <w:spacing w:before="0" w:beforeAutospacing="0" w:after="0" w:afterAutospacing="0"/>
              <w:ind w:firstLine="720"/>
            </w:pPr>
            <w:r>
              <w:t>1</w:t>
            </w:r>
            <w:r w:rsidR="00B349E9">
              <w:t>8</w:t>
            </w:r>
            <w:r>
              <w:t>.09.2020.</w:t>
            </w:r>
            <w:r w:rsidR="00EA671C">
              <w:t>, 28.09.2020.</w:t>
            </w:r>
          </w:p>
        </w:tc>
      </w:tr>
      <w:tr w:rsidR="001C34EE" w:rsidRPr="00712B66" w:rsidTr="00B23D8B">
        <w:tc>
          <w:tcPr>
            <w:tcW w:w="6345" w:type="dxa"/>
          </w:tcPr>
          <w:p w:rsidR="001C34EE" w:rsidRPr="00712B66" w:rsidRDefault="001C34EE" w:rsidP="00B23D8B">
            <w:pPr>
              <w:pStyle w:val="naisf"/>
              <w:spacing w:before="0" w:after="0"/>
              <w:ind w:firstLine="0"/>
            </w:pPr>
          </w:p>
        </w:tc>
        <w:tc>
          <w:tcPr>
            <w:tcW w:w="6237" w:type="dxa"/>
            <w:gridSpan w:val="2"/>
            <w:tcBorders>
              <w:top w:val="single" w:sz="4" w:space="0" w:color="auto"/>
            </w:tcBorders>
          </w:tcPr>
          <w:p w:rsidR="001C34EE" w:rsidRPr="00712B66" w:rsidRDefault="001C34EE" w:rsidP="00B23D8B">
            <w:pPr>
              <w:pStyle w:val="NormalWeb"/>
              <w:spacing w:before="0" w:beforeAutospacing="0" w:after="0" w:afterAutospacing="0"/>
              <w:ind w:firstLine="720"/>
            </w:pPr>
          </w:p>
        </w:tc>
      </w:tr>
      <w:tr w:rsidR="001C34EE" w:rsidRPr="00712B66" w:rsidTr="00B23D8B">
        <w:tc>
          <w:tcPr>
            <w:tcW w:w="6345" w:type="dxa"/>
          </w:tcPr>
          <w:p w:rsidR="001C34EE" w:rsidRPr="00712B66" w:rsidRDefault="001C34EE" w:rsidP="00B23D8B">
            <w:pPr>
              <w:pStyle w:val="naiskr"/>
              <w:spacing w:before="0" w:after="0"/>
            </w:pPr>
            <w:r>
              <w:t>Saskaņošanas d</w:t>
            </w:r>
            <w:r w:rsidRPr="00712B66">
              <w:t>alībnieki</w:t>
            </w:r>
          </w:p>
        </w:tc>
        <w:tc>
          <w:tcPr>
            <w:tcW w:w="6237" w:type="dxa"/>
            <w:gridSpan w:val="2"/>
          </w:tcPr>
          <w:p w:rsidR="001C34EE" w:rsidRPr="00712B66" w:rsidRDefault="001C34EE" w:rsidP="00B23D8B">
            <w:pPr>
              <w:pStyle w:val="NormalWeb"/>
              <w:spacing w:before="0" w:beforeAutospacing="0" w:after="0" w:afterAutospacing="0"/>
              <w:jc w:val="both"/>
            </w:pPr>
            <w:r w:rsidRPr="0007649E">
              <w:t>Tieslietu ministrija</w:t>
            </w:r>
            <w:r>
              <w:t>,</w:t>
            </w:r>
            <w:r w:rsidR="00895BC9">
              <w:t xml:space="preserve"> Finanšu ministrija, </w:t>
            </w:r>
            <w:r w:rsidR="00C660BC">
              <w:t xml:space="preserve">Ārlietu ministrija, </w:t>
            </w:r>
            <w:r w:rsidR="00895BC9">
              <w:t>Aizsardzības ministrija,</w:t>
            </w:r>
            <w:r>
              <w:t xml:space="preserve"> Satversmes aizsardzības birojs, Valsts drošības dienests, Militārās izlūkošanas un drošības dienests</w:t>
            </w:r>
          </w:p>
        </w:tc>
      </w:tr>
      <w:tr w:rsidR="001C34EE" w:rsidRPr="00712B66" w:rsidTr="00B23D8B">
        <w:trPr>
          <w:trHeight w:val="285"/>
        </w:trPr>
        <w:tc>
          <w:tcPr>
            <w:tcW w:w="6345" w:type="dxa"/>
          </w:tcPr>
          <w:p w:rsidR="001C34EE" w:rsidRPr="00712B66" w:rsidRDefault="001C34EE" w:rsidP="00B23D8B">
            <w:pPr>
              <w:pStyle w:val="naiskr"/>
              <w:spacing w:before="0" w:after="0"/>
            </w:pPr>
          </w:p>
        </w:tc>
        <w:tc>
          <w:tcPr>
            <w:tcW w:w="1203" w:type="dxa"/>
          </w:tcPr>
          <w:p w:rsidR="001C34EE" w:rsidRPr="00712B66" w:rsidRDefault="001C34EE" w:rsidP="00B23D8B">
            <w:pPr>
              <w:pStyle w:val="naiskr"/>
              <w:spacing w:before="0" w:after="0"/>
              <w:ind w:firstLine="720"/>
            </w:pPr>
          </w:p>
        </w:tc>
        <w:tc>
          <w:tcPr>
            <w:tcW w:w="5034" w:type="dxa"/>
          </w:tcPr>
          <w:p w:rsidR="001C34EE" w:rsidRPr="00712B66" w:rsidRDefault="001C34EE" w:rsidP="00B23D8B">
            <w:pPr>
              <w:pStyle w:val="naiskr"/>
              <w:spacing w:before="0" w:after="0"/>
              <w:ind w:firstLine="12"/>
            </w:pPr>
          </w:p>
        </w:tc>
      </w:tr>
    </w:tbl>
    <w:p w:rsidR="001C34EE" w:rsidRDefault="001C34EE" w:rsidP="001C34EE"/>
    <w:tbl>
      <w:tblPr>
        <w:tblW w:w="12582" w:type="dxa"/>
        <w:tblLook w:val="00A0" w:firstRow="1" w:lastRow="0" w:firstColumn="1" w:lastColumn="0" w:noHBand="0" w:noVBand="0"/>
      </w:tblPr>
      <w:tblGrid>
        <w:gridCol w:w="6708"/>
        <w:gridCol w:w="840"/>
        <w:gridCol w:w="5034"/>
      </w:tblGrid>
      <w:tr w:rsidR="001C34EE" w:rsidRPr="00712B66" w:rsidTr="00B23D8B">
        <w:trPr>
          <w:trHeight w:val="285"/>
        </w:trPr>
        <w:tc>
          <w:tcPr>
            <w:tcW w:w="6708" w:type="dxa"/>
          </w:tcPr>
          <w:p w:rsidR="001C34EE" w:rsidRPr="00712B66" w:rsidRDefault="001C34EE" w:rsidP="00B23D8B">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001C34EE" w:rsidRPr="00712B66" w:rsidRDefault="001C34EE" w:rsidP="00B23D8B">
            <w:pPr>
              <w:pStyle w:val="naiskr"/>
              <w:spacing w:before="0" w:after="0"/>
              <w:ind w:firstLine="720"/>
            </w:pPr>
          </w:p>
        </w:tc>
        <w:tc>
          <w:tcPr>
            <w:tcW w:w="5034" w:type="dxa"/>
          </w:tcPr>
          <w:p w:rsidR="001C34EE" w:rsidRPr="00712B66" w:rsidRDefault="001C34EE" w:rsidP="00B23D8B">
            <w:pPr>
              <w:pStyle w:val="naiskr"/>
              <w:spacing w:before="0" w:after="0"/>
              <w:ind w:firstLine="12"/>
            </w:pPr>
            <w:r w:rsidRPr="00B56439">
              <w:t>Tieslietu ministrijas</w:t>
            </w:r>
            <w:r w:rsidR="00C660BC" w:rsidRPr="00B56439">
              <w:t xml:space="preserve">, </w:t>
            </w:r>
            <w:r w:rsidR="00B56439" w:rsidRPr="00B56439">
              <w:t xml:space="preserve">Finanšu ministrijas, </w:t>
            </w:r>
            <w:r w:rsidR="00B349E9">
              <w:t xml:space="preserve">Ārlietu ministrijas, </w:t>
            </w:r>
            <w:r w:rsidR="00C660BC" w:rsidRPr="00B56439">
              <w:t>Satversmes aizsardzības biroja</w:t>
            </w:r>
            <w:r w:rsidR="00B56439" w:rsidRPr="00B56439">
              <w:t xml:space="preserve">, </w:t>
            </w:r>
            <w:r w:rsidR="00C660BC" w:rsidRPr="00B56439">
              <w:t xml:space="preserve">Valsts </w:t>
            </w:r>
            <w:r w:rsidR="00C660BC" w:rsidRPr="00B56439">
              <w:lastRenderedPageBreak/>
              <w:t>drošības dienesta</w:t>
            </w:r>
            <w:r w:rsidR="00B56439" w:rsidRPr="00B56439">
              <w:t xml:space="preserve"> un Militārās izlūkošanas un drošības dienesta</w:t>
            </w:r>
          </w:p>
        </w:tc>
      </w:tr>
      <w:tr w:rsidR="001C34EE" w:rsidRPr="00712B66" w:rsidTr="00B23D8B">
        <w:trPr>
          <w:trHeight w:val="465"/>
        </w:trPr>
        <w:tc>
          <w:tcPr>
            <w:tcW w:w="6708" w:type="dxa"/>
          </w:tcPr>
          <w:p w:rsidR="001C34EE" w:rsidRPr="00712B66" w:rsidRDefault="001C34EE" w:rsidP="00B23D8B">
            <w:pPr>
              <w:pStyle w:val="naiskr"/>
              <w:spacing w:before="0" w:after="0"/>
              <w:ind w:firstLine="720"/>
            </w:pPr>
            <w:r w:rsidRPr="00712B66">
              <w:lastRenderedPageBreak/>
              <w:t>  </w:t>
            </w:r>
          </w:p>
        </w:tc>
        <w:tc>
          <w:tcPr>
            <w:tcW w:w="5874" w:type="dxa"/>
            <w:gridSpan w:val="2"/>
            <w:tcBorders>
              <w:top w:val="single" w:sz="6" w:space="0" w:color="000000"/>
              <w:bottom w:val="single" w:sz="6" w:space="0" w:color="000000"/>
            </w:tcBorders>
          </w:tcPr>
          <w:p w:rsidR="001C34EE" w:rsidRPr="00712B66" w:rsidRDefault="001C34EE" w:rsidP="00B23D8B">
            <w:pPr>
              <w:pStyle w:val="NormalWeb"/>
              <w:spacing w:before="0" w:beforeAutospacing="0" w:after="0" w:afterAutospacing="0"/>
              <w:ind w:firstLine="720"/>
            </w:pPr>
          </w:p>
        </w:tc>
      </w:tr>
      <w:tr w:rsidR="001C34EE" w:rsidRPr="00712B66" w:rsidTr="00B23D8B">
        <w:trPr>
          <w:trHeight w:val="465"/>
        </w:trPr>
        <w:tc>
          <w:tcPr>
            <w:tcW w:w="12582" w:type="dxa"/>
            <w:gridSpan w:val="3"/>
          </w:tcPr>
          <w:p w:rsidR="001C34EE" w:rsidRPr="00712B66" w:rsidRDefault="001C34EE" w:rsidP="00B23D8B">
            <w:pPr>
              <w:pStyle w:val="naisc"/>
              <w:spacing w:before="0" w:after="0"/>
              <w:ind w:left="4820" w:firstLine="720"/>
            </w:pPr>
          </w:p>
        </w:tc>
      </w:tr>
      <w:tr w:rsidR="001C34EE" w:rsidRPr="00712B66" w:rsidTr="00B23D8B">
        <w:tc>
          <w:tcPr>
            <w:tcW w:w="6708" w:type="dxa"/>
          </w:tcPr>
          <w:p w:rsidR="001C34EE" w:rsidRPr="00712B66" w:rsidRDefault="001C34EE" w:rsidP="00B23D8B">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1C34EE" w:rsidRPr="00712B66" w:rsidRDefault="001C34EE" w:rsidP="00B23D8B">
            <w:pPr>
              <w:pStyle w:val="naiskr"/>
              <w:spacing w:before="0" w:after="0"/>
              <w:ind w:firstLine="720"/>
            </w:pPr>
          </w:p>
        </w:tc>
      </w:tr>
      <w:tr w:rsidR="001C34EE" w:rsidRPr="00712B66" w:rsidTr="00B23D8B">
        <w:tc>
          <w:tcPr>
            <w:tcW w:w="6708" w:type="dxa"/>
          </w:tcPr>
          <w:p w:rsidR="001C34EE" w:rsidRPr="00712B66" w:rsidRDefault="001C34EE" w:rsidP="00B23D8B">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1C34EE" w:rsidRPr="00712B66" w:rsidRDefault="001C34EE" w:rsidP="00B23D8B">
            <w:pPr>
              <w:pStyle w:val="naiskr"/>
              <w:spacing w:before="0" w:after="0"/>
              <w:ind w:firstLine="720"/>
            </w:pPr>
          </w:p>
        </w:tc>
      </w:tr>
      <w:tr w:rsidR="001C34EE" w:rsidRPr="00712B66" w:rsidTr="00B23D8B">
        <w:tc>
          <w:tcPr>
            <w:tcW w:w="6708" w:type="dxa"/>
          </w:tcPr>
          <w:p w:rsidR="001C34EE" w:rsidRPr="00712B66" w:rsidRDefault="001C34EE" w:rsidP="00B23D8B">
            <w:pPr>
              <w:pStyle w:val="naiskr"/>
              <w:spacing w:before="0" w:after="0"/>
              <w:ind w:firstLine="720"/>
            </w:pPr>
            <w:r w:rsidRPr="00712B66">
              <w:t>  </w:t>
            </w:r>
          </w:p>
        </w:tc>
        <w:tc>
          <w:tcPr>
            <w:tcW w:w="5874" w:type="dxa"/>
            <w:gridSpan w:val="2"/>
            <w:tcBorders>
              <w:bottom w:val="single" w:sz="6" w:space="0" w:color="000000"/>
            </w:tcBorders>
          </w:tcPr>
          <w:p w:rsidR="001C34EE" w:rsidRPr="00712B66" w:rsidRDefault="001C34EE" w:rsidP="00B23D8B">
            <w:pPr>
              <w:pStyle w:val="naiskr"/>
              <w:spacing w:before="0" w:after="0"/>
              <w:ind w:firstLine="720"/>
            </w:pPr>
          </w:p>
        </w:tc>
      </w:tr>
    </w:tbl>
    <w:p w:rsidR="001C34EE" w:rsidRPr="00712B66" w:rsidRDefault="001C34EE" w:rsidP="001C34EE">
      <w:pPr>
        <w:pStyle w:val="naisf"/>
        <w:spacing w:before="0" w:after="0"/>
        <w:ind w:firstLine="720"/>
      </w:pPr>
    </w:p>
    <w:p w:rsidR="001C34EE" w:rsidRPr="00712B66" w:rsidRDefault="001C34EE" w:rsidP="001C34EE">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001C34EE" w:rsidRPr="00712B66" w:rsidRDefault="001C34EE" w:rsidP="001C34EE">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1"/>
        <w:gridCol w:w="2268"/>
        <w:gridCol w:w="5212"/>
        <w:gridCol w:w="1107"/>
        <w:gridCol w:w="2753"/>
        <w:gridCol w:w="2409"/>
      </w:tblGrid>
      <w:tr w:rsidR="001C34EE" w:rsidRPr="00712B66" w:rsidTr="0097304D">
        <w:tc>
          <w:tcPr>
            <w:tcW w:w="1101"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pPr>
            <w:r w:rsidRPr="00712B66">
              <w:t>Nr. p.</w:t>
            </w:r>
            <w:r>
              <w:t> </w:t>
            </w:r>
            <w:r w:rsidRPr="00712B66">
              <w:t>k.</w:t>
            </w:r>
          </w:p>
        </w:tc>
        <w:tc>
          <w:tcPr>
            <w:tcW w:w="2268"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firstLine="12"/>
            </w:pPr>
            <w:r w:rsidRPr="00712B66">
              <w:t>Saskaņošanai nosūtītā projekta redakcija (konkrēta punkta (panta) redakcija)</w:t>
            </w:r>
          </w:p>
        </w:tc>
        <w:tc>
          <w:tcPr>
            <w:tcW w:w="5212" w:type="dxa"/>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right="3"/>
            </w:pPr>
            <w:r w:rsidRPr="00712B66">
              <w:t>Atzinumā norādītais ministrijas (citas institūcijas) iebildums, kā arī saskaņošanā papildus izteiktais iebildums par projekta konkrēto punktu (pantu)</w:t>
            </w:r>
          </w:p>
        </w:tc>
        <w:tc>
          <w:tcPr>
            <w:tcW w:w="3860" w:type="dxa"/>
            <w:gridSpan w:val="2"/>
            <w:tcBorders>
              <w:top w:val="single" w:sz="6" w:space="0" w:color="000000"/>
              <w:left w:val="single" w:sz="6" w:space="0" w:color="000000"/>
              <w:bottom w:val="single" w:sz="6" w:space="0" w:color="000000"/>
              <w:right w:val="single" w:sz="6" w:space="0" w:color="000000"/>
            </w:tcBorders>
            <w:vAlign w:val="center"/>
          </w:tcPr>
          <w:p w:rsidR="001C34EE" w:rsidRPr="00712B66" w:rsidRDefault="001C34EE" w:rsidP="00B23D8B">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409" w:type="dxa"/>
            <w:tcBorders>
              <w:top w:val="single" w:sz="4" w:space="0" w:color="auto"/>
              <w:left w:val="single" w:sz="4" w:space="0" w:color="auto"/>
              <w:bottom w:val="single" w:sz="4" w:space="0" w:color="auto"/>
            </w:tcBorders>
            <w:vAlign w:val="center"/>
          </w:tcPr>
          <w:p w:rsidR="001C34EE" w:rsidRPr="00712B66" w:rsidRDefault="001C34EE" w:rsidP="00B23D8B">
            <w:pPr>
              <w:jc w:val="center"/>
            </w:pPr>
            <w:r w:rsidRPr="00712B66">
              <w:t>Projekta attiecīgā punkta (panta) galīgā redakcija</w:t>
            </w:r>
          </w:p>
        </w:tc>
      </w:tr>
      <w:tr w:rsidR="001C34EE" w:rsidRPr="003B71E0" w:rsidTr="0097304D">
        <w:tc>
          <w:tcPr>
            <w:tcW w:w="1101" w:type="dxa"/>
            <w:tcBorders>
              <w:top w:val="single" w:sz="6" w:space="0" w:color="000000"/>
              <w:left w:val="single" w:sz="6" w:space="0" w:color="000000"/>
              <w:bottom w:val="single" w:sz="6" w:space="0" w:color="000000"/>
              <w:right w:val="single" w:sz="6" w:space="0" w:color="000000"/>
            </w:tcBorders>
          </w:tcPr>
          <w:p w:rsidR="001C34EE" w:rsidRPr="003B71E0" w:rsidRDefault="001C34EE" w:rsidP="00B23D8B">
            <w:pPr>
              <w:pStyle w:val="naisc"/>
              <w:spacing w:before="0" w:after="0"/>
              <w:rPr>
                <w:sz w:val="20"/>
                <w:szCs w:val="20"/>
              </w:rPr>
            </w:pPr>
            <w:r w:rsidRPr="003B71E0">
              <w:rPr>
                <w:sz w:val="20"/>
                <w:szCs w:val="20"/>
              </w:rPr>
              <w:t>1</w:t>
            </w:r>
          </w:p>
        </w:tc>
        <w:tc>
          <w:tcPr>
            <w:tcW w:w="2268" w:type="dxa"/>
            <w:tcBorders>
              <w:top w:val="single" w:sz="6" w:space="0" w:color="000000"/>
              <w:left w:val="single" w:sz="6" w:space="0" w:color="000000"/>
              <w:bottom w:val="single" w:sz="6" w:space="0" w:color="000000"/>
              <w:right w:val="single" w:sz="6" w:space="0" w:color="000000"/>
            </w:tcBorders>
          </w:tcPr>
          <w:p w:rsidR="001C34EE" w:rsidRPr="003B71E0" w:rsidRDefault="001C34EE" w:rsidP="00B23D8B">
            <w:pPr>
              <w:pStyle w:val="naisc"/>
              <w:spacing w:before="0" w:after="0"/>
              <w:ind w:firstLine="720"/>
              <w:rPr>
                <w:sz w:val="20"/>
                <w:szCs w:val="20"/>
              </w:rPr>
            </w:pPr>
            <w:r>
              <w:rPr>
                <w:sz w:val="20"/>
                <w:szCs w:val="20"/>
              </w:rPr>
              <w:t>2</w:t>
            </w:r>
          </w:p>
        </w:tc>
        <w:tc>
          <w:tcPr>
            <w:tcW w:w="5212" w:type="dxa"/>
            <w:tcBorders>
              <w:top w:val="single" w:sz="6" w:space="0" w:color="000000"/>
              <w:left w:val="single" w:sz="6" w:space="0" w:color="000000"/>
              <w:bottom w:val="single" w:sz="6" w:space="0" w:color="000000"/>
              <w:right w:val="single" w:sz="6" w:space="0" w:color="000000"/>
            </w:tcBorders>
          </w:tcPr>
          <w:p w:rsidR="001C34EE" w:rsidRPr="003B71E0" w:rsidRDefault="001C34EE" w:rsidP="00B23D8B">
            <w:pPr>
              <w:pStyle w:val="naisc"/>
              <w:spacing w:before="0" w:after="0"/>
              <w:ind w:firstLine="720"/>
              <w:rPr>
                <w:sz w:val="20"/>
                <w:szCs w:val="20"/>
              </w:rPr>
            </w:pPr>
            <w:r w:rsidRPr="003B71E0">
              <w:rPr>
                <w:sz w:val="20"/>
                <w:szCs w:val="20"/>
              </w:rPr>
              <w:t>3</w:t>
            </w:r>
          </w:p>
        </w:tc>
        <w:tc>
          <w:tcPr>
            <w:tcW w:w="3860" w:type="dxa"/>
            <w:gridSpan w:val="2"/>
            <w:tcBorders>
              <w:top w:val="single" w:sz="6" w:space="0" w:color="000000"/>
              <w:left w:val="single" w:sz="6" w:space="0" w:color="000000"/>
              <w:bottom w:val="single" w:sz="6" w:space="0" w:color="000000"/>
              <w:right w:val="single" w:sz="6" w:space="0" w:color="000000"/>
            </w:tcBorders>
          </w:tcPr>
          <w:p w:rsidR="001C34EE" w:rsidRPr="003B71E0" w:rsidRDefault="001C34EE" w:rsidP="00B23D8B">
            <w:pPr>
              <w:pStyle w:val="naisc"/>
              <w:spacing w:before="0" w:after="0"/>
              <w:ind w:firstLine="720"/>
              <w:rPr>
                <w:sz w:val="20"/>
                <w:szCs w:val="20"/>
              </w:rPr>
            </w:pPr>
            <w:r w:rsidRPr="003B71E0">
              <w:rPr>
                <w:sz w:val="20"/>
                <w:szCs w:val="20"/>
              </w:rPr>
              <w:t>4</w:t>
            </w:r>
          </w:p>
        </w:tc>
        <w:tc>
          <w:tcPr>
            <w:tcW w:w="2409" w:type="dxa"/>
            <w:tcBorders>
              <w:top w:val="single" w:sz="4" w:space="0" w:color="auto"/>
              <w:left w:val="single" w:sz="4" w:space="0" w:color="auto"/>
              <w:bottom w:val="single" w:sz="4" w:space="0" w:color="auto"/>
            </w:tcBorders>
          </w:tcPr>
          <w:p w:rsidR="001C34EE" w:rsidRPr="003B71E0" w:rsidRDefault="001C34EE" w:rsidP="00B23D8B">
            <w:pPr>
              <w:jc w:val="center"/>
              <w:rPr>
                <w:sz w:val="20"/>
                <w:szCs w:val="20"/>
              </w:rPr>
            </w:pPr>
            <w:r w:rsidRPr="003B71E0">
              <w:rPr>
                <w:sz w:val="20"/>
                <w:szCs w:val="20"/>
              </w:rPr>
              <w:t>5</w:t>
            </w:r>
          </w:p>
        </w:tc>
      </w:tr>
      <w:tr w:rsidR="001C34EE" w:rsidRPr="00712B66" w:rsidTr="0097304D">
        <w:tc>
          <w:tcPr>
            <w:tcW w:w="1101" w:type="dxa"/>
            <w:tcBorders>
              <w:left w:val="single" w:sz="6" w:space="0" w:color="000000"/>
              <w:bottom w:val="single" w:sz="4" w:space="0" w:color="auto"/>
              <w:right w:val="single" w:sz="6" w:space="0" w:color="000000"/>
            </w:tcBorders>
          </w:tcPr>
          <w:p w:rsidR="001C34EE" w:rsidRDefault="001C34EE" w:rsidP="00B23D8B">
            <w:pPr>
              <w:pStyle w:val="naisc"/>
              <w:spacing w:before="0" w:after="0"/>
              <w:ind w:firstLine="720"/>
            </w:pPr>
          </w:p>
          <w:p w:rsidR="007D28EF" w:rsidRDefault="007D28EF" w:rsidP="00351DBD"/>
          <w:p w:rsidR="00351DBD" w:rsidRDefault="00351DBD" w:rsidP="00351DBD"/>
          <w:p w:rsidR="00351DBD" w:rsidRDefault="00351DBD" w:rsidP="00351DBD"/>
          <w:p w:rsidR="001203D1" w:rsidRDefault="001203D1" w:rsidP="00351DBD"/>
          <w:p w:rsidR="00351DBD" w:rsidRPr="007D28EF" w:rsidRDefault="00351DBD" w:rsidP="00351DBD">
            <w:pPr>
              <w:numPr>
                <w:ilvl w:val="0"/>
                <w:numId w:val="12"/>
              </w:numPr>
            </w:pPr>
          </w:p>
        </w:tc>
        <w:tc>
          <w:tcPr>
            <w:tcW w:w="2268" w:type="dxa"/>
            <w:tcBorders>
              <w:left w:val="single" w:sz="6" w:space="0" w:color="000000"/>
              <w:bottom w:val="single" w:sz="4" w:space="0" w:color="auto"/>
              <w:right w:val="single" w:sz="6" w:space="0" w:color="000000"/>
            </w:tcBorders>
            <w:vAlign w:val="center"/>
          </w:tcPr>
          <w:p w:rsidR="000B56D8" w:rsidRPr="000B56D8" w:rsidRDefault="000B56D8" w:rsidP="00BD1446">
            <w:pPr>
              <w:pStyle w:val="naisc"/>
              <w:spacing w:before="0" w:after="0"/>
              <w:jc w:val="left"/>
            </w:pPr>
            <w:r>
              <w:t xml:space="preserve">Projekta 1.1. apakšpunkts: </w:t>
            </w:r>
          </w:p>
          <w:p w:rsidR="001C34EE" w:rsidRPr="00712B66" w:rsidRDefault="000B56D8" w:rsidP="00BD1446">
            <w:pPr>
              <w:pStyle w:val="naisc"/>
              <w:spacing w:before="0" w:after="0"/>
              <w:jc w:val="left"/>
            </w:pPr>
            <w:r w:rsidRPr="006623C9">
              <w:rPr>
                <w:b/>
                <w:bCs/>
              </w:rPr>
              <w:t xml:space="preserve">“Noteikumi par Nacionālās drošības likumā noteikto institūciju, institūcijā iesniedzamās informācijas apjomu, iesniegšanas un izvērtēšanas kārtību, lēmuma pieņemšanu un </w:t>
            </w:r>
            <w:r w:rsidRPr="006623C9">
              <w:rPr>
                <w:b/>
                <w:bCs/>
              </w:rPr>
              <w:lastRenderedPageBreak/>
              <w:t>paziņošanu</w:t>
            </w:r>
            <w:r>
              <w:rPr>
                <w:b/>
                <w:bCs/>
              </w:rPr>
              <w:t xml:space="preserve">, un </w:t>
            </w:r>
            <w:r w:rsidRPr="007306D0">
              <w:rPr>
                <w:b/>
                <w:bCs/>
              </w:rPr>
              <w:t>informācijas par ārvalstu tiešajiem ieguldījumiem apmaiņu ar Eiropas Komisiju un dalībvalstīm”</w:t>
            </w:r>
          </w:p>
        </w:tc>
        <w:tc>
          <w:tcPr>
            <w:tcW w:w="5212" w:type="dxa"/>
            <w:tcBorders>
              <w:left w:val="single" w:sz="6" w:space="0" w:color="000000"/>
              <w:bottom w:val="single" w:sz="4" w:space="0" w:color="auto"/>
              <w:right w:val="single" w:sz="6" w:space="0" w:color="000000"/>
            </w:tcBorders>
          </w:tcPr>
          <w:p w:rsidR="00FE7804" w:rsidRPr="0007649E" w:rsidRDefault="00FE7804" w:rsidP="00FE7804">
            <w:pPr>
              <w:pStyle w:val="naisc"/>
              <w:spacing w:before="0" w:after="0"/>
              <w:jc w:val="both"/>
              <w:rPr>
                <w:b/>
                <w:bCs/>
              </w:rPr>
            </w:pPr>
            <w:r w:rsidRPr="00C660BC">
              <w:rPr>
                <w:b/>
                <w:bCs/>
              </w:rPr>
              <w:lastRenderedPageBreak/>
              <w:t>Tieslietu ministrijas 2020. gada 1</w:t>
            </w:r>
            <w:r w:rsidR="00C660BC" w:rsidRPr="00C660BC">
              <w:rPr>
                <w:b/>
                <w:bCs/>
              </w:rPr>
              <w:t>4</w:t>
            </w:r>
            <w:r w:rsidRPr="00C660BC">
              <w:rPr>
                <w:b/>
                <w:bCs/>
              </w:rPr>
              <w:t>. </w:t>
            </w:r>
            <w:r w:rsidR="00C660BC" w:rsidRPr="00C660BC">
              <w:rPr>
                <w:b/>
                <w:bCs/>
              </w:rPr>
              <w:t>septembra</w:t>
            </w:r>
            <w:r w:rsidRPr="00C660BC">
              <w:rPr>
                <w:b/>
                <w:bCs/>
              </w:rPr>
              <w:t xml:space="preserve"> atzinuma Nr. 1-</w:t>
            </w:r>
            <w:r w:rsidR="00C660BC" w:rsidRPr="00C660BC">
              <w:rPr>
                <w:b/>
                <w:bCs/>
              </w:rPr>
              <w:t>9.1/954</w:t>
            </w:r>
            <w:r w:rsidRPr="00C660BC">
              <w:rPr>
                <w:b/>
                <w:bCs/>
              </w:rPr>
              <w:t xml:space="preserve"> </w:t>
            </w:r>
            <w:r w:rsidR="00C660BC" w:rsidRPr="00C660BC">
              <w:rPr>
                <w:b/>
                <w:bCs/>
              </w:rPr>
              <w:t>1</w:t>
            </w:r>
            <w:r w:rsidRPr="00C660BC">
              <w:rPr>
                <w:b/>
                <w:bCs/>
              </w:rPr>
              <w:t>. iebildums</w:t>
            </w:r>
          </w:p>
          <w:p w:rsidR="001C34EE" w:rsidRPr="0007649E" w:rsidRDefault="001C34EE" w:rsidP="00B23D8B">
            <w:pPr>
              <w:pStyle w:val="naisc"/>
              <w:spacing w:before="0" w:after="0"/>
              <w:jc w:val="both"/>
              <w:rPr>
                <w:b/>
                <w:bCs/>
              </w:rPr>
            </w:pPr>
          </w:p>
          <w:p w:rsidR="001C34EE" w:rsidRPr="00C660BC" w:rsidRDefault="00C660BC" w:rsidP="002C68CB">
            <w:pPr>
              <w:pStyle w:val="NoSpacing"/>
              <w:rPr>
                <w:szCs w:val="24"/>
              </w:rPr>
            </w:pPr>
            <w:r w:rsidRPr="00C660BC">
              <w:rPr>
                <w:szCs w:val="24"/>
              </w:rPr>
              <w:t xml:space="preserve">Projekta 1.1. apakšpunktā mainīts projekta nosaukums no līdzšinējā uz “Noteikumi par Nacionālās drošības likumā noteikto institūciju, institūcijā iesniedzamās informācijas apjomu, iesniegšanas un izvērtēšanas kārtību, lēmuma pieņemšanu un paziņošanu, un informācijas par ārvalstu tiešajiem ieguldījumiem apmaiņu ar Eiropas Komisiju un dalībvalstīm”. Vēršam uzmanību, ka projekta nosaukums neatbilst Ministru kabineta 2009. gada 3. februāra noteikumu Nr. 108 “Normatīvo aktu projektu sagatavošanas </w:t>
            </w:r>
            <w:r w:rsidRPr="00C660BC">
              <w:rPr>
                <w:szCs w:val="24"/>
              </w:rPr>
              <w:lastRenderedPageBreak/>
              <w:t xml:space="preserve">noteikumi” (turpmāk – MKN. 108) 90., 91. un 92. punktam, kas noteic, ka noteikumu projekta nosaukumu veido iespējami īsu un atbilstošu likumā noteiktajam pilnvarojumam Ministru kabinetam un noteikumu saturam, vārdus “kārtība”, “noteikumi” </w:t>
            </w:r>
            <w:proofErr w:type="spellStart"/>
            <w:r w:rsidRPr="00C660BC">
              <w:rPr>
                <w:szCs w:val="24"/>
              </w:rPr>
              <w:t>v.tml</w:t>
            </w:r>
            <w:proofErr w:type="spellEnd"/>
            <w:r w:rsidRPr="00C660BC">
              <w:rPr>
                <w:szCs w:val="24"/>
              </w:rPr>
              <w:t>. rakstot kā nosaukuma pēdējo vārdu, un ka nosaukumu ar vārdiem “Noteikumi par” iesāk tikai retos izņēmuma gadījumos. Ievērojot minēto, lūdzam precizēt projekta 1.1. apakšpunktu.</w:t>
            </w:r>
          </w:p>
        </w:tc>
        <w:tc>
          <w:tcPr>
            <w:tcW w:w="3860" w:type="dxa"/>
            <w:gridSpan w:val="2"/>
            <w:tcBorders>
              <w:left w:val="single" w:sz="6" w:space="0" w:color="000000"/>
              <w:bottom w:val="single" w:sz="4" w:space="0" w:color="auto"/>
              <w:right w:val="single" w:sz="6" w:space="0" w:color="000000"/>
            </w:tcBorders>
          </w:tcPr>
          <w:p w:rsidR="001C34EE" w:rsidRPr="0007649E" w:rsidRDefault="000B56D8" w:rsidP="00B23D8B">
            <w:pPr>
              <w:pStyle w:val="naisc"/>
              <w:spacing w:before="0" w:after="0"/>
              <w:rPr>
                <w:b/>
                <w:bCs/>
              </w:rPr>
            </w:pPr>
            <w:r>
              <w:rPr>
                <w:b/>
                <w:bCs/>
              </w:rPr>
              <w:lastRenderedPageBreak/>
              <w:t>Ņ</w:t>
            </w:r>
            <w:r w:rsidR="001C34EE" w:rsidRPr="0007649E">
              <w:rPr>
                <w:b/>
                <w:bCs/>
              </w:rPr>
              <w:t>emts vērā</w:t>
            </w:r>
          </w:p>
          <w:p w:rsidR="001C34EE" w:rsidRDefault="001C34EE" w:rsidP="00B23D8B">
            <w:pPr>
              <w:pStyle w:val="naisc"/>
              <w:spacing w:before="0" w:after="0"/>
              <w:jc w:val="both"/>
            </w:pPr>
          </w:p>
          <w:p w:rsidR="001C34EE" w:rsidRDefault="001C34EE" w:rsidP="00576007">
            <w:pPr>
              <w:pStyle w:val="naisc"/>
              <w:spacing w:before="0" w:after="0"/>
              <w:jc w:val="both"/>
            </w:pPr>
          </w:p>
          <w:p w:rsidR="00FE7804" w:rsidRPr="00712B66" w:rsidRDefault="00991311" w:rsidP="00576007">
            <w:pPr>
              <w:pStyle w:val="naisc"/>
              <w:spacing w:before="0" w:after="0"/>
              <w:jc w:val="both"/>
            </w:pPr>
            <w:r>
              <w:t>Ņemts vērā precizēts Noteikumu projekta 1.1. apakšpunkts – nosaukums.</w:t>
            </w:r>
          </w:p>
        </w:tc>
        <w:tc>
          <w:tcPr>
            <w:tcW w:w="2409" w:type="dxa"/>
            <w:tcBorders>
              <w:top w:val="single" w:sz="4" w:space="0" w:color="auto"/>
              <w:left w:val="single" w:sz="4" w:space="0" w:color="auto"/>
              <w:bottom w:val="single" w:sz="4" w:space="0" w:color="auto"/>
            </w:tcBorders>
            <w:vAlign w:val="center"/>
          </w:tcPr>
          <w:p w:rsidR="000B56D8" w:rsidRPr="000B56D8" w:rsidRDefault="000B56D8" w:rsidP="000B56D8">
            <w:pPr>
              <w:pStyle w:val="naisc"/>
              <w:spacing w:before="0" w:after="0"/>
              <w:jc w:val="left"/>
            </w:pPr>
            <w:bookmarkStart w:id="0" w:name="_Hlk51151985"/>
            <w:r>
              <w:t xml:space="preserve">Projekta 1.1. apakšpunkts: </w:t>
            </w:r>
          </w:p>
          <w:p w:rsidR="001C34EE" w:rsidRDefault="000B56D8" w:rsidP="00B23D8B">
            <w:pPr>
              <w:rPr>
                <w:b/>
                <w:bCs/>
              </w:rPr>
            </w:pPr>
            <w:r w:rsidRPr="000B56D8">
              <w:rPr>
                <w:b/>
                <w:bCs/>
              </w:rPr>
              <w:t xml:space="preserve">“Informācijas iesniegšanas apjoma Nacionālās drošības likumā noteiktajai institūcijai, institūcijā iesniegtās informācijas izvērtēšanas un lēmuma pieņemšanas un paziņošanas, un informācijas par </w:t>
            </w:r>
            <w:r w:rsidRPr="000B56D8">
              <w:rPr>
                <w:b/>
                <w:bCs/>
              </w:rPr>
              <w:lastRenderedPageBreak/>
              <w:t>ārvalstu tiešajiem ieguldījumiem apstrādes, izvērtēšanas, izpildes un apmaiņas ar Eiropas Komisiju un dalībvalstīm noteikumi”</w:t>
            </w:r>
            <w:bookmarkEnd w:id="0"/>
          </w:p>
          <w:p w:rsidR="001C461A" w:rsidRPr="001C461A" w:rsidRDefault="001C461A" w:rsidP="00B23D8B">
            <w:r w:rsidRPr="001C461A">
              <w:t>Precizēts anotācijas I sadaļas 2. punkta 3.3. apakšpunkts.</w:t>
            </w:r>
          </w:p>
        </w:tc>
      </w:tr>
      <w:tr w:rsidR="001203D1" w:rsidRPr="00712B66" w:rsidTr="0097304D">
        <w:tc>
          <w:tcPr>
            <w:tcW w:w="1101" w:type="dxa"/>
            <w:tcBorders>
              <w:left w:val="single" w:sz="6" w:space="0" w:color="000000"/>
              <w:bottom w:val="single" w:sz="4" w:space="0" w:color="auto"/>
              <w:right w:val="single" w:sz="6" w:space="0" w:color="000000"/>
            </w:tcBorders>
          </w:tcPr>
          <w:p w:rsidR="001203D1" w:rsidRDefault="001203D1" w:rsidP="001203D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1203D1" w:rsidRDefault="00E578AE" w:rsidP="00351DBD">
            <w:pPr>
              <w:pStyle w:val="naisc"/>
              <w:spacing w:before="0" w:after="0"/>
              <w:jc w:val="left"/>
            </w:pPr>
            <w:r>
              <w:t>-</w:t>
            </w:r>
          </w:p>
        </w:tc>
        <w:tc>
          <w:tcPr>
            <w:tcW w:w="5212" w:type="dxa"/>
            <w:tcBorders>
              <w:left w:val="single" w:sz="6" w:space="0" w:color="000000"/>
              <w:bottom w:val="single" w:sz="4" w:space="0" w:color="auto"/>
              <w:right w:val="single" w:sz="6" w:space="0" w:color="000000"/>
            </w:tcBorders>
          </w:tcPr>
          <w:p w:rsidR="00C660BC" w:rsidRPr="0007649E" w:rsidRDefault="00C660BC" w:rsidP="00C660BC">
            <w:pPr>
              <w:pStyle w:val="naisc"/>
              <w:spacing w:before="0" w:after="0"/>
              <w:jc w:val="both"/>
              <w:rPr>
                <w:b/>
                <w:bCs/>
              </w:rPr>
            </w:pPr>
            <w:r w:rsidRPr="00C660BC">
              <w:rPr>
                <w:b/>
                <w:bCs/>
              </w:rPr>
              <w:t xml:space="preserve">Tieslietu ministrijas 2020. gada 14. septembra atzinuma Nr. 1-9.1/954 </w:t>
            </w:r>
            <w:r>
              <w:rPr>
                <w:b/>
                <w:bCs/>
              </w:rPr>
              <w:t>2</w:t>
            </w:r>
            <w:r w:rsidRPr="00C660BC">
              <w:rPr>
                <w:b/>
                <w:bCs/>
              </w:rPr>
              <w:t>. iebildums</w:t>
            </w:r>
            <w:r w:rsidR="006C0AF0">
              <w:rPr>
                <w:b/>
                <w:bCs/>
              </w:rPr>
              <w:t xml:space="preserve"> un Tieslietu ministrijas 2020.gada 25.septembra 1. un 2.punkts</w:t>
            </w:r>
            <w:r w:rsidR="009F2D7D">
              <w:rPr>
                <w:b/>
                <w:bCs/>
              </w:rPr>
              <w:t>, 2020.gada 1.oktobra atzinuma 1.ieibldums</w:t>
            </w:r>
          </w:p>
          <w:p w:rsidR="00C660BC" w:rsidRDefault="00C660BC" w:rsidP="00C660BC">
            <w:pPr>
              <w:ind w:right="12" w:firstLine="567"/>
              <w:jc w:val="both"/>
            </w:pPr>
          </w:p>
          <w:p w:rsidR="00C660BC" w:rsidRPr="00C660BC" w:rsidRDefault="00C660BC" w:rsidP="00C660BC">
            <w:pPr>
              <w:ind w:right="12" w:firstLine="567"/>
              <w:jc w:val="both"/>
            </w:pPr>
            <w:r w:rsidRPr="00C660BC">
              <w:t xml:space="preserve">Ar projekta 1.2. apakšpunktu projekta izdošanas tiesiskais pamats tiek papildināts ar Ministru kabineta iekārtas likuma 31. panta pirmās daļas 3. punktu. Vēršam uzmanību, ka minētais izdošanas tiesiskais pamats tika radīts, lai </w:t>
            </w:r>
            <w:r w:rsidRPr="00C660BC">
              <w:rPr>
                <w:u w:val="single"/>
              </w:rPr>
              <w:t>izņēmuma gadījumos (steidzamos gadījumos)</w:t>
            </w:r>
            <w:r w:rsidRPr="00C660BC">
              <w:t xml:space="preserve"> Ministru kabineta noteikumos varētu paspēt pārņemt vai ieviest Eiropas Savienības tiesību aktu prasības. Turklāt šāds risinājums nevar būt patstāvīgs, proti, atbildīgajai ministrijai jāizstrādā attiecīgi grozījumi nozari regulējošā likumā, tajā pienācīgā kārtā un apjomā paredzot attiecīgu pilnvarojumu Ministru kabinetam. No projekta anotācijas redzams, ka Ekonomikas ministrija ir izstrādājusi attiecīgus grozījumus Nacionālās drošības likumā, bet tā apstiprināšana Ministru kabinetā un pieņemšana </w:t>
            </w:r>
            <w:r w:rsidRPr="00C660BC">
              <w:lastRenderedPageBreak/>
              <w:t xml:space="preserve">Saeimā ir iekavējusies, tāpēc arī izvēlēts projektā paredzēto regulējumu pamatot ar Ministru kabineta iekārtas likuma 31. panta pirmās daļas 3. punktu. Ievērojot minēto un to, lai pēc minēto grozījumu Nacionālās drošības likumā, kur paredzēts attiecīgs pilnvarojums Ministru kabinetam noteikt projektā paredzēto regulējumu, spēkā stāšanās noteikumi tiktu pamatoti ar nozari regulējošu likuma normu, lūdzam projektam pievienot Ministru kabineta sēdes </w:t>
            </w:r>
            <w:proofErr w:type="spellStart"/>
            <w:r w:rsidRPr="00C660BC">
              <w:t>protokollēmuma</w:t>
            </w:r>
            <w:proofErr w:type="spellEnd"/>
            <w:r w:rsidRPr="00C660BC">
              <w:t xml:space="preserve"> projektu, nosakot, ka pēc grozījumu Nacionālās drošības likumā, kurā paredzēts pilnvarojums Ministru kabinetam noteikt institūciju, </w:t>
            </w:r>
            <w:r w:rsidRPr="00C660BC">
              <w:rPr>
                <w:bCs/>
              </w:rPr>
              <w:t>kas īstenos sadarbības mehānismu ar Eiropas Komisiju un dalībvalstīm, kā arī noteikt informācijas un informācijas pieprasījumu apstrādes, izvērtēšanas, izpildes un nosūtīšanas kārtību</w:t>
            </w:r>
            <w:r w:rsidRPr="00C660BC">
              <w:t>, spēkā stāšanās Ekonomikas ministrijai tiek uzdots veikt grozījumus Ministru kabineta 2017. gada 3. oktobra noteikumos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norādi uz Ministru kabineta iekārtas likuma 31. panta pirmās daļas 3. punktu aizstājot ar norādi uz attiecīgo Ministru kabinetu pilnvarojošo Nacionālās drošības likuma normu.</w:t>
            </w:r>
          </w:p>
          <w:p w:rsidR="00C660BC" w:rsidRPr="00C660BC" w:rsidRDefault="00C660BC" w:rsidP="00C660BC">
            <w:pPr>
              <w:ind w:right="12" w:firstLine="567"/>
              <w:jc w:val="both"/>
            </w:pPr>
            <w:r w:rsidRPr="00C660BC">
              <w:t>Vienlaikus norādām, ka projekta 1.2. apakšpunkts ietverams pirms projekta 1.1. apakšpunkta.</w:t>
            </w:r>
          </w:p>
          <w:p w:rsidR="001203D1" w:rsidRDefault="001203D1" w:rsidP="00C660BC">
            <w:pPr>
              <w:pStyle w:val="naisc"/>
              <w:spacing w:before="0" w:after="0"/>
              <w:jc w:val="both"/>
              <w:rPr>
                <w:b/>
                <w:bCs/>
              </w:rPr>
            </w:pPr>
          </w:p>
        </w:tc>
        <w:tc>
          <w:tcPr>
            <w:tcW w:w="3860" w:type="dxa"/>
            <w:gridSpan w:val="2"/>
            <w:tcBorders>
              <w:left w:val="single" w:sz="6" w:space="0" w:color="000000"/>
              <w:bottom w:val="single" w:sz="4" w:space="0" w:color="auto"/>
              <w:right w:val="single" w:sz="6" w:space="0" w:color="000000"/>
            </w:tcBorders>
          </w:tcPr>
          <w:p w:rsidR="001203D1" w:rsidRDefault="00E578AE" w:rsidP="00C660BC">
            <w:pPr>
              <w:pStyle w:val="naisc"/>
              <w:spacing w:before="0" w:after="0"/>
              <w:rPr>
                <w:b/>
                <w:bCs/>
              </w:rPr>
            </w:pPr>
            <w:r>
              <w:rPr>
                <w:b/>
                <w:bCs/>
              </w:rPr>
              <w:lastRenderedPageBreak/>
              <w:t>Ņ</w:t>
            </w:r>
            <w:r w:rsidR="007B054D">
              <w:rPr>
                <w:b/>
                <w:bCs/>
              </w:rPr>
              <w:t xml:space="preserve">emts </w:t>
            </w:r>
            <w:r w:rsidR="001203D1">
              <w:rPr>
                <w:b/>
                <w:bCs/>
              </w:rPr>
              <w:t>vērā</w:t>
            </w:r>
          </w:p>
          <w:p w:rsidR="00FF6561" w:rsidRDefault="00FF6561" w:rsidP="00B23D8B">
            <w:pPr>
              <w:pStyle w:val="naisc"/>
              <w:spacing w:before="0" w:after="0"/>
              <w:rPr>
                <w:b/>
                <w:bCs/>
              </w:rPr>
            </w:pPr>
          </w:p>
          <w:p w:rsidR="00FF6561" w:rsidRDefault="00FF6561" w:rsidP="00E578AE">
            <w:pPr>
              <w:pStyle w:val="naisc"/>
              <w:spacing w:before="0" w:after="0"/>
              <w:jc w:val="left"/>
              <w:rPr>
                <w:b/>
                <w:bCs/>
              </w:rPr>
            </w:pPr>
          </w:p>
          <w:p w:rsidR="00507C21" w:rsidRPr="00507C21" w:rsidRDefault="00507C21" w:rsidP="006C0AF0">
            <w:pPr>
              <w:pStyle w:val="naisc"/>
              <w:spacing w:before="0" w:after="0"/>
              <w:jc w:val="both"/>
            </w:pPr>
            <w:r>
              <w:t xml:space="preserve">Sagatavots un Noteikumu projekta pielikumā pievienots Ministru kabineta </w:t>
            </w:r>
            <w:proofErr w:type="spellStart"/>
            <w:r>
              <w:t>protokollēmums</w:t>
            </w:r>
            <w:proofErr w:type="spellEnd"/>
            <w:r w:rsidR="009F2D7D">
              <w:t xml:space="preserve">, kurā noteikts, ka grozījumi tiek iesniegti Ministru kabinetā mēneša laikā pēc noteikumu spēkā stāšanās. </w:t>
            </w:r>
            <w:bookmarkStart w:id="1" w:name="_GoBack"/>
            <w:bookmarkEnd w:id="1"/>
          </w:p>
          <w:p w:rsidR="00FF6561" w:rsidRDefault="00FF6561" w:rsidP="00B23D8B">
            <w:pPr>
              <w:pStyle w:val="naisc"/>
              <w:spacing w:before="0" w:after="0"/>
              <w:rPr>
                <w:b/>
                <w:bCs/>
              </w:rPr>
            </w:pPr>
          </w:p>
        </w:tc>
        <w:tc>
          <w:tcPr>
            <w:tcW w:w="2409" w:type="dxa"/>
            <w:tcBorders>
              <w:top w:val="single" w:sz="4" w:space="0" w:color="auto"/>
              <w:left w:val="single" w:sz="4" w:space="0" w:color="auto"/>
              <w:bottom w:val="single" w:sz="4" w:space="0" w:color="auto"/>
            </w:tcBorders>
            <w:vAlign w:val="center"/>
          </w:tcPr>
          <w:p w:rsidR="001203D1" w:rsidRDefault="000B56D8" w:rsidP="000B56D8">
            <w:pPr>
              <w:jc w:val="center"/>
            </w:pPr>
            <w:r>
              <w:t xml:space="preserve">Sagatavots Ministru kabineta </w:t>
            </w:r>
            <w:proofErr w:type="spellStart"/>
            <w:r>
              <w:t>protokollēmums</w:t>
            </w:r>
            <w:proofErr w:type="spellEnd"/>
          </w:p>
        </w:tc>
      </w:tr>
      <w:tr w:rsidR="001203D1" w:rsidRPr="00712B66" w:rsidTr="0097304D">
        <w:tc>
          <w:tcPr>
            <w:tcW w:w="1101" w:type="dxa"/>
            <w:tcBorders>
              <w:left w:val="single" w:sz="6" w:space="0" w:color="000000"/>
              <w:bottom w:val="single" w:sz="4" w:space="0" w:color="auto"/>
              <w:right w:val="single" w:sz="6" w:space="0" w:color="000000"/>
            </w:tcBorders>
          </w:tcPr>
          <w:p w:rsidR="001203D1" w:rsidRDefault="001203D1" w:rsidP="001203D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97304D" w:rsidRPr="0097304D" w:rsidRDefault="0097304D" w:rsidP="00DA3152">
            <w:pPr>
              <w:pStyle w:val="naisc"/>
              <w:spacing w:before="0" w:after="0"/>
              <w:jc w:val="both"/>
            </w:pPr>
            <w:r w:rsidRPr="0097304D">
              <w:t>Projekta 1.1. apakšpunkts:</w:t>
            </w:r>
          </w:p>
          <w:p w:rsidR="001203D1" w:rsidRDefault="00091509" w:rsidP="00DA3152">
            <w:pPr>
              <w:pStyle w:val="naisc"/>
              <w:spacing w:before="0" w:after="0"/>
              <w:jc w:val="both"/>
              <w:rPr>
                <w:b/>
                <w:bCs/>
              </w:rPr>
            </w:pPr>
            <w:r w:rsidRPr="006623C9">
              <w:rPr>
                <w:b/>
                <w:bCs/>
              </w:rPr>
              <w:t>“Noteikumi par Nacionālās drošības likumā noteikto institūciju, institūcijā iesniedzamās informācijas apjomu, iesniegšanas un izvērtēšanas kārtību, lēmuma pieņemšanu un paziņošanu</w:t>
            </w:r>
            <w:r>
              <w:rPr>
                <w:b/>
                <w:bCs/>
              </w:rPr>
              <w:t xml:space="preserve">, un </w:t>
            </w:r>
            <w:r w:rsidRPr="007306D0">
              <w:rPr>
                <w:b/>
                <w:bCs/>
              </w:rPr>
              <w:t>informācijas par ārvalstu tiešajiem ieguldījumiem apmaiņu ar Eiropas Komisiju un dalībvalstīm”</w:t>
            </w:r>
          </w:p>
          <w:p w:rsidR="0097304D" w:rsidRDefault="0097304D" w:rsidP="00DA3152">
            <w:pPr>
              <w:pStyle w:val="naisc"/>
              <w:spacing w:before="0" w:after="0"/>
              <w:jc w:val="both"/>
              <w:rPr>
                <w:b/>
                <w:bCs/>
              </w:rPr>
            </w:pPr>
          </w:p>
          <w:p w:rsidR="0097304D" w:rsidRPr="0097304D" w:rsidRDefault="0097304D" w:rsidP="00DA3152">
            <w:pPr>
              <w:pStyle w:val="naisc"/>
              <w:spacing w:before="0" w:after="0"/>
              <w:jc w:val="both"/>
            </w:pPr>
            <w:r w:rsidRPr="0097304D">
              <w:t>Projekta 1.4. apakšpunkts:</w:t>
            </w:r>
          </w:p>
          <w:p w:rsidR="00091509" w:rsidRPr="00091509" w:rsidRDefault="00091509" w:rsidP="00DA3152">
            <w:pPr>
              <w:pStyle w:val="Title"/>
              <w:jc w:val="both"/>
              <w:outlineLvl w:val="0"/>
              <w:rPr>
                <w:color w:val="000000"/>
                <w:szCs w:val="28"/>
              </w:rPr>
            </w:pPr>
            <w:r w:rsidRPr="0097304D">
              <w:rPr>
                <w:color w:val="000000"/>
                <w:sz w:val="24"/>
                <w:szCs w:val="24"/>
              </w:rPr>
              <w:t xml:space="preserve">“1.4. atbilstoši regulai (ES) Nr. 2019/452 saņemtās informācijas un informācijas pieprasījumu apstrādes, izvērtēšanas, izpildes </w:t>
            </w:r>
            <w:r w:rsidRPr="0097304D">
              <w:rPr>
                <w:color w:val="000000"/>
                <w:sz w:val="24"/>
                <w:szCs w:val="24"/>
              </w:rPr>
              <w:lastRenderedPageBreak/>
              <w:t>un nosūtīšanas kārtību.”.</w:t>
            </w:r>
          </w:p>
        </w:tc>
        <w:tc>
          <w:tcPr>
            <w:tcW w:w="5212" w:type="dxa"/>
            <w:tcBorders>
              <w:left w:val="single" w:sz="6" w:space="0" w:color="000000"/>
              <w:bottom w:val="single" w:sz="4" w:space="0" w:color="auto"/>
              <w:right w:val="single" w:sz="6" w:space="0" w:color="000000"/>
            </w:tcBorders>
          </w:tcPr>
          <w:p w:rsidR="00C660BC" w:rsidRPr="0007649E" w:rsidRDefault="00C660BC" w:rsidP="00C660BC">
            <w:pPr>
              <w:pStyle w:val="naisc"/>
              <w:spacing w:before="0" w:after="0"/>
              <w:jc w:val="both"/>
              <w:rPr>
                <w:b/>
                <w:bCs/>
              </w:rPr>
            </w:pPr>
            <w:r w:rsidRPr="00C660BC">
              <w:rPr>
                <w:b/>
                <w:bCs/>
              </w:rPr>
              <w:lastRenderedPageBreak/>
              <w:t xml:space="preserve">Tieslietu ministrijas 2020. gada 14. septembra atzinuma Nr. 1-9.1/954 </w:t>
            </w:r>
            <w:r w:rsidR="00CC54D9">
              <w:rPr>
                <w:b/>
                <w:bCs/>
              </w:rPr>
              <w:t>3</w:t>
            </w:r>
            <w:r w:rsidRPr="00C660BC">
              <w:rPr>
                <w:b/>
                <w:bCs/>
              </w:rPr>
              <w:t>. iebildums</w:t>
            </w:r>
          </w:p>
          <w:p w:rsidR="003466CA" w:rsidRDefault="003466CA" w:rsidP="00FE7804">
            <w:pPr>
              <w:pStyle w:val="naisc"/>
              <w:spacing w:before="0" w:after="0"/>
              <w:jc w:val="both"/>
            </w:pPr>
          </w:p>
          <w:p w:rsidR="001203D1" w:rsidRPr="00C660BC" w:rsidRDefault="00C660BC" w:rsidP="00C660BC">
            <w:pPr>
              <w:ind w:right="12" w:firstLine="567"/>
              <w:jc w:val="both"/>
            </w:pPr>
            <w:proofErr w:type="spellStart"/>
            <w:r w:rsidRPr="00C660BC">
              <w:t>Pirmšķietami</w:t>
            </w:r>
            <w:proofErr w:type="spellEnd"/>
            <w:r w:rsidRPr="00C660BC">
              <w:t xml:space="preserve"> projekta 1.4. apakšpunkts pārsniedz projekta tvērumu, kas izriet no projekta nosaukuma. Lūdzam skaidrot projekta 1.4. apakšpunkta saderību ar projekta nosaukumu vai precizēt projekta nosaukumu.</w:t>
            </w:r>
          </w:p>
        </w:tc>
        <w:tc>
          <w:tcPr>
            <w:tcW w:w="3860" w:type="dxa"/>
            <w:gridSpan w:val="2"/>
            <w:tcBorders>
              <w:left w:val="single" w:sz="6" w:space="0" w:color="000000"/>
              <w:bottom w:val="single" w:sz="4" w:space="0" w:color="auto"/>
              <w:right w:val="single" w:sz="6" w:space="0" w:color="000000"/>
            </w:tcBorders>
          </w:tcPr>
          <w:p w:rsidR="000A2473" w:rsidRDefault="00C660BC" w:rsidP="00507C21">
            <w:pPr>
              <w:pStyle w:val="naisc"/>
              <w:spacing w:before="0" w:after="0"/>
              <w:rPr>
                <w:b/>
                <w:bCs/>
              </w:rPr>
            </w:pPr>
            <w:r>
              <w:rPr>
                <w:b/>
                <w:bCs/>
              </w:rPr>
              <w:t>Ņ</w:t>
            </w:r>
            <w:r w:rsidR="007B054D">
              <w:rPr>
                <w:b/>
                <w:bCs/>
              </w:rPr>
              <w:t>emts vērā</w:t>
            </w:r>
          </w:p>
          <w:p w:rsidR="000A2473" w:rsidRDefault="000A2473" w:rsidP="00DA3152">
            <w:pPr>
              <w:pStyle w:val="naisc"/>
              <w:spacing w:before="0" w:after="0"/>
              <w:jc w:val="both"/>
            </w:pPr>
          </w:p>
          <w:p w:rsidR="00856337" w:rsidRDefault="00856337" w:rsidP="00DA3152">
            <w:pPr>
              <w:pStyle w:val="naisc"/>
              <w:spacing w:before="0" w:after="0"/>
              <w:jc w:val="both"/>
              <w:rPr>
                <w:b/>
                <w:bCs/>
              </w:rPr>
            </w:pPr>
          </w:p>
          <w:p w:rsidR="000B56D8" w:rsidRPr="00507C21" w:rsidRDefault="00991311" w:rsidP="00DA3152">
            <w:pPr>
              <w:pStyle w:val="naisc"/>
              <w:spacing w:before="0" w:after="0"/>
              <w:jc w:val="both"/>
            </w:pPr>
            <w:r>
              <w:t>P</w:t>
            </w:r>
            <w:r w:rsidR="00507C21">
              <w:t>recizēts Noteikumu projekta 1.1. apakšpunkts – nosaukums.</w:t>
            </w:r>
          </w:p>
        </w:tc>
        <w:tc>
          <w:tcPr>
            <w:tcW w:w="2409" w:type="dxa"/>
            <w:tcBorders>
              <w:top w:val="single" w:sz="4" w:space="0" w:color="auto"/>
              <w:left w:val="single" w:sz="4" w:space="0" w:color="auto"/>
              <w:bottom w:val="single" w:sz="4" w:space="0" w:color="auto"/>
            </w:tcBorders>
            <w:vAlign w:val="center"/>
          </w:tcPr>
          <w:p w:rsidR="001203D1" w:rsidRDefault="0097304D" w:rsidP="00DA3152">
            <w:pPr>
              <w:jc w:val="both"/>
            </w:pPr>
            <w:r>
              <w:t>Projekta 1.1. apakšpunkts:</w:t>
            </w:r>
          </w:p>
          <w:p w:rsidR="0097304D" w:rsidRDefault="0097304D" w:rsidP="00DA3152">
            <w:pPr>
              <w:jc w:val="both"/>
            </w:pPr>
            <w:r w:rsidRPr="000B56D8">
              <w:rPr>
                <w:b/>
                <w:bCs/>
              </w:rPr>
              <w:t>“Informācijas iesniegšanas apjoma Nacionālās drošības likumā noteiktajai institūcijai, institūcijā iesniegtās informācijas izvērtēšanas un lēmuma pieņemšanas un paziņošanas, un informācijas par ārvalstu tiešajiem ieguldījumiem apstrādes, izvērtēšanas, izpildes un apmaiņas ar Eiropas Komisiju un dalībvalstīm noteikumi”</w:t>
            </w:r>
          </w:p>
        </w:tc>
      </w:tr>
      <w:tr w:rsidR="00C660BC" w:rsidRPr="00712B66" w:rsidTr="0097304D">
        <w:tc>
          <w:tcPr>
            <w:tcW w:w="1101" w:type="dxa"/>
            <w:tcBorders>
              <w:left w:val="single" w:sz="6" w:space="0" w:color="000000"/>
              <w:bottom w:val="single" w:sz="4" w:space="0" w:color="auto"/>
              <w:right w:val="single" w:sz="6" w:space="0" w:color="000000"/>
            </w:tcBorders>
          </w:tcPr>
          <w:p w:rsidR="00C660BC" w:rsidRDefault="00C660BC" w:rsidP="001203D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C660BC" w:rsidRDefault="00C660BC"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A30019" w:rsidP="00351DBD">
            <w:pPr>
              <w:pStyle w:val="naisc"/>
              <w:spacing w:before="0" w:after="0"/>
              <w:jc w:val="left"/>
            </w:pPr>
          </w:p>
          <w:p w:rsidR="00A30019" w:rsidRDefault="0097304D" w:rsidP="00351DBD">
            <w:pPr>
              <w:pStyle w:val="naisc"/>
              <w:spacing w:before="0" w:after="0"/>
              <w:jc w:val="left"/>
            </w:pPr>
            <w:r>
              <w:t>Projekta 1.6. apakšpunkts:</w:t>
            </w:r>
          </w:p>
          <w:p w:rsidR="00A30019" w:rsidRPr="00A30019" w:rsidRDefault="00A30019" w:rsidP="00A30019">
            <w:pPr>
              <w:pStyle w:val="Title"/>
              <w:jc w:val="both"/>
              <w:outlineLvl w:val="0"/>
              <w:rPr>
                <w:color w:val="000000"/>
                <w:sz w:val="24"/>
                <w:szCs w:val="24"/>
              </w:rPr>
            </w:pPr>
            <w:r>
              <w:rPr>
                <w:color w:val="000000"/>
                <w:sz w:val="24"/>
                <w:szCs w:val="24"/>
              </w:rPr>
              <w:t>“</w:t>
            </w:r>
            <w:r w:rsidRPr="00A30019">
              <w:rPr>
                <w:color w:val="000000"/>
                <w:sz w:val="24"/>
                <w:szCs w:val="24"/>
              </w:rPr>
              <w:t>6.</w:t>
            </w:r>
            <w:r w:rsidRPr="00A30019">
              <w:rPr>
                <w:color w:val="000000"/>
                <w:sz w:val="24"/>
                <w:szCs w:val="24"/>
                <w:vertAlign w:val="superscript"/>
              </w:rPr>
              <w:t>1</w:t>
            </w:r>
            <w:r w:rsidRPr="00A30019">
              <w:rPr>
                <w:color w:val="000000"/>
                <w:sz w:val="24"/>
                <w:szCs w:val="24"/>
              </w:rPr>
              <w:t>1.7. vai uz darījumu ir piemērojama Padomes regula (EK) Nr. 139/2004 (2004. gada 20. janvāris) par kontroli pār uzņēmumu koncentrāciju (EK Apvienošanās Regula).</w:t>
            </w:r>
            <w:r>
              <w:rPr>
                <w:color w:val="000000"/>
                <w:sz w:val="24"/>
                <w:szCs w:val="24"/>
              </w:rPr>
              <w:t>”</w:t>
            </w:r>
          </w:p>
          <w:p w:rsidR="00A30019" w:rsidRDefault="00A30019" w:rsidP="00351DBD">
            <w:pPr>
              <w:pStyle w:val="naisc"/>
              <w:spacing w:before="0" w:after="0"/>
              <w:jc w:val="left"/>
            </w:pPr>
          </w:p>
        </w:tc>
        <w:tc>
          <w:tcPr>
            <w:tcW w:w="5212" w:type="dxa"/>
            <w:tcBorders>
              <w:left w:val="single" w:sz="6" w:space="0" w:color="000000"/>
              <w:bottom w:val="single" w:sz="4" w:space="0" w:color="auto"/>
              <w:right w:val="single" w:sz="6" w:space="0" w:color="000000"/>
            </w:tcBorders>
          </w:tcPr>
          <w:p w:rsidR="00C660BC" w:rsidRPr="0097304D" w:rsidRDefault="00CC54D9" w:rsidP="0097304D">
            <w:pPr>
              <w:pStyle w:val="naisc"/>
              <w:spacing w:before="0" w:after="0"/>
              <w:jc w:val="both"/>
              <w:rPr>
                <w:b/>
                <w:bCs/>
              </w:rPr>
            </w:pPr>
            <w:r w:rsidRPr="00C660BC">
              <w:rPr>
                <w:b/>
                <w:bCs/>
              </w:rPr>
              <w:t xml:space="preserve">Tieslietu ministrijas 2020. gada 14. septembra atzinuma Nr. 1-9.1/954 </w:t>
            </w:r>
            <w:r>
              <w:rPr>
                <w:b/>
                <w:bCs/>
              </w:rPr>
              <w:t>4</w:t>
            </w:r>
            <w:r w:rsidRPr="00C660BC">
              <w:rPr>
                <w:b/>
                <w:bCs/>
              </w:rPr>
              <w:t>. iebildums</w:t>
            </w:r>
          </w:p>
          <w:p w:rsidR="00C660BC" w:rsidRDefault="00C660BC" w:rsidP="00FF6561">
            <w:pPr>
              <w:pStyle w:val="NormalWeb"/>
              <w:jc w:val="both"/>
            </w:pPr>
            <w:r w:rsidRPr="0097304D">
              <w:t>Lūdzam skaidrot projekta 1.6. apakšpunkta atbilstību normatīvajiem aktiem datu aizsardzības jomā, it sevišķi pamatojot datu apstrādes leģitīmo mērķi, nepieciešamību tos apstrādāt, kā arī datu uzglabāšanas ilgum</w:t>
            </w:r>
            <w:r w:rsidRPr="004D4612">
              <w:t>u.</w:t>
            </w:r>
          </w:p>
          <w:p w:rsidR="00C660BC" w:rsidRPr="00C660BC" w:rsidRDefault="00C660BC" w:rsidP="00FF6561">
            <w:pPr>
              <w:pStyle w:val="NormalWeb"/>
              <w:jc w:val="both"/>
              <w:rPr>
                <w:b/>
                <w:bCs/>
                <w:color w:val="000000"/>
                <w:highlight w:val="yellow"/>
              </w:rPr>
            </w:pPr>
            <w:r w:rsidRPr="00C660BC">
              <w:t>Vienlaikus lūdzam projekta 1.6. apakšpunktā izteiktajā noteikumu 6.1</w:t>
            </w:r>
            <w:r w:rsidRPr="00C660BC">
              <w:rPr>
                <w:vertAlign w:val="superscript"/>
              </w:rPr>
              <w:t>1</w:t>
            </w:r>
            <w:r w:rsidRPr="00C660BC">
              <w:t>.7. apakšpunktā ietverto atsauci uz Eiropas Savienības regulu izteikt atbilstoši MKN. 108 170. punktam.</w:t>
            </w:r>
          </w:p>
        </w:tc>
        <w:tc>
          <w:tcPr>
            <w:tcW w:w="3860" w:type="dxa"/>
            <w:gridSpan w:val="2"/>
            <w:tcBorders>
              <w:left w:val="single" w:sz="6" w:space="0" w:color="000000"/>
              <w:bottom w:val="single" w:sz="4" w:space="0" w:color="auto"/>
              <w:right w:val="single" w:sz="6" w:space="0" w:color="000000"/>
            </w:tcBorders>
          </w:tcPr>
          <w:p w:rsidR="00C660BC" w:rsidRDefault="00C660BC" w:rsidP="00C660BC">
            <w:pPr>
              <w:pStyle w:val="naisc"/>
              <w:spacing w:before="0" w:after="0"/>
              <w:rPr>
                <w:b/>
                <w:bCs/>
              </w:rPr>
            </w:pPr>
            <w:r>
              <w:rPr>
                <w:b/>
                <w:bCs/>
              </w:rPr>
              <w:t>Ņemts vērā</w:t>
            </w:r>
          </w:p>
          <w:p w:rsidR="0048037B" w:rsidRDefault="0048037B" w:rsidP="00C660BC">
            <w:pPr>
              <w:pStyle w:val="naisc"/>
              <w:spacing w:before="0" w:after="0"/>
              <w:rPr>
                <w:b/>
                <w:bCs/>
              </w:rPr>
            </w:pPr>
          </w:p>
          <w:p w:rsidR="0048037B" w:rsidRDefault="0048037B" w:rsidP="00C660BC">
            <w:pPr>
              <w:pStyle w:val="naisc"/>
              <w:spacing w:before="0" w:after="0"/>
              <w:rPr>
                <w:b/>
                <w:bCs/>
              </w:rPr>
            </w:pPr>
          </w:p>
          <w:p w:rsidR="0048037B" w:rsidRPr="0048037B" w:rsidRDefault="0048037B" w:rsidP="0048037B">
            <w:pPr>
              <w:pStyle w:val="naisc"/>
              <w:spacing w:before="0" w:after="0"/>
              <w:jc w:val="left"/>
            </w:pPr>
            <w:r>
              <w:t>Papildināta anotā</w:t>
            </w:r>
            <w:r w:rsidR="00507C21">
              <w:t>cija ar skaidrojumu.</w:t>
            </w:r>
          </w:p>
        </w:tc>
        <w:tc>
          <w:tcPr>
            <w:tcW w:w="2409" w:type="dxa"/>
            <w:tcBorders>
              <w:top w:val="single" w:sz="4" w:space="0" w:color="auto"/>
              <w:left w:val="single" w:sz="4" w:space="0" w:color="auto"/>
              <w:bottom w:val="single" w:sz="4" w:space="0" w:color="auto"/>
            </w:tcBorders>
            <w:vAlign w:val="center"/>
          </w:tcPr>
          <w:p w:rsidR="00C660BC" w:rsidRDefault="00C660BC" w:rsidP="00B23D8B"/>
          <w:p w:rsidR="00A30019" w:rsidRDefault="00A30019" w:rsidP="00B23D8B"/>
          <w:p w:rsidR="00A30019" w:rsidRDefault="00A30019" w:rsidP="00B23D8B"/>
          <w:p w:rsidR="00A30019" w:rsidRDefault="00A30019" w:rsidP="00B23D8B"/>
          <w:p w:rsidR="00A30019" w:rsidRDefault="00A30019" w:rsidP="00B23D8B"/>
          <w:p w:rsidR="00A30019" w:rsidRDefault="0097304D" w:rsidP="00B23D8B">
            <w:r>
              <w:t>Papildināts anotācijas I</w:t>
            </w:r>
            <w:r w:rsidR="001C461A">
              <w:t> </w:t>
            </w:r>
            <w:r>
              <w:t xml:space="preserve">sadaļas </w:t>
            </w:r>
            <w:r w:rsidR="001C461A">
              <w:t>2</w:t>
            </w:r>
            <w:r>
              <w:t>.</w:t>
            </w:r>
            <w:r w:rsidR="001C461A">
              <w:t> </w:t>
            </w:r>
            <w:r>
              <w:t>punkts</w:t>
            </w:r>
            <w:r w:rsidR="001C461A">
              <w:t xml:space="preserve"> 3.3. apakšpunkts.</w:t>
            </w:r>
          </w:p>
          <w:p w:rsidR="00A30019" w:rsidRDefault="00A30019" w:rsidP="00B23D8B"/>
          <w:p w:rsidR="00A30019" w:rsidRDefault="00A30019" w:rsidP="00B23D8B"/>
          <w:p w:rsidR="00A30019" w:rsidRDefault="00A30019" w:rsidP="00B23D8B"/>
          <w:p w:rsidR="00A30019" w:rsidRDefault="0097304D" w:rsidP="00B23D8B">
            <w:r>
              <w:t>Projekta 1.6. apakšpunkts:</w:t>
            </w:r>
          </w:p>
          <w:p w:rsidR="00A30019" w:rsidRPr="00A30019" w:rsidRDefault="00A30019" w:rsidP="00A30019">
            <w:pPr>
              <w:pStyle w:val="Title"/>
              <w:jc w:val="both"/>
              <w:outlineLvl w:val="0"/>
              <w:rPr>
                <w:color w:val="000000"/>
                <w:sz w:val="24"/>
                <w:szCs w:val="24"/>
              </w:rPr>
            </w:pPr>
            <w:r>
              <w:rPr>
                <w:color w:val="000000"/>
                <w:sz w:val="24"/>
                <w:szCs w:val="24"/>
              </w:rPr>
              <w:t>“</w:t>
            </w:r>
            <w:r w:rsidRPr="00A30019">
              <w:rPr>
                <w:color w:val="000000"/>
                <w:sz w:val="24"/>
                <w:szCs w:val="24"/>
              </w:rPr>
              <w:t>6.</w:t>
            </w:r>
            <w:r w:rsidRPr="00A30019">
              <w:rPr>
                <w:color w:val="000000"/>
                <w:sz w:val="24"/>
                <w:szCs w:val="24"/>
                <w:vertAlign w:val="superscript"/>
              </w:rPr>
              <w:t>1</w:t>
            </w:r>
            <w:r w:rsidRPr="00A30019">
              <w:rPr>
                <w:color w:val="000000"/>
                <w:sz w:val="24"/>
                <w:szCs w:val="24"/>
              </w:rPr>
              <w:t xml:space="preserve">1.7. vai uz darījumu ir piemērojama </w:t>
            </w:r>
            <w:r>
              <w:rPr>
                <w:color w:val="000000"/>
                <w:sz w:val="24"/>
                <w:szCs w:val="24"/>
              </w:rPr>
              <w:t xml:space="preserve">Eiropas Savienības </w:t>
            </w:r>
            <w:r w:rsidRPr="00A30019">
              <w:rPr>
                <w:color w:val="000000"/>
                <w:sz w:val="24"/>
                <w:szCs w:val="24"/>
              </w:rPr>
              <w:t>Padomes regula (EK) Nr. 139/2004 (2004. gada 20. janvāris) par kontroli pār uzņēmumu koncentrāciju (EK Apvienošanās Regula).</w:t>
            </w:r>
            <w:r>
              <w:rPr>
                <w:color w:val="000000"/>
                <w:sz w:val="24"/>
                <w:szCs w:val="24"/>
              </w:rPr>
              <w:t>”</w:t>
            </w:r>
          </w:p>
          <w:p w:rsidR="00A30019" w:rsidRDefault="00A30019" w:rsidP="00B23D8B"/>
        </w:tc>
      </w:tr>
      <w:tr w:rsidR="00C660BC" w:rsidRPr="00712B66" w:rsidTr="0097304D">
        <w:tc>
          <w:tcPr>
            <w:tcW w:w="1101" w:type="dxa"/>
            <w:tcBorders>
              <w:left w:val="single" w:sz="6" w:space="0" w:color="000000"/>
              <w:bottom w:val="single" w:sz="4" w:space="0" w:color="auto"/>
              <w:right w:val="single" w:sz="6" w:space="0" w:color="000000"/>
            </w:tcBorders>
          </w:tcPr>
          <w:p w:rsidR="00C660BC" w:rsidRDefault="00C660BC" w:rsidP="001203D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C660BC" w:rsidRDefault="00C660BC" w:rsidP="00351DBD">
            <w:pPr>
              <w:pStyle w:val="naisc"/>
              <w:spacing w:before="0" w:after="0"/>
              <w:jc w:val="left"/>
            </w:pPr>
          </w:p>
        </w:tc>
        <w:tc>
          <w:tcPr>
            <w:tcW w:w="5212" w:type="dxa"/>
            <w:tcBorders>
              <w:left w:val="single" w:sz="6" w:space="0" w:color="000000"/>
              <w:bottom w:val="single" w:sz="4" w:space="0" w:color="auto"/>
              <w:right w:val="single" w:sz="6" w:space="0" w:color="000000"/>
            </w:tcBorders>
          </w:tcPr>
          <w:p w:rsidR="00C660BC" w:rsidRPr="00CC54D9" w:rsidRDefault="00CC54D9" w:rsidP="00CC54D9">
            <w:pPr>
              <w:pStyle w:val="naisc"/>
              <w:spacing w:before="0" w:after="0"/>
              <w:jc w:val="both"/>
              <w:rPr>
                <w:b/>
                <w:bCs/>
              </w:rPr>
            </w:pPr>
            <w:r w:rsidRPr="00C660BC">
              <w:rPr>
                <w:b/>
                <w:bCs/>
              </w:rPr>
              <w:t xml:space="preserve">Tieslietu ministrijas 2020. gada 14. septembra atzinuma Nr. 1-9.1/954 </w:t>
            </w:r>
            <w:r>
              <w:rPr>
                <w:b/>
                <w:bCs/>
              </w:rPr>
              <w:t>5</w:t>
            </w:r>
            <w:r w:rsidRPr="00C660BC">
              <w:rPr>
                <w:b/>
                <w:bCs/>
              </w:rPr>
              <w:t>. iebildums</w:t>
            </w:r>
            <w:r w:rsidR="00E76927">
              <w:rPr>
                <w:b/>
                <w:bCs/>
              </w:rPr>
              <w:t xml:space="preserve">, Tieslietu ministrijas 2020.gada 25.septembra atzinuma </w:t>
            </w:r>
            <w:r w:rsidR="00E76927">
              <w:rPr>
                <w:b/>
                <w:bCs/>
              </w:rPr>
              <w:lastRenderedPageBreak/>
              <w:t>3.iebildums</w:t>
            </w:r>
            <w:r w:rsidR="009F2D7D">
              <w:rPr>
                <w:b/>
                <w:bCs/>
              </w:rPr>
              <w:t>, Tieslietu ministrijas 2020.gada 1.oktobra atzinuma 1.iebildums.</w:t>
            </w:r>
          </w:p>
          <w:p w:rsidR="00C660BC" w:rsidRPr="00C660BC" w:rsidRDefault="00C660BC" w:rsidP="00FF6561">
            <w:pPr>
              <w:pStyle w:val="NormalWeb"/>
              <w:jc w:val="both"/>
              <w:rPr>
                <w:b/>
                <w:bCs/>
                <w:color w:val="000000"/>
                <w:highlight w:val="yellow"/>
              </w:rPr>
            </w:pPr>
            <w:r w:rsidRPr="00C660BC">
              <w:t>No projekta anotācijas I sadaļas 2. punkta, kā arī paša projekta izriet, ka projekts saistāms ar vairāku Eiropas Savienības regulu ieviešanu. Ievērojot minēto, lūdzam aizpildīt projekta anotācijas V sadaļas 1. punktu un 1. tabulu saskaņā ar Ministru kabineta 2009. gada 15. decembra instrukcijas Nr. 19 “Tiesību akta projekta sākotnējās ietekmes izvērtēšanas kārtība” 55. un 56. punktu.</w:t>
            </w:r>
          </w:p>
        </w:tc>
        <w:tc>
          <w:tcPr>
            <w:tcW w:w="3860" w:type="dxa"/>
            <w:gridSpan w:val="2"/>
            <w:tcBorders>
              <w:left w:val="single" w:sz="6" w:space="0" w:color="000000"/>
              <w:bottom w:val="single" w:sz="4" w:space="0" w:color="auto"/>
              <w:right w:val="single" w:sz="6" w:space="0" w:color="000000"/>
            </w:tcBorders>
          </w:tcPr>
          <w:p w:rsidR="00C660BC" w:rsidRDefault="0048037B" w:rsidP="00C660BC">
            <w:pPr>
              <w:pStyle w:val="naisc"/>
              <w:spacing w:before="0" w:after="0"/>
              <w:rPr>
                <w:b/>
                <w:bCs/>
              </w:rPr>
            </w:pPr>
            <w:r>
              <w:rPr>
                <w:b/>
                <w:bCs/>
              </w:rPr>
              <w:lastRenderedPageBreak/>
              <w:t>Ņ</w:t>
            </w:r>
            <w:r w:rsidR="00C660BC">
              <w:rPr>
                <w:b/>
                <w:bCs/>
              </w:rPr>
              <w:t>emts vērā</w:t>
            </w:r>
          </w:p>
          <w:p w:rsidR="00A30019" w:rsidRDefault="00A30019" w:rsidP="00C660BC">
            <w:pPr>
              <w:pStyle w:val="naisc"/>
              <w:spacing w:before="0" w:after="0"/>
              <w:rPr>
                <w:b/>
                <w:bCs/>
              </w:rPr>
            </w:pPr>
          </w:p>
          <w:p w:rsidR="00A30019" w:rsidRDefault="00A30019" w:rsidP="00C660BC">
            <w:pPr>
              <w:pStyle w:val="naisc"/>
              <w:spacing w:before="0" w:after="0"/>
              <w:rPr>
                <w:b/>
                <w:bCs/>
              </w:rPr>
            </w:pPr>
          </w:p>
          <w:p w:rsidR="0048037B" w:rsidRDefault="00A30019" w:rsidP="00A30019">
            <w:pPr>
              <w:jc w:val="both"/>
              <w:rPr>
                <w:rFonts w:eastAsia="Calibri"/>
                <w:bCs/>
              </w:rPr>
            </w:pPr>
            <w:r w:rsidRPr="0097304D">
              <w:lastRenderedPageBreak/>
              <w:t>Projekts saistāms tikai ar</w:t>
            </w:r>
            <w:r>
              <w:rPr>
                <w:b/>
                <w:bCs/>
              </w:rPr>
              <w:t xml:space="preserve"> </w:t>
            </w:r>
            <w:r w:rsidRPr="00312F74">
              <w:rPr>
                <w:rFonts w:eastAsia="Calibri"/>
                <w:bCs/>
              </w:rPr>
              <w:t>Eiropas Parlamenta un Eiropas Padomes regulā (ES) 2019/452 (2019. gada 19. marts), ar ko izveido regulējumu ārvalstu tiešo ieguldījumu Savienībā izvērtēšanai,</w:t>
            </w:r>
            <w:r>
              <w:rPr>
                <w:rFonts w:eastAsia="Calibri"/>
                <w:bCs/>
              </w:rPr>
              <w:t xml:space="preserve"> ieviešanas prasībām</w:t>
            </w:r>
            <w:r w:rsidR="0048037B">
              <w:rPr>
                <w:rFonts w:eastAsia="Calibri"/>
                <w:bCs/>
              </w:rPr>
              <w:t>.</w:t>
            </w:r>
          </w:p>
          <w:p w:rsidR="00A30019" w:rsidRDefault="00A30019" w:rsidP="0048037B">
            <w:pPr>
              <w:jc w:val="both"/>
              <w:rPr>
                <w:b/>
                <w:bCs/>
              </w:rPr>
            </w:pPr>
          </w:p>
        </w:tc>
        <w:tc>
          <w:tcPr>
            <w:tcW w:w="2409" w:type="dxa"/>
            <w:tcBorders>
              <w:top w:val="single" w:sz="4" w:space="0" w:color="auto"/>
              <w:left w:val="single" w:sz="4" w:space="0" w:color="auto"/>
              <w:bottom w:val="single" w:sz="4" w:space="0" w:color="auto"/>
            </w:tcBorders>
            <w:vAlign w:val="center"/>
          </w:tcPr>
          <w:p w:rsidR="00C660BC" w:rsidRDefault="00C660BC" w:rsidP="00B23D8B"/>
        </w:tc>
      </w:tr>
      <w:tr w:rsidR="00CC54D9" w:rsidRPr="00712B66" w:rsidTr="0097304D">
        <w:tc>
          <w:tcPr>
            <w:tcW w:w="1101" w:type="dxa"/>
            <w:tcBorders>
              <w:left w:val="single" w:sz="6" w:space="0" w:color="000000"/>
              <w:bottom w:val="single" w:sz="4" w:space="0" w:color="auto"/>
              <w:right w:val="single" w:sz="6" w:space="0" w:color="000000"/>
            </w:tcBorders>
          </w:tcPr>
          <w:p w:rsidR="00CC54D9" w:rsidRDefault="00CC54D9" w:rsidP="001203D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AA7FF1" w:rsidRPr="00AA7FF1" w:rsidRDefault="00AA7FF1" w:rsidP="00AA7FF1">
            <w:pPr>
              <w:pStyle w:val="Title"/>
              <w:ind w:firstLine="709"/>
              <w:jc w:val="both"/>
              <w:outlineLvl w:val="0"/>
              <w:rPr>
                <w:color w:val="000000"/>
                <w:sz w:val="24"/>
                <w:szCs w:val="24"/>
              </w:rPr>
            </w:pPr>
            <w:r w:rsidRPr="00AA7FF1">
              <w:rPr>
                <w:color w:val="000000"/>
                <w:sz w:val="24"/>
                <w:szCs w:val="24"/>
              </w:rPr>
              <w:t xml:space="preserve">13.1. Ekonomikas ministrija saņemto informāciju </w:t>
            </w:r>
            <w:proofErr w:type="spellStart"/>
            <w:r w:rsidRPr="00AA7FF1">
              <w:rPr>
                <w:color w:val="000000"/>
                <w:sz w:val="24"/>
                <w:szCs w:val="24"/>
              </w:rPr>
              <w:t>nosūta</w:t>
            </w:r>
            <w:proofErr w:type="spellEnd"/>
            <w:r w:rsidRPr="00AA7FF1">
              <w:rPr>
                <w:color w:val="000000"/>
                <w:sz w:val="24"/>
                <w:szCs w:val="24"/>
              </w:rPr>
              <w:t xml:space="preserve"> valsts drošības iestādēm, kuras piecu darba dienu laikā izvērtē vai ārvalstu tiešais ieguldījums neapdraud nacionālo drošību un informē Ekonomikas ministriju par nodomu sniegt atzinumu par ārvalstu tiešo ieguldījumu citā dalībvalstī, ja tas apdraud nacionālās drošības intereses. Valsts drošības iestādes Ekonomikas ministrijai atzinumu </w:t>
            </w:r>
            <w:r w:rsidRPr="00AA7FF1">
              <w:rPr>
                <w:color w:val="000000"/>
                <w:sz w:val="24"/>
                <w:szCs w:val="24"/>
              </w:rPr>
              <w:lastRenderedPageBreak/>
              <w:t>par ārvalstu tiešo ieguldījumu sniedz ne vēlāk kā 10 darba dienu laikā no informācijas saņemšanas dienas;</w:t>
            </w:r>
          </w:p>
          <w:p w:rsidR="00CC54D9" w:rsidRPr="00AA7FF1" w:rsidRDefault="00CC54D9" w:rsidP="00AA7FF1">
            <w:pPr>
              <w:pStyle w:val="naisc"/>
              <w:spacing w:before="0" w:after="0"/>
              <w:jc w:val="both"/>
            </w:pPr>
          </w:p>
          <w:p w:rsidR="00AA7FF1" w:rsidRPr="00AA7FF1" w:rsidRDefault="00AA7FF1" w:rsidP="0048037B">
            <w:pPr>
              <w:pStyle w:val="Title"/>
              <w:ind w:firstLine="34"/>
              <w:jc w:val="both"/>
              <w:outlineLvl w:val="0"/>
              <w:rPr>
                <w:color w:val="000000"/>
                <w:sz w:val="24"/>
                <w:szCs w:val="24"/>
              </w:rPr>
            </w:pPr>
            <w:r w:rsidRPr="00AA7FF1">
              <w:rPr>
                <w:color w:val="000000"/>
                <w:sz w:val="24"/>
                <w:szCs w:val="24"/>
              </w:rPr>
              <w:t xml:space="preserve">16. Ja Eiropas Komisija šo noteikumu 15. punktā minētajā gadījumā ir sniegusi atzinumu par tādu ārvalstu tiešo ieguldījumu, kuru neizvērtē saskaņā ar Nacionālās drošības likuma VI nodaļas noteikumiem, bet tas varētu ietekmēt Eiropas Savienības interešu projektus un programmas saskaņā ar regulas (ES) Nr. 2019/452 pielikumu, valsts drošības iestādes 10 darba dienu laikā no pieprasījuma saņemšanas sniedz informāciju Ekonomikas ministrijai un pēc </w:t>
            </w:r>
            <w:r w:rsidRPr="00AA7FF1">
              <w:rPr>
                <w:color w:val="000000"/>
                <w:sz w:val="24"/>
                <w:szCs w:val="24"/>
              </w:rPr>
              <w:lastRenderedPageBreak/>
              <w:t>nepieciešamības attiecīgajām institūcijām, kas sniedz priekšlikumus par politikas veidošanu, vai minētais darījums apdraud nacionālās drošības intereses.”.</w:t>
            </w:r>
          </w:p>
        </w:tc>
        <w:tc>
          <w:tcPr>
            <w:tcW w:w="5212" w:type="dxa"/>
            <w:tcBorders>
              <w:left w:val="single" w:sz="6" w:space="0" w:color="000000"/>
              <w:bottom w:val="single" w:sz="4" w:space="0" w:color="auto"/>
              <w:right w:val="single" w:sz="6" w:space="0" w:color="000000"/>
            </w:tcBorders>
          </w:tcPr>
          <w:p w:rsidR="00CC54D9" w:rsidRDefault="00CC54D9" w:rsidP="00CC54D9">
            <w:pPr>
              <w:pStyle w:val="naisc"/>
              <w:spacing w:before="0" w:after="0"/>
              <w:jc w:val="both"/>
              <w:rPr>
                <w:b/>
                <w:bCs/>
              </w:rPr>
            </w:pPr>
            <w:r>
              <w:rPr>
                <w:b/>
                <w:bCs/>
              </w:rPr>
              <w:lastRenderedPageBreak/>
              <w:t>Satversmes aizsardzības biroja 2020. gada 14. septembra atzinuma Nr. 5.2-10/20/481 iebildums</w:t>
            </w:r>
          </w:p>
          <w:p w:rsidR="00CC54D9" w:rsidRDefault="00CC54D9" w:rsidP="00CC54D9">
            <w:pPr>
              <w:pStyle w:val="naisc"/>
              <w:spacing w:before="0" w:after="0"/>
              <w:jc w:val="both"/>
              <w:rPr>
                <w:b/>
                <w:bCs/>
              </w:rPr>
            </w:pPr>
          </w:p>
          <w:p w:rsidR="00CC54D9" w:rsidRDefault="00CC54D9" w:rsidP="00CC54D9">
            <w:pPr>
              <w:pStyle w:val="naisc"/>
              <w:spacing w:before="0" w:after="0"/>
              <w:jc w:val="both"/>
            </w:pPr>
            <w:r>
              <w:t>Noteikumu projekts paredz valsts drošības iestādēm nesamērīgi īsus termiņus informācijas sniegšanai. Kā norādīts anotācijā, Regula paredz, ka atzinumi un komentāri dalībvalstīm un Komisijai sniedzami ne vēlāk kā 35 dienu laikā. Lūdzam izvērtēt informācijas sniegšanas termiņu nosakot to vismaz 15 darba dienas.</w:t>
            </w:r>
          </w:p>
          <w:p w:rsidR="00CC54D9" w:rsidRDefault="00CC54D9" w:rsidP="00CC54D9">
            <w:pPr>
              <w:pStyle w:val="naisc"/>
              <w:spacing w:before="0" w:after="0"/>
              <w:jc w:val="both"/>
            </w:pPr>
            <w:r>
              <w:t xml:space="preserve">Vēršam uzmanību uz Satversmes aizsardzības biroja likumā un Valsts drošības iestāžu likumā noteikto SAB kompetenci un līdzšinējo praksi. SAB likumā noteiktās kompetences ietvaros informāciju sniedz Ministru kabinetam, Saeimas Nacionālās drošības komisijai un Nacionālās drošības padomei to funkciju izpildei un lēmumu pieņemšanai. SAB ir arī Nacionālās drošības iestāde un sadarbojas ar citu valstu drošības institūcijām nepastarpināti un citā kārtībā. Izlūkošanas un pretizlūkošanas ceļā iegūtā informācija ir klasificēta kā valsts noslēpums un ir </w:t>
            </w:r>
            <w:r>
              <w:lastRenderedPageBreak/>
              <w:t>nododama trešajai pusei tikai ar SAB direktora atļauju.</w:t>
            </w:r>
          </w:p>
          <w:p w:rsidR="00F75CA9" w:rsidRDefault="00F75CA9" w:rsidP="00CC54D9">
            <w:pPr>
              <w:pStyle w:val="naisc"/>
              <w:spacing w:before="0" w:after="0"/>
              <w:jc w:val="both"/>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p>
          <w:p w:rsidR="00F75CA9" w:rsidRDefault="00F75CA9" w:rsidP="00F75CA9">
            <w:pPr>
              <w:pStyle w:val="naisc"/>
              <w:spacing w:before="0" w:after="0"/>
              <w:jc w:val="both"/>
              <w:rPr>
                <w:b/>
                <w:bCs/>
              </w:rPr>
            </w:pPr>
            <w:r>
              <w:rPr>
                <w:b/>
                <w:bCs/>
              </w:rPr>
              <w:t>Satversmes aizsardzības biroja 2020. gada 22. septembra atzinuma Nr. 5.2-10/20/490 iebildums</w:t>
            </w:r>
          </w:p>
          <w:p w:rsidR="00F75CA9" w:rsidRDefault="00F75CA9" w:rsidP="00CC54D9">
            <w:pPr>
              <w:pStyle w:val="naisc"/>
              <w:spacing w:before="0" w:after="0"/>
              <w:jc w:val="both"/>
            </w:pPr>
            <w:r>
              <w:t xml:space="preserve">Noteikumu projekta 13.1.apakšpunkts paredz, ka valsts drošības iestādes septiņu darba dienu laikā izvērtē vai ārvalstu tiešais ieguldījums neapdraud nacionālo drošību un informē Ekonomikas ministriju par nodomu sniegt atzinumu par ārvalstu tiešo ieguldījumu citā dalībvalstī, ja tas apdraud nacionālās drošības intereses. Valsts drošības iestādes Ekonomikas ministrijai atzinumu par ārvalstu tiešo ieguldījumu sniedz ne vēlāk kā 15 darba dienu laikā no informācijas saņemšanas dienas. No noteikumu projekta un anotācijas nav saprotams, vai valsts drošības iestādei ir jāsniedz </w:t>
            </w:r>
            <w:r>
              <w:lastRenderedPageBreak/>
              <w:t>atbilde Ekonomikas ministrijai divas reizes vai vienu reizi. Lai mazinātu birokrātisko slogu, lūdzam ieviest noklusējuma procedūru gadījumos, kad SAB rīcībā nav negatīva rakstura informācija.</w:t>
            </w:r>
          </w:p>
          <w:p w:rsidR="00F75CA9" w:rsidRDefault="00F75CA9" w:rsidP="00CC54D9">
            <w:pPr>
              <w:pStyle w:val="naisc"/>
              <w:spacing w:before="0" w:after="0"/>
              <w:jc w:val="both"/>
            </w:pPr>
          </w:p>
          <w:p w:rsidR="00F75CA9" w:rsidRDefault="00F75CA9" w:rsidP="00CC54D9">
            <w:pPr>
              <w:pStyle w:val="naisc"/>
              <w:spacing w:before="0" w:after="0"/>
              <w:jc w:val="both"/>
            </w:pPr>
            <w:r>
              <w:t>Lūdzam Noteikumu projekta 15. un 16.punktā precizēt terminoloģiju – ieguldījums/ darījums neapdraud vai apdraud nacionālās drošības intereses.</w:t>
            </w:r>
          </w:p>
          <w:p w:rsidR="00F75CA9" w:rsidRDefault="00F75CA9" w:rsidP="00CC54D9">
            <w:pPr>
              <w:pStyle w:val="naisc"/>
              <w:spacing w:before="0" w:after="0"/>
              <w:jc w:val="both"/>
            </w:pPr>
          </w:p>
          <w:p w:rsidR="002112B5" w:rsidRDefault="00F75CA9" w:rsidP="00CC54D9">
            <w:pPr>
              <w:pStyle w:val="naisc"/>
              <w:spacing w:before="0" w:after="0"/>
              <w:jc w:val="both"/>
            </w:pPr>
            <w:r>
              <w:t>Vēršam uzmanību uz Satversmes aizsardzības biroja l</w:t>
            </w:r>
            <w:r w:rsidR="002112B5">
              <w:t>i</w:t>
            </w:r>
            <w:r>
              <w:t>kumā un Valsts drošības iestāžu likumā noteikto SAB kompetenci un līdzšinējo praksi. Izlūkošanas un pretizlūkošanas ceļā iegūtā informācija ir klasificēta kā valsts noslēpums un tā netiks nodota citai pusei vai citai valstij pa vairākiem kanāliem.</w:t>
            </w:r>
          </w:p>
          <w:p w:rsidR="00F75CA9" w:rsidRDefault="00F75CA9" w:rsidP="00CC54D9">
            <w:pPr>
              <w:pStyle w:val="naisc"/>
              <w:spacing w:before="0" w:after="0"/>
              <w:jc w:val="both"/>
            </w:pPr>
          </w:p>
          <w:p w:rsidR="00F75CA9" w:rsidRPr="00CC54D9" w:rsidRDefault="00F75CA9" w:rsidP="00CC54D9">
            <w:pPr>
              <w:pStyle w:val="naisc"/>
              <w:spacing w:before="0" w:after="0"/>
              <w:jc w:val="both"/>
            </w:pPr>
          </w:p>
        </w:tc>
        <w:tc>
          <w:tcPr>
            <w:tcW w:w="3860" w:type="dxa"/>
            <w:gridSpan w:val="2"/>
            <w:tcBorders>
              <w:left w:val="single" w:sz="6" w:space="0" w:color="000000"/>
              <w:bottom w:val="single" w:sz="4" w:space="0" w:color="auto"/>
              <w:right w:val="single" w:sz="6" w:space="0" w:color="000000"/>
            </w:tcBorders>
          </w:tcPr>
          <w:p w:rsidR="00CC54D9" w:rsidRDefault="006405D6" w:rsidP="00C660BC">
            <w:pPr>
              <w:pStyle w:val="naisc"/>
              <w:spacing w:before="0" w:after="0"/>
              <w:rPr>
                <w:b/>
                <w:bCs/>
              </w:rPr>
            </w:pPr>
            <w:r>
              <w:rPr>
                <w:b/>
                <w:bCs/>
              </w:rPr>
              <w:lastRenderedPageBreak/>
              <w:t>Ņemts vērā</w:t>
            </w:r>
          </w:p>
          <w:p w:rsidR="006405D6" w:rsidRDefault="006405D6" w:rsidP="00C660BC">
            <w:pPr>
              <w:pStyle w:val="naisc"/>
              <w:spacing w:before="0" w:after="0"/>
              <w:rPr>
                <w:b/>
                <w:bCs/>
              </w:rPr>
            </w:pPr>
          </w:p>
          <w:p w:rsidR="006405D6" w:rsidRDefault="006405D6" w:rsidP="00C660BC">
            <w:pPr>
              <w:pStyle w:val="naisc"/>
              <w:spacing w:before="0" w:after="0"/>
              <w:rPr>
                <w:b/>
                <w:bCs/>
              </w:rPr>
            </w:pPr>
          </w:p>
          <w:p w:rsidR="006405D6" w:rsidRDefault="006405D6" w:rsidP="00C660BC">
            <w:pPr>
              <w:pStyle w:val="naisc"/>
              <w:spacing w:before="0" w:after="0"/>
              <w:rPr>
                <w:b/>
                <w:bCs/>
              </w:rPr>
            </w:pPr>
          </w:p>
          <w:p w:rsidR="006405D6" w:rsidRDefault="00030511" w:rsidP="006405D6">
            <w:pPr>
              <w:pStyle w:val="naisc"/>
              <w:spacing w:before="0" w:after="0"/>
              <w:jc w:val="both"/>
            </w:pPr>
            <w:r>
              <w:t>Precizēts Noteikumu projekta 1.9. apakšpunkts (Noteikumu 13.1.punkts</w:t>
            </w:r>
            <w:r w:rsidR="00AA7FF1">
              <w:t xml:space="preserve"> un 16. punkts). Proti, p</w:t>
            </w:r>
            <w:r w:rsidR="006405D6">
              <w:t>ar nodom</w:t>
            </w:r>
            <w:r w:rsidR="00AA7FF1">
              <w:t>u</w:t>
            </w:r>
            <w:r w:rsidR="006405D6">
              <w:t xml:space="preserve"> iesniegt komentārus paredzēts, ka valsts drošības iestādēm kontaktpunkts jāinformē 7 darba dienu laikā, jo Komisijai un dalībvalstīm šī informācija sniedzama 15 kalendāro dienu laikā. Piemēram, ja kontaktpunkts informāciju saņem 15.09.2020., tad Komisijai un dalībvalstīm par nodomu iesniegt komentārus jāziņo līdz 30.09.2020. Līdz valsts drošības dienestiem šī informācija varētu nonākt 16.09.2020., tātad valsts drošības iestādēm līdz 25.09.2020. jāsniedz informācija kontaktpunktam. </w:t>
            </w:r>
            <w:r w:rsidR="006405D6">
              <w:lastRenderedPageBreak/>
              <w:t xml:space="preserve">Savukārt kontaktpunkts šo informāciju saņemtu 28.09.2020., tādējādi paliek viena diena rezervē, lai ziņotu Komisijai un dalībvalstīm. </w:t>
            </w:r>
          </w:p>
          <w:p w:rsidR="006405D6" w:rsidRDefault="006405D6" w:rsidP="006405D6">
            <w:pPr>
              <w:pStyle w:val="naisc"/>
              <w:spacing w:before="0" w:after="0"/>
              <w:jc w:val="both"/>
            </w:pPr>
            <w:r>
              <w:t>Tāpat arī ņemts vērā un noteikts 15 dienu termiņš atzinumu sniegšanai. Lai gan Regulā paredzētas 35 kalendārās dienas atzinuma sniegšanai, tomēr jāņem vērā, ka kontaktpunktam būs nepieciešams arī laiks, lai sagatavotu komentārus</w:t>
            </w:r>
            <w:r w:rsidR="00EC0202">
              <w:t>, turklāt jāņem vērā brīvdienas un arī svētku dienas.</w:t>
            </w:r>
          </w:p>
          <w:p w:rsidR="006405D6" w:rsidRDefault="006405D6" w:rsidP="006405D6">
            <w:pPr>
              <w:pStyle w:val="naisc"/>
              <w:spacing w:before="0" w:after="0"/>
              <w:jc w:val="both"/>
            </w:pPr>
            <w:r>
              <w:t xml:space="preserve">Ņemta vērā arī SAB kompetence attiecībā uz informācija sniegšanu, </w:t>
            </w:r>
            <w:r w:rsidR="00EC0202">
              <w:t>precizēts Noteikumu projekts, ka tiek sniegts atzinums.</w:t>
            </w:r>
          </w:p>
          <w:p w:rsidR="002112B5" w:rsidRDefault="002112B5" w:rsidP="006405D6">
            <w:pPr>
              <w:pStyle w:val="naisc"/>
              <w:spacing w:before="0" w:after="0"/>
              <w:jc w:val="both"/>
            </w:pPr>
          </w:p>
          <w:p w:rsidR="002112B5" w:rsidRDefault="002112B5" w:rsidP="006405D6">
            <w:pPr>
              <w:pStyle w:val="naisc"/>
              <w:spacing w:before="0" w:after="0"/>
              <w:jc w:val="both"/>
            </w:pPr>
          </w:p>
          <w:p w:rsidR="002112B5" w:rsidRPr="002112B5" w:rsidRDefault="002112B5" w:rsidP="002112B5">
            <w:pPr>
              <w:pStyle w:val="naisc"/>
              <w:spacing w:before="0" w:after="0"/>
              <w:rPr>
                <w:b/>
                <w:bCs/>
              </w:rPr>
            </w:pPr>
            <w:r w:rsidRPr="002112B5">
              <w:rPr>
                <w:b/>
                <w:bCs/>
              </w:rPr>
              <w:t>Ņemts vērā</w:t>
            </w:r>
          </w:p>
          <w:p w:rsidR="002112B5" w:rsidRDefault="002112B5" w:rsidP="002112B5">
            <w:pPr>
              <w:pStyle w:val="naisc"/>
              <w:spacing w:before="0" w:after="0"/>
              <w:jc w:val="both"/>
            </w:pPr>
            <w:r>
              <w:t xml:space="preserve">Precizēts projekts un papildināta anotācija. Vienlaikus vēršam uzmanību, ka kontaktpunkts pārsūtīs tālāk dalībvalstīm drošības iestāžu sniegto informāciju. Ņemot vērā minēto, katrai drošības iestādei būs jāizvērtē sniegtās informācijas saturs un apjoms. Ņemot vērā Valsts drošības iestāžu likumā noteikto valsts drošības iestāžu kompetenci tieši valsts drošības iestādes būs atbildīgas par to, vai sniedzot informāciju tās izpilda likumā </w:t>
            </w:r>
            <w:r>
              <w:lastRenderedPageBreak/>
              <w:t>paredzētās funkcijas, sniedzot vai nesniedzot informāciju caur kontaktpunktu</w:t>
            </w:r>
            <w:r w:rsidR="00AD216E">
              <w:t>, kā arī normatīvo aktu ievērošanu.</w:t>
            </w:r>
          </w:p>
          <w:p w:rsidR="002112B5" w:rsidRDefault="002112B5" w:rsidP="002112B5">
            <w:pPr>
              <w:pStyle w:val="naisc"/>
              <w:spacing w:before="0" w:after="0"/>
              <w:jc w:val="both"/>
            </w:pPr>
          </w:p>
          <w:p w:rsidR="002112B5" w:rsidRPr="006405D6" w:rsidRDefault="002112B5" w:rsidP="002112B5">
            <w:pPr>
              <w:pStyle w:val="naisc"/>
              <w:spacing w:before="0" w:after="0"/>
              <w:jc w:val="both"/>
            </w:pPr>
          </w:p>
        </w:tc>
        <w:tc>
          <w:tcPr>
            <w:tcW w:w="2409" w:type="dxa"/>
            <w:tcBorders>
              <w:top w:val="single" w:sz="4" w:space="0" w:color="auto"/>
              <w:left w:val="single" w:sz="4" w:space="0" w:color="auto"/>
              <w:bottom w:val="single" w:sz="4" w:space="0" w:color="auto"/>
            </w:tcBorders>
            <w:vAlign w:val="center"/>
          </w:tcPr>
          <w:p w:rsidR="00CC54D9" w:rsidRPr="00AA7FF1" w:rsidRDefault="00AA7FF1" w:rsidP="00AA7FF1">
            <w:pPr>
              <w:jc w:val="both"/>
            </w:pPr>
            <w:r w:rsidRPr="00AA7FF1">
              <w:lastRenderedPageBreak/>
              <w:t xml:space="preserve">13.1. Ekonomikas ministrija saņemto informāciju </w:t>
            </w:r>
            <w:proofErr w:type="spellStart"/>
            <w:r w:rsidRPr="00AA7FF1">
              <w:t>nosūta</w:t>
            </w:r>
            <w:proofErr w:type="spellEnd"/>
            <w:r w:rsidRPr="00AA7FF1">
              <w:t xml:space="preserve"> valsts drošības iestādēm un informācijai Ārlietu ministrijai. Valsts drošības iestādes septiņu darba dienu laikā izvērtē vai ārvalstu tiešais ieguldījums neapdraud nacionālo drošību un informē Ekonomikas ministriju par nodomu sniegt atzinumu par ārvalstu tiešo ieguldījumu citā dalībvalstī, ja tas apdraud nacionālās drošības intereses. Valsts drošības </w:t>
            </w:r>
            <w:r w:rsidRPr="00AA7FF1">
              <w:lastRenderedPageBreak/>
              <w:t>iestādes Ekonomikas ministrijai atzinumu par ārvalstu tiešo ieguldījumu sniedz ne vēlāk kā 15 darba dienu laikā no informācijas saņemšanas dienas;</w:t>
            </w:r>
          </w:p>
          <w:p w:rsidR="00AA7FF1" w:rsidRPr="00AA7FF1" w:rsidRDefault="00AA7FF1" w:rsidP="00AA7FF1">
            <w:pPr>
              <w:jc w:val="both"/>
            </w:pPr>
          </w:p>
          <w:p w:rsidR="00AA7FF1" w:rsidRPr="00AA7FF1" w:rsidRDefault="00AA7FF1" w:rsidP="00AA7FF1">
            <w:pPr>
              <w:pStyle w:val="Title"/>
              <w:ind w:firstLine="709"/>
              <w:jc w:val="both"/>
              <w:outlineLvl w:val="0"/>
              <w:rPr>
                <w:sz w:val="24"/>
                <w:szCs w:val="24"/>
              </w:rPr>
            </w:pPr>
            <w:r w:rsidRPr="00AA7FF1">
              <w:rPr>
                <w:sz w:val="24"/>
                <w:szCs w:val="24"/>
              </w:rPr>
              <w:t xml:space="preserve">16. Ja Eiropas Komisija šo noteikumu 15. punktā minētajā gadījumā ir sniegusi atzinumu par tādu ārvalstu tiešo ieguldījumu, kuru neizvērtē saskaņā ar Nacionālās drošības likuma VI nodaļas noteikumiem, bet tas varētu ietekmēt Eiropas Savienības interešu projektus un programmas saskaņā ar regulas (ES) Nr. 2019/452 pielikumu, valsts drošības iestādes 15 darba dienu laikā no pieprasījuma saņemšanas sniedz atzinumu Ekonomikas ministrijai un pēc </w:t>
            </w:r>
            <w:r w:rsidRPr="00AA7FF1">
              <w:rPr>
                <w:sz w:val="24"/>
                <w:szCs w:val="24"/>
              </w:rPr>
              <w:lastRenderedPageBreak/>
              <w:t>nepieciešamības savas kompetences ietvaros informē attiecīgās institūcijas, kas sniedz priekšlikumus par politikas veidošanu, vai minētais darījums apdraud nacionālās drošības intereses.”.</w:t>
            </w:r>
          </w:p>
          <w:p w:rsidR="00AA7FF1" w:rsidRPr="00AA7FF1" w:rsidRDefault="00AA7FF1" w:rsidP="00AA7FF1">
            <w:pPr>
              <w:jc w:val="both"/>
            </w:pPr>
          </w:p>
        </w:tc>
      </w:tr>
      <w:tr w:rsidR="00AA7FF1" w:rsidRPr="00712B66" w:rsidTr="0097304D">
        <w:tc>
          <w:tcPr>
            <w:tcW w:w="1101" w:type="dxa"/>
            <w:tcBorders>
              <w:left w:val="single" w:sz="6" w:space="0" w:color="000000"/>
              <w:bottom w:val="single" w:sz="4" w:space="0" w:color="auto"/>
              <w:right w:val="single" w:sz="6" w:space="0" w:color="000000"/>
            </w:tcBorders>
          </w:tcPr>
          <w:p w:rsidR="00AA7FF1" w:rsidRDefault="00AA7FF1" w:rsidP="00AA7FF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AA7FF1" w:rsidRPr="00AA7FF1" w:rsidRDefault="00AA7FF1" w:rsidP="00AA7FF1">
            <w:pPr>
              <w:pStyle w:val="Title"/>
              <w:ind w:firstLine="34"/>
              <w:jc w:val="both"/>
              <w:outlineLvl w:val="0"/>
              <w:rPr>
                <w:color w:val="000000"/>
                <w:sz w:val="24"/>
                <w:szCs w:val="24"/>
              </w:rPr>
            </w:pPr>
            <w:r w:rsidRPr="00AA7FF1">
              <w:rPr>
                <w:color w:val="000000"/>
                <w:sz w:val="24"/>
                <w:szCs w:val="24"/>
              </w:rPr>
              <w:t xml:space="preserve">13.1. Ekonomikas ministrija saņemto informāciju </w:t>
            </w:r>
            <w:proofErr w:type="spellStart"/>
            <w:r w:rsidRPr="00AA7FF1">
              <w:rPr>
                <w:color w:val="000000"/>
                <w:sz w:val="24"/>
                <w:szCs w:val="24"/>
              </w:rPr>
              <w:t>nosūta</w:t>
            </w:r>
            <w:proofErr w:type="spellEnd"/>
            <w:r w:rsidRPr="00AA7FF1">
              <w:rPr>
                <w:color w:val="000000"/>
                <w:sz w:val="24"/>
                <w:szCs w:val="24"/>
              </w:rPr>
              <w:t xml:space="preserve"> valsts drošības iestādēm, kuras piecu darba dienu laikā izvērtē vai ārvalstu tiešais ieguldījums neapdraud nacionālo drošību un informē Ekonomikas ministriju par nodomu sniegt atzinumu par ārvalstu tiešo ieguldījumu citā </w:t>
            </w:r>
            <w:r w:rsidRPr="00AA7FF1">
              <w:rPr>
                <w:color w:val="000000"/>
                <w:sz w:val="24"/>
                <w:szCs w:val="24"/>
              </w:rPr>
              <w:lastRenderedPageBreak/>
              <w:t>dalībvalstī, ja tas apdraud nacionālās drošības intereses. Valsts drošības iestādes Ekonomikas ministrijai atzinumu par ārvalstu tiešo ieguldījumu sniedz ne vēlāk kā 10 darba dienu laikā no informācijas saņemšanas dienas;</w:t>
            </w:r>
          </w:p>
          <w:p w:rsidR="00AA7FF1" w:rsidRPr="00AA7FF1" w:rsidRDefault="00AA7FF1" w:rsidP="00AA7FF1">
            <w:pPr>
              <w:pStyle w:val="naisc"/>
              <w:spacing w:before="0" w:after="0"/>
              <w:jc w:val="both"/>
            </w:pPr>
          </w:p>
          <w:p w:rsidR="00AA7FF1" w:rsidRDefault="00AA7FF1" w:rsidP="00AA7FF1">
            <w:pPr>
              <w:pStyle w:val="naisc"/>
              <w:spacing w:before="0" w:after="0"/>
              <w:jc w:val="both"/>
            </w:pPr>
            <w:r w:rsidRPr="00AA7FF1">
              <w:rPr>
                <w:color w:val="000000"/>
              </w:rPr>
              <w:t xml:space="preserve">16. Ja Eiropas Komisija šo noteikumu 15. punktā minētajā gadījumā ir sniegusi atzinumu par tādu ārvalstu tiešo ieguldījumu, kuru neizvērtē saskaņā ar Nacionālās drošības likuma VI nodaļas noteikumiem, bet tas varētu ietekmēt Eiropas Savienības interešu projektus un programmas saskaņā ar regulas (ES) Nr. 2019/452 pielikumu, valsts drošības iestādes 10 </w:t>
            </w:r>
            <w:r w:rsidRPr="00AA7FF1">
              <w:rPr>
                <w:color w:val="000000"/>
              </w:rPr>
              <w:lastRenderedPageBreak/>
              <w:t>darba dienu laikā no pieprasījuma saņemšanas sniedz informāciju Ekonomikas ministrijai un pēc nepieciešamības attiecīgajām institūcijām, kas sniedz priekšlikumus par politikas veidošanu, vai minētais darījums apdraud nacionālās drošības intereses.”.</w:t>
            </w:r>
          </w:p>
        </w:tc>
        <w:tc>
          <w:tcPr>
            <w:tcW w:w="5212" w:type="dxa"/>
            <w:tcBorders>
              <w:left w:val="single" w:sz="6" w:space="0" w:color="000000"/>
              <w:bottom w:val="single" w:sz="4" w:space="0" w:color="auto"/>
              <w:right w:val="single" w:sz="6" w:space="0" w:color="000000"/>
            </w:tcBorders>
          </w:tcPr>
          <w:p w:rsidR="00AA7FF1" w:rsidRDefault="00AA7FF1" w:rsidP="00AA7FF1">
            <w:pPr>
              <w:pStyle w:val="naisc"/>
              <w:spacing w:before="0" w:after="0"/>
              <w:jc w:val="both"/>
              <w:rPr>
                <w:b/>
                <w:bCs/>
              </w:rPr>
            </w:pPr>
            <w:r>
              <w:rPr>
                <w:b/>
                <w:bCs/>
              </w:rPr>
              <w:lastRenderedPageBreak/>
              <w:t>Valsts drošības dienesta 2020. gada 14. septembra atzinuma (elektroniskā pasta vēstule) iebildums.</w:t>
            </w:r>
          </w:p>
          <w:p w:rsidR="00AA7FF1" w:rsidRDefault="00AA7FF1" w:rsidP="00AA7FF1">
            <w:pPr>
              <w:pStyle w:val="naisc"/>
              <w:spacing w:before="0" w:after="0"/>
              <w:jc w:val="both"/>
              <w:rPr>
                <w:b/>
                <w:bCs/>
              </w:rPr>
            </w:pPr>
          </w:p>
          <w:p w:rsidR="00AA7FF1" w:rsidRDefault="00AA7FF1" w:rsidP="00AA7FF1">
            <w:pPr>
              <w:spacing w:after="160" w:line="252" w:lineRule="auto"/>
              <w:jc w:val="both"/>
              <w:rPr>
                <w:sz w:val="22"/>
                <w:szCs w:val="22"/>
              </w:rPr>
            </w:pPr>
            <w:r>
              <w:t xml:space="preserve">Atbilstoši izstrādātajam projektam, valsts drošības iestādēm paredzēts Ekonomikas ministrijai 5 darba dienu laikā būs jāsniedz informācija par nodomu sniegt atzinumu, bet atzinuma sniegšanai valsts drošības iestādēm atvēlētas 10 darba dienas. Izvērtējot Regulā ietvertos nosacījumus informācijas un atzinuma sniegšanas termiņiem, secināms, ka atzinuma sniegšanai ir paredzētas 35 kalendārās dienas jeb 5 nedēļas. VDD norāda, ka citās Eiropas Savienības dalībvalstīs veikto ārvalstu ieguldījumu ietekmes uz Latvijas nacionālo drošību </w:t>
            </w:r>
            <w:r>
              <w:lastRenderedPageBreak/>
              <w:t>izvērtēšanai būtu vēlams atvēlēt iespējami daudz laika. Atbilstoši līdzšinējai pieredzei, piemērojot Nacionālās drošības likumā izveidoto procedūru un izvērtējot Latvijā veikta ieguldījuma savietojamību ar nacionālajām drošības interesēm, risku apzināšanai, izvērtēšanai un formulēšanai var būt nepieciešams ievērojami lielāks laiks par 10 darba dienām.</w:t>
            </w:r>
          </w:p>
          <w:p w:rsidR="00AA7FF1" w:rsidRPr="003D6DD6" w:rsidRDefault="00AA7FF1" w:rsidP="00AA7FF1">
            <w:pPr>
              <w:spacing w:after="160" w:line="252" w:lineRule="auto"/>
              <w:jc w:val="both"/>
            </w:pPr>
            <w:r>
              <w:t xml:space="preserve">Ņemot vērā minēto, VDD aicina Ekonomikas ministriju Noteikumu projektā valsts drošības iestādēm paredzēto 10 darba dienu termiņu atzinuma sniegšanai noteikt iespējami garāku, bet ne īsāku par 15 darba dienām. </w:t>
            </w:r>
          </w:p>
        </w:tc>
        <w:tc>
          <w:tcPr>
            <w:tcW w:w="3860" w:type="dxa"/>
            <w:gridSpan w:val="2"/>
            <w:tcBorders>
              <w:left w:val="single" w:sz="6" w:space="0" w:color="000000"/>
              <w:bottom w:val="single" w:sz="4" w:space="0" w:color="auto"/>
              <w:right w:val="single" w:sz="6" w:space="0" w:color="000000"/>
            </w:tcBorders>
          </w:tcPr>
          <w:p w:rsidR="00AA7FF1" w:rsidRDefault="00AA7FF1" w:rsidP="00AA7FF1">
            <w:pPr>
              <w:pStyle w:val="naisc"/>
              <w:spacing w:before="0" w:after="0"/>
              <w:rPr>
                <w:b/>
                <w:bCs/>
              </w:rPr>
            </w:pPr>
            <w:r>
              <w:rPr>
                <w:b/>
                <w:bCs/>
              </w:rPr>
              <w:lastRenderedPageBreak/>
              <w:t>Ņemts vērā</w:t>
            </w:r>
          </w:p>
          <w:p w:rsidR="00AA7FF1" w:rsidRDefault="00AA7FF1" w:rsidP="00AA7FF1">
            <w:pPr>
              <w:pStyle w:val="naisc"/>
              <w:spacing w:before="0" w:after="0"/>
              <w:rPr>
                <w:b/>
                <w:bCs/>
              </w:rPr>
            </w:pPr>
          </w:p>
          <w:p w:rsidR="00AA7FF1" w:rsidRDefault="00AA7FF1" w:rsidP="00AA7FF1">
            <w:pPr>
              <w:pStyle w:val="naisc"/>
              <w:spacing w:before="0" w:after="0"/>
              <w:rPr>
                <w:b/>
                <w:bCs/>
              </w:rPr>
            </w:pPr>
          </w:p>
          <w:p w:rsidR="00AA7FF1" w:rsidRDefault="00AA7FF1" w:rsidP="00AA7FF1">
            <w:pPr>
              <w:pStyle w:val="naisc"/>
              <w:spacing w:before="0" w:after="0"/>
              <w:rPr>
                <w:b/>
                <w:bCs/>
              </w:rPr>
            </w:pPr>
          </w:p>
          <w:p w:rsidR="00AA7FF1" w:rsidRDefault="00AA7FF1" w:rsidP="00AA7FF1">
            <w:pPr>
              <w:pStyle w:val="naisc"/>
              <w:spacing w:before="0" w:after="0"/>
              <w:jc w:val="both"/>
            </w:pPr>
            <w:r>
              <w:t xml:space="preserve">Precizēts Noteikumu projekta 1.9. apakšpunkts (Noteikumu 13.1.punkts un 16. punkts). Proti, par nodomu iesniegt komentārus paredzēts, ka valsts drošības iestādēm kontaktpunkts jāinformē 7 darba dienu laikā, jo Komisijai un dalībvalstīm šī informācija sniedzama 15 kalendāro dienu laikā. Piemēram, ja kontaktpunkts informāciju saņem 15.09.2020., tad Komisijai un </w:t>
            </w:r>
            <w:r>
              <w:lastRenderedPageBreak/>
              <w:t xml:space="preserve">dalībvalstīm par nodomu iesniegt komentārus jāziņo līdz 30.09.2020. Līdz valsts drošības dienestiem šī informācija varētu nonākt 16.09.2020., tātad valsts drošības iestādēm līdz 25.09.2020. jāsniedz informācija kontaktpunktam. Savukārt kontaktpunkts šo informāciju saņemtu 28.09.2020., tādējādi paliek viena diena rezervē, lai ziņotu Komisijai un dalībvalstīm. </w:t>
            </w:r>
          </w:p>
          <w:p w:rsidR="00AA7FF1" w:rsidRDefault="00AA7FF1" w:rsidP="00AA7FF1">
            <w:pPr>
              <w:pStyle w:val="naisc"/>
              <w:spacing w:before="0" w:after="0"/>
              <w:jc w:val="both"/>
            </w:pPr>
            <w:r>
              <w:t>Tāpat arī ņemts vērā un noteikts 15 dienu termiņš atzinumu sniegšanai. Lai gan Regulā paredzētas 35 kalendārās dienas atzinuma sniegšanai, tomēr jāņem vērā, ka kontaktpunktam būs nepieciešams arī laiks, lai sagatavotu komentārus, turklāt jāņem vērā brīvdienas un arī svētku dienas.</w:t>
            </w:r>
          </w:p>
          <w:p w:rsidR="00AA7FF1" w:rsidRPr="00EC0202" w:rsidRDefault="00AA7FF1" w:rsidP="00AA7FF1">
            <w:pPr>
              <w:pStyle w:val="naisc"/>
              <w:spacing w:before="0" w:after="0"/>
              <w:jc w:val="both"/>
            </w:pPr>
          </w:p>
        </w:tc>
        <w:tc>
          <w:tcPr>
            <w:tcW w:w="2409" w:type="dxa"/>
            <w:tcBorders>
              <w:top w:val="single" w:sz="4" w:space="0" w:color="auto"/>
              <w:left w:val="single" w:sz="4" w:space="0" w:color="auto"/>
              <w:bottom w:val="single" w:sz="4" w:space="0" w:color="auto"/>
            </w:tcBorders>
            <w:vAlign w:val="center"/>
          </w:tcPr>
          <w:p w:rsidR="00AA7FF1" w:rsidRPr="00AA7FF1" w:rsidRDefault="00AA7FF1" w:rsidP="00AA7FF1">
            <w:pPr>
              <w:jc w:val="both"/>
            </w:pPr>
            <w:r w:rsidRPr="00AA7FF1">
              <w:lastRenderedPageBreak/>
              <w:t xml:space="preserve">13.1. Ekonomikas ministrija saņemto informāciju </w:t>
            </w:r>
            <w:proofErr w:type="spellStart"/>
            <w:r w:rsidRPr="00AA7FF1">
              <w:t>nosūta</w:t>
            </w:r>
            <w:proofErr w:type="spellEnd"/>
            <w:r w:rsidRPr="00AA7FF1">
              <w:t xml:space="preserve"> valsts drošības iestādēm un informācijai Ārlietu ministrijai. Valsts drošības iestādes septiņu darba dienu laikā izvērtē vai ārvalstu tiešais ieguldījums neapdraud nacionālo drošību un informē Ekonomikas ministriju par nodomu </w:t>
            </w:r>
            <w:r w:rsidRPr="00AA7FF1">
              <w:lastRenderedPageBreak/>
              <w:t>sniegt atzinumu par ārvalstu tiešo ieguldījumu citā dalībvalstī, ja tas apdraud nacionālās drošības intereses. Valsts drošības iestādes Ekonomikas ministrijai atzinumu par ārvalstu tiešo ieguldījumu sniedz ne vēlāk kā 15 darba dienu laikā no informācijas saņemšanas dienas;</w:t>
            </w:r>
          </w:p>
          <w:p w:rsidR="00AA7FF1" w:rsidRPr="00AA7FF1" w:rsidRDefault="00AA7FF1" w:rsidP="00AA7FF1">
            <w:pPr>
              <w:jc w:val="both"/>
            </w:pPr>
          </w:p>
          <w:p w:rsidR="00AA7FF1" w:rsidRPr="00AA7FF1" w:rsidRDefault="00AA7FF1" w:rsidP="00AA7FF1">
            <w:pPr>
              <w:pStyle w:val="Title"/>
              <w:ind w:firstLine="34"/>
              <w:jc w:val="both"/>
              <w:outlineLvl w:val="0"/>
              <w:rPr>
                <w:sz w:val="24"/>
                <w:szCs w:val="24"/>
              </w:rPr>
            </w:pPr>
            <w:r w:rsidRPr="00AA7FF1">
              <w:rPr>
                <w:sz w:val="24"/>
                <w:szCs w:val="24"/>
              </w:rPr>
              <w:t xml:space="preserve">16. Ja Eiropas Komisija šo noteikumu 15. punktā minētajā gadījumā ir sniegusi atzinumu par tādu ārvalstu tiešo ieguldījumu, kuru neizvērtē saskaņā ar Nacionālās drošības likuma VI nodaļas noteikumiem, bet tas varētu ietekmēt Eiropas Savienības interešu projektus un programmas saskaņā ar regulas (ES) Nr. 2019/452 </w:t>
            </w:r>
            <w:r w:rsidRPr="00AA7FF1">
              <w:rPr>
                <w:sz w:val="24"/>
                <w:szCs w:val="24"/>
              </w:rPr>
              <w:lastRenderedPageBreak/>
              <w:t>pielikumu, valsts drošības iestādes 15 darba dienu laikā no pieprasījuma saņemšanas sniedz atzinumu Ekonomikas ministrijai un pēc nepieciešamības savas kompetences ietvaros informē attiecīgās institūcijas, kas sniedz priekšlikumus par politikas veidošanu, vai minētais darījums apdraud nacionālās drošības intereses.”.</w:t>
            </w:r>
          </w:p>
          <w:p w:rsidR="00AA7FF1" w:rsidRPr="00AA7FF1" w:rsidRDefault="00AA7FF1" w:rsidP="00AA7FF1">
            <w:pPr>
              <w:jc w:val="both"/>
            </w:pPr>
          </w:p>
        </w:tc>
      </w:tr>
      <w:tr w:rsidR="00AA7FF1" w:rsidRPr="00712B66" w:rsidTr="0097304D">
        <w:tc>
          <w:tcPr>
            <w:tcW w:w="1101" w:type="dxa"/>
            <w:tcBorders>
              <w:left w:val="single" w:sz="6" w:space="0" w:color="000000"/>
              <w:bottom w:val="single" w:sz="4" w:space="0" w:color="auto"/>
              <w:right w:val="single" w:sz="6" w:space="0" w:color="000000"/>
            </w:tcBorders>
          </w:tcPr>
          <w:p w:rsidR="00AA7FF1" w:rsidRDefault="00AA7FF1" w:rsidP="00AA7FF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AA7FF1" w:rsidRDefault="00AA7FF1" w:rsidP="00AA7FF1">
            <w:pPr>
              <w:pStyle w:val="naisc"/>
              <w:spacing w:before="0" w:after="0"/>
              <w:jc w:val="left"/>
            </w:pPr>
          </w:p>
        </w:tc>
        <w:tc>
          <w:tcPr>
            <w:tcW w:w="5212" w:type="dxa"/>
            <w:tcBorders>
              <w:left w:val="single" w:sz="6" w:space="0" w:color="000000"/>
              <w:bottom w:val="single" w:sz="4" w:space="0" w:color="auto"/>
              <w:right w:val="single" w:sz="6" w:space="0" w:color="000000"/>
            </w:tcBorders>
          </w:tcPr>
          <w:p w:rsidR="00AA7FF1" w:rsidRDefault="00AA7FF1" w:rsidP="00AA7FF1">
            <w:pPr>
              <w:pStyle w:val="naisc"/>
              <w:spacing w:before="0" w:after="0"/>
              <w:jc w:val="both"/>
              <w:rPr>
                <w:b/>
                <w:bCs/>
              </w:rPr>
            </w:pPr>
            <w:r>
              <w:rPr>
                <w:b/>
                <w:bCs/>
              </w:rPr>
              <w:t>Ārlietu ministrijas 2020. gada 17. septembra atzinuma Nr</w:t>
            </w:r>
            <w:r w:rsidRPr="00B56439">
              <w:rPr>
                <w:b/>
                <w:bCs/>
              </w:rPr>
              <w:t>. 32-17767</w:t>
            </w:r>
            <w:r>
              <w:rPr>
                <w:b/>
                <w:bCs/>
              </w:rPr>
              <w:t xml:space="preserve"> </w:t>
            </w:r>
            <w:r w:rsidR="006C2EF7">
              <w:rPr>
                <w:b/>
                <w:bCs/>
              </w:rPr>
              <w:t>un Ārlietu ministrijas 2020. gada 23. septembra atzinuma Nr</w:t>
            </w:r>
            <w:r w:rsidR="006C2EF7" w:rsidRPr="00B56439">
              <w:rPr>
                <w:b/>
                <w:bCs/>
              </w:rPr>
              <w:t>. </w:t>
            </w:r>
            <w:r w:rsidR="006C2EF7" w:rsidRPr="006C2EF7">
              <w:rPr>
                <w:b/>
                <w:bCs/>
              </w:rPr>
              <w:t>32-18413</w:t>
            </w:r>
            <w:r w:rsidR="006C2EF7">
              <w:rPr>
                <w:b/>
                <w:bCs/>
              </w:rPr>
              <w:t xml:space="preserve"> </w:t>
            </w:r>
            <w:r>
              <w:rPr>
                <w:b/>
                <w:bCs/>
              </w:rPr>
              <w:t>1. iebildums</w:t>
            </w:r>
          </w:p>
          <w:p w:rsidR="006C2EF7" w:rsidRDefault="006C2EF7" w:rsidP="00AA7FF1">
            <w:pPr>
              <w:pStyle w:val="naisc"/>
              <w:spacing w:before="0" w:after="0"/>
              <w:jc w:val="both"/>
              <w:rPr>
                <w:b/>
                <w:bCs/>
              </w:rPr>
            </w:pPr>
          </w:p>
          <w:p w:rsidR="00AA7FF1" w:rsidRDefault="00AA7FF1" w:rsidP="00AA7FF1">
            <w:pPr>
              <w:spacing w:before="120"/>
              <w:jc w:val="both"/>
            </w:pPr>
            <w:r w:rsidRPr="00BF1765">
              <w:t xml:space="preserve">Noteikumu projekts nosaka tādu ārvalstu tiešo investīciju izskatīšanu, kuras saskaņā ar Latvijas nacionālo regulējumu netiek izvērtētas, bet par kurām ziņo </w:t>
            </w:r>
            <w:r>
              <w:t>Eiropas Komisija vai dalībvalsts</w:t>
            </w:r>
            <w:r w:rsidRPr="00BF1765">
              <w:t xml:space="preserve"> saskaņā ar </w:t>
            </w:r>
            <w:r>
              <w:t>ES Regulu 2019/452</w:t>
            </w:r>
            <w:r w:rsidRPr="00BF1765">
              <w:t>.</w:t>
            </w:r>
            <w:r>
              <w:t xml:space="preserve"> Ārlietu ministrija vērš uzmanību, ka minētajos gadījumos Latvijai nebūtu tiesisku instrumentu vērsties pret šādu ārvalstu investoru, jo noteikumu projekts to neparedz. Ārlietu ministrijas ieskatā nepieciešama atsevišķa mehānisma izveidošana šādām situācijām.</w:t>
            </w:r>
          </w:p>
          <w:p w:rsidR="00AA7FF1" w:rsidRDefault="00AA7FF1" w:rsidP="00AA7FF1">
            <w:pPr>
              <w:ind w:firstLine="720"/>
              <w:jc w:val="both"/>
              <w:rPr>
                <w:rFonts w:cs="Calibri"/>
              </w:rPr>
            </w:pPr>
            <w:r>
              <w:lastRenderedPageBreak/>
              <w:t xml:space="preserve">Latvijai nav arī tiesiskā mehānisma, lai identificētu un atteiktu ārvalstu investīcijas, par kuru izvērtēšanu </w:t>
            </w:r>
            <w:r w:rsidRPr="00BF1765">
              <w:t xml:space="preserve">nav </w:t>
            </w:r>
            <w:r>
              <w:t>nacionālā tiesiskā regulējuma</w:t>
            </w:r>
            <w:r w:rsidRPr="00BF1765">
              <w:t xml:space="preserve"> un par kurām Latvijai neziņo E</w:t>
            </w:r>
            <w:r>
              <w:t xml:space="preserve">iropas </w:t>
            </w:r>
            <w:r w:rsidRPr="00BF1765">
              <w:t>K</w:t>
            </w:r>
            <w:r>
              <w:t>omisija</w:t>
            </w:r>
            <w:r w:rsidRPr="00BF1765">
              <w:t xml:space="preserve"> vai kād</w:t>
            </w:r>
            <w:r>
              <w:t>a</w:t>
            </w:r>
            <w:r w:rsidRPr="00BF1765">
              <w:t xml:space="preserve"> no </w:t>
            </w:r>
            <w:r>
              <w:t>dalībvalstīm</w:t>
            </w:r>
            <w:r w:rsidRPr="00BF1765">
              <w:t xml:space="preserve">, bet kuras </w:t>
            </w:r>
            <w:r>
              <w:t>ir</w:t>
            </w:r>
            <w:r w:rsidRPr="00BF1765">
              <w:t xml:space="preserve"> minētas </w:t>
            </w:r>
            <w:r>
              <w:t>ES Regulā 2019/452</w:t>
            </w:r>
            <w:r w:rsidRPr="00BF1765">
              <w:t xml:space="preserve"> un varētu apdraudēt valsts drošību un sabiedrisko kārtību. </w:t>
            </w:r>
            <w:r w:rsidRPr="00B56439">
              <w:rPr>
                <w:rFonts w:cs="Calibri"/>
              </w:rPr>
              <w:t xml:space="preserve">Piemēram, tas varētu skart kritisko infrastruktūru (fizisku vai virtuālu) tādās </w:t>
            </w:r>
            <w:r>
              <w:t>ES Regulā 2019/452</w:t>
            </w:r>
            <w:r w:rsidRPr="00B56439">
              <w:rPr>
                <w:rFonts w:cs="Calibri"/>
              </w:rPr>
              <w:t xml:space="preserve"> minētajās jomās kā veselība, piekļuve personu datiem, datu apstrāde un glabāšana, mākslīgais intelekts, vēlēšanu infrastruktūra, kvantu, kodol- un </w:t>
            </w:r>
            <w:proofErr w:type="spellStart"/>
            <w:r w:rsidRPr="00B56439">
              <w:rPr>
                <w:rFonts w:cs="Calibri"/>
              </w:rPr>
              <w:t>nano</w:t>
            </w:r>
            <w:proofErr w:type="spellEnd"/>
            <w:r w:rsidRPr="00B56439">
              <w:rPr>
                <w:rFonts w:cs="Calibri"/>
              </w:rPr>
              <w:t>-, un biotehnoloģijas. Pamatojoties uz šo, Ārlietu ministrija arī nevar piekrist attiecīgajai Anotācijas 1.daļas 2.2 punkta daļai.</w:t>
            </w:r>
          </w:p>
          <w:p w:rsidR="006C2EF7" w:rsidRDefault="006C2EF7" w:rsidP="00AA7FF1">
            <w:pPr>
              <w:ind w:firstLine="720"/>
              <w:jc w:val="both"/>
              <w:rPr>
                <w:rFonts w:cs="Calibri"/>
              </w:rPr>
            </w:pPr>
          </w:p>
          <w:p w:rsidR="006C2EF7" w:rsidRDefault="006C2EF7" w:rsidP="006C2EF7">
            <w:pPr>
              <w:jc w:val="both"/>
              <w:rPr>
                <w:b/>
                <w:bCs/>
              </w:rPr>
            </w:pPr>
          </w:p>
        </w:tc>
        <w:tc>
          <w:tcPr>
            <w:tcW w:w="3860" w:type="dxa"/>
            <w:gridSpan w:val="2"/>
            <w:tcBorders>
              <w:left w:val="single" w:sz="6" w:space="0" w:color="000000"/>
              <w:bottom w:val="single" w:sz="4" w:space="0" w:color="auto"/>
              <w:right w:val="single" w:sz="6" w:space="0" w:color="000000"/>
            </w:tcBorders>
          </w:tcPr>
          <w:p w:rsidR="00AA7FF1" w:rsidRDefault="00AA7FF1" w:rsidP="00AA7FF1">
            <w:pPr>
              <w:pStyle w:val="naisc"/>
              <w:spacing w:before="0" w:after="0"/>
              <w:rPr>
                <w:b/>
                <w:bCs/>
              </w:rPr>
            </w:pPr>
            <w:r>
              <w:rPr>
                <w:b/>
                <w:bCs/>
              </w:rPr>
              <w:lastRenderedPageBreak/>
              <w:t>Ņemts vērā</w:t>
            </w:r>
          </w:p>
          <w:p w:rsidR="00AA7FF1" w:rsidRDefault="00AA7FF1" w:rsidP="00AA7FF1">
            <w:pPr>
              <w:pStyle w:val="naisc"/>
              <w:spacing w:before="0" w:after="0"/>
              <w:rPr>
                <w:b/>
                <w:bCs/>
              </w:rPr>
            </w:pPr>
          </w:p>
          <w:p w:rsidR="00AA7FF1" w:rsidRDefault="00AA7FF1" w:rsidP="00AA7FF1">
            <w:pPr>
              <w:pStyle w:val="naisc"/>
              <w:spacing w:before="0" w:after="0"/>
              <w:jc w:val="both"/>
            </w:pPr>
            <w:r>
              <w:t xml:space="preserve">Noteikumu projekta mērķis ir noteikt kontaktpunktu un informācijas apmaiņas kārtību saskaņā ar Regulu. Neskatoties uz to, ka Regulā ietverts noteikums, ka dalībvalstis var uzturēt papildināt un grozīt savus izvērtēšanas mehānismus, pamatā </w:t>
            </w:r>
            <w:r w:rsidR="00BD1446">
              <w:t>R</w:t>
            </w:r>
            <w:r>
              <w:t>egula paredz, ka sadarbība notiek jau esošā izvērtēšanas mehānisma ietvaros.</w:t>
            </w:r>
          </w:p>
          <w:p w:rsidR="00AA7FF1" w:rsidRPr="00C42DD1" w:rsidRDefault="00AA7FF1" w:rsidP="00AA7FF1">
            <w:pPr>
              <w:pStyle w:val="naisc"/>
              <w:spacing w:before="0" w:after="0"/>
              <w:jc w:val="both"/>
              <w:rPr>
                <w:shd w:val="clear" w:color="auto" w:fill="FFFFFF"/>
              </w:rPr>
            </w:pPr>
            <w:r>
              <w:t xml:space="preserve">Proti, Noteikumu projekts par ārvalstu tiešajiem ieguldījumiem, kurus neizvērtē, paredz, kā arī anotācijā skaidrots, ka par šīm lietām saņemtā </w:t>
            </w:r>
            <w:r>
              <w:lastRenderedPageBreak/>
              <w:t xml:space="preserve">informācija tiks pārsūtīta valsts drošības iestādēm kuras, </w:t>
            </w:r>
            <w:r w:rsidRPr="00C42DD1">
              <w:t xml:space="preserve">konstatējot riskus, ir kompetentās institūcijas saskaņā ar Valsts drošības iestāžu likumu. Minētā likuma </w:t>
            </w:r>
            <w:r w:rsidRPr="00C42DD1">
              <w:rPr>
                <w:rFonts w:eastAsia="Calibri"/>
                <w:bCs/>
              </w:rPr>
              <w:t xml:space="preserve">10. panta 4. punktā noteikts, ka valsts drošības iestāžu uzdevums ir </w:t>
            </w:r>
            <w:r w:rsidRPr="00C42DD1">
              <w:rPr>
                <w:shd w:val="clear" w:color="auto" w:fill="FFFFFF"/>
              </w:rPr>
              <w:t> valsts drošības</w:t>
            </w:r>
            <w:r w:rsidRPr="00C42DD1">
              <w:rPr>
                <w:rFonts w:ascii="Arial" w:hAnsi="Arial" w:cs="Arial"/>
                <w:shd w:val="clear" w:color="auto" w:fill="FFFFFF"/>
              </w:rPr>
              <w:t xml:space="preserve"> </w:t>
            </w:r>
            <w:r w:rsidRPr="00C42DD1">
              <w:rPr>
                <w:shd w:val="clear" w:color="auto" w:fill="FFFFFF"/>
              </w:rPr>
              <w:t>apdraudējumu novēršana vai neitralizācija.</w:t>
            </w:r>
            <w:r w:rsidR="0048037B" w:rsidRPr="00C42DD1">
              <w:rPr>
                <w:shd w:val="clear" w:color="auto" w:fill="FFFFFF"/>
              </w:rPr>
              <w:t xml:space="preserve"> Tostarp, minētā likuma panta 3. punktā paredzēta arī likumdošanas iniciatīva.</w:t>
            </w:r>
          </w:p>
          <w:p w:rsidR="00AA7FF1" w:rsidRPr="00030511" w:rsidRDefault="00C42DD1" w:rsidP="00AA7FF1">
            <w:pPr>
              <w:jc w:val="both"/>
              <w:rPr>
                <w:bCs/>
              </w:rPr>
            </w:pPr>
            <w:r w:rsidRPr="00C42DD1">
              <w:rPr>
                <w:bCs/>
              </w:rPr>
              <w:t>Tāpat vēršam uzmanību, ka j</w:t>
            </w:r>
            <w:r w:rsidR="00EA671C" w:rsidRPr="00C42DD1">
              <w:rPr>
                <w:bCs/>
              </w:rPr>
              <w:t>autājum</w:t>
            </w:r>
            <w:r w:rsidRPr="00C42DD1">
              <w:rPr>
                <w:bCs/>
              </w:rPr>
              <w:t>u</w:t>
            </w:r>
            <w:r w:rsidR="00EA671C" w:rsidRPr="00C42DD1">
              <w:rPr>
                <w:bCs/>
              </w:rPr>
              <w:t xml:space="preserve"> saistībā ar tiesiskā regulējuma pilnveidi </w:t>
            </w:r>
            <w:r w:rsidRPr="00C42DD1">
              <w:rPr>
                <w:bCs/>
              </w:rPr>
              <w:t>Ministru kabinets ir izskatījis 2020.gada 24.septembra sēdē (s</w:t>
            </w:r>
            <w:r w:rsidRPr="00C42DD1">
              <w:rPr>
                <w:shd w:val="clear" w:color="auto" w:fill="FFFFFF"/>
              </w:rPr>
              <w:t>ēdes protokola Nr.38 25.§)</w:t>
            </w:r>
            <w:r w:rsidRPr="00C42DD1">
              <w:rPr>
                <w:bCs/>
              </w:rPr>
              <w:t>.</w:t>
            </w:r>
          </w:p>
        </w:tc>
        <w:tc>
          <w:tcPr>
            <w:tcW w:w="2409" w:type="dxa"/>
            <w:tcBorders>
              <w:top w:val="single" w:sz="4" w:space="0" w:color="auto"/>
              <w:left w:val="single" w:sz="4" w:space="0" w:color="auto"/>
              <w:bottom w:val="single" w:sz="4" w:space="0" w:color="auto"/>
            </w:tcBorders>
            <w:vAlign w:val="center"/>
          </w:tcPr>
          <w:p w:rsidR="00AA7FF1" w:rsidRDefault="00AA7FF1" w:rsidP="00AA7FF1"/>
        </w:tc>
      </w:tr>
      <w:tr w:rsidR="00AA7FF1" w:rsidRPr="00712B66" w:rsidTr="0097304D">
        <w:tc>
          <w:tcPr>
            <w:tcW w:w="1101" w:type="dxa"/>
            <w:tcBorders>
              <w:left w:val="single" w:sz="6" w:space="0" w:color="000000"/>
              <w:bottom w:val="single" w:sz="4" w:space="0" w:color="auto"/>
              <w:right w:val="single" w:sz="6" w:space="0" w:color="000000"/>
            </w:tcBorders>
          </w:tcPr>
          <w:p w:rsidR="00AA7FF1" w:rsidRDefault="00AA7FF1" w:rsidP="00AA7FF1">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AA7FF1" w:rsidRPr="00356780" w:rsidRDefault="00AA7FF1" w:rsidP="00AA7FF1">
            <w:pPr>
              <w:pStyle w:val="Title"/>
              <w:ind w:firstLine="709"/>
              <w:jc w:val="both"/>
              <w:outlineLvl w:val="0"/>
              <w:rPr>
                <w:color w:val="000000"/>
                <w:sz w:val="24"/>
                <w:szCs w:val="24"/>
              </w:rPr>
            </w:pPr>
            <w:r w:rsidRPr="00356780">
              <w:rPr>
                <w:color w:val="000000"/>
                <w:sz w:val="24"/>
                <w:szCs w:val="24"/>
              </w:rPr>
              <w:t xml:space="preserve">13.1. Ekonomikas ministrija saņemto informāciju </w:t>
            </w:r>
            <w:proofErr w:type="spellStart"/>
            <w:r w:rsidRPr="00356780">
              <w:rPr>
                <w:color w:val="000000"/>
                <w:sz w:val="24"/>
                <w:szCs w:val="24"/>
              </w:rPr>
              <w:t>nosūta</w:t>
            </w:r>
            <w:proofErr w:type="spellEnd"/>
            <w:r w:rsidRPr="00356780">
              <w:rPr>
                <w:color w:val="000000"/>
                <w:sz w:val="24"/>
                <w:szCs w:val="24"/>
              </w:rPr>
              <w:t xml:space="preserve"> valsts drošības iestādēm, kuras piecu darba dienu laikā izvērtē vai ārvalstu tiešais ieguldījums neapdraud nacionālo drošību un informē Ekonomikas ministriju par nodomu sniegt atzinumu par ārvalstu tiešo ieguldījumu citā </w:t>
            </w:r>
            <w:r w:rsidRPr="00356780">
              <w:rPr>
                <w:color w:val="000000"/>
                <w:sz w:val="24"/>
                <w:szCs w:val="24"/>
              </w:rPr>
              <w:lastRenderedPageBreak/>
              <w:t>dalībvalstī, ja tas apdraud nacionālās drošības intereses. Valsts drošības iestādes Ekonomikas ministrijai atzinumu par ārvalstu tiešo ieguldījumu sniedz ne vēlāk kā 10 darba dienu laikā no informācijas saņemšanas dienas;</w:t>
            </w:r>
          </w:p>
          <w:p w:rsidR="00AA7FF1" w:rsidRPr="00356780" w:rsidRDefault="00AA7FF1" w:rsidP="00AA7FF1">
            <w:pPr>
              <w:pStyle w:val="naisc"/>
              <w:spacing w:before="0" w:after="0"/>
              <w:jc w:val="both"/>
            </w:pPr>
          </w:p>
          <w:p w:rsidR="00AA7FF1" w:rsidRPr="00356780" w:rsidRDefault="00AA7FF1" w:rsidP="00AA7FF1">
            <w:pPr>
              <w:pStyle w:val="Title"/>
              <w:ind w:firstLine="709"/>
              <w:jc w:val="both"/>
              <w:outlineLvl w:val="0"/>
              <w:rPr>
                <w:color w:val="000000"/>
                <w:sz w:val="24"/>
                <w:szCs w:val="24"/>
              </w:rPr>
            </w:pPr>
            <w:r w:rsidRPr="00356780">
              <w:rPr>
                <w:color w:val="000000"/>
                <w:sz w:val="24"/>
                <w:szCs w:val="24"/>
              </w:rPr>
              <w:t xml:space="preserve">15. Ekonomikas ministrija nekavējoties </w:t>
            </w:r>
            <w:proofErr w:type="spellStart"/>
            <w:r w:rsidRPr="00356780">
              <w:rPr>
                <w:color w:val="000000"/>
                <w:sz w:val="24"/>
                <w:szCs w:val="24"/>
              </w:rPr>
              <w:t>nosūta</w:t>
            </w:r>
            <w:proofErr w:type="spellEnd"/>
            <w:r w:rsidRPr="00356780">
              <w:rPr>
                <w:color w:val="000000"/>
                <w:sz w:val="24"/>
                <w:szCs w:val="24"/>
              </w:rPr>
              <w:t xml:space="preserve"> valsts drošības iestādēm no Eiropas Komisijas vai dalībvalsts saņemto atzinumu vai komentārus par tādu ārvalstu tiešo ieguldījumu, kuru neizvērtē saskaņā ar Nacionālās drošības likuma VI nodaļas noteikumiem. Valsts drošības iestādes mēneša laikā no pieprasījuma saņemšanas sniedz informāciju </w:t>
            </w:r>
            <w:r w:rsidRPr="00356780">
              <w:rPr>
                <w:color w:val="000000"/>
                <w:sz w:val="24"/>
                <w:szCs w:val="24"/>
              </w:rPr>
              <w:lastRenderedPageBreak/>
              <w:t>Ekonomikas ministrijai un pēc nepieciešamības attiecīgajām institūcijām, kas sniedz priekšlikumus par politikas veidošanu, vai ārvalstu tiešais ieguldījums neapdraud nacionālās drošības intereses.</w:t>
            </w:r>
          </w:p>
          <w:p w:rsidR="00AA7FF1" w:rsidRPr="00356780" w:rsidRDefault="00AA7FF1" w:rsidP="00AA7FF1">
            <w:pPr>
              <w:pStyle w:val="Title"/>
              <w:ind w:firstLine="34"/>
              <w:jc w:val="both"/>
              <w:outlineLvl w:val="0"/>
              <w:rPr>
                <w:color w:val="000000"/>
                <w:sz w:val="24"/>
                <w:szCs w:val="24"/>
              </w:rPr>
            </w:pPr>
            <w:r w:rsidRPr="00356780">
              <w:rPr>
                <w:color w:val="000000"/>
                <w:sz w:val="24"/>
                <w:szCs w:val="24"/>
              </w:rPr>
              <w:t xml:space="preserve">17.1. nekavējoties to </w:t>
            </w:r>
            <w:proofErr w:type="spellStart"/>
            <w:r w:rsidRPr="00356780">
              <w:rPr>
                <w:color w:val="000000"/>
                <w:sz w:val="24"/>
                <w:szCs w:val="24"/>
              </w:rPr>
              <w:t>nosūta</w:t>
            </w:r>
            <w:proofErr w:type="spellEnd"/>
            <w:r w:rsidRPr="00356780">
              <w:rPr>
                <w:color w:val="000000"/>
                <w:sz w:val="24"/>
                <w:szCs w:val="24"/>
              </w:rPr>
              <w:t xml:space="preserve"> valsts drošības iestādēm atzinuma sniegšanai. Valsts drošības iestādes atzinumā norāda, vai ārvalstu tiešais ieguldījums neapdraud nacionālās drošības intereses;</w:t>
            </w:r>
          </w:p>
          <w:p w:rsidR="00AA7FF1" w:rsidRPr="00356780" w:rsidRDefault="00AA7FF1" w:rsidP="00AA7FF1">
            <w:pPr>
              <w:pStyle w:val="naisc"/>
              <w:spacing w:before="0" w:after="0"/>
              <w:jc w:val="both"/>
            </w:pPr>
          </w:p>
        </w:tc>
        <w:tc>
          <w:tcPr>
            <w:tcW w:w="5212" w:type="dxa"/>
            <w:tcBorders>
              <w:left w:val="single" w:sz="6" w:space="0" w:color="000000"/>
              <w:bottom w:val="single" w:sz="4" w:space="0" w:color="auto"/>
              <w:right w:val="single" w:sz="6" w:space="0" w:color="000000"/>
            </w:tcBorders>
          </w:tcPr>
          <w:p w:rsidR="00AA7FF1" w:rsidRDefault="00AA7FF1" w:rsidP="00AA7FF1">
            <w:pPr>
              <w:pStyle w:val="naisc"/>
              <w:spacing w:before="0" w:after="0"/>
              <w:jc w:val="both"/>
              <w:rPr>
                <w:b/>
                <w:bCs/>
              </w:rPr>
            </w:pPr>
            <w:r>
              <w:rPr>
                <w:b/>
                <w:bCs/>
              </w:rPr>
              <w:lastRenderedPageBreak/>
              <w:t>Ārlietu ministrijas 2020. gada 17. septembra atzinuma Nr</w:t>
            </w:r>
            <w:r w:rsidRPr="00B56439">
              <w:rPr>
                <w:b/>
                <w:bCs/>
              </w:rPr>
              <w:t>. 32-17767</w:t>
            </w:r>
            <w:r>
              <w:rPr>
                <w:b/>
                <w:bCs/>
              </w:rPr>
              <w:t xml:space="preserve"> 2. iebildums</w:t>
            </w:r>
          </w:p>
          <w:p w:rsidR="00861FE4" w:rsidRDefault="00861FE4" w:rsidP="00AA7FF1">
            <w:pPr>
              <w:pStyle w:val="naisc"/>
              <w:spacing w:before="0" w:after="0"/>
              <w:jc w:val="both"/>
              <w:rPr>
                <w:b/>
                <w:bCs/>
              </w:rPr>
            </w:pPr>
          </w:p>
          <w:p w:rsidR="00AA7FF1" w:rsidRDefault="00AA7FF1" w:rsidP="00AA7FF1">
            <w:pPr>
              <w:pStyle w:val="naisc"/>
              <w:spacing w:before="0" w:after="0"/>
              <w:jc w:val="both"/>
              <w:rPr>
                <w:b/>
                <w:bCs/>
              </w:rPr>
            </w:pPr>
          </w:p>
          <w:p w:rsidR="00AA7FF1" w:rsidRDefault="00AA7FF1" w:rsidP="00AA7FF1">
            <w:pPr>
              <w:pStyle w:val="naisc"/>
              <w:spacing w:before="0" w:after="0"/>
              <w:jc w:val="both"/>
            </w:pPr>
            <w:r w:rsidRPr="00BF1765">
              <w:t>Ņemot vērā</w:t>
            </w:r>
            <w:r>
              <w:t xml:space="preserve"> tiešo ārvalstu investīciju </w:t>
            </w:r>
            <w:r w:rsidRPr="00BF1765">
              <w:t>jautājuma ārpolitisko raksturu un</w:t>
            </w:r>
            <w:r>
              <w:t xml:space="preserve"> iespējamu</w:t>
            </w:r>
            <w:r w:rsidRPr="00BF1765">
              <w:t xml:space="preserve"> </w:t>
            </w:r>
            <w:proofErr w:type="spellStart"/>
            <w:r w:rsidRPr="00BF1765">
              <w:t>sensitivitāti</w:t>
            </w:r>
            <w:proofErr w:type="spellEnd"/>
            <w:r w:rsidRPr="00BF1765">
              <w:t>, vērtējam, ka informācijas apmaiņas un viedokļa sniegšanas procesos ir vairāk iesaistāma Ārlietu ministrija.</w:t>
            </w:r>
          </w:p>
          <w:p w:rsidR="0099305C" w:rsidRDefault="0099305C" w:rsidP="00AA7FF1">
            <w:pPr>
              <w:pStyle w:val="naisc"/>
              <w:spacing w:before="0" w:after="0"/>
              <w:jc w:val="both"/>
            </w:pPr>
          </w:p>
          <w:p w:rsidR="0099305C" w:rsidRDefault="0099305C" w:rsidP="0099305C">
            <w:pPr>
              <w:pStyle w:val="naisc"/>
              <w:spacing w:before="0" w:after="0"/>
              <w:jc w:val="both"/>
              <w:rPr>
                <w:b/>
                <w:bCs/>
              </w:rPr>
            </w:pPr>
            <w:r>
              <w:rPr>
                <w:b/>
                <w:bCs/>
              </w:rPr>
              <w:t>Ārlietu ministrijas 2020.gada 23.septembra atzinum</w:t>
            </w:r>
            <w:r w:rsidR="0065268B">
              <w:rPr>
                <w:b/>
                <w:bCs/>
              </w:rPr>
              <w:t>a</w:t>
            </w:r>
            <w:r>
              <w:rPr>
                <w:b/>
                <w:bCs/>
              </w:rPr>
              <w:t xml:space="preserve"> Nr.32-18413 </w:t>
            </w:r>
            <w:r w:rsidR="0065268B">
              <w:rPr>
                <w:b/>
                <w:bCs/>
              </w:rPr>
              <w:t>un 2020.gada 5.oktobra atzinuma Nr.</w:t>
            </w:r>
            <w:r w:rsidR="0065268B">
              <w:t xml:space="preserve"> </w:t>
            </w:r>
            <w:r w:rsidR="0065268B" w:rsidRPr="0065268B">
              <w:rPr>
                <w:b/>
                <w:bCs/>
              </w:rPr>
              <w:t xml:space="preserve">32-19240 </w:t>
            </w:r>
            <w:r>
              <w:rPr>
                <w:b/>
                <w:bCs/>
              </w:rPr>
              <w:t>2.iebildums</w:t>
            </w:r>
          </w:p>
          <w:p w:rsidR="0099305C" w:rsidRDefault="0099305C" w:rsidP="0099305C">
            <w:pPr>
              <w:pStyle w:val="naisc"/>
              <w:spacing w:before="0" w:after="0"/>
              <w:jc w:val="both"/>
              <w:rPr>
                <w:b/>
                <w:bCs/>
              </w:rPr>
            </w:pPr>
          </w:p>
          <w:p w:rsidR="0099305C" w:rsidRDefault="0099305C" w:rsidP="0099305C">
            <w:pPr>
              <w:pStyle w:val="naisc"/>
              <w:spacing w:before="0" w:after="0"/>
              <w:jc w:val="both"/>
              <w:rPr>
                <w:b/>
                <w:bCs/>
              </w:rPr>
            </w:pPr>
            <w:r w:rsidRPr="00BF1765">
              <w:t>Ņemot vērā</w:t>
            </w:r>
            <w:r>
              <w:t xml:space="preserve"> tiešo ārvalstu investīciju </w:t>
            </w:r>
            <w:r w:rsidRPr="00BF1765">
              <w:t>jautājuma ārpolitisko raksturu un</w:t>
            </w:r>
            <w:r>
              <w:t xml:space="preserve"> iespējamu</w:t>
            </w:r>
            <w:r w:rsidRPr="00BF1765">
              <w:t xml:space="preserve"> </w:t>
            </w:r>
            <w:proofErr w:type="spellStart"/>
            <w:r w:rsidRPr="00BF1765">
              <w:t>sensitivitāti</w:t>
            </w:r>
            <w:proofErr w:type="spellEnd"/>
            <w:r w:rsidRPr="00BF1765">
              <w:t xml:space="preserve">, </w:t>
            </w:r>
            <w:r>
              <w:t xml:space="preserve">kā arī </w:t>
            </w:r>
            <w:r>
              <w:lastRenderedPageBreak/>
              <w:t>p</w:t>
            </w:r>
            <w:r w:rsidRPr="0099305C">
              <w:rPr>
                <w:rFonts w:cs="Calibri"/>
              </w:rPr>
              <w:t>ilnas informācijas apmaiņas nodrošināšanai, Ārlietu ministrija uztur iebildumu daļā par informācijas apmaiņu. Ārlietu ministrija aicina papildināt Noteikumu projektu sadaļā par informācijas par tiešajām ārvalstu investīcijām, kas tiek izvērtētas saskaņā ar Latvijas nacionālo likumdošanu, nosūtīšanu Eiropas Komisijai un dalībvalstīm, papildus iekļaujot arī šādas informācijas nosūtīšanu Ārlietu ministrijai. Tāpat arī papildinot, ka saņemtie Eiropas Komisijas un dalībvalstu atzinumi tiek nosūtīti informācijai Ārlietu ministrijai.</w:t>
            </w:r>
          </w:p>
          <w:p w:rsidR="0099305C" w:rsidRDefault="0099305C" w:rsidP="00AA7FF1">
            <w:pPr>
              <w:pStyle w:val="naisc"/>
              <w:spacing w:before="0" w:after="0"/>
              <w:jc w:val="both"/>
              <w:rPr>
                <w:b/>
                <w:bCs/>
              </w:rPr>
            </w:pPr>
          </w:p>
        </w:tc>
        <w:tc>
          <w:tcPr>
            <w:tcW w:w="3860" w:type="dxa"/>
            <w:gridSpan w:val="2"/>
            <w:tcBorders>
              <w:left w:val="single" w:sz="6" w:space="0" w:color="000000"/>
              <w:bottom w:val="single" w:sz="4" w:space="0" w:color="auto"/>
              <w:right w:val="single" w:sz="6" w:space="0" w:color="000000"/>
            </w:tcBorders>
          </w:tcPr>
          <w:p w:rsidR="00AA7FF1" w:rsidRPr="001E25EB" w:rsidRDefault="00AA7FF1" w:rsidP="00AA7FF1">
            <w:pPr>
              <w:pStyle w:val="naisc"/>
              <w:spacing w:before="0" w:after="0"/>
              <w:rPr>
                <w:b/>
                <w:bCs/>
              </w:rPr>
            </w:pPr>
            <w:r w:rsidRPr="001E25EB">
              <w:rPr>
                <w:b/>
                <w:bCs/>
              </w:rPr>
              <w:lastRenderedPageBreak/>
              <w:t>Ņemts vērā</w:t>
            </w:r>
          </w:p>
          <w:p w:rsidR="00AA7FF1" w:rsidRPr="001E25EB" w:rsidRDefault="00AA7FF1" w:rsidP="00AA7FF1">
            <w:pPr>
              <w:pStyle w:val="naisc"/>
              <w:spacing w:before="0" w:after="0"/>
              <w:rPr>
                <w:b/>
                <w:bCs/>
              </w:rPr>
            </w:pPr>
          </w:p>
          <w:p w:rsidR="00AA7FF1" w:rsidRPr="001E25EB" w:rsidRDefault="00AA7FF1" w:rsidP="00AA7FF1">
            <w:pPr>
              <w:pStyle w:val="naisc"/>
              <w:spacing w:before="0" w:after="0"/>
              <w:rPr>
                <w:b/>
                <w:bCs/>
              </w:rPr>
            </w:pPr>
          </w:p>
          <w:p w:rsidR="00AA7FF1" w:rsidRPr="001E25EB" w:rsidRDefault="00AA7FF1" w:rsidP="00AA7FF1">
            <w:pPr>
              <w:pStyle w:val="naisc"/>
              <w:spacing w:before="0" w:after="0"/>
              <w:jc w:val="both"/>
            </w:pPr>
            <w:r w:rsidRPr="001E25EB">
              <w:t>Noteikumu projekts papildināts paredzot, ka informācija, kas saņemta par ārvalstu tiešo ieguldījumu, kuru neizvērtē Latvijā, vienlaikus ar nosūtīšanu drošības dienestiem nosūtīt informācijai arī Ārlietu ministrijai.</w:t>
            </w:r>
          </w:p>
          <w:p w:rsidR="00AA7FF1" w:rsidRPr="001E25EB" w:rsidRDefault="00AA7FF1" w:rsidP="00AA7FF1">
            <w:pPr>
              <w:pStyle w:val="naisc"/>
              <w:spacing w:before="0" w:after="0"/>
              <w:jc w:val="both"/>
            </w:pPr>
            <w:r w:rsidRPr="001E25EB">
              <w:t xml:space="preserve">Tāpat precizēts Noteikumu projekts paredzot, ka informācijai Ārlietu ministrijai tiek nosūtīta saņemtā informāciju par ārvalstu tiešo ieguldījumu, kuru izvērtē citā dalībvalstī. Tādējādi nodrošinot, ka </w:t>
            </w:r>
            <w:r w:rsidRPr="001E25EB">
              <w:lastRenderedPageBreak/>
              <w:t>gadījumā, ja no Latvijas puses tiks sniegti komentāri, tad Ārlietu ministrija jau sākotnēji būs informēta par šo lietu un varēs iesaistīties.</w:t>
            </w:r>
          </w:p>
          <w:p w:rsidR="00AA7FF1" w:rsidRPr="001E25EB" w:rsidRDefault="00AA7FF1" w:rsidP="00AA7FF1">
            <w:pPr>
              <w:pStyle w:val="naisc"/>
              <w:spacing w:before="0" w:after="0"/>
              <w:jc w:val="both"/>
            </w:pPr>
            <w:r w:rsidRPr="001E25EB">
              <w:t>Papildus norādāms, ka Noteikumu projekta 1.9. apakšpunkta ierosinājums papildināt noteikumus ar 17. punktu, paredz iespēju, piemēram, arī Ārlietu ministrijai sniegt informāciju kontaktpunktam par tādu darījumu, kuru neizvērtē citā dalībvalstī.</w:t>
            </w:r>
          </w:p>
          <w:p w:rsidR="00AA7FF1" w:rsidRPr="001E25EB" w:rsidRDefault="00AA7FF1" w:rsidP="00AA7FF1">
            <w:pPr>
              <w:pStyle w:val="naisc"/>
              <w:spacing w:before="0" w:after="0"/>
              <w:jc w:val="both"/>
            </w:pPr>
            <w:r w:rsidRPr="001E25EB">
              <w:t>Attiecīgi ar skaidrojumu papildināts Anotācijas I sadaļas 2.punkts.</w:t>
            </w:r>
          </w:p>
        </w:tc>
        <w:tc>
          <w:tcPr>
            <w:tcW w:w="2409" w:type="dxa"/>
            <w:tcBorders>
              <w:top w:val="single" w:sz="4" w:space="0" w:color="auto"/>
              <w:left w:val="single" w:sz="4" w:space="0" w:color="auto"/>
              <w:bottom w:val="single" w:sz="4" w:space="0" w:color="auto"/>
            </w:tcBorders>
            <w:vAlign w:val="center"/>
          </w:tcPr>
          <w:p w:rsidR="0099305C" w:rsidRPr="0099305C" w:rsidRDefault="0099305C" w:rsidP="0099305C">
            <w:pPr>
              <w:pStyle w:val="Title"/>
              <w:jc w:val="both"/>
              <w:outlineLvl w:val="0"/>
              <w:rPr>
                <w:color w:val="000000"/>
                <w:sz w:val="24"/>
                <w:szCs w:val="24"/>
              </w:rPr>
            </w:pPr>
            <w:r w:rsidRPr="0099305C">
              <w:rPr>
                <w:color w:val="000000"/>
                <w:sz w:val="24"/>
                <w:szCs w:val="24"/>
              </w:rPr>
              <w:lastRenderedPageBreak/>
              <w:t xml:space="preserve">9. Ekonomikas ministrija saņemto pieteikumu nekavējoties </w:t>
            </w:r>
            <w:proofErr w:type="spellStart"/>
            <w:r w:rsidRPr="0099305C">
              <w:rPr>
                <w:color w:val="000000"/>
                <w:sz w:val="24"/>
                <w:szCs w:val="24"/>
              </w:rPr>
              <w:t>nosūta</w:t>
            </w:r>
            <w:proofErr w:type="spellEnd"/>
            <w:r w:rsidRPr="0099305C">
              <w:rPr>
                <w:color w:val="000000"/>
                <w:sz w:val="24"/>
                <w:szCs w:val="24"/>
              </w:rPr>
              <w:t>:</w:t>
            </w:r>
          </w:p>
          <w:p w:rsidR="0099305C" w:rsidRPr="0099305C" w:rsidRDefault="0099305C" w:rsidP="0099305C">
            <w:pPr>
              <w:pStyle w:val="Title"/>
              <w:ind w:firstLine="709"/>
              <w:jc w:val="both"/>
              <w:outlineLvl w:val="0"/>
              <w:rPr>
                <w:color w:val="000000"/>
                <w:sz w:val="24"/>
                <w:szCs w:val="24"/>
              </w:rPr>
            </w:pPr>
            <w:r w:rsidRPr="0099305C">
              <w:rPr>
                <w:color w:val="000000"/>
                <w:sz w:val="24"/>
                <w:szCs w:val="24"/>
              </w:rPr>
              <w:t>9.1. valsts drošības iestādēm atzinuma sniegšanai. Valsts drošības iestādes atzinumā norāda, vai atļaujas izsniegšana neapdraud nacionālās drošības intereses;</w:t>
            </w:r>
          </w:p>
          <w:p w:rsidR="0099305C" w:rsidRPr="0099305C" w:rsidRDefault="0099305C" w:rsidP="0099305C">
            <w:pPr>
              <w:pStyle w:val="Title"/>
              <w:ind w:firstLine="709"/>
              <w:jc w:val="both"/>
              <w:outlineLvl w:val="0"/>
              <w:rPr>
                <w:color w:val="000000"/>
                <w:sz w:val="24"/>
                <w:szCs w:val="24"/>
              </w:rPr>
            </w:pPr>
            <w:r w:rsidRPr="0099305C">
              <w:rPr>
                <w:color w:val="000000"/>
                <w:sz w:val="24"/>
                <w:szCs w:val="24"/>
              </w:rPr>
              <w:t xml:space="preserve">9.2. Eiropas Komisijai un dalībvalstīm atzinuma </w:t>
            </w:r>
            <w:r w:rsidRPr="0099305C">
              <w:rPr>
                <w:color w:val="000000"/>
                <w:sz w:val="24"/>
                <w:szCs w:val="24"/>
              </w:rPr>
              <w:lastRenderedPageBreak/>
              <w:t>un komentāru sniegšanai.</w:t>
            </w:r>
          </w:p>
          <w:p w:rsidR="0099305C" w:rsidRPr="0099305C" w:rsidRDefault="0099305C" w:rsidP="0099305C">
            <w:pPr>
              <w:pStyle w:val="Title"/>
              <w:ind w:firstLine="709"/>
              <w:jc w:val="both"/>
              <w:outlineLvl w:val="0"/>
              <w:rPr>
                <w:color w:val="000000"/>
                <w:sz w:val="24"/>
                <w:szCs w:val="24"/>
              </w:rPr>
            </w:pPr>
            <w:r w:rsidRPr="0099305C">
              <w:rPr>
                <w:color w:val="000000"/>
                <w:sz w:val="24"/>
                <w:szCs w:val="24"/>
              </w:rPr>
              <w:t>9.3. Ārlietu ministrijai. ”.</w:t>
            </w:r>
          </w:p>
          <w:p w:rsidR="0099305C" w:rsidRDefault="0099305C" w:rsidP="00AA7FF1">
            <w:pPr>
              <w:pStyle w:val="Title"/>
              <w:jc w:val="both"/>
              <w:outlineLvl w:val="0"/>
              <w:rPr>
                <w:color w:val="000000"/>
                <w:sz w:val="24"/>
                <w:szCs w:val="24"/>
              </w:rPr>
            </w:pPr>
          </w:p>
          <w:p w:rsidR="0099305C" w:rsidRDefault="0099305C" w:rsidP="00AA7FF1">
            <w:pPr>
              <w:pStyle w:val="Title"/>
              <w:jc w:val="both"/>
              <w:outlineLvl w:val="0"/>
              <w:rPr>
                <w:color w:val="000000"/>
                <w:sz w:val="24"/>
                <w:szCs w:val="24"/>
              </w:rPr>
            </w:pPr>
          </w:p>
          <w:p w:rsidR="0099305C" w:rsidRDefault="0099305C" w:rsidP="00AA7FF1">
            <w:pPr>
              <w:pStyle w:val="Title"/>
              <w:jc w:val="both"/>
              <w:outlineLvl w:val="0"/>
              <w:rPr>
                <w:color w:val="000000"/>
                <w:sz w:val="24"/>
                <w:szCs w:val="24"/>
              </w:rPr>
            </w:pPr>
          </w:p>
          <w:p w:rsidR="00AA7FF1" w:rsidRPr="003F7C9D" w:rsidRDefault="00AA7FF1" w:rsidP="00AA7FF1">
            <w:pPr>
              <w:pStyle w:val="Title"/>
              <w:jc w:val="both"/>
              <w:outlineLvl w:val="0"/>
              <w:rPr>
                <w:color w:val="000000"/>
                <w:sz w:val="24"/>
                <w:szCs w:val="24"/>
              </w:rPr>
            </w:pPr>
            <w:r w:rsidRPr="001E25EB">
              <w:rPr>
                <w:color w:val="000000"/>
                <w:sz w:val="24"/>
                <w:szCs w:val="24"/>
              </w:rPr>
              <w:t xml:space="preserve">13.1. Ekonomikas ministrija saņemto informāciju </w:t>
            </w:r>
            <w:proofErr w:type="spellStart"/>
            <w:r w:rsidRPr="001E25EB">
              <w:rPr>
                <w:color w:val="000000"/>
                <w:sz w:val="24"/>
                <w:szCs w:val="24"/>
              </w:rPr>
              <w:t>nosūta</w:t>
            </w:r>
            <w:proofErr w:type="spellEnd"/>
            <w:r w:rsidRPr="001E25EB">
              <w:rPr>
                <w:color w:val="000000"/>
                <w:sz w:val="24"/>
                <w:szCs w:val="24"/>
              </w:rPr>
              <w:t xml:space="preserve"> valsts drošības iestādēm un informācijai Ārlietu ministrijai. Valsts drošības iestādes septiņu darba dienu laikā izvērtē vai ārvalstu tiešais ieguldījums neapdraud nacionālo drošību un informē Ekonomikas ministriju par nodomu sniegt atzinumu par ārvalstu tiešo ieguldījumu citā dalībvalstī, ja tas apdraud nacionālās drošības intereses. Valsts drošības iestādes Ekonomikas ministrijai atzinumu par ārvalstu tiešo ieguldījumu sniedz ne </w:t>
            </w:r>
            <w:r w:rsidRPr="001E25EB">
              <w:rPr>
                <w:color w:val="000000"/>
                <w:sz w:val="24"/>
                <w:szCs w:val="24"/>
              </w:rPr>
              <w:lastRenderedPageBreak/>
              <w:t xml:space="preserve">vēlāk </w:t>
            </w:r>
            <w:r w:rsidRPr="003F7C9D">
              <w:rPr>
                <w:color w:val="000000"/>
                <w:sz w:val="24"/>
                <w:szCs w:val="24"/>
              </w:rPr>
              <w:t>kā 15 darba dienu laikā no informācijas saņemšanas dienas;</w:t>
            </w:r>
          </w:p>
          <w:p w:rsidR="00AA7FF1" w:rsidRPr="003F7C9D" w:rsidRDefault="00AA7FF1" w:rsidP="00AA7FF1">
            <w:pPr>
              <w:pStyle w:val="Title"/>
              <w:ind w:firstLine="34"/>
              <w:jc w:val="both"/>
              <w:outlineLvl w:val="0"/>
              <w:rPr>
                <w:color w:val="000000"/>
                <w:sz w:val="24"/>
                <w:szCs w:val="24"/>
              </w:rPr>
            </w:pPr>
          </w:p>
          <w:p w:rsidR="00AA7FF1" w:rsidRPr="003F7C9D" w:rsidRDefault="00AA7FF1" w:rsidP="00AA7FF1">
            <w:pPr>
              <w:pStyle w:val="Title"/>
              <w:jc w:val="both"/>
              <w:outlineLvl w:val="0"/>
              <w:rPr>
                <w:color w:val="000000"/>
                <w:sz w:val="24"/>
                <w:szCs w:val="24"/>
              </w:rPr>
            </w:pPr>
            <w:r w:rsidRPr="003F7C9D">
              <w:rPr>
                <w:color w:val="000000"/>
                <w:sz w:val="24"/>
                <w:szCs w:val="24"/>
              </w:rPr>
              <w:t xml:space="preserve">15. Ekonomikas ministrija nekavējoties </w:t>
            </w:r>
            <w:proofErr w:type="spellStart"/>
            <w:r w:rsidRPr="003F7C9D">
              <w:rPr>
                <w:color w:val="000000"/>
                <w:sz w:val="24"/>
                <w:szCs w:val="24"/>
              </w:rPr>
              <w:t>nosūta</w:t>
            </w:r>
            <w:proofErr w:type="spellEnd"/>
            <w:r w:rsidRPr="003F7C9D">
              <w:rPr>
                <w:color w:val="000000"/>
                <w:sz w:val="24"/>
                <w:szCs w:val="24"/>
              </w:rPr>
              <w:t xml:space="preserve"> valsts drošības iestādēm un informācijai Ārlietu ministrijai no Eiropas Komisijas vai dalībvalsts saņemto atzinumu vai komentārus par tādu ārvalstu tiešo ieguldījumu, kuru neizvērtē saskaņā ar Nacionālās drošības likuma VI nodaļas noteikumiem. Valsts drošības iestādes mēneša laikā no pieprasījuma saņemšanas sniedz atzinumu Ekonomikas ministrijai un pēc nepieciešamības attiecīgajām institūcijām, kas sniedz priekšlikumus par politikas veidošanu, vai ārvalstu </w:t>
            </w:r>
            <w:r w:rsidRPr="003F7C9D">
              <w:rPr>
                <w:color w:val="000000"/>
                <w:sz w:val="24"/>
                <w:szCs w:val="24"/>
              </w:rPr>
              <w:lastRenderedPageBreak/>
              <w:t>tiešais ieguldījums neapdraud nacionālās drošības intereses.</w:t>
            </w:r>
          </w:p>
          <w:p w:rsidR="00AA7FF1" w:rsidRPr="001E25EB" w:rsidRDefault="00AA7FF1" w:rsidP="00AA7FF1">
            <w:pPr>
              <w:rPr>
                <w:color w:val="000000"/>
              </w:rPr>
            </w:pPr>
          </w:p>
          <w:p w:rsidR="00AA7FF1" w:rsidRPr="001E25EB" w:rsidRDefault="00AA7FF1" w:rsidP="00AA7FF1">
            <w:pPr>
              <w:pStyle w:val="Title"/>
              <w:ind w:firstLine="34"/>
              <w:jc w:val="both"/>
              <w:outlineLvl w:val="0"/>
              <w:rPr>
                <w:color w:val="000000"/>
                <w:sz w:val="24"/>
                <w:szCs w:val="24"/>
              </w:rPr>
            </w:pPr>
            <w:r w:rsidRPr="001E25EB">
              <w:rPr>
                <w:color w:val="000000"/>
                <w:sz w:val="24"/>
                <w:szCs w:val="24"/>
              </w:rPr>
              <w:t xml:space="preserve">17.1. nekavējoties to </w:t>
            </w:r>
            <w:proofErr w:type="spellStart"/>
            <w:r w:rsidRPr="001E25EB">
              <w:rPr>
                <w:color w:val="000000"/>
                <w:sz w:val="24"/>
                <w:szCs w:val="24"/>
              </w:rPr>
              <w:t>nosūta</w:t>
            </w:r>
            <w:proofErr w:type="spellEnd"/>
            <w:r w:rsidRPr="001E25EB">
              <w:rPr>
                <w:color w:val="000000"/>
                <w:sz w:val="24"/>
                <w:szCs w:val="24"/>
              </w:rPr>
              <w:t xml:space="preserve"> valsts drošības iestādēm atzinuma sniegšanai un informācijai Ārlietu ministrijai. Valsts drošības iestādes atzinumā norāda, vai ārvalstu tiešais ieguldījums neapdraud nacionālās drošības intereses;</w:t>
            </w:r>
          </w:p>
          <w:p w:rsidR="00AA7FF1" w:rsidRPr="001E25EB" w:rsidRDefault="00AA7FF1" w:rsidP="00AA7FF1"/>
        </w:tc>
      </w:tr>
      <w:tr w:rsidR="0095369D" w:rsidRPr="00712B66" w:rsidTr="0097304D">
        <w:tc>
          <w:tcPr>
            <w:tcW w:w="1101" w:type="dxa"/>
            <w:tcBorders>
              <w:left w:val="single" w:sz="6" w:space="0" w:color="000000"/>
              <w:bottom w:val="single" w:sz="4" w:space="0" w:color="auto"/>
              <w:right w:val="single" w:sz="6" w:space="0" w:color="000000"/>
            </w:tcBorders>
          </w:tcPr>
          <w:p w:rsidR="0095369D" w:rsidRDefault="0095369D" w:rsidP="0095369D">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95369D" w:rsidRDefault="0095369D" w:rsidP="0095369D">
            <w:pPr>
              <w:pStyle w:val="naisc"/>
              <w:spacing w:before="0" w:after="0"/>
              <w:jc w:val="left"/>
            </w:pPr>
          </w:p>
        </w:tc>
        <w:tc>
          <w:tcPr>
            <w:tcW w:w="5212" w:type="dxa"/>
            <w:tcBorders>
              <w:left w:val="single" w:sz="6" w:space="0" w:color="000000"/>
              <w:bottom w:val="single" w:sz="4" w:space="0" w:color="auto"/>
              <w:right w:val="single" w:sz="6" w:space="0" w:color="000000"/>
            </w:tcBorders>
          </w:tcPr>
          <w:p w:rsidR="0095369D" w:rsidRDefault="0095369D" w:rsidP="0095369D">
            <w:pPr>
              <w:pStyle w:val="naisc"/>
              <w:spacing w:before="0" w:after="0"/>
              <w:jc w:val="both"/>
              <w:rPr>
                <w:b/>
                <w:bCs/>
              </w:rPr>
            </w:pPr>
            <w:r>
              <w:rPr>
                <w:b/>
                <w:bCs/>
              </w:rPr>
              <w:t>Finanšu ministrijas 2020. gada 14. septembra atzinuma Nr. 12/A-7/4852 iebildums</w:t>
            </w:r>
          </w:p>
          <w:p w:rsidR="0095369D" w:rsidRDefault="0095369D" w:rsidP="0095369D">
            <w:pPr>
              <w:ind w:firstLine="720"/>
              <w:jc w:val="both"/>
              <w:rPr>
                <w:color w:val="000000"/>
              </w:rPr>
            </w:pPr>
          </w:p>
          <w:p w:rsidR="0095369D" w:rsidRPr="00B706B4" w:rsidRDefault="0095369D" w:rsidP="0095369D">
            <w:pPr>
              <w:ind w:firstLine="720"/>
              <w:jc w:val="both"/>
              <w:rPr>
                <w:color w:val="1F497D"/>
              </w:rPr>
            </w:pPr>
            <w:r w:rsidRPr="003D6DD6">
              <w:rPr>
                <w:color w:val="000000"/>
              </w:rPr>
              <w:t xml:space="preserve">Norādām, ka Ekonomikas ministrija ar š.g. 4.septembra vēstuli Nr.5.1.3/2020/5329N par  likumprojektu "Par vidēja termiņa budžeta ietvaru 2021., 2022. un 2023.gadam" un likumprojektu "Par valsts budžetu 2021.gadam" ir iesniegusi fiskāli neitrālu priekšlikumu 2021.-2023.gadam, tajā skaitā nodrošinot nepieciešamo papildu finansējumu 21 350 </w:t>
            </w:r>
            <w:proofErr w:type="spellStart"/>
            <w:r w:rsidRPr="003D6DD6">
              <w:rPr>
                <w:color w:val="000000"/>
              </w:rPr>
              <w:t>euro</w:t>
            </w:r>
            <w:proofErr w:type="spellEnd"/>
            <w:r w:rsidRPr="003D6DD6">
              <w:rPr>
                <w:color w:val="000000"/>
              </w:rPr>
              <w:t xml:space="preserve"> apmērā ik gadu Nacionālās drošības likuma regulējumā paredzēto funkciju izpildei. Līdz ar to noteikumu projekts ir virzāms tālāk izskatīšanai Ministru kabinetā pēc tam, kad tiks pieņemts lēmums par ministriju iesniegtajiem fiskāli </w:t>
            </w:r>
            <w:r w:rsidRPr="003D6DD6">
              <w:rPr>
                <w:color w:val="000000"/>
              </w:rPr>
              <w:lastRenderedPageBreak/>
              <w:t xml:space="preserve">neitrālajiem priekšlikumiem budžeta prioritāšu nodrošināšanai. </w:t>
            </w:r>
          </w:p>
          <w:p w:rsidR="0095369D" w:rsidRPr="008A36C9" w:rsidRDefault="0095369D" w:rsidP="0095369D">
            <w:pPr>
              <w:pStyle w:val="naisc"/>
              <w:spacing w:before="0" w:after="0"/>
              <w:ind w:firstLine="720"/>
              <w:jc w:val="both"/>
              <w:rPr>
                <w:sz w:val="20"/>
                <w:szCs w:val="20"/>
              </w:rPr>
            </w:pPr>
            <w:r w:rsidRPr="003D6DD6">
              <w:rPr>
                <w:color w:val="000000"/>
              </w:rPr>
              <w:t>Vienlaikus vēršam uzmanību, ka pēc minētā lēmuma pieņemšanas anotācijas III sadaļa būs attiecīgi jāprecizē.</w:t>
            </w:r>
          </w:p>
        </w:tc>
        <w:tc>
          <w:tcPr>
            <w:tcW w:w="3860" w:type="dxa"/>
            <w:gridSpan w:val="2"/>
            <w:tcBorders>
              <w:left w:val="single" w:sz="6" w:space="0" w:color="000000"/>
              <w:bottom w:val="single" w:sz="4" w:space="0" w:color="auto"/>
              <w:right w:val="single" w:sz="6" w:space="0" w:color="000000"/>
            </w:tcBorders>
          </w:tcPr>
          <w:p w:rsidR="0095369D" w:rsidRDefault="0095369D" w:rsidP="0095369D">
            <w:pPr>
              <w:pStyle w:val="naisc"/>
              <w:spacing w:before="0" w:after="0"/>
              <w:ind w:firstLine="720"/>
              <w:rPr>
                <w:b/>
                <w:bCs/>
              </w:rPr>
            </w:pPr>
            <w:r>
              <w:rPr>
                <w:b/>
                <w:bCs/>
              </w:rPr>
              <w:lastRenderedPageBreak/>
              <w:t>Ņ</w:t>
            </w:r>
            <w:r w:rsidRPr="00A23883">
              <w:rPr>
                <w:b/>
                <w:bCs/>
              </w:rPr>
              <w:t>emts vērā</w:t>
            </w:r>
          </w:p>
          <w:p w:rsidR="0095369D" w:rsidRDefault="0095369D" w:rsidP="0095369D">
            <w:pPr>
              <w:pStyle w:val="naisc"/>
              <w:spacing w:before="0" w:after="0"/>
              <w:ind w:firstLine="720"/>
              <w:rPr>
                <w:b/>
                <w:bCs/>
              </w:rPr>
            </w:pPr>
          </w:p>
          <w:p w:rsidR="0095369D" w:rsidRDefault="0095369D" w:rsidP="0095369D">
            <w:pPr>
              <w:pStyle w:val="naisc"/>
              <w:spacing w:before="0" w:after="0"/>
              <w:ind w:firstLine="720"/>
              <w:rPr>
                <w:b/>
                <w:bCs/>
              </w:rPr>
            </w:pPr>
          </w:p>
          <w:p w:rsidR="0095369D" w:rsidRDefault="0095369D" w:rsidP="0095369D">
            <w:pPr>
              <w:pStyle w:val="naisc"/>
              <w:spacing w:before="0" w:after="0"/>
              <w:ind w:firstLine="720"/>
              <w:rPr>
                <w:b/>
                <w:bCs/>
              </w:rPr>
            </w:pPr>
          </w:p>
          <w:p w:rsidR="0095369D" w:rsidRDefault="0095369D" w:rsidP="0095369D">
            <w:pPr>
              <w:pStyle w:val="naisc"/>
              <w:spacing w:before="0" w:after="0"/>
              <w:ind w:firstLine="720"/>
              <w:jc w:val="both"/>
              <w:rPr>
                <w:shd w:val="clear" w:color="auto" w:fill="FFFFFF"/>
              </w:rPr>
            </w:pPr>
            <w:r>
              <w:t>Anotācijas III sadaļa aizpildīta atbilstoši Ministru kabineta 2009. gada 15. decembra instrukc</w:t>
            </w:r>
            <w:r w:rsidRPr="00AA10D7">
              <w:t xml:space="preserve">ijai Nr. 19 </w:t>
            </w:r>
            <w:r>
              <w:t>“</w:t>
            </w:r>
            <w:r w:rsidRPr="00583B5D">
              <w:rPr>
                <w:shd w:val="clear" w:color="auto" w:fill="FFFFFF"/>
              </w:rPr>
              <w:t xml:space="preserve">Tiesību akta projekta sākotnējās ietekmes izvērtēšanas kārtība”. </w:t>
            </w:r>
            <w:r>
              <w:rPr>
                <w:shd w:val="clear" w:color="auto" w:fill="FFFFFF"/>
              </w:rPr>
              <w:t xml:space="preserve">Saskaņā ar minētās instrukcijas 28. punktu </w:t>
            </w:r>
            <w:r w:rsidRPr="00583B5D">
              <w:rPr>
                <w:shd w:val="clear" w:color="auto" w:fill="FFFFFF"/>
              </w:rPr>
              <w:t>anotācijas</w:t>
            </w:r>
            <w:r>
              <w:rPr>
                <w:shd w:val="clear" w:color="auto" w:fill="FFFFFF"/>
              </w:rPr>
              <w:t xml:space="preserve"> </w:t>
            </w:r>
            <w:r w:rsidRPr="00583B5D">
              <w:rPr>
                <w:shd w:val="clear" w:color="auto" w:fill="FFFFFF"/>
              </w:rPr>
              <w:t>II</w:t>
            </w:r>
            <w:r>
              <w:rPr>
                <w:shd w:val="clear" w:color="auto" w:fill="FFFFFF"/>
              </w:rPr>
              <w:t xml:space="preserve">I sadaļā </w:t>
            </w:r>
            <w:r w:rsidRPr="00583B5D">
              <w:rPr>
                <w:shd w:val="clear" w:color="auto" w:fill="FFFFFF"/>
              </w:rPr>
              <w:t xml:space="preserve">norāda </w:t>
            </w:r>
            <w:r w:rsidRPr="00583B5D">
              <w:rPr>
                <w:u w:val="single"/>
                <w:shd w:val="clear" w:color="auto" w:fill="FFFFFF"/>
              </w:rPr>
              <w:t>finansiālās ietekmi prognozi</w:t>
            </w:r>
            <w:r w:rsidRPr="00583B5D">
              <w:rPr>
                <w:shd w:val="clear" w:color="auto" w:fill="FFFFFF"/>
              </w:rPr>
              <w:t xml:space="preserve"> uz budžetu kopumā un, ja iespējams, nodala ieņēmumu un izdevumu izmaiņas atsevišķās institūcijās (tajā skaitā tiešās </w:t>
            </w:r>
            <w:r w:rsidRPr="00583B5D">
              <w:rPr>
                <w:shd w:val="clear" w:color="auto" w:fill="FFFFFF"/>
              </w:rPr>
              <w:lastRenderedPageBreak/>
              <w:t>pārvaldes iestādēs vai pašvaldībās), kuras nodrošina vai nākotnē nodrošinās projekta ieviešanu.</w:t>
            </w:r>
          </w:p>
          <w:p w:rsidR="0095369D" w:rsidRDefault="0095369D" w:rsidP="0095369D">
            <w:pPr>
              <w:pStyle w:val="naisc"/>
              <w:spacing w:before="0" w:after="0"/>
              <w:ind w:firstLine="720"/>
              <w:jc w:val="both"/>
              <w:rPr>
                <w:shd w:val="clear" w:color="auto" w:fill="FFFFFF"/>
              </w:rPr>
            </w:pPr>
            <w:r>
              <w:rPr>
                <w:shd w:val="clear" w:color="auto" w:fill="FFFFFF"/>
              </w:rPr>
              <w:t>Attiecīgi anotācijas papildināta arī anotācijas III sadaļa “Cita informācija” ar skaidrojumu.</w:t>
            </w:r>
          </w:p>
          <w:p w:rsidR="0095369D" w:rsidRDefault="00771FEE" w:rsidP="0095369D">
            <w:pPr>
              <w:pStyle w:val="naisc"/>
              <w:spacing w:before="0" w:after="0"/>
              <w:ind w:firstLine="720"/>
              <w:jc w:val="both"/>
              <w:rPr>
                <w:shd w:val="clear" w:color="auto" w:fill="FFFFFF"/>
              </w:rPr>
            </w:pPr>
            <w:r>
              <w:rPr>
                <w:shd w:val="clear" w:color="auto" w:fill="FFFFFF"/>
              </w:rPr>
              <w:t>N</w:t>
            </w:r>
            <w:r w:rsidR="0095369D">
              <w:rPr>
                <w:shd w:val="clear" w:color="auto" w:fill="FFFFFF"/>
              </w:rPr>
              <w:t xml:space="preserve">orādāms, ka </w:t>
            </w:r>
            <w:r>
              <w:rPr>
                <w:shd w:val="clear" w:color="auto" w:fill="FFFFFF"/>
              </w:rPr>
              <w:t>jebkurā gadījumā naudas līdzekļu piešķiršana notiks kārtējā gada budžeta veidošanas procesā.</w:t>
            </w:r>
          </w:p>
          <w:p w:rsidR="0095369D" w:rsidRPr="00512724" w:rsidRDefault="0095369D" w:rsidP="0095369D">
            <w:pPr>
              <w:pStyle w:val="naisc"/>
              <w:spacing w:before="0" w:after="0"/>
              <w:jc w:val="both"/>
            </w:pPr>
          </w:p>
        </w:tc>
        <w:tc>
          <w:tcPr>
            <w:tcW w:w="2409" w:type="dxa"/>
            <w:tcBorders>
              <w:top w:val="single" w:sz="4" w:space="0" w:color="auto"/>
              <w:left w:val="single" w:sz="4" w:space="0" w:color="auto"/>
              <w:bottom w:val="single" w:sz="4" w:space="0" w:color="auto"/>
            </w:tcBorders>
            <w:vAlign w:val="center"/>
          </w:tcPr>
          <w:p w:rsidR="0095369D" w:rsidRDefault="0095369D" w:rsidP="0095369D"/>
        </w:tc>
      </w:tr>
      <w:tr w:rsidR="00AD216E" w:rsidRPr="00712B66" w:rsidTr="0097304D">
        <w:tc>
          <w:tcPr>
            <w:tcW w:w="1101" w:type="dxa"/>
            <w:tcBorders>
              <w:left w:val="single" w:sz="6" w:space="0" w:color="000000"/>
              <w:bottom w:val="single" w:sz="4" w:space="0" w:color="auto"/>
              <w:right w:val="single" w:sz="6" w:space="0" w:color="000000"/>
            </w:tcBorders>
          </w:tcPr>
          <w:p w:rsidR="00AD216E" w:rsidRDefault="00AD216E" w:rsidP="00B349E9">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AD216E" w:rsidRDefault="00AD216E" w:rsidP="00B349E9">
            <w:pPr>
              <w:pStyle w:val="naisc"/>
              <w:spacing w:before="0" w:after="0"/>
              <w:jc w:val="left"/>
            </w:pPr>
          </w:p>
        </w:tc>
        <w:tc>
          <w:tcPr>
            <w:tcW w:w="5212" w:type="dxa"/>
            <w:tcBorders>
              <w:left w:val="single" w:sz="6" w:space="0" w:color="000000"/>
              <w:bottom w:val="single" w:sz="4" w:space="0" w:color="auto"/>
              <w:right w:val="single" w:sz="6" w:space="0" w:color="000000"/>
            </w:tcBorders>
          </w:tcPr>
          <w:p w:rsidR="00AD216E" w:rsidRDefault="00AD216E" w:rsidP="00AD216E">
            <w:pPr>
              <w:pStyle w:val="naisc"/>
              <w:spacing w:before="0" w:after="0"/>
              <w:jc w:val="both"/>
              <w:rPr>
                <w:b/>
                <w:bCs/>
              </w:rPr>
            </w:pPr>
            <w:r>
              <w:rPr>
                <w:b/>
                <w:bCs/>
              </w:rPr>
              <w:t>Satversmes aizsardzības biroja 2020. gada 22. septembra atzinuma Nr. 5.2-10/20/490 iebildums</w:t>
            </w:r>
          </w:p>
          <w:p w:rsidR="00AD216E" w:rsidRDefault="00AD216E" w:rsidP="00B349E9">
            <w:pPr>
              <w:pStyle w:val="naisc"/>
              <w:spacing w:before="0" w:after="0"/>
              <w:jc w:val="both"/>
              <w:rPr>
                <w:b/>
                <w:bCs/>
              </w:rPr>
            </w:pPr>
          </w:p>
          <w:p w:rsidR="00AD216E" w:rsidRDefault="00AD216E" w:rsidP="00AD216E">
            <w:pPr>
              <w:pStyle w:val="naisc"/>
              <w:spacing w:before="0" w:after="0"/>
              <w:jc w:val="both"/>
              <w:rPr>
                <w:b/>
                <w:bCs/>
              </w:rPr>
            </w:pPr>
            <w:r>
              <w:t xml:space="preserve">Ņemot vērā Latvijā līdz šim izvērtēto gadījumu skaitu, kā arī provizoriski prognozējamo lietu skaitu saistībā ar regulas īstenošanu, Nacionālās drošības likumā paredzētā uzdevumu izpilde prasīs vairāk SAB resursu, kas ir būtisks faktors, lai varētu ievērot noteikumu projektā noteiktos īsos informācijas sniegšanas termiņus. Lūdzam anotācijas </w:t>
            </w:r>
            <w:proofErr w:type="spellStart"/>
            <w:r>
              <w:t>III.sadaļā</w:t>
            </w:r>
            <w:proofErr w:type="spellEnd"/>
            <w:r>
              <w:t xml:space="preserve"> norādīt, ka SAB būs nepieciešami papildu resursi, bet, ņemot vērā to, ka šāda rakstura informācija un aprēķini ir valsts noslēpums, tas publiskā neklasificētā dokumentā netiks norādīts.</w:t>
            </w:r>
          </w:p>
        </w:tc>
        <w:tc>
          <w:tcPr>
            <w:tcW w:w="3860" w:type="dxa"/>
            <w:gridSpan w:val="2"/>
            <w:tcBorders>
              <w:left w:val="single" w:sz="6" w:space="0" w:color="000000"/>
              <w:bottom w:val="single" w:sz="4" w:space="0" w:color="auto"/>
              <w:right w:val="single" w:sz="6" w:space="0" w:color="000000"/>
            </w:tcBorders>
          </w:tcPr>
          <w:p w:rsidR="00AD216E" w:rsidRDefault="00AD216E" w:rsidP="00B349E9">
            <w:pPr>
              <w:pStyle w:val="naisc"/>
              <w:spacing w:before="0" w:after="0"/>
              <w:rPr>
                <w:b/>
                <w:bCs/>
              </w:rPr>
            </w:pPr>
            <w:r>
              <w:rPr>
                <w:b/>
                <w:bCs/>
              </w:rPr>
              <w:t>Ņemts vērā</w:t>
            </w:r>
          </w:p>
          <w:p w:rsidR="00AD216E" w:rsidRDefault="00AD216E" w:rsidP="00B349E9">
            <w:pPr>
              <w:pStyle w:val="naisc"/>
              <w:spacing w:before="0" w:after="0"/>
              <w:rPr>
                <w:b/>
                <w:bCs/>
              </w:rPr>
            </w:pPr>
          </w:p>
          <w:p w:rsidR="00AD216E" w:rsidRPr="00AD216E" w:rsidRDefault="00AD216E" w:rsidP="00B349E9">
            <w:pPr>
              <w:pStyle w:val="naisc"/>
              <w:spacing w:before="0" w:after="0"/>
            </w:pPr>
            <w:r w:rsidRPr="00AD216E">
              <w:t>Papildināta anotācija</w:t>
            </w:r>
          </w:p>
        </w:tc>
        <w:tc>
          <w:tcPr>
            <w:tcW w:w="2409" w:type="dxa"/>
            <w:tcBorders>
              <w:top w:val="single" w:sz="4" w:space="0" w:color="auto"/>
              <w:left w:val="single" w:sz="4" w:space="0" w:color="auto"/>
              <w:bottom w:val="single" w:sz="4" w:space="0" w:color="auto"/>
            </w:tcBorders>
            <w:vAlign w:val="center"/>
          </w:tcPr>
          <w:p w:rsidR="00AD216E" w:rsidRDefault="00AD216E" w:rsidP="00B349E9"/>
        </w:tc>
      </w:tr>
      <w:tr w:rsidR="000F3630" w:rsidRPr="00712B66" w:rsidTr="0097304D">
        <w:tc>
          <w:tcPr>
            <w:tcW w:w="1101" w:type="dxa"/>
            <w:tcBorders>
              <w:left w:val="single" w:sz="6" w:space="0" w:color="000000"/>
              <w:bottom w:val="single" w:sz="4" w:space="0" w:color="auto"/>
              <w:right w:val="single" w:sz="6" w:space="0" w:color="000000"/>
            </w:tcBorders>
          </w:tcPr>
          <w:p w:rsidR="000F3630" w:rsidRDefault="000F3630" w:rsidP="00B349E9">
            <w:pPr>
              <w:pStyle w:val="naisc"/>
              <w:numPr>
                <w:ilvl w:val="0"/>
                <w:numId w:val="12"/>
              </w:numPr>
              <w:spacing w:before="0" w:after="0"/>
            </w:pPr>
          </w:p>
        </w:tc>
        <w:tc>
          <w:tcPr>
            <w:tcW w:w="2268" w:type="dxa"/>
            <w:tcBorders>
              <w:left w:val="single" w:sz="6" w:space="0" w:color="000000"/>
              <w:bottom w:val="single" w:sz="4" w:space="0" w:color="auto"/>
              <w:right w:val="single" w:sz="6" w:space="0" w:color="000000"/>
            </w:tcBorders>
            <w:vAlign w:val="center"/>
          </w:tcPr>
          <w:p w:rsidR="000F3630" w:rsidRDefault="000F3630" w:rsidP="00B349E9">
            <w:pPr>
              <w:pStyle w:val="naisc"/>
              <w:spacing w:before="0" w:after="0"/>
              <w:jc w:val="left"/>
            </w:pPr>
          </w:p>
        </w:tc>
        <w:tc>
          <w:tcPr>
            <w:tcW w:w="5212" w:type="dxa"/>
            <w:tcBorders>
              <w:left w:val="single" w:sz="6" w:space="0" w:color="000000"/>
              <w:bottom w:val="single" w:sz="4" w:space="0" w:color="auto"/>
              <w:right w:val="single" w:sz="6" w:space="0" w:color="000000"/>
            </w:tcBorders>
          </w:tcPr>
          <w:p w:rsidR="000F3630" w:rsidRDefault="000F3630" w:rsidP="000F3630">
            <w:pPr>
              <w:pStyle w:val="naisc"/>
              <w:spacing w:before="0" w:after="0"/>
              <w:jc w:val="both"/>
              <w:rPr>
                <w:b/>
                <w:bCs/>
              </w:rPr>
            </w:pPr>
            <w:r>
              <w:rPr>
                <w:b/>
                <w:bCs/>
              </w:rPr>
              <w:t>Ārlietu ministrijas 2020. gada 17. septembra atzinuma Nr</w:t>
            </w:r>
            <w:r w:rsidRPr="00B56439">
              <w:rPr>
                <w:b/>
                <w:bCs/>
              </w:rPr>
              <w:t>. 32-17767</w:t>
            </w:r>
            <w:r>
              <w:rPr>
                <w:b/>
                <w:bCs/>
              </w:rPr>
              <w:t xml:space="preserve"> un Ārlietu ministrijas 2020. gada 23. septembra atzinuma Nr</w:t>
            </w:r>
            <w:r w:rsidRPr="00B56439">
              <w:rPr>
                <w:b/>
                <w:bCs/>
              </w:rPr>
              <w:t>. </w:t>
            </w:r>
            <w:r w:rsidRPr="006C2EF7">
              <w:rPr>
                <w:b/>
                <w:bCs/>
              </w:rPr>
              <w:t>32-18413</w:t>
            </w:r>
            <w:r>
              <w:rPr>
                <w:b/>
                <w:bCs/>
              </w:rPr>
              <w:t xml:space="preserve"> 3. iebildums</w:t>
            </w:r>
          </w:p>
          <w:p w:rsidR="000F3630" w:rsidRDefault="000F3630" w:rsidP="000F3630">
            <w:pPr>
              <w:pStyle w:val="naisc"/>
              <w:spacing w:before="0" w:after="0"/>
              <w:jc w:val="both"/>
              <w:rPr>
                <w:b/>
                <w:bCs/>
              </w:rPr>
            </w:pPr>
          </w:p>
          <w:p w:rsidR="000F3630" w:rsidRDefault="000F3630" w:rsidP="000F3630">
            <w:pPr>
              <w:pStyle w:val="naisc"/>
              <w:spacing w:before="0" w:after="0"/>
              <w:jc w:val="both"/>
              <w:rPr>
                <w:b/>
                <w:bCs/>
              </w:rPr>
            </w:pPr>
            <w:r>
              <w:t xml:space="preserve">Papildus tam, ņemot vērā Ārlietu ministrijas iekšējās drošības noteikumus, ministrija nepiekrīt anotācijas </w:t>
            </w:r>
            <w:r>
              <w:lastRenderedPageBreak/>
              <w:t>3.sadaļas 8.punktā minētajam par ministrijas telpu izmantošanu kontaktpunkta funkciju nodrošināšanai.</w:t>
            </w:r>
          </w:p>
        </w:tc>
        <w:tc>
          <w:tcPr>
            <w:tcW w:w="3860" w:type="dxa"/>
            <w:gridSpan w:val="2"/>
            <w:tcBorders>
              <w:left w:val="single" w:sz="6" w:space="0" w:color="000000"/>
              <w:bottom w:val="single" w:sz="4" w:space="0" w:color="auto"/>
              <w:right w:val="single" w:sz="6" w:space="0" w:color="000000"/>
            </w:tcBorders>
          </w:tcPr>
          <w:p w:rsidR="000F3630" w:rsidRPr="000F3630" w:rsidRDefault="000F3630" w:rsidP="000F3630">
            <w:pPr>
              <w:pStyle w:val="naisc"/>
              <w:spacing w:before="0" w:after="0"/>
              <w:jc w:val="both"/>
            </w:pPr>
            <w:r w:rsidRPr="000F3630">
              <w:lastRenderedPageBreak/>
              <w:t xml:space="preserve">Panākta vienošanās 2020.gada 30.septembrī par </w:t>
            </w:r>
            <w:r>
              <w:t xml:space="preserve">sadarbības mehānismu nodrošinot </w:t>
            </w:r>
            <w:r w:rsidRPr="000F3630">
              <w:t>informācijas apmaiņu</w:t>
            </w:r>
          </w:p>
        </w:tc>
        <w:tc>
          <w:tcPr>
            <w:tcW w:w="2409" w:type="dxa"/>
            <w:tcBorders>
              <w:top w:val="single" w:sz="4" w:space="0" w:color="auto"/>
              <w:left w:val="single" w:sz="4" w:space="0" w:color="auto"/>
              <w:bottom w:val="single" w:sz="4" w:space="0" w:color="auto"/>
            </w:tcBorders>
            <w:vAlign w:val="center"/>
          </w:tcPr>
          <w:p w:rsidR="000F3630" w:rsidRDefault="000F3630" w:rsidP="00B349E9"/>
        </w:tc>
      </w:tr>
      <w:tr w:rsidR="0095369D" w:rsidRPr="00712B66" w:rsidTr="0097304D">
        <w:tblPrEx>
          <w:tblBorders>
            <w:top w:val="none" w:sz="0" w:space="0" w:color="auto"/>
            <w:left w:val="none" w:sz="0" w:space="0" w:color="auto"/>
            <w:bottom w:val="none" w:sz="0" w:space="0" w:color="auto"/>
            <w:right w:val="none" w:sz="0" w:space="0" w:color="auto"/>
          </w:tblBorders>
        </w:tblPrEx>
        <w:trPr>
          <w:gridAfter w:val="2"/>
          <w:wAfter w:w="5162" w:type="dxa"/>
        </w:trPr>
        <w:tc>
          <w:tcPr>
            <w:tcW w:w="3369" w:type="dxa"/>
            <w:gridSpan w:val="2"/>
          </w:tcPr>
          <w:p w:rsidR="0095369D" w:rsidRPr="00712B66" w:rsidRDefault="0095369D" w:rsidP="0095369D">
            <w:pPr>
              <w:pStyle w:val="naiskr"/>
              <w:spacing w:before="0" w:after="0"/>
            </w:pPr>
          </w:p>
          <w:p w:rsidR="0095369D" w:rsidRPr="00712B66" w:rsidRDefault="0095369D" w:rsidP="0095369D">
            <w:pPr>
              <w:pStyle w:val="naiskr"/>
              <w:spacing w:before="0" w:after="0"/>
            </w:pPr>
            <w:r w:rsidRPr="00712B66">
              <w:t>Atbildīgā amatpersona</w:t>
            </w:r>
          </w:p>
        </w:tc>
        <w:tc>
          <w:tcPr>
            <w:tcW w:w="6319" w:type="dxa"/>
            <w:gridSpan w:val="2"/>
          </w:tcPr>
          <w:p w:rsidR="0095369D" w:rsidRPr="00712B66" w:rsidRDefault="0095369D" w:rsidP="0095369D">
            <w:pPr>
              <w:pStyle w:val="naiskr"/>
              <w:spacing w:before="0" w:after="0"/>
              <w:ind w:firstLine="720"/>
            </w:pPr>
            <w:r w:rsidRPr="00712B66">
              <w:t>  </w:t>
            </w:r>
            <w:r>
              <w:t xml:space="preserve">                            Agnese Bugaja</w:t>
            </w:r>
          </w:p>
        </w:tc>
      </w:tr>
      <w:tr w:rsidR="0095369D" w:rsidRPr="00712B66" w:rsidTr="0097304D">
        <w:tblPrEx>
          <w:tblBorders>
            <w:top w:val="none" w:sz="0" w:space="0" w:color="auto"/>
            <w:left w:val="none" w:sz="0" w:space="0" w:color="auto"/>
            <w:bottom w:val="none" w:sz="0" w:space="0" w:color="auto"/>
            <w:right w:val="none" w:sz="0" w:space="0" w:color="auto"/>
          </w:tblBorders>
        </w:tblPrEx>
        <w:trPr>
          <w:gridAfter w:val="2"/>
          <w:wAfter w:w="5162" w:type="dxa"/>
        </w:trPr>
        <w:tc>
          <w:tcPr>
            <w:tcW w:w="3369" w:type="dxa"/>
            <w:gridSpan w:val="2"/>
          </w:tcPr>
          <w:p w:rsidR="0095369D" w:rsidRPr="00712B66" w:rsidRDefault="0095369D" w:rsidP="0095369D">
            <w:pPr>
              <w:pStyle w:val="naiskr"/>
              <w:spacing w:before="0" w:after="0"/>
              <w:ind w:firstLine="720"/>
            </w:pPr>
          </w:p>
        </w:tc>
        <w:tc>
          <w:tcPr>
            <w:tcW w:w="6319" w:type="dxa"/>
            <w:gridSpan w:val="2"/>
            <w:tcBorders>
              <w:top w:val="single" w:sz="6" w:space="0" w:color="000000"/>
            </w:tcBorders>
          </w:tcPr>
          <w:p w:rsidR="0095369D" w:rsidRPr="00712B66" w:rsidRDefault="0095369D" w:rsidP="0095369D">
            <w:pPr>
              <w:pStyle w:val="naisc"/>
              <w:spacing w:before="0" w:after="0"/>
              <w:ind w:firstLine="720"/>
            </w:pPr>
            <w:r w:rsidRPr="00712B66">
              <w:t>(paraksts*)</w:t>
            </w:r>
          </w:p>
        </w:tc>
      </w:tr>
    </w:tbl>
    <w:p w:rsidR="001C34EE" w:rsidRPr="00712B66" w:rsidRDefault="001C34EE" w:rsidP="000A2473">
      <w:pPr>
        <w:pStyle w:val="naisf"/>
        <w:spacing w:before="0" w:after="0"/>
        <w:ind w:firstLine="0"/>
      </w:pPr>
    </w:p>
    <w:p w:rsidR="001C34EE" w:rsidRDefault="001C34EE" w:rsidP="001C34EE">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1C34EE" w:rsidRPr="00712B66" w:rsidRDefault="001C34EE" w:rsidP="001C34EE">
      <w:pPr>
        <w:pStyle w:val="naisf"/>
        <w:spacing w:before="0" w:after="0"/>
        <w:ind w:firstLine="720"/>
      </w:pPr>
      <w:r>
        <w:t>Agnese Bugaja</w:t>
      </w:r>
    </w:p>
    <w:tbl>
      <w:tblPr>
        <w:tblpPr w:leftFromText="180" w:rightFromText="180" w:vertAnchor="text" w:tblpY="1"/>
        <w:tblOverlap w:val="never"/>
        <w:tblW w:w="0" w:type="auto"/>
        <w:tblLook w:val="00A0" w:firstRow="1" w:lastRow="0" w:firstColumn="1" w:lastColumn="0" w:noHBand="0" w:noVBand="0"/>
      </w:tblPr>
      <w:tblGrid>
        <w:gridCol w:w="8268"/>
      </w:tblGrid>
      <w:tr w:rsidR="001C34EE" w:rsidRPr="00712B66" w:rsidTr="000A2473">
        <w:tc>
          <w:tcPr>
            <w:tcW w:w="8268" w:type="dxa"/>
            <w:tcBorders>
              <w:top w:val="single" w:sz="4" w:space="0" w:color="000000"/>
            </w:tcBorders>
          </w:tcPr>
          <w:p w:rsidR="001C34EE" w:rsidRPr="00712B66" w:rsidRDefault="001C34EE" w:rsidP="000A2473">
            <w:pPr>
              <w:jc w:val="center"/>
            </w:pPr>
            <w:r>
              <w:t>(</w:t>
            </w:r>
            <w:r w:rsidRPr="00712B66">
              <w:t xml:space="preserve">par projektu atbildīgās amatpersonas </w:t>
            </w:r>
            <w:r>
              <w:t xml:space="preserve">vārds un </w:t>
            </w:r>
            <w:r w:rsidRPr="00712B66">
              <w:t>uzvārds</w:t>
            </w:r>
            <w:r>
              <w:t>)</w:t>
            </w:r>
          </w:p>
        </w:tc>
      </w:tr>
      <w:tr w:rsidR="001C34EE" w:rsidRPr="00712B66" w:rsidTr="000A2473">
        <w:tc>
          <w:tcPr>
            <w:tcW w:w="8268" w:type="dxa"/>
            <w:tcBorders>
              <w:bottom w:val="single" w:sz="4" w:space="0" w:color="000000"/>
            </w:tcBorders>
          </w:tcPr>
          <w:p w:rsidR="001C34EE" w:rsidRDefault="001C34EE" w:rsidP="000A2473"/>
          <w:p w:rsidR="001C34EE" w:rsidRPr="00712B66" w:rsidRDefault="001C34EE" w:rsidP="000A2473">
            <w:r w:rsidRPr="0007649E">
              <w:t xml:space="preserve">Juridiskā departamenta Tiesiskā nodrošinājuma nodaļas </w:t>
            </w:r>
            <w:r>
              <w:t>juriste</w:t>
            </w:r>
          </w:p>
        </w:tc>
      </w:tr>
      <w:tr w:rsidR="001C34EE" w:rsidRPr="00712B66" w:rsidTr="000A2473">
        <w:tc>
          <w:tcPr>
            <w:tcW w:w="8268" w:type="dxa"/>
            <w:tcBorders>
              <w:top w:val="single" w:sz="4" w:space="0" w:color="000000"/>
            </w:tcBorders>
          </w:tcPr>
          <w:p w:rsidR="001C34EE" w:rsidRPr="00712B66" w:rsidRDefault="001C34EE" w:rsidP="000A2473">
            <w:pPr>
              <w:jc w:val="center"/>
            </w:pPr>
            <w:r>
              <w:t>(</w:t>
            </w:r>
            <w:r w:rsidRPr="00712B66">
              <w:t>amats</w:t>
            </w:r>
            <w:r>
              <w:t>)</w:t>
            </w:r>
          </w:p>
        </w:tc>
      </w:tr>
      <w:tr w:rsidR="001C34EE" w:rsidRPr="00712B66" w:rsidTr="000A2473">
        <w:tc>
          <w:tcPr>
            <w:tcW w:w="8268" w:type="dxa"/>
            <w:tcBorders>
              <w:bottom w:val="single" w:sz="4" w:space="0" w:color="000000"/>
            </w:tcBorders>
          </w:tcPr>
          <w:p w:rsidR="001C34EE" w:rsidRPr="00712B66" w:rsidRDefault="001C34EE" w:rsidP="000A2473">
            <w:r>
              <w:t>67013176</w:t>
            </w:r>
          </w:p>
        </w:tc>
      </w:tr>
      <w:tr w:rsidR="001C34EE" w:rsidRPr="00712B66" w:rsidTr="000A2473">
        <w:tc>
          <w:tcPr>
            <w:tcW w:w="8268" w:type="dxa"/>
            <w:tcBorders>
              <w:top w:val="single" w:sz="4" w:space="0" w:color="000000"/>
            </w:tcBorders>
          </w:tcPr>
          <w:p w:rsidR="001C34EE" w:rsidRPr="00712B66" w:rsidRDefault="001C34EE" w:rsidP="000A2473">
            <w:pPr>
              <w:jc w:val="center"/>
            </w:pPr>
            <w:r>
              <w:t>(</w:t>
            </w:r>
            <w:r w:rsidRPr="00712B66">
              <w:t>tālruņa un faksa numurs</w:t>
            </w:r>
            <w:r>
              <w:t>)</w:t>
            </w:r>
          </w:p>
        </w:tc>
      </w:tr>
      <w:tr w:rsidR="001C34EE" w:rsidRPr="00712B66" w:rsidTr="000A2473">
        <w:tc>
          <w:tcPr>
            <w:tcW w:w="8268" w:type="dxa"/>
            <w:tcBorders>
              <w:bottom w:val="single" w:sz="4" w:space="0" w:color="000000"/>
            </w:tcBorders>
          </w:tcPr>
          <w:p w:rsidR="001C34EE" w:rsidRPr="00712B66" w:rsidRDefault="001C34EE" w:rsidP="000A2473">
            <w:r>
              <w:t>Agnese</w:t>
            </w:r>
            <w:r w:rsidRPr="0007649E">
              <w:t>.</w:t>
            </w:r>
            <w:r>
              <w:t>Bugaja</w:t>
            </w:r>
            <w:r w:rsidRPr="0007649E">
              <w:t>@em.gov.lv</w:t>
            </w:r>
          </w:p>
        </w:tc>
      </w:tr>
      <w:tr w:rsidR="001C34EE" w:rsidRPr="00712B66" w:rsidTr="000A2473">
        <w:tc>
          <w:tcPr>
            <w:tcW w:w="8268" w:type="dxa"/>
            <w:tcBorders>
              <w:top w:val="single" w:sz="4" w:space="0" w:color="000000"/>
            </w:tcBorders>
          </w:tcPr>
          <w:p w:rsidR="001C34EE" w:rsidRPr="00712B66" w:rsidRDefault="001C34EE" w:rsidP="000A2473">
            <w:pPr>
              <w:jc w:val="center"/>
            </w:pPr>
            <w:r>
              <w:t>(</w:t>
            </w:r>
            <w:r w:rsidRPr="00712B66">
              <w:t>e-pasta adrese</w:t>
            </w:r>
            <w:r>
              <w:t>)</w:t>
            </w:r>
          </w:p>
        </w:tc>
      </w:tr>
    </w:tbl>
    <w:p w:rsidR="003B71E0" w:rsidRPr="001C34EE" w:rsidRDefault="003B71E0" w:rsidP="001C34EE"/>
    <w:sectPr w:rsidR="003B71E0" w:rsidRPr="001C34EE"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775" w:rsidRDefault="00356775">
      <w:r>
        <w:separator/>
      </w:r>
    </w:p>
  </w:endnote>
  <w:endnote w:type="continuationSeparator" w:id="0">
    <w:p w:rsidR="00356775" w:rsidRDefault="0035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3A7D24" w:rsidRDefault="003A7D24" w:rsidP="003A7D24">
    <w:pPr>
      <w:pStyle w:val="Footer"/>
    </w:pPr>
    <w:r>
      <w:rPr>
        <w:sz w:val="16"/>
        <w:szCs w:val="16"/>
      </w:rPr>
      <w:fldChar w:fldCharType="begin"/>
    </w:r>
    <w:r>
      <w:rPr>
        <w:sz w:val="16"/>
        <w:szCs w:val="16"/>
      </w:rPr>
      <w:instrText xml:space="preserve"> FILENAME   \* MERGEFORMAT </w:instrText>
    </w:r>
    <w:r>
      <w:rPr>
        <w:sz w:val="16"/>
        <w:szCs w:val="16"/>
      </w:rPr>
      <w:fldChar w:fldCharType="separate"/>
    </w:r>
    <w:r w:rsidR="003D6DD6">
      <w:rPr>
        <w:noProof/>
        <w:sz w:val="16"/>
        <w:szCs w:val="16"/>
      </w:rPr>
      <w:t>Izzina_MK606_kontaktpunkts_2020.doc</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7CE" w:rsidRDefault="003647CE" w:rsidP="003A7D24">
    <w:pPr>
      <w:pStyle w:val="Footer"/>
      <w:rPr>
        <w:sz w:val="16"/>
        <w:szCs w:val="16"/>
      </w:rPr>
    </w:pPr>
  </w:p>
  <w:p w:rsidR="006455E7" w:rsidRPr="003A7D24" w:rsidRDefault="003A7D24" w:rsidP="003A7D24">
    <w:pPr>
      <w:pStyle w:val="Footer"/>
    </w:pPr>
    <w:r>
      <w:rPr>
        <w:sz w:val="16"/>
        <w:szCs w:val="16"/>
      </w:rPr>
      <w:fldChar w:fldCharType="begin"/>
    </w:r>
    <w:r>
      <w:rPr>
        <w:sz w:val="16"/>
        <w:szCs w:val="16"/>
      </w:rPr>
      <w:instrText xml:space="preserve"> FILENAME   \* MERGEFORMAT </w:instrText>
    </w:r>
    <w:r>
      <w:rPr>
        <w:sz w:val="16"/>
        <w:szCs w:val="16"/>
      </w:rPr>
      <w:fldChar w:fldCharType="separate"/>
    </w:r>
    <w:r w:rsidR="003D6DD6">
      <w:rPr>
        <w:noProof/>
        <w:sz w:val="16"/>
        <w:szCs w:val="16"/>
      </w:rPr>
      <w:t>Izzina_MK606_kontaktpunkts_2020.doc</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775" w:rsidRDefault="00356775">
      <w:r>
        <w:separator/>
      </w:r>
    </w:p>
  </w:footnote>
  <w:footnote w:type="continuationSeparator" w:id="0">
    <w:p w:rsidR="00356775" w:rsidRDefault="0035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CC6">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A85"/>
    <w:multiLevelType w:val="hybridMultilevel"/>
    <w:tmpl w:val="DF348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04D2E"/>
    <w:multiLevelType w:val="hybridMultilevel"/>
    <w:tmpl w:val="E85C9530"/>
    <w:lvl w:ilvl="0" w:tplc="C99AA7A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7F12F7"/>
    <w:multiLevelType w:val="hybridMultilevel"/>
    <w:tmpl w:val="F81A9EA0"/>
    <w:lvl w:ilvl="0" w:tplc="0426000F">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408D2C39"/>
    <w:multiLevelType w:val="hybridMultilevel"/>
    <w:tmpl w:val="B0867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255ADA"/>
    <w:multiLevelType w:val="hybridMultilevel"/>
    <w:tmpl w:val="F2A09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05066A"/>
    <w:multiLevelType w:val="hybridMultilevel"/>
    <w:tmpl w:val="9DEAC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DA680E"/>
    <w:multiLevelType w:val="hybridMultilevel"/>
    <w:tmpl w:val="21263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417363"/>
    <w:multiLevelType w:val="hybridMultilevel"/>
    <w:tmpl w:val="091E1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8"/>
  </w:num>
  <w:num w:numId="5">
    <w:abstractNumId w:val="5"/>
  </w:num>
  <w:num w:numId="6">
    <w:abstractNumId w:val="9"/>
  </w:num>
  <w:num w:numId="7">
    <w:abstractNumId w:val="3"/>
  </w:num>
  <w:num w:numId="8">
    <w:abstractNumId w:val="6"/>
  </w:num>
  <w:num w:numId="9">
    <w:abstractNumId w:val="2"/>
  </w:num>
  <w:num w:numId="10">
    <w:abstractNumId w:val="4"/>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8B8"/>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5FEA"/>
    <w:rsid w:val="000278E7"/>
    <w:rsid w:val="00027A63"/>
    <w:rsid w:val="00027CC9"/>
    <w:rsid w:val="00027F9D"/>
    <w:rsid w:val="00030511"/>
    <w:rsid w:val="000307B5"/>
    <w:rsid w:val="00032457"/>
    <w:rsid w:val="0003413A"/>
    <w:rsid w:val="000349CA"/>
    <w:rsid w:val="00034D24"/>
    <w:rsid w:val="0003557A"/>
    <w:rsid w:val="00035C06"/>
    <w:rsid w:val="00035CDC"/>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57C90"/>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649E"/>
    <w:rsid w:val="000775D0"/>
    <w:rsid w:val="00081476"/>
    <w:rsid w:val="00081B0F"/>
    <w:rsid w:val="0008283D"/>
    <w:rsid w:val="00083090"/>
    <w:rsid w:val="00083214"/>
    <w:rsid w:val="00083B8F"/>
    <w:rsid w:val="00084083"/>
    <w:rsid w:val="00084B11"/>
    <w:rsid w:val="00085322"/>
    <w:rsid w:val="0008656F"/>
    <w:rsid w:val="00086AB9"/>
    <w:rsid w:val="00086BCE"/>
    <w:rsid w:val="00086F36"/>
    <w:rsid w:val="00090168"/>
    <w:rsid w:val="00090C76"/>
    <w:rsid w:val="00091033"/>
    <w:rsid w:val="00091509"/>
    <w:rsid w:val="00091F10"/>
    <w:rsid w:val="0009302B"/>
    <w:rsid w:val="00093EC2"/>
    <w:rsid w:val="000958A2"/>
    <w:rsid w:val="000965E7"/>
    <w:rsid w:val="000A0041"/>
    <w:rsid w:val="000A06FC"/>
    <w:rsid w:val="000A1A02"/>
    <w:rsid w:val="000A247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99B"/>
    <w:rsid w:val="000B4746"/>
    <w:rsid w:val="000B56D8"/>
    <w:rsid w:val="000B7966"/>
    <w:rsid w:val="000B7CB1"/>
    <w:rsid w:val="000C0AE6"/>
    <w:rsid w:val="000C0D0D"/>
    <w:rsid w:val="000C2555"/>
    <w:rsid w:val="000C2B46"/>
    <w:rsid w:val="000C3545"/>
    <w:rsid w:val="000C498A"/>
    <w:rsid w:val="000C4C16"/>
    <w:rsid w:val="000C56FC"/>
    <w:rsid w:val="000C7907"/>
    <w:rsid w:val="000C7A11"/>
    <w:rsid w:val="000C7F5E"/>
    <w:rsid w:val="000D00AC"/>
    <w:rsid w:val="000D0AED"/>
    <w:rsid w:val="000D14D3"/>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630"/>
    <w:rsid w:val="000F3AA0"/>
    <w:rsid w:val="000F3FAC"/>
    <w:rsid w:val="000F4AEB"/>
    <w:rsid w:val="000F4B40"/>
    <w:rsid w:val="000F4C3B"/>
    <w:rsid w:val="000F4E7B"/>
    <w:rsid w:val="000F57C3"/>
    <w:rsid w:val="000F5C37"/>
    <w:rsid w:val="000F5DF0"/>
    <w:rsid w:val="000F6A0B"/>
    <w:rsid w:val="000F7695"/>
    <w:rsid w:val="000F7A66"/>
    <w:rsid w:val="001012E3"/>
    <w:rsid w:val="00101EEB"/>
    <w:rsid w:val="0010375A"/>
    <w:rsid w:val="001038ED"/>
    <w:rsid w:val="001042B0"/>
    <w:rsid w:val="00105689"/>
    <w:rsid w:val="00106F4F"/>
    <w:rsid w:val="001071D3"/>
    <w:rsid w:val="001075A8"/>
    <w:rsid w:val="00107608"/>
    <w:rsid w:val="00110259"/>
    <w:rsid w:val="00110AA9"/>
    <w:rsid w:val="0011254D"/>
    <w:rsid w:val="001139C2"/>
    <w:rsid w:val="00114559"/>
    <w:rsid w:val="00114EA9"/>
    <w:rsid w:val="00115ED0"/>
    <w:rsid w:val="0011683C"/>
    <w:rsid w:val="001179E8"/>
    <w:rsid w:val="0012021B"/>
    <w:rsid w:val="001203D1"/>
    <w:rsid w:val="00120EFB"/>
    <w:rsid w:val="0012222D"/>
    <w:rsid w:val="001255E6"/>
    <w:rsid w:val="00125FCE"/>
    <w:rsid w:val="0013053A"/>
    <w:rsid w:val="0013066A"/>
    <w:rsid w:val="001315EF"/>
    <w:rsid w:val="00131F39"/>
    <w:rsid w:val="00132375"/>
    <w:rsid w:val="00132E73"/>
    <w:rsid w:val="00133505"/>
    <w:rsid w:val="00134188"/>
    <w:rsid w:val="00137403"/>
    <w:rsid w:val="00140706"/>
    <w:rsid w:val="0014122A"/>
    <w:rsid w:val="00141E85"/>
    <w:rsid w:val="0014270C"/>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097"/>
    <w:rsid w:val="00167590"/>
    <w:rsid w:val="0016778D"/>
    <w:rsid w:val="00167918"/>
    <w:rsid w:val="00167C1E"/>
    <w:rsid w:val="0017043B"/>
    <w:rsid w:val="001706A1"/>
    <w:rsid w:val="00170914"/>
    <w:rsid w:val="00170DF2"/>
    <w:rsid w:val="00171303"/>
    <w:rsid w:val="001729EC"/>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7B5"/>
    <w:rsid w:val="00187F73"/>
    <w:rsid w:val="00187FB0"/>
    <w:rsid w:val="001902E9"/>
    <w:rsid w:val="00190327"/>
    <w:rsid w:val="00190A0A"/>
    <w:rsid w:val="001926F2"/>
    <w:rsid w:val="00193BCE"/>
    <w:rsid w:val="00194B87"/>
    <w:rsid w:val="0019569A"/>
    <w:rsid w:val="00195962"/>
    <w:rsid w:val="00197533"/>
    <w:rsid w:val="001977E7"/>
    <w:rsid w:val="00197CCA"/>
    <w:rsid w:val="001A0CC1"/>
    <w:rsid w:val="001A0D8A"/>
    <w:rsid w:val="001A192D"/>
    <w:rsid w:val="001A1C8D"/>
    <w:rsid w:val="001A7C72"/>
    <w:rsid w:val="001B084B"/>
    <w:rsid w:val="001B0CEC"/>
    <w:rsid w:val="001B0FFC"/>
    <w:rsid w:val="001B129B"/>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4EE"/>
    <w:rsid w:val="001C461A"/>
    <w:rsid w:val="001C4ABA"/>
    <w:rsid w:val="001C546B"/>
    <w:rsid w:val="001C5EA2"/>
    <w:rsid w:val="001C6608"/>
    <w:rsid w:val="001C6C7D"/>
    <w:rsid w:val="001C7779"/>
    <w:rsid w:val="001D1CB1"/>
    <w:rsid w:val="001D2AC0"/>
    <w:rsid w:val="001D2DBA"/>
    <w:rsid w:val="001D2FD0"/>
    <w:rsid w:val="001D3830"/>
    <w:rsid w:val="001D3BA6"/>
    <w:rsid w:val="001D5564"/>
    <w:rsid w:val="001D5781"/>
    <w:rsid w:val="001D6FAA"/>
    <w:rsid w:val="001D70FA"/>
    <w:rsid w:val="001D7BA9"/>
    <w:rsid w:val="001E039D"/>
    <w:rsid w:val="001E22E7"/>
    <w:rsid w:val="001E25EB"/>
    <w:rsid w:val="001E2714"/>
    <w:rsid w:val="001E398C"/>
    <w:rsid w:val="001E4456"/>
    <w:rsid w:val="001E4DDC"/>
    <w:rsid w:val="001E774F"/>
    <w:rsid w:val="001E7C1D"/>
    <w:rsid w:val="001F073F"/>
    <w:rsid w:val="001F3009"/>
    <w:rsid w:val="001F3358"/>
    <w:rsid w:val="001F35CB"/>
    <w:rsid w:val="001F390F"/>
    <w:rsid w:val="001F5B7E"/>
    <w:rsid w:val="001F5CD1"/>
    <w:rsid w:val="001F626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2B5"/>
    <w:rsid w:val="00211793"/>
    <w:rsid w:val="00211C11"/>
    <w:rsid w:val="00212345"/>
    <w:rsid w:val="00214809"/>
    <w:rsid w:val="002149A1"/>
    <w:rsid w:val="00214E7A"/>
    <w:rsid w:val="00215BFE"/>
    <w:rsid w:val="00215C44"/>
    <w:rsid w:val="00216E73"/>
    <w:rsid w:val="0021774C"/>
    <w:rsid w:val="00217FF6"/>
    <w:rsid w:val="00222386"/>
    <w:rsid w:val="00222F51"/>
    <w:rsid w:val="00222FD0"/>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563A"/>
    <w:rsid w:val="00235B8C"/>
    <w:rsid w:val="002366E0"/>
    <w:rsid w:val="00236DE1"/>
    <w:rsid w:val="00236EBA"/>
    <w:rsid w:val="002372EE"/>
    <w:rsid w:val="002372FD"/>
    <w:rsid w:val="0023764D"/>
    <w:rsid w:val="002415BC"/>
    <w:rsid w:val="002434B2"/>
    <w:rsid w:val="002440E6"/>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258"/>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24B"/>
    <w:rsid w:val="00291264"/>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73B"/>
    <w:rsid w:val="002A7A4F"/>
    <w:rsid w:val="002A7AFE"/>
    <w:rsid w:val="002B01DB"/>
    <w:rsid w:val="002B09C0"/>
    <w:rsid w:val="002B13B3"/>
    <w:rsid w:val="002B15AD"/>
    <w:rsid w:val="002B183D"/>
    <w:rsid w:val="002B1DBF"/>
    <w:rsid w:val="002B207F"/>
    <w:rsid w:val="002B2A48"/>
    <w:rsid w:val="002B2BEE"/>
    <w:rsid w:val="002B31AD"/>
    <w:rsid w:val="002B3EA7"/>
    <w:rsid w:val="002B4BAE"/>
    <w:rsid w:val="002B538B"/>
    <w:rsid w:val="002B581B"/>
    <w:rsid w:val="002B6AFD"/>
    <w:rsid w:val="002C2892"/>
    <w:rsid w:val="002C2DED"/>
    <w:rsid w:val="002C3A4E"/>
    <w:rsid w:val="002C58AB"/>
    <w:rsid w:val="002C68CB"/>
    <w:rsid w:val="002C6D84"/>
    <w:rsid w:val="002C7D21"/>
    <w:rsid w:val="002D1564"/>
    <w:rsid w:val="002D1CA4"/>
    <w:rsid w:val="002D2C09"/>
    <w:rsid w:val="002D2C45"/>
    <w:rsid w:val="002D4969"/>
    <w:rsid w:val="002D4EE1"/>
    <w:rsid w:val="002D4F49"/>
    <w:rsid w:val="002D778E"/>
    <w:rsid w:val="002E04D7"/>
    <w:rsid w:val="002E06DD"/>
    <w:rsid w:val="002E171A"/>
    <w:rsid w:val="002E2632"/>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535"/>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4D7B"/>
    <w:rsid w:val="00315266"/>
    <w:rsid w:val="0031693B"/>
    <w:rsid w:val="003169CE"/>
    <w:rsid w:val="00316F0A"/>
    <w:rsid w:val="00317DC7"/>
    <w:rsid w:val="003200F9"/>
    <w:rsid w:val="00320F38"/>
    <w:rsid w:val="00321183"/>
    <w:rsid w:val="003214A9"/>
    <w:rsid w:val="00321694"/>
    <w:rsid w:val="00321F0A"/>
    <w:rsid w:val="003223CE"/>
    <w:rsid w:val="00322A2D"/>
    <w:rsid w:val="00322E80"/>
    <w:rsid w:val="00324D5B"/>
    <w:rsid w:val="00325045"/>
    <w:rsid w:val="00325D91"/>
    <w:rsid w:val="00326037"/>
    <w:rsid w:val="003267B4"/>
    <w:rsid w:val="00331193"/>
    <w:rsid w:val="003333D4"/>
    <w:rsid w:val="00334951"/>
    <w:rsid w:val="00336411"/>
    <w:rsid w:val="0033678D"/>
    <w:rsid w:val="0033720D"/>
    <w:rsid w:val="003373E8"/>
    <w:rsid w:val="003410CC"/>
    <w:rsid w:val="003443DD"/>
    <w:rsid w:val="00344D5A"/>
    <w:rsid w:val="003466CA"/>
    <w:rsid w:val="00346EB6"/>
    <w:rsid w:val="00347EDB"/>
    <w:rsid w:val="00350797"/>
    <w:rsid w:val="00350E7D"/>
    <w:rsid w:val="00351A85"/>
    <w:rsid w:val="00351DBD"/>
    <w:rsid w:val="003522E8"/>
    <w:rsid w:val="00353989"/>
    <w:rsid w:val="00355B7A"/>
    <w:rsid w:val="0035617C"/>
    <w:rsid w:val="00356775"/>
    <w:rsid w:val="00356780"/>
    <w:rsid w:val="00356E7E"/>
    <w:rsid w:val="00356EB8"/>
    <w:rsid w:val="00357B83"/>
    <w:rsid w:val="003614A8"/>
    <w:rsid w:val="0036160E"/>
    <w:rsid w:val="00362610"/>
    <w:rsid w:val="0036357D"/>
    <w:rsid w:val="00363830"/>
    <w:rsid w:val="00363D2D"/>
    <w:rsid w:val="003647CE"/>
    <w:rsid w:val="00364BB6"/>
    <w:rsid w:val="00364D6B"/>
    <w:rsid w:val="00365408"/>
    <w:rsid w:val="00365CC0"/>
    <w:rsid w:val="003668DF"/>
    <w:rsid w:val="00367688"/>
    <w:rsid w:val="00372221"/>
    <w:rsid w:val="00372CF2"/>
    <w:rsid w:val="00374C7E"/>
    <w:rsid w:val="00377353"/>
    <w:rsid w:val="0037736B"/>
    <w:rsid w:val="00381A17"/>
    <w:rsid w:val="00381F57"/>
    <w:rsid w:val="0038216E"/>
    <w:rsid w:val="003822E5"/>
    <w:rsid w:val="003830B8"/>
    <w:rsid w:val="00383262"/>
    <w:rsid w:val="00387FDF"/>
    <w:rsid w:val="003976CB"/>
    <w:rsid w:val="003A0E6E"/>
    <w:rsid w:val="003A157A"/>
    <w:rsid w:val="003A283F"/>
    <w:rsid w:val="003A2A16"/>
    <w:rsid w:val="003A2FDD"/>
    <w:rsid w:val="003A3C43"/>
    <w:rsid w:val="003A5CCC"/>
    <w:rsid w:val="003A70FF"/>
    <w:rsid w:val="003A74D2"/>
    <w:rsid w:val="003A756B"/>
    <w:rsid w:val="003A7902"/>
    <w:rsid w:val="003A7D24"/>
    <w:rsid w:val="003B1FB9"/>
    <w:rsid w:val="003B23D7"/>
    <w:rsid w:val="003B34CB"/>
    <w:rsid w:val="003B3AB4"/>
    <w:rsid w:val="003B3CA8"/>
    <w:rsid w:val="003B45D5"/>
    <w:rsid w:val="003B52FE"/>
    <w:rsid w:val="003B572A"/>
    <w:rsid w:val="003B57D3"/>
    <w:rsid w:val="003B6325"/>
    <w:rsid w:val="003B71E0"/>
    <w:rsid w:val="003B78A4"/>
    <w:rsid w:val="003C144E"/>
    <w:rsid w:val="003C1A07"/>
    <w:rsid w:val="003C1E74"/>
    <w:rsid w:val="003C20A2"/>
    <w:rsid w:val="003C2673"/>
    <w:rsid w:val="003C27A2"/>
    <w:rsid w:val="003C567C"/>
    <w:rsid w:val="003C59B8"/>
    <w:rsid w:val="003C6537"/>
    <w:rsid w:val="003C6809"/>
    <w:rsid w:val="003C7897"/>
    <w:rsid w:val="003D0937"/>
    <w:rsid w:val="003D17E6"/>
    <w:rsid w:val="003D1A20"/>
    <w:rsid w:val="003D1AC9"/>
    <w:rsid w:val="003D2AC9"/>
    <w:rsid w:val="003D2CD8"/>
    <w:rsid w:val="003D3724"/>
    <w:rsid w:val="003D46A7"/>
    <w:rsid w:val="003D6376"/>
    <w:rsid w:val="003D6DD6"/>
    <w:rsid w:val="003E1235"/>
    <w:rsid w:val="003E2A35"/>
    <w:rsid w:val="003E2B56"/>
    <w:rsid w:val="003E2CE1"/>
    <w:rsid w:val="003E2DCB"/>
    <w:rsid w:val="003E4C3F"/>
    <w:rsid w:val="003E4D7C"/>
    <w:rsid w:val="003E4E56"/>
    <w:rsid w:val="003E52CB"/>
    <w:rsid w:val="003E5FA8"/>
    <w:rsid w:val="003E6252"/>
    <w:rsid w:val="003F1200"/>
    <w:rsid w:val="003F1421"/>
    <w:rsid w:val="003F1844"/>
    <w:rsid w:val="003F241E"/>
    <w:rsid w:val="003F28C0"/>
    <w:rsid w:val="003F3EF0"/>
    <w:rsid w:val="003F52B2"/>
    <w:rsid w:val="003F716E"/>
    <w:rsid w:val="003F7C9D"/>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23A"/>
    <w:rsid w:val="0041563D"/>
    <w:rsid w:val="00416277"/>
    <w:rsid w:val="00416E24"/>
    <w:rsid w:val="0042063D"/>
    <w:rsid w:val="004212B7"/>
    <w:rsid w:val="00422B23"/>
    <w:rsid w:val="00423A60"/>
    <w:rsid w:val="0042651C"/>
    <w:rsid w:val="00426D20"/>
    <w:rsid w:val="00426E9B"/>
    <w:rsid w:val="00427D55"/>
    <w:rsid w:val="0043233C"/>
    <w:rsid w:val="004345A6"/>
    <w:rsid w:val="00435B2F"/>
    <w:rsid w:val="00435E03"/>
    <w:rsid w:val="004363F0"/>
    <w:rsid w:val="004373E1"/>
    <w:rsid w:val="004374A3"/>
    <w:rsid w:val="00437A7E"/>
    <w:rsid w:val="00437B6C"/>
    <w:rsid w:val="00437E78"/>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37B"/>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4612"/>
    <w:rsid w:val="004D5030"/>
    <w:rsid w:val="004D6045"/>
    <w:rsid w:val="004D62DC"/>
    <w:rsid w:val="004D7546"/>
    <w:rsid w:val="004D7EC5"/>
    <w:rsid w:val="004E02B0"/>
    <w:rsid w:val="004E0B29"/>
    <w:rsid w:val="004E0E11"/>
    <w:rsid w:val="004E0F08"/>
    <w:rsid w:val="004E1546"/>
    <w:rsid w:val="004E19DC"/>
    <w:rsid w:val="004E266F"/>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E0A"/>
    <w:rsid w:val="00506B92"/>
    <w:rsid w:val="005070FF"/>
    <w:rsid w:val="00507C21"/>
    <w:rsid w:val="0051191E"/>
    <w:rsid w:val="00512724"/>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24"/>
    <w:rsid w:val="00537A26"/>
    <w:rsid w:val="00540E47"/>
    <w:rsid w:val="00543283"/>
    <w:rsid w:val="0054364C"/>
    <w:rsid w:val="00545380"/>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27D1"/>
    <w:rsid w:val="00564804"/>
    <w:rsid w:val="00564E8F"/>
    <w:rsid w:val="00565598"/>
    <w:rsid w:val="00565B5A"/>
    <w:rsid w:val="00567E8F"/>
    <w:rsid w:val="005702D6"/>
    <w:rsid w:val="00572588"/>
    <w:rsid w:val="00573A50"/>
    <w:rsid w:val="005746D2"/>
    <w:rsid w:val="00574E8A"/>
    <w:rsid w:val="00576007"/>
    <w:rsid w:val="00577775"/>
    <w:rsid w:val="00577F2A"/>
    <w:rsid w:val="0058121A"/>
    <w:rsid w:val="00581863"/>
    <w:rsid w:val="00581EA3"/>
    <w:rsid w:val="0058205A"/>
    <w:rsid w:val="0058260B"/>
    <w:rsid w:val="00583B5D"/>
    <w:rsid w:val="00584D1E"/>
    <w:rsid w:val="00586673"/>
    <w:rsid w:val="00586795"/>
    <w:rsid w:val="00586B82"/>
    <w:rsid w:val="00587E13"/>
    <w:rsid w:val="005909E9"/>
    <w:rsid w:val="00591B9D"/>
    <w:rsid w:val="005933AA"/>
    <w:rsid w:val="005940AA"/>
    <w:rsid w:val="00594614"/>
    <w:rsid w:val="00594E10"/>
    <w:rsid w:val="00596306"/>
    <w:rsid w:val="00596487"/>
    <w:rsid w:val="005A0809"/>
    <w:rsid w:val="005A0B91"/>
    <w:rsid w:val="005A1494"/>
    <w:rsid w:val="005A3590"/>
    <w:rsid w:val="005A4705"/>
    <w:rsid w:val="005A4A1C"/>
    <w:rsid w:val="005A5BD8"/>
    <w:rsid w:val="005A692A"/>
    <w:rsid w:val="005A6AB8"/>
    <w:rsid w:val="005A74DE"/>
    <w:rsid w:val="005B0176"/>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E47"/>
    <w:rsid w:val="005C78B0"/>
    <w:rsid w:val="005C7B95"/>
    <w:rsid w:val="005D01EB"/>
    <w:rsid w:val="005D0DFB"/>
    <w:rsid w:val="005D1112"/>
    <w:rsid w:val="005D16AC"/>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6F0F"/>
    <w:rsid w:val="005E7F14"/>
    <w:rsid w:val="005F0154"/>
    <w:rsid w:val="005F0176"/>
    <w:rsid w:val="005F021D"/>
    <w:rsid w:val="005F1EAC"/>
    <w:rsid w:val="005F308F"/>
    <w:rsid w:val="005F4869"/>
    <w:rsid w:val="005F4BFD"/>
    <w:rsid w:val="005F5748"/>
    <w:rsid w:val="005F5834"/>
    <w:rsid w:val="005F5E11"/>
    <w:rsid w:val="0060004B"/>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471E"/>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822"/>
    <w:rsid w:val="00630D2E"/>
    <w:rsid w:val="00630D39"/>
    <w:rsid w:val="00631E19"/>
    <w:rsid w:val="00633E76"/>
    <w:rsid w:val="00633EC9"/>
    <w:rsid w:val="006340F5"/>
    <w:rsid w:val="00634542"/>
    <w:rsid w:val="00635E4D"/>
    <w:rsid w:val="0063620C"/>
    <w:rsid w:val="006375F4"/>
    <w:rsid w:val="00637E18"/>
    <w:rsid w:val="0064032E"/>
    <w:rsid w:val="0064038D"/>
    <w:rsid w:val="006405D6"/>
    <w:rsid w:val="00641A0B"/>
    <w:rsid w:val="00641D5A"/>
    <w:rsid w:val="00641E06"/>
    <w:rsid w:val="00643007"/>
    <w:rsid w:val="006431D0"/>
    <w:rsid w:val="006432C5"/>
    <w:rsid w:val="006436FA"/>
    <w:rsid w:val="00643852"/>
    <w:rsid w:val="00643C27"/>
    <w:rsid w:val="006455E7"/>
    <w:rsid w:val="00645758"/>
    <w:rsid w:val="006457DE"/>
    <w:rsid w:val="006461A1"/>
    <w:rsid w:val="00647422"/>
    <w:rsid w:val="00647854"/>
    <w:rsid w:val="00647E6B"/>
    <w:rsid w:val="00650E84"/>
    <w:rsid w:val="0065198B"/>
    <w:rsid w:val="006525AF"/>
    <w:rsid w:val="0065266A"/>
    <w:rsid w:val="0065268B"/>
    <w:rsid w:val="00653F9C"/>
    <w:rsid w:val="00655470"/>
    <w:rsid w:val="00656FEE"/>
    <w:rsid w:val="0065758F"/>
    <w:rsid w:val="00660897"/>
    <w:rsid w:val="00661028"/>
    <w:rsid w:val="006617BD"/>
    <w:rsid w:val="0066194D"/>
    <w:rsid w:val="006632B1"/>
    <w:rsid w:val="00664695"/>
    <w:rsid w:val="00664840"/>
    <w:rsid w:val="00664B44"/>
    <w:rsid w:val="006652BF"/>
    <w:rsid w:val="0066630C"/>
    <w:rsid w:val="0066759C"/>
    <w:rsid w:val="00667BBD"/>
    <w:rsid w:val="00671149"/>
    <w:rsid w:val="00671615"/>
    <w:rsid w:val="00671741"/>
    <w:rsid w:val="00671766"/>
    <w:rsid w:val="006724CC"/>
    <w:rsid w:val="00672914"/>
    <w:rsid w:val="006744C3"/>
    <w:rsid w:val="0067506C"/>
    <w:rsid w:val="0067537F"/>
    <w:rsid w:val="00676410"/>
    <w:rsid w:val="0067722A"/>
    <w:rsid w:val="00680509"/>
    <w:rsid w:val="006805CB"/>
    <w:rsid w:val="00681CC1"/>
    <w:rsid w:val="0068233B"/>
    <w:rsid w:val="00682E11"/>
    <w:rsid w:val="00683081"/>
    <w:rsid w:val="00684C95"/>
    <w:rsid w:val="006850D3"/>
    <w:rsid w:val="00685249"/>
    <w:rsid w:val="006853CB"/>
    <w:rsid w:val="006856B9"/>
    <w:rsid w:val="00685BDE"/>
    <w:rsid w:val="00686085"/>
    <w:rsid w:val="00686F8E"/>
    <w:rsid w:val="00687C0D"/>
    <w:rsid w:val="00691237"/>
    <w:rsid w:val="006920E6"/>
    <w:rsid w:val="00692555"/>
    <w:rsid w:val="00696566"/>
    <w:rsid w:val="006966BA"/>
    <w:rsid w:val="00696D0C"/>
    <w:rsid w:val="0069722D"/>
    <w:rsid w:val="006A0052"/>
    <w:rsid w:val="006A0A9E"/>
    <w:rsid w:val="006A0D03"/>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AF0"/>
    <w:rsid w:val="006C0D75"/>
    <w:rsid w:val="006C1C48"/>
    <w:rsid w:val="006C2EF7"/>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D7EFE"/>
    <w:rsid w:val="006E04C6"/>
    <w:rsid w:val="006E0A65"/>
    <w:rsid w:val="006E1B01"/>
    <w:rsid w:val="006E3E3D"/>
    <w:rsid w:val="006E4836"/>
    <w:rsid w:val="006E5DDD"/>
    <w:rsid w:val="006E7811"/>
    <w:rsid w:val="006E793D"/>
    <w:rsid w:val="006F04DA"/>
    <w:rsid w:val="006F0557"/>
    <w:rsid w:val="006F07A0"/>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B8C"/>
    <w:rsid w:val="00705C74"/>
    <w:rsid w:val="00705C78"/>
    <w:rsid w:val="007060E1"/>
    <w:rsid w:val="00706824"/>
    <w:rsid w:val="00706B85"/>
    <w:rsid w:val="007071FC"/>
    <w:rsid w:val="00707C84"/>
    <w:rsid w:val="00710A59"/>
    <w:rsid w:val="00710BEC"/>
    <w:rsid w:val="00710FDE"/>
    <w:rsid w:val="007116C7"/>
    <w:rsid w:val="00711C5A"/>
    <w:rsid w:val="00712B66"/>
    <w:rsid w:val="00713C31"/>
    <w:rsid w:val="0071428D"/>
    <w:rsid w:val="007144C9"/>
    <w:rsid w:val="00716B3C"/>
    <w:rsid w:val="007170C2"/>
    <w:rsid w:val="007179EE"/>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5058"/>
    <w:rsid w:val="00766D90"/>
    <w:rsid w:val="00767C19"/>
    <w:rsid w:val="00767D4E"/>
    <w:rsid w:val="00771067"/>
    <w:rsid w:val="00771FEE"/>
    <w:rsid w:val="007722ED"/>
    <w:rsid w:val="0077408B"/>
    <w:rsid w:val="0077409D"/>
    <w:rsid w:val="00774AF6"/>
    <w:rsid w:val="00774EC8"/>
    <w:rsid w:val="00776781"/>
    <w:rsid w:val="00776965"/>
    <w:rsid w:val="007776CC"/>
    <w:rsid w:val="00777CE9"/>
    <w:rsid w:val="00780D05"/>
    <w:rsid w:val="00783C7B"/>
    <w:rsid w:val="0078556C"/>
    <w:rsid w:val="007855C5"/>
    <w:rsid w:val="007856D3"/>
    <w:rsid w:val="00785ABD"/>
    <w:rsid w:val="007860C6"/>
    <w:rsid w:val="00786254"/>
    <w:rsid w:val="007867A3"/>
    <w:rsid w:val="00786DB0"/>
    <w:rsid w:val="00787D47"/>
    <w:rsid w:val="0079014E"/>
    <w:rsid w:val="0079148B"/>
    <w:rsid w:val="00792971"/>
    <w:rsid w:val="007935C6"/>
    <w:rsid w:val="00794129"/>
    <w:rsid w:val="00794447"/>
    <w:rsid w:val="00794516"/>
    <w:rsid w:val="00794878"/>
    <w:rsid w:val="00795512"/>
    <w:rsid w:val="007957FA"/>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6E7"/>
    <w:rsid w:val="007A60CA"/>
    <w:rsid w:val="007A6F0F"/>
    <w:rsid w:val="007A708C"/>
    <w:rsid w:val="007A75B5"/>
    <w:rsid w:val="007A7985"/>
    <w:rsid w:val="007A7ABE"/>
    <w:rsid w:val="007B03C5"/>
    <w:rsid w:val="007B054D"/>
    <w:rsid w:val="007B26E1"/>
    <w:rsid w:val="007B3045"/>
    <w:rsid w:val="007B3F0E"/>
    <w:rsid w:val="007B4C0F"/>
    <w:rsid w:val="007B5A80"/>
    <w:rsid w:val="007B5E25"/>
    <w:rsid w:val="007B6E0E"/>
    <w:rsid w:val="007C27FB"/>
    <w:rsid w:val="007C2CBB"/>
    <w:rsid w:val="007C309C"/>
    <w:rsid w:val="007C3EE1"/>
    <w:rsid w:val="007C3F48"/>
    <w:rsid w:val="007C4209"/>
    <w:rsid w:val="007C5EB9"/>
    <w:rsid w:val="007C693E"/>
    <w:rsid w:val="007C7449"/>
    <w:rsid w:val="007C7EA5"/>
    <w:rsid w:val="007D1A95"/>
    <w:rsid w:val="007D245E"/>
    <w:rsid w:val="007D28EF"/>
    <w:rsid w:val="007D2AB8"/>
    <w:rsid w:val="007D3764"/>
    <w:rsid w:val="007D485A"/>
    <w:rsid w:val="007D4FF3"/>
    <w:rsid w:val="007D54FF"/>
    <w:rsid w:val="007D57D4"/>
    <w:rsid w:val="007D6315"/>
    <w:rsid w:val="007D6F3E"/>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230"/>
    <w:rsid w:val="007F4DD2"/>
    <w:rsid w:val="007F4FB9"/>
    <w:rsid w:val="007F7022"/>
    <w:rsid w:val="007F7690"/>
    <w:rsid w:val="008011CC"/>
    <w:rsid w:val="00801404"/>
    <w:rsid w:val="008017AA"/>
    <w:rsid w:val="00801CBA"/>
    <w:rsid w:val="00801D92"/>
    <w:rsid w:val="00803BC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6B40"/>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1DB5"/>
    <w:rsid w:val="00852CA0"/>
    <w:rsid w:val="00852D85"/>
    <w:rsid w:val="00852F6C"/>
    <w:rsid w:val="0085465C"/>
    <w:rsid w:val="00854967"/>
    <w:rsid w:val="0085540B"/>
    <w:rsid w:val="00855511"/>
    <w:rsid w:val="0085582C"/>
    <w:rsid w:val="00855FD3"/>
    <w:rsid w:val="00856337"/>
    <w:rsid w:val="00857086"/>
    <w:rsid w:val="00857572"/>
    <w:rsid w:val="00860F4D"/>
    <w:rsid w:val="008611DE"/>
    <w:rsid w:val="00861375"/>
    <w:rsid w:val="00861C56"/>
    <w:rsid w:val="00861F29"/>
    <w:rsid w:val="00861FE4"/>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BC9"/>
    <w:rsid w:val="00895DF1"/>
    <w:rsid w:val="00896645"/>
    <w:rsid w:val="008975D2"/>
    <w:rsid w:val="008A035B"/>
    <w:rsid w:val="008A0459"/>
    <w:rsid w:val="008A1218"/>
    <w:rsid w:val="008A15B6"/>
    <w:rsid w:val="008A1A6E"/>
    <w:rsid w:val="008A202A"/>
    <w:rsid w:val="008A36C9"/>
    <w:rsid w:val="008A5AF9"/>
    <w:rsid w:val="008B09EF"/>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C2"/>
    <w:rsid w:val="008C5DEE"/>
    <w:rsid w:val="008C6285"/>
    <w:rsid w:val="008C7182"/>
    <w:rsid w:val="008C7268"/>
    <w:rsid w:val="008C7CA5"/>
    <w:rsid w:val="008C7D9D"/>
    <w:rsid w:val="008D0176"/>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2C15"/>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916"/>
    <w:rsid w:val="0091281A"/>
    <w:rsid w:val="00912AAE"/>
    <w:rsid w:val="00912B24"/>
    <w:rsid w:val="00912E7C"/>
    <w:rsid w:val="009139B5"/>
    <w:rsid w:val="00914514"/>
    <w:rsid w:val="00914549"/>
    <w:rsid w:val="00914C08"/>
    <w:rsid w:val="00914F2F"/>
    <w:rsid w:val="00916057"/>
    <w:rsid w:val="00916AD1"/>
    <w:rsid w:val="00917637"/>
    <w:rsid w:val="00917FEE"/>
    <w:rsid w:val="0092023D"/>
    <w:rsid w:val="00920245"/>
    <w:rsid w:val="00920472"/>
    <w:rsid w:val="00921251"/>
    <w:rsid w:val="00921861"/>
    <w:rsid w:val="0092189E"/>
    <w:rsid w:val="009219FD"/>
    <w:rsid w:val="00921DF7"/>
    <w:rsid w:val="009256C3"/>
    <w:rsid w:val="009257B0"/>
    <w:rsid w:val="009258BD"/>
    <w:rsid w:val="00925DEB"/>
    <w:rsid w:val="009263C0"/>
    <w:rsid w:val="009278E9"/>
    <w:rsid w:val="009302D4"/>
    <w:rsid w:val="009305CB"/>
    <w:rsid w:val="009307F2"/>
    <w:rsid w:val="00930CEC"/>
    <w:rsid w:val="00930F4A"/>
    <w:rsid w:val="00932D61"/>
    <w:rsid w:val="0093375E"/>
    <w:rsid w:val="00933BEF"/>
    <w:rsid w:val="0093787E"/>
    <w:rsid w:val="009412CC"/>
    <w:rsid w:val="0094388B"/>
    <w:rsid w:val="00943C08"/>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9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04D"/>
    <w:rsid w:val="009733F3"/>
    <w:rsid w:val="009748E4"/>
    <w:rsid w:val="00975EC7"/>
    <w:rsid w:val="00976D65"/>
    <w:rsid w:val="00976DF6"/>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11"/>
    <w:rsid w:val="009913F3"/>
    <w:rsid w:val="00991DA1"/>
    <w:rsid w:val="009927F1"/>
    <w:rsid w:val="0099305C"/>
    <w:rsid w:val="009936C4"/>
    <w:rsid w:val="009948ED"/>
    <w:rsid w:val="00995ADA"/>
    <w:rsid w:val="0099643A"/>
    <w:rsid w:val="00997959"/>
    <w:rsid w:val="009A0BAF"/>
    <w:rsid w:val="009A1431"/>
    <w:rsid w:val="009A153D"/>
    <w:rsid w:val="009A1634"/>
    <w:rsid w:val="009A3461"/>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9BB"/>
    <w:rsid w:val="009E48FE"/>
    <w:rsid w:val="009E49AE"/>
    <w:rsid w:val="009E4DC7"/>
    <w:rsid w:val="009E660A"/>
    <w:rsid w:val="009E6B64"/>
    <w:rsid w:val="009E72E5"/>
    <w:rsid w:val="009F2D7D"/>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3B5A"/>
    <w:rsid w:val="00A1496E"/>
    <w:rsid w:val="00A14F84"/>
    <w:rsid w:val="00A16D6D"/>
    <w:rsid w:val="00A17C75"/>
    <w:rsid w:val="00A211C8"/>
    <w:rsid w:val="00A2121E"/>
    <w:rsid w:val="00A21EAC"/>
    <w:rsid w:val="00A221DE"/>
    <w:rsid w:val="00A22983"/>
    <w:rsid w:val="00A22CB2"/>
    <w:rsid w:val="00A23138"/>
    <w:rsid w:val="00A23883"/>
    <w:rsid w:val="00A23940"/>
    <w:rsid w:val="00A23ECC"/>
    <w:rsid w:val="00A24CD3"/>
    <w:rsid w:val="00A25461"/>
    <w:rsid w:val="00A26367"/>
    <w:rsid w:val="00A2678A"/>
    <w:rsid w:val="00A269E1"/>
    <w:rsid w:val="00A27C1C"/>
    <w:rsid w:val="00A30019"/>
    <w:rsid w:val="00A30F6A"/>
    <w:rsid w:val="00A32AEA"/>
    <w:rsid w:val="00A32F32"/>
    <w:rsid w:val="00A33E80"/>
    <w:rsid w:val="00A33EFE"/>
    <w:rsid w:val="00A4148D"/>
    <w:rsid w:val="00A44D0E"/>
    <w:rsid w:val="00A4621D"/>
    <w:rsid w:val="00A509FB"/>
    <w:rsid w:val="00A50F3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42C"/>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6F42"/>
    <w:rsid w:val="00A7771B"/>
    <w:rsid w:val="00A77B53"/>
    <w:rsid w:val="00A811F1"/>
    <w:rsid w:val="00A82887"/>
    <w:rsid w:val="00A83010"/>
    <w:rsid w:val="00A83BF5"/>
    <w:rsid w:val="00A84CD1"/>
    <w:rsid w:val="00A85E2E"/>
    <w:rsid w:val="00A861F3"/>
    <w:rsid w:val="00A8728F"/>
    <w:rsid w:val="00A8756A"/>
    <w:rsid w:val="00A8798D"/>
    <w:rsid w:val="00A87F7D"/>
    <w:rsid w:val="00A906B7"/>
    <w:rsid w:val="00A9070E"/>
    <w:rsid w:val="00A92DD4"/>
    <w:rsid w:val="00A94D0F"/>
    <w:rsid w:val="00A94F13"/>
    <w:rsid w:val="00A9568C"/>
    <w:rsid w:val="00A95BED"/>
    <w:rsid w:val="00A95EA2"/>
    <w:rsid w:val="00A9787E"/>
    <w:rsid w:val="00A97AF9"/>
    <w:rsid w:val="00AA08E8"/>
    <w:rsid w:val="00AA0DB4"/>
    <w:rsid w:val="00AA10D7"/>
    <w:rsid w:val="00AA11C5"/>
    <w:rsid w:val="00AA17E2"/>
    <w:rsid w:val="00AA21B7"/>
    <w:rsid w:val="00AA3827"/>
    <w:rsid w:val="00AA382D"/>
    <w:rsid w:val="00AA4A2C"/>
    <w:rsid w:val="00AA59A6"/>
    <w:rsid w:val="00AA6299"/>
    <w:rsid w:val="00AA6E05"/>
    <w:rsid w:val="00AA7FF1"/>
    <w:rsid w:val="00AB0262"/>
    <w:rsid w:val="00AB14A1"/>
    <w:rsid w:val="00AB202A"/>
    <w:rsid w:val="00AB227C"/>
    <w:rsid w:val="00AB5555"/>
    <w:rsid w:val="00AB55AD"/>
    <w:rsid w:val="00AB5D1B"/>
    <w:rsid w:val="00AB5DBA"/>
    <w:rsid w:val="00AB6918"/>
    <w:rsid w:val="00AB6B40"/>
    <w:rsid w:val="00AB740A"/>
    <w:rsid w:val="00AC1DA5"/>
    <w:rsid w:val="00AC216B"/>
    <w:rsid w:val="00AC26B1"/>
    <w:rsid w:val="00AC3DD5"/>
    <w:rsid w:val="00AC42B8"/>
    <w:rsid w:val="00AC43D0"/>
    <w:rsid w:val="00AC45C5"/>
    <w:rsid w:val="00AC4791"/>
    <w:rsid w:val="00AC4FB6"/>
    <w:rsid w:val="00AC4FD1"/>
    <w:rsid w:val="00AC5FEF"/>
    <w:rsid w:val="00AC6036"/>
    <w:rsid w:val="00AD0328"/>
    <w:rsid w:val="00AD11DC"/>
    <w:rsid w:val="00AD1966"/>
    <w:rsid w:val="00AD19E8"/>
    <w:rsid w:val="00AD216E"/>
    <w:rsid w:val="00AD2B03"/>
    <w:rsid w:val="00AD2C50"/>
    <w:rsid w:val="00AD2E07"/>
    <w:rsid w:val="00AD38A9"/>
    <w:rsid w:val="00AD4071"/>
    <w:rsid w:val="00AD44EA"/>
    <w:rsid w:val="00AD4782"/>
    <w:rsid w:val="00AD4CD2"/>
    <w:rsid w:val="00AD5236"/>
    <w:rsid w:val="00AD527D"/>
    <w:rsid w:val="00AD54E0"/>
    <w:rsid w:val="00AD62EF"/>
    <w:rsid w:val="00AD758E"/>
    <w:rsid w:val="00AD7AB5"/>
    <w:rsid w:val="00AE08B7"/>
    <w:rsid w:val="00AE0DBA"/>
    <w:rsid w:val="00AE160F"/>
    <w:rsid w:val="00AE1902"/>
    <w:rsid w:val="00AE21DC"/>
    <w:rsid w:val="00AE239B"/>
    <w:rsid w:val="00AE25D2"/>
    <w:rsid w:val="00AE2B47"/>
    <w:rsid w:val="00AE2CAD"/>
    <w:rsid w:val="00AE3090"/>
    <w:rsid w:val="00AE380E"/>
    <w:rsid w:val="00AE3AAD"/>
    <w:rsid w:val="00AE4189"/>
    <w:rsid w:val="00AE503A"/>
    <w:rsid w:val="00AE68E2"/>
    <w:rsid w:val="00AE7857"/>
    <w:rsid w:val="00AF0157"/>
    <w:rsid w:val="00AF0C1B"/>
    <w:rsid w:val="00AF2EC7"/>
    <w:rsid w:val="00AF3AC0"/>
    <w:rsid w:val="00AF4F4A"/>
    <w:rsid w:val="00AF7E46"/>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3D8B"/>
    <w:rsid w:val="00B24948"/>
    <w:rsid w:val="00B24CBD"/>
    <w:rsid w:val="00B25CA3"/>
    <w:rsid w:val="00B27B30"/>
    <w:rsid w:val="00B30028"/>
    <w:rsid w:val="00B31E8D"/>
    <w:rsid w:val="00B3313B"/>
    <w:rsid w:val="00B331E8"/>
    <w:rsid w:val="00B331EA"/>
    <w:rsid w:val="00B34732"/>
    <w:rsid w:val="00B349E9"/>
    <w:rsid w:val="00B353B8"/>
    <w:rsid w:val="00B35C56"/>
    <w:rsid w:val="00B36F17"/>
    <w:rsid w:val="00B372ED"/>
    <w:rsid w:val="00B37FB8"/>
    <w:rsid w:val="00B40603"/>
    <w:rsid w:val="00B40AF6"/>
    <w:rsid w:val="00B41071"/>
    <w:rsid w:val="00B425C0"/>
    <w:rsid w:val="00B42DB6"/>
    <w:rsid w:val="00B46957"/>
    <w:rsid w:val="00B47B54"/>
    <w:rsid w:val="00B50E99"/>
    <w:rsid w:val="00B51926"/>
    <w:rsid w:val="00B51F9A"/>
    <w:rsid w:val="00B54DA7"/>
    <w:rsid w:val="00B56439"/>
    <w:rsid w:val="00B600C6"/>
    <w:rsid w:val="00B60167"/>
    <w:rsid w:val="00B60265"/>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A5E"/>
    <w:rsid w:val="00B81B6A"/>
    <w:rsid w:val="00B820F4"/>
    <w:rsid w:val="00B835E0"/>
    <w:rsid w:val="00B8396D"/>
    <w:rsid w:val="00B90331"/>
    <w:rsid w:val="00B903ED"/>
    <w:rsid w:val="00B90B2D"/>
    <w:rsid w:val="00B91F2A"/>
    <w:rsid w:val="00B935A1"/>
    <w:rsid w:val="00B95DAD"/>
    <w:rsid w:val="00B96C0C"/>
    <w:rsid w:val="00B9734D"/>
    <w:rsid w:val="00B97732"/>
    <w:rsid w:val="00BA27F4"/>
    <w:rsid w:val="00BA2E40"/>
    <w:rsid w:val="00BA3CB7"/>
    <w:rsid w:val="00BA41DE"/>
    <w:rsid w:val="00BA556C"/>
    <w:rsid w:val="00BA7485"/>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446"/>
    <w:rsid w:val="00BD2EFC"/>
    <w:rsid w:val="00BD340E"/>
    <w:rsid w:val="00BD512F"/>
    <w:rsid w:val="00BD60AD"/>
    <w:rsid w:val="00BD6C02"/>
    <w:rsid w:val="00BE1244"/>
    <w:rsid w:val="00BE165D"/>
    <w:rsid w:val="00BE2394"/>
    <w:rsid w:val="00BE2702"/>
    <w:rsid w:val="00BE4326"/>
    <w:rsid w:val="00BE5F4F"/>
    <w:rsid w:val="00BE60DB"/>
    <w:rsid w:val="00BF0191"/>
    <w:rsid w:val="00BF13EC"/>
    <w:rsid w:val="00BF1C07"/>
    <w:rsid w:val="00BF3DEE"/>
    <w:rsid w:val="00BF512D"/>
    <w:rsid w:val="00BF54AC"/>
    <w:rsid w:val="00BF54BD"/>
    <w:rsid w:val="00BF6B8E"/>
    <w:rsid w:val="00C025A5"/>
    <w:rsid w:val="00C03319"/>
    <w:rsid w:val="00C03C78"/>
    <w:rsid w:val="00C04FD3"/>
    <w:rsid w:val="00C065A2"/>
    <w:rsid w:val="00C0713C"/>
    <w:rsid w:val="00C07919"/>
    <w:rsid w:val="00C103F9"/>
    <w:rsid w:val="00C104AC"/>
    <w:rsid w:val="00C110E1"/>
    <w:rsid w:val="00C1198F"/>
    <w:rsid w:val="00C11FA1"/>
    <w:rsid w:val="00C1279E"/>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2DD1"/>
    <w:rsid w:val="00C437BA"/>
    <w:rsid w:val="00C44364"/>
    <w:rsid w:val="00C44395"/>
    <w:rsid w:val="00C443B3"/>
    <w:rsid w:val="00C44A45"/>
    <w:rsid w:val="00C44B21"/>
    <w:rsid w:val="00C45CE8"/>
    <w:rsid w:val="00C45F96"/>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0BC"/>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0C7F"/>
    <w:rsid w:val="00CA18CA"/>
    <w:rsid w:val="00CA2557"/>
    <w:rsid w:val="00CA295F"/>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54D9"/>
    <w:rsid w:val="00CD0E6E"/>
    <w:rsid w:val="00CD23AE"/>
    <w:rsid w:val="00CD27DF"/>
    <w:rsid w:val="00CD2D8A"/>
    <w:rsid w:val="00CD3BAC"/>
    <w:rsid w:val="00CD3FF2"/>
    <w:rsid w:val="00CD43F7"/>
    <w:rsid w:val="00CD4A65"/>
    <w:rsid w:val="00CD531F"/>
    <w:rsid w:val="00CD6FA3"/>
    <w:rsid w:val="00CE0D14"/>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3BA"/>
    <w:rsid w:val="00CF45A2"/>
    <w:rsid w:val="00CF52E7"/>
    <w:rsid w:val="00CF64B5"/>
    <w:rsid w:val="00CF7853"/>
    <w:rsid w:val="00D004ED"/>
    <w:rsid w:val="00D00FC9"/>
    <w:rsid w:val="00D0156D"/>
    <w:rsid w:val="00D0260F"/>
    <w:rsid w:val="00D03708"/>
    <w:rsid w:val="00D0456E"/>
    <w:rsid w:val="00D06776"/>
    <w:rsid w:val="00D06E46"/>
    <w:rsid w:val="00D06F95"/>
    <w:rsid w:val="00D1158C"/>
    <w:rsid w:val="00D11600"/>
    <w:rsid w:val="00D119A2"/>
    <w:rsid w:val="00D12E31"/>
    <w:rsid w:val="00D137F9"/>
    <w:rsid w:val="00D1458C"/>
    <w:rsid w:val="00D15859"/>
    <w:rsid w:val="00D1620E"/>
    <w:rsid w:val="00D16867"/>
    <w:rsid w:val="00D16EEC"/>
    <w:rsid w:val="00D2047A"/>
    <w:rsid w:val="00D20631"/>
    <w:rsid w:val="00D207FC"/>
    <w:rsid w:val="00D2260B"/>
    <w:rsid w:val="00D22D49"/>
    <w:rsid w:val="00D23930"/>
    <w:rsid w:val="00D23A23"/>
    <w:rsid w:val="00D244AD"/>
    <w:rsid w:val="00D24D8A"/>
    <w:rsid w:val="00D24DA4"/>
    <w:rsid w:val="00D25235"/>
    <w:rsid w:val="00D25383"/>
    <w:rsid w:val="00D25670"/>
    <w:rsid w:val="00D27559"/>
    <w:rsid w:val="00D301FF"/>
    <w:rsid w:val="00D3257F"/>
    <w:rsid w:val="00D340E2"/>
    <w:rsid w:val="00D36887"/>
    <w:rsid w:val="00D37563"/>
    <w:rsid w:val="00D379EB"/>
    <w:rsid w:val="00D400B8"/>
    <w:rsid w:val="00D4022C"/>
    <w:rsid w:val="00D41023"/>
    <w:rsid w:val="00D41199"/>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2673"/>
    <w:rsid w:val="00D634B8"/>
    <w:rsid w:val="00D63C8F"/>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152"/>
    <w:rsid w:val="00DA328E"/>
    <w:rsid w:val="00DA39E7"/>
    <w:rsid w:val="00DA3AA6"/>
    <w:rsid w:val="00DA45AE"/>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76B"/>
    <w:rsid w:val="00DC6455"/>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94D"/>
    <w:rsid w:val="00DF0EA5"/>
    <w:rsid w:val="00DF1F1D"/>
    <w:rsid w:val="00DF23A5"/>
    <w:rsid w:val="00DF4C6E"/>
    <w:rsid w:val="00DF6666"/>
    <w:rsid w:val="00DF745E"/>
    <w:rsid w:val="00DF762E"/>
    <w:rsid w:val="00DF7855"/>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12CC"/>
    <w:rsid w:val="00E24287"/>
    <w:rsid w:val="00E309DF"/>
    <w:rsid w:val="00E31367"/>
    <w:rsid w:val="00E3181C"/>
    <w:rsid w:val="00E32EF3"/>
    <w:rsid w:val="00E3325F"/>
    <w:rsid w:val="00E33E21"/>
    <w:rsid w:val="00E34BC4"/>
    <w:rsid w:val="00E3540C"/>
    <w:rsid w:val="00E36187"/>
    <w:rsid w:val="00E36332"/>
    <w:rsid w:val="00E36C9B"/>
    <w:rsid w:val="00E37638"/>
    <w:rsid w:val="00E37E9D"/>
    <w:rsid w:val="00E41B71"/>
    <w:rsid w:val="00E42569"/>
    <w:rsid w:val="00E434A0"/>
    <w:rsid w:val="00E44D30"/>
    <w:rsid w:val="00E4597F"/>
    <w:rsid w:val="00E463E5"/>
    <w:rsid w:val="00E46CB7"/>
    <w:rsid w:val="00E4723D"/>
    <w:rsid w:val="00E5077C"/>
    <w:rsid w:val="00E50EC8"/>
    <w:rsid w:val="00E5159B"/>
    <w:rsid w:val="00E515C6"/>
    <w:rsid w:val="00E52E0D"/>
    <w:rsid w:val="00E52FE2"/>
    <w:rsid w:val="00E54629"/>
    <w:rsid w:val="00E54715"/>
    <w:rsid w:val="00E54C06"/>
    <w:rsid w:val="00E54D6B"/>
    <w:rsid w:val="00E54E6F"/>
    <w:rsid w:val="00E552C7"/>
    <w:rsid w:val="00E55338"/>
    <w:rsid w:val="00E554D7"/>
    <w:rsid w:val="00E567F9"/>
    <w:rsid w:val="00E569AF"/>
    <w:rsid w:val="00E5774E"/>
    <w:rsid w:val="00E578AE"/>
    <w:rsid w:val="00E57EEB"/>
    <w:rsid w:val="00E60318"/>
    <w:rsid w:val="00E60BA8"/>
    <w:rsid w:val="00E61E25"/>
    <w:rsid w:val="00E61E28"/>
    <w:rsid w:val="00E628E4"/>
    <w:rsid w:val="00E647F7"/>
    <w:rsid w:val="00E65FF5"/>
    <w:rsid w:val="00E66857"/>
    <w:rsid w:val="00E67556"/>
    <w:rsid w:val="00E71D1B"/>
    <w:rsid w:val="00E71EA3"/>
    <w:rsid w:val="00E7252F"/>
    <w:rsid w:val="00E73FC2"/>
    <w:rsid w:val="00E74481"/>
    <w:rsid w:val="00E74517"/>
    <w:rsid w:val="00E74EF7"/>
    <w:rsid w:val="00E755D7"/>
    <w:rsid w:val="00E7566D"/>
    <w:rsid w:val="00E76927"/>
    <w:rsid w:val="00E76E91"/>
    <w:rsid w:val="00E774B4"/>
    <w:rsid w:val="00E778F5"/>
    <w:rsid w:val="00E80E7C"/>
    <w:rsid w:val="00E81779"/>
    <w:rsid w:val="00E8205B"/>
    <w:rsid w:val="00E82444"/>
    <w:rsid w:val="00E8341C"/>
    <w:rsid w:val="00E84E46"/>
    <w:rsid w:val="00E8602B"/>
    <w:rsid w:val="00E86B5F"/>
    <w:rsid w:val="00E87D05"/>
    <w:rsid w:val="00E91F96"/>
    <w:rsid w:val="00E92E99"/>
    <w:rsid w:val="00E968FD"/>
    <w:rsid w:val="00E96D55"/>
    <w:rsid w:val="00E97993"/>
    <w:rsid w:val="00EA0D5D"/>
    <w:rsid w:val="00EA1192"/>
    <w:rsid w:val="00EA153F"/>
    <w:rsid w:val="00EA2788"/>
    <w:rsid w:val="00EA2C6E"/>
    <w:rsid w:val="00EA3C4D"/>
    <w:rsid w:val="00EA4964"/>
    <w:rsid w:val="00EA4F1A"/>
    <w:rsid w:val="00EA546F"/>
    <w:rsid w:val="00EA671C"/>
    <w:rsid w:val="00EA675C"/>
    <w:rsid w:val="00EA77CB"/>
    <w:rsid w:val="00EB02DE"/>
    <w:rsid w:val="00EB0A07"/>
    <w:rsid w:val="00EB1B69"/>
    <w:rsid w:val="00EB1C78"/>
    <w:rsid w:val="00EB3B46"/>
    <w:rsid w:val="00EB4F08"/>
    <w:rsid w:val="00EC0202"/>
    <w:rsid w:val="00EC11CB"/>
    <w:rsid w:val="00EC1F9B"/>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072F"/>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55E6"/>
    <w:rsid w:val="00F2625A"/>
    <w:rsid w:val="00F31A03"/>
    <w:rsid w:val="00F3283C"/>
    <w:rsid w:val="00F32D0F"/>
    <w:rsid w:val="00F343F0"/>
    <w:rsid w:val="00F34620"/>
    <w:rsid w:val="00F34AAB"/>
    <w:rsid w:val="00F34C4D"/>
    <w:rsid w:val="00F350CF"/>
    <w:rsid w:val="00F35582"/>
    <w:rsid w:val="00F37004"/>
    <w:rsid w:val="00F376A1"/>
    <w:rsid w:val="00F37B8E"/>
    <w:rsid w:val="00F41094"/>
    <w:rsid w:val="00F41746"/>
    <w:rsid w:val="00F41E79"/>
    <w:rsid w:val="00F4315F"/>
    <w:rsid w:val="00F445F6"/>
    <w:rsid w:val="00F4512F"/>
    <w:rsid w:val="00F45763"/>
    <w:rsid w:val="00F45BCF"/>
    <w:rsid w:val="00F45BEA"/>
    <w:rsid w:val="00F45CFE"/>
    <w:rsid w:val="00F46877"/>
    <w:rsid w:val="00F473A2"/>
    <w:rsid w:val="00F47F3E"/>
    <w:rsid w:val="00F530E6"/>
    <w:rsid w:val="00F532C7"/>
    <w:rsid w:val="00F54EE5"/>
    <w:rsid w:val="00F55358"/>
    <w:rsid w:val="00F5603C"/>
    <w:rsid w:val="00F5605C"/>
    <w:rsid w:val="00F56217"/>
    <w:rsid w:val="00F564B9"/>
    <w:rsid w:val="00F57909"/>
    <w:rsid w:val="00F60267"/>
    <w:rsid w:val="00F612D6"/>
    <w:rsid w:val="00F63400"/>
    <w:rsid w:val="00F636C6"/>
    <w:rsid w:val="00F6433D"/>
    <w:rsid w:val="00F6573E"/>
    <w:rsid w:val="00F65EBC"/>
    <w:rsid w:val="00F662EB"/>
    <w:rsid w:val="00F6675D"/>
    <w:rsid w:val="00F67606"/>
    <w:rsid w:val="00F70327"/>
    <w:rsid w:val="00F70FEF"/>
    <w:rsid w:val="00F72FA8"/>
    <w:rsid w:val="00F75415"/>
    <w:rsid w:val="00F75CA9"/>
    <w:rsid w:val="00F773F9"/>
    <w:rsid w:val="00F8101C"/>
    <w:rsid w:val="00F817B9"/>
    <w:rsid w:val="00F81CB7"/>
    <w:rsid w:val="00F82280"/>
    <w:rsid w:val="00F8235F"/>
    <w:rsid w:val="00F83A22"/>
    <w:rsid w:val="00F83A97"/>
    <w:rsid w:val="00F844F0"/>
    <w:rsid w:val="00F84895"/>
    <w:rsid w:val="00F8493E"/>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6644"/>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445"/>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804"/>
    <w:rsid w:val="00FF1070"/>
    <w:rsid w:val="00FF13E2"/>
    <w:rsid w:val="00FF2237"/>
    <w:rsid w:val="00FF385C"/>
    <w:rsid w:val="00FF4953"/>
    <w:rsid w:val="00FF5FA3"/>
    <w:rsid w:val="00FF5FCE"/>
    <w:rsid w:val="00FF6177"/>
    <w:rsid w:val="00FF6561"/>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2F710"/>
  <w15:chartTrackingRefBased/>
  <w15:docId w15:val="{A0DB2A85-64E0-4E5F-8D08-8E16664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basedOn w:val="Normal"/>
    <w:next w:val="Normal"/>
    <w:uiPriority w:val="1"/>
    <w:qFormat/>
    <w:rsid w:val="00FA6644"/>
    <w:pPr>
      <w:widowControl w:val="0"/>
      <w:jc w:val="both"/>
    </w:pPr>
    <w:rPr>
      <w:rFonts w:eastAsia="Calibri"/>
      <w:szCs w:val="22"/>
      <w:lang w:eastAsia="en-US"/>
    </w:rPr>
  </w:style>
  <w:style w:type="paragraph" w:styleId="Title">
    <w:name w:val="Title"/>
    <w:basedOn w:val="Normal"/>
    <w:link w:val="TitleChar"/>
    <w:qFormat/>
    <w:locked/>
    <w:rsid w:val="00A30019"/>
    <w:pPr>
      <w:jc w:val="center"/>
    </w:pPr>
    <w:rPr>
      <w:sz w:val="28"/>
      <w:szCs w:val="20"/>
      <w:lang w:eastAsia="en-US"/>
    </w:rPr>
  </w:style>
  <w:style w:type="character" w:customStyle="1" w:styleId="TitleChar">
    <w:name w:val="Title Char"/>
    <w:link w:val="Title"/>
    <w:rsid w:val="00A3001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919727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726048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1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F380-C294-4420-AE2F-5DC3C46F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19631</Words>
  <Characters>11191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
  <cp:lastModifiedBy>Haralds Skarbnieks</cp:lastModifiedBy>
  <cp:revision>5</cp:revision>
  <cp:lastPrinted>2020-07-15T11:15:00Z</cp:lastPrinted>
  <dcterms:created xsi:type="dcterms:W3CDTF">2020-09-30T07:44:00Z</dcterms:created>
  <dcterms:modified xsi:type="dcterms:W3CDTF">2020-10-05T09:38:00Z</dcterms:modified>
</cp:coreProperties>
</file>